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161191"/>
      <w:r>
        <w:t>Übereinkomm</w:t>
      </w:r>
      <w:bookmarkStart w:id="1" w:name="_GoBack"/>
      <w:bookmarkEnd w:id="1"/>
      <w:r>
        <w:t xml:space="preserve">en über die Erhaltung der europäischen wildlebenden Pflanzen und Tiere und ihrer natürlichen Lebensräume </w:t>
      </w:r>
      <w:r>
        <w:rPr>
          <w:vertAlign w:val="superscript"/>
        </w:rPr>
        <w:footnoteReference w:id="1"/>
      </w:r>
      <w:bookmarkEnd w:id="0"/>
    </w:p>
    <w:p>
      <w:pPr>
        <w:pStyle w:val="GesAbsatz"/>
        <w:jc w:val="center"/>
        <w:rPr>
          <w:b/>
          <w:sz w:val="24"/>
          <w:szCs w:val="24"/>
        </w:rPr>
      </w:pPr>
      <w:r>
        <w:rPr>
          <w:b/>
          <w:sz w:val="24"/>
          <w:szCs w:val="24"/>
        </w:rPr>
        <w:t>Berner Konvention</w:t>
      </w:r>
    </w:p>
    <w:p>
      <w:pPr>
        <w:pStyle w:val="GesAbsatz"/>
        <w:jc w:val="center"/>
      </w:pPr>
      <w:r>
        <w:t>vom 19. September 1979</w:t>
      </w:r>
    </w:p>
    <w:p>
      <w:pPr>
        <w:pStyle w:val="GesAbsatz"/>
        <w:rPr>
          <w:i/>
          <w:color w:val="0000FF"/>
        </w:rPr>
      </w:pPr>
      <w:r>
        <w:rPr>
          <w:i/>
          <w:color w:val="0000FF"/>
        </w:rPr>
        <w:t>Das Übereinkommen ist am 1. Juni 1982 in Kraft getreten.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161191" w:history="1">
        <w:r>
          <w:rPr>
            <w:rStyle w:val="Hyperlink"/>
            <w:noProof/>
          </w:rPr>
          <w:t xml:space="preserve">Übereinkommen über die Erhaltung der europäischen wildlebenden Pflanzen und Tiere und ihrer natürlichen Lebensräume </w:t>
        </w:r>
        <w:r>
          <w:rPr>
            <w:noProof/>
            <w:webHidden/>
          </w:rPr>
          <w:tab/>
        </w:r>
        <w:r>
          <w:rPr>
            <w:noProof/>
            <w:webHidden/>
          </w:rPr>
          <w:fldChar w:fldCharType="begin"/>
        </w:r>
        <w:r>
          <w:rPr>
            <w:noProof/>
            <w:webHidden/>
          </w:rPr>
          <w:instrText xml:space="preserve"> PAGEREF _Toc378161191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2" w:history="1">
        <w:r>
          <w:rPr>
            <w:rStyle w:val="Hyperlink"/>
            <w:noProof/>
          </w:rPr>
          <w:t>Präambel</w:t>
        </w:r>
        <w:r>
          <w:rPr>
            <w:noProof/>
            <w:webHidden/>
          </w:rPr>
          <w:tab/>
        </w:r>
        <w:r>
          <w:rPr>
            <w:noProof/>
            <w:webHidden/>
          </w:rPr>
          <w:fldChar w:fldCharType="begin"/>
        </w:r>
        <w:r>
          <w:rPr>
            <w:noProof/>
            <w:webHidden/>
          </w:rPr>
          <w:instrText xml:space="preserve"> PAGEREF _Toc378161192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3" w:history="1">
        <w:r>
          <w:rPr>
            <w:rStyle w:val="Hyperlink"/>
            <w:noProof/>
          </w:rPr>
          <w:t>Kapitel I – Allgemeine Bestimmungen</w:t>
        </w:r>
        <w:r>
          <w:rPr>
            <w:noProof/>
            <w:webHidden/>
          </w:rPr>
          <w:tab/>
        </w:r>
        <w:r>
          <w:rPr>
            <w:noProof/>
            <w:webHidden/>
          </w:rPr>
          <w:fldChar w:fldCharType="begin"/>
        </w:r>
        <w:r>
          <w:rPr>
            <w:noProof/>
            <w:webHidden/>
          </w:rPr>
          <w:instrText xml:space="preserve"> PAGEREF _Toc378161193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4" w:history="1">
        <w:r>
          <w:rPr>
            <w:rStyle w:val="Hyperlink"/>
            <w:noProof/>
          </w:rPr>
          <w:t>Artikel 1</w:t>
        </w:r>
        <w:r>
          <w:rPr>
            <w:noProof/>
            <w:webHidden/>
          </w:rPr>
          <w:tab/>
        </w:r>
        <w:r>
          <w:rPr>
            <w:noProof/>
            <w:webHidden/>
          </w:rPr>
          <w:fldChar w:fldCharType="begin"/>
        </w:r>
        <w:r>
          <w:rPr>
            <w:noProof/>
            <w:webHidden/>
          </w:rPr>
          <w:instrText xml:space="preserve"> PAGEREF _Toc378161194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5" w:history="1">
        <w:r>
          <w:rPr>
            <w:rStyle w:val="Hyperlink"/>
            <w:noProof/>
          </w:rPr>
          <w:t>Artikel 2</w:t>
        </w:r>
        <w:r>
          <w:rPr>
            <w:noProof/>
            <w:webHidden/>
          </w:rPr>
          <w:tab/>
        </w:r>
        <w:r>
          <w:rPr>
            <w:noProof/>
            <w:webHidden/>
          </w:rPr>
          <w:fldChar w:fldCharType="begin"/>
        </w:r>
        <w:r>
          <w:rPr>
            <w:noProof/>
            <w:webHidden/>
          </w:rPr>
          <w:instrText xml:space="preserve"> PAGEREF _Toc378161195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6" w:history="1">
        <w:r>
          <w:rPr>
            <w:rStyle w:val="Hyperlink"/>
            <w:noProof/>
          </w:rPr>
          <w:t>Artikel 3</w:t>
        </w:r>
        <w:r>
          <w:rPr>
            <w:noProof/>
            <w:webHidden/>
          </w:rPr>
          <w:tab/>
        </w:r>
        <w:r>
          <w:rPr>
            <w:noProof/>
            <w:webHidden/>
          </w:rPr>
          <w:fldChar w:fldCharType="begin"/>
        </w:r>
        <w:r>
          <w:rPr>
            <w:noProof/>
            <w:webHidden/>
          </w:rPr>
          <w:instrText xml:space="preserve"> PAGEREF _Toc378161196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7" w:history="1">
        <w:r>
          <w:rPr>
            <w:rStyle w:val="Hyperlink"/>
            <w:noProof/>
          </w:rPr>
          <w:t>Kapitel II – Schutz von Lebensräumen</w:t>
        </w:r>
        <w:r>
          <w:rPr>
            <w:noProof/>
            <w:webHidden/>
          </w:rPr>
          <w:tab/>
        </w:r>
        <w:r>
          <w:rPr>
            <w:noProof/>
            <w:webHidden/>
          </w:rPr>
          <w:fldChar w:fldCharType="begin"/>
        </w:r>
        <w:r>
          <w:rPr>
            <w:noProof/>
            <w:webHidden/>
          </w:rPr>
          <w:instrText xml:space="preserve"> PAGEREF _Toc378161197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8" w:history="1">
        <w:r>
          <w:rPr>
            <w:rStyle w:val="Hyperlink"/>
            <w:noProof/>
          </w:rPr>
          <w:t>Artikel 4</w:t>
        </w:r>
        <w:r>
          <w:rPr>
            <w:noProof/>
            <w:webHidden/>
          </w:rPr>
          <w:tab/>
        </w:r>
        <w:r>
          <w:rPr>
            <w:noProof/>
            <w:webHidden/>
          </w:rPr>
          <w:fldChar w:fldCharType="begin"/>
        </w:r>
        <w:r>
          <w:rPr>
            <w:noProof/>
            <w:webHidden/>
          </w:rPr>
          <w:instrText xml:space="preserve"> PAGEREF _Toc378161198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199" w:history="1">
        <w:r>
          <w:rPr>
            <w:rStyle w:val="Hyperlink"/>
            <w:noProof/>
          </w:rPr>
          <w:t>Kapitel III – Artenschutz</w:t>
        </w:r>
        <w:r>
          <w:rPr>
            <w:noProof/>
            <w:webHidden/>
          </w:rPr>
          <w:tab/>
        </w:r>
        <w:r>
          <w:rPr>
            <w:noProof/>
            <w:webHidden/>
          </w:rPr>
          <w:fldChar w:fldCharType="begin"/>
        </w:r>
        <w:r>
          <w:rPr>
            <w:noProof/>
            <w:webHidden/>
          </w:rPr>
          <w:instrText xml:space="preserve"> PAGEREF _Toc378161199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0" w:history="1">
        <w:r>
          <w:rPr>
            <w:rStyle w:val="Hyperlink"/>
            <w:noProof/>
          </w:rPr>
          <w:t>Artikel 5</w:t>
        </w:r>
        <w:r>
          <w:rPr>
            <w:noProof/>
            <w:webHidden/>
          </w:rPr>
          <w:tab/>
        </w:r>
        <w:r>
          <w:rPr>
            <w:noProof/>
            <w:webHidden/>
          </w:rPr>
          <w:fldChar w:fldCharType="begin"/>
        </w:r>
        <w:r>
          <w:rPr>
            <w:noProof/>
            <w:webHidden/>
          </w:rPr>
          <w:instrText xml:space="preserve"> PAGEREF _Toc378161200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1" w:history="1">
        <w:r>
          <w:rPr>
            <w:rStyle w:val="Hyperlink"/>
            <w:noProof/>
          </w:rPr>
          <w:t>Artikel 6</w:t>
        </w:r>
        <w:r>
          <w:rPr>
            <w:noProof/>
            <w:webHidden/>
          </w:rPr>
          <w:tab/>
        </w:r>
        <w:r>
          <w:rPr>
            <w:noProof/>
            <w:webHidden/>
          </w:rPr>
          <w:fldChar w:fldCharType="begin"/>
        </w:r>
        <w:r>
          <w:rPr>
            <w:noProof/>
            <w:webHidden/>
          </w:rPr>
          <w:instrText xml:space="preserve"> PAGEREF _Toc378161201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2" w:history="1">
        <w:r>
          <w:rPr>
            <w:rStyle w:val="Hyperlink"/>
            <w:noProof/>
          </w:rPr>
          <w:t>Artikel 7</w:t>
        </w:r>
        <w:r>
          <w:rPr>
            <w:noProof/>
            <w:webHidden/>
          </w:rPr>
          <w:tab/>
        </w:r>
        <w:r>
          <w:rPr>
            <w:noProof/>
            <w:webHidden/>
          </w:rPr>
          <w:fldChar w:fldCharType="begin"/>
        </w:r>
        <w:r>
          <w:rPr>
            <w:noProof/>
            <w:webHidden/>
          </w:rPr>
          <w:instrText xml:space="preserve"> PAGEREF _Toc378161202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3" w:history="1">
        <w:r>
          <w:rPr>
            <w:rStyle w:val="Hyperlink"/>
            <w:noProof/>
          </w:rPr>
          <w:t>Artikel 8</w:t>
        </w:r>
        <w:r>
          <w:rPr>
            <w:noProof/>
            <w:webHidden/>
          </w:rPr>
          <w:tab/>
        </w:r>
        <w:r>
          <w:rPr>
            <w:noProof/>
            <w:webHidden/>
          </w:rPr>
          <w:fldChar w:fldCharType="begin"/>
        </w:r>
        <w:r>
          <w:rPr>
            <w:noProof/>
            <w:webHidden/>
          </w:rPr>
          <w:instrText xml:space="preserve"> PAGEREF _Toc378161203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4" w:history="1">
        <w:r>
          <w:rPr>
            <w:rStyle w:val="Hyperlink"/>
            <w:noProof/>
          </w:rPr>
          <w:t>Artikel 9</w:t>
        </w:r>
        <w:r>
          <w:rPr>
            <w:noProof/>
            <w:webHidden/>
          </w:rPr>
          <w:tab/>
        </w:r>
        <w:r>
          <w:rPr>
            <w:noProof/>
            <w:webHidden/>
          </w:rPr>
          <w:fldChar w:fldCharType="begin"/>
        </w:r>
        <w:r>
          <w:rPr>
            <w:noProof/>
            <w:webHidden/>
          </w:rPr>
          <w:instrText xml:space="preserve"> PAGEREF _Toc378161204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5" w:history="1">
        <w:r>
          <w:rPr>
            <w:rStyle w:val="Hyperlink"/>
            <w:noProof/>
          </w:rPr>
          <w:t>Kapitel IV – Sonderbestimmungen für wandernde Arten</w:t>
        </w:r>
        <w:r>
          <w:rPr>
            <w:noProof/>
            <w:webHidden/>
          </w:rPr>
          <w:tab/>
        </w:r>
        <w:r>
          <w:rPr>
            <w:noProof/>
            <w:webHidden/>
          </w:rPr>
          <w:fldChar w:fldCharType="begin"/>
        </w:r>
        <w:r>
          <w:rPr>
            <w:noProof/>
            <w:webHidden/>
          </w:rPr>
          <w:instrText xml:space="preserve"> PAGEREF _Toc378161205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6" w:history="1">
        <w:r>
          <w:rPr>
            <w:rStyle w:val="Hyperlink"/>
            <w:noProof/>
          </w:rPr>
          <w:t>Artikel 10</w:t>
        </w:r>
        <w:r>
          <w:rPr>
            <w:noProof/>
            <w:webHidden/>
          </w:rPr>
          <w:tab/>
        </w:r>
        <w:r>
          <w:rPr>
            <w:noProof/>
            <w:webHidden/>
          </w:rPr>
          <w:fldChar w:fldCharType="begin"/>
        </w:r>
        <w:r>
          <w:rPr>
            <w:noProof/>
            <w:webHidden/>
          </w:rPr>
          <w:instrText xml:space="preserve"> PAGEREF _Toc378161206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7" w:history="1">
        <w:r>
          <w:rPr>
            <w:rStyle w:val="Hyperlink"/>
            <w:noProof/>
          </w:rPr>
          <w:t>Kapitel V – Ergänzende Bestimmungen</w:t>
        </w:r>
        <w:r>
          <w:rPr>
            <w:noProof/>
            <w:webHidden/>
          </w:rPr>
          <w:tab/>
        </w:r>
        <w:r>
          <w:rPr>
            <w:noProof/>
            <w:webHidden/>
          </w:rPr>
          <w:fldChar w:fldCharType="begin"/>
        </w:r>
        <w:r>
          <w:rPr>
            <w:noProof/>
            <w:webHidden/>
          </w:rPr>
          <w:instrText xml:space="preserve"> PAGEREF _Toc378161207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8" w:history="1">
        <w:r>
          <w:rPr>
            <w:rStyle w:val="Hyperlink"/>
            <w:noProof/>
          </w:rPr>
          <w:t>Artikel 11</w:t>
        </w:r>
        <w:r>
          <w:rPr>
            <w:noProof/>
            <w:webHidden/>
          </w:rPr>
          <w:tab/>
        </w:r>
        <w:r>
          <w:rPr>
            <w:noProof/>
            <w:webHidden/>
          </w:rPr>
          <w:fldChar w:fldCharType="begin"/>
        </w:r>
        <w:r>
          <w:rPr>
            <w:noProof/>
            <w:webHidden/>
          </w:rPr>
          <w:instrText xml:space="preserve"> PAGEREF _Toc378161208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09" w:history="1">
        <w:r>
          <w:rPr>
            <w:rStyle w:val="Hyperlink"/>
            <w:noProof/>
          </w:rPr>
          <w:t>Artikel 12</w:t>
        </w:r>
        <w:r>
          <w:rPr>
            <w:noProof/>
            <w:webHidden/>
          </w:rPr>
          <w:tab/>
        </w:r>
        <w:r>
          <w:rPr>
            <w:noProof/>
            <w:webHidden/>
          </w:rPr>
          <w:fldChar w:fldCharType="begin"/>
        </w:r>
        <w:r>
          <w:rPr>
            <w:noProof/>
            <w:webHidden/>
          </w:rPr>
          <w:instrText xml:space="preserve"> PAGEREF _Toc378161209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0" w:history="1">
        <w:r>
          <w:rPr>
            <w:rStyle w:val="Hyperlink"/>
            <w:noProof/>
          </w:rPr>
          <w:t>Kapitel VI – Ständiger Ausschuß</w:t>
        </w:r>
        <w:r>
          <w:rPr>
            <w:noProof/>
            <w:webHidden/>
          </w:rPr>
          <w:tab/>
        </w:r>
        <w:r>
          <w:rPr>
            <w:noProof/>
            <w:webHidden/>
          </w:rPr>
          <w:fldChar w:fldCharType="begin"/>
        </w:r>
        <w:r>
          <w:rPr>
            <w:noProof/>
            <w:webHidden/>
          </w:rPr>
          <w:instrText xml:space="preserve"> PAGEREF _Toc378161210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1" w:history="1">
        <w:r>
          <w:rPr>
            <w:rStyle w:val="Hyperlink"/>
            <w:noProof/>
          </w:rPr>
          <w:t>Artikel 13</w:t>
        </w:r>
        <w:r>
          <w:rPr>
            <w:noProof/>
            <w:webHidden/>
          </w:rPr>
          <w:tab/>
        </w:r>
        <w:r>
          <w:rPr>
            <w:noProof/>
            <w:webHidden/>
          </w:rPr>
          <w:fldChar w:fldCharType="begin"/>
        </w:r>
        <w:r>
          <w:rPr>
            <w:noProof/>
            <w:webHidden/>
          </w:rPr>
          <w:instrText xml:space="preserve"> PAGEREF _Toc378161211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2" w:history="1">
        <w:r>
          <w:rPr>
            <w:rStyle w:val="Hyperlink"/>
            <w:noProof/>
          </w:rPr>
          <w:t>Artikel 14</w:t>
        </w:r>
        <w:r>
          <w:rPr>
            <w:noProof/>
            <w:webHidden/>
          </w:rPr>
          <w:tab/>
        </w:r>
        <w:r>
          <w:rPr>
            <w:noProof/>
            <w:webHidden/>
          </w:rPr>
          <w:fldChar w:fldCharType="begin"/>
        </w:r>
        <w:r>
          <w:rPr>
            <w:noProof/>
            <w:webHidden/>
          </w:rPr>
          <w:instrText xml:space="preserve"> PAGEREF _Toc378161212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3" w:history="1">
        <w:r>
          <w:rPr>
            <w:rStyle w:val="Hyperlink"/>
            <w:noProof/>
          </w:rPr>
          <w:t>Artikel 15</w:t>
        </w:r>
        <w:r>
          <w:rPr>
            <w:noProof/>
            <w:webHidden/>
          </w:rPr>
          <w:tab/>
        </w:r>
        <w:r>
          <w:rPr>
            <w:noProof/>
            <w:webHidden/>
          </w:rPr>
          <w:fldChar w:fldCharType="begin"/>
        </w:r>
        <w:r>
          <w:rPr>
            <w:noProof/>
            <w:webHidden/>
          </w:rPr>
          <w:instrText xml:space="preserve"> PAGEREF _Toc378161213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4" w:history="1">
        <w:r>
          <w:rPr>
            <w:rStyle w:val="Hyperlink"/>
            <w:noProof/>
          </w:rPr>
          <w:t>Kapitel VII – Änderungen</w:t>
        </w:r>
        <w:r>
          <w:rPr>
            <w:noProof/>
            <w:webHidden/>
          </w:rPr>
          <w:tab/>
        </w:r>
        <w:r>
          <w:rPr>
            <w:noProof/>
            <w:webHidden/>
          </w:rPr>
          <w:fldChar w:fldCharType="begin"/>
        </w:r>
        <w:r>
          <w:rPr>
            <w:noProof/>
            <w:webHidden/>
          </w:rPr>
          <w:instrText xml:space="preserve"> PAGEREF _Toc378161214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5" w:history="1">
        <w:r>
          <w:rPr>
            <w:rStyle w:val="Hyperlink"/>
            <w:noProof/>
          </w:rPr>
          <w:t>Artikel 16</w:t>
        </w:r>
        <w:r>
          <w:rPr>
            <w:noProof/>
            <w:webHidden/>
          </w:rPr>
          <w:tab/>
        </w:r>
        <w:r>
          <w:rPr>
            <w:noProof/>
            <w:webHidden/>
          </w:rPr>
          <w:fldChar w:fldCharType="begin"/>
        </w:r>
        <w:r>
          <w:rPr>
            <w:noProof/>
            <w:webHidden/>
          </w:rPr>
          <w:instrText xml:space="preserve"> PAGEREF _Toc378161215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6" w:history="1">
        <w:r>
          <w:rPr>
            <w:rStyle w:val="Hyperlink"/>
            <w:noProof/>
          </w:rPr>
          <w:t>Artikel 17</w:t>
        </w:r>
        <w:r>
          <w:rPr>
            <w:noProof/>
            <w:webHidden/>
          </w:rPr>
          <w:tab/>
        </w:r>
        <w:r>
          <w:rPr>
            <w:noProof/>
            <w:webHidden/>
          </w:rPr>
          <w:fldChar w:fldCharType="begin"/>
        </w:r>
        <w:r>
          <w:rPr>
            <w:noProof/>
            <w:webHidden/>
          </w:rPr>
          <w:instrText xml:space="preserve"> PAGEREF _Toc378161216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7" w:history="1">
        <w:r>
          <w:rPr>
            <w:rStyle w:val="Hyperlink"/>
            <w:noProof/>
          </w:rPr>
          <w:t>Kapitel VIII – Beilegung von Streitigkeiten</w:t>
        </w:r>
        <w:r>
          <w:rPr>
            <w:noProof/>
            <w:webHidden/>
          </w:rPr>
          <w:tab/>
        </w:r>
        <w:r>
          <w:rPr>
            <w:noProof/>
            <w:webHidden/>
          </w:rPr>
          <w:fldChar w:fldCharType="begin"/>
        </w:r>
        <w:r>
          <w:rPr>
            <w:noProof/>
            <w:webHidden/>
          </w:rPr>
          <w:instrText xml:space="preserve"> PAGEREF _Toc378161217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8" w:history="1">
        <w:r>
          <w:rPr>
            <w:rStyle w:val="Hyperlink"/>
            <w:noProof/>
          </w:rPr>
          <w:t>Artikel 18</w:t>
        </w:r>
        <w:r>
          <w:rPr>
            <w:noProof/>
            <w:webHidden/>
          </w:rPr>
          <w:tab/>
        </w:r>
        <w:r>
          <w:rPr>
            <w:noProof/>
            <w:webHidden/>
          </w:rPr>
          <w:fldChar w:fldCharType="begin"/>
        </w:r>
        <w:r>
          <w:rPr>
            <w:noProof/>
            <w:webHidden/>
          </w:rPr>
          <w:instrText xml:space="preserve"> PAGEREF _Toc378161218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19" w:history="1">
        <w:r>
          <w:rPr>
            <w:rStyle w:val="Hyperlink"/>
            <w:noProof/>
          </w:rPr>
          <w:t>Kapitel IX – Schlußbestimmungen</w:t>
        </w:r>
        <w:r>
          <w:rPr>
            <w:noProof/>
            <w:webHidden/>
          </w:rPr>
          <w:tab/>
        </w:r>
        <w:r>
          <w:rPr>
            <w:noProof/>
            <w:webHidden/>
          </w:rPr>
          <w:fldChar w:fldCharType="begin"/>
        </w:r>
        <w:r>
          <w:rPr>
            <w:noProof/>
            <w:webHidden/>
          </w:rPr>
          <w:instrText xml:space="preserve"> PAGEREF _Toc378161219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0" w:history="1">
        <w:r>
          <w:rPr>
            <w:rStyle w:val="Hyperlink"/>
            <w:noProof/>
          </w:rPr>
          <w:t>Artikel 19</w:t>
        </w:r>
        <w:r>
          <w:rPr>
            <w:noProof/>
            <w:webHidden/>
          </w:rPr>
          <w:tab/>
        </w:r>
        <w:r>
          <w:rPr>
            <w:noProof/>
            <w:webHidden/>
          </w:rPr>
          <w:fldChar w:fldCharType="begin"/>
        </w:r>
        <w:r>
          <w:rPr>
            <w:noProof/>
            <w:webHidden/>
          </w:rPr>
          <w:instrText xml:space="preserve"> PAGEREF _Toc378161220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1" w:history="1">
        <w:r>
          <w:rPr>
            <w:rStyle w:val="Hyperlink"/>
            <w:noProof/>
          </w:rPr>
          <w:t>Artikel 20</w:t>
        </w:r>
        <w:r>
          <w:rPr>
            <w:noProof/>
            <w:webHidden/>
          </w:rPr>
          <w:tab/>
        </w:r>
        <w:r>
          <w:rPr>
            <w:noProof/>
            <w:webHidden/>
          </w:rPr>
          <w:fldChar w:fldCharType="begin"/>
        </w:r>
        <w:r>
          <w:rPr>
            <w:noProof/>
            <w:webHidden/>
          </w:rPr>
          <w:instrText xml:space="preserve"> PAGEREF _Toc378161221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2" w:history="1">
        <w:r>
          <w:rPr>
            <w:rStyle w:val="Hyperlink"/>
            <w:noProof/>
          </w:rPr>
          <w:t>Artikel 21</w:t>
        </w:r>
        <w:r>
          <w:rPr>
            <w:noProof/>
            <w:webHidden/>
          </w:rPr>
          <w:tab/>
        </w:r>
        <w:r>
          <w:rPr>
            <w:noProof/>
            <w:webHidden/>
          </w:rPr>
          <w:fldChar w:fldCharType="begin"/>
        </w:r>
        <w:r>
          <w:rPr>
            <w:noProof/>
            <w:webHidden/>
          </w:rPr>
          <w:instrText xml:space="preserve"> PAGEREF _Toc378161222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3" w:history="1">
        <w:r>
          <w:rPr>
            <w:rStyle w:val="Hyperlink"/>
            <w:noProof/>
          </w:rPr>
          <w:t>Artikel 22</w:t>
        </w:r>
        <w:r>
          <w:rPr>
            <w:noProof/>
            <w:webHidden/>
          </w:rPr>
          <w:tab/>
        </w:r>
        <w:r>
          <w:rPr>
            <w:noProof/>
            <w:webHidden/>
          </w:rPr>
          <w:fldChar w:fldCharType="begin"/>
        </w:r>
        <w:r>
          <w:rPr>
            <w:noProof/>
            <w:webHidden/>
          </w:rPr>
          <w:instrText xml:space="preserve"> PAGEREF _Toc378161223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4" w:history="1">
        <w:r>
          <w:rPr>
            <w:rStyle w:val="Hyperlink"/>
            <w:noProof/>
          </w:rPr>
          <w:t>Artikel 23</w:t>
        </w:r>
        <w:r>
          <w:rPr>
            <w:noProof/>
            <w:webHidden/>
          </w:rPr>
          <w:tab/>
        </w:r>
        <w:r>
          <w:rPr>
            <w:noProof/>
            <w:webHidden/>
          </w:rPr>
          <w:fldChar w:fldCharType="begin"/>
        </w:r>
        <w:r>
          <w:rPr>
            <w:noProof/>
            <w:webHidden/>
          </w:rPr>
          <w:instrText xml:space="preserve"> PAGEREF _Toc378161224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61225" w:history="1">
        <w:r>
          <w:rPr>
            <w:rStyle w:val="Hyperlink"/>
            <w:noProof/>
          </w:rPr>
          <w:t>Artikel 24</w:t>
        </w:r>
        <w:r>
          <w:rPr>
            <w:noProof/>
            <w:webHidden/>
          </w:rPr>
          <w:tab/>
        </w:r>
        <w:r>
          <w:rPr>
            <w:noProof/>
            <w:webHidden/>
          </w:rPr>
          <w:fldChar w:fldCharType="begin"/>
        </w:r>
        <w:r>
          <w:rPr>
            <w:noProof/>
            <w:webHidden/>
          </w:rPr>
          <w:instrText xml:space="preserve"> PAGEREF _Toc378161225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jc w:val="left"/>
      </w:pPr>
      <w:bookmarkStart w:id="2" w:name="_Toc378161192"/>
      <w:r>
        <w:t>Präambel</w:t>
      </w:r>
      <w:bookmarkEnd w:id="2"/>
    </w:p>
    <w:p>
      <w:pPr>
        <w:pStyle w:val="GesAbsatz"/>
      </w:pPr>
      <w:r>
        <w:t>Die Mitgliedstaaten des Europarats und die anderen Unterzeichner dieses Übereinkommens,</w:t>
      </w:r>
    </w:p>
    <w:p>
      <w:pPr>
        <w:pStyle w:val="GesAbsatz"/>
      </w:pPr>
      <w:r>
        <w:t>in der Erwägung, daß es das Ziel des Europarats ist, eine engere Verbindung zwischen seinen Mitgliedern herbeizuführen;</w:t>
      </w:r>
    </w:p>
    <w:p>
      <w:pPr>
        <w:pStyle w:val="GesAbsatz"/>
      </w:pPr>
      <w:r>
        <w:t>in Anbetracht des Wunsches des Europarats, auf dem Gebiet des Naturschutzes mit anderen Staaten zusammenzuarbeiten;</w:t>
      </w:r>
    </w:p>
    <w:p>
      <w:pPr>
        <w:pStyle w:val="GesAbsatz"/>
      </w:pPr>
      <w:r>
        <w:lastRenderedPageBreak/>
        <w:t>in der Erkenntnis, daß wildlebende Pflanzen und Tiere ein Naturerbe von ästhetischem, wissenschaftlichem, kulturellem, erholungsbezogenem, wirtschaftlichem und ideellem Wert darstellen, das erhalten und an künftige Generationen weitergegeben werden muß;</w:t>
      </w:r>
    </w:p>
    <w:p>
      <w:pPr>
        <w:pStyle w:val="GesAbsatz"/>
      </w:pPr>
      <w:r>
        <w:t>in Anerkennung der wesentlichen Rolle, die wildlebende Pflanzen und Tiere bei der Erhaltung biologischer Gleichgewichte spielen;</w:t>
      </w:r>
    </w:p>
    <w:p>
      <w:pPr>
        <w:pStyle w:val="GesAbsatz"/>
      </w:pPr>
      <w:r>
        <w:t>in Anbetracht dessen, daß sich der Bestand vieler Arten wildlebender Pflanzen und Tiere erheblich verringert und daß einige Arten vom Aussterben bedroht sind;</w:t>
      </w:r>
    </w:p>
    <w:p>
      <w:pPr>
        <w:pStyle w:val="GesAbsatz"/>
      </w:pPr>
      <w:r>
        <w:t>in dem Bewußtsein, daß die Erhaltung natürlicher Lebensräume ein lebenswichtiges Element des Schutzes und der Erhaltung wildlebender Pflanzen und Tiere darstellt;</w:t>
      </w:r>
    </w:p>
    <w:p>
      <w:pPr>
        <w:pStyle w:val="GesAbsatz"/>
      </w:pPr>
      <w:r>
        <w:t>in der Erkenntnis, daß die Erhaltung wildlebender Pflanzen und Tiere von den Regierungen bei der Festlegung ihrer nationalen Ziele und Programme berücksichtigt und eine internationale Zusammenarbeit zum Schutz insbesondere der wandernden Arten herbeigeführt werden sollte;</w:t>
      </w:r>
    </w:p>
    <w:p>
      <w:pPr>
        <w:pStyle w:val="GesAbsatz"/>
      </w:pPr>
      <w:r>
        <w:t>eingedenk dessen, daß Regierungen oder internationale Gremien, vor allem die Konferenz der Vereinten Nationen von 1972 über die Umwelt des Menschen und die Beratende Versammlung des Europarats, in zahlreichen Forderungen ein gemeinsames Vorgehen verlangt haben;</w:t>
      </w:r>
    </w:p>
    <w:p>
      <w:pPr>
        <w:pStyle w:val="GesAbsatz"/>
      </w:pPr>
      <w:r>
        <w:t>insbesondere in dem Wunsch, im Bereich der Erhaltung wildlebender Pflanzen und Tiere die in der Entschließung Nr. 2 der Zweiten Europäischen Ministerkonferenz über die Umwelt ausgesprochenen Empfehlungen zu befolgen,</w:t>
      </w:r>
    </w:p>
    <w:p>
      <w:pPr>
        <w:pStyle w:val="GesAbsatz"/>
      </w:pPr>
      <w:r>
        <w:t>sind wie folgt übereingekommen:</w:t>
      </w:r>
    </w:p>
    <w:p>
      <w:pPr>
        <w:pStyle w:val="berschrift2"/>
        <w:jc w:val="left"/>
      </w:pPr>
      <w:bookmarkStart w:id="3" w:name="_Toc378161193"/>
      <w:r>
        <w:t>Kapitel I – Allgemeine Bestimmungen</w:t>
      </w:r>
      <w:bookmarkEnd w:id="3"/>
    </w:p>
    <w:p>
      <w:pPr>
        <w:pStyle w:val="berschrift2"/>
        <w:jc w:val="left"/>
      </w:pPr>
      <w:bookmarkStart w:id="4" w:name="_Toc378161194"/>
      <w:r>
        <w:t>Artikel 1</w:t>
      </w:r>
      <w:bookmarkEnd w:id="4"/>
    </w:p>
    <w:p>
      <w:pPr>
        <w:pStyle w:val="GesAbsatz"/>
        <w:ind w:left="426" w:hanging="426"/>
      </w:pPr>
      <w:r>
        <w:t>1.</w:t>
      </w:r>
      <w:r>
        <w:tab/>
        <w:t>Ziel dieses Übereinkommens ist es, wildlebende Pflanzen und Tiere sowie ihre natürlichen Lebensräume, insbesondere die Arten und Lebensräume, deren Erhaltung die Zusammenarbeit mehrerer Staaten erfordert, zu erhalten und eine solche Zusammenarbeit zu fördern.</w:t>
      </w:r>
    </w:p>
    <w:p>
      <w:pPr>
        <w:pStyle w:val="GesAbsatz"/>
        <w:ind w:left="426" w:hanging="426"/>
      </w:pPr>
      <w:r>
        <w:t>2.</w:t>
      </w:r>
      <w:r>
        <w:tab/>
        <w:t>Besondere Aufmerksamkeit gilt den gefährdeten und den empfindlichen Arten einschließlich der gefährdeten und der empfindlichen wandernden Arten.</w:t>
      </w:r>
    </w:p>
    <w:p>
      <w:pPr>
        <w:pStyle w:val="berschrift2"/>
        <w:jc w:val="left"/>
      </w:pPr>
      <w:bookmarkStart w:id="5" w:name="_Toc378161195"/>
      <w:r>
        <w:t>Artikel 2</w:t>
      </w:r>
      <w:bookmarkEnd w:id="5"/>
    </w:p>
    <w:p>
      <w:pPr>
        <w:pStyle w:val="GesAbsatz"/>
      </w:pPr>
      <w:r>
        <w:t>Die Vertragsparteien ergreifen die erforderlichen Maßnahmen, um die Population der wildlebenden Pflanzen und Tiere auf einem Stand zu erhalten oder auf einen Stand zu bringen, der insbesondere den ökologischen, wissenschaftlichen und kulturellen Erfordernissen entspricht, wobei den wirtschaftlichen und erholungsbezogenen Erfordernissen und den Bedürfnissen von örtlich bedrohten Unterarten, Varietäten oder Formen Rechnung getragen wird.</w:t>
      </w:r>
    </w:p>
    <w:p>
      <w:pPr>
        <w:pStyle w:val="berschrift2"/>
        <w:jc w:val="left"/>
      </w:pPr>
      <w:bookmarkStart w:id="6" w:name="_Toc378161196"/>
      <w:r>
        <w:t>Artikel 3</w:t>
      </w:r>
      <w:bookmarkEnd w:id="6"/>
    </w:p>
    <w:p>
      <w:pPr>
        <w:pStyle w:val="GesAbsatz"/>
        <w:ind w:left="426" w:hanging="426"/>
      </w:pPr>
      <w:r>
        <w:t>1.</w:t>
      </w:r>
      <w:r>
        <w:tab/>
        <w:t>Im Einklang mit diesem Übereinkommen unternimmt jede Vertragspartei die notwendigen Schritte, um die nationale Politik zur Erhaltung wildlebender Pflanzen und Tiere sowie ihrer natürlichen Lebensräume zu fördern, wobei den gefährdeten und den empfindlichen Arten, vor allem den endemischen Arten, sowie den gefährdeten Lebensräumen besondere Aufmerksamkeit zugewendet wird.</w:t>
      </w:r>
    </w:p>
    <w:p>
      <w:pPr>
        <w:pStyle w:val="GesAbsatz"/>
        <w:ind w:left="426" w:hanging="426"/>
      </w:pPr>
      <w:r>
        <w:t>2.</w:t>
      </w:r>
      <w:r>
        <w:tab/>
        <w:t>Jede Vertragspartei verpflichtet sich, bei ihrer Planungs- und Entwicklungspolitik sowie bei ihren Maßnahmen gegen die Umweltverschmutzung die Erhaltung wildlebender Pflanzen und Tiere zu berücksichtigen.</w:t>
      </w:r>
    </w:p>
    <w:p>
      <w:pPr>
        <w:pStyle w:val="GesAbsatz"/>
        <w:ind w:left="426" w:hanging="426"/>
      </w:pPr>
      <w:r>
        <w:t>3.</w:t>
      </w:r>
      <w:r>
        <w:tab/>
        <w:t>Jede Vertragspartei fördert die Erziehung und die Verbreitung allgemeiner Informationen in bezug auf die Notwendigkeit, wildlebende Pflanzen und Tierarten sowie ihre Lebensräume zu erhalten.</w:t>
      </w:r>
    </w:p>
    <w:p>
      <w:pPr>
        <w:pStyle w:val="berschrift2"/>
        <w:jc w:val="left"/>
      </w:pPr>
      <w:bookmarkStart w:id="7" w:name="_Toc378161197"/>
      <w:r>
        <w:t>Kapitel II – Schutz von Lebensräumen</w:t>
      </w:r>
      <w:bookmarkEnd w:id="7"/>
    </w:p>
    <w:p>
      <w:pPr>
        <w:pStyle w:val="berschrift2"/>
        <w:jc w:val="left"/>
      </w:pPr>
      <w:bookmarkStart w:id="8" w:name="_Toc378161198"/>
      <w:r>
        <w:t>Artikel 4</w:t>
      </w:r>
      <w:bookmarkEnd w:id="8"/>
    </w:p>
    <w:p>
      <w:pPr>
        <w:pStyle w:val="GesAbsatz"/>
        <w:ind w:left="426" w:hanging="426"/>
      </w:pPr>
      <w:r>
        <w:t>1.</w:t>
      </w:r>
      <w:r>
        <w:tab/>
        <w:t>Jede Vertragspartei ergreift die geeigneten und erforderlichen gesetzgeberischen und Verwaltungsmaßnahmen, um die Erhaltung der Lebensräume wildlebender Pflanzen- und Tierarten, insbesondere der in den Anhängen I und II genannten Arten, sowie die Erhaltung gefährdeter natürlicher Lebensräume sicherzustellen.</w:t>
      </w:r>
    </w:p>
    <w:p>
      <w:pPr>
        <w:pStyle w:val="GesAbsatz"/>
        <w:ind w:left="426" w:hanging="426"/>
      </w:pPr>
      <w:r>
        <w:lastRenderedPageBreak/>
        <w:t>2.</w:t>
      </w:r>
      <w:r>
        <w:tab/>
        <w:t>Die Vertragsparteien berücksichtigen bei ihrer Planungs- und Entwicklungspolitik die Erfordernisse der Erhaltung der nach Absatz 1 geschützten Gebiete, um jede Beeinträchtigung dieser Gebiete zu vermeiden oder so gering wie möglich zu halten.</w:t>
      </w:r>
    </w:p>
    <w:p>
      <w:pPr>
        <w:pStyle w:val="GesAbsatz"/>
        <w:ind w:left="426" w:hanging="426"/>
      </w:pPr>
      <w:r>
        <w:t>3.</w:t>
      </w:r>
      <w:r>
        <w:tab/>
        <w:t>Die Vertragsparteien verpflichten sich, besondere Aufmerksamkeit dem Schutz derjenigen Gebiete zuzuwenden, die für die in den Anhängen II und III aufgeführten wandernden Arten von Bedeutung sind und die als Überwinterungs-, Sammel-, Futter-, Brut- oder Mauserplätze im Verhältnis zu den Wanderrouten günstig gelegen sind.</w:t>
      </w:r>
    </w:p>
    <w:p>
      <w:pPr>
        <w:pStyle w:val="GesAbsatz"/>
        <w:ind w:left="426" w:hanging="426"/>
      </w:pPr>
      <w:r>
        <w:t>4.</w:t>
      </w:r>
      <w:r>
        <w:tab/>
        <w:t>Die Vertragsparteien verpflichten sich, ihre Bemühungen um den Schutz der in diesem Artikel bezeichneten natürlichen Lebensräume, wenn diese in Grenzgebieten liegen, soweit erforderlich zu koordinieren.</w:t>
      </w:r>
    </w:p>
    <w:p>
      <w:pPr>
        <w:pStyle w:val="berschrift2"/>
        <w:jc w:val="left"/>
      </w:pPr>
      <w:bookmarkStart w:id="9" w:name="_Toc378161199"/>
      <w:r>
        <w:t>Kapitel III – Artenschutz</w:t>
      </w:r>
      <w:bookmarkEnd w:id="9"/>
    </w:p>
    <w:p>
      <w:pPr>
        <w:pStyle w:val="berschrift2"/>
        <w:jc w:val="left"/>
      </w:pPr>
      <w:bookmarkStart w:id="10" w:name="_Toc378161200"/>
      <w:r>
        <w:t>Artikel 5</w:t>
      </w:r>
      <w:bookmarkEnd w:id="10"/>
    </w:p>
    <w:p>
      <w:pPr>
        <w:pStyle w:val="GesAbsatz"/>
      </w:pPr>
      <w:r>
        <w:t>Jede Vertragspartei ergreift die geeigneten und erforderlichen gesetzgeberischen und Verwaltungsmaßnahmen, um den besonderen Schutz der in Anhang I aufgeführten wildlebenden Pflanzenarten sicherzustellen. Es ist zu verbieten, diese Pflanzen absichtlich zu pflücken, zu sammeln, abzuschneiden, auszugraben oder auszureißen. Jede Vertragspartei verbietet soweit erforderlich den Besitz oder den Verkauf dieser Arten.</w:t>
      </w:r>
    </w:p>
    <w:p>
      <w:pPr>
        <w:pStyle w:val="berschrift2"/>
        <w:jc w:val="left"/>
      </w:pPr>
      <w:bookmarkStart w:id="11" w:name="_Toc378161201"/>
      <w:r>
        <w:t>Artikel 6</w:t>
      </w:r>
      <w:bookmarkEnd w:id="11"/>
    </w:p>
    <w:p>
      <w:pPr>
        <w:pStyle w:val="GesAbsatz"/>
      </w:pPr>
      <w:r>
        <w:t>Jede Vertragspartei ergreift die geeigneten und erforderlichen gesetzgeberischen und Verwaltungsmaßnahmen, um den besonderen Schutz der in Anhang II aufgeführten wildlebenden Tierarten sicherzustellen. In bezug auf diese Arten ist insbesondere zu verbieten:</w:t>
      </w:r>
    </w:p>
    <w:p>
      <w:pPr>
        <w:pStyle w:val="GesAbsatz"/>
      </w:pPr>
      <w:r>
        <w:t>a.</w:t>
      </w:r>
      <w:r>
        <w:tab/>
        <w:t>jede Form des absichtlichen Fangens, des Haltens und des absichtlichen Tötens;</w:t>
      </w:r>
    </w:p>
    <w:p>
      <w:pPr>
        <w:pStyle w:val="GesAbsatz"/>
      </w:pPr>
      <w:r>
        <w:t>b.</w:t>
      </w:r>
      <w:r>
        <w:tab/>
        <w:t>das mutwillige Beschädigen oder Zerstören von Brut- oder Raststätten;</w:t>
      </w:r>
    </w:p>
    <w:p>
      <w:pPr>
        <w:pStyle w:val="GesAbsatz"/>
        <w:ind w:left="426" w:hanging="426"/>
      </w:pPr>
      <w:r>
        <w:t>c.</w:t>
      </w:r>
      <w:r>
        <w:tab/>
        <w:t>das mutwillige Beunruhigen wildlebender Tiere, vor allem während der Zeit des Brütens, der Aufzucht der Jungen und des Überwinterns, soweit dieses Beunruhigen in bezug auf die Ziele dieses Übereinkommens von Bedeutung ist;</w:t>
      </w:r>
    </w:p>
    <w:p>
      <w:pPr>
        <w:pStyle w:val="GesAbsatz"/>
        <w:ind w:left="426" w:hanging="426"/>
      </w:pPr>
      <w:r>
        <w:t>d.</w:t>
      </w:r>
      <w:r>
        <w:tab/>
        <w:t>das mutwillige Zerstören oder absichtliche Entnehmen von Eiern aus der Natur oder der Besitz dieser Eier, auch wenn sie leer sind;</w:t>
      </w:r>
    </w:p>
    <w:p>
      <w:pPr>
        <w:pStyle w:val="GesAbsatz"/>
        <w:ind w:left="426" w:hanging="426"/>
      </w:pPr>
      <w:r>
        <w:t>e.</w:t>
      </w:r>
      <w:r>
        <w:tab/>
        <w:t>der Besitz von oder der innerstaatliche Handel mit lebenden oder toten Tieren einschließlich ausgestopfter Tiere und ohne weiteres erkennbarer Teile dieser Tiere oder ohne weiteres erkennbarer Erzeugnisse aus diesen Tieren, soweit dies zur Wirksamkeit dieses Artikels beiträgt.</w:t>
      </w:r>
    </w:p>
    <w:p>
      <w:pPr>
        <w:pStyle w:val="berschrift2"/>
        <w:jc w:val="left"/>
      </w:pPr>
      <w:bookmarkStart w:id="12" w:name="_Toc378161202"/>
      <w:r>
        <w:t>Artikel 7</w:t>
      </w:r>
      <w:bookmarkEnd w:id="12"/>
    </w:p>
    <w:p>
      <w:pPr>
        <w:pStyle w:val="GesAbsatz"/>
        <w:ind w:left="426" w:hanging="426"/>
      </w:pPr>
      <w:r>
        <w:t>1.</w:t>
      </w:r>
      <w:r>
        <w:tab/>
        <w:t>Jede Vertragspartei ergreift die geeigneten und erforderlichen gesetzgeberischen und Verwaltungsmaßnahmen, um den Schutz der in Anhang III aufgeführten wildlebenden Tierarten sicherzustellen.</w:t>
      </w:r>
    </w:p>
    <w:p>
      <w:pPr>
        <w:pStyle w:val="GesAbsatz"/>
        <w:ind w:left="426" w:hanging="426"/>
      </w:pPr>
      <w:r>
        <w:t>2.</w:t>
      </w:r>
      <w:r>
        <w:tab/>
        <w:t>Jegliche Nutzung der in Anhang III aufgeführten wildlebenden Tiere wird so geregelt, daß die Populationen in ihrem Bestand nicht gefährdet werden, wobei Artikel 2 Rechnung zu tragen ist.</w:t>
      </w:r>
    </w:p>
    <w:p>
      <w:pPr>
        <w:pStyle w:val="GesAbsatz"/>
      </w:pPr>
      <w:r>
        <w:t>3.</w:t>
      </w:r>
      <w:r>
        <w:tab/>
        <w:t>Diese Maßnahmen umfassen unter anderem:</w:t>
      </w:r>
    </w:p>
    <w:p>
      <w:pPr>
        <w:pStyle w:val="GesAbsatz"/>
        <w:ind w:left="851" w:hanging="425"/>
      </w:pPr>
      <w:r>
        <w:t>a.</w:t>
      </w:r>
      <w:r>
        <w:tab/>
        <w:t>Schonzeiten und/oder andere Verfahren zur Regelung der Nutzung;</w:t>
      </w:r>
    </w:p>
    <w:p>
      <w:pPr>
        <w:pStyle w:val="GesAbsatz"/>
        <w:ind w:left="851" w:hanging="425"/>
      </w:pPr>
      <w:r>
        <w:t>b.</w:t>
      </w:r>
      <w:r>
        <w:tab/>
        <w:t>gegebenenfalls ein zeitweiliges oder örtlich begrenztes Nutzungsverbot zur Wiederherstellung eines zufriedenstellenden Populationsstandes;</w:t>
      </w:r>
    </w:p>
    <w:p>
      <w:pPr>
        <w:pStyle w:val="GesAbsatz"/>
        <w:ind w:left="851" w:hanging="425"/>
      </w:pPr>
      <w:r>
        <w:t>c.</w:t>
      </w:r>
      <w:r>
        <w:tab/>
        <w:t>gegebenenfalls die Regelung des Verkaufs lebender und toter wildlebender Tiere, des Haltens solcher Tiere zum Verkauf, des Transports solcher Tiere zu Verkaufszwecken oder des Anbietens solcher Tiere zum Verkauf.</w:t>
      </w:r>
    </w:p>
    <w:p>
      <w:pPr>
        <w:pStyle w:val="berschrift2"/>
        <w:jc w:val="left"/>
      </w:pPr>
      <w:bookmarkStart w:id="13" w:name="_Toc378161203"/>
      <w:r>
        <w:t>Artikel 8</w:t>
      </w:r>
      <w:bookmarkEnd w:id="13"/>
    </w:p>
    <w:p>
      <w:pPr>
        <w:pStyle w:val="GesAbsatz"/>
      </w:pPr>
      <w:r>
        <w:t>Im Zusammenhang mit dem Fangen oder Töten der in Anhang III aufgeführten wildlebenden Tierarten und in Fällen, in denen nach Artikel 9 Ausnahmen für die in Anhang II aufgeführten Arten Anwendung finden, verbieten die Vertragsparteien die Verwendung aller zum wahllosen Fangen und Töten geeigneten Mittel sowie aller Mittel, die gebietsweise zum Verschwinden oder zu einer schweren Beunruhigung von Populationen einer Art führen können; dieses Verbot gilt insbesondere für die in Anhang IV aufgeführten Mittel.</w:t>
      </w:r>
    </w:p>
    <w:p>
      <w:pPr>
        <w:pStyle w:val="berschrift2"/>
        <w:jc w:val="left"/>
      </w:pPr>
      <w:bookmarkStart w:id="14" w:name="_Toc378161204"/>
      <w:r>
        <w:lastRenderedPageBreak/>
        <w:t>Artikel 9</w:t>
      </w:r>
      <w:bookmarkEnd w:id="14"/>
    </w:p>
    <w:p>
      <w:pPr>
        <w:pStyle w:val="GesAbsatz"/>
        <w:ind w:left="426" w:hanging="426"/>
      </w:pPr>
      <w:r>
        <w:t>1.</w:t>
      </w:r>
      <w:r>
        <w:tab/>
        <w:t>Unter der Voraussetzung, daß es keine andere befriedigende Lösung gibt und die Ausnahme dem Bestand der betreffenden Population nicht schadet, kann jede Vertragspartei Ausnahmen von den Artikeln 4, 5, 6, 7 und vom Verbot der Verwendung der in Artikel 8 bezeichneten Mittel zulassen:</w:t>
      </w:r>
    </w:p>
    <w:p>
      <w:pPr>
        <w:pStyle w:val="GesAbsatz"/>
        <w:ind w:left="851" w:hanging="425"/>
      </w:pPr>
      <w:r>
        <w:t>-</w:t>
      </w:r>
      <w:r>
        <w:tab/>
        <w:t>zum Schutz der Pflanzen- und Tierwelt;</w:t>
      </w:r>
    </w:p>
    <w:p>
      <w:pPr>
        <w:pStyle w:val="GesAbsatz"/>
        <w:ind w:left="851" w:hanging="425"/>
      </w:pPr>
      <w:r>
        <w:t>-</w:t>
      </w:r>
      <w:r>
        <w:tab/>
        <w:t>zur Verhütung ernster Schäden an Kulturen, Viehbeständen, Wäldern, Fischgründen, Gewässern und anderem Eigentum;</w:t>
      </w:r>
    </w:p>
    <w:p>
      <w:pPr>
        <w:pStyle w:val="GesAbsatz"/>
        <w:ind w:left="851" w:hanging="425"/>
      </w:pPr>
      <w:r>
        <w:t>-</w:t>
      </w:r>
      <w:r>
        <w:tab/>
        <w:t>im Interesse der öffentlichen Gesundheit und Sicherheit, der Sicherheit der Luftfahrt oder anderer vorrangiger öffentlicher Belange;</w:t>
      </w:r>
    </w:p>
    <w:p>
      <w:pPr>
        <w:pStyle w:val="GesAbsatz"/>
        <w:ind w:left="851" w:hanging="425"/>
      </w:pPr>
      <w:r>
        <w:t>-</w:t>
      </w:r>
      <w:r>
        <w:tab/>
        <w:t>für Zwecke der Forschung und Erziehung, der Bestandsauffrischung, der Wiederansiedlung und der Aufzucht;</w:t>
      </w:r>
    </w:p>
    <w:p>
      <w:pPr>
        <w:pStyle w:val="GesAbsatz"/>
        <w:ind w:left="851" w:hanging="425"/>
      </w:pPr>
      <w:r>
        <w:t>-</w:t>
      </w:r>
      <w:r>
        <w:tab/>
        <w:t>um unter streng überwachten Bedingungen selektiv und in begrenztem Umfang das Fangen, das Halten oder eine andere vernünftige Nutzung bestimmter wildlebender Tiere und Pflanzen in geringen Mengen zu gestatten.</w:t>
      </w:r>
    </w:p>
    <w:p>
      <w:pPr>
        <w:pStyle w:val="GesAbsatz"/>
        <w:ind w:left="426" w:hanging="426"/>
      </w:pPr>
      <w:r>
        <w:t>2.</w:t>
      </w:r>
      <w:r>
        <w:tab/>
        <w:t>Die Vertragsparteien erstatten dem Ständigen Ausschuß alle zwei Jahre über die nach Absatz 1 zugelassenen Ausnahmen Bericht. Diese Berichte müssen enthalten:</w:t>
      </w:r>
    </w:p>
    <w:p>
      <w:pPr>
        <w:pStyle w:val="GesAbsatz"/>
        <w:ind w:left="851" w:hanging="425"/>
      </w:pPr>
      <w:r>
        <w:t>-</w:t>
      </w:r>
      <w:r>
        <w:tab/>
        <w:t>die Populationen, die von den Ausnahmen erfaßt wurden oder werden, und, falls möglich, die Anzahl der betroffenen Exemplare;</w:t>
      </w:r>
    </w:p>
    <w:p>
      <w:pPr>
        <w:pStyle w:val="GesAbsatz"/>
        <w:ind w:left="851" w:hanging="425"/>
      </w:pPr>
      <w:r>
        <w:t>-</w:t>
      </w:r>
      <w:r>
        <w:tab/>
        <w:t>die für das Töten oder Fangen zugelassenen Mittel;</w:t>
      </w:r>
    </w:p>
    <w:p>
      <w:pPr>
        <w:pStyle w:val="GesAbsatz"/>
        <w:ind w:left="851" w:hanging="425"/>
      </w:pPr>
      <w:r>
        <w:t>-</w:t>
      </w:r>
      <w:r>
        <w:tab/>
        <w:t>die Art der Risiken und die zeitlichen und örtlichen Umstände, unter denen solche Ausnahmen zugelassen wurden;</w:t>
      </w:r>
    </w:p>
    <w:p>
      <w:pPr>
        <w:pStyle w:val="GesAbsatz"/>
        <w:ind w:left="851" w:hanging="425"/>
      </w:pPr>
      <w:r>
        <w:t>-</w:t>
      </w:r>
      <w:r>
        <w:tab/>
        <w:t>die Behörde, die befugt ist, zu erklären, daß die Voraussetzungen für die Ausnahmen erfüllt sind, und die befugt ist, Beschlüsse in bezug auf die zu verwendenden Mittel, ihre Grenzen und die mit der Durchführung beauftragten Personen zu fassen;</w:t>
      </w:r>
    </w:p>
    <w:p>
      <w:pPr>
        <w:pStyle w:val="GesAbsatz"/>
        <w:ind w:left="851" w:hanging="425"/>
      </w:pPr>
      <w:r>
        <w:t>-</w:t>
      </w:r>
      <w:r>
        <w:tab/>
        <w:t>die Kontrollmaßnahmen.</w:t>
      </w:r>
    </w:p>
    <w:p>
      <w:pPr>
        <w:pStyle w:val="berschrift2"/>
        <w:jc w:val="left"/>
      </w:pPr>
      <w:bookmarkStart w:id="15" w:name="_Toc378161205"/>
      <w:r>
        <w:t>Kapitel IV – Sonderbestimmungen für wandernde Arten</w:t>
      </w:r>
      <w:bookmarkEnd w:id="15"/>
    </w:p>
    <w:p>
      <w:pPr>
        <w:pStyle w:val="berschrift2"/>
        <w:jc w:val="left"/>
      </w:pPr>
      <w:bookmarkStart w:id="16" w:name="_Toc378161206"/>
      <w:r>
        <w:t>Artikel 10</w:t>
      </w:r>
      <w:bookmarkEnd w:id="16"/>
    </w:p>
    <w:p>
      <w:pPr>
        <w:pStyle w:val="GesAbsatz"/>
        <w:ind w:left="426" w:hanging="426"/>
      </w:pPr>
      <w:r>
        <w:t>1.</w:t>
      </w:r>
      <w:r>
        <w:tab/>
        <w:t>Die Vertragsparteien verpflichten sich, zusätzlich zu den in den Artikeln 4, 6, 7 und 8 genannten Maßnahmen ihre Bemühungen um den Schutz der in den Anhängen II und III aufgeführten wandernden Arten, deren Verbreitungsgebiet in ihr Hoheitsgebiet hineinreicht, zu koordinieren.</w:t>
      </w:r>
    </w:p>
    <w:p>
      <w:pPr>
        <w:pStyle w:val="GesAbsatz"/>
        <w:ind w:left="426" w:hanging="426"/>
      </w:pPr>
      <w:r>
        <w:t>2.</w:t>
      </w:r>
      <w:r>
        <w:tab/>
        <w:t>Die Vertragsparteien ergreifen Maßnahmen, um sicherzustellen, daß die nach Artikel 7 Absatz 3 Buchstabe a festgelegten Schonzeiten und/oder anderen Verfahren zur Regelung der Nutzung angemessen und so beschaffen sind, daß sie den Bedürfnissen der in Anhang III aufgeführten wandernden Arten gerecht werden.</w:t>
      </w:r>
    </w:p>
    <w:p>
      <w:pPr>
        <w:pStyle w:val="berschrift2"/>
        <w:jc w:val="left"/>
      </w:pPr>
      <w:bookmarkStart w:id="17" w:name="_Toc378161207"/>
      <w:r>
        <w:t>Kapitel V – Ergänzende Bestimmungen</w:t>
      </w:r>
      <w:bookmarkEnd w:id="17"/>
    </w:p>
    <w:p>
      <w:pPr>
        <w:pStyle w:val="berschrift2"/>
        <w:jc w:val="left"/>
      </w:pPr>
      <w:bookmarkStart w:id="18" w:name="_Toc378161208"/>
      <w:r>
        <w:t>Artikel 11</w:t>
      </w:r>
      <w:bookmarkEnd w:id="18"/>
    </w:p>
    <w:p>
      <w:pPr>
        <w:pStyle w:val="GesAbsatz"/>
      </w:pPr>
      <w:r>
        <w:t>1.</w:t>
      </w:r>
      <w:r>
        <w:tab/>
        <w:t>Die Vertragsparteien verpflichten sich, bei der Durchführung dieses Übereinkommens:</w:t>
      </w:r>
    </w:p>
    <w:p>
      <w:pPr>
        <w:pStyle w:val="GesAbsatz"/>
        <w:ind w:left="851" w:hanging="425"/>
      </w:pPr>
      <w:r>
        <w:t>a.</w:t>
      </w:r>
      <w:r>
        <w:tab/>
        <w:t>soweit zweckdienlich zusammenzuarbeiten, vor allem wenn dies die Wirksamkeit der auf Grund der übrigen Artikel dieses Übereinkommens getroffenen Maßnahmen erhöhen könnte;</w:t>
      </w:r>
    </w:p>
    <w:p>
      <w:pPr>
        <w:pStyle w:val="GesAbsatz"/>
        <w:ind w:left="851" w:hanging="425"/>
      </w:pPr>
      <w:r>
        <w:t>b.</w:t>
      </w:r>
      <w:r>
        <w:tab/>
        <w:t>die den Zwecken dieses Übereinkommens dienenden Forschungsarbeiten zu fördern und zu koordinieren.</w:t>
      </w:r>
    </w:p>
    <w:p>
      <w:pPr>
        <w:pStyle w:val="GesAbsatz"/>
      </w:pPr>
      <w:r>
        <w:t>2.</w:t>
      </w:r>
      <w:r>
        <w:tab/>
        <w:t>Jede Vertragspartei verpflichtet sich:</w:t>
      </w:r>
    </w:p>
    <w:p>
      <w:pPr>
        <w:pStyle w:val="GesAbsatz"/>
        <w:ind w:left="851" w:hanging="425"/>
      </w:pPr>
      <w:r>
        <w:t>a.</w:t>
      </w:r>
      <w:r>
        <w:tab/>
        <w:t>die Wiederansiedlung einheimischer wildlebender Pflanzen- und Tierarten zu fördern, wenn dadurch ein Beitrag zur Erhaltung einer gefährdeten Art geleistet würde, vorausgesetzt, daß zunächst auf der Grundlage der Erfahrungen anderer Vertragsparteien untersucht wird, ob eine solche Wiederansiedlung erfolgreich und vertretbar wäre;</w:t>
      </w:r>
    </w:p>
    <w:p>
      <w:pPr>
        <w:pStyle w:val="GesAbsatz"/>
        <w:ind w:left="851" w:hanging="425"/>
      </w:pPr>
      <w:r>
        <w:t>b.</w:t>
      </w:r>
      <w:r>
        <w:tab/>
      </w:r>
      <w:proofErr w:type="gramStart"/>
      <w:r>
        <w:t>die Ansiedlung</w:t>
      </w:r>
      <w:proofErr w:type="gramEnd"/>
      <w:r>
        <w:t xml:space="preserve"> nicht heimischer Arten streng zu überwachen und zu begrenzen.</w:t>
      </w:r>
    </w:p>
    <w:p>
      <w:pPr>
        <w:pStyle w:val="GesAbsatz"/>
        <w:ind w:left="426" w:hanging="426"/>
      </w:pPr>
      <w:r>
        <w:lastRenderedPageBreak/>
        <w:t>3.</w:t>
      </w:r>
      <w:r>
        <w:tab/>
        <w:t>Jede Vertragspartei teilt dem Ständigen Ausschuß die Arten mit, die in ihrem Hoheitsgebiet vollen Schutz genießen und nicht in den Anhängen I und II enthalten sind.</w:t>
      </w:r>
    </w:p>
    <w:p>
      <w:pPr>
        <w:pStyle w:val="berschrift2"/>
        <w:jc w:val="left"/>
      </w:pPr>
      <w:bookmarkStart w:id="19" w:name="_Toc378161209"/>
      <w:r>
        <w:t>Artikel 12</w:t>
      </w:r>
      <w:bookmarkEnd w:id="19"/>
    </w:p>
    <w:p>
      <w:pPr>
        <w:pStyle w:val="GesAbsatz"/>
      </w:pPr>
      <w:r>
        <w:t>Die Vertragsparteien können strengere als die nach diesem Übereinkommen vorgesehenen Maßnahmen zur Erhaltung wildlebender Pflanzen und Tiere sowie ihrer natürlichen Lebensräume treffen.</w:t>
      </w:r>
    </w:p>
    <w:p>
      <w:pPr>
        <w:pStyle w:val="berschrift2"/>
        <w:jc w:val="left"/>
      </w:pPr>
      <w:bookmarkStart w:id="20" w:name="_Toc378161210"/>
      <w:r>
        <w:t>Kapitel VI – Ständiger Ausschuß</w:t>
      </w:r>
      <w:bookmarkEnd w:id="20"/>
    </w:p>
    <w:p>
      <w:pPr>
        <w:pStyle w:val="berschrift2"/>
        <w:jc w:val="left"/>
      </w:pPr>
      <w:bookmarkStart w:id="21" w:name="_Toc378161211"/>
      <w:r>
        <w:t>Artikel 13</w:t>
      </w:r>
      <w:bookmarkEnd w:id="21"/>
    </w:p>
    <w:p>
      <w:pPr>
        <w:pStyle w:val="GesAbsatz"/>
      </w:pPr>
      <w:r>
        <w:t>1.</w:t>
      </w:r>
      <w:r>
        <w:tab/>
        <w:t>Für die Zwecke dieses Übereinkommens wird ein Ständiger Ausschuß eingesetzt.</w:t>
      </w:r>
    </w:p>
    <w:p>
      <w:pPr>
        <w:pStyle w:val="GesAbsatz"/>
        <w:ind w:left="426" w:hanging="426"/>
      </w:pPr>
      <w:r>
        <w:t>2.</w:t>
      </w:r>
      <w:r>
        <w:tab/>
        <w:t>Jede Vertragspartei kann durch einen oder mehrere Delegierte im Ständigen Ausschuß vertreten sein. Jede Delegation hat eine Stimme. In ihrem Zuständigkeitsbereich übt die Europäische Wirtschaftsgemeinschaft ihr Stimmrecht mit einer Stimmenzahl aus, die der Anzahl ihrer Mitgliedstaaten entspricht, die Vertragsparteien dieses Übereinkommens sind; die Europäische Wirtschafsgemeinschaft übt ihr Stimmrecht nicht aus, wenn die betreffenden Mitgliedstaaten ihr Stimmrecht ausüben, und umgekehrt.</w:t>
      </w:r>
    </w:p>
    <w:p>
      <w:pPr>
        <w:pStyle w:val="GesAbsatz"/>
        <w:ind w:left="426" w:hanging="426"/>
      </w:pPr>
      <w:r>
        <w:t>3.</w:t>
      </w:r>
      <w:r>
        <w:tab/>
        <w:t>Jeder Mitgliedstaat des Europarats, der nicht Vertragspartei des Übereinkommens ist, kann durch einen Beobachter im Ausschuß vertreten sein. Der Ständige Ausschuß kann durch einstimmigen Beschluß jeden Nichtmitgliedstaat des Europarats, der nicht Vertragspartei des Übereinkommens ist, einladen, sich durch einen Beobachter auf einer der Tagungen des Ständigen Ausschusses vertreten zu lassen.</w:t>
      </w:r>
    </w:p>
    <w:p>
      <w:pPr>
        <w:pStyle w:val="GesAbsatz"/>
        <w:ind w:left="426"/>
      </w:pPr>
      <w:r>
        <w:t>Sonstige Gremien oder Organisationen der nachstehenden Kategorien, die auf dem Gebiet des Schutzes, der Erhaltung und der Hege und Nutzung wildlebender Pflanzen und Tiere sowie ihrer Lebensräume fachlich qualifiziert sind:</w:t>
      </w:r>
    </w:p>
    <w:p>
      <w:pPr>
        <w:pStyle w:val="GesAbsatz"/>
        <w:ind w:left="851" w:hanging="425"/>
      </w:pPr>
      <w:r>
        <w:t>a.</w:t>
      </w:r>
      <w:r>
        <w:tab/>
        <w:t>internationale staatliche oder nichtstaatliche Organisationen oder Gremien und nationale staatliche Organisationen oder Gremien;</w:t>
      </w:r>
    </w:p>
    <w:p>
      <w:pPr>
        <w:pStyle w:val="GesAbsatz"/>
        <w:ind w:left="851" w:hanging="425"/>
      </w:pPr>
      <w:r>
        <w:t>b.</w:t>
      </w:r>
      <w:r>
        <w:tab/>
        <w:t>nationale nichtstaatliche Organisationen oder Gremien, denen der Staat, in dem sie ihren Sitz haben, dazu seine Zustimmung gegeben hat,</w:t>
      </w:r>
    </w:p>
    <w:p>
      <w:pPr>
        <w:pStyle w:val="GesAbsatz"/>
        <w:ind w:left="426"/>
      </w:pPr>
      <w:r>
        <w:t>können dem Generalsekretär des Europarats spätestens drei Monate vor der Tagung des Ausschusses ihren Wunsch mitteilen, sich auf dieser Tagung durch Beobachter vertreten zu lassen. Sie werden zugelassen, sofern nicht ein Drittel der Vertragsparteien spätestens einen Monat vor der Tagung dem Generalsekretär ihren Einspruch mitgeteilt hat.</w:t>
      </w:r>
    </w:p>
    <w:p>
      <w:pPr>
        <w:pStyle w:val="GesAbsatz"/>
        <w:ind w:left="426" w:hanging="426"/>
      </w:pPr>
      <w:r>
        <w:t>4.</w:t>
      </w:r>
      <w:r>
        <w:tab/>
        <w:t>Der Ständige Ausschuß wird vom Generalsekretär des Europarats einberufen. Seine erste Tagung findet innerhalb eines Jahres nach dem Tag des Inkrafttretens des Übereinkommens statt. In der Folge tritt er mindestens alle zwei Jahre sowie immer dann zusammen, wenn die Mehrheit der Vertragsparteien dies beantragt.</w:t>
      </w:r>
    </w:p>
    <w:p>
      <w:pPr>
        <w:pStyle w:val="GesAbsatz"/>
        <w:ind w:left="426" w:hanging="426"/>
      </w:pPr>
      <w:r>
        <w:t>5.</w:t>
      </w:r>
      <w:r>
        <w:tab/>
        <w:t>Die Mehrheit der Vertragsparteien kann die Abhaltung einer Tagung des Ständigen Ausschusses beschließen.</w:t>
      </w:r>
    </w:p>
    <w:p>
      <w:pPr>
        <w:pStyle w:val="GesAbsatz"/>
        <w:ind w:left="426" w:hanging="426"/>
      </w:pPr>
      <w:r>
        <w:t>6.</w:t>
      </w:r>
      <w:r>
        <w:tab/>
        <w:t>Vorbehaltlich der Bestimmungen dieses Übereinkommens gibt sich der Ständige Ausschuß eine Geschäftsordnung.</w:t>
      </w:r>
    </w:p>
    <w:p>
      <w:pPr>
        <w:pStyle w:val="berschrift2"/>
        <w:jc w:val="left"/>
      </w:pPr>
      <w:bookmarkStart w:id="22" w:name="_Toc378161212"/>
      <w:r>
        <w:t>Artikel 14</w:t>
      </w:r>
      <w:bookmarkEnd w:id="22"/>
    </w:p>
    <w:p>
      <w:pPr>
        <w:pStyle w:val="GesAbsatz"/>
        <w:ind w:left="426" w:hanging="426"/>
      </w:pPr>
      <w:r>
        <w:t>1.</w:t>
      </w:r>
      <w:r>
        <w:tab/>
        <w:t>Der Ständige Ausschuß ist verantwortlich für die Überwachung der Einhaltung dieses Übereinkommens. Er kann insbesondere:</w:t>
      </w:r>
    </w:p>
    <w:p>
      <w:pPr>
        <w:pStyle w:val="GesAbsatz"/>
        <w:ind w:left="851" w:hanging="425"/>
      </w:pPr>
      <w:r>
        <w:t>-</w:t>
      </w:r>
      <w:r>
        <w:tab/>
        <w:t>die Bestimmungen dieses Übereinkommens einschließlich seiner Anhänge laufend überprüfen und auf etwa erforderliche Änderungen untersuchen;</w:t>
      </w:r>
    </w:p>
    <w:p>
      <w:pPr>
        <w:pStyle w:val="GesAbsatz"/>
        <w:ind w:left="851" w:hanging="425"/>
      </w:pPr>
      <w:r>
        <w:t>-</w:t>
      </w:r>
      <w:r>
        <w:tab/>
        <w:t>den Vertragsparteien Maßnahmen empfehlen, die zur Erreichung der Ziele dieses Übereinkommens getroffen werden sollen;</w:t>
      </w:r>
    </w:p>
    <w:p>
      <w:pPr>
        <w:pStyle w:val="GesAbsatz"/>
        <w:ind w:left="851" w:hanging="425"/>
      </w:pPr>
      <w:r>
        <w:t>-</w:t>
      </w:r>
      <w:r>
        <w:tab/>
        <w:t>die geeigneten Maßnahmen empfehlen, um die Öffentlichkeit über die im Rahmen dieses Übereinkommens durchgeführten Arbeiten auf dem laufenden zu halten;</w:t>
      </w:r>
    </w:p>
    <w:p>
      <w:pPr>
        <w:pStyle w:val="GesAbsatz"/>
        <w:ind w:left="851" w:hanging="425"/>
      </w:pPr>
      <w:r>
        <w:t>-</w:t>
      </w:r>
      <w:r>
        <w:tab/>
        <w:t>dem Ministerkomitee Nichtmitgliedstaaten des Europarats empfehlen, die zum Beitritt zum Übereinkommen eingeladen werden sollen;</w:t>
      </w:r>
    </w:p>
    <w:p>
      <w:pPr>
        <w:pStyle w:val="GesAbsatz"/>
        <w:ind w:left="851" w:hanging="425"/>
      </w:pPr>
      <w:r>
        <w:t>-</w:t>
      </w:r>
      <w:r>
        <w:tab/>
        <w:t>Vorschläge zur Verbesserung der Wirksamkeit dieses Übereinkommens vorlegen, darunter Vorschläge, mit Staaten, die keine Vertragsparteien sind, Übereinkünfte zur Verbesserung der wirksamen Erhaltung einzelner Arten oder Gruppen von Arten zu schließen.</w:t>
      </w:r>
    </w:p>
    <w:p>
      <w:pPr>
        <w:pStyle w:val="GesAbsatz"/>
        <w:ind w:left="426" w:hanging="426"/>
      </w:pPr>
      <w:r>
        <w:lastRenderedPageBreak/>
        <w:t>2.</w:t>
      </w:r>
      <w:r>
        <w:tab/>
        <w:t>Zur Wahrnehmung seiner Aufgaben kann der Ständige Ausschuß von sich aus Tagungen von Sachverständigengruppen veranstalten.</w:t>
      </w:r>
    </w:p>
    <w:p>
      <w:pPr>
        <w:pStyle w:val="berschrift2"/>
        <w:jc w:val="left"/>
      </w:pPr>
      <w:bookmarkStart w:id="23" w:name="_Toc378161213"/>
      <w:r>
        <w:t>Artikel 15</w:t>
      </w:r>
      <w:bookmarkEnd w:id="23"/>
    </w:p>
    <w:p>
      <w:pPr>
        <w:pStyle w:val="GesAbsatz"/>
      </w:pPr>
      <w:r>
        <w:t>Nach jeder Tagung übermittelt der Ständige Ausschuß dem Ministerkomitee des Europarats einen Bericht über seine Arbeit und die Durchführung des Übereinkommens.</w:t>
      </w:r>
    </w:p>
    <w:p>
      <w:pPr>
        <w:pStyle w:val="berschrift2"/>
        <w:jc w:val="left"/>
      </w:pPr>
      <w:bookmarkStart w:id="24" w:name="_Toc378161214"/>
      <w:r>
        <w:t>Kapitel VII – Änderungen</w:t>
      </w:r>
      <w:bookmarkEnd w:id="24"/>
    </w:p>
    <w:p>
      <w:pPr>
        <w:pStyle w:val="berschrift2"/>
        <w:jc w:val="left"/>
      </w:pPr>
      <w:bookmarkStart w:id="25" w:name="_Toc378161215"/>
      <w:r>
        <w:t>Artikel 16</w:t>
      </w:r>
      <w:bookmarkEnd w:id="25"/>
    </w:p>
    <w:p>
      <w:pPr>
        <w:pStyle w:val="GesAbsatz"/>
        <w:ind w:left="426" w:hanging="426"/>
      </w:pPr>
      <w:r>
        <w:t>1.</w:t>
      </w:r>
      <w:r>
        <w:tab/>
        <w:t>Jede von einer Vertragspartei oder dem Ministerkomitee vorgeschlagene Änderung der Artikel dieses Übereinkommens wird dem Generalsekretär des Europarats übermittelt und von ihm spätestens zwei Monate vor der Tagung des Ständigen Ausschusses an die Mitgliedstaaten des Europarats, jeden Unterzeichner, jede Vertragspartei, jeden nach Artikel 19 zur Unterzeichnung dieses Übereinkommens eingeladenen Staat und jeden nach Artikel 20 zum Beitritt eingeladenen Staat weitergeleitet.</w:t>
      </w:r>
    </w:p>
    <w:p>
      <w:pPr>
        <w:pStyle w:val="GesAbsatz"/>
        <w:ind w:left="426" w:hanging="426"/>
      </w:pPr>
      <w:r>
        <w:t>2.</w:t>
      </w:r>
      <w:r>
        <w:tab/>
        <w:t>Jede nach Absatz 1 vorgeschlagene Änderung wird vom Ständigen Ausschuß geprüft, der:</w:t>
      </w:r>
    </w:p>
    <w:p>
      <w:pPr>
        <w:pStyle w:val="GesAbsatz"/>
        <w:ind w:left="426" w:hanging="426"/>
      </w:pPr>
      <w:r>
        <w:t>3.</w:t>
      </w:r>
      <w:r>
        <w:tab/>
        <w:t>bei Änderungen der Artikel 1 bis 12 den mit Dreiviertelmehrheit der abgegebenen Stimmen beschlossenen Wortlaut den Vertragsparteien zur Annahme vorlegt;</w:t>
      </w:r>
    </w:p>
    <w:p>
      <w:pPr>
        <w:pStyle w:val="GesAbsatz"/>
        <w:ind w:left="426" w:hanging="426"/>
      </w:pPr>
      <w:r>
        <w:t>4.</w:t>
      </w:r>
      <w:r>
        <w:tab/>
        <w:t>bei Änderungen der Artikel 13 bis 24 den mit Dreiviertelmehrheit der abgegebenen Stimmen beschlossenen Wortlaut dem Ministerkomitee zur Genehmigung vorlegt. Nach der Genehmigung wird dieser Wortlaut den Vertragsparteien zur Annahme zugeleitet.</w:t>
      </w:r>
    </w:p>
    <w:p>
      <w:pPr>
        <w:pStyle w:val="GesAbsatz"/>
        <w:ind w:left="426" w:hanging="426"/>
      </w:pPr>
      <w:r>
        <w:t>5.</w:t>
      </w:r>
      <w:r>
        <w:tab/>
        <w:t>Jede Änderung tritt am dreißigsten Tag nach dem Tag in Kraft, an dem alle Vertragsparteien dem Generalsekretär die Annahme dieser Änderung mitgeteilt haben.</w:t>
      </w:r>
    </w:p>
    <w:p>
      <w:pPr>
        <w:pStyle w:val="GesAbsatz"/>
        <w:ind w:left="426" w:hanging="426"/>
      </w:pPr>
      <w:r>
        <w:t>6.</w:t>
      </w:r>
      <w:r>
        <w:tab/>
        <w:t>Die Absätze 1, 2 Buchstabe a und 3 gelten auch für die Annahme neuer Anhänge zu diesem Übereinkommen.</w:t>
      </w:r>
    </w:p>
    <w:p>
      <w:pPr>
        <w:pStyle w:val="berschrift2"/>
        <w:jc w:val="left"/>
      </w:pPr>
      <w:bookmarkStart w:id="26" w:name="_Toc378161216"/>
      <w:r>
        <w:t>Artikel 17</w:t>
      </w:r>
      <w:bookmarkEnd w:id="26"/>
    </w:p>
    <w:p>
      <w:pPr>
        <w:pStyle w:val="GesAbsatz"/>
        <w:ind w:left="426" w:hanging="426"/>
      </w:pPr>
      <w:r>
        <w:t>1.</w:t>
      </w:r>
      <w:r>
        <w:tab/>
        <w:t>Jede von einer Vertragspartei oder dem Ministerkomitee vorgeschlagene Änderung der Anhänge dieses Übereinkommens wird dem Generalsekretär des Europarats übermittelt und von ihm spätestens zwei Monate vor der Tagung des Ständigen Ausschusses an die Mitgliedstaaten des Europarats, jeden Unterzeichner, jede Vertragspartei, jeden nach Artikel 19 zur Unterzeichnung dieses Übereinkommens eingeladenen Staat und jeden nach Artikel 20 zum Beitritt eingeladenen Staat weitergeleitet.</w:t>
      </w:r>
    </w:p>
    <w:p>
      <w:pPr>
        <w:pStyle w:val="GesAbsatz"/>
        <w:ind w:left="426" w:hanging="426"/>
      </w:pPr>
      <w:r>
        <w:t>2.</w:t>
      </w:r>
      <w:r>
        <w:tab/>
        <w:t>Jede nach Absatz 1 vorgeschlagene Änderung wird vom Ständigen Ausschuß geprüft, der sie mit Zweidrittelmehrheit der Vertragsparteien beschließen kann. Der beschlossene Wortlaut wird den Vertragsparteien zugeleitet.</w:t>
      </w:r>
    </w:p>
    <w:p>
      <w:pPr>
        <w:pStyle w:val="GesAbsatz"/>
        <w:ind w:left="426" w:hanging="426"/>
      </w:pPr>
      <w:r>
        <w:t>3.</w:t>
      </w:r>
      <w:r>
        <w:tab/>
        <w:t>Sofern nicht ein Drittel der Vertragsparteien Einwände notifiziert hat, tritt eine Änderung für die Vertragsparteien, die keine Einwände notifiziert haben, drei Monate nach der Beschlußfassung durch den Ständigen Ausschuß in Kraft.</w:t>
      </w:r>
    </w:p>
    <w:p>
      <w:pPr>
        <w:pStyle w:val="berschrift2"/>
        <w:jc w:val="left"/>
      </w:pPr>
      <w:bookmarkStart w:id="27" w:name="_Toc378161217"/>
      <w:r>
        <w:t>Kapitel VIII – Beilegung von Streitigkeiten</w:t>
      </w:r>
      <w:bookmarkEnd w:id="27"/>
    </w:p>
    <w:p>
      <w:pPr>
        <w:pStyle w:val="berschrift2"/>
        <w:jc w:val="left"/>
      </w:pPr>
      <w:bookmarkStart w:id="28" w:name="_Toc378161218"/>
      <w:r>
        <w:t>Artikel 18</w:t>
      </w:r>
      <w:bookmarkEnd w:id="28"/>
    </w:p>
    <w:p>
      <w:pPr>
        <w:pStyle w:val="GesAbsatz"/>
        <w:ind w:left="426" w:hanging="426"/>
      </w:pPr>
      <w:r>
        <w:t>1.</w:t>
      </w:r>
      <w:r>
        <w:tab/>
        <w:t>Der Ständige Ausschuß bemüht sich, eine gütliche Beilegung jeder Schwierigkeit zu erleichtern, die sich bei der Durchführung dieses Übereinkommens ergibt.</w:t>
      </w:r>
    </w:p>
    <w:p>
      <w:pPr>
        <w:pStyle w:val="GesAbsatz"/>
        <w:ind w:left="426" w:hanging="426"/>
      </w:pPr>
      <w:r>
        <w:t>2.</w:t>
      </w:r>
      <w:r>
        <w:tab/>
        <w:t>Jede Streitigkeit zwischen Vertragsparteien über die Auslegung oder Anwendung dieses Übereinkommens, die nicht nach Absatz 1 oder durch Verhandlungen zwischen den betroffenen Parteien beigelegt worden ist, wird, sofern die betreffenden Parteien nichts anderes vereinbaren, auf Antrag einer dieser Parteien einem Schiedsverfahren unterworfen. Jede Partei bestimmt einen Schiedsrichter, und die beiden Schiedsrichter bestimmen einen dritten Schiedsrichter. Vorbehaltlich des Absatzes 3 gilt folgendes: Hat eine der Parteien drei Monate nach Beantragung eines Schiedsverfahrens noch keinen Schiedsrichter bestimmt, so wird dieser auf Antrag der anderen Partei innerhalb von weiteren drei Monaten vom Präsidenten des Europäischen Gerichtshofs für Menschenrechte bestimmt. Können sich die Schiedsrichter innerhalb von drei Monaten nach Bestimmung der ersten beiden Schiedsrichter nicht auf einen dritten Schiedsrichter einigen, so wird das gleiche Verfahren angewendet.</w:t>
      </w:r>
    </w:p>
    <w:p>
      <w:pPr>
        <w:pStyle w:val="GesAbsatz"/>
        <w:ind w:left="426" w:hanging="426"/>
      </w:pPr>
      <w:r>
        <w:lastRenderedPageBreak/>
        <w:t>3.</w:t>
      </w:r>
      <w:r>
        <w:tab/>
        <w:t>Ist in einer Streitigkeit zwischen zwei Vertragsparteien die eine Vertragspartei zugleich Mitgliedstaat der Europäischen Wirtschaftsgemeinschaft und diese selbst ebenfalls Vertragspartei, so richtet die andere Vertragspartei den Antrag auf ein Schiedsverfahren sowohl an diesen Staat als auch an die Gemeinschaft; diese notifizieren ihr gemeinsam innerhalb von zwei Monaten nach Eingang des Antrags, ob der Mitgliedstaat oder die Gemeinschaft oder der Mitgliedstaat und die Gemeinschaft gemeinsam Streitpartei sein werden. Erfolgt innerhalb dieser Frist keine solche Notifikation, so gelten der Mitgliedstaat und die Gemeinschaft als eine Streitpartei für die Zwecke der Anwendung der Bestimmungen über die Errichtung und das Verfahren des Schiedsgerichts. Dasselbe gilt, wenn der Mitgliedstaat und die Gemeinschaft gemeinsam als Streitpartei auftreten.</w:t>
      </w:r>
    </w:p>
    <w:p>
      <w:pPr>
        <w:pStyle w:val="GesAbsatz"/>
        <w:ind w:left="426" w:hanging="426"/>
      </w:pPr>
      <w:r>
        <w:t>4.</w:t>
      </w:r>
      <w:r>
        <w:tab/>
        <w:t>Das Schiedsgericht gibt sich eine Verfahrensordnung. Es entscheidet mit Stimmenmehrheit. Sein Schiedsspruch ist endgültig und bindend.</w:t>
      </w:r>
    </w:p>
    <w:p>
      <w:pPr>
        <w:pStyle w:val="GesAbsatz"/>
        <w:ind w:left="426" w:hanging="426"/>
      </w:pPr>
      <w:r>
        <w:t>5.</w:t>
      </w:r>
      <w:r>
        <w:tab/>
        <w:t>Jede Streitpartei übernimmt die Kosten des von ihr bestimmten Schiedsrichters, die Kosten des dritten Schiedsrichters sowie die sonstigen durch das Schiedsverfahren entstehenden Kosten werden von den Parteien zu gleichen Teilen getragen.</w:t>
      </w:r>
    </w:p>
    <w:p>
      <w:pPr>
        <w:pStyle w:val="berschrift2"/>
        <w:jc w:val="left"/>
      </w:pPr>
      <w:bookmarkStart w:id="29" w:name="_Toc378161219"/>
      <w:r>
        <w:t>Kapitel IX – Schlußbestimmungen</w:t>
      </w:r>
      <w:bookmarkEnd w:id="29"/>
    </w:p>
    <w:p>
      <w:pPr>
        <w:pStyle w:val="berschrift2"/>
        <w:jc w:val="left"/>
      </w:pPr>
      <w:bookmarkStart w:id="30" w:name="_Toc378161220"/>
      <w:r>
        <w:t>Artikel 19</w:t>
      </w:r>
      <w:bookmarkEnd w:id="30"/>
    </w:p>
    <w:p>
      <w:pPr>
        <w:pStyle w:val="GesAbsatz"/>
        <w:ind w:left="426" w:hanging="426"/>
      </w:pPr>
      <w:r>
        <w:t>1.</w:t>
      </w:r>
      <w:r>
        <w:tab/>
        <w:t>Dieses Übereinkommen liegt für die Mitgliedstaaten des Europarats, für Nichtmitgliedstaaten, die sich an der Ausarbeitung des Übereinkommens beteiligt haben, und für die Europäische Wirtschaftsgemeinschaft zur Unterzeichnung auf. Bis zum Zeitpunkt des Inkrafttretens dieses Übereinkommens liegt es auch für jeden anderen vom Ministerkomitee dazu eingeladenen Staat zur Unterzeichnung auf. Das Übereinkommen bedarf der Ratifikation, Annahme oder Genehmigung. Die Ratifikations-, Annahme- oder Genehmigungsurkunden werden beim Generalsekretär des Europarats hinterlegt.</w:t>
      </w:r>
    </w:p>
    <w:p>
      <w:pPr>
        <w:pStyle w:val="GesAbsatz"/>
        <w:ind w:left="426" w:hanging="426"/>
      </w:pPr>
      <w:r>
        <w:t>2.</w:t>
      </w:r>
      <w:r>
        <w:tab/>
        <w:t>Das Übereinkommen tritt am ersten Tag des Monats in Kraft, der auf einen Zeitabschnitt von drei Monaten nach dem Tag folgt, an dem fünf Staaten, darunter mindestens vier Mitgliedstaaten des Europarats, nach Absatz 1 ihre Zustimmung ausgedrückt haben, durch das Übereinkommen gebunden zu sein.</w:t>
      </w:r>
    </w:p>
    <w:p>
      <w:pPr>
        <w:pStyle w:val="GesAbsatz"/>
        <w:ind w:left="426" w:hanging="426"/>
      </w:pPr>
      <w:r>
        <w:t>3.</w:t>
      </w:r>
      <w:r>
        <w:tab/>
        <w:t>Für jeden Unterzeichnerstaat oder die Europäische Wirtschaftsgemeinschaft, die später ihre Zustimmung ausdrücken, durch das Übereinkommen gebunden zu sein, tritt es am ersten Tag des Monats in Kraft, der auf einen Zeitabschnitt von drei Monaten nach Hinterlegung der Ratifikations-, Annahme- oder Genehmigungsurkunde folgt.</w:t>
      </w:r>
    </w:p>
    <w:p>
      <w:pPr>
        <w:pStyle w:val="berschrift2"/>
        <w:jc w:val="left"/>
      </w:pPr>
      <w:bookmarkStart w:id="31" w:name="_Toc378161221"/>
      <w:r>
        <w:t>Artikel 20</w:t>
      </w:r>
      <w:bookmarkEnd w:id="31"/>
    </w:p>
    <w:p>
      <w:pPr>
        <w:pStyle w:val="GesAbsatz"/>
        <w:ind w:left="426" w:hanging="426"/>
      </w:pPr>
      <w:r>
        <w:t>1.</w:t>
      </w:r>
      <w:r>
        <w:tab/>
        <w:t>Nach Inkrafttreten dieses Übereinkommens kann das Ministerkomitee des Europarats nach Konsultation der Vertragsparteien jeden Nichtmitgliedstaat des Rates, der nach Artikel 19 zur Unterzeichnung eingeladen worden ist, dies jedoch noch nicht getan hat, sowie jeden anderen Nichtmitgliedstaat einladen, dem Übereinkommen beizutreten.</w:t>
      </w:r>
    </w:p>
    <w:p>
      <w:pPr>
        <w:pStyle w:val="GesAbsatz"/>
        <w:ind w:left="426" w:hanging="426"/>
      </w:pPr>
      <w:r>
        <w:t>2.</w:t>
      </w:r>
      <w:r>
        <w:tab/>
        <w:t>Für jeden beitretenden Staat tritt das Übereinkommen am ersten Tag des Monats in Kraft, der auf einen Zeitabschnitt von drei Monaten nach Hinterlegung der Beitrittsurkunde beim Generalsekretär des Europarats folgt.</w:t>
      </w:r>
    </w:p>
    <w:p>
      <w:pPr>
        <w:pStyle w:val="berschrift2"/>
        <w:jc w:val="left"/>
      </w:pPr>
      <w:bookmarkStart w:id="32" w:name="_Toc378161222"/>
      <w:r>
        <w:t>Artikel 21</w:t>
      </w:r>
      <w:bookmarkEnd w:id="32"/>
    </w:p>
    <w:p>
      <w:pPr>
        <w:pStyle w:val="GesAbsatz"/>
        <w:ind w:left="426" w:hanging="426"/>
      </w:pPr>
      <w:r>
        <w:t>1.</w:t>
      </w:r>
      <w:r>
        <w:tab/>
        <w:t>Jeder Staat kann bei der Unterzeichnung oder bei der Hinterlegung seiner Ratifikations-, Annahme-, Genehmigungs- oder Beitrittsurkunde einzelne oder mehrere Hoheitsgebiete bezeichnen, auf die dieses Übereinkommen Anwendung findet.</w:t>
      </w:r>
    </w:p>
    <w:p>
      <w:pPr>
        <w:pStyle w:val="GesAbsatz"/>
        <w:ind w:left="426" w:hanging="426"/>
      </w:pPr>
      <w:r>
        <w:t>2.</w:t>
      </w:r>
      <w:r>
        <w:tab/>
        <w:t>Jede Vertragspartei kann bei der Hinterlegung ihrer Ratifikations-, Annahme-, Genehmigungs- oder Beitrittsurkunde oder jederzeit danach durch eine an den Generalsekretär des Europarats gerichtete Erklärung die Anwendung dieses Übereinkommens auf jedes weitere in der Erklärung bezeichnete Hoheitsgebiet erstrecken, dessen internationale Beziehungen sie wahrnimmt oder für das sie Vereinbarungen treffen kann.</w:t>
      </w:r>
    </w:p>
    <w:p>
      <w:pPr>
        <w:pStyle w:val="GesAbsatz"/>
        <w:ind w:left="426" w:hanging="426"/>
      </w:pPr>
      <w:r>
        <w:t>3.</w:t>
      </w:r>
      <w:r>
        <w:tab/>
        <w:t>Jede nach Absatz 2 abgegebene Erklärung kann in bezug auf jedes darin genannte Hoheitsgebiet durch eine an den Generalsekretär gerichtete Notifikation zurückgenommen werden. Die Zurücknahme wird am ersten Tag des Monats wirksam, der auf einen Zeitabschnitt von sechs Monaten nach Eingang der Notifikation beim Generalsekretär folgt.</w:t>
      </w:r>
    </w:p>
    <w:p>
      <w:pPr>
        <w:pStyle w:val="berschrift2"/>
        <w:jc w:val="left"/>
      </w:pPr>
      <w:bookmarkStart w:id="33" w:name="_Toc378161223"/>
      <w:r>
        <w:lastRenderedPageBreak/>
        <w:t>Artikel 22</w:t>
      </w:r>
      <w:bookmarkEnd w:id="33"/>
    </w:p>
    <w:p>
      <w:pPr>
        <w:pStyle w:val="GesAbsatz"/>
        <w:ind w:left="426" w:hanging="426"/>
      </w:pPr>
      <w:r>
        <w:t>1.</w:t>
      </w:r>
      <w:r>
        <w:tab/>
        <w:t>Jeder Staat kann bei der Unterzeichnung oder bei der Hinterlegung seiner Ratifikations-, Annahme-, Genehmigungs- oder Beitrittsurkunde einen oder mehrere Vorbehalte in bezug auf bestimmte in den Anhängen I bis III aufgeführte Arten und/oder für bestimmte in dem oder den Vorbehalten genannte Arten in bezug auf bestimmte in Anhang IV aufgeführte Mittel oder Methoden des Tötens, Fangens oder der sonstigen Nutzung machen. Vorbehalte allgemeiner Art sind nicht zulässig.</w:t>
      </w:r>
    </w:p>
    <w:p>
      <w:pPr>
        <w:pStyle w:val="GesAbsatz"/>
        <w:ind w:left="426" w:hanging="426"/>
      </w:pPr>
      <w:r>
        <w:t>2.</w:t>
      </w:r>
      <w:r>
        <w:tab/>
        <w:t>Jede Vertragspartei, welche die Anwendung dieses Übereinkommens auf ein Hoheitsgebiet ausdehnt, das in der in Artikel 21 Absatz 2 bezeichneten Erklärung genannt ist, kann für das betreffende Hoheitsgebiet einen oder mehrere Vorbehalte nach Maßgabe des Absatzes 1 machen.</w:t>
      </w:r>
    </w:p>
    <w:p>
      <w:pPr>
        <w:pStyle w:val="GesAbsatz"/>
        <w:ind w:left="426" w:hanging="426"/>
      </w:pPr>
      <w:r>
        <w:t>3.</w:t>
      </w:r>
      <w:r>
        <w:tab/>
        <w:t>Sonstige Vorbehalte sind nicht zulässig.</w:t>
      </w:r>
    </w:p>
    <w:p>
      <w:pPr>
        <w:pStyle w:val="GesAbsatz"/>
        <w:ind w:left="426" w:hanging="426"/>
      </w:pPr>
      <w:r>
        <w:t>4.</w:t>
      </w:r>
      <w:r>
        <w:tab/>
        <w:t>Jede Vertragspartei, die einen Vorbehalt nach den Absätzen 1 und 2 gemacht hat, kann diesen durch eine an den Generalsekretär des Europarats gerichtete Notifikation ganz oder teilweise zurücknehmen. Die Zurücknahme wird mit dem Eingang der Notifikation beim Generalsekretär wirksam.</w:t>
      </w:r>
    </w:p>
    <w:p>
      <w:pPr>
        <w:pStyle w:val="berschrift2"/>
        <w:jc w:val="left"/>
      </w:pPr>
      <w:bookmarkStart w:id="34" w:name="_Toc378161224"/>
      <w:r>
        <w:t>Artikel 23</w:t>
      </w:r>
      <w:bookmarkEnd w:id="34"/>
    </w:p>
    <w:p>
      <w:pPr>
        <w:pStyle w:val="GesAbsatz"/>
        <w:ind w:left="426" w:hanging="426"/>
      </w:pPr>
      <w:r>
        <w:t>1.</w:t>
      </w:r>
      <w:r>
        <w:tab/>
        <w:t>Jede Vertragspartei kann dieses Übereinkommen jederzeit durch eine an den Generalsekretär des Europarats gerichtete Notifikation kündigen.</w:t>
      </w:r>
    </w:p>
    <w:p>
      <w:pPr>
        <w:pStyle w:val="GesAbsatz"/>
        <w:ind w:left="426" w:hanging="426"/>
      </w:pPr>
      <w:r>
        <w:t>2.</w:t>
      </w:r>
      <w:r>
        <w:tab/>
        <w:t>Die Kündigung wird am ersten Tag des Monats wirksam, der auf einen Zeitabschnitt von sechs Monaten nach Eingang der Notifikation beim Generalsekretär folgt.</w:t>
      </w:r>
    </w:p>
    <w:p>
      <w:pPr>
        <w:pStyle w:val="berschrift2"/>
        <w:jc w:val="left"/>
      </w:pPr>
      <w:bookmarkStart w:id="35" w:name="_Toc378161225"/>
      <w:r>
        <w:t>Artikel 24</w:t>
      </w:r>
      <w:bookmarkEnd w:id="35"/>
    </w:p>
    <w:p>
      <w:pPr>
        <w:pStyle w:val="GesAbsatz"/>
      </w:pPr>
      <w:r>
        <w:t>Der Generalsekretär des Europarats notifiziert den Mitgliedstaaten des Europarats, jedem Unterzeichnerstaat, der Europäischen Wirtschaftsgemeinschaft, sofern sie Unterzeichner dieses Übereinkommens ist, und jeder Vertragspartei:</w:t>
      </w:r>
    </w:p>
    <w:p>
      <w:pPr>
        <w:pStyle w:val="GesAbsatz"/>
      </w:pPr>
      <w:r>
        <w:t>a.</w:t>
      </w:r>
      <w:r>
        <w:tab/>
        <w:t>jede Unterzeichnung,</w:t>
      </w:r>
    </w:p>
    <w:p>
      <w:pPr>
        <w:pStyle w:val="GesAbsatz"/>
      </w:pPr>
      <w:r>
        <w:t>b.</w:t>
      </w:r>
      <w:r>
        <w:tab/>
        <w:t>jede Hinterlegung einer Ratifikations-, Annahme-, Genehmigungs- oder Beitrittsurkunde,</w:t>
      </w:r>
    </w:p>
    <w:p>
      <w:pPr>
        <w:pStyle w:val="GesAbsatz"/>
      </w:pPr>
      <w:r>
        <w:t>c.</w:t>
      </w:r>
      <w:r>
        <w:tab/>
        <w:t>jeden Zeitpunkt des Inkrafttretens dieses Übereinkommens nach den Artikeln 19 und 20,</w:t>
      </w:r>
    </w:p>
    <w:p>
      <w:pPr>
        <w:pStyle w:val="GesAbsatz"/>
      </w:pPr>
      <w:r>
        <w:t>d.</w:t>
      </w:r>
      <w:r>
        <w:tab/>
        <w:t>jede nach Artikel 13 Absatz 3 übermittelte Information,</w:t>
      </w:r>
    </w:p>
    <w:p>
      <w:pPr>
        <w:pStyle w:val="GesAbsatz"/>
      </w:pPr>
      <w:r>
        <w:t>e.</w:t>
      </w:r>
      <w:r>
        <w:tab/>
        <w:t>jeden nach Artikel 15 ausgearbeiteten Bericht,</w:t>
      </w:r>
    </w:p>
    <w:p>
      <w:pPr>
        <w:pStyle w:val="GesAbsatz"/>
        <w:ind w:left="426" w:hanging="426"/>
      </w:pPr>
      <w:r>
        <w:t>f.</w:t>
      </w:r>
      <w:r>
        <w:tab/>
        <w:t>jede Änderung oder jeden neuen Anhang, die nach den Artikeln 16 und 17 beschlossen werden, und den Zeitpunkt, zu dem die Änderung oder der neue Anhang in Kraft tritt,</w:t>
      </w:r>
    </w:p>
    <w:p>
      <w:pPr>
        <w:pStyle w:val="GesAbsatz"/>
      </w:pPr>
      <w:r>
        <w:t>g.</w:t>
      </w:r>
      <w:r>
        <w:tab/>
        <w:t>jede nach Artikel 21 Absätze 2 und 3 abgegebene Erklärung,</w:t>
      </w:r>
    </w:p>
    <w:p>
      <w:pPr>
        <w:pStyle w:val="GesAbsatz"/>
      </w:pPr>
      <w:r>
        <w:t>h.</w:t>
      </w:r>
      <w:r>
        <w:tab/>
        <w:t>jeden nach Artikel 22 Absätze 1 und 2 gemachten Vorbehalt,</w:t>
      </w:r>
    </w:p>
    <w:p>
      <w:pPr>
        <w:pStyle w:val="GesAbsatz"/>
      </w:pPr>
      <w:r>
        <w:t>i.</w:t>
      </w:r>
      <w:r>
        <w:tab/>
        <w:t>die Zurücknahme jedes Vorbehalts nach Artikel 22 Absatz 4,</w:t>
      </w:r>
    </w:p>
    <w:p>
      <w:pPr>
        <w:pStyle w:val="GesAbsatz"/>
        <w:ind w:left="426" w:hanging="426"/>
      </w:pPr>
      <w:r>
        <w:t>j.</w:t>
      </w:r>
      <w:r>
        <w:tab/>
        <w:t>jede nach Artikel 23 vorgenommene Notifikation und den Zeitpunkt, zu dem die Kündigung wirksam wird.</w:t>
      </w:r>
    </w:p>
    <w:p>
      <w:pPr>
        <w:pStyle w:val="GesAbsatz"/>
      </w:pPr>
      <w:r>
        <w:t xml:space="preserve">Zu </w:t>
      </w:r>
      <w:proofErr w:type="spellStart"/>
      <w:r>
        <w:t>Urkund</w:t>
      </w:r>
      <w:proofErr w:type="spellEnd"/>
      <w:r>
        <w:t xml:space="preserve"> dessen haben die hierzu gehörig befugten Unterzeichneten dieses Übereinkommen unterschrieben.</w:t>
      </w:r>
    </w:p>
    <w:p>
      <w:pPr>
        <w:pStyle w:val="GesAbsatz"/>
      </w:pPr>
      <w:r>
        <w:t>Geschehen zu Bern am 19. September 1979 in englischer und französischer Sprache, wobei jeder Wortlaut gleichermaßen verbindlich ist, in einer Urschrift, die im Archiv des Europarats hinterlegt wird. Der Generalsekretär des Europarats übermittelt jedem Mitgliedstaat des Europarats, jedem Unterzeichnerstaat, der Europäischen Wirtschaftsgemeinschaft, sofern sie Unterzeichner ist, sowie jedem Staat, der zur Unterzeichnung dieses Übereinkommens oder zum Beitritt zu diesem Übereinkommen eingeladen worden ist, beglaubigte Abschriften.</w:t>
      </w:r>
    </w:p>
    <w:p>
      <w:pPr>
        <w:pStyle w:val="GesAbsatz"/>
      </w:pP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19.09.1979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Amtliche Übersetzung Deutschlands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91.0-30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81521-C6ED-47E0-A63B-571C2122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9B1D-DE37-457E-AE88-0528EC18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3494</Words>
  <Characters>24902</Characters>
  <Application>Microsoft Office Word</Application>
  <DocSecurity>0</DocSecurity>
  <Lines>207</Lines>
  <Paragraphs>56</Paragraphs>
  <ScaleCrop>false</ScaleCrop>
  <HeadingPairs>
    <vt:vector size="2" baseType="variant">
      <vt:variant>
        <vt:lpstr>Titel</vt:lpstr>
      </vt:variant>
      <vt:variant>
        <vt:i4>1</vt:i4>
      </vt:variant>
    </vt:vector>
  </HeadingPairs>
  <TitlesOfParts>
    <vt:vector size="1" baseType="lpstr">
      <vt:lpstr>Übereinkommen über die Erhaltung der europäischen wildlebenden Pflanzen und Tiere und ihrer natürlichen Lebensräume</vt:lpstr>
    </vt:vector>
  </TitlesOfParts>
  <Manager/>
  <Company>LANUV NRW</Company>
  <LinksUpToDate>false</LinksUpToDate>
  <CharactersWithSpaces>28340</CharactersWithSpaces>
  <SharedDoc>false</SharedDoc>
  <HLinks>
    <vt:vector size="210" baseType="variant">
      <vt:variant>
        <vt:i4>1638462</vt:i4>
      </vt:variant>
      <vt:variant>
        <vt:i4>206</vt:i4>
      </vt:variant>
      <vt:variant>
        <vt:i4>0</vt:i4>
      </vt:variant>
      <vt:variant>
        <vt:i4>5</vt:i4>
      </vt:variant>
      <vt:variant>
        <vt:lpwstr/>
      </vt:variant>
      <vt:variant>
        <vt:lpwstr>_Toc328038645</vt:lpwstr>
      </vt:variant>
      <vt:variant>
        <vt:i4>1638462</vt:i4>
      </vt:variant>
      <vt:variant>
        <vt:i4>200</vt:i4>
      </vt:variant>
      <vt:variant>
        <vt:i4>0</vt:i4>
      </vt:variant>
      <vt:variant>
        <vt:i4>5</vt:i4>
      </vt:variant>
      <vt:variant>
        <vt:lpwstr/>
      </vt:variant>
      <vt:variant>
        <vt:lpwstr>_Toc328038644</vt:lpwstr>
      </vt:variant>
      <vt:variant>
        <vt:i4>1638462</vt:i4>
      </vt:variant>
      <vt:variant>
        <vt:i4>194</vt:i4>
      </vt:variant>
      <vt:variant>
        <vt:i4>0</vt:i4>
      </vt:variant>
      <vt:variant>
        <vt:i4>5</vt:i4>
      </vt:variant>
      <vt:variant>
        <vt:lpwstr/>
      </vt:variant>
      <vt:variant>
        <vt:lpwstr>_Toc328038643</vt:lpwstr>
      </vt:variant>
      <vt:variant>
        <vt:i4>1638462</vt:i4>
      </vt:variant>
      <vt:variant>
        <vt:i4>188</vt:i4>
      </vt:variant>
      <vt:variant>
        <vt:i4>0</vt:i4>
      </vt:variant>
      <vt:variant>
        <vt:i4>5</vt:i4>
      </vt:variant>
      <vt:variant>
        <vt:lpwstr/>
      </vt:variant>
      <vt:variant>
        <vt:lpwstr>_Toc328038642</vt:lpwstr>
      </vt:variant>
      <vt:variant>
        <vt:i4>1638462</vt:i4>
      </vt:variant>
      <vt:variant>
        <vt:i4>182</vt:i4>
      </vt:variant>
      <vt:variant>
        <vt:i4>0</vt:i4>
      </vt:variant>
      <vt:variant>
        <vt:i4>5</vt:i4>
      </vt:variant>
      <vt:variant>
        <vt:lpwstr/>
      </vt:variant>
      <vt:variant>
        <vt:lpwstr>_Toc328038641</vt:lpwstr>
      </vt:variant>
      <vt:variant>
        <vt:i4>1638462</vt:i4>
      </vt:variant>
      <vt:variant>
        <vt:i4>176</vt:i4>
      </vt:variant>
      <vt:variant>
        <vt:i4>0</vt:i4>
      </vt:variant>
      <vt:variant>
        <vt:i4>5</vt:i4>
      </vt:variant>
      <vt:variant>
        <vt:lpwstr/>
      </vt:variant>
      <vt:variant>
        <vt:lpwstr>_Toc328038640</vt:lpwstr>
      </vt:variant>
      <vt:variant>
        <vt:i4>1966142</vt:i4>
      </vt:variant>
      <vt:variant>
        <vt:i4>170</vt:i4>
      </vt:variant>
      <vt:variant>
        <vt:i4>0</vt:i4>
      </vt:variant>
      <vt:variant>
        <vt:i4>5</vt:i4>
      </vt:variant>
      <vt:variant>
        <vt:lpwstr/>
      </vt:variant>
      <vt:variant>
        <vt:lpwstr>_Toc328038639</vt:lpwstr>
      </vt:variant>
      <vt:variant>
        <vt:i4>1966142</vt:i4>
      </vt:variant>
      <vt:variant>
        <vt:i4>164</vt:i4>
      </vt:variant>
      <vt:variant>
        <vt:i4>0</vt:i4>
      </vt:variant>
      <vt:variant>
        <vt:i4>5</vt:i4>
      </vt:variant>
      <vt:variant>
        <vt:lpwstr/>
      </vt:variant>
      <vt:variant>
        <vt:lpwstr>_Toc328038638</vt:lpwstr>
      </vt:variant>
      <vt:variant>
        <vt:i4>1966142</vt:i4>
      </vt:variant>
      <vt:variant>
        <vt:i4>158</vt:i4>
      </vt:variant>
      <vt:variant>
        <vt:i4>0</vt:i4>
      </vt:variant>
      <vt:variant>
        <vt:i4>5</vt:i4>
      </vt:variant>
      <vt:variant>
        <vt:lpwstr/>
      </vt:variant>
      <vt:variant>
        <vt:lpwstr>_Toc328038637</vt:lpwstr>
      </vt:variant>
      <vt:variant>
        <vt:i4>1966142</vt:i4>
      </vt:variant>
      <vt:variant>
        <vt:i4>152</vt:i4>
      </vt:variant>
      <vt:variant>
        <vt:i4>0</vt:i4>
      </vt:variant>
      <vt:variant>
        <vt:i4>5</vt:i4>
      </vt:variant>
      <vt:variant>
        <vt:lpwstr/>
      </vt:variant>
      <vt:variant>
        <vt:lpwstr>_Toc328038636</vt:lpwstr>
      </vt:variant>
      <vt:variant>
        <vt:i4>1966142</vt:i4>
      </vt:variant>
      <vt:variant>
        <vt:i4>146</vt:i4>
      </vt:variant>
      <vt:variant>
        <vt:i4>0</vt:i4>
      </vt:variant>
      <vt:variant>
        <vt:i4>5</vt:i4>
      </vt:variant>
      <vt:variant>
        <vt:lpwstr/>
      </vt:variant>
      <vt:variant>
        <vt:lpwstr>_Toc328038635</vt:lpwstr>
      </vt:variant>
      <vt:variant>
        <vt:i4>1966142</vt:i4>
      </vt:variant>
      <vt:variant>
        <vt:i4>140</vt:i4>
      </vt:variant>
      <vt:variant>
        <vt:i4>0</vt:i4>
      </vt:variant>
      <vt:variant>
        <vt:i4>5</vt:i4>
      </vt:variant>
      <vt:variant>
        <vt:lpwstr/>
      </vt:variant>
      <vt:variant>
        <vt:lpwstr>_Toc328038634</vt:lpwstr>
      </vt:variant>
      <vt:variant>
        <vt:i4>1966142</vt:i4>
      </vt:variant>
      <vt:variant>
        <vt:i4>134</vt:i4>
      </vt:variant>
      <vt:variant>
        <vt:i4>0</vt:i4>
      </vt:variant>
      <vt:variant>
        <vt:i4>5</vt:i4>
      </vt:variant>
      <vt:variant>
        <vt:lpwstr/>
      </vt:variant>
      <vt:variant>
        <vt:lpwstr>_Toc328038633</vt:lpwstr>
      </vt:variant>
      <vt:variant>
        <vt:i4>1966142</vt:i4>
      </vt:variant>
      <vt:variant>
        <vt:i4>128</vt:i4>
      </vt:variant>
      <vt:variant>
        <vt:i4>0</vt:i4>
      </vt:variant>
      <vt:variant>
        <vt:i4>5</vt:i4>
      </vt:variant>
      <vt:variant>
        <vt:lpwstr/>
      </vt:variant>
      <vt:variant>
        <vt:lpwstr>_Toc328038632</vt:lpwstr>
      </vt:variant>
      <vt:variant>
        <vt:i4>1966142</vt:i4>
      </vt:variant>
      <vt:variant>
        <vt:i4>122</vt:i4>
      </vt:variant>
      <vt:variant>
        <vt:i4>0</vt:i4>
      </vt:variant>
      <vt:variant>
        <vt:i4>5</vt:i4>
      </vt:variant>
      <vt:variant>
        <vt:lpwstr/>
      </vt:variant>
      <vt:variant>
        <vt:lpwstr>_Toc328038631</vt:lpwstr>
      </vt:variant>
      <vt:variant>
        <vt:i4>1966142</vt:i4>
      </vt:variant>
      <vt:variant>
        <vt:i4>116</vt:i4>
      </vt:variant>
      <vt:variant>
        <vt:i4>0</vt:i4>
      </vt:variant>
      <vt:variant>
        <vt:i4>5</vt:i4>
      </vt:variant>
      <vt:variant>
        <vt:lpwstr/>
      </vt:variant>
      <vt:variant>
        <vt:lpwstr>_Toc328038630</vt:lpwstr>
      </vt:variant>
      <vt:variant>
        <vt:i4>2031678</vt:i4>
      </vt:variant>
      <vt:variant>
        <vt:i4>110</vt:i4>
      </vt:variant>
      <vt:variant>
        <vt:i4>0</vt:i4>
      </vt:variant>
      <vt:variant>
        <vt:i4>5</vt:i4>
      </vt:variant>
      <vt:variant>
        <vt:lpwstr/>
      </vt:variant>
      <vt:variant>
        <vt:lpwstr>_Toc328038629</vt:lpwstr>
      </vt:variant>
      <vt:variant>
        <vt:i4>2031678</vt:i4>
      </vt:variant>
      <vt:variant>
        <vt:i4>104</vt:i4>
      </vt:variant>
      <vt:variant>
        <vt:i4>0</vt:i4>
      </vt:variant>
      <vt:variant>
        <vt:i4>5</vt:i4>
      </vt:variant>
      <vt:variant>
        <vt:lpwstr/>
      </vt:variant>
      <vt:variant>
        <vt:lpwstr>_Toc328038628</vt:lpwstr>
      </vt:variant>
      <vt:variant>
        <vt:i4>2031678</vt:i4>
      </vt:variant>
      <vt:variant>
        <vt:i4>98</vt:i4>
      </vt:variant>
      <vt:variant>
        <vt:i4>0</vt:i4>
      </vt:variant>
      <vt:variant>
        <vt:i4>5</vt:i4>
      </vt:variant>
      <vt:variant>
        <vt:lpwstr/>
      </vt:variant>
      <vt:variant>
        <vt:lpwstr>_Toc328038627</vt:lpwstr>
      </vt:variant>
      <vt:variant>
        <vt:i4>2031678</vt:i4>
      </vt:variant>
      <vt:variant>
        <vt:i4>92</vt:i4>
      </vt:variant>
      <vt:variant>
        <vt:i4>0</vt:i4>
      </vt:variant>
      <vt:variant>
        <vt:i4>5</vt:i4>
      </vt:variant>
      <vt:variant>
        <vt:lpwstr/>
      </vt:variant>
      <vt:variant>
        <vt:lpwstr>_Toc328038626</vt:lpwstr>
      </vt:variant>
      <vt:variant>
        <vt:i4>2031678</vt:i4>
      </vt:variant>
      <vt:variant>
        <vt:i4>86</vt:i4>
      </vt:variant>
      <vt:variant>
        <vt:i4>0</vt:i4>
      </vt:variant>
      <vt:variant>
        <vt:i4>5</vt:i4>
      </vt:variant>
      <vt:variant>
        <vt:lpwstr/>
      </vt:variant>
      <vt:variant>
        <vt:lpwstr>_Toc328038625</vt:lpwstr>
      </vt:variant>
      <vt:variant>
        <vt:i4>2031678</vt:i4>
      </vt:variant>
      <vt:variant>
        <vt:i4>80</vt:i4>
      </vt:variant>
      <vt:variant>
        <vt:i4>0</vt:i4>
      </vt:variant>
      <vt:variant>
        <vt:i4>5</vt:i4>
      </vt:variant>
      <vt:variant>
        <vt:lpwstr/>
      </vt:variant>
      <vt:variant>
        <vt:lpwstr>_Toc328038624</vt:lpwstr>
      </vt:variant>
      <vt:variant>
        <vt:i4>2031678</vt:i4>
      </vt:variant>
      <vt:variant>
        <vt:i4>74</vt:i4>
      </vt:variant>
      <vt:variant>
        <vt:i4>0</vt:i4>
      </vt:variant>
      <vt:variant>
        <vt:i4>5</vt:i4>
      </vt:variant>
      <vt:variant>
        <vt:lpwstr/>
      </vt:variant>
      <vt:variant>
        <vt:lpwstr>_Toc328038623</vt:lpwstr>
      </vt:variant>
      <vt:variant>
        <vt:i4>2031678</vt:i4>
      </vt:variant>
      <vt:variant>
        <vt:i4>68</vt:i4>
      </vt:variant>
      <vt:variant>
        <vt:i4>0</vt:i4>
      </vt:variant>
      <vt:variant>
        <vt:i4>5</vt:i4>
      </vt:variant>
      <vt:variant>
        <vt:lpwstr/>
      </vt:variant>
      <vt:variant>
        <vt:lpwstr>_Toc328038622</vt:lpwstr>
      </vt:variant>
      <vt:variant>
        <vt:i4>2031678</vt:i4>
      </vt:variant>
      <vt:variant>
        <vt:i4>62</vt:i4>
      </vt:variant>
      <vt:variant>
        <vt:i4>0</vt:i4>
      </vt:variant>
      <vt:variant>
        <vt:i4>5</vt:i4>
      </vt:variant>
      <vt:variant>
        <vt:lpwstr/>
      </vt:variant>
      <vt:variant>
        <vt:lpwstr>_Toc328038621</vt:lpwstr>
      </vt:variant>
      <vt:variant>
        <vt:i4>2031678</vt:i4>
      </vt:variant>
      <vt:variant>
        <vt:i4>56</vt:i4>
      </vt:variant>
      <vt:variant>
        <vt:i4>0</vt:i4>
      </vt:variant>
      <vt:variant>
        <vt:i4>5</vt:i4>
      </vt:variant>
      <vt:variant>
        <vt:lpwstr/>
      </vt:variant>
      <vt:variant>
        <vt:lpwstr>_Toc328038620</vt:lpwstr>
      </vt:variant>
      <vt:variant>
        <vt:i4>1835070</vt:i4>
      </vt:variant>
      <vt:variant>
        <vt:i4>50</vt:i4>
      </vt:variant>
      <vt:variant>
        <vt:i4>0</vt:i4>
      </vt:variant>
      <vt:variant>
        <vt:i4>5</vt:i4>
      </vt:variant>
      <vt:variant>
        <vt:lpwstr/>
      </vt:variant>
      <vt:variant>
        <vt:lpwstr>_Toc328038619</vt:lpwstr>
      </vt:variant>
      <vt:variant>
        <vt:i4>1835070</vt:i4>
      </vt:variant>
      <vt:variant>
        <vt:i4>44</vt:i4>
      </vt:variant>
      <vt:variant>
        <vt:i4>0</vt:i4>
      </vt:variant>
      <vt:variant>
        <vt:i4>5</vt:i4>
      </vt:variant>
      <vt:variant>
        <vt:lpwstr/>
      </vt:variant>
      <vt:variant>
        <vt:lpwstr>_Toc328038618</vt:lpwstr>
      </vt:variant>
      <vt:variant>
        <vt:i4>1835070</vt:i4>
      </vt:variant>
      <vt:variant>
        <vt:i4>38</vt:i4>
      </vt:variant>
      <vt:variant>
        <vt:i4>0</vt:i4>
      </vt:variant>
      <vt:variant>
        <vt:i4>5</vt:i4>
      </vt:variant>
      <vt:variant>
        <vt:lpwstr/>
      </vt:variant>
      <vt:variant>
        <vt:lpwstr>_Toc328038617</vt:lpwstr>
      </vt:variant>
      <vt:variant>
        <vt:i4>1835070</vt:i4>
      </vt:variant>
      <vt:variant>
        <vt:i4>32</vt:i4>
      </vt:variant>
      <vt:variant>
        <vt:i4>0</vt:i4>
      </vt:variant>
      <vt:variant>
        <vt:i4>5</vt:i4>
      </vt:variant>
      <vt:variant>
        <vt:lpwstr/>
      </vt:variant>
      <vt:variant>
        <vt:lpwstr>_Toc328038616</vt:lpwstr>
      </vt:variant>
      <vt:variant>
        <vt:i4>1835070</vt:i4>
      </vt:variant>
      <vt:variant>
        <vt:i4>26</vt:i4>
      </vt:variant>
      <vt:variant>
        <vt:i4>0</vt:i4>
      </vt:variant>
      <vt:variant>
        <vt:i4>5</vt:i4>
      </vt:variant>
      <vt:variant>
        <vt:lpwstr/>
      </vt:variant>
      <vt:variant>
        <vt:lpwstr>_Toc328038615</vt:lpwstr>
      </vt:variant>
      <vt:variant>
        <vt:i4>1835070</vt:i4>
      </vt:variant>
      <vt:variant>
        <vt:i4>20</vt:i4>
      </vt:variant>
      <vt:variant>
        <vt:i4>0</vt:i4>
      </vt:variant>
      <vt:variant>
        <vt:i4>5</vt:i4>
      </vt:variant>
      <vt:variant>
        <vt:lpwstr/>
      </vt:variant>
      <vt:variant>
        <vt:lpwstr>_Toc328038614</vt:lpwstr>
      </vt:variant>
      <vt:variant>
        <vt:i4>1835070</vt:i4>
      </vt:variant>
      <vt:variant>
        <vt:i4>14</vt:i4>
      </vt:variant>
      <vt:variant>
        <vt:i4>0</vt:i4>
      </vt:variant>
      <vt:variant>
        <vt:i4>5</vt:i4>
      </vt:variant>
      <vt:variant>
        <vt:lpwstr/>
      </vt:variant>
      <vt:variant>
        <vt:lpwstr>_Toc328038613</vt:lpwstr>
      </vt:variant>
      <vt:variant>
        <vt:i4>1835070</vt:i4>
      </vt:variant>
      <vt:variant>
        <vt:i4>8</vt:i4>
      </vt:variant>
      <vt:variant>
        <vt:i4>0</vt:i4>
      </vt:variant>
      <vt:variant>
        <vt:i4>5</vt:i4>
      </vt:variant>
      <vt:variant>
        <vt:lpwstr/>
      </vt:variant>
      <vt:variant>
        <vt:lpwstr>_Toc328038612</vt:lpwstr>
      </vt:variant>
      <vt:variant>
        <vt:i4>1835070</vt:i4>
      </vt:variant>
      <vt:variant>
        <vt:i4>2</vt:i4>
      </vt:variant>
      <vt:variant>
        <vt:i4>0</vt:i4>
      </vt:variant>
      <vt:variant>
        <vt:i4>5</vt:i4>
      </vt:variant>
      <vt:variant>
        <vt:lpwstr/>
      </vt:variant>
      <vt:variant>
        <vt:lpwstr>_Toc328038611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Übereinkommen über die Erhaltung der europäischen wildlebenden Pflanzen und Tiere und ihrer natürlichen Lebensräume</dc:title>
  <dc:subject/>
  <dc:creator>Np</dc:creator>
  <cp:keywords/>
  <dc:description/>
  <cp:lastModifiedBy>Rüter, Dr., Ingo</cp:lastModifiedBy>
  <cp:revision>4</cp:revision>
  <cp:lastPrinted>2004-12-14T12:08:00Z</cp:lastPrinted>
  <dcterms:created xsi:type="dcterms:W3CDTF">2014-01-22T12:38:00Z</dcterms:created>
  <dcterms:modified xsi:type="dcterms:W3CDTF">2021-11-19T14:06:00Z</dcterms:modified>
</cp:coreProperties>
</file>