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0527947"/>
      <w:bookmarkStart w:id="1" w:name="_Toc450528030"/>
      <w:bookmarkStart w:id="2" w:name="_Toc451581950"/>
      <w:bookmarkStart w:id="3" w:name="_Toc451582744"/>
      <w:bookmarkStart w:id="4" w:name="_Toc109461088"/>
      <w:r>
        <w:t>Richtl</w:t>
      </w:r>
      <w:bookmarkStart w:id="5" w:name="_GoBack"/>
      <w:bookmarkEnd w:id="5"/>
      <w:r>
        <w:t xml:space="preserve">inie </w:t>
      </w:r>
      <w:hyperlink r:id="rId7" w:history="1">
        <w:r>
          <w:rPr>
            <w:rStyle w:val="Hyperlink"/>
          </w:rPr>
          <w:t>92/43/EWG</w:t>
        </w:r>
      </w:hyperlink>
      <w:r>
        <w:t xml:space="preserve"> des Rates vom 21. Mai 1992 zur Erhaltung der</w:t>
      </w:r>
      <w:r>
        <w:br/>
        <w:t>natürlichen Lebensräume sowie der wildlebenden Tiere und Pflanzen</w:t>
      </w:r>
      <w:bookmarkEnd w:id="0"/>
      <w:bookmarkEnd w:id="1"/>
      <w:bookmarkEnd w:id="2"/>
      <w:bookmarkEnd w:id="3"/>
      <w:bookmarkEnd w:id="4"/>
    </w:p>
    <w:p>
      <w:pPr>
        <w:pStyle w:val="GesAbsatz"/>
      </w:pPr>
      <w:r>
        <w:rPr>
          <w:b/>
        </w:rPr>
        <w:t>Änderungen:</w:t>
      </w:r>
      <w:r>
        <w:t xml:space="preserve"> </w:t>
      </w:r>
      <w:hyperlink r:id="rId8" w:history="1">
        <w:r>
          <w:rPr>
            <w:rStyle w:val="Hyperlink"/>
          </w:rPr>
          <w:t>95/1/EG</w:t>
        </w:r>
      </w:hyperlink>
      <w:r>
        <w:t xml:space="preserve"> L 1 v. 01.01.1995 S. 1; </w:t>
      </w:r>
      <w:hyperlink r:id="rId9" w:history="1">
        <w:r>
          <w:rPr>
            <w:rStyle w:val="Hyperlink"/>
          </w:rPr>
          <w:t>97/62/EG</w:t>
        </w:r>
      </w:hyperlink>
      <w:r>
        <w:t xml:space="preserve"> ABl. L 305 v. 08.11.1997 S. 42; Beitrittsakte ABl. L 236 v. 23.09.2003 S. 33; </w:t>
      </w:r>
      <w:hyperlink r:id="rId10" w:history="1">
        <w:r>
          <w:rPr>
            <w:rStyle w:val="Hyperlink"/>
          </w:rPr>
          <w:t>1882/2003</w:t>
        </w:r>
      </w:hyperlink>
      <w:r>
        <w:t xml:space="preserve"> ABl. L 284 v. 31.10.2003 S. 1; </w:t>
      </w:r>
      <w:hyperlink r:id="rId11" w:history="1">
        <w:r>
          <w:rPr>
            <w:rStyle w:val="Hyperlink"/>
          </w:rPr>
          <w:t>2006/105/EG</w:t>
        </w:r>
      </w:hyperlink>
      <w:r>
        <w:t xml:space="preserve"> ABl. L 363 v. 20.12.2006 S. 368; </w:t>
      </w:r>
      <w:hyperlink r:id="rId12" w:history="1">
        <w:r>
          <w:rPr>
            <w:rStyle w:val="Hyperlink"/>
          </w:rPr>
          <w:t>2013/17/EU</w:t>
        </w:r>
      </w:hyperlink>
      <w:r>
        <w:t xml:space="preserve"> ABl. L 158 v. 10.06.2013 S. 193;</w:t>
      </w:r>
    </w:p>
    <w:p>
      <w:pPr>
        <w:pStyle w:val="GesAbsatz"/>
      </w:pPr>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Richtlinie 92/43/EWG des Rates vom 21. Mai 1992 zur Erhaltung der natürlichen Lebens</w:t>
      </w:r>
      <w:r>
        <w:rPr>
          <w:noProof/>
        </w:rPr>
        <w:softHyphen/>
        <w:t>räume sowie der wildlebenden Tiere und Pflanzen</w:t>
      </w:r>
      <w:r>
        <w:rPr>
          <w:noProof/>
        </w:rPr>
        <w:tab/>
      </w:r>
      <w:r>
        <w:rPr>
          <w:noProof/>
        </w:rPr>
        <w:fldChar w:fldCharType="begin"/>
      </w:r>
      <w:r>
        <w:rPr>
          <w:noProof/>
        </w:rPr>
        <w:instrText xml:space="preserve"> PAGEREF _Toc109461088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Begriffsbestimmungen</w:t>
      </w:r>
      <w:r>
        <w:rPr>
          <w:noProof/>
        </w:rPr>
        <w:tab/>
      </w:r>
      <w:r>
        <w:rPr>
          <w:noProof/>
        </w:rPr>
        <w:fldChar w:fldCharType="begin"/>
      </w:r>
      <w:r>
        <w:rPr>
          <w:noProof/>
        </w:rPr>
        <w:instrText xml:space="preserve"> PAGEREF _Toc109461089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Artikel 1</w:t>
      </w:r>
      <w:r>
        <w:rPr>
          <w:noProof/>
        </w:rPr>
        <w:tab/>
      </w:r>
      <w:r>
        <w:rPr>
          <w:noProof/>
        </w:rPr>
        <w:fldChar w:fldCharType="begin"/>
      </w:r>
      <w:r>
        <w:rPr>
          <w:noProof/>
        </w:rPr>
        <w:instrText xml:space="preserve"> PAGEREF _Toc109461090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Artikel 2</w:t>
      </w:r>
      <w:r>
        <w:rPr>
          <w:noProof/>
        </w:rPr>
        <w:tab/>
      </w:r>
      <w:r>
        <w:rPr>
          <w:noProof/>
        </w:rPr>
        <w:fldChar w:fldCharType="begin"/>
      </w:r>
      <w:r>
        <w:rPr>
          <w:noProof/>
        </w:rPr>
        <w:instrText xml:space="preserve"> PAGEREF _Toc109461091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Erhaltung der natürlichen Lebensräume und der Habitate der Arten</w:t>
      </w:r>
      <w:r>
        <w:rPr>
          <w:noProof/>
        </w:rPr>
        <w:tab/>
      </w:r>
      <w:r>
        <w:rPr>
          <w:noProof/>
        </w:rPr>
        <w:fldChar w:fldCharType="begin"/>
      </w:r>
      <w:r>
        <w:rPr>
          <w:noProof/>
        </w:rPr>
        <w:instrText xml:space="preserve"> PAGEREF _Toc109461092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3</w:t>
      </w:r>
      <w:r>
        <w:rPr>
          <w:noProof/>
        </w:rPr>
        <w:tab/>
      </w:r>
      <w:r>
        <w:rPr>
          <w:noProof/>
        </w:rPr>
        <w:fldChar w:fldCharType="begin"/>
      </w:r>
      <w:r>
        <w:rPr>
          <w:noProof/>
        </w:rPr>
        <w:instrText xml:space="preserve"> PAGEREF _Toc109461093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4</w:t>
      </w:r>
      <w:r>
        <w:rPr>
          <w:noProof/>
        </w:rPr>
        <w:tab/>
      </w:r>
      <w:r>
        <w:rPr>
          <w:noProof/>
        </w:rPr>
        <w:fldChar w:fldCharType="begin"/>
      </w:r>
      <w:r>
        <w:rPr>
          <w:noProof/>
        </w:rPr>
        <w:instrText xml:space="preserve"> PAGEREF _Toc109461094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5</w:t>
      </w:r>
      <w:r>
        <w:rPr>
          <w:noProof/>
        </w:rPr>
        <w:tab/>
      </w:r>
      <w:r>
        <w:rPr>
          <w:noProof/>
        </w:rPr>
        <w:fldChar w:fldCharType="begin"/>
      </w:r>
      <w:r>
        <w:rPr>
          <w:noProof/>
        </w:rPr>
        <w:instrText xml:space="preserve"> PAGEREF _Toc109461095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6</w:t>
      </w:r>
      <w:r>
        <w:rPr>
          <w:noProof/>
        </w:rPr>
        <w:tab/>
      </w:r>
      <w:r>
        <w:rPr>
          <w:noProof/>
        </w:rPr>
        <w:fldChar w:fldCharType="begin"/>
      </w:r>
      <w:r>
        <w:rPr>
          <w:noProof/>
        </w:rPr>
        <w:instrText xml:space="preserve"> PAGEREF _Toc109461096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7</w:t>
      </w:r>
      <w:r>
        <w:rPr>
          <w:noProof/>
        </w:rPr>
        <w:tab/>
      </w:r>
      <w:r>
        <w:rPr>
          <w:noProof/>
        </w:rPr>
        <w:fldChar w:fldCharType="begin"/>
      </w:r>
      <w:r>
        <w:rPr>
          <w:noProof/>
        </w:rPr>
        <w:instrText xml:space="preserve"> PAGEREF _Toc109461097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Artikel 8</w:t>
      </w:r>
      <w:r>
        <w:rPr>
          <w:noProof/>
        </w:rPr>
        <w:tab/>
      </w:r>
      <w:r>
        <w:rPr>
          <w:noProof/>
        </w:rPr>
        <w:fldChar w:fldCharType="begin"/>
      </w:r>
      <w:r>
        <w:rPr>
          <w:noProof/>
        </w:rPr>
        <w:instrText xml:space="preserve"> PAGEREF _Toc109461098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9</w:t>
      </w:r>
      <w:r>
        <w:rPr>
          <w:noProof/>
        </w:rPr>
        <w:tab/>
      </w:r>
      <w:r>
        <w:rPr>
          <w:noProof/>
        </w:rPr>
        <w:fldChar w:fldCharType="begin"/>
      </w:r>
      <w:r>
        <w:rPr>
          <w:noProof/>
        </w:rPr>
        <w:instrText xml:space="preserve"> PAGEREF _Toc109461099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10</w:t>
      </w:r>
      <w:r>
        <w:rPr>
          <w:noProof/>
        </w:rPr>
        <w:tab/>
      </w:r>
      <w:r>
        <w:rPr>
          <w:noProof/>
        </w:rPr>
        <w:fldChar w:fldCharType="begin"/>
      </w:r>
      <w:r>
        <w:rPr>
          <w:noProof/>
        </w:rPr>
        <w:instrText xml:space="preserve"> PAGEREF _Toc109461100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11</w:t>
      </w:r>
      <w:r>
        <w:rPr>
          <w:noProof/>
        </w:rPr>
        <w:tab/>
      </w:r>
      <w:r>
        <w:rPr>
          <w:noProof/>
        </w:rPr>
        <w:fldChar w:fldCharType="begin"/>
      </w:r>
      <w:r>
        <w:rPr>
          <w:noProof/>
        </w:rPr>
        <w:instrText xml:space="preserve"> PAGEREF _Toc109461101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Artenschutz</w:t>
      </w:r>
      <w:r>
        <w:rPr>
          <w:noProof/>
        </w:rPr>
        <w:tab/>
      </w:r>
      <w:r>
        <w:rPr>
          <w:noProof/>
        </w:rPr>
        <w:fldChar w:fldCharType="begin"/>
      </w:r>
      <w:r>
        <w:rPr>
          <w:noProof/>
        </w:rPr>
        <w:instrText xml:space="preserve"> PAGEREF _Toc109461102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12</w:t>
      </w:r>
      <w:r>
        <w:rPr>
          <w:noProof/>
        </w:rPr>
        <w:tab/>
      </w:r>
      <w:r>
        <w:rPr>
          <w:noProof/>
        </w:rPr>
        <w:fldChar w:fldCharType="begin"/>
      </w:r>
      <w:r>
        <w:rPr>
          <w:noProof/>
        </w:rPr>
        <w:instrText xml:space="preserve"> PAGEREF _Toc109461103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Artikel 13</w:t>
      </w:r>
      <w:r>
        <w:rPr>
          <w:noProof/>
        </w:rPr>
        <w:tab/>
      </w:r>
      <w:r>
        <w:rPr>
          <w:noProof/>
        </w:rPr>
        <w:fldChar w:fldCharType="begin"/>
      </w:r>
      <w:r>
        <w:rPr>
          <w:noProof/>
        </w:rPr>
        <w:instrText xml:space="preserve"> PAGEREF _Toc109461104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Artikel 14</w:t>
      </w:r>
      <w:r>
        <w:rPr>
          <w:noProof/>
        </w:rPr>
        <w:tab/>
      </w:r>
      <w:r>
        <w:rPr>
          <w:noProof/>
        </w:rPr>
        <w:fldChar w:fldCharType="begin"/>
      </w:r>
      <w:r>
        <w:rPr>
          <w:noProof/>
        </w:rPr>
        <w:instrText xml:space="preserve"> PAGEREF _Toc109461105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Artikel 15</w:t>
      </w:r>
      <w:r>
        <w:rPr>
          <w:noProof/>
        </w:rPr>
        <w:tab/>
      </w:r>
      <w:r>
        <w:rPr>
          <w:noProof/>
        </w:rPr>
        <w:fldChar w:fldCharType="begin"/>
      </w:r>
      <w:r>
        <w:rPr>
          <w:noProof/>
        </w:rPr>
        <w:instrText xml:space="preserve"> PAGEREF _Toc109461106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rPr>
        <w:t>Artikel 16</w:t>
      </w:r>
      <w:r>
        <w:rPr>
          <w:noProof/>
        </w:rPr>
        <w:tab/>
      </w:r>
      <w:r>
        <w:rPr>
          <w:noProof/>
        </w:rPr>
        <w:fldChar w:fldCharType="begin"/>
      </w:r>
      <w:r>
        <w:rPr>
          <w:noProof/>
        </w:rPr>
        <w:instrText xml:space="preserve"> PAGEREF _Toc109461107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rPr>
        <w:t>Information</w:t>
      </w:r>
      <w:r>
        <w:rPr>
          <w:noProof/>
        </w:rPr>
        <w:tab/>
      </w:r>
      <w:r>
        <w:rPr>
          <w:noProof/>
        </w:rPr>
        <w:fldChar w:fldCharType="begin"/>
      </w:r>
      <w:r>
        <w:rPr>
          <w:noProof/>
        </w:rPr>
        <w:instrText xml:space="preserve"> PAGEREF _Toc109461108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rPr>
        <w:t>Artikel 17</w:t>
      </w:r>
      <w:r>
        <w:rPr>
          <w:noProof/>
        </w:rPr>
        <w:tab/>
      </w:r>
      <w:r>
        <w:rPr>
          <w:noProof/>
        </w:rPr>
        <w:fldChar w:fldCharType="begin"/>
      </w:r>
      <w:r>
        <w:rPr>
          <w:noProof/>
        </w:rPr>
        <w:instrText xml:space="preserve"> PAGEREF _Toc109461109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rPr>
        <w:t>Forschung</w:t>
      </w:r>
      <w:r>
        <w:rPr>
          <w:noProof/>
        </w:rPr>
        <w:tab/>
      </w:r>
      <w:r>
        <w:rPr>
          <w:noProof/>
        </w:rPr>
        <w:fldChar w:fldCharType="begin"/>
      </w:r>
      <w:r>
        <w:rPr>
          <w:noProof/>
        </w:rPr>
        <w:instrText xml:space="preserve"> PAGEREF _Toc109461110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Artikel 18</w:t>
      </w:r>
      <w:r>
        <w:rPr>
          <w:noProof/>
        </w:rPr>
        <w:tab/>
      </w:r>
      <w:r>
        <w:rPr>
          <w:noProof/>
        </w:rPr>
        <w:fldChar w:fldCharType="begin"/>
      </w:r>
      <w:r>
        <w:rPr>
          <w:noProof/>
        </w:rPr>
        <w:instrText xml:space="preserve"> PAGEREF _Toc109461111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Verfahren zur Änderung der Anhänge</w:t>
      </w:r>
      <w:r>
        <w:rPr>
          <w:noProof/>
        </w:rPr>
        <w:tab/>
      </w:r>
      <w:r>
        <w:rPr>
          <w:noProof/>
        </w:rPr>
        <w:fldChar w:fldCharType="begin"/>
      </w:r>
      <w:r>
        <w:rPr>
          <w:noProof/>
        </w:rPr>
        <w:instrText xml:space="preserve"> PAGEREF _Toc109461112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Artikel 19</w:t>
      </w:r>
      <w:r>
        <w:rPr>
          <w:noProof/>
        </w:rPr>
        <w:tab/>
      </w:r>
      <w:r>
        <w:rPr>
          <w:noProof/>
        </w:rPr>
        <w:fldChar w:fldCharType="begin"/>
      </w:r>
      <w:r>
        <w:rPr>
          <w:noProof/>
        </w:rPr>
        <w:instrText xml:space="preserve"> PAGEREF _Toc109461113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Ausschuß</w:t>
      </w:r>
      <w:r>
        <w:rPr>
          <w:noProof/>
        </w:rPr>
        <w:tab/>
      </w:r>
      <w:r>
        <w:rPr>
          <w:noProof/>
        </w:rPr>
        <w:fldChar w:fldCharType="begin"/>
      </w:r>
      <w:r>
        <w:rPr>
          <w:noProof/>
        </w:rPr>
        <w:instrText xml:space="preserve"> PAGEREF _Toc109461114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Artikel 20</w:t>
      </w:r>
      <w:r>
        <w:rPr>
          <w:noProof/>
        </w:rPr>
        <w:tab/>
      </w:r>
      <w:r>
        <w:rPr>
          <w:noProof/>
        </w:rPr>
        <w:fldChar w:fldCharType="begin"/>
      </w:r>
      <w:r>
        <w:rPr>
          <w:noProof/>
        </w:rPr>
        <w:instrText xml:space="preserve"> PAGEREF _Toc109461115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Artikel 21</w:t>
      </w:r>
      <w:r>
        <w:rPr>
          <w:noProof/>
        </w:rPr>
        <w:tab/>
      </w:r>
      <w:r>
        <w:rPr>
          <w:noProof/>
        </w:rPr>
        <w:fldChar w:fldCharType="begin"/>
      </w:r>
      <w:r>
        <w:rPr>
          <w:noProof/>
        </w:rPr>
        <w:instrText xml:space="preserve"> PAGEREF _Toc109461116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Ergänzende Bestimmungen</w:t>
      </w:r>
      <w:r>
        <w:rPr>
          <w:noProof/>
        </w:rPr>
        <w:tab/>
      </w:r>
      <w:r>
        <w:rPr>
          <w:noProof/>
        </w:rPr>
        <w:fldChar w:fldCharType="begin"/>
      </w:r>
      <w:r>
        <w:rPr>
          <w:noProof/>
        </w:rPr>
        <w:instrText xml:space="preserve"> PAGEREF _Toc109461117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Artikel 22</w:t>
      </w:r>
      <w:r>
        <w:rPr>
          <w:noProof/>
        </w:rPr>
        <w:tab/>
      </w:r>
      <w:r>
        <w:rPr>
          <w:noProof/>
        </w:rPr>
        <w:fldChar w:fldCharType="begin"/>
      </w:r>
      <w:r>
        <w:rPr>
          <w:noProof/>
        </w:rPr>
        <w:instrText xml:space="preserve"> PAGEREF _Toc109461118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rPr>
        <w:t>Schlußbestimmungen</w:t>
      </w:r>
      <w:r>
        <w:rPr>
          <w:noProof/>
        </w:rPr>
        <w:tab/>
      </w:r>
      <w:r>
        <w:rPr>
          <w:noProof/>
        </w:rPr>
        <w:fldChar w:fldCharType="begin"/>
      </w:r>
      <w:r>
        <w:rPr>
          <w:noProof/>
        </w:rPr>
        <w:instrText xml:space="preserve"> PAGEREF _Toc109461119 \h </w:instrText>
      </w:r>
      <w:r>
        <w:rPr>
          <w:noProof/>
        </w:rPr>
      </w:r>
      <w:r>
        <w:rPr>
          <w:noProof/>
        </w:rPr>
        <w:fldChar w:fldCharType="separate"/>
      </w:r>
      <w:r>
        <w:rPr>
          <w:noProof/>
        </w:rPr>
        <w:t>11</w:t>
      </w:r>
      <w:r>
        <w:rPr>
          <w:noProof/>
        </w:rPr>
        <w:fldChar w:fldCharType="end"/>
      </w:r>
    </w:p>
    <w:p>
      <w:pPr>
        <w:pStyle w:val="Verzeichnis2"/>
        <w:tabs>
          <w:tab w:val="clear" w:pos="9638"/>
          <w:tab w:val="right" w:leader="dot" w:pos="9628"/>
        </w:tabs>
        <w:rPr>
          <w:smallCaps w:val="0"/>
          <w:noProof/>
          <w:sz w:val="24"/>
          <w:szCs w:val="24"/>
        </w:rPr>
      </w:pPr>
      <w:r>
        <w:rPr>
          <w:noProof/>
        </w:rPr>
        <w:t>Artikel 23</w:t>
      </w:r>
      <w:r>
        <w:rPr>
          <w:noProof/>
        </w:rPr>
        <w:tab/>
      </w:r>
      <w:r>
        <w:rPr>
          <w:noProof/>
        </w:rPr>
        <w:fldChar w:fldCharType="begin"/>
      </w:r>
      <w:r>
        <w:rPr>
          <w:noProof/>
        </w:rPr>
        <w:instrText xml:space="preserve"> PAGEREF _Toc109461120 \h </w:instrText>
      </w:r>
      <w:r>
        <w:rPr>
          <w:noProof/>
        </w:rPr>
      </w:r>
      <w:r>
        <w:rPr>
          <w:noProof/>
        </w:rPr>
        <w:fldChar w:fldCharType="separate"/>
      </w:r>
      <w:r>
        <w:rPr>
          <w:noProof/>
        </w:rPr>
        <w:t>11</w:t>
      </w:r>
      <w:r>
        <w:rPr>
          <w:noProof/>
        </w:rPr>
        <w:fldChar w:fldCharType="end"/>
      </w:r>
    </w:p>
    <w:p>
      <w:pPr>
        <w:pStyle w:val="Verzeichnis2"/>
        <w:tabs>
          <w:tab w:val="clear" w:pos="9638"/>
          <w:tab w:val="right" w:leader="dot" w:pos="9628"/>
        </w:tabs>
        <w:rPr>
          <w:smallCaps w:val="0"/>
          <w:noProof/>
          <w:sz w:val="24"/>
          <w:szCs w:val="24"/>
        </w:rPr>
      </w:pPr>
      <w:r>
        <w:rPr>
          <w:noProof/>
        </w:rPr>
        <w:t>Artikel 24</w:t>
      </w:r>
      <w:r>
        <w:rPr>
          <w:noProof/>
        </w:rPr>
        <w:tab/>
      </w:r>
      <w:r>
        <w:rPr>
          <w:noProof/>
        </w:rPr>
        <w:fldChar w:fldCharType="begin"/>
      </w:r>
      <w:r>
        <w:rPr>
          <w:noProof/>
        </w:rPr>
        <w:instrText xml:space="preserve"> PAGEREF _Toc109461121 \h </w:instrText>
      </w:r>
      <w:r>
        <w:rPr>
          <w:noProof/>
        </w:rPr>
      </w:r>
      <w:r>
        <w:rPr>
          <w:noProof/>
        </w:rPr>
        <w:fldChar w:fldCharType="separate"/>
      </w:r>
      <w:r>
        <w:rPr>
          <w:noProof/>
        </w:rPr>
        <w:t>11</w:t>
      </w:r>
      <w:r>
        <w:rPr>
          <w:noProof/>
        </w:rPr>
        <w:fldChar w:fldCharType="end"/>
      </w:r>
    </w:p>
    <w:p>
      <w:pPr>
        <w:pStyle w:val="GesAbsatz"/>
      </w:pPr>
      <w:r>
        <w:rPr>
          <w:rFonts w:ascii="Times New Roman" w:hAnsi="Times New Roman"/>
          <w:b/>
          <w:bCs/>
          <w:caps/>
          <w:color w:val="auto"/>
        </w:rPr>
        <w:fldChar w:fldCharType="end"/>
      </w:r>
    </w:p>
    <w:p>
      <w:pPr>
        <w:pStyle w:val="GesAbsatz"/>
        <w:rPr>
          <w:b/>
        </w:rPr>
      </w:pPr>
      <w:r>
        <w:rPr>
          <w:b/>
        </w:rPr>
        <w:t>Der Rat der Europäischen Gemeinschaften -</w:t>
      </w:r>
    </w:p>
    <w:p>
      <w:pPr>
        <w:pStyle w:val="GesAbsatz"/>
      </w:pPr>
      <w:r>
        <w:t>gestützt auf den Vertrag zur Gründung der Europäischen Wirtschaftsgemeinschaft, insbesondere auf Artikel 130s,</w:t>
      </w:r>
    </w:p>
    <w:p>
      <w:pPr>
        <w:pStyle w:val="GesAbsatz"/>
      </w:pPr>
      <w:r>
        <w:t>auf Vorschlag der Kommission</w:t>
      </w:r>
      <w:r>
        <w:rPr>
          <w:rStyle w:val="Funotenzeichen"/>
        </w:rPr>
        <w:footnoteReference w:id="1"/>
      </w:r>
      <w:r>
        <w:t>,</w:t>
      </w:r>
    </w:p>
    <w:p>
      <w:pPr>
        <w:pStyle w:val="GesAbsatz"/>
      </w:pPr>
      <w:r>
        <w:t>nach Stellungnahme des Europäischen Parlaments</w:t>
      </w:r>
      <w:r>
        <w:rPr>
          <w:rStyle w:val="Funotenzeichen"/>
        </w:rPr>
        <w:footnoteReference w:id="2"/>
      </w:r>
      <w:r>
        <w:t>,</w:t>
      </w:r>
    </w:p>
    <w:p>
      <w:pPr>
        <w:pStyle w:val="GesAbsatz"/>
      </w:pPr>
      <w:r>
        <w:t>nach Stellungnahme des Wirtschafts- und Sozialausschusses</w:t>
      </w:r>
      <w:r>
        <w:rPr>
          <w:rStyle w:val="Funotenzeichen"/>
        </w:rPr>
        <w:footnoteReference w:id="3"/>
      </w:r>
      <w:r>
        <w:t>,</w:t>
      </w:r>
    </w:p>
    <w:p>
      <w:pPr>
        <w:pStyle w:val="GesAbsatz"/>
      </w:pPr>
      <w:r>
        <w:t>in Erwägung nachstehender Gründe:</w:t>
      </w:r>
    </w:p>
    <w:p>
      <w:pPr>
        <w:pStyle w:val="GesAbsatz"/>
      </w:pPr>
      <w:r>
        <w:lastRenderedPageBreak/>
        <w:t>Wie in Artikel 130r des Vertrages festgestellt wird, sind Erhaltung, Schutz und Verbesserung der Qualität der Umwelt wesentliches Ziel der Gemeinschaft und von allgemeinem Interesse; hierzu zählt auch der Schutz der natürlichen Lebensräume sowie der wildlebenden Tiere und Pflanzen.</w:t>
      </w:r>
    </w:p>
    <w:p>
      <w:pPr>
        <w:pStyle w:val="GesAbsatz"/>
      </w:pPr>
      <w:r>
        <w:t>Das Aktionsprogramm der Europäischen Gemeinschaften für den Umweltschutz (1987-1992)</w:t>
      </w:r>
      <w:r>
        <w:rPr>
          <w:rStyle w:val="Funotenzeichen"/>
        </w:rPr>
        <w:footnoteReference w:id="4"/>
      </w:r>
      <w:r>
        <w:t xml:space="preserve"> enthält Bestimmungen hinsichtlich der Erhaltung der Natur und der natürlichen Ressourcen.</w:t>
      </w:r>
    </w:p>
    <w:p>
      <w:pPr>
        <w:pStyle w:val="GesAbsatz"/>
      </w:pPr>
      <w:r>
        <w:t>Hauptziel dieser Richtlinie ist es, die Erhaltung der biologischen Vielfalt zu fördern, wobei jedoch die wirtschaftlichen, sozialen, kulturellen und regionalen Anforderungen berücksichtigt werden sollen. Diese Richtlinie leistet somit einen Beitrag zu dem allgemeinen Ziel einer nachhaltigen Entwicklung. Die Erhaltung der biologischen Vielfalt kann in bestimmten Fällen die Fortführung oder auch die Förderung bestimmter Tätigkeiten des Menschen erfordern.</w:t>
      </w:r>
    </w:p>
    <w:p>
      <w:pPr>
        <w:pStyle w:val="GesAbsatz"/>
      </w:pPr>
      <w:r>
        <w:t>Der Zustand der natürlichen Lebensräume im europäischen Gebiet der Mitgliedstaaten verschlechtert sich unaufhörlich. Die verschiedenen Arten wildlebender Tiere und Pflanzen sind in zunehmender Zahl ernstlich bedroht. Die bedrohten Lebensräume und Arten sind Teil des Naturerbes der Gemeinschaft, und die Bedrohung, der sie ausgesetzt sind, ist oft grenzübergreifend; daher sind zu ihrer Erhaltung Maßnahmen auf Gemeinschaftsebene erforderlich.</w:t>
      </w:r>
    </w:p>
    <w:p>
      <w:pPr>
        <w:pStyle w:val="GesAbsatz"/>
      </w:pPr>
      <w:r>
        <w:t>Bestimmte natürliche Lebensraumtypen und bestimmte Arten sind angesichts der Bedrohung, der sie ausgesetzt sind, als prioritär einzustufen, damit Maßnahmen zu ihrer Erhaltung zügig durchgeführt werden können.</w:t>
      </w:r>
    </w:p>
    <w:p>
      <w:pPr>
        <w:pStyle w:val="GesAbsatz"/>
      </w:pPr>
      <w:r>
        <w:t>Zur Wiederherstellung oder Wahrung eines günstigen Erhaltungszustandes der natürlichen Lebensräume und der Arten von gemeinschaftlichem Interesse sind besondere Schutzgebiete auszuweisen, um nach einem genau festgelegten Zeitplan ein zusammenhängendes europäisches ökologisches Netz zu schaffen.</w:t>
      </w:r>
    </w:p>
    <w:p>
      <w:pPr>
        <w:pStyle w:val="GesAbsatz"/>
      </w:pPr>
      <w:r>
        <w:t>Alle ausgewiesenen Gebiete sind in das zusammenhängende europäische ökologische Netz einzugliedern, und zwar einschließlich der nach der Richtlinie 79/409/EWG des Rates vom 2. April 1979 über die Erhaltung der wildlebenden Vogelarten</w:t>
      </w:r>
      <w:r>
        <w:rPr>
          <w:rStyle w:val="Funotenzeichen"/>
        </w:rPr>
        <w:footnoteReference w:id="5"/>
      </w:r>
      <w:r>
        <w:t xml:space="preserve"> derzeit oder künftig als besondere Schutzgebiete ausgewiesenen Gebiete.</w:t>
      </w:r>
    </w:p>
    <w:p>
      <w:pPr>
        <w:pStyle w:val="GesAbsatz"/>
      </w:pPr>
      <w:r>
        <w:t>In jedem ausgewiesenen Gebiet sind entsprechend den einschlägigen Erhaltungszielen die erforderlichen Maßnahmen durchzuführen.</w:t>
      </w:r>
    </w:p>
    <w:p>
      <w:pPr>
        <w:pStyle w:val="GesAbsatz"/>
      </w:pPr>
      <w:r>
        <w:t>Die Gebiete, die als besondere Schutzgebiete ausgewiesen werden könnten, werden von den Mitgliedstaaten vorgeschlagen; außerdem ist jedoch ein Verfahren vorzusehen, wonach in Ausnahmefällen auch ohne Vorschlag eines Mitgliedstaats die Ausweisung eines Gebiets möglich ist, wenn die Gemeinschaft dies für die Erhaltung eines prioritären natürlichen Lebensraumtyps oder für das Überleben einer prioritären Art für unbedingt erforderlich hält.</w:t>
      </w:r>
    </w:p>
    <w:p>
      <w:pPr>
        <w:pStyle w:val="GesAbsatz"/>
      </w:pPr>
      <w:r>
        <w:t>Pläne und Projekte, die sich auf die mit der Ausweisung eines Gebietes verfolgten Erhaltungsziele wesentlich auswirken könnten, sind einer angemessenen Prüfung zu unterziehen.</w:t>
      </w:r>
    </w:p>
    <w:p>
      <w:pPr>
        <w:pStyle w:val="GesAbsatz"/>
      </w:pPr>
      <w:r>
        <w:t xml:space="preserve">Es wird anerkannt, </w:t>
      </w:r>
      <w:proofErr w:type="spellStart"/>
      <w:r>
        <w:t>daß</w:t>
      </w:r>
      <w:proofErr w:type="spellEnd"/>
      <w:r>
        <w:t xml:space="preserve"> die Einleitung von Maßnahmen zugunsten der Erhaltung prioritärer natürlicher Lebensräume und prioritärer Arten von gemeinschaftlichem Interesse eine gemeinsame Verantwortung aller Mitgliedstaaten ist. Dies kann jedoch zu einer übermäßigen finanziellen Belastung mancher Mitgliedstaaten führen, da zum einen derartige Lebensräume und Arten in der Gemeinschaft ungleich verteilt sind und zum anderen im besonderen Fall der Erhaltung der Natur das Verursacherprinzip nur in begrenztem Umfang Anwendung finden kann.</w:t>
      </w:r>
    </w:p>
    <w:p>
      <w:pPr>
        <w:pStyle w:val="GesAbsatz"/>
      </w:pPr>
      <w:r>
        <w:t xml:space="preserve">Es besteht deshalb Einvernehmen darüber, </w:t>
      </w:r>
      <w:proofErr w:type="spellStart"/>
      <w:r>
        <w:t>daß</w:t>
      </w:r>
      <w:proofErr w:type="spellEnd"/>
      <w:r>
        <w:t xml:space="preserve"> in diesem Ausnahmefall eine finanzielle Beteiligung der Gemeinschaft im Rahmen der Mittel vorgesehen werden </w:t>
      </w:r>
      <w:proofErr w:type="spellStart"/>
      <w:r>
        <w:t>muß</w:t>
      </w:r>
      <w:proofErr w:type="spellEnd"/>
      <w:r>
        <w:t>, die aufgrund der Beschlüsse der Gemeinschaft bereitgestellt werden.</w:t>
      </w:r>
    </w:p>
    <w:p>
      <w:pPr>
        <w:pStyle w:val="GesAbsatz"/>
      </w:pPr>
      <w:r>
        <w:t>Im Rahmen der Landnutzungs- und Entwicklungspolitik ist die Pflege von Landschaftselementen, die von ausschlaggebender Bedeutung für wildlebende Tiere und Pflanzen sind, zu fördern.</w:t>
      </w:r>
    </w:p>
    <w:p>
      <w:pPr>
        <w:pStyle w:val="GesAbsatz"/>
      </w:pPr>
      <w:r>
        <w:t xml:space="preserve">Es sind Vorkehrungen zu treffen, durch die sich eine Überwachung des Erhaltungszustandes der in dieser Richtlinie genannten natürlichen Lebensräume und Arten sicherstellen </w:t>
      </w:r>
      <w:proofErr w:type="spellStart"/>
      <w:r>
        <w:t>läßt</w:t>
      </w:r>
      <w:proofErr w:type="spellEnd"/>
      <w:r>
        <w:t>.</w:t>
      </w:r>
    </w:p>
    <w:p>
      <w:pPr>
        <w:pStyle w:val="GesAbsatz"/>
      </w:pPr>
      <w:r>
        <w:t>Ergänzend zur Richtlinie 79/409/EWG ist ein allgemeines Schutzsystem für bestimmte Tier- und Pflanzenarten vorzusehen. Für bestimmte Arten sind Regulierungsmaßnahmen vorzusehen, wenn dies aufgrund ihres Erhaltungszustands gerechtfertigt ist; hierzu zählt auch das Verbot bestimmter Fang- und Tötungsmethoden, wobei unter gewissen Voraussetzungen Abweichungen zulässig sein müssen.</w:t>
      </w:r>
    </w:p>
    <w:p>
      <w:pPr>
        <w:pStyle w:val="GesAbsatz"/>
      </w:pPr>
      <w:r>
        <w:t>Zur Überwachung der Umsetzung dieser Richtlinie erstellt die Kommission in regelmäßigen Zeitabständen einen zusammenfassenden Bericht, der insbesondere auf den Informationen beruht, die ihr die Mitgliedstaaten über die Durchführung der aufgrund dieser Richtlinie erlassenen einzelstaatlichen Vorschriften übermitteln.</w:t>
      </w:r>
    </w:p>
    <w:p>
      <w:pPr>
        <w:pStyle w:val="GesAbsatz"/>
      </w:pPr>
      <w:r>
        <w:lastRenderedPageBreak/>
        <w:t xml:space="preserve">Für die Durchführung dieser Richtlinie ist ein Ausbau der wissenschaftlichen und technischen Erkenntnisse </w:t>
      </w:r>
      <w:proofErr w:type="spellStart"/>
      <w:r>
        <w:t>unerläßlich</w:t>
      </w:r>
      <w:proofErr w:type="spellEnd"/>
      <w:r>
        <w:t>; daher gilt es, die hierzu erforderliche Forschung und wissenschaftliche Arbeit zu fördern.</w:t>
      </w:r>
    </w:p>
    <w:p>
      <w:pPr>
        <w:pStyle w:val="GesAbsatz"/>
      </w:pPr>
      <w:r>
        <w:t xml:space="preserve">Aufgrund des technischen und wissenschaftlichen Fortschritts </w:t>
      </w:r>
      <w:proofErr w:type="spellStart"/>
      <w:r>
        <w:t>muß</w:t>
      </w:r>
      <w:proofErr w:type="spellEnd"/>
      <w:r>
        <w:t xml:space="preserve"> eine Anpassung der Anhänge möglich sein. Es ist ein Verfahren für die Anpassung der Anhänge durch den Rat vorzusehen.</w:t>
      </w:r>
    </w:p>
    <w:p>
      <w:pPr>
        <w:pStyle w:val="GesAbsatz"/>
      </w:pPr>
      <w:r>
        <w:t xml:space="preserve">Zur Unterstützung der Kommission bei der Durchführung dieser Richtlinie und insbesondere bei den Beschlüssen über die gemeinschaftliche Mitfinanzierung ist ein </w:t>
      </w:r>
      <w:proofErr w:type="spellStart"/>
      <w:r>
        <w:t>Regelungsausschuß</w:t>
      </w:r>
      <w:proofErr w:type="spellEnd"/>
      <w:r>
        <w:t xml:space="preserve"> einzusetzen.</w:t>
      </w:r>
    </w:p>
    <w:p>
      <w:pPr>
        <w:pStyle w:val="GesAbsatz"/>
      </w:pPr>
      <w:r>
        <w:t>Es sind ergänzende Maßnahmen zur Regelung der Wiederansiedlung bestimmter heimischer Tier- und Pflanzenarten sowie der eventuellen Ansiedlung nicht heimischer Arten vorzusehen.</w:t>
      </w:r>
    </w:p>
    <w:p>
      <w:pPr>
        <w:pStyle w:val="GesAbsatz"/>
      </w:pPr>
      <w:r>
        <w:t xml:space="preserve">Für eine wirksame Durchführung dieser Richtlinie sind Aufklärungsmaßnahmen und eine allgemeine Unterrichtung über die Ziele der Richtlinie </w:t>
      </w:r>
      <w:proofErr w:type="spellStart"/>
      <w:r>
        <w:t>unerläßlich</w:t>
      </w:r>
      <w:proofErr w:type="spellEnd"/>
      <w:r>
        <w:t xml:space="preserve"> -</w:t>
      </w:r>
    </w:p>
    <w:p>
      <w:pPr>
        <w:pStyle w:val="GesAbsatz"/>
      </w:pPr>
      <w:r>
        <w:t xml:space="preserve">hat folgende Richtlinie </w:t>
      </w:r>
      <w:proofErr w:type="spellStart"/>
      <w:r>
        <w:t>erlassen</w:t>
      </w:r>
      <w:proofErr w:type="spellEnd"/>
      <w:r>
        <w:t>:</w:t>
      </w:r>
    </w:p>
    <w:p>
      <w:pPr>
        <w:pStyle w:val="berschrift2"/>
      </w:pPr>
      <w:bookmarkStart w:id="6" w:name="_Toc109461089"/>
      <w:r>
        <w:t>Begriffsbestimmungen</w:t>
      </w:r>
      <w:bookmarkEnd w:id="6"/>
    </w:p>
    <w:p>
      <w:pPr>
        <w:pStyle w:val="berschrift2"/>
      </w:pPr>
      <w:bookmarkStart w:id="7" w:name="_Toc450527948"/>
      <w:bookmarkStart w:id="8" w:name="_Toc450528031"/>
      <w:bookmarkStart w:id="9" w:name="_Toc451581951"/>
      <w:bookmarkStart w:id="10" w:name="_Toc451582745"/>
      <w:bookmarkStart w:id="11" w:name="_Toc109461090"/>
      <w:r>
        <w:t>Artikel 1</w:t>
      </w:r>
      <w:bookmarkEnd w:id="7"/>
      <w:bookmarkEnd w:id="8"/>
      <w:bookmarkEnd w:id="9"/>
      <w:bookmarkEnd w:id="10"/>
      <w:bookmarkEnd w:id="11"/>
    </w:p>
    <w:p>
      <w:pPr>
        <w:pStyle w:val="GesAbsatz"/>
      </w:pPr>
      <w:r>
        <w:t>Im Sinne dieser Richtlinie bedeutet:</w:t>
      </w:r>
    </w:p>
    <w:p>
      <w:pPr>
        <w:pStyle w:val="GesAbsatz"/>
        <w:tabs>
          <w:tab w:val="clear" w:pos="425"/>
        </w:tabs>
        <w:ind w:left="426" w:hanging="426"/>
      </w:pPr>
      <w:r>
        <w:t>a)</w:t>
      </w:r>
      <w:r>
        <w:tab/>
        <w:t>„Erhaltung“: alle Maßnahmen, die erforderlich sind, um die natürlichen Lebensräume und die Populationen wildlebender Tier- und Pflanzenarten in einem günstigen Erhaltungszustand im Sinne des Buchstabens e) oder i) zu erhalten oder diesen wiederherzustellen.</w:t>
      </w:r>
    </w:p>
    <w:p>
      <w:pPr>
        <w:pStyle w:val="GesAbsatz"/>
        <w:tabs>
          <w:tab w:val="clear" w:pos="425"/>
        </w:tabs>
        <w:ind w:left="426" w:hanging="426"/>
      </w:pPr>
      <w:r>
        <w:t>b)</w:t>
      </w:r>
      <w:r>
        <w:tab/>
        <w:t>„Natürlicher Lebensraum“: durch geographische, abiotische und biotische Merkmale gekennzeichnete völlig natürliche oder naturnahe terrestrische oder aquatische Gebiete.</w:t>
      </w:r>
    </w:p>
    <w:p>
      <w:pPr>
        <w:pStyle w:val="GesAbsatz"/>
        <w:tabs>
          <w:tab w:val="clear" w:pos="425"/>
        </w:tabs>
        <w:ind w:left="426" w:hanging="426"/>
      </w:pPr>
      <w:r>
        <w:t>c)</w:t>
      </w:r>
      <w:r>
        <w:tab/>
        <w:t>„Natürliche Lebensräume von gemeinschaftlichem Interesse“: diejenigen Lebensräume, die in dem in Artikel 2 erwähnten Gebiet</w:t>
      </w:r>
    </w:p>
    <w:p>
      <w:pPr>
        <w:pStyle w:val="GesAbsatz"/>
        <w:tabs>
          <w:tab w:val="clear" w:pos="425"/>
          <w:tab w:val="left" w:pos="426"/>
        </w:tabs>
        <w:ind w:left="426"/>
      </w:pPr>
      <w:r>
        <w:t>i)</w:t>
      </w:r>
      <w:r>
        <w:tab/>
        <w:t>im Bereich ihres natürlichen Vorkommens vom Verschwinden bedroht sind oder</w:t>
      </w:r>
    </w:p>
    <w:p>
      <w:pPr>
        <w:pStyle w:val="GesAbsatz"/>
        <w:tabs>
          <w:tab w:val="clear" w:pos="425"/>
        </w:tabs>
        <w:ind w:left="851" w:hanging="425"/>
      </w:pPr>
      <w:r>
        <w:t>ii)</w:t>
      </w:r>
      <w:r>
        <w:tab/>
        <w:t>infolge ihres Rückgangs oder aufgrund ihres an sich schon begrenzten Vorkommens ein geringes natürliches Verbreitungsgebiet haben oder</w:t>
      </w:r>
    </w:p>
    <w:p>
      <w:pPr>
        <w:pStyle w:val="GesAbsatz"/>
        <w:numPr>
          <w:ilvl w:val="12"/>
          <w:numId w:val="0"/>
        </w:numPr>
        <w:tabs>
          <w:tab w:val="clear" w:pos="425"/>
        </w:tabs>
        <w:ind w:left="851" w:hanging="425"/>
      </w:pPr>
      <w:r>
        <w:t>iii)</w:t>
      </w:r>
      <w:r>
        <w:tab/>
        <w:t>typische Merkmale einer oder mehrerer der folgenden neun biogeografischen Regionen aufweisen: alpine, atlantische, boreale, kontinentale, makaronesische, mediterrane, pannonische Region sowie Schwarzmeer- und Steppenregion.</w:t>
      </w:r>
    </w:p>
    <w:p>
      <w:pPr>
        <w:pStyle w:val="GesAbsatz"/>
        <w:tabs>
          <w:tab w:val="clear" w:pos="425"/>
        </w:tabs>
        <w:ind w:left="426" w:hanging="426"/>
      </w:pPr>
      <w:r>
        <w:t>Diese Lebensraumtypen sind in Anhang I aufgeführt bzw. können dort aufgeführt werden.</w:t>
      </w:r>
    </w:p>
    <w:p>
      <w:pPr>
        <w:pStyle w:val="GesAbsatz"/>
        <w:tabs>
          <w:tab w:val="clear" w:pos="425"/>
        </w:tabs>
        <w:ind w:left="426" w:hanging="426"/>
      </w:pPr>
      <w:r>
        <w:t>d)</w:t>
      </w:r>
      <w:r>
        <w:tab/>
        <w:t>„Prioritäre natürliche Lebensraumtypen“: die in dem in Artikel 2 genannten Gebiet vom Verschwinden bedrohten natürlichen Lebensraumtypen, für deren Erhaltung der Gemeinschaft aufgrund der natürlichen Ausdehnung dieser Lebensraumtypen im Verhältnis zu dem in Artikel 2 genannten Gebiet besondere Verantwortung zukommt; diese prioritären natürlichen Lebensraumtypen sind in Anhang I mit einem Sternchen (*) gekennzeichnet;</w:t>
      </w:r>
    </w:p>
    <w:p>
      <w:pPr>
        <w:pStyle w:val="GesAbsatz"/>
        <w:tabs>
          <w:tab w:val="clear" w:pos="425"/>
        </w:tabs>
        <w:ind w:left="426" w:hanging="426"/>
      </w:pPr>
      <w:r>
        <w:t>e)</w:t>
      </w:r>
      <w:r>
        <w:tab/>
        <w:t>„Erhaltungszustand eines natürlichen Lebensraums“: die Gesamtheit der Einwirkungen, die den betreffenden Lebensraum und die darin vorkommenden charakteristischen Arten beeinflussen und die sich langfristig auf seine natürliche Verbreitung, seine Struktur und seine Funktionen sowie das Überleben seiner charakteristischen Arten in dem in Artikel 2 genannten Gebiet auswirken können.</w:t>
      </w:r>
    </w:p>
    <w:p>
      <w:pPr>
        <w:pStyle w:val="GesAbsatz"/>
        <w:numPr>
          <w:ilvl w:val="12"/>
          <w:numId w:val="0"/>
        </w:numPr>
        <w:tabs>
          <w:tab w:val="clear" w:pos="425"/>
        </w:tabs>
        <w:ind w:left="426"/>
      </w:pPr>
      <w:r>
        <w:t>Der „Erhaltungszustand“ eines natürlichen Lebensraums wird als „günstig erachtet, wenn</w:t>
      </w:r>
    </w:p>
    <w:p>
      <w:pPr>
        <w:pStyle w:val="GesAbsatz"/>
        <w:tabs>
          <w:tab w:val="clear" w:pos="425"/>
        </w:tabs>
        <w:ind w:left="851" w:hanging="425"/>
      </w:pPr>
      <w:r>
        <w:t>-</w:t>
      </w:r>
      <w:r>
        <w:tab/>
        <w:t>sein natürliches Verbreitungsgebiet sowie die Flächen, die er in diesem Gebiet einnimmt, beständig sind oder sich ausdehnen und</w:t>
      </w:r>
    </w:p>
    <w:p>
      <w:pPr>
        <w:pStyle w:val="GesAbsatz"/>
        <w:tabs>
          <w:tab w:val="clear" w:pos="425"/>
        </w:tabs>
        <w:ind w:left="851" w:hanging="425"/>
      </w:pPr>
      <w:r>
        <w:t>-</w:t>
      </w:r>
      <w:r>
        <w:tab/>
        <w:t>die für seinen langfristigen Fortbestand notwendige Struktur und spezifischen Funktionen bestehen und in absehbarer Zukunft wahrscheinlich weiterbestehen werden und</w:t>
      </w:r>
    </w:p>
    <w:p>
      <w:pPr>
        <w:pStyle w:val="GesAbsatz"/>
        <w:tabs>
          <w:tab w:val="clear" w:pos="425"/>
        </w:tabs>
        <w:ind w:left="851" w:hanging="425"/>
      </w:pPr>
      <w:r>
        <w:t>-</w:t>
      </w:r>
      <w:r>
        <w:tab/>
        <w:t>der Erhaltungszustand der für ihn charakteristischen Arten im Sinne des Buchstabens i) günstig ist.</w:t>
      </w:r>
    </w:p>
    <w:p>
      <w:pPr>
        <w:pStyle w:val="GesAbsatz"/>
        <w:tabs>
          <w:tab w:val="clear" w:pos="425"/>
        </w:tabs>
        <w:ind w:left="426" w:hanging="426"/>
      </w:pPr>
      <w:r>
        <w:t>f)</w:t>
      </w:r>
      <w:r>
        <w:tab/>
        <w:t>„Habitat einer Art“: durch spezifische abiotische und biotische Faktoren bestimmter Lebensraum, in dem diese Art in einem der Stadien ihres Lebenskreislaufs vorkommt.</w:t>
      </w:r>
    </w:p>
    <w:p>
      <w:pPr>
        <w:pStyle w:val="GesAbsatz"/>
        <w:tabs>
          <w:tab w:val="clear" w:pos="425"/>
        </w:tabs>
        <w:ind w:left="426" w:hanging="426"/>
      </w:pPr>
      <w:r>
        <w:t>g)</w:t>
      </w:r>
      <w:r>
        <w:tab/>
        <w:t>„Arten von gemeinschaftlichem Interesse“: Arten, die in dem in Artikel 2 bezeichneten Gebiet</w:t>
      </w:r>
    </w:p>
    <w:p>
      <w:pPr>
        <w:pStyle w:val="GesAbsatz"/>
        <w:tabs>
          <w:tab w:val="clear" w:pos="425"/>
        </w:tabs>
        <w:ind w:left="851" w:hanging="425"/>
      </w:pPr>
      <w:r>
        <w:t>i)</w:t>
      </w:r>
      <w:r>
        <w:tab/>
        <w:t>bedroht sind, außer denjenigen, deren natürliche Verbreitung sich nur auf Randzonen des vorgenannten Gebietes erstreckt und die weder bedroht noch im Gebiet der westlichen Paläarktis potentiell bedroht sind, oder</w:t>
      </w:r>
    </w:p>
    <w:p>
      <w:pPr>
        <w:pStyle w:val="GesAbsatz"/>
        <w:tabs>
          <w:tab w:val="clear" w:pos="425"/>
        </w:tabs>
        <w:ind w:left="851" w:hanging="425"/>
      </w:pPr>
      <w:r>
        <w:lastRenderedPageBreak/>
        <w:t>ii)</w:t>
      </w:r>
      <w:r>
        <w:tab/>
        <w:t>potentiell bedroht sind, d. h., deren baldiger Übergang in die Kategorie der bedrohten Arten als wahrscheinlich betrachtet wird, falls die ursächlichen Faktoren der Bedrohung fortdauern, oder</w:t>
      </w:r>
    </w:p>
    <w:p>
      <w:pPr>
        <w:pStyle w:val="GesAbsatz"/>
        <w:tabs>
          <w:tab w:val="clear" w:pos="425"/>
        </w:tabs>
        <w:ind w:left="851" w:hanging="425"/>
      </w:pPr>
      <w:r>
        <w:t>iii)</w:t>
      </w:r>
      <w:r>
        <w:tab/>
        <w:t>selten sind, d. h., deren Populationen klein und, wenn nicht unmittelbar, so doch mittelbar bedroht oder potentiell bedroht sind. Diese Arten kommen entweder in begrenzten geographischen Regionen oder in einem größeren Gebiet vereinzelt vor, oder</w:t>
      </w:r>
    </w:p>
    <w:p>
      <w:pPr>
        <w:pStyle w:val="GesAbsatz"/>
        <w:tabs>
          <w:tab w:val="clear" w:pos="425"/>
        </w:tabs>
        <w:ind w:left="851" w:hanging="425"/>
      </w:pPr>
      <w:r>
        <w:t>iv)</w:t>
      </w:r>
      <w:r>
        <w:tab/>
        <w:t>endemisch sind und infolge der besonderen Merkmale ihres Habitats und/oder der potentiellen Auswirkungen ihrer Nutzung auf ihren Erhaltungszustand besondere Beachtung erfordern.</w:t>
      </w:r>
    </w:p>
    <w:p>
      <w:pPr>
        <w:pStyle w:val="GesAbsatz"/>
        <w:numPr>
          <w:ilvl w:val="12"/>
          <w:numId w:val="0"/>
        </w:numPr>
        <w:tabs>
          <w:tab w:val="clear" w:pos="425"/>
        </w:tabs>
        <w:ind w:left="426"/>
      </w:pPr>
      <w:r>
        <w:t>Diese Arten sind in Anhang II und/oder Anhang IV oder Anhang V aufgeführt bzw. können dort aufgeführt werden.</w:t>
      </w:r>
    </w:p>
    <w:p>
      <w:pPr>
        <w:pStyle w:val="GesAbsatz"/>
        <w:tabs>
          <w:tab w:val="clear" w:pos="425"/>
        </w:tabs>
        <w:ind w:left="426" w:hanging="426"/>
      </w:pPr>
      <w:r>
        <w:t>h)</w:t>
      </w:r>
      <w:r>
        <w:tab/>
        <w:t>„Prioritäre Arten“: die unter Buchstabe g) Ziffer i) genannten Arten, für deren Erhaltung der Gemeinschaft aufgrund ihrer natürlichen Ausdehnung im Verhältnis zu dem in Artikel 2 genannten Gebiet besondere Verantwortung zukommt; diese prioritären Arten sind in Anhang II mit einem Sternchen (*) gekennzeichnet.</w:t>
      </w:r>
    </w:p>
    <w:p>
      <w:pPr>
        <w:pStyle w:val="GesAbsatz"/>
        <w:tabs>
          <w:tab w:val="clear" w:pos="425"/>
        </w:tabs>
        <w:ind w:left="426" w:hanging="426"/>
      </w:pPr>
      <w:r>
        <w:t>i)</w:t>
      </w:r>
      <w:r>
        <w:tab/>
        <w:t>„Erhaltungszustand einer Art“: die Gesamtheit der Einflüsse, die sich langfristig auf die Verbreitung und die Größe der Populationen der betreffenden Arten in dem in Artikel 2 bezeichneten Gebiet auswirken können.</w:t>
      </w:r>
    </w:p>
    <w:p>
      <w:pPr>
        <w:pStyle w:val="GesAbsatz"/>
        <w:numPr>
          <w:ilvl w:val="12"/>
          <w:numId w:val="0"/>
        </w:numPr>
        <w:tabs>
          <w:tab w:val="clear" w:pos="425"/>
        </w:tabs>
        <w:ind w:left="426"/>
      </w:pPr>
      <w:r>
        <w:t>Der Erhaltungszustand wird als „günstig“ betrachtet, wenn</w:t>
      </w:r>
    </w:p>
    <w:p>
      <w:pPr>
        <w:pStyle w:val="GesAbsatz"/>
        <w:tabs>
          <w:tab w:val="clear" w:pos="425"/>
        </w:tabs>
        <w:ind w:left="851" w:hanging="425"/>
      </w:pPr>
      <w:r>
        <w:t>-</w:t>
      </w:r>
      <w:r>
        <w:tab/>
        <w:t xml:space="preserve">aufgrund der Daten über die Populationsdynamik der Art anzunehmen ist, </w:t>
      </w:r>
      <w:proofErr w:type="spellStart"/>
      <w:r>
        <w:t>daß</w:t>
      </w:r>
      <w:proofErr w:type="spellEnd"/>
      <w:r>
        <w:t xml:space="preserve"> diese Art ein lebensfähiges Element des natürlichen Lebensraumes, dem sie angehört, bildet und langfristig weiterhin bilden wird, und</w:t>
      </w:r>
    </w:p>
    <w:p>
      <w:pPr>
        <w:pStyle w:val="GesAbsatz"/>
        <w:tabs>
          <w:tab w:val="clear" w:pos="425"/>
        </w:tabs>
        <w:ind w:left="851" w:hanging="425"/>
      </w:pPr>
      <w:r>
        <w:t>-</w:t>
      </w:r>
      <w:r>
        <w:tab/>
        <w:t>das natürliche Verbreitungsgebiet dieser Art weder abnimmt noch in absehbarer Zeit vermutlich abnehmen wird und</w:t>
      </w:r>
    </w:p>
    <w:p>
      <w:pPr>
        <w:pStyle w:val="GesAbsatz"/>
        <w:tabs>
          <w:tab w:val="clear" w:pos="425"/>
        </w:tabs>
        <w:ind w:left="851" w:hanging="425"/>
      </w:pPr>
      <w:r>
        <w:t>-</w:t>
      </w:r>
      <w:r>
        <w:tab/>
        <w:t>ein genügend großer Lebensraum vorhanden ist und wahrscheinlich weiterhin vorhanden sein wird, um langfristig ein Überleben der Populationen dieser Art zu sichern.</w:t>
      </w:r>
    </w:p>
    <w:p>
      <w:pPr>
        <w:pStyle w:val="GesAbsatz"/>
        <w:tabs>
          <w:tab w:val="clear" w:pos="425"/>
        </w:tabs>
        <w:ind w:left="426" w:hanging="426"/>
      </w:pPr>
      <w:r>
        <w:t>j)</w:t>
      </w:r>
      <w:r>
        <w:tab/>
        <w:t>„Gebiet“: ein geographisch definierter Bereich mit klar abgegrenzter Fläche.</w:t>
      </w:r>
    </w:p>
    <w:p>
      <w:pPr>
        <w:pStyle w:val="GesAbsatz"/>
        <w:tabs>
          <w:tab w:val="clear" w:pos="425"/>
        </w:tabs>
        <w:ind w:left="426" w:hanging="426"/>
      </w:pPr>
      <w:r>
        <w:t>k)</w:t>
      </w:r>
      <w:r>
        <w:tab/>
        <w:t>„Gebiet von gemeinschaftlicher Bedeutung“: Gebiet, das in der oder den biogeographischen Region(en), zu welchen es gehört, in signifikantem Maße dazu beiträgt, einen natürlichen Lebensraumtyp des Anhangs I oder eine Art des Anhangs II in einem günstigen Erhaltungszustand zu bewahren oder einen solchen wiederherzustellen und auch in signifikantem Maße zur Kohärenz des in Artikel 3 genannten Netzes „Natura 2000“ und/oder in signifikantem Maße zur biologischen Vielfalt in der biogeographischen Region beitragen kann.</w:t>
      </w:r>
    </w:p>
    <w:p>
      <w:pPr>
        <w:pStyle w:val="GesAbsatz"/>
        <w:numPr>
          <w:ilvl w:val="12"/>
          <w:numId w:val="0"/>
        </w:numPr>
        <w:tabs>
          <w:tab w:val="clear" w:pos="425"/>
        </w:tabs>
        <w:ind w:left="426"/>
      </w:pPr>
      <w:r>
        <w:t xml:space="preserve">Bei Tierarten, die große Lebensräume beanspruchen, entsprechen die Gebiete von gemeinschaftlichem Interesse den Orten im natürlichen Verbreitungsgebiet dieser Arten, welche die für ihr Leben und ihre Fortpflanzung ausschlaggebenden physischen und biologischen Elemente </w:t>
      </w:r>
      <w:proofErr w:type="gramStart"/>
      <w:r>
        <w:t>aufweisen..</w:t>
      </w:r>
      <w:proofErr w:type="gramEnd"/>
    </w:p>
    <w:p>
      <w:pPr>
        <w:pStyle w:val="GesAbsatz"/>
        <w:tabs>
          <w:tab w:val="clear" w:pos="425"/>
        </w:tabs>
        <w:ind w:left="426" w:hanging="426"/>
      </w:pPr>
      <w:r>
        <w:t>l)</w:t>
      </w:r>
      <w:r>
        <w:tab/>
        <w:t>„Besonderes Schutzgebiet“: ein von den Mitgliedstaaten durch eine Rechts- oder Verwaltungsvorschrift und/oder eine vertragliche Vereinbarung als ein von gemeinschaftlicher Bedeutung ausgewiesenes Gebiet, in dem die Maßnahmen, die zur Wahrung oder Wiederherstellung eines günstigen Erhaltungszustandes der natürlichen Lebensräume und/oder Populationen der Arten, für die das Gebiet bestimmt ist, erforderlich sind, durchgeführt werden.</w:t>
      </w:r>
    </w:p>
    <w:p>
      <w:pPr>
        <w:pStyle w:val="GesAbsatz"/>
        <w:tabs>
          <w:tab w:val="clear" w:pos="425"/>
        </w:tabs>
        <w:ind w:left="426" w:hanging="426"/>
      </w:pPr>
      <w:r>
        <w:t>m)</w:t>
      </w:r>
      <w:r>
        <w:tab/>
        <w:t>„Exemplar“: jedes Tier oder jede Pflanze - lebend oder tot - der in Anhang IV und Anhang V aufgeführten Arten, jedes Teil oder jedes aus dem Tier oder der Pflanze gewonnene Produkt sowie jede andere Ware, die aufgrund eines Begleitdokuments, der Verpackung, eines Zeichens, eines Etiketts oder eines anderen Sachverhalts als Teil oder Derivat von Tieren oder Pflanzen der erwähnten Arten identifiziert werden kann.</w:t>
      </w:r>
    </w:p>
    <w:p>
      <w:pPr>
        <w:pStyle w:val="GesAbsatz"/>
        <w:tabs>
          <w:tab w:val="clear" w:pos="425"/>
        </w:tabs>
        <w:ind w:left="426" w:hanging="426"/>
      </w:pPr>
      <w:r>
        <w:t>n)</w:t>
      </w:r>
      <w:r>
        <w:tab/>
        <w:t>„</w:t>
      </w:r>
      <w:proofErr w:type="spellStart"/>
      <w:r>
        <w:t>Ausschuß</w:t>
      </w:r>
      <w:proofErr w:type="spellEnd"/>
      <w:r>
        <w:t xml:space="preserve">“: der aufgrund des Artikels 20 eingesetzte </w:t>
      </w:r>
      <w:proofErr w:type="spellStart"/>
      <w:r>
        <w:t>Ausschuß</w:t>
      </w:r>
      <w:proofErr w:type="spellEnd"/>
      <w:r>
        <w:t>.</w:t>
      </w:r>
    </w:p>
    <w:p>
      <w:pPr>
        <w:pStyle w:val="berschrift2"/>
      </w:pPr>
      <w:bookmarkStart w:id="12" w:name="_Toc450527949"/>
      <w:bookmarkStart w:id="13" w:name="_Toc450528032"/>
      <w:bookmarkStart w:id="14" w:name="_Toc451581952"/>
      <w:bookmarkStart w:id="15" w:name="_Toc451582746"/>
      <w:bookmarkStart w:id="16" w:name="_Toc109461091"/>
      <w:r>
        <w:t>Artikel 2</w:t>
      </w:r>
      <w:bookmarkEnd w:id="12"/>
      <w:bookmarkEnd w:id="13"/>
      <w:bookmarkEnd w:id="14"/>
      <w:bookmarkEnd w:id="15"/>
      <w:bookmarkEnd w:id="16"/>
    </w:p>
    <w:p>
      <w:pPr>
        <w:pStyle w:val="GesAbsatz"/>
        <w:tabs>
          <w:tab w:val="clear" w:pos="425"/>
        </w:tabs>
      </w:pPr>
      <w:r>
        <w:t>(1) Diese Richtlinie hat zum Ziel, zur Sicherung der Artenvielfalt durch die Erhaltung der natürlichen Lebensräume sowie der wildlebenden Tiere und Pflanzen im europäischen Gebiet der Mitgliedstaaten, für das der Vertrag Geltung hat, beizutragen.</w:t>
      </w:r>
    </w:p>
    <w:p>
      <w:pPr>
        <w:pStyle w:val="GesAbsatz"/>
        <w:tabs>
          <w:tab w:val="clear" w:pos="425"/>
        </w:tabs>
      </w:pPr>
      <w:r>
        <w:t>(2) Die aufgrund dieser Richtlinie getroffenen Maßnahmen zielen darauf ab, einen günstigen Erhaltungszustand der natürlichen Lebensräume und wildlebenden Tier- und Pflanzenarten von gemeinschaftlichem Interesse zu bewahren oder wiederherzustellen.</w:t>
      </w:r>
    </w:p>
    <w:p>
      <w:pPr>
        <w:pStyle w:val="GesAbsatz"/>
        <w:tabs>
          <w:tab w:val="clear" w:pos="425"/>
        </w:tabs>
      </w:pPr>
      <w:r>
        <w:lastRenderedPageBreak/>
        <w:t>(3) Die aufgrund dieser Richtlinie getroffenen Maßnahmen tragen den Anforderungen von Wirtschaft, Gesellschaft und Kultur sowie den regionalen und örtlichen Besonderheiten Rechnung.</w:t>
      </w:r>
    </w:p>
    <w:p>
      <w:pPr>
        <w:pStyle w:val="berschrift2"/>
      </w:pPr>
      <w:bookmarkStart w:id="17" w:name="_Toc109461092"/>
      <w:r>
        <w:t>Erhaltung der natürlichen Lebensräume und der Habitate der Arten</w:t>
      </w:r>
      <w:bookmarkEnd w:id="17"/>
    </w:p>
    <w:p>
      <w:pPr>
        <w:pStyle w:val="berschrift2"/>
      </w:pPr>
      <w:bookmarkStart w:id="18" w:name="_Toc450527950"/>
      <w:bookmarkStart w:id="19" w:name="_Toc450528033"/>
      <w:bookmarkStart w:id="20" w:name="_Toc451581953"/>
      <w:bookmarkStart w:id="21" w:name="_Toc451582747"/>
      <w:bookmarkStart w:id="22" w:name="_Toc109461093"/>
      <w:r>
        <w:t>Artikel 3</w:t>
      </w:r>
      <w:bookmarkEnd w:id="18"/>
      <w:bookmarkEnd w:id="19"/>
      <w:bookmarkEnd w:id="20"/>
      <w:bookmarkEnd w:id="21"/>
      <w:bookmarkEnd w:id="22"/>
    </w:p>
    <w:p>
      <w:pPr>
        <w:pStyle w:val="GesAbsatz"/>
      </w:pPr>
      <w:r>
        <w:t xml:space="preserve">(1) Es wird ein kohärentes europäisches ökologisches Netz besonderer Schutzgebiete mit der Bezeichnung „Natura 2000“ errichtet. Dieses Netz besteht aus Gebieten, die die natürlichen Lebensraumtypen des Anhangs I sowie die Habitate der Arten des Anhangs II umfassen, und </w:t>
      </w:r>
      <w:proofErr w:type="spellStart"/>
      <w:r>
        <w:t>muß</w:t>
      </w:r>
      <w:proofErr w:type="spellEnd"/>
      <w:r>
        <w:t xml:space="preserve"> den Fortbestand oder gegebenenfalls die Wiederherstellung eines günstigen Erhaltungszustandes dieser natürlichen Lebensraumtypen und Habitate der Arten in ihrem natürlichen Verbreitungsgebiet gewährleisten.</w:t>
      </w:r>
    </w:p>
    <w:p>
      <w:pPr>
        <w:pStyle w:val="GesAbsatz"/>
      </w:pPr>
      <w:r>
        <w:t xml:space="preserve">Das Netz „Natura 2000“ </w:t>
      </w:r>
      <w:proofErr w:type="spellStart"/>
      <w:r>
        <w:t>umfaßt</w:t>
      </w:r>
      <w:proofErr w:type="spellEnd"/>
      <w:r>
        <w:t xml:space="preserve"> auch die von den Mitgliedstaaten aufgrund der Richtlinie 79/409/EWG ausgewiesenen besonderen Schutzgebiete.</w:t>
      </w:r>
    </w:p>
    <w:p>
      <w:pPr>
        <w:pStyle w:val="GesAbsatz"/>
      </w:pPr>
      <w:r>
        <w:t>(2) Jeder Staat trägt im Verhältnis der in seinem Hoheitsgebiet vorhandenen in Absatz 1 genannten natürlichen Lebensraumtypen und Habitate der Arten zur Errichtung von Natura 2000 bei. Zu diesem Zweck weist er nach den Bestimmungen des Artikels 4 Gebiete als besondere Schutzgebiete aus, wobei er den in Absatz 1 genannten Zielen Rechnung trägt.</w:t>
      </w:r>
    </w:p>
    <w:p>
      <w:pPr>
        <w:pStyle w:val="GesAbsatz"/>
      </w:pPr>
      <w:r>
        <w:t>(3) Die Mitgliedstaaten werden sich, wo sie dies für erforderlich halten, bemühen, die ökologische Kohärenz von Natura 2000 durch die Erhaltung und gegebenenfalls die Schaffung der in Artikel 10 genannten Landschaftselemente, die von ausschlaggebender Bedeutung für wildlebende Tiere und Pflanzen sind, zu verbessern.</w:t>
      </w:r>
    </w:p>
    <w:p>
      <w:pPr>
        <w:pStyle w:val="berschrift2"/>
      </w:pPr>
      <w:bookmarkStart w:id="23" w:name="_Toc450527951"/>
      <w:bookmarkStart w:id="24" w:name="_Toc450528034"/>
      <w:bookmarkStart w:id="25" w:name="_Toc451581954"/>
      <w:bookmarkStart w:id="26" w:name="_Toc451582748"/>
      <w:bookmarkStart w:id="27" w:name="_Toc109461094"/>
      <w:r>
        <w:t>Artikel 4</w:t>
      </w:r>
      <w:bookmarkEnd w:id="23"/>
      <w:bookmarkEnd w:id="24"/>
      <w:bookmarkEnd w:id="25"/>
      <w:bookmarkEnd w:id="26"/>
      <w:bookmarkEnd w:id="27"/>
    </w:p>
    <w:p>
      <w:pPr>
        <w:pStyle w:val="GesAbsatz"/>
      </w:pPr>
      <w:r>
        <w:t xml:space="preserve">(1) Anhand der in Anhang III (Phase 1) festgelegten Kriterien und einschlägiger wissenschaftlicher Informationen legt jeder Mitgliedstaat eine Liste von Gebieten vor, in der die in diesen Gebieten vorkommenden natürlichen Lebensraumtypen des Anhangs I und einheimischen Arten des Anhangs II aufgeführt sind. Bei Tierarten, die große Lebensräume beanspruchen, entsprechen diese Gebiete den Orten im natürlichen Verbreitungsgebiet dieser Arten, welche die für ihr Leben und ihre Fortpflanzung ausschlaggebenden physischen und biologischen Elemente aufweisen. Für im Wasser lebende Tierarten, die große Lebensräume beanspruchen, werden solche Gebiete nur vorgeschlagen, wenn sich ein Raum klar abgrenzen </w:t>
      </w:r>
      <w:proofErr w:type="spellStart"/>
      <w:r>
        <w:t>läßt</w:t>
      </w:r>
      <w:proofErr w:type="spellEnd"/>
      <w:r>
        <w:t>, der die für das Leben und die Fortpflanzung dieser Arten ausschlaggebenden physischen und biologischen Elemente aufweist. Die Mitgliedstaaten schlagen gegebenenfalls die Anpassung dieser Liste im Lichte der Ergebnisse der in Artikel 11 genannten Überwachung vor.</w:t>
      </w:r>
    </w:p>
    <w:p>
      <w:pPr>
        <w:pStyle w:val="GesAbsatz"/>
      </w:pPr>
      <w:r>
        <w:t>Binnen drei Jahren nach der Bekanntgabe dieser Richtlinie wird der Kommission diese Liste gleichzeitig mit den Informationen über die einzelnen Gebiete zugeleitet. Diese Informationen umfassen eine kartographische Darstellung des Gebietes, seine Bezeichnung, seine geographische Lage, seine Größe sowie die Daten, die sich aus der Anwendung der in Anhang III (Phase 1) genannten Kriterien ergeben, und werden anhand eines von der Kommission nach dem Verfahren des Artikels 21 ausgearbeiteten Formulars übermittelt.</w:t>
      </w:r>
    </w:p>
    <w:p>
      <w:pPr>
        <w:pStyle w:val="GesAbsatz"/>
      </w:pPr>
      <w:r>
        <w:t>(2) Auf der Grundlage der in Anhang III (Phase 2) festgelegten Kriterien und im Rahmen der neun in Artikel 1 Buchstabe c) Ziffer iii) erwähnten biogeographischen Regionen sowie des in Artikel 2 Absatz 1 genannten Gesamtgebietes erstellt die Kommission jeweils im Einvernehmen mit den Mitgliedstaaten aus den Listen der Mitgliedstaaten den Entwurf einer Liste der Gebiete von gemeinschaftlicher Bedeutung, in der die Gebiete mit einem oder mehreren prioritären natürlichen Lebensraumtyp(en) oder einer oder mehreren prioritären Art(en) ausgewiesen sind.</w:t>
      </w:r>
    </w:p>
    <w:p>
      <w:pPr>
        <w:pStyle w:val="GesAbsatz"/>
      </w:pPr>
      <w:r>
        <w:t xml:space="preserve">Die Mitgliedstaaten, bei denen Gebiete mit einem oder mehreren prioritären natürlichen Lebensraumtyp(en) und einer oder mehreren prioritären Art(en) flächenmäßig mehr als 5 v. H. des Hoheitsgebiets ausmachen, können im Einvernehmen mit der Kommission beantragen, </w:t>
      </w:r>
      <w:proofErr w:type="spellStart"/>
      <w:r>
        <w:t>daß</w:t>
      </w:r>
      <w:proofErr w:type="spellEnd"/>
      <w:r>
        <w:t xml:space="preserve"> die in Anhang III (Phase 2) angeführten Kriterien bei der Auswahl aller in ihrem Hoheitsgebiet liegenden Gebiete von gemeinschaftlicher Bedeutung flexibler angewandt werden.</w:t>
      </w:r>
    </w:p>
    <w:p>
      <w:pPr>
        <w:pStyle w:val="GesAbsatz"/>
      </w:pPr>
      <w:r>
        <w:t>Die Liste der Gebiete, die als Gebiete von gemeinschaftlicher Bedeutung ausgewählt wurden und in der die Gebiete mit einem oder mehreren prioritären natürlichen Lebensraumtyp(en) oder einer oder mehreren prioritären Art(en) ausgewiesen sind, wird von der Kommission nach dem Verfahren des Artikels 21 festgelegt.</w:t>
      </w:r>
    </w:p>
    <w:p>
      <w:pPr>
        <w:pStyle w:val="GesAbsatz"/>
      </w:pPr>
      <w:r>
        <w:t>(3) Die in Absatz 2 erwähnte Liste wird binnen sechs Jahren nach Bekanntgabe dieser Richtlinie erstellt.</w:t>
      </w:r>
    </w:p>
    <w:p>
      <w:pPr>
        <w:pStyle w:val="GesAbsatz"/>
      </w:pPr>
      <w:r>
        <w:t xml:space="preserve">(4) Ist ein Gebiet aufgrund des in Absatz 2 genannten Verfahrens als Gebiet von gemeinschaftlicher Bedeutung bezeichnet worden, so weist der betreffende Mitgliedstaat dieses Gebiet so schnell wie möglich - spätestens aber binnen sechs Jahren - als besonderes Schutzgebiet aus und legt dabei die Prioritäten nach Maßgabe </w:t>
      </w:r>
      <w:r>
        <w:lastRenderedPageBreak/>
        <w:t>der Wichtigkeit dieser Gebiete für die Wahrung oder die Wiederherstellung eines günstigen Erhaltungszustandes eines natürlichen Lebensraumtyps des Anhangs I oder einer Art des Anhangs II und für die Kohärenz des Netzes Natura 2000 sowie danach fest, inwieweit diese Gebiete von Schädigung oder Zerstörung bedroht sind.</w:t>
      </w:r>
    </w:p>
    <w:p>
      <w:pPr>
        <w:pStyle w:val="GesAbsatz"/>
      </w:pPr>
      <w:r>
        <w:t>(5) Sobald ein Gebiet in die Liste des Absatzes 2 Unterabsatz 3 aufgenommen ist, unterliegt es den Bestimmungen des Artikels 6 Absätze 2, 3 und 4.</w:t>
      </w:r>
    </w:p>
    <w:p>
      <w:pPr>
        <w:pStyle w:val="berschrift2"/>
      </w:pPr>
      <w:bookmarkStart w:id="28" w:name="_Toc450527952"/>
      <w:bookmarkStart w:id="29" w:name="_Toc450528035"/>
      <w:bookmarkStart w:id="30" w:name="_Toc451581955"/>
      <w:bookmarkStart w:id="31" w:name="_Toc451582749"/>
      <w:bookmarkStart w:id="32" w:name="_Toc109461095"/>
      <w:r>
        <w:t>Artikel 5</w:t>
      </w:r>
      <w:bookmarkEnd w:id="28"/>
      <w:bookmarkEnd w:id="29"/>
      <w:bookmarkEnd w:id="30"/>
      <w:bookmarkEnd w:id="31"/>
      <w:bookmarkEnd w:id="32"/>
    </w:p>
    <w:p>
      <w:pPr>
        <w:pStyle w:val="GesAbsatz"/>
      </w:pPr>
      <w:r>
        <w:t xml:space="preserve">(1) In Ausnahmefällen, in denen die Kommission feststellt, </w:t>
      </w:r>
      <w:proofErr w:type="spellStart"/>
      <w:r>
        <w:t>daß</w:t>
      </w:r>
      <w:proofErr w:type="spellEnd"/>
      <w:r>
        <w:t xml:space="preserve"> ein Gebiet mit einem prioritären natürlichen Lebensraumtyp oder einer prioritären Art in einer nationalen Liste nach Artikel 4 Absatz 1 nicht aufgeführt ist, das ihres Erachtens aufgrund von zuverlässigen einschlägigen wissenschaftlichen Daten für den Fortbestand dieses prioritären natürlichen Lebensraumtyps oder das Überleben dieser prioritären Art </w:t>
      </w:r>
      <w:proofErr w:type="spellStart"/>
      <w:r>
        <w:t>unerläßlich</w:t>
      </w:r>
      <w:proofErr w:type="spellEnd"/>
      <w:r>
        <w:t xml:space="preserve"> ist, wird ein bilaterales Konzertierungsverfahren zwischen diesem Mitgliedstaat und der Kommission zum Vergleich der auf beiden Seiten verwendeten wissenschaftlichen Daten eingeleitet.</w:t>
      </w:r>
    </w:p>
    <w:p>
      <w:pPr>
        <w:pStyle w:val="GesAbsatz"/>
      </w:pPr>
      <w:r>
        <w:t>(2) Herrschen nach einem Konzertierungszeitraum von höchstens sechs Monaten weiterhin Meinungsverschiedenheiten, so übermittelt die Kommission dem Rat einen Vorschlag über die Auswahl des Gebietes als Gebiet von gemeinschaftlicher Bedeutung.</w:t>
      </w:r>
    </w:p>
    <w:p>
      <w:pPr>
        <w:pStyle w:val="GesAbsatz"/>
      </w:pPr>
      <w:r>
        <w:t xml:space="preserve">(3) Der Rat beschließt einstimmig innerhalb von drei Monaten ab dem Zeitpunkt, zu dem er mit diesem Vorschlag </w:t>
      </w:r>
      <w:proofErr w:type="spellStart"/>
      <w:r>
        <w:t>befaßt</w:t>
      </w:r>
      <w:proofErr w:type="spellEnd"/>
      <w:r>
        <w:t xml:space="preserve"> worden ist.</w:t>
      </w:r>
    </w:p>
    <w:p>
      <w:pPr>
        <w:pStyle w:val="GesAbsatz"/>
      </w:pPr>
      <w:r>
        <w:t xml:space="preserve">(4) Während der Konzertierungsphase und bis zur </w:t>
      </w:r>
      <w:proofErr w:type="spellStart"/>
      <w:r>
        <w:t>Beschlußfassung</w:t>
      </w:r>
      <w:proofErr w:type="spellEnd"/>
      <w:r>
        <w:t xml:space="preserve"> des Rates unterliegt das betreffende Gebiet den Bestimmungen des Artikels 6 Absatz 2</w:t>
      </w:r>
    </w:p>
    <w:p>
      <w:pPr>
        <w:pStyle w:val="berschrift2"/>
      </w:pPr>
      <w:bookmarkStart w:id="33" w:name="_Toc450527953"/>
      <w:bookmarkStart w:id="34" w:name="_Toc450528036"/>
      <w:bookmarkStart w:id="35" w:name="_Toc451581956"/>
      <w:bookmarkStart w:id="36" w:name="_Toc451582750"/>
      <w:bookmarkStart w:id="37" w:name="_Toc109461096"/>
      <w:r>
        <w:t>Artikel 6</w:t>
      </w:r>
      <w:bookmarkEnd w:id="33"/>
      <w:bookmarkEnd w:id="34"/>
      <w:bookmarkEnd w:id="35"/>
      <w:bookmarkEnd w:id="36"/>
      <w:bookmarkEnd w:id="37"/>
    </w:p>
    <w:p>
      <w:pPr>
        <w:pStyle w:val="GesAbsatz"/>
      </w:pPr>
      <w:r>
        <w:t>(1) Für die besonderen Schutzgebiete legen die Mitgliedstaaten die nötigen Erhaltungsmaßnahmen fest, die gegebenenfalls geeignete, eigens für die Gebiete aufgestellte oder in andere Entwicklungspläne integrierte Bewirtschaftungspläne und geeignete Maßnahmen rechtlicher, administrativer oder vertraglicher Art umfassen, die den ökologischen Erfordernissen der natürlichen Lebensraumtypen nach Anhang I und der Arten nach Anhang II entsprechen, die in diesen Gebieten vorkommen.</w:t>
      </w:r>
    </w:p>
    <w:p>
      <w:pPr>
        <w:pStyle w:val="GesAbsatz"/>
      </w:pPr>
      <w:r>
        <w:t>(2) Die Mitgliedstaaten treffen die geeigneten Maßnahmen, um in den besonderen Schutzgebieten die Verschlechterung der natürlichen Lebensräume und der Habitate der Arten sowie Störungen von Arten, für die die Gebiete ausgewiesen worden sind, zu vermeiden, sofern solche Störungen sich im Hinblick auf die Ziele dieser Richtlinie erheblich auswirken könnten.</w:t>
      </w:r>
    </w:p>
    <w:p>
      <w:pPr>
        <w:pStyle w:val="GesAbsatz"/>
      </w:pPr>
      <w:r>
        <w:t xml:space="preserve">(3) Pläne oder Projekte, die nicht unmittelbar mit der Verwaltung des Gebietes in Verbindung stehen oder hierfür nicht notwendig sind, die ein solches Gebiet jedoch einzeln oder in Zusammenwirkung mit anderen Plänen und Projekten erheblich beeinträchtigen könnten, erfordern eine Prüfung auf Verträglichkeit mit den für dieses Gebiet festgelegten Erhaltungszielen. Unter Berücksichtigung der Ergebnisse der Verträglichkeitsprüfung und vorbehaltlich des Absatzes 4 stimmen die zuständigen einzelstaatlichen Behörden dem Plan bzw. Projekt nur zu, wenn sie festgestellt haben, </w:t>
      </w:r>
      <w:proofErr w:type="spellStart"/>
      <w:r>
        <w:t>daß</w:t>
      </w:r>
      <w:proofErr w:type="spellEnd"/>
      <w:r>
        <w:t xml:space="preserve"> das Gebiet als solches nicht beeinträchtigt wird, und nachdem sie gegebenenfalls die Öffentlichkeit angehört haben.</w:t>
      </w:r>
    </w:p>
    <w:p>
      <w:pPr>
        <w:pStyle w:val="GesAbsatz"/>
      </w:pPr>
      <w:r>
        <w:t xml:space="preserve">(4) Ist trotz negativer Ergebnisse der Verträglichkeitsprüfung aus zwingenden Gründen des überwiegenden öffentlichen Interesses einschließlich solcher sozialer oder wirtschaftlicher Art ein Plan oder Projekt durchzuführen und ist eine Alternativlösung nicht vorhanden, so ergreift der Mitgliedstaat alle notwendigen Ausgleichsmaßnahmen, um sicherzustellen, </w:t>
      </w:r>
      <w:proofErr w:type="spellStart"/>
      <w:r>
        <w:t>daß</w:t>
      </w:r>
      <w:proofErr w:type="spellEnd"/>
      <w:r>
        <w:t xml:space="preserve"> die globale Kohärenz von Natura 2000 geschützt ist. Der Mitgliedstaat unterrichtet die Kommission über die von ihm ergriffenen Ausgleichsmaßnahmen.</w:t>
      </w:r>
    </w:p>
    <w:p>
      <w:pPr>
        <w:pStyle w:val="GesAbsatz"/>
      </w:pPr>
      <w:r>
        <w:t>Ist das betreffende Gebiet ein Gebiet, das einen prioritären natürlichen Lebensraumtyp und/oder eine prioritäre Art einschließt, so können nur Erwägungen im Zusammenhang mit der Gesundheit des Menschen und der öffentlichen Sicherheit oder im Zusammenhang mit maßgeblichen günstigen Auswirkungen für die Umwelt oder, nach Stellungnahme der Kommission, andere zwingende Gründe des überwiegenden öffentlichen Interesses geltend gemacht werden.</w:t>
      </w:r>
    </w:p>
    <w:p>
      <w:pPr>
        <w:pStyle w:val="berschrift2"/>
      </w:pPr>
      <w:bookmarkStart w:id="38" w:name="_Toc450527954"/>
      <w:bookmarkStart w:id="39" w:name="_Toc450528037"/>
      <w:bookmarkStart w:id="40" w:name="_Toc451581957"/>
      <w:bookmarkStart w:id="41" w:name="_Toc451582751"/>
      <w:bookmarkStart w:id="42" w:name="_Toc109461097"/>
      <w:r>
        <w:t>Artikel 7</w:t>
      </w:r>
      <w:bookmarkEnd w:id="38"/>
      <w:bookmarkEnd w:id="39"/>
      <w:bookmarkEnd w:id="40"/>
      <w:bookmarkEnd w:id="41"/>
      <w:bookmarkEnd w:id="42"/>
    </w:p>
    <w:p>
      <w:pPr>
        <w:pStyle w:val="GesAbsatz"/>
      </w:pPr>
      <w:r>
        <w:t>Was die nach Artikel 4 Absatz 1 der Richtlinie 79/409/EWG zu besonderen Schutzgebieten erklärten oder nach Artikel 4 Absatz 2 derselben Richtlinie als solche anerkannten Gebiete anbelangt, so treten die Verpflichtungen nach Artikel 6 Absätze 2, 3 und 4 der vorliegenden Richtlinie ab dem Datum für die Anwendung der vorliegenden Richtlinie bzw. danach ab dem Datum, zu dem das betreffende Gebiet von einem Mitgliedstaat entsprechend der Richtlinie 79/409/EWG zum besonderen Schutzgebiet erklärt oder als solches anerkannt wird, an die Stelle der Pflichten, die sich aus Artikel 4 Absatz 4 Satz 1 der Richtlinie 79/409/EWG ergeben.</w:t>
      </w:r>
    </w:p>
    <w:p>
      <w:pPr>
        <w:pStyle w:val="berschrift2"/>
      </w:pPr>
      <w:bookmarkStart w:id="43" w:name="_Toc450527955"/>
      <w:bookmarkStart w:id="44" w:name="_Toc450528038"/>
      <w:bookmarkStart w:id="45" w:name="_Toc451581958"/>
      <w:bookmarkStart w:id="46" w:name="_Toc451582752"/>
      <w:bookmarkStart w:id="47" w:name="_Toc109461098"/>
      <w:r>
        <w:lastRenderedPageBreak/>
        <w:t>Artikel 8</w:t>
      </w:r>
      <w:bookmarkEnd w:id="43"/>
      <w:bookmarkEnd w:id="44"/>
      <w:bookmarkEnd w:id="45"/>
      <w:bookmarkEnd w:id="46"/>
      <w:bookmarkEnd w:id="47"/>
    </w:p>
    <w:p>
      <w:pPr>
        <w:pStyle w:val="GesAbsatz"/>
      </w:pPr>
      <w:r>
        <w:t>(1) Die Mitgliedstaaten übermitteln der Kommission zusammen mit ihren Vorschlägen für Gebiete, die als besondere Schutzgebiete mit prioritären natürlichen Lebensraumtypen und/oder prioritären Arten ausgewiesen werden können, gegebenenfalls ihre Schätzungen bezüglich der finanziellen Beteiligung der Gemeinschaft, die ihres Erachtens für die Erfüllung ihrer Verpflichtungen nach Artikel 6 Absatz 1 erforderlich ist.</w:t>
      </w:r>
    </w:p>
    <w:p>
      <w:pPr>
        <w:pStyle w:val="GesAbsatz"/>
      </w:pPr>
      <w:r>
        <w:t>(2) Die Kommission erarbeitet im Benehmen mit jedem betroffenen Mitgliedstaat für die Gebiete von gemeinschaftlichem Interesse, für die eine finanzielle Beteiligung beantragt wird, die Maßnahmen, die für die Wahrung oder Wiederherstellung eines günstigen Erhaltungszustands der prioritären natürlichen Lebensraumtypen und der prioritären Arten in den betreffenden Gebieten wesentlich sind, und ermittelt die Gesamtkosten dieser Maßnahmen.</w:t>
      </w:r>
    </w:p>
    <w:p>
      <w:pPr>
        <w:pStyle w:val="GesAbsatz"/>
      </w:pPr>
      <w:r>
        <w:t>(3) Die Kommission ermittelt im Benehmen mit den betreffenden Mitgliedstaaten die für die Durchführung der Maßnahmen nach Absatz 2 erforderliche Finanzierung einschließlich der finanziellen Beteiligung der Gemeinschaft; dabei berücksichtigt sie unter anderem die Konzentration der prioritären natürlichen Lebensraumtypen und/oder prioritären Arten im Hoheitsgebiet des Mitgliedstaats und die Belastung jedes Mitgliedstaats durch die erforderlichen Maßnahmen.</w:t>
      </w:r>
    </w:p>
    <w:p>
      <w:pPr>
        <w:pStyle w:val="GesAbsatz"/>
      </w:pPr>
      <w:r>
        <w:t>(4) Entsprechend der Schätzung nach den Absätzen 2 und 3 legt die Kommission unter Berücksichtigung der nach den einschlägigen Gemeinschaftsinstrumenten verfügbaren Finanzmittel gemäß dem Verfahren des Artikels 21 einen prioritären Aktionsrahmen von Maßnahmen fest, die eine finanzielle Beteiligung umfassen und zu treffen sind, wenn das Gebiet gemäß Artikel 4 Absatz 4 ausgewiesen worden ist.</w:t>
      </w:r>
    </w:p>
    <w:p>
      <w:pPr>
        <w:pStyle w:val="GesAbsatz"/>
      </w:pPr>
      <w:r>
        <w:t>(5) Maßnahmen, die mangels ausreichender Mittel in dem vorgenannten Aktionsrahmen nicht berücksichtigt worden sind bzw. in diesen Aktionsrahmen aufgenommen wurden, für die die erforderliche finanzielle Beteiligung jedoch nicht oder nur teilweise vorgesehen wurde, werden nach dem Verfahren des Artikels 21 im Rahmen der alle zwei Jahre erfolgenden Überprüfung des Aktionsrahmens erneut geprüft und können bis dahin von den Mitgliedstaaten zurückgestellt werden. Bei dieser Überprüfung wird gegebenenfalls der neuen Situation in dem betreffenden Gebiet Rechnung getragen.</w:t>
      </w:r>
    </w:p>
    <w:p>
      <w:pPr>
        <w:pStyle w:val="GesAbsatz"/>
      </w:pPr>
      <w:r>
        <w:t>(6) In Gebieten, in denen von einer finanziellen Beteiligung abhängige Maßnahmen zurückgestellt werden, sehen die Mitgliedstaaten von neuen Maßnahmen ab, die zu einer Verschlechterung des Zustands dieser Gebiete führen können.</w:t>
      </w:r>
    </w:p>
    <w:p>
      <w:pPr>
        <w:pStyle w:val="berschrift2"/>
      </w:pPr>
      <w:bookmarkStart w:id="48" w:name="_Toc450527956"/>
      <w:bookmarkStart w:id="49" w:name="_Toc450528039"/>
      <w:bookmarkStart w:id="50" w:name="_Toc451581959"/>
      <w:bookmarkStart w:id="51" w:name="_Toc451582753"/>
      <w:bookmarkStart w:id="52" w:name="_Toc109461099"/>
      <w:r>
        <w:t>Artikel 9</w:t>
      </w:r>
      <w:bookmarkEnd w:id="48"/>
      <w:bookmarkEnd w:id="49"/>
      <w:bookmarkEnd w:id="50"/>
      <w:bookmarkEnd w:id="51"/>
      <w:bookmarkEnd w:id="52"/>
    </w:p>
    <w:p>
      <w:pPr>
        <w:pStyle w:val="GesAbsatz"/>
      </w:pPr>
      <w:r>
        <w:t>Die Kommission beurteilt im Rahmen des Verfahrens nach Artikel 21 in regelmäßigen Zeitabständen den Beitrag von Natura 2000 zur Verwirklichung der in den Artikeln 2 und 3 genannten Ziele. In diesem Zusammenhang kann die Aufhebung der Klassifizierung als besonderes Schutzgebiet in den Fällen erwogen werden, in denen die gemäß Artikel 11 beobachtete natürliche Entwicklung dies rechtfertigt.</w:t>
      </w:r>
    </w:p>
    <w:p>
      <w:pPr>
        <w:pStyle w:val="berschrift2"/>
      </w:pPr>
      <w:bookmarkStart w:id="53" w:name="_Toc450527957"/>
      <w:bookmarkStart w:id="54" w:name="_Toc450528040"/>
      <w:bookmarkStart w:id="55" w:name="_Toc451581960"/>
      <w:bookmarkStart w:id="56" w:name="_Toc451582754"/>
      <w:bookmarkStart w:id="57" w:name="_Toc109461100"/>
      <w:r>
        <w:t>Artikel 10</w:t>
      </w:r>
      <w:bookmarkEnd w:id="53"/>
      <w:bookmarkEnd w:id="54"/>
      <w:bookmarkEnd w:id="55"/>
      <w:bookmarkEnd w:id="56"/>
      <w:bookmarkEnd w:id="57"/>
    </w:p>
    <w:p>
      <w:pPr>
        <w:pStyle w:val="GesAbsatz"/>
      </w:pPr>
      <w:r>
        <w:t>Die Mitgliedstaaten werden sich dort, wo sie dies im Rahmen ihrer Landnutzungs- und Entwicklungspolitik, insbesondere zur Verbesserung der ökologischen Kohärenz von Natura 2000, für erforderlich halten, bemühen, die Pflege von Landschaftselementen, die von ausschlaggebender Bedeutung für wildlebende Tiere und Pflanzen sind, zu fördern.</w:t>
      </w:r>
    </w:p>
    <w:p>
      <w:pPr>
        <w:pStyle w:val="GesAbsatz"/>
      </w:pPr>
      <w:r>
        <w:t>Hierbei handelt es sich um Landschaftselemente, die aufgrund ihrer linearen, fortlaufenden Struktur (z. B. Flüsse mit ihren Ufern oder herkömmlichen Feldrainen) oder ihrer Vernetzungsfunktion (z. B. Teiche oder Gehölze) für die Wanderung, die geographische Verbreitung und den genetischen Austausch wildlebender Arten wesentlich sind.</w:t>
      </w:r>
    </w:p>
    <w:p>
      <w:pPr>
        <w:pStyle w:val="berschrift2"/>
      </w:pPr>
      <w:bookmarkStart w:id="58" w:name="_Toc450527958"/>
      <w:bookmarkStart w:id="59" w:name="_Toc450528041"/>
      <w:bookmarkStart w:id="60" w:name="_Toc451581961"/>
      <w:bookmarkStart w:id="61" w:name="_Toc451582755"/>
      <w:bookmarkStart w:id="62" w:name="_Toc109461101"/>
      <w:r>
        <w:t>Artikel 11</w:t>
      </w:r>
      <w:bookmarkEnd w:id="58"/>
      <w:bookmarkEnd w:id="59"/>
      <w:bookmarkEnd w:id="60"/>
      <w:bookmarkEnd w:id="61"/>
      <w:bookmarkEnd w:id="62"/>
    </w:p>
    <w:p>
      <w:pPr>
        <w:pStyle w:val="GesAbsatz"/>
      </w:pPr>
      <w:r>
        <w:t>Die Mitgliedstaaten überwachen den Erhaltungszustand der in Artikel 2 genannten Arten und Lebensräume, wobei sie die prioritären natürlichen Lebensraumtypen und die prioritären Arten besonders berücksichtigen.</w:t>
      </w:r>
    </w:p>
    <w:p>
      <w:pPr>
        <w:pStyle w:val="berschrift2"/>
      </w:pPr>
      <w:bookmarkStart w:id="63" w:name="_Toc109461102"/>
      <w:r>
        <w:t>Artenschutz</w:t>
      </w:r>
      <w:bookmarkEnd w:id="63"/>
    </w:p>
    <w:p>
      <w:pPr>
        <w:pStyle w:val="berschrift2"/>
      </w:pPr>
      <w:bookmarkStart w:id="64" w:name="_Toc450527959"/>
      <w:bookmarkStart w:id="65" w:name="_Toc450528042"/>
      <w:bookmarkStart w:id="66" w:name="_Toc451581962"/>
      <w:bookmarkStart w:id="67" w:name="_Toc451582756"/>
      <w:bookmarkStart w:id="68" w:name="_Toc109461103"/>
      <w:r>
        <w:t>Artikel 12</w:t>
      </w:r>
      <w:bookmarkEnd w:id="64"/>
      <w:bookmarkEnd w:id="65"/>
      <w:bookmarkEnd w:id="66"/>
      <w:bookmarkEnd w:id="67"/>
      <w:bookmarkEnd w:id="68"/>
    </w:p>
    <w:p>
      <w:pPr>
        <w:pStyle w:val="GesAbsatz"/>
      </w:pPr>
      <w:r>
        <w:t>(1) Die Mitgliedstaaten treffen die notwendigen Maßnahmen, um ein strenges Schutzsystem für die in Anhang IV Buchstabe a) genannten Tierarten in deren natürlichen Verbreitungsgebieten einzuführen; dieses verbietet:</w:t>
      </w:r>
    </w:p>
    <w:p>
      <w:pPr>
        <w:pStyle w:val="GesAbsatz"/>
        <w:tabs>
          <w:tab w:val="clear" w:pos="425"/>
        </w:tabs>
        <w:ind w:left="426" w:hanging="426"/>
      </w:pPr>
      <w:r>
        <w:lastRenderedPageBreak/>
        <w:t>a)</w:t>
      </w:r>
      <w:r>
        <w:tab/>
        <w:t>alle absichtlichen Formen des Fangs oder der Tötung von aus der Natur entnommenen Exemplaren dieser Arten;</w:t>
      </w:r>
    </w:p>
    <w:p>
      <w:pPr>
        <w:pStyle w:val="GesAbsatz"/>
        <w:tabs>
          <w:tab w:val="clear" w:pos="425"/>
        </w:tabs>
        <w:ind w:left="426" w:hanging="426"/>
      </w:pPr>
      <w:r>
        <w:t>b)</w:t>
      </w:r>
      <w:r>
        <w:tab/>
        <w:t>jede absichtliche Störung dieser Arten, insbesondere während der Fortpflanzungs-, Aufzucht-, Überwinterungs- und Wanderungszeiten;</w:t>
      </w:r>
    </w:p>
    <w:p>
      <w:pPr>
        <w:pStyle w:val="GesAbsatz"/>
        <w:tabs>
          <w:tab w:val="clear" w:pos="425"/>
        </w:tabs>
        <w:ind w:left="426" w:hanging="426"/>
      </w:pPr>
      <w:r>
        <w:t>c)</w:t>
      </w:r>
      <w:r>
        <w:tab/>
        <w:t>jede absichtliche Zerstörung oder Entnahme von Eiern aus der Natur;</w:t>
      </w:r>
    </w:p>
    <w:p>
      <w:pPr>
        <w:pStyle w:val="GesAbsatz"/>
        <w:tabs>
          <w:tab w:val="clear" w:pos="425"/>
        </w:tabs>
        <w:ind w:left="426" w:hanging="426"/>
      </w:pPr>
      <w:r>
        <w:t>d)</w:t>
      </w:r>
      <w:r>
        <w:tab/>
        <w:t>jede Beschädigung oder Vernichtung der Fortpflanzungs- oder Ruhestätten.</w:t>
      </w:r>
    </w:p>
    <w:p>
      <w:pPr>
        <w:pStyle w:val="GesAbsatz"/>
        <w:tabs>
          <w:tab w:val="clear" w:pos="425"/>
        </w:tabs>
      </w:pPr>
      <w:r>
        <w:t>(2) Für diese Arten verbieten die Mitgliedstaaten Besitz, Transport, Handel oder Austausch und Angebot zum Verkauf oder Austausch von aus der Natur entnommenen Exemplaren; vor Beginn der Anwendbarkeit dieser Richtlinie rechtmäßig entnommene Exemplare sind hiervon ausgenommen.</w:t>
      </w:r>
    </w:p>
    <w:p>
      <w:pPr>
        <w:pStyle w:val="GesAbsatz"/>
        <w:tabs>
          <w:tab w:val="clear" w:pos="425"/>
        </w:tabs>
      </w:pPr>
      <w:r>
        <w:t>(3) Die Verbote nach Absatz 1 Buchstaben a) und b) sowie nach Absatz 2 gelten für alle Lebensstadien der Tiere im Sinne dieses Artikels.</w:t>
      </w:r>
    </w:p>
    <w:p>
      <w:pPr>
        <w:pStyle w:val="GesAbsatz"/>
        <w:tabs>
          <w:tab w:val="clear" w:pos="425"/>
        </w:tabs>
      </w:pPr>
      <w:r>
        <w:t xml:space="preserve">(4) Die Mitgliedstaaten führen ein System zur fortlaufenden Überwachung des unbeabsichtigten Fangs oder Tötens der in Anhang IV Buchstabe a) genannten Tierarten ein. Anhand der gesammelten Informationen leiten die Mitgliedstaaten diejenigen weiteren Untersuchungs- oder Erhaltungsmaßnahmen ein, die erforderlich sind, um sicherzustellen, </w:t>
      </w:r>
      <w:proofErr w:type="spellStart"/>
      <w:r>
        <w:t>daß</w:t>
      </w:r>
      <w:proofErr w:type="spellEnd"/>
      <w:r>
        <w:t xml:space="preserve"> der unbeabsichtigte Fang oder das unbeabsichtigte Töten keine signifikanten negativen Auswirkungen auf die betreffenden Arten haben.</w:t>
      </w:r>
    </w:p>
    <w:p>
      <w:pPr>
        <w:pStyle w:val="berschrift2"/>
      </w:pPr>
      <w:bookmarkStart w:id="69" w:name="_Toc450527960"/>
      <w:bookmarkStart w:id="70" w:name="_Toc450528043"/>
      <w:bookmarkStart w:id="71" w:name="_Toc451581963"/>
      <w:bookmarkStart w:id="72" w:name="_Toc451582757"/>
      <w:bookmarkStart w:id="73" w:name="_Toc109461104"/>
      <w:r>
        <w:t>Artikel 13</w:t>
      </w:r>
      <w:bookmarkEnd w:id="69"/>
      <w:bookmarkEnd w:id="70"/>
      <w:bookmarkEnd w:id="71"/>
      <w:bookmarkEnd w:id="72"/>
      <w:bookmarkEnd w:id="73"/>
    </w:p>
    <w:p>
      <w:pPr>
        <w:pStyle w:val="GesAbsatz"/>
        <w:tabs>
          <w:tab w:val="clear" w:pos="425"/>
        </w:tabs>
      </w:pPr>
      <w:r>
        <w:t>(1) Die Mitgliedstaaten ergreifen die erforderlichen Maßnahmen, um ein striktes Schutzsystem für die in Anhang IV Buchstabe b) angegebenen Pflanzenarten aufzubauen, das folgendes verbietet:</w:t>
      </w:r>
    </w:p>
    <w:p>
      <w:pPr>
        <w:pStyle w:val="GesAbsatz"/>
        <w:tabs>
          <w:tab w:val="clear" w:pos="425"/>
        </w:tabs>
        <w:ind w:left="426" w:hanging="426"/>
      </w:pPr>
      <w:r>
        <w:t>a)</w:t>
      </w:r>
      <w:r>
        <w:tab/>
        <w:t>absichtliches Pflücken, Sammeln, Abschneiden, Ausgraben oder Vernichten von Exemplaren solcher Pflanzen in deren Verbreitungsräumen in der Natur;</w:t>
      </w:r>
    </w:p>
    <w:p>
      <w:pPr>
        <w:pStyle w:val="GesAbsatz"/>
        <w:tabs>
          <w:tab w:val="clear" w:pos="425"/>
        </w:tabs>
        <w:ind w:left="426" w:hanging="426"/>
      </w:pPr>
      <w:r>
        <w:t>b)</w:t>
      </w:r>
      <w:r>
        <w:tab/>
        <w:t>Besitz, Transport, Handel oder Austausch und Angebot zum Verkauf oder zum Austausch von aus der Natur entnommenen Exemplaren solcher Pflanzen; vor Beginn der Anwendbarkeit dieser Richtlinie rechtmäßig entnommene Exemplare sind hiervon ausgenommen.</w:t>
      </w:r>
    </w:p>
    <w:p>
      <w:pPr>
        <w:pStyle w:val="GesAbsatz"/>
        <w:tabs>
          <w:tab w:val="clear" w:pos="425"/>
        </w:tabs>
      </w:pPr>
      <w:r>
        <w:t>(2) Die Verbote nach Absatz 1 Buchstaben a) und b) gelten für alle Lebensstadien der Pflanzen im Sinne dieses Artikels.</w:t>
      </w:r>
    </w:p>
    <w:p>
      <w:pPr>
        <w:pStyle w:val="berschrift2"/>
      </w:pPr>
      <w:bookmarkStart w:id="74" w:name="_Toc450527961"/>
      <w:bookmarkStart w:id="75" w:name="_Toc450528044"/>
      <w:bookmarkStart w:id="76" w:name="_Toc451581964"/>
      <w:bookmarkStart w:id="77" w:name="_Toc451582758"/>
      <w:bookmarkStart w:id="78" w:name="_Toc109461105"/>
      <w:r>
        <w:t>Artikel 14</w:t>
      </w:r>
      <w:bookmarkEnd w:id="74"/>
      <w:bookmarkEnd w:id="75"/>
      <w:bookmarkEnd w:id="76"/>
      <w:bookmarkEnd w:id="77"/>
      <w:bookmarkEnd w:id="78"/>
    </w:p>
    <w:p>
      <w:pPr>
        <w:pStyle w:val="GesAbsatz"/>
        <w:tabs>
          <w:tab w:val="clear" w:pos="425"/>
        </w:tabs>
      </w:pPr>
      <w:r>
        <w:t>(1) Die Mitgliedstaaten treffen, sofern sie es aufgrund der Überwachung gemäß Artikel 11 für erforderlich halten, die notwendigen Maßnahmen, damit die Entnahme aus der Natur von Exemplaren der wildlebenden Tier- und Pflanzenarten des Anhangs V sowie deren Nutzung mit der Aufrechterhaltung eines günstigen Erhaltungszustands vereinbar sind.</w:t>
      </w:r>
    </w:p>
    <w:p>
      <w:pPr>
        <w:pStyle w:val="GesAbsatz"/>
        <w:tabs>
          <w:tab w:val="clear" w:pos="425"/>
        </w:tabs>
      </w:pPr>
      <w:r>
        <w:t>(2) Werden derartige Maßnahmen für erforderlich gehalten, so müssen sie die Fortsetzung der Überwachung gemäß Artikel 11 beinhalten. Außerdem können sie insbesondere folgendes umfassen:</w:t>
      </w:r>
    </w:p>
    <w:p>
      <w:pPr>
        <w:pStyle w:val="GesAbsatz"/>
        <w:tabs>
          <w:tab w:val="clear" w:pos="425"/>
        </w:tabs>
        <w:ind w:left="426" w:hanging="426"/>
      </w:pPr>
      <w:r>
        <w:t>Vorschriften bezüglich des Zugangs zu bestimmten Bereichen;</w:t>
      </w:r>
    </w:p>
    <w:p>
      <w:pPr>
        <w:pStyle w:val="GesAbsatz"/>
        <w:tabs>
          <w:tab w:val="clear" w:pos="425"/>
        </w:tabs>
        <w:ind w:left="426" w:hanging="426"/>
      </w:pPr>
      <w:r>
        <w:t>-</w:t>
      </w:r>
      <w:r>
        <w:tab/>
        <w:t>das zeitlich oder örtlich begrenzte Verbot der Entnahme von Exemplaren aus der Natur und der Nutzung bestimmter Populationen;</w:t>
      </w:r>
    </w:p>
    <w:p>
      <w:pPr>
        <w:pStyle w:val="GesAbsatz"/>
        <w:tabs>
          <w:tab w:val="clear" w:pos="425"/>
        </w:tabs>
        <w:ind w:left="426" w:hanging="426"/>
      </w:pPr>
      <w:r>
        <w:t>-</w:t>
      </w:r>
      <w:r>
        <w:tab/>
        <w:t>die Regelung der Entnahmeperioden und/oder -formen;</w:t>
      </w:r>
    </w:p>
    <w:p>
      <w:pPr>
        <w:pStyle w:val="GesAbsatz"/>
        <w:tabs>
          <w:tab w:val="clear" w:pos="425"/>
        </w:tabs>
        <w:ind w:left="426" w:hanging="426"/>
      </w:pPr>
      <w:r>
        <w:t>-</w:t>
      </w:r>
      <w:r>
        <w:tab/>
        <w:t>die Einhaltung von dem Erhaltungsbedarf derartiger Populationen Rechnung tragenden waidmännischen oder fischereilichen Regeln bei der Entnahme von Exemplaren;</w:t>
      </w:r>
    </w:p>
    <w:p>
      <w:pPr>
        <w:pStyle w:val="GesAbsatz"/>
        <w:tabs>
          <w:tab w:val="clear" w:pos="425"/>
        </w:tabs>
        <w:ind w:left="426" w:hanging="426"/>
      </w:pPr>
      <w:r>
        <w:t>-</w:t>
      </w:r>
      <w:r>
        <w:tab/>
        <w:t>die Einführung eines Systems von Genehmigungen für die Entnahme oder von Quoten;</w:t>
      </w:r>
    </w:p>
    <w:p>
      <w:pPr>
        <w:pStyle w:val="GesAbsatz"/>
        <w:tabs>
          <w:tab w:val="clear" w:pos="425"/>
        </w:tabs>
        <w:ind w:left="426" w:hanging="426"/>
      </w:pPr>
      <w:r>
        <w:t>-</w:t>
      </w:r>
      <w:r>
        <w:tab/>
        <w:t>die Regelung von Kauf, Verkauf, Feilhalten, Besitz oder Transport zwecks Verkauf der Exemplare;</w:t>
      </w:r>
    </w:p>
    <w:p>
      <w:pPr>
        <w:pStyle w:val="GesAbsatz"/>
        <w:tabs>
          <w:tab w:val="clear" w:pos="425"/>
        </w:tabs>
        <w:ind w:left="426" w:hanging="426"/>
      </w:pPr>
      <w:r>
        <w:t>-</w:t>
      </w:r>
      <w:r>
        <w:tab/>
        <w:t>das Züchten in Gefangenschaft von Tierarten sowie die künstliche Vermehrung von Pflanzenarten unter streng kontrollierten Bedingungen, um die Entnahme von Exemplaren aus der Natur zu verringern;</w:t>
      </w:r>
    </w:p>
    <w:p>
      <w:pPr>
        <w:pStyle w:val="GesAbsatz"/>
        <w:tabs>
          <w:tab w:val="clear" w:pos="425"/>
        </w:tabs>
        <w:ind w:left="426" w:hanging="426"/>
      </w:pPr>
      <w:r>
        <w:t>-</w:t>
      </w:r>
      <w:r>
        <w:tab/>
        <w:t>die Beurteilung der Auswirkungen der ergriffenen Maßnahmen.</w:t>
      </w:r>
    </w:p>
    <w:p>
      <w:pPr>
        <w:pStyle w:val="berschrift2"/>
      </w:pPr>
      <w:bookmarkStart w:id="79" w:name="_Toc450527962"/>
      <w:bookmarkStart w:id="80" w:name="_Toc450528045"/>
      <w:bookmarkStart w:id="81" w:name="_Toc451581965"/>
      <w:bookmarkStart w:id="82" w:name="_Toc451582759"/>
      <w:bookmarkStart w:id="83" w:name="_Toc109461106"/>
      <w:r>
        <w:t>Artikel 15</w:t>
      </w:r>
      <w:bookmarkEnd w:id="79"/>
      <w:bookmarkEnd w:id="80"/>
      <w:bookmarkEnd w:id="81"/>
      <w:bookmarkEnd w:id="82"/>
      <w:bookmarkEnd w:id="83"/>
    </w:p>
    <w:p>
      <w:pPr>
        <w:pStyle w:val="GesAbsatz"/>
        <w:tabs>
          <w:tab w:val="clear" w:pos="425"/>
        </w:tabs>
      </w:pPr>
      <w:r>
        <w:t xml:space="preserve">In </w:t>
      </w:r>
      <w:proofErr w:type="spellStart"/>
      <w:r>
        <w:t>bezug</w:t>
      </w:r>
      <w:proofErr w:type="spellEnd"/>
      <w:r>
        <w:t xml:space="preserve"> auf den Fang oder das Töten der in Anhang V Buchstabe a) genannten wildlebenden Tierarten sowie in den Fällen, in denen Ausnahmen gemäß Artikel 16 für die Entnahme, den Fang oder die Tötung der in Anhang IV Buchstabe a) genannten Arten gemacht werden, verbieten die Mitgliedstaaten den Gebrauch aller </w:t>
      </w:r>
      <w:r>
        <w:lastRenderedPageBreak/>
        <w:t>nichtselektiven Geräte, durch die das örtliche Verschwinden von Populationen dieser Tierarten hervorgerufen werden könnte oder sie schwer gestört werden könnten, insbesondere</w:t>
      </w:r>
    </w:p>
    <w:p>
      <w:pPr>
        <w:pStyle w:val="GesAbsatz"/>
        <w:tabs>
          <w:tab w:val="clear" w:pos="425"/>
        </w:tabs>
        <w:ind w:left="426" w:hanging="426"/>
      </w:pPr>
      <w:r>
        <w:t>a)</w:t>
      </w:r>
      <w:r>
        <w:tab/>
        <w:t>den Gebrauch der in Anhang VI Buchstabe a) genannten Fang- und Tötungsgeräte;</w:t>
      </w:r>
    </w:p>
    <w:p>
      <w:pPr>
        <w:pStyle w:val="GesAbsatz"/>
        <w:tabs>
          <w:tab w:val="clear" w:pos="425"/>
        </w:tabs>
        <w:ind w:left="426" w:hanging="426"/>
      </w:pPr>
      <w:r>
        <w:t>b)</w:t>
      </w:r>
      <w:r>
        <w:tab/>
        <w:t>jede Form des Fangs oder Tötens mittels der in Anhang VI Buchstabe b) genannten Transportmittel.</w:t>
      </w:r>
    </w:p>
    <w:p>
      <w:pPr>
        <w:pStyle w:val="berschrift2"/>
      </w:pPr>
      <w:bookmarkStart w:id="84" w:name="_Toc450527963"/>
      <w:bookmarkStart w:id="85" w:name="_Toc450528046"/>
      <w:bookmarkStart w:id="86" w:name="_Toc451581966"/>
      <w:bookmarkStart w:id="87" w:name="_Toc451582760"/>
      <w:bookmarkStart w:id="88" w:name="_Toc109461107"/>
      <w:r>
        <w:t>Artikel 16</w:t>
      </w:r>
      <w:bookmarkEnd w:id="84"/>
      <w:bookmarkEnd w:id="85"/>
      <w:bookmarkEnd w:id="86"/>
      <w:bookmarkEnd w:id="87"/>
      <w:bookmarkEnd w:id="88"/>
    </w:p>
    <w:p>
      <w:pPr>
        <w:pStyle w:val="GesAbsatz"/>
        <w:tabs>
          <w:tab w:val="clear" w:pos="425"/>
        </w:tabs>
      </w:pPr>
      <w:r>
        <w:t xml:space="preserve">(1) Sofern es keine anderweitige zufriedenstellende Lösung gibt und unter der Bedingung, </w:t>
      </w:r>
      <w:proofErr w:type="spellStart"/>
      <w:r>
        <w:t>daß</w:t>
      </w:r>
      <w:proofErr w:type="spellEnd"/>
      <w:r>
        <w:t xml:space="preserve"> die Populationen der betroffenen Art in ihrem natürlichen Verbreitungsgebiet trotz der Ausnahmeregelung ohne Beeinträchtigung in einem günstigen Erhaltungszustand verweilen, können die Mitgliedstaaten von den Bestimmungen der Artikel 12, 13 und 14 sowie des Artikels 15 Buchstaben a) und b) im folgenden Sinne abweichen:</w:t>
      </w:r>
    </w:p>
    <w:p>
      <w:pPr>
        <w:pStyle w:val="GesAbsatz"/>
        <w:tabs>
          <w:tab w:val="clear" w:pos="425"/>
        </w:tabs>
        <w:ind w:left="426" w:hanging="426"/>
      </w:pPr>
      <w:r>
        <w:t>a)</w:t>
      </w:r>
      <w:r>
        <w:tab/>
        <w:t>zum Schutz der wildlebenden Tiere und Pflanzen und zur Erhaltung der natürlichen Lebensräume;</w:t>
      </w:r>
    </w:p>
    <w:p>
      <w:pPr>
        <w:pStyle w:val="GesAbsatz"/>
        <w:tabs>
          <w:tab w:val="clear" w:pos="425"/>
        </w:tabs>
        <w:ind w:left="426" w:hanging="426"/>
      </w:pPr>
      <w:r>
        <w:t>b)</w:t>
      </w:r>
      <w:r>
        <w:tab/>
        <w:t>zur Verhütung ernster Schäden insbesondere an Kulturen und in der Tierhaltung sowie an Wäldern, Fischgründen und Gewässern sowie an sonstigen Formen von Eigentum;</w:t>
      </w:r>
    </w:p>
    <w:p>
      <w:pPr>
        <w:pStyle w:val="GesAbsatz"/>
        <w:tabs>
          <w:tab w:val="clear" w:pos="425"/>
        </w:tabs>
        <w:ind w:left="426" w:hanging="426"/>
      </w:pPr>
      <w:r>
        <w:t>c)</w:t>
      </w:r>
      <w:r>
        <w:tab/>
        <w:t>im Interesse der Volksgesundheit und der öffentlichen Sicherheit oder aus anderen zwingenden Gründen des überwiegenden öffentlichen Interesses, einschließlich solcher sozialer oder wirtschaftlicher Art oder positiver Folgen für die Umwelt;</w:t>
      </w:r>
    </w:p>
    <w:p>
      <w:pPr>
        <w:pStyle w:val="GesAbsatz"/>
        <w:tabs>
          <w:tab w:val="clear" w:pos="425"/>
        </w:tabs>
        <w:ind w:left="426" w:hanging="426"/>
      </w:pPr>
      <w:r>
        <w:t>d)</w:t>
      </w:r>
      <w:r>
        <w:tab/>
        <w:t>zu Zwecken der Forschung und des Unterrichts, der Bestandsauffüllung und Wiederansiedlung und der für diese Zwecke erforderlichen Aufzucht, einschließlich der künstlichen Vermehrung von Pflanzen;</w:t>
      </w:r>
    </w:p>
    <w:p>
      <w:pPr>
        <w:pStyle w:val="GesAbsatz"/>
        <w:tabs>
          <w:tab w:val="clear" w:pos="425"/>
        </w:tabs>
        <w:ind w:left="426" w:hanging="426"/>
      </w:pPr>
      <w:r>
        <w:t>e)</w:t>
      </w:r>
      <w:r>
        <w:tab/>
        <w:t>um unter strenger Kontrolle, selektiv und in beschränktem Ausmaß die Entnahme oder Haltung einer begrenzten und von den zuständigen einzelstaatlichen Behörden spezifizierten Anzahl von Exemplaren bestimmter Tier- und Pflanzenarten des Anhangs IV zu erlauben.</w:t>
      </w:r>
    </w:p>
    <w:p>
      <w:pPr>
        <w:pStyle w:val="GesAbsatz"/>
        <w:tabs>
          <w:tab w:val="clear" w:pos="425"/>
        </w:tabs>
      </w:pPr>
      <w:r>
        <w:t xml:space="preserve">(2) Die Mitgliedstaaten legen der Kommission alle zwei Jahre einen mit dem vom </w:t>
      </w:r>
      <w:proofErr w:type="spellStart"/>
      <w:r>
        <w:t>Ausschuß</w:t>
      </w:r>
      <w:proofErr w:type="spellEnd"/>
      <w:r>
        <w:t xml:space="preserve"> festgelegten Modell übereinstimmenden Bericht über die nach Absatz 1 genehmigten Ausnahmen vor. Die Kommission nimmt zu diesen Ausnahmen binnen zwölf Monaten nach Erhalt des Berichts Stellung und unterrichtet darüber den </w:t>
      </w:r>
      <w:proofErr w:type="spellStart"/>
      <w:r>
        <w:t>Ausschuß</w:t>
      </w:r>
      <w:proofErr w:type="spellEnd"/>
      <w:r>
        <w:t>.</w:t>
      </w:r>
    </w:p>
    <w:p>
      <w:pPr>
        <w:pStyle w:val="GesAbsatz"/>
        <w:tabs>
          <w:tab w:val="clear" w:pos="425"/>
        </w:tabs>
      </w:pPr>
      <w:r>
        <w:t>(3) In den Berichten ist folgendes anzugeben:</w:t>
      </w:r>
    </w:p>
    <w:p>
      <w:pPr>
        <w:pStyle w:val="GesAbsatz"/>
        <w:tabs>
          <w:tab w:val="clear" w:pos="425"/>
        </w:tabs>
        <w:ind w:left="426" w:hanging="426"/>
      </w:pPr>
      <w:r>
        <w:t>a)</w:t>
      </w:r>
      <w:r>
        <w:tab/>
        <w:t>die Arten, für die die Ausnahmeregelung gilt, und der Grund der Ausnahme, einschließlich der Art der Risiken sowie gegebenenfalls der verworfenen Alternativlösungen und der benutzten wissenschaftlichen Daten;</w:t>
      </w:r>
    </w:p>
    <w:p>
      <w:pPr>
        <w:pStyle w:val="GesAbsatz"/>
        <w:tabs>
          <w:tab w:val="clear" w:pos="425"/>
        </w:tabs>
        <w:ind w:left="426" w:hanging="426"/>
      </w:pPr>
      <w:r>
        <w:t>b)</w:t>
      </w:r>
      <w:r>
        <w:tab/>
        <w:t>die für Fang oder Tötung von Tieren zugelassenen Mittel, Einrichtungen oder Methoden und die Gründe für ihren Gebrauch;</w:t>
      </w:r>
    </w:p>
    <w:p>
      <w:pPr>
        <w:pStyle w:val="GesAbsatz"/>
        <w:tabs>
          <w:tab w:val="clear" w:pos="425"/>
        </w:tabs>
        <w:ind w:left="426" w:hanging="426"/>
      </w:pPr>
      <w:r>
        <w:t>c)</w:t>
      </w:r>
      <w:r>
        <w:tab/>
        <w:t>die zeitlichen und örtlichen Umstände der Ausnahmegenehmigungen;</w:t>
      </w:r>
    </w:p>
    <w:p>
      <w:pPr>
        <w:pStyle w:val="GesAbsatz"/>
        <w:tabs>
          <w:tab w:val="clear" w:pos="425"/>
        </w:tabs>
        <w:ind w:left="426" w:hanging="426"/>
      </w:pPr>
      <w:r>
        <w:t>d)</w:t>
      </w:r>
      <w:r>
        <w:tab/>
        <w:t xml:space="preserve">die Behörde, die befugt ist, zu erklären, </w:t>
      </w:r>
      <w:proofErr w:type="spellStart"/>
      <w:r>
        <w:t>daß</w:t>
      </w:r>
      <w:proofErr w:type="spellEnd"/>
      <w:r>
        <w:t xml:space="preserve"> die erforderlichen Voraussetzungen erfüllt sind, bzw. zu kontrollieren, ob sie erfüllt sind, und die beschließen kann, welche Mittel, Einrichtungen oder Methoden innerhalb welcher Grenzen und von welchen Stellen verwendet werden dürfen sowie welche Personen mit der Durchführung betraut werden;</w:t>
      </w:r>
    </w:p>
    <w:p>
      <w:pPr>
        <w:pStyle w:val="GesAbsatz"/>
        <w:tabs>
          <w:tab w:val="clear" w:pos="425"/>
        </w:tabs>
        <w:ind w:left="426" w:hanging="426"/>
      </w:pPr>
      <w:r>
        <w:t>e)</w:t>
      </w:r>
      <w:r>
        <w:tab/>
        <w:t>die angewandten Kontrollmaßnahmen und die erzielten Ergebnisse.</w:t>
      </w:r>
    </w:p>
    <w:p>
      <w:pPr>
        <w:pStyle w:val="berschrift2"/>
      </w:pPr>
      <w:bookmarkStart w:id="89" w:name="_Toc109461108"/>
      <w:r>
        <w:t>Information</w:t>
      </w:r>
      <w:bookmarkEnd w:id="89"/>
    </w:p>
    <w:p>
      <w:pPr>
        <w:pStyle w:val="berschrift2"/>
      </w:pPr>
      <w:bookmarkStart w:id="90" w:name="_Toc450527964"/>
      <w:bookmarkStart w:id="91" w:name="_Toc450528047"/>
      <w:bookmarkStart w:id="92" w:name="_Toc451581967"/>
      <w:bookmarkStart w:id="93" w:name="_Toc451582761"/>
      <w:bookmarkStart w:id="94" w:name="_Toc109461109"/>
      <w:r>
        <w:t>Artikel 17</w:t>
      </w:r>
      <w:bookmarkEnd w:id="90"/>
      <w:bookmarkEnd w:id="91"/>
      <w:bookmarkEnd w:id="92"/>
      <w:bookmarkEnd w:id="93"/>
      <w:bookmarkEnd w:id="94"/>
    </w:p>
    <w:p>
      <w:pPr>
        <w:pStyle w:val="GesAbsatz"/>
        <w:tabs>
          <w:tab w:val="clear" w:pos="425"/>
        </w:tabs>
      </w:pPr>
      <w:r>
        <w:t xml:space="preserve">(1) Alle sechs Jahre nach Ablauf der in Artikel 23 vorgesehenen Frist erstellen die Mitgliedstaaten einen Bericht über die Durchführung der im Rahmen dieser Richtlinie durchgeführten Maßnahmen. Dieser Bericht enthält insbesondere Informationen über die in Artikel 6 Absatz 1 genannten Erhaltungsmaßnahmen sowie die Bewertung der Auswirkungen dieser Maßnahmen auf den Erhaltungszustand der Lebensraumtypen des Anhangs I und der Arten des Anhangs II sowie die wichtigsten Ergebnisse der in Artikel 11 genannten Überwachung. Dieser Bericht, dessen Form mit dem vom </w:t>
      </w:r>
      <w:proofErr w:type="spellStart"/>
      <w:r>
        <w:t>Ausschuß</w:t>
      </w:r>
      <w:proofErr w:type="spellEnd"/>
      <w:r>
        <w:t xml:space="preserve"> aufgestellten Modell übereinstimmt, wird der Kommission übermittelt und der Öffentlichkeit zugänglich gemacht.</w:t>
      </w:r>
    </w:p>
    <w:p>
      <w:pPr>
        <w:pStyle w:val="GesAbsatz"/>
        <w:tabs>
          <w:tab w:val="clear" w:pos="425"/>
        </w:tabs>
      </w:pPr>
      <w:r>
        <w:t xml:space="preserve">(2) Die Kommission arbeitet auf der Grundlage der in Absatz 1 erwähnten Berichte einen zusammenfassenden Bericht aus. Dieser Bericht enthält eine zweckdienliche Bewertung der erzielten Fortschritte, insbesondere des Beitrags von Natura 2000 zur Verwirklichung der in Artikel 3 aufgeführten Ziele. Der Teil des Berichtsentwurfs, der die von einem Mitgliedstaat übermittelten Informationen betrifft, wird den Behörden des betreffenden Mitgliedstaats zur Überprüfung unterbreitet. Die endgültige Fassung des Berichts wird zunächst dem </w:t>
      </w:r>
      <w:proofErr w:type="spellStart"/>
      <w:r>
        <w:t>Ausschuß</w:t>
      </w:r>
      <w:proofErr w:type="spellEnd"/>
      <w:r>
        <w:t xml:space="preserve"> unterbreitet und wird spätestens zwei Jahre nach Vorlage der Berichte gemäß Absatz 1 sowie des </w:t>
      </w:r>
      <w:r>
        <w:lastRenderedPageBreak/>
        <w:t xml:space="preserve">Kommissionsberichts veröffentlicht und den Mitgliedstaaten, dem Europäischen Parlament, dem Rat und dem Wirtschafts- und </w:t>
      </w:r>
      <w:proofErr w:type="spellStart"/>
      <w:r>
        <w:t>Sozialausschuß</w:t>
      </w:r>
      <w:proofErr w:type="spellEnd"/>
      <w:r>
        <w:t xml:space="preserve"> zugeleitet.</w:t>
      </w:r>
    </w:p>
    <w:p>
      <w:pPr>
        <w:pStyle w:val="GesAbsatz"/>
        <w:tabs>
          <w:tab w:val="clear" w:pos="425"/>
        </w:tabs>
      </w:pPr>
      <w:r>
        <w:t xml:space="preserve">(3) Die Mitgliedstaaten können die nach dieser Richtlinie ausgewiesenen Gebiete durch vom </w:t>
      </w:r>
      <w:proofErr w:type="spellStart"/>
      <w:r>
        <w:t>Ausschuß</w:t>
      </w:r>
      <w:proofErr w:type="spellEnd"/>
      <w:r>
        <w:t xml:space="preserve"> eigens hierzu erarbeitete Gemeinschaftsschilder kennzeichnen.</w:t>
      </w:r>
    </w:p>
    <w:p>
      <w:pPr>
        <w:pStyle w:val="berschrift2"/>
      </w:pPr>
      <w:bookmarkStart w:id="95" w:name="_Toc109461110"/>
      <w:r>
        <w:t>Forschung</w:t>
      </w:r>
      <w:bookmarkEnd w:id="95"/>
    </w:p>
    <w:p>
      <w:pPr>
        <w:pStyle w:val="berschrift2"/>
      </w:pPr>
      <w:bookmarkStart w:id="96" w:name="_Toc450527965"/>
      <w:bookmarkStart w:id="97" w:name="_Toc450528048"/>
      <w:bookmarkStart w:id="98" w:name="_Toc451581968"/>
      <w:bookmarkStart w:id="99" w:name="_Toc451582762"/>
      <w:bookmarkStart w:id="100" w:name="_Toc109461111"/>
      <w:r>
        <w:t>Artikel 18</w:t>
      </w:r>
      <w:bookmarkEnd w:id="96"/>
      <w:bookmarkEnd w:id="97"/>
      <w:bookmarkEnd w:id="98"/>
      <w:bookmarkEnd w:id="99"/>
      <w:bookmarkEnd w:id="100"/>
    </w:p>
    <w:p>
      <w:pPr>
        <w:pStyle w:val="GesAbsatz"/>
        <w:tabs>
          <w:tab w:val="clear" w:pos="425"/>
        </w:tabs>
      </w:pPr>
      <w:r>
        <w:t>(1) Die Mitgliedstaaten und die Kommission fördern die erforderliche Forschung und die notwendigen wissenschaftlichen Arbeiten im Hinblick auf die Ziele nach Artikel 2 und die Verpflichtung nach Artikel 11. Sie tauschen Informationen aus im Hinblick auf eine gute Koordinierung der Forschung auf den Ebenen der Mitgliedstaaten und der Gemeinschaft.</w:t>
      </w:r>
    </w:p>
    <w:p>
      <w:pPr>
        <w:pStyle w:val="GesAbsatz"/>
        <w:tabs>
          <w:tab w:val="clear" w:pos="425"/>
        </w:tabs>
      </w:pPr>
      <w:r>
        <w:t>(2) Besondere Aufmerksamkeit wird den wissenschaftlichen Arbeiten gewidmet, die zur Durchführung der Artikel 4 und 10 erforderlich sind; die grenzüberschreitende Zusammenarbeit zwischen Mitgliedstaaten auf dem Gebiet der Forschung wird gefördert.</w:t>
      </w:r>
    </w:p>
    <w:p>
      <w:pPr>
        <w:pStyle w:val="berschrift2"/>
      </w:pPr>
      <w:bookmarkStart w:id="101" w:name="_Toc109461112"/>
      <w:r>
        <w:t>Verfahren zur Änderung der Anhänge</w:t>
      </w:r>
      <w:bookmarkEnd w:id="101"/>
    </w:p>
    <w:p>
      <w:pPr>
        <w:pStyle w:val="berschrift2"/>
      </w:pPr>
      <w:bookmarkStart w:id="102" w:name="_Toc450527966"/>
      <w:bookmarkStart w:id="103" w:name="_Toc450528049"/>
      <w:bookmarkStart w:id="104" w:name="_Toc451581969"/>
      <w:bookmarkStart w:id="105" w:name="_Toc451582763"/>
      <w:bookmarkStart w:id="106" w:name="_Toc109461113"/>
      <w:r>
        <w:t>Artikel 19</w:t>
      </w:r>
      <w:bookmarkEnd w:id="102"/>
      <w:bookmarkEnd w:id="103"/>
      <w:bookmarkEnd w:id="104"/>
      <w:bookmarkEnd w:id="105"/>
      <w:bookmarkEnd w:id="106"/>
    </w:p>
    <w:p>
      <w:pPr>
        <w:pStyle w:val="GesAbsatz"/>
        <w:tabs>
          <w:tab w:val="clear" w:pos="425"/>
        </w:tabs>
      </w:pPr>
      <w:r>
        <w:t>Die Änderungen, die zur Anpassung der Anhänge I, II, III, V und VI an den technischen und wissenschaftlichen Fortschritt erforderlich sind, werden vom Rat auf Vorschlag der Kommission mit qualifizierter Mehrheit beschlossen.</w:t>
      </w:r>
    </w:p>
    <w:p>
      <w:pPr>
        <w:pStyle w:val="GesAbsatz"/>
        <w:tabs>
          <w:tab w:val="clear" w:pos="425"/>
        </w:tabs>
      </w:pPr>
      <w:r>
        <w:t>Die Änderungen, die zur Anpassung des Anhangs IV an den technischen und wissenschaftlichen Fortschritt erforderlich sind, werden vom Rat auf Vorschlag der Kommission einstimmig beschlossen.</w:t>
      </w:r>
    </w:p>
    <w:p>
      <w:pPr>
        <w:pStyle w:val="berschrift2"/>
      </w:pPr>
      <w:bookmarkStart w:id="107" w:name="_Toc109461114"/>
      <w:proofErr w:type="spellStart"/>
      <w:r>
        <w:t>Ausschuß</w:t>
      </w:r>
      <w:bookmarkEnd w:id="107"/>
      <w:proofErr w:type="spellEnd"/>
    </w:p>
    <w:p>
      <w:pPr>
        <w:pStyle w:val="berschrift2"/>
      </w:pPr>
      <w:bookmarkStart w:id="108" w:name="_Toc450527967"/>
      <w:bookmarkStart w:id="109" w:name="_Toc450528050"/>
      <w:bookmarkStart w:id="110" w:name="_Toc451581970"/>
      <w:bookmarkStart w:id="111" w:name="_Toc451582764"/>
      <w:bookmarkStart w:id="112" w:name="_Toc109461115"/>
      <w:r>
        <w:t>Artikel 20</w:t>
      </w:r>
      <w:bookmarkEnd w:id="108"/>
      <w:bookmarkEnd w:id="109"/>
      <w:bookmarkEnd w:id="110"/>
      <w:bookmarkEnd w:id="111"/>
      <w:bookmarkEnd w:id="112"/>
    </w:p>
    <w:p>
      <w:pPr>
        <w:pStyle w:val="GesAbsatz"/>
        <w:tabs>
          <w:tab w:val="clear" w:pos="425"/>
        </w:tabs>
      </w:pPr>
      <w:r>
        <w:t xml:space="preserve">Die Kommission wird von einem </w:t>
      </w:r>
      <w:proofErr w:type="spellStart"/>
      <w:r>
        <w:t>Ausschuß</w:t>
      </w:r>
      <w:proofErr w:type="spellEnd"/>
      <w:r>
        <w:t xml:space="preserve"> unterstützt.</w:t>
      </w:r>
    </w:p>
    <w:p>
      <w:pPr>
        <w:pStyle w:val="berschrift2"/>
      </w:pPr>
      <w:bookmarkStart w:id="113" w:name="_Toc450527968"/>
      <w:bookmarkStart w:id="114" w:name="_Toc450528051"/>
      <w:bookmarkStart w:id="115" w:name="_Toc451581971"/>
      <w:bookmarkStart w:id="116" w:name="_Toc451582765"/>
      <w:bookmarkStart w:id="117" w:name="_Toc109461116"/>
      <w:r>
        <w:t>Artikel 21</w:t>
      </w:r>
      <w:bookmarkEnd w:id="113"/>
      <w:bookmarkEnd w:id="114"/>
      <w:bookmarkEnd w:id="115"/>
      <w:bookmarkEnd w:id="116"/>
      <w:bookmarkEnd w:id="117"/>
    </w:p>
    <w:p>
      <w:pPr>
        <w:pStyle w:val="GesAbsatz"/>
        <w:tabs>
          <w:tab w:val="clear" w:pos="425"/>
        </w:tabs>
      </w:pPr>
      <w:r>
        <w:t>(1) Wird auf diesen Artikel Bezug genommen, so gelten die Artikel 5 und 7 des Beschlusses 1999/468/EG</w:t>
      </w:r>
      <w:r>
        <w:rPr>
          <w:rStyle w:val="Funotenzeichen"/>
        </w:rPr>
        <w:footnoteReference w:id="6"/>
      </w:r>
      <w:r>
        <w:t xml:space="preserve"> unter Beachtung von dessen Artikel 8.</w:t>
      </w:r>
    </w:p>
    <w:p>
      <w:pPr>
        <w:pStyle w:val="GesAbsatz"/>
        <w:tabs>
          <w:tab w:val="clear" w:pos="425"/>
        </w:tabs>
      </w:pPr>
      <w:r>
        <w:t>Der Zeitraum nach Artikel 5 Absatz 6 des Beschlusses 1999/468/EG wird auf drei Monate festgesetzt.</w:t>
      </w:r>
    </w:p>
    <w:p>
      <w:pPr>
        <w:pStyle w:val="GesAbsatz"/>
        <w:tabs>
          <w:tab w:val="clear" w:pos="425"/>
        </w:tabs>
      </w:pPr>
      <w:r>
        <w:t>(2) Der Ausschuss gibt sich eine Geschäftsordnung.</w:t>
      </w:r>
    </w:p>
    <w:p>
      <w:pPr>
        <w:pStyle w:val="berschrift2"/>
      </w:pPr>
      <w:bookmarkStart w:id="118" w:name="_Toc109461117"/>
      <w:r>
        <w:t>Ergänzende Bestimmungen</w:t>
      </w:r>
      <w:bookmarkEnd w:id="118"/>
    </w:p>
    <w:p>
      <w:pPr>
        <w:pStyle w:val="berschrift2"/>
      </w:pPr>
      <w:bookmarkStart w:id="119" w:name="_Toc450527969"/>
      <w:bookmarkStart w:id="120" w:name="_Toc450528052"/>
      <w:bookmarkStart w:id="121" w:name="_Toc451581972"/>
      <w:bookmarkStart w:id="122" w:name="_Toc451582766"/>
      <w:bookmarkStart w:id="123" w:name="_Toc109461118"/>
      <w:r>
        <w:t>Artikel 22</w:t>
      </w:r>
      <w:bookmarkEnd w:id="119"/>
      <w:bookmarkEnd w:id="120"/>
      <w:bookmarkEnd w:id="121"/>
      <w:bookmarkEnd w:id="122"/>
      <w:bookmarkEnd w:id="123"/>
    </w:p>
    <w:p>
      <w:pPr>
        <w:pStyle w:val="GesAbsatz"/>
        <w:tabs>
          <w:tab w:val="clear" w:pos="425"/>
        </w:tabs>
      </w:pPr>
      <w:r>
        <w:t>Bei der Ausführung der Bestimmungen dieser Richtlinie gehen die Mitgliedstaaten wie folgt vor:</w:t>
      </w:r>
    </w:p>
    <w:p>
      <w:pPr>
        <w:pStyle w:val="GesAbsatz"/>
        <w:tabs>
          <w:tab w:val="clear" w:pos="425"/>
        </w:tabs>
        <w:ind w:left="426" w:hanging="426"/>
      </w:pPr>
      <w:r>
        <w:t>a)</w:t>
      </w:r>
      <w:r>
        <w:tab/>
        <w:t xml:space="preserve">Sie prüfen die Zweckdienlichkeit einer Wiederansiedlung von in ihrem Hoheitsgebiet heimischen Arten des Anhangs IV, wenn diese Maßnahme zu deren Erhaltung beitragen könnte, vorausgesetzt, eine Untersuchung hat unter Berücksichtigung unter anderem der Erfahrungen der anderen Mitgliedstaaten oder anderer Betroffener ergeben, </w:t>
      </w:r>
      <w:proofErr w:type="spellStart"/>
      <w:r>
        <w:t>daß</w:t>
      </w:r>
      <w:proofErr w:type="spellEnd"/>
      <w:r>
        <w:t xml:space="preserve"> eine solche Wiederansiedlung wirksam zur Wiederherstellung eines günstigen Erhaltungszustandes der betreffenden Arten beiträgt, und die Wiederansiedlung erfolgt erst nach entsprechender Konsultierung der betroffenen Bevölkerungskreise;</w:t>
      </w:r>
    </w:p>
    <w:p>
      <w:pPr>
        <w:pStyle w:val="GesAbsatz"/>
        <w:tabs>
          <w:tab w:val="clear" w:pos="425"/>
        </w:tabs>
        <w:ind w:left="426" w:hanging="426"/>
      </w:pPr>
      <w:r>
        <w:t>b)</w:t>
      </w:r>
      <w:r>
        <w:tab/>
        <w:t xml:space="preserve">sie sorgen dafür, </w:t>
      </w:r>
      <w:proofErr w:type="spellStart"/>
      <w:r>
        <w:t>daß</w:t>
      </w:r>
      <w:proofErr w:type="spellEnd"/>
      <w:r>
        <w:t xml:space="preserve"> die absichtliche Ansiedlung in der Natur einer in ihrem Hoheitsgebiet nicht heimischen Art so geregelt wird, </w:t>
      </w:r>
      <w:proofErr w:type="spellStart"/>
      <w:r>
        <w:t>daß</w:t>
      </w:r>
      <w:proofErr w:type="spellEnd"/>
      <w:r>
        <w:t xml:space="preserve"> weder die natürlichen Lebensräume in ihrem natürlichen Verbreitungsgebiet noch die einheimischen wildlebenden Tier- und Pflanzenarten geschädigt werden; falls sie es für notwendig erachten, verbieten sie eine solche Ansiedlung. Die Ergebnisse der Bewertungsstudien werden dem </w:t>
      </w:r>
      <w:proofErr w:type="spellStart"/>
      <w:r>
        <w:t>Ausschuß</w:t>
      </w:r>
      <w:proofErr w:type="spellEnd"/>
      <w:r>
        <w:t xml:space="preserve"> zur Unterrichtung mitgeteilt;</w:t>
      </w:r>
    </w:p>
    <w:p>
      <w:pPr>
        <w:pStyle w:val="GesAbsatz"/>
        <w:tabs>
          <w:tab w:val="clear" w:pos="425"/>
        </w:tabs>
        <w:ind w:left="426" w:hanging="426"/>
      </w:pPr>
      <w:r>
        <w:lastRenderedPageBreak/>
        <w:t>c)</w:t>
      </w:r>
      <w:r>
        <w:tab/>
        <w:t xml:space="preserve">sie fördern erzieherische Maßnahmen und die allgemeine Information in </w:t>
      </w:r>
      <w:proofErr w:type="spellStart"/>
      <w:r>
        <w:t>bezug</w:t>
      </w:r>
      <w:proofErr w:type="spellEnd"/>
      <w:r>
        <w:t xml:space="preserve"> auf die Notwendigkeit des Schutzes der wildlebenden Tier- und Pflanzenarten und der Erhaltung ihrer Habitate sowie natürlichen Lebensräume.</w:t>
      </w:r>
    </w:p>
    <w:p>
      <w:pPr>
        <w:pStyle w:val="berschrift2"/>
      </w:pPr>
      <w:bookmarkStart w:id="124" w:name="_Toc109461119"/>
      <w:proofErr w:type="spellStart"/>
      <w:r>
        <w:t>Schlußbestimmungen</w:t>
      </w:r>
      <w:bookmarkEnd w:id="124"/>
      <w:proofErr w:type="spellEnd"/>
    </w:p>
    <w:p>
      <w:pPr>
        <w:pStyle w:val="berschrift2"/>
      </w:pPr>
      <w:bookmarkStart w:id="125" w:name="_Toc450527970"/>
      <w:bookmarkStart w:id="126" w:name="_Toc450528053"/>
      <w:bookmarkStart w:id="127" w:name="_Toc451581973"/>
      <w:bookmarkStart w:id="128" w:name="_Toc451582767"/>
      <w:bookmarkStart w:id="129" w:name="_Toc109461120"/>
      <w:r>
        <w:t>Artikel 23</w:t>
      </w:r>
      <w:bookmarkEnd w:id="125"/>
      <w:bookmarkEnd w:id="126"/>
      <w:bookmarkEnd w:id="127"/>
      <w:bookmarkEnd w:id="128"/>
      <w:bookmarkEnd w:id="129"/>
    </w:p>
    <w:p>
      <w:pPr>
        <w:pStyle w:val="GesAbsatz"/>
        <w:tabs>
          <w:tab w:val="clear" w:pos="425"/>
        </w:tabs>
      </w:pPr>
      <w:r>
        <w:t>(1) Die Mitgliedstaaten erlassen die erforderlichen Rechts- und Verwaltungsvorschriften, um dieser Richtlinie binnen zwei Jahren nach ihrer Bekanntgabe nachzukommen. Sie setzen die Kommission unverzüglich davon in Kenntnis.</w:t>
      </w:r>
    </w:p>
    <w:p>
      <w:pPr>
        <w:pStyle w:val="GesAbsatz"/>
        <w:tabs>
          <w:tab w:val="clear" w:pos="425"/>
        </w:tabs>
      </w:pPr>
      <w:r>
        <w:t>(2) Wenn die Mitgliedstaaten Vorschriften nach Absatz 1 erlassen, nehmen sie in den Vorschriften selbst oder durch einen Hinweis bei der amtlichen Veröffentlichung auf diese Richtlinie Bezug. Die Mitgliedstaaten regeln die Einzelheiten der Bezugnahme.</w:t>
      </w:r>
    </w:p>
    <w:p>
      <w:pPr>
        <w:pStyle w:val="GesAbsatz"/>
        <w:tabs>
          <w:tab w:val="clear" w:pos="425"/>
        </w:tabs>
      </w:pPr>
      <w:r>
        <w:t>(3) Die Mitgliedstaaten teilen der Kommission den Wortlaut der wichtigsten innerstaatlichen Rechtsvorschriften mit, die sie auf dem unter diese Richtlinie fallenden Gebiet erlassen.</w:t>
      </w:r>
    </w:p>
    <w:p>
      <w:pPr>
        <w:pStyle w:val="berschrift2"/>
      </w:pPr>
      <w:bookmarkStart w:id="130" w:name="_Toc450527971"/>
      <w:bookmarkStart w:id="131" w:name="_Toc450528054"/>
      <w:bookmarkStart w:id="132" w:name="_Toc451581974"/>
      <w:bookmarkStart w:id="133" w:name="_Toc451582768"/>
      <w:bookmarkStart w:id="134" w:name="_Toc109461121"/>
      <w:r>
        <w:t>Artikel 24</w:t>
      </w:r>
      <w:bookmarkEnd w:id="130"/>
      <w:bookmarkEnd w:id="131"/>
      <w:bookmarkEnd w:id="132"/>
      <w:bookmarkEnd w:id="133"/>
      <w:bookmarkEnd w:id="134"/>
    </w:p>
    <w:p>
      <w:pPr>
        <w:pStyle w:val="GesAbsatz"/>
        <w:tabs>
          <w:tab w:val="clear" w:pos="425"/>
        </w:tabs>
      </w:pPr>
      <w:r>
        <w:t>Diese Richtlinie ist an die Mitgliedstaaten gerichtet.</w:t>
      </w:r>
    </w:p>
    <w:p>
      <w:pPr>
        <w:pStyle w:val="GesAbsatz"/>
        <w:tabs>
          <w:tab w:val="clear" w:pos="425"/>
        </w:tabs>
      </w:pPr>
    </w:p>
    <w:p>
      <w:pPr>
        <w:pStyle w:val="GesAbsatz"/>
        <w:tabs>
          <w:tab w:val="clear" w:pos="425"/>
        </w:tabs>
        <w:rPr>
          <w:i/>
          <w:color w:val="FF0000"/>
        </w:rPr>
      </w:pPr>
      <w:r>
        <w:rPr>
          <w:i/>
          <w:color w:val="FF0000"/>
        </w:rPr>
        <w:t>[Red. Anm.: auf einen Abdruck der Anhänge wurde verzichtet.]</w:t>
      </w:r>
    </w:p>
    <w:p>
      <w:pPr>
        <w:pStyle w:val="GesAbsatz"/>
        <w:tabs>
          <w:tab w:val="clear" w:pos="425"/>
        </w:tabs>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22.07.1992 (ABl. L 206 v. 22.07.1992 S. 7)</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Stand 13.05.2013 (ABl. L 158 v. 10.06.2013 S. 193)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Nr. C 247 vom 21.9.1988, S. 3, und ABl. Nr. C 195 vom 3.8.1990, S. 1.</w:t>
      </w:r>
    </w:p>
  </w:footnote>
  <w:footnote w:id="2">
    <w:p>
      <w:pPr>
        <w:pStyle w:val="Funotentext"/>
      </w:pPr>
      <w:r>
        <w:rPr>
          <w:rStyle w:val="Funotenzeichen"/>
        </w:rPr>
        <w:footnoteRef/>
      </w:r>
      <w:r>
        <w:t xml:space="preserve"> ABl. Nr. C 75 vom 20.3.1991, S. 12.</w:t>
      </w:r>
    </w:p>
  </w:footnote>
  <w:footnote w:id="3">
    <w:p>
      <w:pPr>
        <w:pStyle w:val="Funotentext"/>
      </w:pPr>
      <w:r>
        <w:rPr>
          <w:rStyle w:val="Funotenzeichen"/>
        </w:rPr>
        <w:footnoteRef/>
      </w:r>
      <w:r>
        <w:t xml:space="preserve"> ABl. Nr. C 31 vom 6.2.1991, S. 25.</w:t>
      </w:r>
    </w:p>
  </w:footnote>
  <w:footnote w:id="4">
    <w:p>
      <w:pPr>
        <w:pStyle w:val="Funotentext"/>
      </w:pPr>
      <w:r>
        <w:rPr>
          <w:rStyle w:val="Funotenzeichen"/>
        </w:rPr>
        <w:footnoteRef/>
      </w:r>
      <w:r>
        <w:t xml:space="preserve"> ABl. Nr. C 328 vom 7.12.1987, S. 1.</w:t>
      </w:r>
    </w:p>
  </w:footnote>
  <w:footnote w:id="5">
    <w:p>
      <w:pPr>
        <w:pStyle w:val="Funotentext"/>
      </w:pPr>
      <w:r>
        <w:rPr>
          <w:rStyle w:val="Funotenzeichen"/>
        </w:rPr>
        <w:footnoteRef/>
      </w:r>
      <w:r>
        <w:t xml:space="preserve"> ABl. Nr. L103 vom 25.4.1979, S. 1. Richtlinie zuletzt geändert durch die Richtlinie 91/244/EWG (ABl. Nr. L 115 vom 8.5.1991, S. 41).</w:t>
      </w:r>
    </w:p>
  </w:footnote>
  <w:footnote w:id="6">
    <w:p>
      <w:pPr>
        <w:tabs>
          <w:tab w:val="clear" w:pos="425"/>
        </w:tabs>
        <w:spacing w:before="0" w:after="0"/>
        <w:jc w:val="left"/>
      </w:pPr>
      <w:r>
        <w:rPr>
          <w:rStyle w:val="Funotenzeichen"/>
        </w:rPr>
        <w:footnoteRef/>
      </w:r>
      <w:r>
        <w:t xml:space="preserve"> </w:t>
      </w:r>
      <w:r>
        <w:rPr>
          <w:rFonts w:ascii="EUAlbertina-Regu" w:hAnsi="EUAlbertina-Regu" w:cs="EUAlbertina-Regu"/>
          <w:sz w:val="17"/>
          <w:szCs w:val="17"/>
        </w:rPr>
        <w:t>Beschluss 1999/468/EG des Rates vom 28. Juni 1999 zur Festlegung der Modalitäten für die Ausübung der der Kommission übertragenen Durchführungsbefugnisse (ABl. L 184 vom 17.7.1999, S. 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91.0-06</w:t>
    </w:r>
  </w:p>
  <w:p>
    <w:pPr>
      <w:pStyle w:val="Kopfzeile"/>
    </w:pPr>
    <w:r>
      <w:t>FFH-Richtlinie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4532D7"/>
    <w:multiLevelType w:val="singleLevel"/>
    <w:tmpl w:val="242024E8"/>
    <w:lvl w:ilvl="0">
      <w:start w:val="1"/>
      <w:numFmt w:val="lowerLetter"/>
      <w:lvlText w:val="%1)"/>
      <w:legacy w:legacy="1" w:legacySpace="0" w:legacyIndent="283"/>
      <w:lvlJc w:val="left"/>
      <w:pPr>
        <w:ind w:left="283" w:hanging="283"/>
      </w:pPr>
    </w:lvl>
  </w:abstractNum>
  <w:abstractNum w:abstractNumId="2" w15:restartNumberingAfterBreak="0">
    <w:nsid w:val="19311417"/>
    <w:multiLevelType w:val="singleLevel"/>
    <w:tmpl w:val="242024E8"/>
    <w:lvl w:ilvl="0">
      <w:start w:val="1"/>
      <w:numFmt w:val="lowerLetter"/>
      <w:lvlText w:val="%1)"/>
      <w:legacy w:legacy="1" w:legacySpace="0" w:legacyIndent="283"/>
      <w:lvlJc w:val="left"/>
      <w:pPr>
        <w:ind w:left="283" w:hanging="283"/>
      </w:pPr>
    </w:lvl>
  </w:abstractNum>
  <w:abstractNum w:abstractNumId="3" w15:restartNumberingAfterBreak="0">
    <w:nsid w:val="216E363A"/>
    <w:multiLevelType w:val="singleLevel"/>
    <w:tmpl w:val="242024E8"/>
    <w:lvl w:ilvl="0">
      <w:start w:val="1"/>
      <w:numFmt w:val="lowerLetter"/>
      <w:lvlText w:val="%1)"/>
      <w:legacy w:legacy="1" w:legacySpace="0" w:legacyIndent="283"/>
      <w:lvlJc w:val="left"/>
      <w:pPr>
        <w:ind w:left="283" w:hanging="283"/>
      </w:pPr>
    </w:lvl>
  </w:abstractNum>
  <w:abstractNum w:abstractNumId="4" w15:restartNumberingAfterBreak="0">
    <w:nsid w:val="35CF0551"/>
    <w:multiLevelType w:val="singleLevel"/>
    <w:tmpl w:val="4118C096"/>
    <w:lvl w:ilvl="0">
      <w:start w:val="1"/>
      <w:numFmt w:val="lowerLetter"/>
      <w:lvlText w:val="%1)"/>
      <w:legacy w:legacy="1" w:legacySpace="0" w:legacyIndent="426"/>
      <w:lvlJc w:val="left"/>
      <w:pPr>
        <w:ind w:left="426" w:hanging="426"/>
      </w:pPr>
    </w:lvl>
  </w:abstractNum>
  <w:abstractNum w:abstractNumId="5" w15:restartNumberingAfterBreak="0">
    <w:nsid w:val="397623C9"/>
    <w:multiLevelType w:val="multilevel"/>
    <w:tmpl w:val="2F3ED1BA"/>
    <w:lvl w:ilvl="0">
      <w:start w:val="1"/>
      <w:numFmt w:val="lowerLetter"/>
      <w:lvlText w:val="%1)"/>
      <w:legacy w:legacy="1" w:legacySpace="0" w:legacyIndent="340"/>
      <w:lvlJc w:val="left"/>
      <w:pPr>
        <w:ind w:left="340" w:hanging="340"/>
      </w:pPr>
    </w:lvl>
    <w:lvl w:ilvl="1">
      <w:start w:val="1"/>
      <w:numFmt w:val="lowerRoman"/>
      <w:lvlText w:val="%2)"/>
      <w:legacy w:legacy="1" w:legacySpace="0" w:legacyIndent="340"/>
      <w:lvlJc w:val="left"/>
      <w:pPr>
        <w:ind w:left="680" w:hanging="340"/>
      </w:pPr>
    </w:lvl>
    <w:lvl w:ilvl="2">
      <w:start w:val="1"/>
      <w:numFmt w:val="lowerRoman"/>
      <w:lvlText w:val="%3)"/>
      <w:legacy w:legacy="1" w:legacySpace="0" w:legacyIndent="708"/>
      <w:lvlJc w:val="left"/>
      <w:pPr>
        <w:ind w:left="1388" w:hanging="708"/>
      </w:pPr>
    </w:lvl>
    <w:lvl w:ilvl="3">
      <w:start w:val="1"/>
      <w:numFmt w:val="lowerLetter"/>
      <w:lvlText w:val="%4)"/>
      <w:legacy w:legacy="1" w:legacySpace="0" w:legacyIndent="708"/>
      <w:lvlJc w:val="left"/>
      <w:pPr>
        <w:ind w:left="2096" w:hanging="708"/>
      </w:pPr>
    </w:lvl>
    <w:lvl w:ilvl="4">
      <w:start w:val="1"/>
      <w:numFmt w:val="decimal"/>
      <w:lvlText w:val="(%5)"/>
      <w:legacy w:legacy="1" w:legacySpace="0" w:legacyIndent="708"/>
      <w:lvlJc w:val="left"/>
      <w:pPr>
        <w:ind w:left="2804" w:hanging="708"/>
      </w:pPr>
    </w:lvl>
    <w:lvl w:ilvl="5">
      <w:start w:val="1"/>
      <w:numFmt w:val="lowerLetter"/>
      <w:lvlText w:val="(%6)"/>
      <w:legacy w:legacy="1" w:legacySpace="0" w:legacyIndent="708"/>
      <w:lvlJc w:val="left"/>
      <w:pPr>
        <w:ind w:left="3512" w:hanging="708"/>
      </w:pPr>
    </w:lvl>
    <w:lvl w:ilvl="6">
      <w:start w:val="1"/>
      <w:numFmt w:val="lowerRoman"/>
      <w:lvlText w:val="(%7)"/>
      <w:legacy w:legacy="1" w:legacySpace="0" w:legacyIndent="708"/>
      <w:lvlJc w:val="left"/>
      <w:pPr>
        <w:ind w:left="4220" w:hanging="708"/>
      </w:pPr>
    </w:lvl>
    <w:lvl w:ilvl="7">
      <w:start w:val="1"/>
      <w:numFmt w:val="lowerLetter"/>
      <w:lvlText w:val="(%8)"/>
      <w:legacy w:legacy="1" w:legacySpace="0" w:legacyIndent="708"/>
      <w:lvlJc w:val="left"/>
      <w:pPr>
        <w:ind w:left="4928" w:hanging="708"/>
      </w:pPr>
    </w:lvl>
    <w:lvl w:ilvl="8">
      <w:start w:val="1"/>
      <w:numFmt w:val="lowerRoman"/>
      <w:lvlText w:val="(%9)"/>
      <w:legacy w:legacy="1" w:legacySpace="0" w:legacyIndent="708"/>
      <w:lvlJc w:val="left"/>
      <w:pPr>
        <w:ind w:left="5636" w:hanging="708"/>
      </w:pPr>
    </w:lvl>
  </w:abstractNum>
  <w:abstractNum w:abstractNumId="6" w15:restartNumberingAfterBreak="0">
    <w:nsid w:val="587956A2"/>
    <w:multiLevelType w:val="singleLevel"/>
    <w:tmpl w:val="242024E8"/>
    <w:lvl w:ilvl="0">
      <w:start w:val="1"/>
      <w:numFmt w:val="lowerLetter"/>
      <w:lvlText w:val="%1)"/>
      <w:legacy w:legacy="1" w:legacySpace="0" w:legacyIndent="283"/>
      <w:lvlJc w:val="left"/>
      <w:pPr>
        <w:ind w:left="283" w:hanging="283"/>
      </w:pPr>
    </w:lvl>
  </w:abstractNum>
  <w:abstractNum w:abstractNumId="7" w15:restartNumberingAfterBreak="0">
    <w:nsid w:val="75E95035"/>
    <w:multiLevelType w:val="singleLevel"/>
    <w:tmpl w:val="A6688DE0"/>
    <w:lvl w:ilvl="0">
      <w:start w:val="1"/>
      <w:numFmt w:val="lowerLetter"/>
      <w:lvlText w:val="%1)"/>
      <w:legacy w:legacy="1" w:legacySpace="0" w:legacyIndent="426"/>
      <w:lvlJc w:val="left"/>
      <w:pPr>
        <w:ind w:left="426" w:hanging="426"/>
      </w:pPr>
    </w:lvl>
  </w:abstractNum>
  <w:num w:numId="1">
    <w:abstractNumId w:val="5"/>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4"/>
    <w:lvlOverride w:ilvl="0">
      <w:lvl w:ilvl="0">
        <w:start w:val="1"/>
        <w:numFmt w:val="lowerLetter"/>
        <w:lvlText w:val="%1)"/>
        <w:legacy w:legacy="1" w:legacySpace="0" w:legacyIndent="426"/>
        <w:lvlJc w:val="left"/>
        <w:pPr>
          <w:ind w:left="426" w:hanging="426"/>
        </w:pPr>
      </w:lvl>
    </w:lvlOverride>
  </w:num>
  <w:num w:numId="5">
    <w:abstractNumId w:val="4"/>
    <w:lvlOverride w:ilvl="0">
      <w:lvl w:ilvl="0">
        <w:start w:val="1"/>
        <w:numFmt w:val="lowerLetter"/>
        <w:lvlText w:val="%1)"/>
        <w:legacy w:legacy="1" w:legacySpace="0" w:legacyIndent="426"/>
        <w:lvlJc w:val="left"/>
        <w:pPr>
          <w:ind w:left="426" w:hanging="426"/>
        </w:pPr>
      </w:lvl>
    </w:lvlOverride>
  </w:num>
  <w:num w:numId="6">
    <w:abstractNumId w:val="4"/>
    <w:lvlOverride w:ilvl="0">
      <w:lvl w:ilvl="0">
        <w:start w:val="1"/>
        <w:numFmt w:val="lowerLetter"/>
        <w:lvlText w:val="%1)"/>
        <w:legacy w:legacy="1" w:legacySpace="0" w:legacyIndent="426"/>
        <w:lvlJc w:val="left"/>
        <w:pPr>
          <w:ind w:left="426" w:hanging="426"/>
        </w:pPr>
      </w:lvl>
    </w:lvlOverride>
  </w:num>
  <w:num w:numId="7">
    <w:abstractNumId w:val="7"/>
  </w:num>
  <w:num w:numId="8">
    <w:abstractNumId w:val="7"/>
    <w:lvlOverride w:ilvl="0">
      <w:lvl w:ilvl="0">
        <w:start w:val="1"/>
        <w:numFmt w:val="lowerLetter"/>
        <w:lvlText w:val="%1)"/>
        <w:legacy w:legacy="1" w:legacySpace="0" w:legacyIndent="426"/>
        <w:lvlJc w:val="left"/>
        <w:pPr>
          <w:ind w:left="426" w:hanging="426"/>
        </w:pPr>
      </w:lvl>
    </w:lvlOverride>
  </w:num>
  <w:num w:numId="9">
    <w:abstractNumId w:val="3"/>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4B5935-3311-4C92-8D0B-ED24BA9B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Endnotenzeichen">
    <w:name w:val="endnote reference"/>
    <w:basedOn w:val="Absatz-Standardschriftart"/>
    <w:semiHidden/>
    <w:rPr>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95D0001&amp;from=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dir/1992/43/oj" TargetMode="External"/><Relationship Id="rId12" Type="http://schemas.openxmlformats.org/officeDocument/2006/relationships/hyperlink" Target="http://data.europa.eu/eli/dir/2013/17/o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ta.europa.eu/eli/dir/2006/105/o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ata.europa.eu/eli/reg/2003/1882/oj" TargetMode="External"/><Relationship Id="rId4" Type="http://schemas.openxmlformats.org/officeDocument/2006/relationships/webSettings" Target="webSettings.xml"/><Relationship Id="rId9" Type="http://schemas.openxmlformats.org/officeDocument/2006/relationships/hyperlink" Target="http://data.europa.eu/eli/dir/1997/62/oj"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11</Pages>
  <Words>5268</Words>
  <Characters>35797</Characters>
  <Application>Microsoft Office Word</Application>
  <DocSecurity>0</DocSecurity>
  <Lines>298</Lines>
  <Paragraphs>81</Paragraphs>
  <ScaleCrop>false</ScaleCrop>
  <HeadingPairs>
    <vt:vector size="2" baseType="variant">
      <vt:variant>
        <vt:lpstr>Titel</vt:lpstr>
      </vt:variant>
      <vt:variant>
        <vt:i4>1</vt:i4>
      </vt:variant>
    </vt:vector>
  </HeadingPairs>
  <TitlesOfParts>
    <vt:vector size="1" baseType="lpstr">
      <vt:lpstr>FFH</vt:lpstr>
    </vt:vector>
  </TitlesOfParts>
  <Company>LUA</Company>
  <LinksUpToDate>false</LinksUpToDate>
  <CharactersWithSpaces>40984</CharactersWithSpaces>
  <SharedDoc>false</SharedDoc>
  <HLinks>
    <vt:vector size="12" baseType="variant">
      <vt:variant>
        <vt:i4>5373976</vt:i4>
      </vt:variant>
      <vt:variant>
        <vt:i4>3</vt:i4>
      </vt:variant>
      <vt:variant>
        <vt:i4>0</vt:i4>
      </vt:variant>
      <vt:variant>
        <vt:i4>5</vt:i4>
      </vt:variant>
      <vt:variant>
        <vt:lpwstr>http://eur-lex.europa.eu/LexUriServ/LexUriServ.do?uri=OJ:L:2006:363:0368:0408:DE:PDF</vt:lpwstr>
      </vt:variant>
      <vt:variant>
        <vt:lpwstr/>
      </vt:variant>
      <vt:variant>
        <vt:i4>524362</vt:i4>
      </vt:variant>
      <vt:variant>
        <vt:i4>0</vt:i4>
      </vt:variant>
      <vt:variant>
        <vt:i4>0</vt:i4>
      </vt:variant>
      <vt:variant>
        <vt:i4>5</vt:i4>
      </vt:variant>
      <vt:variant>
        <vt:lpwstr>http://europa.eu.int/eur-lex/pri/de/oj/dat/2003/l_284/l_28420031031de00010053.pdf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FFH</dc:title>
  <dc:creator>LUA</dc:creator>
  <dc:description>2025</dc:description>
  <cp:lastModifiedBy>Rüter, Dr., Ingo</cp:lastModifiedBy>
  <cp:revision>15</cp:revision>
  <cp:lastPrinted>2004-10-14T10:22:00Z</cp:lastPrinted>
  <dcterms:created xsi:type="dcterms:W3CDTF">2014-04-09T08:22:00Z</dcterms:created>
  <dcterms:modified xsi:type="dcterms:W3CDTF">2025-01-10T08:36:00Z</dcterms:modified>
</cp:coreProperties>
</file>