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401240811"/>
      <w:r>
        <w:t>ENTSCHEIDUNG DER KOMMISSION</w:t>
      </w:r>
      <w:r>
        <w:br/>
        <w:t>vom 28. Juli 2008</w:t>
      </w:r>
      <w:r>
        <w:br/>
        <w:t>über die Nichtaufnahme bestimmter Wirkstoffe in Anhang I, IA oder IB</w:t>
      </w:r>
      <w:r>
        <w:br/>
        <w:t>der Richtlinie 98/8/EG des Europäischen Parlaments und des Rates</w:t>
      </w:r>
      <w:r>
        <w:br/>
        <w:t>über das Inverkehrbringen von Biozid-Produkten</w:t>
      </w:r>
      <w:bookmarkEnd w:id="0"/>
    </w:p>
    <w:p>
      <w:pPr>
        <w:pStyle w:val="GesAbsatz"/>
        <w:jc w:val="center"/>
      </w:pPr>
      <w:r>
        <w:t>(Bekannt gegeben unter Aktenzeichen K(2008) 3854)</w:t>
      </w:r>
    </w:p>
    <w:p>
      <w:pPr>
        <w:pStyle w:val="GesAbsatz"/>
        <w:jc w:val="center"/>
      </w:pPr>
      <w:r>
        <w:t>(Text von Bedeutung für den EWR)</w:t>
      </w:r>
    </w:p>
    <w:p>
      <w:pPr>
        <w:pStyle w:val="GesAbsatz"/>
        <w:jc w:val="center"/>
      </w:pPr>
      <w:r>
        <w:t>(</w:t>
      </w:r>
      <w:hyperlink r:id="rId7" w:history="1">
        <w:r>
          <w:rPr>
            <w:rStyle w:val="Hyperlink"/>
          </w:rPr>
          <w:t>2008/681/EG</w:t>
        </w:r>
      </w:hyperlink>
      <w:r>
        <w:t>)</w:t>
      </w:r>
    </w:p>
    <w:p>
      <w:pPr>
        <w:pStyle w:val="GesAbsatz"/>
      </w:pPr>
    </w:p>
    <w:p>
      <w:pPr>
        <w:pStyle w:val="GesAbsatz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Inhalt:</w:t>
      </w:r>
    </w:p>
    <w:p>
      <w:pPr>
        <w:pStyle w:val="Verzeichnis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b w:val="0"/>
          <w:sz w:val="22"/>
          <w:szCs w:val="22"/>
        </w:rPr>
        <w:fldChar w:fldCharType="begin"/>
      </w:r>
      <w:r>
        <w:rPr>
          <w:b w:val="0"/>
          <w:sz w:val="22"/>
          <w:szCs w:val="22"/>
        </w:rPr>
        <w:instrText xml:space="preserve"> TOC \o "1-3" \h \z \u </w:instrText>
      </w:r>
      <w:r>
        <w:rPr>
          <w:b w:val="0"/>
          <w:sz w:val="22"/>
          <w:szCs w:val="22"/>
        </w:rPr>
        <w:fldChar w:fldCharType="separate"/>
      </w:r>
      <w:hyperlink w:anchor="_Toc401240811" w:history="1">
        <w:r>
          <w:rPr>
            <w:rStyle w:val="Hyperlink"/>
            <w:noProof/>
          </w:rPr>
          <w:t>ENTSCHEIDUNG DER KOMMISSION vom 28. Juli 2008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_Toc401240811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1240812" w:history="1">
        <w:r>
          <w:rPr>
            <w:rStyle w:val="Hyperlink"/>
            <w:noProof/>
          </w:rPr>
          <w:t>Artikel 1</w:t>
        </w:r>
        <w:bookmarkStart w:id="1" w:name="_GoBack"/>
        <w:bookmarkEnd w:id="1"/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_Toc401240812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1240813" w:history="1">
        <w:r>
          <w:rPr>
            <w:rStyle w:val="Hyperlink"/>
            <w:noProof/>
          </w:rPr>
          <w:t>Artikel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_Toc401240813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1240814" w:history="1">
        <w:r>
          <w:rPr>
            <w:rStyle w:val="Hyperlink"/>
            <w:noProof/>
          </w:rPr>
          <w:t>Artikel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_Toc401240814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01240815" w:history="1">
        <w:r>
          <w:rPr>
            <w:rStyle w:val="Hyperlink"/>
            <w:noProof/>
          </w:rPr>
          <w:t>Anhang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_Toc401240815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GesAbsatz"/>
      </w:pPr>
      <w:r>
        <w:fldChar w:fldCharType="end"/>
      </w:r>
    </w:p>
    <w:p>
      <w:pPr>
        <w:pStyle w:val="GesAbsatz"/>
      </w:pPr>
      <w:r>
        <w:t>DIE KOMMISSION DER EUROPÄISCHEN GEMEINSCHAFTEN —</w:t>
      </w:r>
    </w:p>
    <w:p>
      <w:pPr>
        <w:pStyle w:val="GesAbsatz"/>
      </w:pPr>
      <w:r>
        <w:t>gestützt auf den Vertrag zur Gründung der Europäischen Gemeinschaft,</w:t>
      </w:r>
    </w:p>
    <w:p>
      <w:pPr>
        <w:pStyle w:val="GesAbsatz"/>
      </w:pPr>
      <w:r>
        <w:t>gestützt auf die Richtlinie 98/8/EG des Europäischen Parlaments und des Rates vom 16. Februar 1998 über das Inverkehrbringen von Biozid-Produkten</w:t>
      </w:r>
      <w:r>
        <w:rPr>
          <w:rStyle w:val="Funotenzeichen"/>
        </w:rPr>
        <w:footnoteReference w:id="1"/>
      </w:r>
      <w:r>
        <w:t>, insbesondere auf Artikel 16 Absatz 2 Unterabsatz 2,</w:t>
      </w:r>
    </w:p>
    <w:p>
      <w:pPr>
        <w:pStyle w:val="GesAbsatz"/>
      </w:pPr>
      <w:r>
        <w:t>in Erwägung nachstehender Gründe:</w:t>
      </w:r>
    </w:p>
    <w:p>
      <w:pPr>
        <w:pStyle w:val="GesAbsatz"/>
      </w:pPr>
      <w:r>
        <w:t>(1) Mit der Verordnung (EG) Nr. 1451/2007 der Kommission vom 4. Dezember 2007 über die zweite Phase des Zehn-Jahres-Arbeitsprogramms gemäß Artikel 16 Absatz 2 der Richtlinie 98/8/EG des Europäischen Parlaments und des Rates über das Inverkehrbringen von Biozid-Produkten</w:t>
      </w:r>
      <w:r>
        <w:rPr>
          <w:rStyle w:val="Funotenzeichen"/>
        </w:rPr>
        <w:footnoteReference w:id="2"/>
      </w:r>
      <w:r>
        <w:t xml:space="preserve"> wurde eine Liste von Wirkstoffen erstellt, die im Hinblick auf eine mögliche Aufnahme in Anhang I, IA oder IB der Richtlinie 98/8/EG bewertet werden sollen.</w:t>
      </w:r>
    </w:p>
    <w:p>
      <w:pPr>
        <w:pStyle w:val="GesAbsatz"/>
      </w:pPr>
      <w:r>
        <w:t>(2) Für eine Reihe von Wirkstoff/Produktart-Kombinationen aus dieser Liste haben entweder alle Teilnehmer ihre Beteiligung am Prüfprogramm beendet oder es sind keine vollständigen Unterlagen innerhalb der in Artikel 9 und Artikel 12 Absatz 3 der Verordnung (EG) Nr. 1451/2007 festgelegten Fristen bei dem für die Bewertung zuständigen Bericht erstattenden Mitgliedstaat eingegangen.</w:t>
      </w:r>
    </w:p>
    <w:p>
      <w:pPr>
        <w:pStyle w:val="GesAbsatz"/>
      </w:pPr>
      <w:r>
        <w:t>(3) Die Kommission hat die Mitgliedstaaten daher gemäß Artikel 11 Absatz 2, Artikel 12 Absatz 1 und Artikel 13 Absatz 5 Verordnung (EG) Nr. 1451/2007 entsprechend informiert. Die Informationen wurden am 22. Juni 2007 auf elektronischem Wege auch öffentlich zugänglich gemacht.</w:t>
      </w:r>
    </w:p>
    <w:p>
      <w:pPr>
        <w:pStyle w:val="GesAbsatz"/>
      </w:pPr>
      <w:r>
        <w:t>(4) Innerhalb von drei Monaten nach dieser Veröffentlichung hat keine Person und kein Mitgliedstaat ein Interesse daran bekundet, die Rolle des Teilnehmers für die betreffenden Wirkstoffe und Produktarten zu übernehmen.</w:t>
      </w:r>
    </w:p>
    <w:p>
      <w:pPr>
        <w:pStyle w:val="GesAbsatz"/>
      </w:pPr>
      <w:r>
        <w:t>(5) Gemäß Artikel 12 Absatz 5 der Verordnung (EG) Nr. 1451/2007 sollten die betreffenden Wirkstoffe und Produktarten daher nicht in die Anhänge I, IA oder IB der Richtlinie 98/8/EG aufgenommen werden.</w:t>
      </w:r>
    </w:p>
    <w:p>
      <w:pPr>
        <w:pStyle w:val="GesAbsatz"/>
      </w:pPr>
      <w:r>
        <w:t>(6) Die in dieser Entscheidung vorgesehenen Maßnahmen entsprechen der Stellungnahme des Ständigen Ausschusses für Biozid-Produkte —</w:t>
      </w:r>
    </w:p>
    <w:p>
      <w:pPr>
        <w:pStyle w:val="GesAbsatz"/>
      </w:pPr>
      <w:r>
        <w:t>HAT FOLGENDE ENTSCHEIDUNG ERLASSEN:</w:t>
      </w:r>
    </w:p>
    <w:p>
      <w:pPr>
        <w:pStyle w:val="berschrift2"/>
      </w:pPr>
      <w:bookmarkStart w:id="2" w:name="_Toc401240812"/>
      <w:r>
        <w:t>Artikel 1</w:t>
      </w:r>
      <w:bookmarkEnd w:id="2"/>
    </w:p>
    <w:p>
      <w:pPr>
        <w:pStyle w:val="GesAbsatz"/>
      </w:pPr>
      <w:r>
        <w:t>Die im Anhang dieser Entscheidung aufgeführten Wirkstoff/Produktart-Kombinationen sollten nicht in die Anhänge I, IA oder IB der Richtlinie 98/8/EG aufgenommen werden.</w:t>
      </w:r>
    </w:p>
    <w:p>
      <w:pPr>
        <w:pStyle w:val="berschrift2"/>
      </w:pPr>
      <w:bookmarkStart w:id="3" w:name="_Toc401240813"/>
      <w:r>
        <w:lastRenderedPageBreak/>
        <w:t>Artikel 2</w:t>
      </w:r>
      <w:bookmarkEnd w:id="3"/>
    </w:p>
    <w:p>
      <w:pPr>
        <w:pStyle w:val="GesAbsatz"/>
      </w:pPr>
      <w:r>
        <w:t>Für die Zwecke von Artikel 4 Absatz 2 der Verordnung (EG) Nr. 1451/2007 gilt diese Entscheidung ab dem Tag nach ihrer Veröffentlichung im Amtsblatt der Europäischen Union.</w:t>
      </w:r>
    </w:p>
    <w:p>
      <w:pPr>
        <w:pStyle w:val="berschrift2"/>
      </w:pPr>
      <w:bookmarkStart w:id="4" w:name="_Toc401240814"/>
      <w:r>
        <w:t>Artikel 3</w:t>
      </w:r>
      <w:bookmarkEnd w:id="4"/>
    </w:p>
    <w:p>
      <w:pPr>
        <w:pStyle w:val="GesAbsatz"/>
      </w:pPr>
      <w:r>
        <w:t>Diese Entscheidung ist an die Mitgliedstaaten gerichtet.</w:t>
      </w:r>
    </w:p>
    <w:p>
      <w:pPr>
        <w:pStyle w:val="GesAbsatz"/>
      </w:pPr>
    </w:p>
    <w:p>
      <w:pPr>
        <w:pStyle w:val="berschrift2"/>
        <w:jc w:val="left"/>
      </w:pPr>
      <w:bookmarkStart w:id="5" w:name="_Toc401240815"/>
      <w:r>
        <w:t>Anhang</w:t>
      </w:r>
      <w:bookmarkEnd w:id="5"/>
    </w:p>
    <w:p>
      <w:pPr>
        <w:pStyle w:val="GesAbsatz"/>
        <w:jc w:val="center"/>
        <w:rPr>
          <w:b/>
        </w:rPr>
      </w:pPr>
      <w:r>
        <w:rPr>
          <w:b/>
        </w:rPr>
        <w:t>WIRKSTOFFE UND PRODUKTARTEN, DIE NICHT IN DIE ANHÄNGE I, IA ODER IB DER</w:t>
      </w:r>
      <w:r>
        <w:rPr>
          <w:b/>
        </w:rPr>
        <w:br/>
        <w:t>RICHTLINIE 98/8/EG AUFGENOMMEN WERDEN</w:t>
      </w:r>
    </w:p>
    <w:p>
      <w:pPr>
        <w:pStyle w:val="GesAbsatz"/>
      </w:pPr>
    </w:p>
    <w:tbl>
      <w:tblPr>
        <w:tblW w:w="9746" w:type="dxa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280"/>
        <w:gridCol w:w="1413"/>
        <w:gridCol w:w="1133"/>
      </w:tblGrid>
      <w:tr>
        <w:trPr>
          <w:trHeight w:val="232"/>
        </w:trPr>
        <w:tc>
          <w:tcPr>
            <w:tcW w:w="5920" w:type="dxa"/>
          </w:tcPr>
          <w:p>
            <w:pPr>
              <w:pStyle w:val="GesAbsatz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1280" w:type="dxa"/>
          </w:tcPr>
          <w:p>
            <w:pPr>
              <w:pStyle w:val="GesAbsatz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EG-Nummer</w:t>
            </w:r>
          </w:p>
        </w:tc>
        <w:tc>
          <w:tcPr>
            <w:tcW w:w="1413" w:type="dxa"/>
          </w:tcPr>
          <w:p>
            <w:pPr>
              <w:pStyle w:val="GesAbsatz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CAS-Nummer</w:t>
            </w:r>
          </w:p>
        </w:tc>
        <w:tc>
          <w:tcPr>
            <w:tcW w:w="1133" w:type="dxa"/>
          </w:tcPr>
          <w:p>
            <w:pPr>
              <w:pStyle w:val="GesAbsatz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Produktart</w:t>
            </w:r>
          </w:p>
        </w:tc>
      </w:tr>
      <w:tr>
        <w:trPr>
          <w:trHeight w:val="181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Formaldehyd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200-001-8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50-00-0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11 </w:t>
            </w:r>
          </w:p>
        </w:tc>
      </w:tr>
      <w:tr>
        <w:trPr>
          <w:trHeight w:val="129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Formaldehyd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200-001-8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50-00-0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12 </w:t>
            </w:r>
          </w:p>
        </w:tc>
      </w:tr>
      <w:tr>
        <w:trPr>
          <w:trHeight w:val="77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Formaldehyd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200-001-8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50-00-0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13 </w:t>
            </w:r>
          </w:p>
        </w:tc>
      </w:tr>
      <w:tr>
        <w:trPr>
          <w:trHeight w:val="153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2-(2-butoxyethoxy)</w:t>
            </w:r>
            <w:proofErr w:type="spellStart"/>
            <w:r>
              <w:rPr>
                <w:rFonts w:cs="Arial"/>
                <w:sz w:val="18"/>
                <w:szCs w:val="18"/>
              </w:rPr>
              <w:t>ethyl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6-propylpiperonylether/Piperonylbutoxid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200-076-7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51-03-6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19 </w:t>
            </w:r>
          </w:p>
        </w:tc>
      </w:tr>
      <w:tr>
        <w:trPr>
          <w:trHeight w:val="114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1,3-dibromo-5,5-dimethylhydantoin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201-030-9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77-48-5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 </w:t>
            </w:r>
          </w:p>
        </w:tc>
      </w:tr>
      <w:tr>
        <w:trPr>
          <w:trHeight w:val="191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1,3-dibromo-5,5-dimethylhydantoin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201-030-9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77-48-5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11 </w:t>
            </w:r>
          </w:p>
        </w:tc>
      </w:tr>
      <w:tr>
        <w:trPr>
          <w:trHeight w:val="266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1,3-dibromo-5,5-dimethylhydantoin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201-030-9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77-48-5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12 </w:t>
            </w:r>
          </w:p>
        </w:tc>
      </w:tr>
      <w:tr>
        <w:trPr>
          <w:trHeight w:val="229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Naphthalin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202-049-5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91-20-3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19 </w:t>
            </w:r>
          </w:p>
        </w:tc>
      </w:tr>
      <w:tr>
        <w:trPr>
          <w:trHeight w:val="163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m-Kresol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203-577-9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108-39-4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 </w:t>
            </w:r>
          </w:p>
        </w:tc>
      </w:tr>
      <w:tr>
        <w:trPr>
          <w:trHeight w:val="252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m-Kresol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203-577-9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108-39-4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 </w:t>
            </w:r>
          </w:p>
        </w:tc>
      </w:tr>
      <w:tr>
        <w:trPr>
          <w:trHeight w:val="201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Hexa-2,4-diensäure/Sorbinsäure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203-768-7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110-44-1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8 </w:t>
            </w:r>
          </w:p>
        </w:tc>
      </w:tr>
      <w:tr>
        <w:trPr>
          <w:trHeight w:val="290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Benzylbenzoat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204-402-9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120-51-4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18 </w:t>
            </w:r>
          </w:p>
        </w:tc>
      </w:tr>
      <w:tr>
        <w:trPr>
          <w:trHeight w:val="330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Benzothiazol-2-thiol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205-736-8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149-30-4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 </w:t>
            </w:r>
          </w:p>
        </w:tc>
      </w:tr>
      <w:tr>
        <w:trPr>
          <w:trHeight w:val="330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Benzothiazol-2-thiol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205-736-8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149-30-4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7 </w:t>
            </w:r>
          </w:p>
        </w:tc>
      </w:tr>
      <w:tr>
        <w:trPr>
          <w:trHeight w:val="330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Benzothiazol-2-thiol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205-736-8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149-30-4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9 </w:t>
            </w:r>
          </w:p>
        </w:tc>
      </w:tr>
      <w:tr>
        <w:trPr>
          <w:trHeight w:val="330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Benzothiazol-2-thiol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205-736-8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149-30-4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11 </w:t>
            </w:r>
          </w:p>
        </w:tc>
      </w:tr>
      <w:tr>
        <w:trPr>
          <w:trHeight w:val="330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Benzothiazol-2-thiol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205-736-8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149-30-4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12 </w:t>
            </w:r>
          </w:p>
        </w:tc>
      </w:tr>
      <w:tr>
        <w:trPr>
          <w:trHeight w:val="206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Benzothiazol-2-thiol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205-736-8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149-30-4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13 </w:t>
            </w:r>
          </w:p>
        </w:tc>
      </w:tr>
      <w:tr>
        <w:trPr>
          <w:trHeight w:val="141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2-hydroxy-4-isopropyl-2,4,6-cycloheptatrien-1-on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207-880-7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499-44-5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10 </w:t>
            </w:r>
          </w:p>
        </w:tc>
      </w:tr>
      <w:tr>
        <w:trPr>
          <w:trHeight w:val="102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Natriumbromid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231-599-9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7647-15-6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4 </w:t>
            </w:r>
          </w:p>
        </w:tc>
      </w:tr>
      <w:tr>
        <w:trPr>
          <w:trHeight w:val="179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Natriumbromid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231-599-9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7647-15-6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 </w:t>
            </w:r>
          </w:p>
        </w:tc>
      </w:tr>
      <w:tr>
        <w:trPr>
          <w:trHeight w:val="126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Natriumbromid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231-599-9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7647-15-6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13 </w:t>
            </w:r>
          </w:p>
        </w:tc>
      </w:tr>
      <w:tr>
        <w:trPr>
          <w:trHeight w:val="75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Borsäure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233-139-2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10043-35-3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18 </w:t>
            </w:r>
          </w:p>
        </w:tc>
      </w:tr>
      <w:tr>
        <w:trPr>
          <w:trHeight w:val="165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Ammoniumbromid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235-183-8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12124-97-9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 </w:t>
            </w:r>
          </w:p>
        </w:tc>
      </w:tr>
      <w:tr>
        <w:trPr>
          <w:trHeight w:val="328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Ammoniumbromid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235-183-8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12124-97-9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4 </w:t>
            </w:r>
          </w:p>
        </w:tc>
      </w:tr>
      <w:tr>
        <w:trPr>
          <w:trHeight w:val="330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Ammoniumbromid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235-183-8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12124-97-9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 </w:t>
            </w:r>
          </w:p>
        </w:tc>
      </w:tr>
      <w:tr>
        <w:trPr>
          <w:trHeight w:val="123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Cis-tricos-9-en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248-505-7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27519-02-4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18 </w:t>
            </w:r>
          </w:p>
        </w:tc>
      </w:tr>
      <w:tr>
        <w:trPr>
          <w:trHeight w:val="213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3-phenoxybenzyl-2-(4-ethoxyphenyl)-2-methylpropylether/Etofenprox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407-980-2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80844-07-1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 </w:t>
            </w:r>
          </w:p>
        </w:tc>
      </w:tr>
      <w:tr>
        <w:trPr>
          <w:trHeight w:val="161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3-phenoxybenzyl-2-(4-ethoxyphenyl)-2-methylpropylether/Etofenprox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407-980-2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80844-07-1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 </w:t>
            </w:r>
          </w:p>
        </w:tc>
      </w:tr>
      <w:tr>
        <w:trPr>
          <w:trHeight w:val="662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(RS)-3-Allyl-2-methyl-4-oxocyclopent-2-enyl-(1R,3R)-2,2-dimethyl-3-(2-methylprop-1-enyl)-cyclopropanecarboxylat (Mischung von 2 Isomeren: 1R trans: 1RS nur 1:1)/</w:t>
            </w:r>
            <w:proofErr w:type="spellStart"/>
            <w:r>
              <w:rPr>
                <w:rFonts w:cs="Arial"/>
                <w:sz w:val="18"/>
                <w:szCs w:val="18"/>
              </w:rPr>
              <w:t>Bioallethrin</w:t>
            </w:r>
            <w:proofErr w:type="spellEnd"/>
            <w:r>
              <w:rPr>
                <w:rFonts w:cs="Arial"/>
                <w:sz w:val="18"/>
                <w:szCs w:val="18"/>
              </w:rPr>
              <w:t>/d-trans-</w:t>
            </w:r>
            <w:proofErr w:type="spellStart"/>
            <w:r>
              <w:rPr>
                <w:rFonts w:cs="Arial"/>
                <w:sz w:val="18"/>
                <w:szCs w:val="18"/>
              </w:rPr>
              <w:t>Allethrin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Pflanzenschutzmittel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—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18 </w:t>
            </w:r>
          </w:p>
        </w:tc>
      </w:tr>
      <w:tr>
        <w:trPr>
          <w:trHeight w:val="520"/>
        </w:trPr>
        <w:tc>
          <w:tcPr>
            <w:tcW w:w="592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Spinosad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: Fermentierungsprodukt von Boden-Mikroorganismen mit </w:t>
            </w:r>
            <w:proofErr w:type="spellStart"/>
            <w:r>
              <w:rPr>
                <w:rFonts w:cs="Arial"/>
                <w:sz w:val="18"/>
                <w:szCs w:val="18"/>
              </w:rPr>
              <w:t>Spinosyn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A und </w:t>
            </w:r>
            <w:proofErr w:type="spellStart"/>
            <w:r>
              <w:rPr>
                <w:rFonts w:cs="Arial"/>
                <w:sz w:val="18"/>
                <w:szCs w:val="18"/>
              </w:rPr>
              <w:t>Spinosyn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 </w:t>
            </w:r>
          </w:p>
        </w:tc>
        <w:tc>
          <w:tcPr>
            <w:tcW w:w="1280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Pflanzenschutzmittel </w:t>
            </w:r>
          </w:p>
        </w:tc>
        <w:tc>
          <w:tcPr>
            <w:tcW w:w="141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— </w:t>
            </w:r>
          </w:p>
        </w:tc>
        <w:tc>
          <w:tcPr>
            <w:tcW w:w="113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 </w:t>
            </w:r>
          </w:p>
        </w:tc>
      </w:tr>
    </w:tbl>
    <w:p>
      <w:pPr>
        <w:pStyle w:val="GesAbsatz"/>
      </w:pPr>
    </w:p>
    <w:sectPr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28.07.2008 (ABl. L 222 v. 20.08.2008 S. 7)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footnoteRef/>
      </w:r>
      <w:r>
        <w:t xml:space="preserve"> ABl. L 123 vom 24.4.1998, S. 1. Richtlinie zuletzt geändert durch die Richtlinie 2008/31/EG (ABl. L 81 vom 20.3.2008, S. 57).</w:t>
      </w:r>
    </w:p>
  </w:footnote>
  <w:footnote w:id="2">
    <w:p>
      <w:pPr>
        <w:pStyle w:val="Funotentext"/>
      </w:pPr>
      <w:r>
        <w:rPr>
          <w:rStyle w:val="Funotenzeichen"/>
        </w:rPr>
        <w:footnoteRef/>
      </w:r>
      <w:r>
        <w:t xml:space="preserve"> ABl. L 325 vom 11.12.2007, S.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81.0-23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1FAC2B-EE7F-44D6-9BA6-2C008ED2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uiPriority w:val="39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xUriServ/LexUriServ.do?uri=OJ:L:2008:222:0007:0008:DE: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BE06F-D4C6-43E0-8F62-E5F65DAC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3</Pages>
  <Words>571</Words>
  <Characters>4732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ENTSCHEIDUNG DER KOMMISSION über die Nichtaufnahme bestimmter Wirkstoffe in Anhang I, IA oder IB der Richtlinie 98/8/EG</vt:lpstr>
    </vt:vector>
  </TitlesOfParts>
  <Company>LANUV NRW</Company>
  <LinksUpToDate>false</LinksUpToDate>
  <CharactersWithSpaces>5293</CharactersWithSpaces>
  <SharedDoc>false</SharedDoc>
  <HLinks>
    <vt:vector size="36" baseType="variant">
      <vt:variant>
        <vt:i4>1900601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_Toc206983504</vt:lpwstr>
      </vt:variant>
      <vt:variant>
        <vt:i4>1900601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_Toc206983503</vt:lpwstr>
      </vt:variant>
      <vt:variant>
        <vt:i4>1900601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_Toc206983502</vt:lpwstr>
      </vt:variant>
      <vt:variant>
        <vt:i4>1900601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_Toc206983501</vt:lpwstr>
      </vt:variant>
      <vt:variant>
        <vt:i4>1900601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_Toc206983500</vt:lpwstr>
      </vt:variant>
      <vt:variant>
        <vt:i4>5898260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http://eur-lex.europa.eu/LexUriServ/LexUriServ.do?uri=OJ:L:2008:222:0007:0008:DE:PDF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ENTSCHEIDUNG DER KOMMISSION über die Nichtaufnahme bestimmter Wirkstoffe in Anhang I, IA oder IB der Richtlinie 98/8/EG</dc:title>
  <dc:creator>Np</dc:creator>
  <cp:lastModifiedBy>Rüter, Dr., Ingo</cp:lastModifiedBy>
  <cp:revision>5</cp:revision>
  <cp:lastPrinted>2004-12-14T11:08:00Z</cp:lastPrinted>
  <dcterms:created xsi:type="dcterms:W3CDTF">2014-07-18T12:46:00Z</dcterms:created>
  <dcterms:modified xsi:type="dcterms:W3CDTF">2024-07-02T09:46:00Z</dcterms:modified>
</cp:coreProperties>
</file>