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3595950"/>
      <w:r>
        <w:t xml:space="preserve">VERORDNUNG (EG) Nr. </w:t>
      </w:r>
      <w:hyperlink r:id="rId7" w:history="1">
        <w:r>
          <w:rPr>
            <w:rStyle w:val="Hyperlink"/>
          </w:rPr>
          <w:t>466/2008</w:t>
        </w:r>
      </w:hyperlink>
      <w:r>
        <w:t xml:space="preserve"> DER KOMMISSION</w:t>
      </w:r>
      <w:r>
        <w:br/>
        <w:t>vom 28. Mai 2008</w:t>
      </w:r>
      <w:r>
        <w:br/>
        <w:t>über Prüf- und Informationsanforderungen an Importeure und Hersteller</w:t>
      </w:r>
      <w:r>
        <w:br/>
        <w:t>bestimmter vorrangi</w:t>
      </w:r>
      <w:bookmarkStart w:id="1" w:name="_GoBack"/>
      <w:bookmarkEnd w:id="1"/>
      <w:r>
        <w:t>g zu prüfender Stoffe gemäß der Verordnung (EWG)</w:t>
      </w:r>
      <w:r>
        <w:br/>
        <w:t>Nr. 793/93 des Rates zur Bewertung und Kontrolle der Umweltrisiken</w:t>
      </w:r>
      <w:r>
        <w:br/>
        <w:t>chemischer Altstoffe</w:t>
      </w:r>
      <w:bookmarkEnd w:id="0"/>
    </w:p>
    <w:p>
      <w:pPr>
        <w:pStyle w:val="GesAbsatz"/>
        <w:jc w:val="center"/>
      </w:pPr>
      <w:r>
        <w:t>(Text von Bedeutung für den EWR)</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83595950" w:history="1">
        <w:r>
          <w:rPr>
            <w:rStyle w:val="Hyperlink"/>
            <w:noProof/>
          </w:rPr>
          <w:t>VERORDNUNG (EG) Nr. 466/2008 DER KOMMISSION vom 28. Mai 2008</w:t>
        </w:r>
        <w:r>
          <w:rPr>
            <w:noProof/>
            <w:webHidden/>
          </w:rPr>
          <w:tab/>
        </w:r>
        <w:r>
          <w:rPr>
            <w:noProof/>
            <w:webHidden/>
          </w:rPr>
          <w:fldChar w:fldCharType="begin"/>
        </w:r>
        <w:r>
          <w:rPr>
            <w:noProof/>
            <w:webHidden/>
          </w:rPr>
          <w:instrText xml:space="preserve"> PAGEREF _Toc383595950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951" w:history="1">
        <w:r>
          <w:rPr>
            <w:rStyle w:val="Hyperlink"/>
            <w:noProof/>
          </w:rPr>
          <w:t>Artikel 1</w:t>
        </w:r>
        <w:r>
          <w:rPr>
            <w:noProof/>
            <w:webHidden/>
          </w:rPr>
          <w:tab/>
        </w:r>
        <w:r>
          <w:rPr>
            <w:noProof/>
            <w:webHidden/>
          </w:rPr>
          <w:fldChar w:fldCharType="begin"/>
        </w:r>
        <w:r>
          <w:rPr>
            <w:noProof/>
            <w:webHidden/>
          </w:rPr>
          <w:instrText xml:space="preserve"> PAGEREF _Toc383595951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952" w:history="1">
        <w:r>
          <w:rPr>
            <w:rStyle w:val="Hyperlink"/>
            <w:noProof/>
          </w:rPr>
          <w:t>Artikel 2</w:t>
        </w:r>
        <w:r>
          <w:rPr>
            <w:noProof/>
            <w:webHidden/>
          </w:rPr>
          <w:tab/>
        </w:r>
        <w:r>
          <w:rPr>
            <w:noProof/>
            <w:webHidden/>
          </w:rPr>
          <w:fldChar w:fldCharType="begin"/>
        </w:r>
        <w:r>
          <w:rPr>
            <w:noProof/>
            <w:webHidden/>
          </w:rPr>
          <w:instrText xml:space="preserve"> PAGEREF _Toc383595952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83595953" w:history="1">
        <w:r>
          <w:rPr>
            <w:rStyle w:val="Hyperlink"/>
            <w:noProof/>
          </w:rPr>
          <w:t>ANHANG</w:t>
        </w:r>
        <w:r>
          <w:rPr>
            <w:noProof/>
            <w:webHidden/>
          </w:rPr>
          <w:tab/>
        </w:r>
        <w:r>
          <w:rPr>
            <w:noProof/>
            <w:webHidden/>
          </w:rPr>
          <w:fldChar w:fldCharType="begin"/>
        </w:r>
        <w:r>
          <w:rPr>
            <w:noProof/>
            <w:webHidden/>
          </w:rPr>
          <w:instrText xml:space="preserve"> PAGEREF _Toc383595953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DIE KOMMISSION DER EUROPÄISCHEN GEMEINSCHAFTEN -</w:t>
      </w:r>
    </w:p>
    <w:p>
      <w:pPr>
        <w:pStyle w:val="GesAbsatz"/>
      </w:pPr>
      <w:r>
        <w:t>gestützt auf den Vertrag zur Gründung der Europäischen Gemeinschaft,</w:t>
      </w:r>
    </w:p>
    <w:p>
      <w:pPr>
        <w:pStyle w:val="GesAbsatz"/>
      </w:pPr>
      <w:r>
        <w:t>gestützt auf die Verordnung (EWG) Nr. 793/93 des Rates vom 23. März 1993 zur Bewertung und Kontrolle der Umweltrisiken chemischer Altstoffe</w:t>
      </w:r>
      <w:r>
        <w:rPr>
          <w:rStyle w:val="Funotenzeichen"/>
        </w:rPr>
        <w:footnoteReference w:id="1"/>
      </w:r>
      <w:r>
        <w:t>, insbesondere auf Artikel 10 Absatz 2,</w:t>
      </w:r>
    </w:p>
    <w:p>
      <w:pPr>
        <w:pStyle w:val="GesAbsatz"/>
      </w:pPr>
      <w:r>
        <w:t>in Erwägung nachstehender Gründe:</w:t>
      </w:r>
    </w:p>
    <w:p>
      <w:pPr>
        <w:pStyle w:val="GesAbsatz"/>
      </w:pPr>
      <w:r>
        <w:t>(1) Die von den Mitgliedstaaten gemäß Artikel 10 Absatz 1 der Verordnung (EWG) Nr. 793/93 bestimmten Berichterstatter haben die von den Herstellern bzw. Importeuren vorgelegten Informationen über bestimmte prioritäre Stoffe ausgewertet. Nach Rücksprache mit den betreffenden Herstellern bzw. Importeuren wurde beschlossen, dass diese für die Risikobewertung weitere Angaben vorlegen und weitere Prüfungen durchführen sollten.</w:t>
      </w:r>
    </w:p>
    <w:p>
      <w:pPr>
        <w:pStyle w:val="GesAbsatz"/>
      </w:pPr>
      <w:r>
        <w:t>(2) Die zur Bewertung der betreffenden Stoffe benötigten Informationen können nicht bei früheren Herstellern oder Importeuren eingeholt werden. Nach Prüfung durch die Hersteller bzw. Importeure gemäß Artikel 10 Absatz 5 der Verordnung (EWG) Nr. 793/93 wurde von diesen festgestellt, dass Tierversuche nicht durch Alternativverfahren ersetzt oder eingeschränkt werden können.</w:t>
      </w:r>
    </w:p>
    <w:p>
      <w:pPr>
        <w:pStyle w:val="GesAbsatz"/>
      </w:pPr>
      <w:r>
        <w:t>(3) Daher sollten Hersteller bzw. Importeure prioritärer Stoffe aufgefordert werden, weitere Informationen über diese Stoffe vorzulegen und weitere Versuche durchzuführen. Bei diesen Versuchen sollten die der Kommission von den Berichterstattern vorgelegten Protokolle verwendet werden.</w:t>
      </w:r>
    </w:p>
    <w:p>
      <w:pPr>
        <w:pStyle w:val="GesAbsatz"/>
      </w:pPr>
      <w:r>
        <w:t>(4) Die in dieser Verordnung vorgesehenen Maßnahmen entsprechen der Stellungnahme des gemäß Artikel 15 der Verordnung (EWG) Nr. 793/93 eingesetzten Ausschusses -</w:t>
      </w:r>
    </w:p>
    <w:p>
      <w:pPr>
        <w:pStyle w:val="GesAbsatz"/>
      </w:pPr>
      <w:r>
        <w:t>HAT FOLGENDE VERORDNUNG ERLASSEN:</w:t>
      </w:r>
    </w:p>
    <w:p>
      <w:pPr>
        <w:pStyle w:val="berschrift2"/>
      </w:pPr>
      <w:bookmarkStart w:id="2" w:name="_Toc383595951"/>
      <w:r>
        <w:t>Artikel 1</w:t>
      </w:r>
      <w:bookmarkEnd w:id="2"/>
    </w:p>
    <w:p>
      <w:pPr>
        <w:pStyle w:val="GesAbsatz"/>
      </w:pPr>
      <w:r>
        <w:t>Die Hersteller bzw. Importeure der im Anhang aufgeführten Stoffe, die gemäß den Artikeln 3, 4, 7 und 9 der Verordnung (EWG) Nr. 793/93 Angaben übermittelt haben, legen die im Anhang genannten Informationen vor, führen die dort genannten Tests durch und übermitteln die Ergebnisse den betreffenden Berichterstattern.</w:t>
      </w:r>
    </w:p>
    <w:p>
      <w:pPr>
        <w:pStyle w:val="GesAbsatz"/>
      </w:pPr>
      <w:r>
        <w:t>Die Versuche werden gemäß den von den Berichterstattern angegebenen Protokollen durchgeführt.</w:t>
      </w:r>
    </w:p>
    <w:p>
      <w:pPr>
        <w:pStyle w:val="GesAbsatz"/>
      </w:pPr>
      <w:r>
        <w:t>Die Ergebnisse sind innerhalb der im Anhang festgelegten Fristen vorzulegen.</w:t>
      </w:r>
    </w:p>
    <w:p>
      <w:pPr>
        <w:pStyle w:val="berschrift2"/>
      </w:pPr>
      <w:bookmarkStart w:id="3" w:name="_Toc383595952"/>
      <w:r>
        <w:t>Artikel 2</w:t>
      </w:r>
      <w:bookmarkEnd w:id="3"/>
    </w:p>
    <w:p>
      <w:pPr>
        <w:pStyle w:val="GesAbsatz"/>
      </w:pPr>
      <w:r>
        <w:t xml:space="preserve">Diese Verordnung tritt am Tag nach ihrer Veröffentlichung im </w:t>
      </w:r>
      <w:r>
        <w:rPr>
          <w:i/>
        </w:rPr>
        <w:t>Amtsblatt der Europäischen Union</w:t>
      </w:r>
      <w:r>
        <w:t xml:space="preserve"> in Kraft.</w:t>
      </w:r>
    </w:p>
    <w:p>
      <w:pPr>
        <w:pStyle w:val="berschrift2"/>
        <w:jc w:val="left"/>
        <w:sectPr>
          <w:headerReference w:type="default" r:id="rId8"/>
          <w:footerReference w:type="even" r:id="rId9"/>
          <w:footerReference w:type="default" r:id="rId10"/>
          <w:pgSz w:w="11907" w:h="16840" w:code="9"/>
          <w:pgMar w:top="1134" w:right="851" w:bottom="1134" w:left="1418" w:header="567" w:footer="851" w:gutter="0"/>
          <w:cols w:space="720"/>
        </w:sectPr>
      </w:pPr>
      <w:r>
        <w:br w:type="page"/>
      </w:r>
    </w:p>
    <w:p>
      <w:pPr>
        <w:pStyle w:val="berschrift2"/>
        <w:jc w:val="left"/>
      </w:pPr>
      <w:bookmarkStart w:id="4" w:name="_Toc383595953"/>
      <w:r>
        <w:lastRenderedPageBreak/>
        <w:t>ANHANG</w:t>
      </w:r>
      <w:bookmarkEnd w:id="4"/>
    </w:p>
    <w:p>
      <w:pPr>
        <w:pStyle w:val="GesAbsatz"/>
      </w:pPr>
    </w:p>
    <w:tbl>
      <w:tblPr>
        <w:tblW w:w="14709" w:type="dxa"/>
        <w:tblBorders>
          <w:top w:val="nil"/>
          <w:left w:val="nil"/>
          <w:bottom w:val="nil"/>
          <w:right w:val="nil"/>
        </w:tblBorders>
        <w:tblLayout w:type="fixed"/>
        <w:tblLook w:val="0000" w:firstRow="0" w:lastRow="0" w:firstColumn="0" w:lastColumn="0" w:noHBand="0" w:noVBand="0"/>
      </w:tblPr>
      <w:tblGrid>
        <w:gridCol w:w="675"/>
        <w:gridCol w:w="1134"/>
        <w:gridCol w:w="1276"/>
        <w:gridCol w:w="2977"/>
        <w:gridCol w:w="992"/>
        <w:gridCol w:w="5387"/>
        <w:gridCol w:w="2268"/>
      </w:tblGrid>
      <w:tr>
        <w:trPr>
          <w:trHeight w:val="1043"/>
        </w:trPr>
        <w:tc>
          <w:tcPr>
            <w:tcW w:w="675" w:type="dxa"/>
            <w:tcBorders>
              <w:top w:val="single" w:sz="4" w:space="0" w:color="000000"/>
              <w:bottom w:val="single" w:sz="6" w:space="0" w:color="000000"/>
              <w:right w:val="single" w:sz="6" w:space="0" w:color="000000"/>
            </w:tcBorders>
          </w:tcPr>
          <w:p>
            <w:pPr>
              <w:pStyle w:val="GesAbsatz"/>
              <w:jc w:val="left"/>
              <w:rPr>
                <w:rFonts w:cs="Arial"/>
              </w:rPr>
            </w:pPr>
            <w:r>
              <w:rPr>
                <w:rFonts w:cs="Arial"/>
              </w:rPr>
              <w:t xml:space="preserve">Nr. </w:t>
            </w:r>
          </w:p>
        </w:tc>
        <w:tc>
          <w:tcPr>
            <w:tcW w:w="1134" w:type="dxa"/>
            <w:tcBorders>
              <w:top w:val="single" w:sz="4"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Einecs-Nr. </w:t>
            </w:r>
          </w:p>
        </w:tc>
        <w:tc>
          <w:tcPr>
            <w:tcW w:w="1276" w:type="dxa"/>
            <w:tcBorders>
              <w:top w:val="single" w:sz="4"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CAS-Nr. </w:t>
            </w:r>
          </w:p>
        </w:tc>
        <w:tc>
          <w:tcPr>
            <w:tcW w:w="2977" w:type="dxa"/>
            <w:tcBorders>
              <w:top w:val="single" w:sz="4"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Name des Stoffes </w:t>
            </w:r>
          </w:p>
        </w:tc>
        <w:tc>
          <w:tcPr>
            <w:tcW w:w="992" w:type="dxa"/>
            <w:tcBorders>
              <w:top w:val="single" w:sz="4"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Berichterstatter </w:t>
            </w:r>
          </w:p>
        </w:tc>
        <w:tc>
          <w:tcPr>
            <w:tcW w:w="5387" w:type="dxa"/>
            <w:tcBorders>
              <w:top w:val="single" w:sz="4"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Prüf-/Informationsanforderungen </w:t>
            </w:r>
          </w:p>
        </w:tc>
        <w:tc>
          <w:tcPr>
            <w:tcW w:w="2268" w:type="dxa"/>
            <w:tcBorders>
              <w:top w:val="single" w:sz="4" w:space="0" w:color="000000"/>
              <w:left w:val="single" w:sz="6" w:space="0" w:color="000000"/>
              <w:bottom w:val="single" w:sz="6" w:space="0" w:color="000000"/>
            </w:tcBorders>
          </w:tcPr>
          <w:p>
            <w:pPr>
              <w:pStyle w:val="GesAbsatz"/>
              <w:jc w:val="left"/>
              <w:rPr>
                <w:rFonts w:cs="Arial"/>
              </w:rPr>
            </w:pPr>
            <w:r>
              <w:rPr>
                <w:rFonts w:cs="Arial"/>
              </w:rPr>
              <w:t xml:space="preserve">Frist ab dem Datum des Inkrafttretens der vorliegenden Verordnung </w:t>
            </w:r>
          </w:p>
        </w:tc>
      </w:tr>
      <w:tr>
        <w:trPr>
          <w:trHeight w:val="360"/>
        </w:trPr>
        <w:tc>
          <w:tcPr>
            <w:tcW w:w="675" w:type="dxa"/>
            <w:vMerge w:val="restart"/>
            <w:tcBorders>
              <w:top w:val="single" w:sz="4" w:space="0" w:color="000000"/>
              <w:right w:val="single" w:sz="6" w:space="0" w:color="000000"/>
            </w:tcBorders>
          </w:tcPr>
          <w:p>
            <w:pPr>
              <w:pStyle w:val="GesAbsatz"/>
              <w:jc w:val="left"/>
              <w:rPr>
                <w:rFonts w:cs="Arial"/>
              </w:rPr>
            </w:pPr>
            <w:r>
              <w:rPr>
                <w:rFonts w:cs="Arial"/>
              </w:rPr>
              <w:t>1</w:t>
            </w:r>
          </w:p>
        </w:tc>
        <w:tc>
          <w:tcPr>
            <w:tcW w:w="1134" w:type="dxa"/>
            <w:vMerge w:val="restart"/>
            <w:tcBorders>
              <w:top w:val="single" w:sz="4" w:space="0" w:color="000000"/>
              <w:left w:val="single" w:sz="6" w:space="0" w:color="000000"/>
              <w:right w:val="single" w:sz="6" w:space="0" w:color="000000"/>
            </w:tcBorders>
          </w:tcPr>
          <w:p>
            <w:pPr>
              <w:pStyle w:val="GesAbsatz"/>
              <w:jc w:val="left"/>
              <w:rPr>
                <w:rFonts w:cs="Arial"/>
              </w:rPr>
            </w:pPr>
            <w:r>
              <w:rPr>
                <w:rFonts w:cs="Arial"/>
              </w:rPr>
              <w:t>247-759-6</w:t>
            </w:r>
          </w:p>
        </w:tc>
        <w:tc>
          <w:tcPr>
            <w:tcW w:w="1276" w:type="dxa"/>
            <w:vMerge w:val="restart"/>
            <w:tcBorders>
              <w:top w:val="single" w:sz="4" w:space="0" w:color="000000"/>
              <w:left w:val="single" w:sz="6" w:space="0" w:color="000000"/>
              <w:right w:val="single" w:sz="6" w:space="0" w:color="000000"/>
            </w:tcBorders>
          </w:tcPr>
          <w:p>
            <w:pPr>
              <w:pStyle w:val="GesAbsatz"/>
              <w:jc w:val="left"/>
              <w:rPr>
                <w:rFonts w:cs="Arial"/>
              </w:rPr>
            </w:pPr>
            <w:r>
              <w:rPr>
                <w:rFonts w:cs="Arial"/>
              </w:rPr>
              <w:t>26523-78-4</w:t>
            </w:r>
          </w:p>
        </w:tc>
        <w:tc>
          <w:tcPr>
            <w:tcW w:w="2977" w:type="dxa"/>
            <w:vMerge w:val="restart"/>
            <w:tcBorders>
              <w:top w:val="single" w:sz="4" w:space="0" w:color="000000"/>
              <w:left w:val="single" w:sz="6" w:space="0" w:color="000000"/>
              <w:right w:val="single" w:sz="6" w:space="0" w:color="000000"/>
            </w:tcBorders>
          </w:tcPr>
          <w:p>
            <w:pPr>
              <w:pStyle w:val="GesAbsatz"/>
              <w:jc w:val="left"/>
              <w:rPr>
                <w:rFonts w:cs="Arial"/>
              </w:rPr>
            </w:pPr>
            <w:proofErr w:type="spellStart"/>
            <w:r>
              <w:rPr>
                <w:rFonts w:cs="Arial"/>
              </w:rPr>
              <w:t>Tris</w:t>
            </w:r>
            <w:proofErr w:type="spellEnd"/>
            <w:r>
              <w:rPr>
                <w:rFonts w:cs="Arial"/>
              </w:rPr>
              <w:t>(</w:t>
            </w:r>
            <w:proofErr w:type="spellStart"/>
            <w:r>
              <w:rPr>
                <w:rFonts w:cs="Arial"/>
              </w:rPr>
              <w:t>nonylphenyl</w:t>
            </w:r>
            <w:proofErr w:type="spellEnd"/>
            <w:r>
              <w:rPr>
                <w:rFonts w:cs="Arial"/>
              </w:rPr>
              <w:t>)</w:t>
            </w:r>
            <w:proofErr w:type="spellStart"/>
            <w:r>
              <w:rPr>
                <w:rFonts w:cs="Arial"/>
              </w:rPr>
              <w:t>phosphit</w:t>
            </w:r>
            <w:proofErr w:type="spellEnd"/>
          </w:p>
        </w:tc>
        <w:tc>
          <w:tcPr>
            <w:tcW w:w="992" w:type="dxa"/>
            <w:vMerge w:val="restart"/>
            <w:tcBorders>
              <w:top w:val="single" w:sz="4" w:space="0" w:color="000000"/>
              <w:left w:val="single" w:sz="6" w:space="0" w:color="000000"/>
              <w:right w:val="single" w:sz="6" w:space="0" w:color="000000"/>
            </w:tcBorders>
          </w:tcPr>
          <w:p>
            <w:pPr>
              <w:pStyle w:val="GesAbsatz"/>
              <w:jc w:val="left"/>
              <w:rPr>
                <w:rFonts w:cs="Arial"/>
              </w:rPr>
            </w:pPr>
            <w:r>
              <w:rPr>
                <w:rFonts w:cs="Arial"/>
              </w:rPr>
              <w:t>FR</w:t>
            </w:r>
          </w:p>
        </w:tc>
        <w:tc>
          <w:tcPr>
            <w:tcW w:w="5387"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rPr>
              <w:t xml:space="preserve">Prüfung der akuten Toxizität mit Daphnia magna </w:t>
            </w:r>
          </w:p>
        </w:tc>
        <w:tc>
          <w:tcPr>
            <w:tcW w:w="2268" w:type="dxa"/>
            <w:vMerge w:val="restart"/>
            <w:tcBorders>
              <w:top w:val="single" w:sz="4" w:space="0" w:color="000000"/>
              <w:left w:val="single" w:sz="6" w:space="0" w:color="000000"/>
            </w:tcBorders>
          </w:tcPr>
          <w:p>
            <w:pPr>
              <w:pStyle w:val="GesAbsatz"/>
              <w:jc w:val="left"/>
              <w:rPr>
                <w:rFonts w:cs="Arial"/>
              </w:rPr>
            </w:pPr>
            <w:r>
              <w:rPr>
                <w:rFonts w:cs="Arial"/>
              </w:rPr>
              <w:t>4 Monate</w:t>
            </w:r>
          </w:p>
        </w:tc>
      </w:tr>
      <w:tr>
        <w:trPr>
          <w:trHeight w:val="297"/>
        </w:trPr>
        <w:tc>
          <w:tcPr>
            <w:tcW w:w="675" w:type="dxa"/>
            <w:vMerge/>
            <w:tcBorders>
              <w:right w:val="single" w:sz="6" w:space="0" w:color="000000"/>
            </w:tcBorders>
          </w:tcPr>
          <w:p>
            <w:pPr>
              <w:pStyle w:val="GesAbsatz"/>
              <w:jc w:val="left"/>
              <w:rPr>
                <w:rFonts w:cs="Arial"/>
              </w:rPr>
            </w:pPr>
          </w:p>
        </w:tc>
        <w:tc>
          <w:tcPr>
            <w:tcW w:w="1134" w:type="dxa"/>
            <w:vMerge/>
            <w:tcBorders>
              <w:left w:val="single" w:sz="6" w:space="0" w:color="000000"/>
              <w:right w:val="single" w:sz="6" w:space="0" w:color="000000"/>
            </w:tcBorders>
          </w:tcPr>
          <w:p>
            <w:pPr>
              <w:pStyle w:val="GesAbsatz"/>
              <w:jc w:val="left"/>
              <w:rPr>
                <w:rFonts w:cs="Arial"/>
              </w:rPr>
            </w:pPr>
          </w:p>
        </w:tc>
        <w:tc>
          <w:tcPr>
            <w:tcW w:w="1276" w:type="dxa"/>
            <w:vMerge/>
            <w:tcBorders>
              <w:left w:val="single" w:sz="6" w:space="0" w:color="000000"/>
              <w:right w:val="single" w:sz="6" w:space="0" w:color="000000"/>
            </w:tcBorders>
          </w:tcPr>
          <w:p>
            <w:pPr>
              <w:pStyle w:val="GesAbsatz"/>
              <w:jc w:val="left"/>
              <w:rPr>
                <w:rFonts w:cs="Arial"/>
              </w:rPr>
            </w:pPr>
          </w:p>
        </w:tc>
        <w:tc>
          <w:tcPr>
            <w:tcW w:w="2977" w:type="dxa"/>
            <w:vMerge/>
            <w:tcBorders>
              <w:left w:val="single" w:sz="6" w:space="0" w:color="000000"/>
              <w:right w:val="single" w:sz="6" w:space="0" w:color="000000"/>
            </w:tcBorders>
          </w:tcPr>
          <w:p>
            <w:pPr>
              <w:pStyle w:val="GesAbsatz"/>
              <w:jc w:val="left"/>
              <w:rPr>
                <w:rFonts w:cs="Arial"/>
              </w:rPr>
            </w:pPr>
          </w:p>
        </w:tc>
        <w:tc>
          <w:tcPr>
            <w:tcW w:w="992" w:type="dxa"/>
            <w:vMerge/>
            <w:tcBorders>
              <w:left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nil"/>
              <w:right w:val="single" w:sz="6" w:space="0" w:color="000000"/>
            </w:tcBorders>
          </w:tcPr>
          <w:p>
            <w:pPr>
              <w:pStyle w:val="GesAbsatz"/>
              <w:jc w:val="left"/>
              <w:rPr>
                <w:rFonts w:cs="Arial"/>
              </w:rPr>
            </w:pPr>
            <w:r>
              <w:rPr>
                <w:rFonts w:cs="Arial"/>
              </w:rPr>
              <w:t xml:space="preserve">Information über die Struktur von TNPP </w:t>
            </w:r>
          </w:p>
        </w:tc>
        <w:tc>
          <w:tcPr>
            <w:tcW w:w="2268" w:type="dxa"/>
            <w:vMerge/>
            <w:tcBorders>
              <w:left w:val="single" w:sz="6" w:space="0" w:color="000000"/>
            </w:tcBorders>
          </w:tcPr>
          <w:p>
            <w:pPr>
              <w:pStyle w:val="GesAbsatz"/>
              <w:jc w:val="left"/>
              <w:rPr>
                <w:rFonts w:cs="Arial"/>
              </w:rPr>
            </w:pPr>
          </w:p>
        </w:tc>
      </w:tr>
      <w:tr>
        <w:trPr>
          <w:trHeight w:val="376"/>
        </w:trPr>
        <w:tc>
          <w:tcPr>
            <w:tcW w:w="675" w:type="dxa"/>
            <w:vMerge/>
            <w:tcBorders>
              <w:right w:val="single" w:sz="6" w:space="0" w:color="000000"/>
            </w:tcBorders>
          </w:tcPr>
          <w:p>
            <w:pPr>
              <w:pStyle w:val="GesAbsatz"/>
              <w:jc w:val="left"/>
              <w:rPr>
                <w:rFonts w:cs="Arial"/>
              </w:rPr>
            </w:pPr>
          </w:p>
        </w:tc>
        <w:tc>
          <w:tcPr>
            <w:tcW w:w="1134" w:type="dxa"/>
            <w:vMerge/>
            <w:tcBorders>
              <w:left w:val="single" w:sz="6" w:space="0" w:color="000000"/>
              <w:right w:val="single" w:sz="6" w:space="0" w:color="000000"/>
            </w:tcBorders>
          </w:tcPr>
          <w:p>
            <w:pPr>
              <w:pStyle w:val="GesAbsatz"/>
              <w:jc w:val="left"/>
              <w:rPr>
                <w:rFonts w:cs="Arial"/>
              </w:rPr>
            </w:pPr>
          </w:p>
        </w:tc>
        <w:tc>
          <w:tcPr>
            <w:tcW w:w="1276" w:type="dxa"/>
            <w:vMerge/>
            <w:tcBorders>
              <w:left w:val="single" w:sz="6" w:space="0" w:color="000000"/>
              <w:right w:val="single" w:sz="6" w:space="0" w:color="000000"/>
            </w:tcBorders>
          </w:tcPr>
          <w:p>
            <w:pPr>
              <w:pStyle w:val="GesAbsatz"/>
              <w:jc w:val="left"/>
              <w:rPr>
                <w:rFonts w:cs="Arial"/>
              </w:rPr>
            </w:pPr>
          </w:p>
        </w:tc>
        <w:tc>
          <w:tcPr>
            <w:tcW w:w="2977" w:type="dxa"/>
            <w:vMerge/>
            <w:tcBorders>
              <w:left w:val="single" w:sz="6" w:space="0" w:color="000000"/>
              <w:right w:val="single" w:sz="6" w:space="0" w:color="000000"/>
            </w:tcBorders>
          </w:tcPr>
          <w:p>
            <w:pPr>
              <w:pStyle w:val="GesAbsatz"/>
              <w:jc w:val="left"/>
              <w:rPr>
                <w:rFonts w:cs="Arial"/>
              </w:rPr>
            </w:pPr>
          </w:p>
        </w:tc>
        <w:tc>
          <w:tcPr>
            <w:tcW w:w="992" w:type="dxa"/>
            <w:vMerge/>
            <w:tcBorders>
              <w:left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nil"/>
              <w:right w:val="single" w:sz="6" w:space="0" w:color="000000"/>
            </w:tcBorders>
          </w:tcPr>
          <w:p>
            <w:pPr>
              <w:pStyle w:val="GesAbsatz"/>
              <w:jc w:val="left"/>
              <w:rPr>
                <w:rFonts w:cs="Arial"/>
              </w:rPr>
            </w:pPr>
            <w:r>
              <w:rPr>
                <w:rFonts w:cs="Arial"/>
              </w:rPr>
              <w:t xml:space="preserve">Information über die Wasserlöslichkeit </w:t>
            </w:r>
          </w:p>
        </w:tc>
        <w:tc>
          <w:tcPr>
            <w:tcW w:w="2268" w:type="dxa"/>
            <w:vMerge/>
            <w:tcBorders>
              <w:left w:val="single" w:sz="6" w:space="0" w:color="000000"/>
            </w:tcBorders>
          </w:tcPr>
          <w:p>
            <w:pPr>
              <w:pStyle w:val="GesAbsatz"/>
              <w:jc w:val="left"/>
              <w:rPr>
                <w:rFonts w:cs="Arial"/>
              </w:rPr>
            </w:pPr>
          </w:p>
        </w:tc>
      </w:tr>
      <w:tr>
        <w:trPr>
          <w:trHeight w:val="127"/>
        </w:trPr>
        <w:tc>
          <w:tcPr>
            <w:tcW w:w="675" w:type="dxa"/>
            <w:vMerge/>
            <w:tcBorders>
              <w:right w:val="single" w:sz="6" w:space="0" w:color="000000"/>
            </w:tcBorders>
          </w:tcPr>
          <w:p>
            <w:pPr>
              <w:pStyle w:val="GesAbsatz"/>
              <w:jc w:val="left"/>
              <w:rPr>
                <w:rFonts w:cs="Arial"/>
              </w:rPr>
            </w:pPr>
          </w:p>
        </w:tc>
        <w:tc>
          <w:tcPr>
            <w:tcW w:w="1134" w:type="dxa"/>
            <w:vMerge/>
            <w:tcBorders>
              <w:left w:val="single" w:sz="6" w:space="0" w:color="000000"/>
              <w:right w:val="single" w:sz="6" w:space="0" w:color="000000"/>
            </w:tcBorders>
          </w:tcPr>
          <w:p>
            <w:pPr>
              <w:pStyle w:val="GesAbsatz"/>
              <w:jc w:val="left"/>
              <w:rPr>
                <w:rFonts w:cs="Arial"/>
              </w:rPr>
            </w:pPr>
          </w:p>
        </w:tc>
        <w:tc>
          <w:tcPr>
            <w:tcW w:w="1276" w:type="dxa"/>
            <w:vMerge/>
            <w:tcBorders>
              <w:left w:val="single" w:sz="6" w:space="0" w:color="000000"/>
              <w:right w:val="single" w:sz="6" w:space="0" w:color="000000"/>
            </w:tcBorders>
          </w:tcPr>
          <w:p>
            <w:pPr>
              <w:pStyle w:val="GesAbsatz"/>
              <w:jc w:val="left"/>
              <w:rPr>
                <w:rFonts w:cs="Arial"/>
              </w:rPr>
            </w:pPr>
          </w:p>
        </w:tc>
        <w:tc>
          <w:tcPr>
            <w:tcW w:w="2977" w:type="dxa"/>
            <w:vMerge/>
            <w:tcBorders>
              <w:left w:val="single" w:sz="6" w:space="0" w:color="000000"/>
              <w:right w:val="single" w:sz="6" w:space="0" w:color="000000"/>
            </w:tcBorders>
          </w:tcPr>
          <w:p>
            <w:pPr>
              <w:pStyle w:val="GesAbsatz"/>
              <w:jc w:val="left"/>
              <w:rPr>
                <w:rFonts w:cs="Arial"/>
              </w:rPr>
            </w:pPr>
          </w:p>
        </w:tc>
        <w:tc>
          <w:tcPr>
            <w:tcW w:w="992" w:type="dxa"/>
            <w:vMerge/>
            <w:tcBorders>
              <w:left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nil"/>
              <w:right w:val="single" w:sz="6" w:space="0" w:color="000000"/>
            </w:tcBorders>
          </w:tcPr>
          <w:p>
            <w:pPr>
              <w:pStyle w:val="GesAbsatz"/>
              <w:jc w:val="left"/>
              <w:rPr>
                <w:rFonts w:cs="Arial"/>
              </w:rPr>
            </w:pPr>
            <w:r>
              <w:rPr>
                <w:rFonts w:cs="Arial"/>
              </w:rPr>
              <w:t xml:space="preserve">Bestimmung des log </w:t>
            </w:r>
            <w:proofErr w:type="spellStart"/>
            <w:r>
              <w:rPr>
                <w:rFonts w:cs="Arial"/>
              </w:rPr>
              <w:t>K</w:t>
            </w:r>
            <w:r>
              <w:rPr>
                <w:rFonts w:cs="Arial"/>
                <w:vertAlign w:val="subscript"/>
              </w:rPr>
              <w:t>ow</w:t>
            </w:r>
            <w:proofErr w:type="spellEnd"/>
            <w:r>
              <w:rPr>
                <w:rFonts w:cs="Arial"/>
              </w:rPr>
              <w:t xml:space="preserve">-Werts </w:t>
            </w:r>
          </w:p>
        </w:tc>
        <w:tc>
          <w:tcPr>
            <w:tcW w:w="2268" w:type="dxa"/>
            <w:vMerge/>
            <w:tcBorders>
              <w:left w:val="single" w:sz="6" w:space="0" w:color="000000"/>
            </w:tcBorders>
          </w:tcPr>
          <w:p>
            <w:pPr>
              <w:pStyle w:val="GesAbsatz"/>
              <w:jc w:val="left"/>
              <w:rPr>
                <w:rFonts w:cs="Arial"/>
              </w:rPr>
            </w:pPr>
          </w:p>
        </w:tc>
      </w:tr>
      <w:tr>
        <w:trPr>
          <w:trHeight w:val="88"/>
        </w:trPr>
        <w:tc>
          <w:tcPr>
            <w:tcW w:w="675" w:type="dxa"/>
            <w:vMerge/>
            <w:tcBorders>
              <w:right w:val="single" w:sz="6" w:space="0" w:color="000000"/>
            </w:tcBorders>
          </w:tcPr>
          <w:p>
            <w:pPr>
              <w:pStyle w:val="GesAbsatz"/>
              <w:jc w:val="left"/>
              <w:rPr>
                <w:rFonts w:cs="Arial"/>
              </w:rPr>
            </w:pPr>
          </w:p>
        </w:tc>
        <w:tc>
          <w:tcPr>
            <w:tcW w:w="1134" w:type="dxa"/>
            <w:vMerge/>
            <w:tcBorders>
              <w:left w:val="single" w:sz="6" w:space="0" w:color="000000"/>
              <w:right w:val="single" w:sz="6" w:space="0" w:color="000000"/>
            </w:tcBorders>
          </w:tcPr>
          <w:p>
            <w:pPr>
              <w:pStyle w:val="GesAbsatz"/>
              <w:jc w:val="left"/>
              <w:rPr>
                <w:rFonts w:cs="Arial"/>
              </w:rPr>
            </w:pPr>
          </w:p>
        </w:tc>
        <w:tc>
          <w:tcPr>
            <w:tcW w:w="1276" w:type="dxa"/>
            <w:vMerge/>
            <w:tcBorders>
              <w:left w:val="single" w:sz="6" w:space="0" w:color="000000"/>
              <w:right w:val="single" w:sz="6" w:space="0" w:color="000000"/>
            </w:tcBorders>
          </w:tcPr>
          <w:p>
            <w:pPr>
              <w:pStyle w:val="GesAbsatz"/>
              <w:jc w:val="left"/>
              <w:rPr>
                <w:rFonts w:cs="Arial"/>
              </w:rPr>
            </w:pPr>
          </w:p>
        </w:tc>
        <w:tc>
          <w:tcPr>
            <w:tcW w:w="2977" w:type="dxa"/>
            <w:vMerge/>
            <w:tcBorders>
              <w:left w:val="single" w:sz="6" w:space="0" w:color="000000"/>
              <w:right w:val="single" w:sz="6" w:space="0" w:color="000000"/>
            </w:tcBorders>
          </w:tcPr>
          <w:p>
            <w:pPr>
              <w:pStyle w:val="GesAbsatz"/>
              <w:jc w:val="left"/>
              <w:rPr>
                <w:rFonts w:cs="Arial"/>
              </w:rPr>
            </w:pPr>
          </w:p>
        </w:tc>
        <w:tc>
          <w:tcPr>
            <w:tcW w:w="992" w:type="dxa"/>
            <w:vMerge/>
            <w:tcBorders>
              <w:left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nil"/>
              <w:right w:val="single" w:sz="6" w:space="0" w:color="000000"/>
            </w:tcBorders>
          </w:tcPr>
          <w:p>
            <w:pPr>
              <w:pStyle w:val="GesAbsatz"/>
              <w:jc w:val="left"/>
              <w:rPr>
                <w:rFonts w:cs="Arial"/>
              </w:rPr>
            </w:pPr>
            <w:r>
              <w:rPr>
                <w:rFonts w:cs="Arial"/>
              </w:rPr>
              <w:t xml:space="preserve">Hydrolysetest </w:t>
            </w:r>
          </w:p>
        </w:tc>
        <w:tc>
          <w:tcPr>
            <w:tcW w:w="2268" w:type="dxa"/>
            <w:vMerge/>
            <w:tcBorders>
              <w:left w:val="single" w:sz="6" w:space="0" w:color="000000"/>
            </w:tcBorders>
          </w:tcPr>
          <w:p>
            <w:pPr>
              <w:pStyle w:val="GesAbsatz"/>
              <w:jc w:val="left"/>
              <w:rPr>
                <w:rFonts w:cs="Arial"/>
              </w:rPr>
            </w:pPr>
          </w:p>
        </w:tc>
      </w:tr>
      <w:tr>
        <w:trPr>
          <w:trHeight w:val="348"/>
        </w:trPr>
        <w:tc>
          <w:tcPr>
            <w:tcW w:w="675" w:type="dxa"/>
            <w:vMerge/>
            <w:tcBorders>
              <w:right w:val="single" w:sz="6" w:space="0" w:color="000000"/>
            </w:tcBorders>
          </w:tcPr>
          <w:p>
            <w:pPr>
              <w:pStyle w:val="GesAbsatz"/>
              <w:jc w:val="left"/>
              <w:rPr>
                <w:rFonts w:cs="Arial"/>
              </w:rPr>
            </w:pPr>
          </w:p>
        </w:tc>
        <w:tc>
          <w:tcPr>
            <w:tcW w:w="1134" w:type="dxa"/>
            <w:vMerge/>
            <w:tcBorders>
              <w:left w:val="single" w:sz="6" w:space="0" w:color="000000"/>
              <w:right w:val="single" w:sz="6" w:space="0" w:color="000000"/>
            </w:tcBorders>
          </w:tcPr>
          <w:p>
            <w:pPr>
              <w:pStyle w:val="GesAbsatz"/>
              <w:jc w:val="left"/>
              <w:rPr>
                <w:rFonts w:cs="Arial"/>
              </w:rPr>
            </w:pPr>
          </w:p>
        </w:tc>
        <w:tc>
          <w:tcPr>
            <w:tcW w:w="1276" w:type="dxa"/>
            <w:vMerge/>
            <w:tcBorders>
              <w:left w:val="single" w:sz="6" w:space="0" w:color="000000"/>
              <w:right w:val="single" w:sz="6" w:space="0" w:color="000000"/>
            </w:tcBorders>
          </w:tcPr>
          <w:p>
            <w:pPr>
              <w:pStyle w:val="GesAbsatz"/>
              <w:jc w:val="left"/>
              <w:rPr>
                <w:rFonts w:cs="Arial"/>
              </w:rPr>
            </w:pPr>
          </w:p>
        </w:tc>
        <w:tc>
          <w:tcPr>
            <w:tcW w:w="2977" w:type="dxa"/>
            <w:vMerge/>
            <w:tcBorders>
              <w:left w:val="single" w:sz="6" w:space="0" w:color="000000"/>
              <w:right w:val="single" w:sz="6" w:space="0" w:color="000000"/>
            </w:tcBorders>
          </w:tcPr>
          <w:p>
            <w:pPr>
              <w:pStyle w:val="GesAbsatz"/>
              <w:jc w:val="left"/>
              <w:rPr>
                <w:rFonts w:cs="Arial"/>
              </w:rPr>
            </w:pPr>
          </w:p>
        </w:tc>
        <w:tc>
          <w:tcPr>
            <w:tcW w:w="992" w:type="dxa"/>
            <w:vMerge/>
            <w:tcBorders>
              <w:left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nil"/>
              <w:right w:val="single" w:sz="6" w:space="0" w:color="000000"/>
            </w:tcBorders>
          </w:tcPr>
          <w:p>
            <w:pPr>
              <w:pStyle w:val="GesAbsatz"/>
              <w:jc w:val="left"/>
              <w:rPr>
                <w:rFonts w:cs="Arial"/>
              </w:rPr>
            </w:pPr>
            <w:r>
              <w:rPr>
                <w:rFonts w:cs="Arial"/>
              </w:rPr>
              <w:t xml:space="preserve">Sedimenttest mit Lumbriculus variegatus </w:t>
            </w:r>
          </w:p>
        </w:tc>
        <w:tc>
          <w:tcPr>
            <w:tcW w:w="2268" w:type="dxa"/>
            <w:vMerge/>
            <w:tcBorders>
              <w:left w:val="single" w:sz="6" w:space="0" w:color="000000"/>
            </w:tcBorders>
          </w:tcPr>
          <w:p>
            <w:pPr>
              <w:pStyle w:val="GesAbsatz"/>
              <w:jc w:val="left"/>
              <w:rPr>
                <w:rFonts w:cs="Arial"/>
              </w:rPr>
            </w:pPr>
          </w:p>
        </w:tc>
      </w:tr>
      <w:tr>
        <w:trPr>
          <w:trHeight w:val="257"/>
        </w:trPr>
        <w:tc>
          <w:tcPr>
            <w:tcW w:w="675" w:type="dxa"/>
            <w:vMerge/>
            <w:tcBorders>
              <w:right w:val="single" w:sz="6" w:space="0" w:color="000000"/>
            </w:tcBorders>
          </w:tcPr>
          <w:p>
            <w:pPr>
              <w:pStyle w:val="GesAbsatz"/>
              <w:jc w:val="left"/>
              <w:rPr>
                <w:rFonts w:cs="Arial"/>
              </w:rPr>
            </w:pPr>
          </w:p>
        </w:tc>
        <w:tc>
          <w:tcPr>
            <w:tcW w:w="1134" w:type="dxa"/>
            <w:vMerge/>
            <w:tcBorders>
              <w:left w:val="single" w:sz="6" w:space="0" w:color="000000"/>
              <w:right w:val="single" w:sz="6" w:space="0" w:color="000000"/>
            </w:tcBorders>
          </w:tcPr>
          <w:p>
            <w:pPr>
              <w:pStyle w:val="GesAbsatz"/>
              <w:jc w:val="left"/>
              <w:rPr>
                <w:rFonts w:cs="Arial"/>
              </w:rPr>
            </w:pPr>
          </w:p>
        </w:tc>
        <w:tc>
          <w:tcPr>
            <w:tcW w:w="1276" w:type="dxa"/>
            <w:vMerge/>
            <w:tcBorders>
              <w:left w:val="single" w:sz="6" w:space="0" w:color="000000"/>
              <w:right w:val="single" w:sz="6" w:space="0" w:color="000000"/>
            </w:tcBorders>
          </w:tcPr>
          <w:p>
            <w:pPr>
              <w:pStyle w:val="GesAbsatz"/>
              <w:jc w:val="left"/>
              <w:rPr>
                <w:rFonts w:cs="Arial"/>
              </w:rPr>
            </w:pPr>
          </w:p>
        </w:tc>
        <w:tc>
          <w:tcPr>
            <w:tcW w:w="2977" w:type="dxa"/>
            <w:vMerge/>
            <w:tcBorders>
              <w:left w:val="single" w:sz="6" w:space="0" w:color="000000"/>
              <w:right w:val="single" w:sz="6" w:space="0" w:color="000000"/>
            </w:tcBorders>
          </w:tcPr>
          <w:p>
            <w:pPr>
              <w:pStyle w:val="GesAbsatz"/>
              <w:jc w:val="left"/>
              <w:rPr>
                <w:rFonts w:cs="Arial"/>
              </w:rPr>
            </w:pPr>
          </w:p>
        </w:tc>
        <w:tc>
          <w:tcPr>
            <w:tcW w:w="992" w:type="dxa"/>
            <w:vMerge/>
            <w:tcBorders>
              <w:left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nil"/>
              <w:right w:val="single" w:sz="6" w:space="0" w:color="000000"/>
            </w:tcBorders>
          </w:tcPr>
          <w:p>
            <w:pPr>
              <w:pStyle w:val="GesAbsatz"/>
              <w:jc w:val="left"/>
              <w:rPr>
                <w:rFonts w:cs="Arial"/>
              </w:rPr>
            </w:pPr>
            <w:r>
              <w:rPr>
                <w:rFonts w:cs="Arial"/>
              </w:rPr>
              <w:t xml:space="preserve">Überwachungsdaten für Flächen mit einem PEC/PNEC-Verhältnis &gt; 1 </w:t>
            </w:r>
          </w:p>
        </w:tc>
        <w:tc>
          <w:tcPr>
            <w:tcW w:w="2268" w:type="dxa"/>
            <w:vMerge/>
            <w:tcBorders>
              <w:left w:val="single" w:sz="6" w:space="0" w:color="000000"/>
            </w:tcBorders>
          </w:tcPr>
          <w:p>
            <w:pPr>
              <w:pStyle w:val="GesAbsatz"/>
              <w:jc w:val="left"/>
              <w:rPr>
                <w:rFonts w:cs="Arial"/>
              </w:rPr>
            </w:pPr>
          </w:p>
        </w:tc>
      </w:tr>
      <w:tr>
        <w:trPr>
          <w:trHeight w:val="462"/>
        </w:trPr>
        <w:tc>
          <w:tcPr>
            <w:tcW w:w="675" w:type="dxa"/>
            <w:vMerge/>
            <w:tcBorders>
              <w:bottom w:val="single" w:sz="6" w:space="0" w:color="000000"/>
              <w:right w:val="single" w:sz="6" w:space="0" w:color="000000"/>
            </w:tcBorders>
          </w:tcPr>
          <w:p>
            <w:pPr>
              <w:pStyle w:val="GesAbsatz"/>
              <w:jc w:val="left"/>
              <w:rPr>
                <w:rFonts w:cs="Arial"/>
              </w:rPr>
            </w:pPr>
          </w:p>
        </w:tc>
        <w:tc>
          <w:tcPr>
            <w:tcW w:w="1134" w:type="dxa"/>
            <w:vMerge/>
            <w:tcBorders>
              <w:left w:val="single" w:sz="6" w:space="0" w:color="000000"/>
              <w:bottom w:val="single" w:sz="6" w:space="0" w:color="000000"/>
              <w:right w:val="single" w:sz="6" w:space="0" w:color="000000"/>
            </w:tcBorders>
          </w:tcPr>
          <w:p>
            <w:pPr>
              <w:pStyle w:val="GesAbsatz"/>
              <w:jc w:val="left"/>
              <w:rPr>
                <w:rFonts w:cs="Arial"/>
              </w:rPr>
            </w:pPr>
          </w:p>
        </w:tc>
        <w:tc>
          <w:tcPr>
            <w:tcW w:w="1276" w:type="dxa"/>
            <w:vMerge/>
            <w:tcBorders>
              <w:left w:val="single" w:sz="6" w:space="0" w:color="000000"/>
              <w:bottom w:val="single" w:sz="6" w:space="0" w:color="000000"/>
              <w:right w:val="single" w:sz="6" w:space="0" w:color="000000"/>
            </w:tcBorders>
          </w:tcPr>
          <w:p>
            <w:pPr>
              <w:pStyle w:val="GesAbsatz"/>
              <w:jc w:val="left"/>
              <w:rPr>
                <w:rFonts w:cs="Arial"/>
              </w:rPr>
            </w:pPr>
          </w:p>
        </w:tc>
        <w:tc>
          <w:tcPr>
            <w:tcW w:w="2977" w:type="dxa"/>
            <w:vMerge/>
            <w:tcBorders>
              <w:left w:val="single" w:sz="6" w:space="0" w:color="000000"/>
              <w:bottom w:val="single" w:sz="6" w:space="0" w:color="000000"/>
              <w:right w:val="single" w:sz="6" w:space="0" w:color="000000"/>
            </w:tcBorders>
          </w:tcPr>
          <w:p>
            <w:pPr>
              <w:pStyle w:val="GesAbsatz"/>
              <w:jc w:val="left"/>
              <w:rPr>
                <w:rFonts w:cs="Arial"/>
              </w:rPr>
            </w:pPr>
          </w:p>
        </w:tc>
        <w:tc>
          <w:tcPr>
            <w:tcW w:w="992" w:type="dxa"/>
            <w:vMerge/>
            <w:tcBorders>
              <w:left w:val="single" w:sz="6" w:space="0" w:color="000000"/>
              <w:bottom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Daphnia-Langzeittest je nach Ergebnis der Prüfung der akuten Toxizität mit Daphnia magna</w:t>
            </w:r>
          </w:p>
        </w:tc>
        <w:tc>
          <w:tcPr>
            <w:tcW w:w="2268" w:type="dxa"/>
            <w:vMerge/>
            <w:tcBorders>
              <w:left w:val="single" w:sz="6" w:space="0" w:color="000000"/>
              <w:bottom w:val="single" w:sz="6" w:space="0" w:color="000000"/>
            </w:tcBorders>
          </w:tcPr>
          <w:p>
            <w:pPr>
              <w:pStyle w:val="GesAbsatz"/>
              <w:jc w:val="left"/>
              <w:rPr>
                <w:rFonts w:cs="Arial"/>
              </w:rPr>
            </w:pPr>
          </w:p>
        </w:tc>
      </w:tr>
      <w:tr>
        <w:trPr>
          <w:trHeight w:val="166"/>
        </w:trPr>
        <w:tc>
          <w:tcPr>
            <w:tcW w:w="675" w:type="dxa"/>
            <w:vMerge w:val="restart"/>
            <w:tcBorders>
              <w:top w:val="single" w:sz="6" w:space="0" w:color="000000"/>
              <w:right w:val="single" w:sz="6" w:space="0" w:color="000000"/>
            </w:tcBorders>
          </w:tcPr>
          <w:p>
            <w:pPr>
              <w:pStyle w:val="GesAbsatz"/>
              <w:jc w:val="left"/>
              <w:rPr>
                <w:rFonts w:cs="Arial"/>
              </w:rPr>
            </w:pPr>
            <w:r>
              <w:rPr>
                <w:rFonts w:cs="Arial"/>
              </w:rPr>
              <w:t xml:space="preserve">2 </w:t>
            </w:r>
          </w:p>
        </w:tc>
        <w:tc>
          <w:tcPr>
            <w:tcW w:w="1134"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rPr>
              <w:t xml:space="preserve">237-410-6 </w:t>
            </w:r>
          </w:p>
        </w:tc>
        <w:tc>
          <w:tcPr>
            <w:tcW w:w="1276"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rPr>
              <w:t xml:space="preserve">13775-53-6 </w:t>
            </w:r>
          </w:p>
        </w:tc>
        <w:tc>
          <w:tcPr>
            <w:tcW w:w="2977" w:type="dxa"/>
            <w:vMerge w:val="restart"/>
            <w:tcBorders>
              <w:top w:val="single" w:sz="6" w:space="0" w:color="000000"/>
              <w:left w:val="single" w:sz="6" w:space="0" w:color="000000"/>
              <w:right w:val="single" w:sz="6" w:space="0" w:color="000000"/>
            </w:tcBorders>
          </w:tcPr>
          <w:p>
            <w:pPr>
              <w:pStyle w:val="GesAbsatz"/>
              <w:jc w:val="left"/>
              <w:rPr>
                <w:rFonts w:cs="Arial"/>
              </w:rPr>
            </w:pPr>
            <w:proofErr w:type="spellStart"/>
            <w:r>
              <w:rPr>
                <w:rFonts w:cs="Arial"/>
              </w:rPr>
              <w:t>Trinatrium-hexafluoroaluminat</w:t>
            </w:r>
            <w:proofErr w:type="spellEnd"/>
            <w:r>
              <w:rPr>
                <w:rFonts w:cs="Arial"/>
              </w:rPr>
              <w:t xml:space="preserve"> </w:t>
            </w:r>
          </w:p>
        </w:tc>
        <w:tc>
          <w:tcPr>
            <w:tcW w:w="992" w:type="dxa"/>
            <w:vMerge w:val="restart"/>
            <w:tcBorders>
              <w:top w:val="single" w:sz="6" w:space="0" w:color="000000"/>
              <w:left w:val="single" w:sz="6" w:space="0" w:color="000000"/>
              <w:right w:val="single" w:sz="6" w:space="0" w:color="000000"/>
            </w:tcBorders>
          </w:tcPr>
          <w:p>
            <w:pPr>
              <w:pStyle w:val="GesAbsatz"/>
              <w:jc w:val="left"/>
              <w:rPr>
                <w:rFonts w:cs="Arial"/>
              </w:rPr>
            </w:pPr>
            <w:r>
              <w:rPr>
                <w:rFonts w:cs="Arial"/>
              </w:rPr>
              <w:t xml:space="preserve">DE </w:t>
            </w:r>
          </w:p>
        </w:tc>
        <w:tc>
          <w:tcPr>
            <w:tcW w:w="5387"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rPr>
              <w:t xml:space="preserve">Information über nachgeordnete Verwendung </w:t>
            </w:r>
          </w:p>
        </w:tc>
        <w:tc>
          <w:tcPr>
            <w:tcW w:w="2268" w:type="dxa"/>
            <w:vMerge w:val="restart"/>
            <w:tcBorders>
              <w:top w:val="single" w:sz="6" w:space="0" w:color="000000"/>
              <w:left w:val="single" w:sz="6" w:space="0" w:color="000000"/>
            </w:tcBorders>
          </w:tcPr>
          <w:p>
            <w:pPr>
              <w:pStyle w:val="GesAbsatz"/>
              <w:jc w:val="left"/>
              <w:rPr>
                <w:rFonts w:cs="Arial"/>
              </w:rPr>
            </w:pPr>
            <w:r>
              <w:rPr>
                <w:rFonts w:cs="Arial"/>
              </w:rPr>
              <w:t xml:space="preserve">4 Monate </w:t>
            </w:r>
          </w:p>
        </w:tc>
      </w:tr>
      <w:tr>
        <w:trPr>
          <w:trHeight w:val="384"/>
        </w:trPr>
        <w:tc>
          <w:tcPr>
            <w:tcW w:w="675" w:type="dxa"/>
            <w:vMerge/>
            <w:tcBorders>
              <w:right w:val="single" w:sz="6" w:space="0" w:color="000000"/>
            </w:tcBorders>
          </w:tcPr>
          <w:p>
            <w:pPr>
              <w:pStyle w:val="GesAbsatz"/>
              <w:jc w:val="left"/>
              <w:rPr>
                <w:rFonts w:cs="Arial"/>
              </w:rPr>
            </w:pPr>
          </w:p>
        </w:tc>
        <w:tc>
          <w:tcPr>
            <w:tcW w:w="1134" w:type="dxa"/>
            <w:vMerge w:val="restart"/>
            <w:tcBorders>
              <w:top w:val="nil"/>
              <w:left w:val="single" w:sz="6" w:space="0" w:color="000000"/>
              <w:bottom w:val="nil"/>
              <w:right w:val="single" w:sz="6" w:space="0" w:color="000000"/>
            </w:tcBorders>
          </w:tcPr>
          <w:p>
            <w:pPr>
              <w:pStyle w:val="GesAbsatz"/>
              <w:jc w:val="left"/>
              <w:rPr>
                <w:rFonts w:cs="Arial"/>
              </w:rPr>
            </w:pPr>
            <w:r>
              <w:rPr>
                <w:rFonts w:cs="Arial"/>
              </w:rPr>
              <w:t>239-148-8</w:t>
            </w:r>
          </w:p>
        </w:tc>
        <w:tc>
          <w:tcPr>
            <w:tcW w:w="1276" w:type="dxa"/>
            <w:vMerge w:val="restart"/>
            <w:tcBorders>
              <w:top w:val="nil"/>
              <w:left w:val="single" w:sz="6" w:space="0" w:color="000000"/>
              <w:bottom w:val="nil"/>
              <w:right w:val="single" w:sz="6" w:space="0" w:color="000000"/>
            </w:tcBorders>
          </w:tcPr>
          <w:p>
            <w:pPr>
              <w:pStyle w:val="GesAbsatz"/>
              <w:jc w:val="left"/>
              <w:rPr>
                <w:rFonts w:cs="Arial"/>
              </w:rPr>
            </w:pPr>
            <w:r>
              <w:rPr>
                <w:rFonts w:cs="Arial"/>
              </w:rPr>
              <w:t>15096-52-3</w:t>
            </w:r>
          </w:p>
        </w:tc>
        <w:tc>
          <w:tcPr>
            <w:tcW w:w="2977" w:type="dxa"/>
            <w:vMerge/>
            <w:tcBorders>
              <w:left w:val="single" w:sz="6" w:space="0" w:color="000000"/>
              <w:right w:val="single" w:sz="6" w:space="0" w:color="000000"/>
            </w:tcBorders>
          </w:tcPr>
          <w:p>
            <w:pPr>
              <w:pStyle w:val="GesAbsatz"/>
              <w:jc w:val="left"/>
              <w:rPr>
                <w:rFonts w:cs="Arial"/>
              </w:rPr>
            </w:pPr>
          </w:p>
        </w:tc>
        <w:tc>
          <w:tcPr>
            <w:tcW w:w="992" w:type="dxa"/>
            <w:vMerge/>
            <w:tcBorders>
              <w:left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nil"/>
              <w:right w:val="single" w:sz="6" w:space="0" w:color="000000"/>
            </w:tcBorders>
          </w:tcPr>
          <w:p>
            <w:pPr>
              <w:pStyle w:val="GesAbsatz"/>
              <w:jc w:val="left"/>
              <w:rPr>
                <w:rFonts w:cs="Arial"/>
              </w:rPr>
            </w:pPr>
            <w:r>
              <w:rPr>
                <w:rFonts w:cs="Arial"/>
              </w:rPr>
              <w:t>Information über die Emissionen in die Gewässer für alle Stufen des Lebenszyklus</w:t>
            </w:r>
          </w:p>
        </w:tc>
        <w:tc>
          <w:tcPr>
            <w:tcW w:w="2268" w:type="dxa"/>
            <w:vMerge/>
            <w:tcBorders>
              <w:left w:val="single" w:sz="6" w:space="0" w:color="000000"/>
            </w:tcBorders>
          </w:tcPr>
          <w:p>
            <w:pPr>
              <w:pStyle w:val="GesAbsatz"/>
              <w:jc w:val="left"/>
              <w:rPr>
                <w:rFonts w:cs="Arial"/>
              </w:rPr>
            </w:pPr>
          </w:p>
        </w:tc>
      </w:tr>
      <w:tr>
        <w:trPr>
          <w:trHeight w:val="350"/>
        </w:trPr>
        <w:tc>
          <w:tcPr>
            <w:tcW w:w="675" w:type="dxa"/>
            <w:vMerge/>
            <w:tcBorders>
              <w:right w:val="single" w:sz="6" w:space="0" w:color="000000"/>
            </w:tcBorders>
          </w:tcPr>
          <w:p>
            <w:pPr>
              <w:pStyle w:val="GesAbsatz"/>
              <w:jc w:val="left"/>
              <w:rPr>
                <w:rFonts w:cs="Arial"/>
              </w:rPr>
            </w:pPr>
          </w:p>
        </w:tc>
        <w:tc>
          <w:tcPr>
            <w:tcW w:w="1134" w:type="dxa"/>
            <w:vMerge/>
            <w:tcBorders>
              <w:top w:val="nil"/>
              <w:left w:val="single" w:sz="6" w:space="0" w:color="000000"/>
              <w:bottom w:val="nil"/>
              <w:right w:val="single" w:sz="6" w:space="0" w:color="000000"/>
            </w:tcBorders>
          </w:tcPr>
          <w:p>
            <w:pPr>
              <w:pStyle w:val="GesAbsatz"/>
              <w:jc w:val="left"/>
              <w:rPr>
                <w:rFonts w:cs="Arial"/>
              </w:rPr>
            </w:pPr>
          </w:p>
        </w:tc>
        <w:tc>
          <w:tcPr>
            <w:tcW w:w="1276" w:type="dxa"/>
            <w:vMerge/>
            <w:tcBorders>
              <w:top w:val="nil"/>
              <w:left w:val="single" w:sz="6" w:space="0" w:color="000000"/>
              <w:bottom w:val="nil"/>
              <w:right w:val="single" w:sz="6" w:space="0" w:color="000000"/>
            </w:tcBorders>
          </w:tcPr>
          <w:p>
            <w:pPr>
              <w:pStyle w:val="GesAbsatz"/>
              <w:jc w:val="left"/>
              <w:rPr>
                <w:rFonts w:cs="Arial"/>
              </w:rPr>
            </w:pPr>
          </w:p>
        </w:tc>
        <w:tc>
          <w:tcPr>
            <w:tcW w:w="2977" w:type="dxa"/>
            <w:vMerge/>
            <w:tcBorders>
              <w:left w:val="single" w:sz="6" w:space="0" w:color="000000"/>
              <w:right w:val="single" w:sz="6" w:space="0" w:color="000000"/>
            </w:tcBorders>
          </w:tcPr>
          <w:p>
            <w:pPr>
              <w:pStyle w:val="GesAbsatz"/>
              <w:jc w:val="left"/>
              <w:rPr>
                <w:rFonts w:cs="Arial"/>
              </w:rPr>
            </w:pPr>
          </w:p>
        </w:tc>
        <w:tc>
          <w:tcPr>
            <w:tcW w:w="992" w:type="dxa"/>
            <w:vMerge/>
            <w:tcBorders>
              <w:left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nil"/>
              <w:right w:val="single" w:sz="6" w:space="0" w:color="000000"/>
            </w:tcBorders>
          </w:tcPr>
          <w:p>
            <w:pPr>
              <w:pStyle w:val="GesAbsatz"/>
              <w:jc w:val="left"/>
              <w:rPr>
                <w:rFonts w:cs="Arial"/>
              </w:rPr>
            </w:pPr>
            <w:r>
              <w:rPr>
                <w:rFonts w:cs="Arial"/>
              </w:rPr>
              <w:t>Information über die Emissionen in die Atmosphäre für alle Stufen des Lebenszyklus</w:t>
            </w:r>
          </w:p>
        </w:tc>
        <w:tc>
          <w:tcPr>
            <w:tcW w:w="2268" w:type="dxa"/>
            <w:vMerge/>
            <w:tcBorders>
              <w:left w:val="single" w:sz="6" w:space="0" w:color="000000"/>
            </w:tcBorders>
          </w:tcPr>
          <w:p>
            <w:pPr>
              <w:pStyle w:val="GesAbsatz"/>
              <w:jc w:val="left"/>
              <w:rPr>
                <w:rFonts w:cs="Arial"/>
              </w:rPr>
            </w:pPr>
          </w:p>
        </w:tc>
      </w:tr>
      <w:tr>
        <w:trPr>
          <w:trHeight w:val="472"/>
        </w:trPr>
        <w:tc>
          <w:tcPr>
            <w:tcW w:w="675" w:type="dxa"/>
            <w:vMerge/>
            <w:tcBorders>
              <w:right w:val="single" w:sz="6" w:space="0" w:color="000000"/>
            </w:tcBorders>
          </w:tcPr>
          <w:p>
            <w:pPr>
              <w:pStyle w:val="GesAbsatz"/>
              <w:jc w:val="left"/>
              <w:rPr>
                <w:rFonts w:cs="Arial"/>
              </w:rPr>
            </w:pPr>
          </w:p>
        </w:tc>
        <w:tc>
          <w:tcPr>
            <w:tcW w:w="1134" w:type="dxa"/>
            <w:vMerge/>
            <w:tcBorders>
              <w:top w:val="nil"/>
              <w:left w:val="single" w:sz="6" w:space="0" w:color="000000"/>
              <w:bottom w:val="nil"/>
              <w:right w:val="single" w:sz="6" w:space="0" w:color="000000"/>
            </w:tcBorders>
          </w:tcPr>
          <w:p>
            <w:pPr>
              <w:pStyle w:val="GesAbsatz"/>
              <w:jc w:val="left"/>
              <w:rPr>
                <w:rFonts w:cs="Arial"/>
              </w:rPr>
            </w:pPr>
          </w:p>
        </w:tc>
        <w:tc>
          <w:tcPr>
            <w:tcW w:w="1276" w:type="dxa"/>
            <w:vMerge/>
            <w:tcBorders>
              <w:top w:val="nil"/>
              <w:left w:val="single" w:sz="6" w:space="0" w:color="000000"/>
              <w:bottom w:val="nil"/>
              <w:right w:val="single" w:sz="6" w:space="0" w:color="000000"/>
            </w:tcBorders>
          </w:tcPr>
          <w:p>
            <w:pPr>
              <w:pStyle w:val="GesAbsatz"/>
              <w:jc w:val="left"/>
              <w:rPr>
                <w:rFonts w:cs="Arial"/>
              </w:rPr>
            </w:pPr>
          </w:p>
        </w:tc>
        <w:tc>
          <w:tcPr>
            <w:tcW w:w="2977" w:type="dxa"/>
            <w:vMerge/>
            <w:tcBorders>
              <w:left w:val="single" w:sz="6" w:space="0" w:color="000000"/>
              <w:right w:val="single" w:sz="6" w:space="0" w:color="000000"/>
            </w:tcBorders>
          </w:tcPr>
          <w:p>
            <w:pPr>
              <w:pStyle w:val="GesAbsatz"/>
              <w:jc w:val="left"/>
              <w:rPr>
                <w:rFonts w:cs="Arial"/>
              </w:rPr>
            </w:pPr>
          </w:p>
        </w:tc>
        <w:tc>
          <w:tcPr>
            <w:tcW w:w="992" w:type="dxa"/>
            <w:vMerge/>
            <w:tcBorders>
              <w:left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nil"/>
              <w:right w:val="single" w:sz="6" w:space="0" w:color="000000"/>
            </w:tcBorders>
          </w:tcPr>
          <w:p>
            <w:pPr>
              <w:pStyle w:val="GesAbsatz"/>
              <w:jc w:val="left"/>
              <w:rPr>
                <w:rFonts w:cs="Arial"/>
              </w:rPr>
            </w:pPr>
            <w:r>
              <w:rPr>
                <w:rFonts w:cs="Arial"/>
              </w:rPr>
              <w:t xml:space="preserve">Information über die Härte des aufnehmenden Gewässers für zwei Erzeuger </w:t>
            </w:r>
          </w:p>
        </w:tc>
        <w:tc>
          <w:tcPr>
            <w:tcW w:w="2268" w:type="dxa"/>
            <w:vMerge/>
            <w:tcBorders>
              <w:left w:val="single" w:sz="6" w:space="0" w:color="000000"/>
            </w:tcBorders>
          </w:tcPr>
          <w:p>
            <w:pPr>
              <w:pStyle w:val="GesAbsatz"/>
              <w:jc w:val="left"/>
              <w:rPr>
                <w:rFonts w:cs="Arial"/>
              </w:rPr>
            </w:pPr>
          </w:p>
        </w:tc>
      </w:tr>
      <w:tr>
        <w:trPr>
          <w:trHeight w:val="333"/>
        </w:trPr>
        <w:tc>
          <w:tcPr>
            <w:tcW w:w="675" w:type="dxa"/>
            <w:vMerge/>
            <w:tcBorders>
              <w:right w:val="single" w:sz="6" w:space="0" w:color="000000"/>
            </w:tcBorders>
          </w:tcPr>
          <w:p>
            <w:pPr>
              <w:pStyle w:val="GesAbsatz"/>
              <w:jc w:val="left"/>
              <w:rPr>
                <w:rFonts w:cs="Arial"/>
              </w:rPr>
            </w:pPr>
          </w:p>
        </w:tc>
        <w:tc>
          <w:tcPr>
            <w:tcW w:w="1134" w:type="dxa"/>
            <w:vMerge/>
            <w:tcBorders>
              <w:top w:val="nil"/>
              <w:left w:val="single" w:sz="6" w:space="0" w:color="000000"/>
              <w:bottom w:val="nil"/>
              <w:right w:val="single" w:sz="6" w:space="0" w:color="000000"/>
            </w:tcBorders>
          </w:tcPr>
          <w:p>
            <w:pPr>
              <w:pStyle w:val="GesAbsatz"/>
              <w:jc w:val="left"/>
              <w:rPr>
                <w:rFonts w:cs="Arial"/>
              </w:rPr>
            </w:pPr>
          </w:p>
        </w:tc>
        <w:tc>
          <w:tcPr>
            <w:tcW w:w="1276" w:type="dxa"/>
            <w:vMerge/>
            <w:tcBorders>
              <w:top w:val="nil"/>
              <w:left w:val="single" w:sz="6" w:space="0" w:color="000000"/>
              <w:bottom w:val="nil"/>
              <w:right w:val="single" w:sz="6" w:space="0" w:color="000000"/>
            </w:tcBorders>
          </w:tcPr>
          <w:p>
            <w:pPr>
              <w:pStyle w:val="GesAbsatz"/>
              <w:jc w:val="left"/>
              <w:rPr>
                <w:rFonts w:cs="Arial"/>
              </w:rPr>
            </w:pPr>
          </w:p>
        </w:tc>
        <w:tc>
          <w:tcPr>
            <w:tcW w:w="2977" w:type="dxa"/>
            <w:vMerge/>
            <w:tcBorders>
              <w:left w:val="single" w:sz="6" w:space="0" w:color="000000"/>
              <w:right w:val="single" w:sz="6" w:space="0" w:color="000000"/>
            </w:tcBorders>
          </w:tcPr>
          <w:p>
            <w:pPr>
              <w:pStyle w:val="GesAbsatz"/>
              <w:jc w:val="left"/>
              <w:rPr>
                <w:rFonts w:cs="Arial"/>
              </w:rPr>
            </w:pPr>
          </w:p>
        </w:tc>
        <w:tc>
          <w:tcPr>
            <w:tcW w:w="992" w:type="dxa"/>
            <w:vMerge/>
            <w:tcBorders>
              <w:left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nil"/>
              <w:right w:val="single" w:sz="6" w:space="0" w:color="000000"/>
            </w:tcBorders>
          </w:tcPr>
          <w:p>
            <w:pPr>
              <w:pStyle w:val="GesAbsatz"/>
              <w:jc w:val="left"/>
              <w:rPr>
                <w:rFonts w:cs="Arial"/>
              </w:rPr>
            </w:pPr>
            <w:r>
              <w:rPr>
                <w:rFonts w:cs="Arial"/>
              </w:rPr>
              <w:t xml:space="preserve">Information über den Anteil Kryolith in Partikelemissionen von Aluminiumschmelzen </w:t>
            </w:r>
          </w:p>
        </w:tc>
        <w:tc>
          <w:tcPr>
            <w:tcW w:w="2268" w:type="dxa"/>
            <w:vMerge/>
            <w:tcBorders>
              <w:left w:val="single" w:sz="6" w:space="0" w:color="000000"/>
            </w:tcBorders>
          </w:tcPr>
          <w:p>
            <w:pPr>
              <w:pStyle w:val="GesAbsatz"/>
              <w:jc w:val="left"/>
              <w:rPr>
                <w:rFonts w:cs="Arial"/>
              </w:rPr>
            </w:pPr>
          </w:p>
        </w:tc>
      </w:tr>
      <w:tr>
        <w:trPr>
          <w:trHeight w:val="192"/>
        </w:trPr>
        <w:tc>
          <w:tcPr>
            <w:tcW w:w="675" w:type="dxa"/>
            <w:vMerge/>
            <w:tcBorders>
              <w:bottom w:val="single" w:sz="6" w:space="0" w:color="000000"/>
              <w:right w:val="single" w:sz="6" w:space="0" w:color="000000"/>
            </w:tcBorders>
          </w:tcPr>
          <w:p>
            <w:pPr>
              <w:pStyle w:val="GesAbsatz"/>
              <w:jc w:val="left"/>
              <w:rPr>
                <w:rFonts w:cs="Arial"/>
              </w:rPr>
            </w:pPr>
          </w:p>
        </w:tc>
        <w:tc>
          <w:tcPr>
            <w:tcW w:w="1134" w:type="dxa"/>
            <w:vMerge/>
            <w:tcBorders>
              <w:top w:val="nil"/>
              <w:left w:val="single" w:sz="6" w:space="0" w:color="000000"/>
              <w:bottom w:val="nil"/>
              <w:right w:val="single" w:sz="6" w:space="0" w:color="000000"/>
            </w:tcBorders>
          </w:tcPr>
          <w:p>
            <w:pPr>
              <w:pStyle w:val="GesAbsatz"/>
              <w:jc w:val="left"/>
              <w:rPr>
                <w:rFonts w:cs="Arial"/>
              </w:rPr>
            </w:pPr>
          </w:p>
        </w:tc>
        <w:tc>
          <w:tcPr>
            <w:tcW w:w="1276" w:type="dxa"/>
            <w:vMerge/>
            <w:tcBorders>
              <w:top w:val="nil"/>
              <w:left w:val="single" w:sz="6" w:space="0" w:color="000000"/>
              <w:bottom w:val="nil"/>
              <w:right w:val="single" w:sz="6" w:space="0" w:color="000000"/>
            </w:tcBorders>
          </w:tcPr>
          <w:p>
            <w:pPr>
              <w:pStyle w:val="GesAbsatz"/>
              <w:jc w:val="left"/>
              <w:rPr>
                <w:rFonts w:cs="Arial"/>
              </w:rPr>
            </w:pPr>
          </w:p>
        </w:tc>
        <w:tc>
          <w:tcPr>
            <w:tcW w:w="2977" w:type="dxa"/>
            <w:vMerge/>
            <w:tcBorders>
              <w:left w:val="single" w:sz="6" w:space="0" w:color="000000"/>
              <w:bottom w:val="single" w:sz="6" w:space="0" w:color="000000"/>
              <w:right w:val="single" w:sz="6" w:space="0" w:color="000000"/>
            </w:tcBorders>
          </w:tcPr>
          <w:p>
            <w:pPr>
              <w:pStyle w:val="GesAbsatz"/>
              <w:jc w:val="left"/>
              <w:rPr>
                <w:rFonts w:cs="Arial"/>
              </w:rPr>
            </w:pPr>
          </w:p>
        </w:tc>
        <w:tc>
          <w:tcPr>
            <w:tcW w:w="992" w:type="dxa"/>
            <w:vMerge/>
            <w:tcBorders>
              <w:left w:val="single" w:sz="6" w:space="0" w:color="000000"/>
              <w:bottom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Untersuchung der Auflösung</w:t>
            </w:r>
          </w:p>
        </w:tc>
        <w:tc>
          <w:tcPr>
            <w:tcW w:w="2268" w:type="dxa"/>
            <w:vMerge/>
            <w:tcBorders>
              <w:left w:val="single" w:sz="6" w:space="0" w:color="000000"/>
              <w:bottom w:val="single" w:sz="6" w:space="0" w:color="000000"/>
            </w:tcBorders>
          </w:tcPr>
          <w:p>
            <w:pPr>
              <w:pStyle w:val="GesAbsatz"/>
              <w:jc w:val="left"/>
              <w:rPr>
                <w:rFonts w:cs="Arial"/>
              </w:rPr>
            </w:pPr>
          </w:p>
        </w:tc>
      </w:tr>
      <w:tr>
        <w:trPr>
          <w:trHeight w:val="1330"/>
        </w:trPr>
        <w:tc>
          <w:tcPr>
            <w:tcW w:w="675" w:type="dxa"/>
            <w:tcBorders>
              <w:top w:val="single" w:sz="6" w:space="0" w:color="000000"/>
              <w:bottom w:val="single" w:sz="6" w:space="0" w:color="000000"/>
              <w:right w:val="single" w:sz="6" w:space="0" w:color="000000"/>
            </w:tcBorders>
          </w:tcPr>
          <w:p>
            <w:pPr>
              <w:pStyle w:val="GesAbsatz"/>
              <w:jc w:val="left"/>
              <w:rPr>
                <w:rFonts w:cs="Arial"/>
              </w:rPr>
            </w:pPr>
            <w:r>
              <w:rPr>
                <w:rFonts w:cs="Arial"/>
              </w:rPr>
              <w:lastRenderedPageBreak/>
              <w:t xml:space="preserve">3 </w:t>
            </w:r>
          </w:p>
        </w:tc>
        <w:tc>
          <w:tcPr>
            <w:tcW w:w="1134"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 xml:space="preserve">266-028-2 </w:t>
            </w:r>
          </w:p>
        </w:tc>
        <w:tc>
          <w:tcPr>
            <w:tcW w:w="1276"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 xml:space="preserve">65996-93-2 </w:t>
            </w:r>
          </w:p>
        </w:tc>
        <w:tc>
          <w:tcPr>
            <w:tcW w:w="2977"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Pech, Kohleteer bei Hochtemperatur </w:t>
            </w:r>
          </w:p>
        </w:tc>
        <w:tc>
          <w:tcPr>
            <w:tcW w:w="99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NL </w:t>
            </w:r>
          </w:p>
        </w:tc>
        <w:tc>
          <w:tcPr>
            <w:tcW w:w="5387"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Information über die Freisetzung der 16 EPA-PAK in die verschiedenen Umweltbereiche bei der Verwendung von Pech, Kohleteer bei Hochtemperatur bei Herstellung und Verwendung von Bindemitteln zur Kohlebrikettierung, Tontaubenherstellung und zum Hochleistungs-Korrosions</w:t>
            </w:r>
            <w:r>
              <w:rPr>
                <w:rFonts w:cs="Arial"/>
              </w:rPr>
              <w:softHyphen/>
              <w:t xml:space="preserve">schutz </w:t>
            </w:r>
          </w:p>
        </w:tc>
        <w:tc>
          <w:tcPr>
            <w:tcW w:w="226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4 Monate </w:t>
            </w:r>
          </w:p>
        </w:tc>
      </w:tr>
      <w:tr>
        <w:trPr>
          <w:trHeight w:val="693"/>
        </w:trPr>
        <w:tc>
          <w:tcPr>
            <w:tcW w:w="675" w:type="dxa"/>
            <w:vMerge w:val="restart"/>
            <w:tcBorders>
              <w:top w:val="single" w:sz="6" w:space="0" w:color="000000"/>
              <w:right w:val="single" w:sz="6" w:space="0" w:color="000000"/>
            </w:tcBorders>
          </w:tcPr>
          <w:p>
            <w:pPr>
              <w:pStyle w:val="GesAbsatz"/>
              <w:jc w:val="left"/>
              <w:rPr>
                <w:rFonts w:cs="Arial"/>
              </w:rPr>
            </w:pPr>
            <w:r>
              <w:rPr>
                <w:rFonts w:cs="Arial"/>
              </w:rPr>
              <w:t xml:space="preserve">4 </w:t>
            </w:r>
          </w:p>
        </w:tc>
        <w:tc>
          <w:tcPr>
            <w:tcW w:w="1134" w:type="dxa"/>
            <w:vMerge w:val="restart"/>
            <w:tcBorders>
              <w:top w:val="single" w:sz="6" w:space="0" w:color="000000"/>
              <w:left w:val="single" w:sz="6" w:space="0" w:color="000000"/>
              <w:right w:val="single" w:sz="6" w:space="0" w:color="000000"/>
            </w:tcBorders>
          </w:tcPr>
          <w:p>
            <w:pPr>
              <w:pStyle w:val="GesAbsatz"/>
              <w:jc w:val="left"/>
              <w:rPr>
                <w:rFonts w:cs="Arial"/>
              </w:rPr>
            </w:pPr>
            <w:r>
              <w:rPr>
                <w:rFonts w:cs="Arial"/>
              </w:rPr>
              <w:t xml:space="preserve">246-690-9 </w:t>
            </w:r>
          </w:p>
        </w:tc>
        <w:tc>
          <w:tcPr>
            <w:tcW w:w="1276" w:type="dxa"/>
            <w:vMerge w:val="restart"/>
            <w:tcBorders>
              <w:top w:val="single" w:sz="6" w:space="0" w:color="000000"/>
              <w:left w:val="single" w:sz="6" w:space="0" w:color="000000"/>
              <w:right w:val="single" w:sz="6" w:space="0" w:color="000000"/>
            </w:tcBorders>
          </w:tcPr>
          <w:p>
            <w:pPr>
              <w:pStyle w:val="GesAbsatz"/>
              <w:jc w:val="left"/>
              <w:rPr>
                <w:rFonts w:cs="Arial"/>
              </w:rPr>
            </w:pPr>
            <w:r>
              <w:rPr>
                <w:rFonts w:cs="Arial"/>
              </w:rPr>
              <w:t xml:space="preserve">25617-70-8 </w:t>
            </w:r>
          </w:p>
        </w:tc>
        <w:tc>
          <w:tcPr>
            <w:tcW w:w="2977" w:type="dxa"/>
            <w:vMerge w:val="restart"/>
            <w:tcBorders>
              <w:top w:val="single" w:sz="6" w:space="0" w:color="000000"/>
              <w:left w:val="single" w:sz="6" w:space="0" w:color="000000"/>
              <w:right w:val="single" w:sz="6" w:space="0" w:color="000000"/>
            </w:tcBorders>
          </w:tcPr>
          <w:p>
            <w:pPr>
              <w:pStyle w:val="GesAbsatz"/>
              <w:jc w:val="left"/>
              <w:rPr>
                <w:rFonts w:cs="Arial"/>
              </w:rPr>
            </w:pPr>
            <w:r>
              <w:rPr>
                <w:rFonts w:cs="Arial"/>
              </w:rPr>
              <w:t xml:space="preserve">2,4,4-Trimethylpenten </w:t>
            </w:r>
          </w:p>
        </w:tc>
        <w:tc>
          <w:tcPr>
            <w:tcW w:w="992" w:type="dxa"/>
            <w:vMerge w:val="restart"/>
            <w:tcBorders>
              <w:top w:val="single" w:sz="6" w:space="0" w:color="000000"/>
              <w:left w:val="single" w:sz="6" w:space="0" w:color="000000"/>
              <w:right w:val="single" w:sz="6" w:space="0" w:color="000000"/>
            </w:tcBorders>
          </w:tcPr>
          <w:p>
            <w:pPr>
              <w:pStyle w:val="GesAbsatz"/>
              <w:jc w:val="left"/>
              <w:rPr>
                <w:rFonts w:cs="Arial"/>
              </w:rPr>
            </w:pPr>
            <w:r>
              <w:rPr>
                <w:rFonts w:cs="Arial"/>
              </w:rPr>
              <w:t xml:space="preserve">DE </w:t>
            </w:r>
          </w:p>
        </w:tc>
        <w:tc>
          <w:tcPr>
            <w:tcW w:w="5387"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rPr>
              <w:t xml:space="preserve">Information über Emissionen von Produktions- und Verarbeitungsstätten in Abwasserbehandlungsanlagen, Oberflächenwasser und Sediment </w:t>
            </w:r>
          </w:p>
        </w:tc>
        <w:tc>
          <w:tcPr>
            <w:tcW w:w="2268" w:type="dxa"/>
            <w:vMerge w:val="restart"/>
            <w:tcBorders>
              <w:top w:val="single" w:sz="6" w:space="0" w:color="000000"/>
              <w:left w:val="single" w:sz="6" w:space="0" w:color="000000"/>
            </w:tcBorders>
          </w:tcPr>
          <w:p>
            <w:pPr>
              <w:pStyle w:val="GesAbsatz"/>
              <w:jc w:val="left"/>
              <w:rPr>
                <w:rFonts w:cs="Arial"/>
              </w:rPr>
            </w:pPr>
            <w:r>
              <w:rPr>
                <w:rFonts w:cs="Arial"/>
              </w:rPr>
              <w:t xml:space="preserve">4 Monate </w:t>
            </w:r>
          </w:p>
        </w:tc>
      </w:tr>
      <w:tr>
        <w:trPr>
          <w:trHeight w:val="72"/>
        </w:trPr>
        <w:tc>
          <w:tcPr>
            <w:tcW w:w="675" w:type="dxa"/>
            <w:vMerge/>
            <w:tcBorders>
              <w:right w:val="single" w:sz="6" w:space="0" w:color="000000"/>
            </w:tcBorders>
          </w:tcPr>
          <w:p>
            <w:pPr>
              <w:pStyle w:val="GesAbsatz"/>
              <w:jc w:val="left"/>
              <w:rPr>
                <w:rFonts w:cs="Arial"/>
              </w:rPr>
            </w:pPr>
          </w:p>
        </w:tc>
        <w:tc>
          <w:tcPr>
            <w:tcW w:w="1134" w:type="dxa"/>
            <w:vMerge/>
            <w:tcBorders>
              <w:left w:val="single" w:sz="6" w:space="0" w:color="000000"/>
              <w:right w:val="single" w:sz="6" w:space="0" w:color="000000"/>
            </w:tcBorders>
          </w:tcPr>
          <w:p>
            <w:pPr>
              <w:pStyle w:val="GesAbsatz"/>
              <w:jc w:val="left"/>
              <w:rPr>
                <w:rFonts w:cs="Arial"/>
              </w:rPr>
            </w:pPr>
          </w:p>
        </w:tc>
        <w:tc>
          <w:tcPr>
            <w:tcW w:w="1276" w:type="dxa"/>
            <w:vMerge/>
            <w:tcBorders>
              <w:left w:val="single" w:sz="6" w:space="0" w:color="000000"/>
              <w:right w:val="single" w:sz="6" w:space="0" w:color="000000"/>
            </w:tcBorders>
          </w:tcPr>
          <w:p>
            <w:pPr>
              <w:pStyle w:val="GesAbsatz"/>
              <w:jc w:val="left"/>
              <w:rPr>
                <w:rFonts w:cs="Arial"/>
              </w:rPr>
            </w:pPr>
          </w:p>
        </w:tc>
        <w:tc>
          <w:tcPr>
            <w:tcW w:w="2977" w:type="dxa"/>
            <w:vMerge/>
            <w:tcBorders>
              <w:left w:val="single" w:sz="6" w:space="0" w:color="000000"/>
              <w:right w:val="single" w:sz="6" w:space="0" w:color="000000"/>
            </w:tcBorders>
          </w:tcPr>
          <w:p>
            <w:pPr>
              <w:pStyle w:val="GesAbsatz"/>
              <w:jc w:val="left"/>
              <w:rPr>
                <w:rFonts w:cs="Arial"/>
              </w:rPr>
            </w:pPr>
          </w:p>
        </w:tc>
        <w:tc>
          <w:tcPr>
            <w:tcW w:w="992" w:type="dxa"/>
            <w:vMerge/>
            <w:tcBorders>
              <w:left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nil"/>
              <w:right w:val="single" w:sz="6" w:space="0" w:color="000000"/>
            </w:tcBorders>
          </w:tcPr>
          <w:p>
            <w:pPr>
              <w:pStyle w:val="GesAbsatz"/>
              <w:jc w:val="left"/>
              <w:rPr>
                <w:rFonts w:cs="Arial"/>
              </w:rPr>
            </w:pPr>
            <w:r>
              <w:rPr>
                <w:rFonts w:cs="Arial"/>
              </w:rPr>
              <w:t xml:space="preserve">Belebtschlamm-Atmungshemmungstest (OECD 209) </w:t>
            </w:r>
          </w:p>
        </w:tc>
        <w:tc>
          <w:tcPr>
            <w:tcW w:w="2268" w:type="dxa"/>
            <w:vMerge/>
            <w:tcBorders>
              <w:left w:val="single" w:sz="6" w:space="0" w:color="000000"/>
            </w:tcBorders>
          </w:tcPr>
          <w:p>
            <w:pPr>
              <w:pStyle w:val="GesAbsatz"/>
              <w:jc w:val="left"/>
              <w:rPr>
                <w:rFonts w:cs="Arial"/>
              </w:rPr>
            </w:pPr>
          </w:p>
        </w:tc>
      </w:tr>
      <w:tr>
        <w:trPr>
          <w:trHeight w:val="355"/>
        </w:trPr>
        <w:tc>
          <w:tcPr>
            <w:tcW w:w="675" w:type="dxa"/>
            <w:vMerge/>
            <w:tcBorders>
              <w:bottom w:val="single" w:sz="6" w:space="0" w:color="000000"/>
              <w:right w:val="single" w:sz="6" w:space="0" w:color="000000"/>
            </w:tcBorders>
          </w:tcPr>
          <w:p>
            <w:pPr>
              <w:pStyle w:val="GesAbsatz"/>
              <w:jc w:val="left"/>
              <w:rPr>
                <w:rFonts w:cs="Arial"/>
              </w:rPr>
            </w:pPr>
          </w:p>
        </w:tc>
        <w:tc>
          <w:tcPr>
            <w:tcW w:w="1134" w:type="dxa"/>
            <w:vMerge/>
            <w:tcBorders>
              <w:left w:val="single" w:sz="6" w:space="0" w:color="000000"/>
              <w:bottom w:val="single" w:sz="6" w:space="0" w:color="000000"/>
              <w:right w:val="single" w:sz="6" w:space="0" w:color="000000"/>
            </w:tcBorders>
          </w:tcPr>
          <w:p>
            <w:pPr>
              <w:pStyle w:val="GesAbsatz"/>
              <w:jc w:val="left"/>
              <w:rPr>
                <w:rFonts w:cs="Arial"/>
              </w:rPr>
            </w:pPr>
          </w:p>
        </w:tc>
        <w:tc>
          <w:tcPr>
            <w:tcW w:w="1276" w:type="dxa"/>
            <w:vMerge/>
            <w:tcBorders>
              <w:left w:val="single" w:sz="6" w:space="0" w:color="000000"/>
              <w:bottom w:val="single" w:sz="6" w:space="0" w:color="000000"/>
              <w:right w:val="single" w:sz="6" w:space="0" w:color="000000"/>
            </w:tcBorders>
          </w:tcPr>
          <w:p>
            <w:pPr>
              <w:pStyle w:val="GesAbsatz"/>
              <w:jc w:val="left"/>
              <w:rPr>
                <w:rFonts w:cs="Arial"/>
              </w:rPr>
            </w:pPr>
          </w:p>
        </w:tc>
        <w:tc>
          <w:tcPr>
            <w:tcW w:w="2977" w:type="dxa"/>
            <w:vMerge/>
            <w:tcBorders>
              <w:left w:val="single" w:sz="6" w:space="0" w:color="000000"/>
              <w:bottom w:val="single" w:sz="6" w:space="0" w:color="000000"/>
              <w:right w:val="single" w:sz="6" w:space="0" w:color="000000"/>
            </w:tcBorders>
          </w:tcPr>
          <w:p>
            <w:pPr>
              <w:pStyle w:val="GesAbsatz"/>
              <w:jc w:val="left"/>
              <w:rPr>
                <w:rFonts w:cs="Arial"/>
              </w:rPr>
            </w:pPr>
          </w:p>
        </w:tc>
        <w:tc>
          <w:tcPr>
            <w:tcW w:w="992" w:type="dxa"/>
            <w:vMerge/>
            <w:tcBorders>
              <w:left w:val="single" w:sz="6" w:space="0" w:color="000000"/>
              <w:bottom w:val="single" w:sz="6" w:space="0" w:color="000000"/>
              <w:right w:val="single" w:sz="6" w:space="0" w:color="000000"/>
            </w:tcBorders>
          </w:tcPr>
          <w:p>
            <w:pPr>
              <w:pStyle w:val="GesAbsatz"/>
              <w:jc w:val="left"/>
              <w:rPr>
                <w:rFonts w:cs="Arial"/>
              </w:rPr>
            </w:pPr>
          </w:p>
        </w:tc>
        <w:tc>
          <w:tcPr>
            <w:tcW w:w="5387"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Langzeittest zur Reproduktion von Daphnia magna (OECD 211)</w:t>
            </w:r>
          </w:p>
        </w:tc>
        <w:tc>
          <w:tcPr>
            <w:tcW w:w="2268" w:type="dxa"/>
            <w:vMerge/>
            <w:tcBorders>
              <w:left w:val="single" w:sz="6" w:space="0" w:color="000000"/>
              <w:bottom w:val="single" w:sz="6" w:space="0" w:color="000000"/>
            </w:tcBorders>
          </w:tcPr>
          <w:p>
            <w:pPr>
              <w:pStyle w:val="GesAbsatz"/>
              <w:jc w:val="left"/>
              <w:rPr>
                <w:rFonts w:cs="Arial"/>
              </w:rPr>
            </w:pPr>
          </w:p>
        </w:tc>
      </w:tr>
      <w:tr>
        <w:trPr>
          <w:trHeight w:val="350"/>
        </w:trPr>
        <w:tc>
          <w:tcPr>
            <w:tcW w:w="675" w:type="dxa"/>
            <w:vMerge w:val="restart"/>
            <w:tcBorders>
              <w:top w:val="single" w:sz="6" w:space="0" w:color="000000"/>
              <w:right w:val="single" w:sz="6" w:space="0" w:color="000000"/>
            </w:tcBorders>
          </w:tcPr>
          <w:p>
            <w:pPr>
              <w:pStyle w:val="GesAbsatz"/>
              <w:jc w:val="left"/>
              <w:rPr>
                <w:rFonts w:cs="Arial"/>
              </w:rPr>
            </w:pPr>
            <w:r>
              <w:rPr>
                <w:rFonts w:cs="Arial"/>
              </w:rPr>
              <w:t xml:space="preserve">5 </w:t>
            </w:r>
          </w:p>
        </w:tc>
        <w:tc>
          <w:tcPr>
            <w:tcW w:w="1134"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rPr>
              <w:t xml:space="preserve">231-111-4 </w:t>
            </w:r>
          </w:p>
        </w:tc>
        <w:tc>
          <w:tcPr>
            <w:tcW w:w="1276"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rPr>
              <w:t xml:space="preserve">7440-02-0 </w:t>
            </w:r>
          </w:p>
        </w:tc>
        <w:tc>
          <w:tcPr>
            <w:tcW w:w="2977" w:type="dxa"/>
            <w:tcBorders>
              <w:top w:val="single" w:sz="6" w:space="0" w:color="000000"/>
              <w:left w:val="single" w:sz="6" w:space="0" w:color="000000"/>
              <w:bottom w:val="nil"/>
              <w:right w:val="single" w:sz="6" w:space="0" w:color="000000"/>
            </w:tcBorders>
          </w:tcPr>
          <w:p>
            <w:pPr>
              <w:pStyle w:val="GesAbsatz"/>
              <w:jc w:val="left"/>
              <w:rPr>
                <w:rFonts w:cs="Arial"/>
              </w:rPr>
            </w:pPr>
            <w:r>
              <w:rPr>
                <w:rFonts w:cs="Arial"/>
              </w:rPr>
              <w:t xml:space="preserve">Nickel </w:t>
            </w:r>
          </w:p>
        </w:tc>
        <w:tc>
          <w:tcPr>
            <w:tcW w:w="992" w:type="dxa"/>
            <w:vMerge w:val="restart"/>
            <w:tcBorders>
              <w:top w:val="single" w:sz="6" w:space="0" w:color="000000"/>
              <w:left w:val="single" w:sz="6" w:space="0" w:color="000000"/>
              <w:right w:val="single" w:sz="6" w:space="0" w:color="000000"/>
            </w:tcBorders>
          </w:tcPr>
          <w:p>
            <w:pPr>
              <w:pStyle w:val="GesAbsatz"/>
              <w:jc w:val="left"/>
              <w:rPr>
                <w:rFonts w:cs="Arial"/>
              </w:rPr>
            </w:pPr>
            <w:r>
              <w:rPr>
                <w:rFonts w:cs="Arial"/>
              </w:rPr>
              <w:t xml:space="preserve">DK </w:t>
            </w:r>
          </w:p>
        </w:tc>
        <w:tc>
          <w:tcPr>
            <w:tcW w:w="5387" w:type="dxa"/>
            <w:vMerge w:val="restart"/>
            <w:tcBorders>
              <w:top w:val="single" w:sz="6" w:space="0" w:color="000000"/>
              <w:left w:val="single" w:sz="6" w:space="0" w:color="000000"/>
              <w:right w:val="single" w:sz="6" w:space="0" w:color="000000"/>
            </w:tcBorders>
          </w:tcPr>
          <w:p>
            <w:pPr>
              <w:pStyle w:val="GesAbsatz"/>
              <w:jc w:val="left"/>
              <w:rPr>
                <w:rFonts w:cs="Arial"/>
              </w:rPr>
            </w:pPr>
            <w:r>
              <w:rPr>
                <w:rFonts w:cs="Arial"/>
              </w:rPr>
              <w:t xml:space="preserve">Sedimenttoxizitätstest </w:t>
            </w:r>
          </w:p>
        </w:tc>
        <w:tc>
          <w:tcPr>
            <w:tcW w:w="2268" w:type="dxa"/>
            <w:vMerge w:val="restart"/>
            <w:tcBorders>
              <w:top w:val="single" w:sz="6" w:space="0" w:color="000000"/>
              <w:left w:val="single" w:sz="6" w:space="0" w:color="000000"/>
            </w:tcBorders>
          </w:tcPr>
          <w:p>
            <w:pPr>
              <w:pStyle w:val="GesAbsatz"/>
              <w:jc w:val="left"/>
              <w:rPr>
                <w:rFonts w:cs="Arial"/>
              </w:rPr>
            </w:pPr>
            <w:r>
              <w:rPr>
                <w:rFonts w:cs="Arial"/>
              </w:rPr>
              <w:t xml:space="preserve">12 Monate </w:t>
            </w:r>
          </w:p>
        </w:tc>
      </w:tr>
      <w:tr>
        <w:trPr>
          <w:trHeight w:val="365"/>
        </w:trPr>
        <w:tc>
          <w:tcPr>
            <w:tcW w:w="675" w:type="dxa"/>
            <w:vMerge/>
            <w:tcBorders>
              <w:right w:val="single" w:sz="6" w:space="0" w:color="000000"/>
            </w:tcBorders>
          </w:tcPr>
          <w:p>
            <w:pPr>
              <w:pStyle w:val="GesAbsatz"/>
              <w:jc w:val="left"/>
              <w:rPr>
                <w:rFonts w:cs="Arial"/>
                <w:color w:val="auto"/>
              </w:rPr>
            </w:pPr>
          </w:p>
        </w:tc>
        <w:tc>
          <w:tcPr>
            <w:tcW w:w="1134" w:type="dxa"/>
            <w:tcBorders>
              <w:top w:val="nil"/>
              <w:left w:val="single" w:sz="6" w:space="0" w:color="000000"/>
              <w:bottom w:val="nil"/>
              <w:right w:val="single" w:sz="6" w:space="0" w:color="000000"/>
            </w:tcBorders>
          </w:tcPr>
          <w:p>
            <w:pPr>
              <w:pStyle w:val="GesAbsatz"/>
              <w:jc w:val="left"/>
              <w:rPr>
                <w:rFonts w:cs="Arial"/>
              </w:rPr>
            </w:pPr>
            <w:r>
              <w:rPr>
                <w:rFonts w:cs="Arial"/>
              </w:rPr>
              <w:t xml:space="preserve">232-104-9 </w:t>
            </w:r>
          </w:p>
        </w:tc>
        <w:tc>
          <w:tcPr>
            <w:tcW w:w="1276" w:type="dxa"/>
            <w:tcBorders>
              <w:top w:val="nil"/>
              <w:left w:val="single" w:sz="6" w:space="0" w:color="000000"/>
              <w:bottom w:val="nil"/>
              <w:right w:val="single" w:sz="6" w:space="0" w:color="000000"/>
            </w:tcBorders>
          </w:tcPr>
          <w:p>
            <w:pPr>
              <w:pStyle w:val="GesAbsatz"/>
              <w:jc w:val="left"/>
              <w:rPr>
                <w:rFonts w:cs="Arial"/>
              </w:rPr>
            </w:pPr>
            <w:r>
              <w:rPr>
                <w:rFonts w:cs="Arial"/>
              </w:rPr>
              <w:t xml:space="preserve">7786-81-4 </w:t>
            </w:r>
          </w:p>
        </w:tc>
        <w:tc>
          <w:tcPr>
            <w:tcW w:w="2977" w:type="dxa"/>
            <w:tcBorders>
              <w:top w:val="nil"/>
              <w:left w:val="single" w:sz="6" w:space="0" w:color="000000"/>
              <w:bottom w:val="nil"/>
              <w:right w:val="single" w:sz="6" w:space="0" w:color="000000"/>
            </w:tcBorders>
          </w:tcPr>
          <w:p>
            <w:pPr>
              <w:pStyle w:val="GesAbsatz"/>
              <w:jc w:val="left"/>
              <w:rPr>
                <w:rFonts w:cs="Arial"/>
              </w:rPr>
            </w:pPr>
            <w:r>
              <w:rPr>
                <w:rFonts w:cs="Arial"/>
              </w:rPr>
              <w:t xml:space="preserve">Nickelsulfat </w:t>
            </w:r>
          </w:p>
        </w:tc>
        <w:tc>
          <w:tcPr>
            <w:tcW w:w="992" w:type="dxa"/>
            <w:vMerge/>
            <w:tcBorders>
              <w:left w:val="single" w:sz="6" w:space="0" w:color="000000"/>
              <w:right w:val="single" w:sz="6" w:space="0" w:color="000000"/>
            </w:tcBorders>
          </w:tcPr>
          <w:p>
            <w:pPr>
              <w:pStyle w:val="GesAbsatz"/>
              <w:jc w:val="left"/>
              <w:rPr>
                <w:rFonts w:cs="Arial"/>
                <w:color w:val="auto"/>
              </w:rPr>
            </w:pPr>
          </w:p>
        </w:tc>
        <w:tc>
          <w:tcPr>
            <w:tcW w:w="5387" w:type="dxa"/>
            <w:vMerge/>
            <w:tcBorders>
              <w:left w:val="single" w:sz="6" w:space="0" w:color="000000"/>
              <w:right w:val="single" w:sz="6" w:space="0" w:color="000000"/>
            </w:tcBorders>
          </w:tcPr>
          <w:p>
            <w:pPr>
              <w:pStyle w:val="GesAbsatz"/>
              <w:jc w:val="left"/>
              <w:rPr>
                <w:rFonts w:cs="Arial"/>
                <w:color w:val="auto"/>
              </w:rPr>
            </w:pPr>
          </w:p>
        </w:tc>
        <w:tc>
          <w:tcPr>
            <w:tcW w:w="2268" w:type="dxa"/>
            <w:vMerge/>
            <w:tcBorders>
              <w:left w:val="single" w:sz="6" w:space="0" w:color="000000"/>
            </w:tcBorders>
          </w:tcPr>
          <w:p>
            <w:pPr>
              <w:pStyle w:val="GesAbsatz"/>
              <w:jc w:val="left"/>
              <w:rPr>
                <w:rFonts w:cs="Arial"/>
                <w:color w:val="auto"/>
              </w:rPr>
            </w:pPr>
          </w:p>
        </w:tc>
      </w:tr>
      <w:tr>
        <w:trPr>
          <w:trHeight w:val="360"/>
        </w:trPr>
        <w:tc>
          <w:tcPr>
            <w:tcW w:w="675" w:type="dxa"/>
            <w:vMerge/>
            <w:tcBorders>
              <w:right w:val="single" w:sz="6" w:space="0" w:color="000000"/>
            </w:tcBorders>
          </w:tcPr>
          <w:p>
            <w:pPr>
              <w:pStyle w:val="GesAbsatz"/>
              <w:jc w:val="left"/>
              <w:rPr>
                <w:rFonts w:cs="Arial"/>
                <w:color w:val="auto"/>
              </w:rPr>
            </w:pPr>
          </w:p>
        </w:tc>
        <w:tc>
          <w:tcPr>
            <w:tcW w:w="1134" w:type="dxa"/>
            <w:tcBorders>
              <w:top w:val="nil"/>
              <w:left w:val="single" w:sz="6" w:space="0" w:color="000000"/>
              <w:bottom w:val="nil"/>
              <w:right w:val="single" w:sz="6" w:space="0" w:color="000000"/>
            </w:tcBorders>
          </w:tcPr>
          <w:p>
            <w:pPr>
              <w:pStyle w:val="GesAbsatz"/>
              <w:jc w:val="left"/>
              <w:rPr>
                <w:rFonts w:cs="Arial"/>
              </w:rPr>
            </w:pPr>
            <w:r>
              <w:rPr>
                <w:rFonts w:cs="Arial"/>
              </w:rPr>
              <w:t xml:space="preserve">222-068-2 </w:t>
            </w:r>
          </w:p>
        </w:tc>
        <w:tc>
          <w:tcPr>
            <w:tcW w:w="1276" w:type="dxa"/>
            <w:tcBorders>
              <w:top w:val="nil"/>
              <w:left w:val="single" w:sz="6" w:space="0" w:color="000000"/>
              <w:bottom w:val="nil"/>
              <w:right w:val="single" w:sz="6" w:space="0" w:color="000000"/>
            </w:tcBorders>
          </w:tcPr>
          <w:p>
            <w:pPr>
              <w:pStyle w:val="GesAbsatz"/>
              <w:jc w:val="left"/>
              <w:rPr>
                <w:rFonts w:cs="Arial"/>
              </w:rPr>
            </w:pPr>
            <w:r>
              <w:rPr>
                <w:rFonts w:cs="Arial"/>
              </w:rPr>
              <w:t xml:space="preserve">3333-67-3 </w:t>
            </w:r>
          </w:p>
        </w:tc>
        <w:tc>
          <w:tcPr>
            <w:tcW w:w="2977" w:type="dxa"/>
            <w:tcBorders>
              <w:top w:val="nil"/>
              <w:left w:val="single" w:sz="6" w:space="0" w:color="000000"/>
              <w:bottom w:val="nil"/>
              <w:right w:val="single" w:sz="6" w:space="0" w:color="000000"/>
            </w:tcBorders>
          </w:tcPr>
          <w:p>
            <w:pPr>
              <w:pStyle w:val="GesAbsatz"/>
              <w:jc w:val="left"/>
              <w:rPr>
                <w:rFonts w:cs="Arial"/>
              </w:rPr>
            </w:pPr>
            <w:r>
              <w:rPr>
                <w:rFonts w:cs="Arial"/>
              </w:rPr>
              <w:t xml:space="preserve">Nickelkarbonat </w:t>
            </w:r>
          </w:p>
        </w:tc>
        <w:tc>
          <w:tcPr>
            <w:tcW w:w="992" w:type="dxa"/>
            <w:vMerge/>
            <w:tcBorders>
              <w:left w:val="single" w:sz="6" w:space="0" w:color="000000"/>
              <w:right w:val="single" w:sz="6" w:space="0" w:color="000000"/>
            </w:tcBorders>
          </w:tcPr>
          <w:p>
            <w:pPr>
              <w:pStyle w:val="GesAbsatz"/>
              <w:jc w:val="left"/>
              <w:rPr>
                <w:rFonts w:cs="Arial"/>
                <w:color w:val="auto"/>
              </w:rPr>
            </w:pPr>
          </w:p>
        </w:tc>
        <w:tc>
          <w:tcPr>
            <w:tcW w:w="5387" w:type="dxa"/>
            <w:vMerge/>
            <w:tcBorders>
              <w:left w:val="single" w:sz="6" w:space="0" w:color="000000"/>
              <w:right w:val="single" w:sz="6" w:space="0" w:color="000000"/>
            </w:tcBorders>
          </w:tcPr>
          <w:p>
            <w:pPr>
              <w:pStyle w:val="GesAbsatz"/>
              <w:jc w:val="left"/>
              <w:rPr>
                <w:rFonts w:cs="Arial"/>
                <w:color w:val="auto"/>
              </w:rPr>
            </w:pPr>
          </w:p>
        </w:tc>
        <w:tc>
          <w:tcPr>
            <w:tcW w:w="2268" w:type="dxa"/>
            <w:vMerge/>
            <w:tcBorders>
              <w:left w:val="single" w:sz="6" w:space="0" w:color="000000"/>
            </w:tcBorders>
          </w:tcPr>
          <w:p>
            <w:pPr>
              <w:pStyle w:val="GesAbsatz"/>
              <w:jc w:val="left"/>
              <w:rPr>
                <w:rFonts w:cs="Arial"/>
                <w:color w:val="auto"/>
              </w:rPr>
            </w:pPr>
          </w:p>
        </w:tc>
      </w:tr>
      <w:tr>
        <w:trPr>
          <w:trHeight w:val="363"/>
        </w:trPr>
        <w:tc>
          <w:tcPr>
            <w:tcW w:w="675" w:type="dxa"/>
            <w:vMerge/>
            <w:tcBorders>
              <w:right w:val="single" w:sz="6" w:space="0" w:color="000000"/>
            </w:tcBorders>
          </w:tcPr>
          <w:p>
            <w:pPr>
              <w:pStyle w:val="GesAbsatz"/>
              <w:jc w:val="left"/>
              <w:rPr>
                <w:rFonts w:cs="Arial"/>
                <w:color w:val="auto"/>
              </w:rPr>
            </w:pPr>
          </w:p>
        </w:tc>
        <w:tc>
          <w:tcPr>
            <w:tcW w:w="1134" w:type="dxa"/>
            <w:tcBorders>
              <w:top w:val="nil"/>
              <w:left w:val="single" w:sz="6" w:space="0" w:color="000000"/>
              <w:bottom w:val="nil"/>
              <w:right w:val="single" w:sz="6" w:space="0" w:color="000000"/>
            </w:tcBorders>
          </w:tcPr>
          <w:p>
            <w:pPr>
              <w:pStyle w:val="GesAbsatz"/>
              <w:jc w:val="left"/>
              <w:rPr>
                <w:rFonts w:cs="Arial"/>
              </w:rPr>
            </w:pPr>
            <w:r>
              <w:rPr>
                <w:rFonts w:cs="Arial"/>
              </w:rPr>
              <w:t xml:space="preserve">231-743-0 </w:t>
            </w:r>
          </w:p>
        </w:tc>
        <w:tc>
          <w:tcPr>
            <w:tcW w:w="1276" w:type="dxa"/>
            <w:tcBorders>
              <w:top w:val="nil"/>
              <w:left w:val="single" w:sz="6" w:space="0" w:color="000000"/>
              <w:bottom w:val="nil"/>
              <w:right w:val="single" w:sz="6" w:space="0" w:color="000000"/>
            </w:tcBorders>
          </w:tcPr>
          <w:p>
            <w:pPr>
              <w:pStyle w:val="GesAbsatz"/>
              <w:jc w:val="left"/>
              <w:rPr>
                <w:rFonts w:cs="Arial"/>
              </w:rPr>
            </w:pPr>
            <w:r>
              <w:rPr>
                <w:rFonts w:cs="Arial"/>
              </w:rPr>
              <w:t xml:space="preserve">7718-54-9 </w:t>
            </w:r>
          </w:p>
        </w:tc>
        <w:tc>
          <w:tcPr>
            <w:tcW w:w="2977" w:type="dxa"/>
            <w:tcBorders>
              <w:top w:val="nil"/>
              <w:left w:val="single" w:sz="6" w:space="0" w:color="000000"/>
              <w:bottom w:val="nil"/>
              <w:right w:val="single" w:sz="6" w:space="0" w:color="000000"/>
            </w:tcBorders>
          </w:tcPr>
          <w:p>
            <w:pPr>
              <w:pStyle w:val="GesAbsatz"/>
              <w:jc w:val="left"/>
              <w:rPr>
                <w:rFonts w:cs="Arial"/>
              </w:rPr>
            </w:pPr>
            <w:r>
              <w:rPr>
                <w:rFonts w:cs="Arial"/>
              </w:rPr>
              <w:t xml:space="preserve">Nickeldichlorid </w:t>
            </w:r>
          </w:p>
        </w:tc>
        <w:tc>
          <w:tcPr>
            <w:tcW w:w="992" w:type="dxa"/>
            <w:vMerge/>
            <w:tcBorders>
              <w:left w:val="single" w:sz="6" w:space="0" w:color="000000"/>
              <w:right w:val="single" w:sz="6" w:space="0" w:color="000000"/>
            </w:tcBorders>
          </w:tcPr>
          <w:p>
            <w:pPr>
              <w:pStyle w:val="GesAbsatz"/>
              <w:jc w:val="left"/>
              <w:rPr>
                <w:rFonts w:cs="Arial"/>
                <w:color w:val="auto"/>
              </w:rPr>
            </w:pPr>
          </w:p>
        </w:tc>
        <w:tc>
          <w:tcPr>
            <w:tcW w:w="5387" w:type="dxa"/>
            <w:vMerge/>
            <w:tcBorders>
              <w:left w:val="single" w:sz="6" w:space="0" w:color="000000"/>
              <w:right w:val="single" w:sz="6" w:space="0" w:color="000000"/>
            </w:tcBorders>
          </w:tcPr>
          <w:p>
            <w:pPr>
              <w:pStyle w:val="GesAbsatz"/>
              <w:jc w:val="left"/>
              <w:rPr>
                <w:rFonts w:cs="Arial"/>
                <w:color w:val="auto"/>
              </w:rPr>
            </w:pPr>
          </w:p>
        </w:tc>
        <w:tc>
          <w:tcPr>
            <w:tcW w:w="2268" w:type="dxa"/>
            <w:vMerge/>
            <w:tcBorders>
              <w:left w:val="single" w:sz="6" w:space="0" w:color="000000"/>
            </w:tcBorders>
          </w:tcPr>
          <w:p>
            <w:pPr>
              <w:pStyle w:val="GesAbsatz"/>
              <w:jc w:val="left"/>
              <w:rPr>
                <w:rFonts w:cs="Arial"/>
                <w:color w:val="auto"/>
              </w:rPr>
            </w:pPr>
          </w:p>
        </w:tc>
      </w:tr>
      <w:tr>
        <w:trPr>
          <w:trHeight w:val="385"/>
        </w:trPr>
        <w:tc>
          <w:tcPr>
            <w:tcW w:w="675" w:type="dxa"/>
            <w:vMerge/>
            <w:tcBorders>
              <w:bottom w:val="single" w:sz="6" w:space="0" w:color="000000"/>
              <w:right w:val="single" w:sz="6" w:space="0" w:color="000000"/>
            </w:tcBorders>
          </w:tcPr>
          <w:p>
            <w:pPr>
              <w:pStyle w:val="GesAbsatz"/>
              <w:jc w:val="left"/>
              <w:rPr>
                <w:rFonts w:cs="Arial"/>
                <w:color w:val="auto"/>
              </w:rPr>
            </w:pPr>
          </w:p>
        </w:tc>
        <w:tc>
          <w:tcPr>
            <w:tcW w:w="1134"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 xml:space="preserve">236-068-5 </w:t>
            </w:r>
          </w:p>
        </w:tc>
        <w:tc>
          <w:tcPr>
            <w:tcW w:w="1276"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 xml:space="preserve">13138-45-9 </w:t>
            </w:r>
          </w:p>
        </w:tc>
        <w:tc>
          <w:tcPr>
            <w:tcW w:w="2977" w:type="dxa"/>
            <w:tcBorders>
              <w:top w:val="nil"/>
              <w:left w:val="single" w:sz="6" w:space="0" w:color="000000"/>
              <w:bottom w:val="single" w:sz="6" w:space="0" w:color="000000"/>
              <w:right w:val="single" w:sz="6" w:space="0" w:color="000000"/>
            </w:tcBorders>
          </w:tcPr>
          <w:p>
            <w:pPr>
              <w:pStyle w:val="GesAbsatz"/>
              <w:jc w:val="left"/>
              <w:rPr>
                <w:rFonts w:cs="Arial"/>
              </w:rPr>
            </w:pPr>
            <w:r>
              <w:rPr>
                <w:rFonts w:cs="Arial"/>
              </w:rPr>
              <w:t xml:space="preserve">Nickeldinitrat </w:t>
            </w:r>
          </w:p>
        </w:tc>
        <w:tc>
          <w:tcPr>
            <w:tcW w:w="992" w:type="dxa"/>
            <w:vMerge/>
            <w:tcBorders>
              <w:left w:val="single" w:sz="6" w:space="0" w:color="000000"/>
              <w:bottom w:val="single" w:sz="6" w:space="0" w:color="000000"/>
              <w:right w:val="single" w:sz="6" w:space="0" w:color="000000"/>
            </w:tcBorders>
          </w:tcPr>
          <w:p>
            <w:pPr>
              <w:pStyle w:val="GesAbsatz"/>
              <w:jc w:val="left"/>
              <w:rPr>
                <w:rFonts w:cs="Arial"/>
                <w:color w:val="auto"/>
              </w:rPr>
            </w:pPr>
          </w:p>
        </w:tc>
        <w:tc>
          <w:tcPr>
            <w:tcW w:w="5387" w:type="dxa"/>
            <w:vMerge/>
            <w:tcBorders>
              <w:left w:val="single" w:sz="6" w:space="0" w:color="000000"/>
              <w:bottom w:val="single" w:sz="6" w:space="0" w:color="000000"/>
              <w:right w:val="single" w:sz="6" w:space="0" w:color="000000"/>
            </w:tcBorders>
          </w:tcPr>
          <w:p>
            <w:pPr>
              <w:pStyle w:val="GesAbsatz"/>
              <w:jc w:val="left"/>
              <w:rPr>
                <w:rFonts w:cs="Arial"/>
                <w:color w:val="auto"/>
              </w:rPr>
            </w:pPr>
          </w:p>
        </w:tc>
        <w:tc>
          <w:tcPr>
            <w:tcW w:w="2268" w:type="dxa"/>
            <w:vMerge/>
            <w:tcBorders>
              <w:left w:val="single" w:sz="6" w:space="0" w:color="000000"/>
              <w:bottom w:val="single" w:sz="6" w:space="0" w:color="000000"/>
            </w:tcBorders>
          </w:tcPr>
          <w:p>
            <w:pPr>
              <w:pStyle w:val="GesAbsatz"/>
              <w:jc w:val="left"/>
              <w:rPr>
                <w:rFonts w:cs="Arial"/>
                <w:color w:val="auto"/>
              </w:rPr>
            </w:pPr>
          </w:p>
        </w:tc>
      </w:tr>
      <w:tr>
        <w:trPr>
          <w:trHeight w:val="370"/>
        </w:trPr>
        <w:tc>
          <w:tcPr>
            <w:tcW w:w="675"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6 </w:t>
            </w:r>
          </w:p>
        </w:tc>
        <w:tc>
          <w:tcPr>
            <w:tcW w:w="1134"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287-477-0 </w:t>
            </w:r>
          </w:p>
        </w:tc>
        <w:tc>
          <w:tcPr>
            <w:tcW w:w="1276"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85535-85-9 </w:t>
            </w:r>
          </w:p>
        </w:tc>
        <w:tc>
          <w:tcPr>
            <w:tcW w:w="2977"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Alkane, C</w:t>
            </w:r>
            <w:r>
              <w:rPr>
                <w:rFonts w:cs="Arial"/>
                <w:vertAlign w:val="subscript"/>
              </w:rPr>
              <w:t>14-17</w:t>
            </w:r>
            <w:r>
              <w:rPr>
                <w:rFonts w:cs="Arial"/>
              </w:rPr>
              <w:t xml:space="preserve">, </w:t>
            </w:r>
            <w:proofErr w:type="spellStart"/>
            <w:r>
              <w:rPr>
                <w:rFonts w:cs="Arial"/>
              </w:rPr>
              <w:t>chloro</w:t>
            </w:r>
            <w:proofErr w:type="spellEnd"/>
            <w:r>
              <w:rPr>
                <w:rFonts w:cs="Arial"/>
              </w:rPr>
              <w:t xml:space="preserve"> </w:t>
            </w:r>
          </w:p>
        </w:tc>
        <w:tc>
          <w:tcPr>
            <w:tcW w:w="99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UK </w:t>
            </w:r>
          </w:p>
        </w:tc>
        <w:tc>
          <w:tcPr>
            <w:tcW w:w="5387"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Biokonzentrationsstudie an Fischen (OECD TG 305) </w:t>
            </w:r>
          </w:p>
        </w:tc>
        <w:tc>
          <w:tcPr>
            <w:tcW w:w="226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6 Monate </w:t>
            </w:r>
          </w:p>
        </w:tc>
      </w:tr>
      <w:tr>
        <w:trPr>
          <w:trHeight w:val="373"/>
        </w:trPr>
        <w:tc>
          <w:tcPr>
            <w:tcW w:w="675"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7 </w:t>
            </w:r>
          </w:p>
        </w:tc>
        <w:tc>
          <w:tcPr>
            <w:tcW w:w="1134"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202-696-3 </w:t>
            </w:r>
          </w:p>
        </w:tc>
        <w:tc>
          <w:tcPr>
            <w:tcW w:w="1276"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98-73-7 </w:t>
            </w:r>
          </w:p>
        </w:tc>
        <w:tc>
          <w:tcPr>
            <w:tcW w:w="2977"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Nitrobenzen </w:t>
            </w:r>
          </w:p>
        </w:tc>
        <w:tc>
          <w:tcPr>
            <w:tcW w:w="99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DE </w:t>
            </w:r>
          </w:p>
        </w:tc>
        <w:tc>
          <w:tcPr>
            <w:tcW w:w="5387"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Lokaler Lymphknotentest (OECD TG 429/B42) </w:t>
            </w:r>
          </w:p>
        </w:tc>
        <w:tc>
          <w:tcPr>
            <w:tcW w:w="226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6 Monate </w:t>
            </w:r>
          </w:p>
        </w:tc>
      </w:tr>
      <w:tr>
        <w:trPr>
          <w:trHeight w:val="948"/>
        </w:trPr>
        <w:tc>
          <w:tcPr>
            <w:tcW w:w="675"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8 </w:t>
            </w:r>
          </w:p>
        </w:tc>
        <w:tc>
          <w:tcPr>
            <w:tcW w:w="1134"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202-679-0 </w:t>
            </w:r>
          </w:p>
        </w:tc>
        <w:tc>
          <w:tcPr>
            <w:tcW w:w="1276"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98-54-4 </w:t>
            </w:r>
          </w:p>
        </w:tc>
        <w:tc>
          <w:tcPr>
            <w:tcW w:w="2977"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4-tert-Butylphenol </w:t>
            </w:r>
          </w:p>
        </w:tc>
        <w:tc>
          <w:tcPr>
            <w:tcW w:w="99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NO </w:t>
            </w:r>
          </w:p>
        </w:tc>
        <w:tc>
          <w:tcPr>
            <w:tcW w:w="5387"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Information über die lokalen Auswirkungen der Freisetzung des Stoffes aus zwei Verarbeitungsstätten (5 u. 6 ) in Abwasserbehandlungsanlagen und Gewässer (Süß- und Salzwasser) </w:t>
            </w:r>
          </w:p>
        </w:tc>
        <w:tc>
          <w:tcPr>
            <w:tcW w:w="226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4 Monate </w:t>
            </w:r>
          </w:p>
        </w:tc>
      </w:tr>
      <w:tr>
        <w:trPr>
          <w:trHeight w:val="544"/>
        </w:trPr>
        <w:tc>
          <w:tcPr>
            <w:tcW w:w="675" w:type="dxa"/>
            <w:tcBorders>
              <w:top w:val="single" w:sz="6" w:space="0" w:color="000000"/>
              <w:bottom w:val="single" w:sz="6" w:space="0" w:color="000000"/>
              <w:right w:val="single" w:sz="6" w:space="0" w:color="000000"/>
            </w:tcBorders>
          </w:tcPr>
          <w:p>
            <w:pPr>
              <w:pStyle w:val="GesAbsatz"/>
              <w:jc w:val="left"/>
              <w:rPr>
                <w:rFonts w:cs="Arial"/>
              </w:rPr>
            </w:pPr>
            <w:r>
              <w:rPr>
                <w:rFonts w:cs="Arial"/>
              </w:rPr>
              <w:t xml:space="preserve">9 </w:t>
            </w:r>
          </w:p>
        </w:tc>
        <w:tc>
          <w:tcPr>
            <w:tcW w:w="1134"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200-915-7 </w:t>
            </w:r>
          </w:p>
        </w:tc>
        <w:tc>
          <w:tcPr>
            <w:tcW w:w="1276"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75-91-2 </w:t>
            </w:r>
          </w:p>
        </w:tc>
        <w:tc>
          <w:tcPr>
            <w:tcW w:w="2977"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Tert-Butylhydroperoxid (TBHP) </w:t>
            </w:r>
          </w:p>
        </w:tc>
        <w:tc>
          <w:tcPr>
            <w:tcW w:w="992"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NL </w:t>
            </w:r>
          </w:p>
        </w:tc>
        <w:tc>
          <w:tcPr>
            <w:tcW w:w="5387"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Toxizität bei wiederholter Gabe (28 Tage, Inhalation) (OECD 412 – B8) Test an gasaustauschendem Gewebe (COMET) </w:t>
            </w:r>
          </w:p>
        </w:tc>
        <w:tc>
          <w:tcPr>
            <w:tcW w:w="2268" w:type="dxa"/>
            <w:tcBorders>
              <w:top w:val="single" w:sz="6" w:space="0" w:color="000000"/>
              <w:left w:val="single" w:sz="6" w:space="0" w:color="000000"/>
              <w:bottom w:val="single" w:sz="6" w:space="0" w:color="000000"/>
            </w:tcBorders>
          </w:tcPr>
          <w:p>
            <w:pPr>
              <w:pStyle w:val="GesAbsatz"/>
              <w:jc w:val="left"/>
              <w:rPr>
                <w:rFonts w:cs="Arial"/>
              </w:rPr>
            </w:pPr>
            <w:r>
              <w:rPr>
                <w:rFonts w:cs="Arial"/>
              </w:rPr>
              <w:t xml:space="preserve">12 Monate 15 Monate </w:t>
            </w:r>
          </w:p>
        </w:tc>
      </w:tr>
    </w:tbl>
    <w:p>
      <w:pPr>
        <w:pStyle w:val="GesAbsatz"/>
      </w:pPr>
    </w:p>
    <w:sectPr>
      <w:pgSz w:w="16840" w:h="11907" w:orient="landscape" w:code="9"/>
      <w:pgMar w:top="851" w:right="1134" w:bottom="1418"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28.05.2008 (ABl. L 139 v. 29.05.2008 S. 10)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84 vom 5.4.1993, S. 1. Verordnung geändert durch die Verordnung (EG) Nr. 1882/2003 des Europäischen Parlaments und des Rates (ABl. L 284 vom 31.10.2003,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80.0-14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B3E825-A43F-492D-8326-FF10042F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reg/2008/466/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7FBC-895C-4AA1-8168-BF32F428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664</Words>
  <Characters>5047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VERORDNUNG (EG) Nr. 466/2008</vt:lpstr>
    </vt:vector>
  </TitlesOfParts>
  <Manager/>
  <Company>LANUV NRW</Company>
  <LinksUpToDate>false</LinksUpToDate>
  <CharactersWithSpaces>5700</CharactersWithSpaces>
  <SharedDoc>false</SharedDoc>
  <HLinks>
    <vt:vector size="30" baseType="variant">
      <vt:variant>
        <vt:i4>1114165</vt:i4>
      </vt:variant>
      <vt:variant>
        <vt:i4>23</vt:i4>
      </vt:variant>
      <vt:variant>
        <vt:i4>0</vt:i4>
      </vt:variant>
      <vt:variant>
        <vt:i4>5</vt:i4>
      </vt:variant>
      <vt:variant>
        <vt:lpwstr/>
      </vt:variant>
      <vt:variant>
        <vt:lpwstr>_Toc200340357</vt:lpwstr>
      </vt:variant>
      <vt:variant>
        <vt:i4>1114165</vt:i4>
      </vt:variant>
      <vt:variant>
        <vt:i4>17</vt:i4>
      </vt:variant>
      <vt:variant>
        <vt:i4>0</vt:i4>
      </vt:variant>
      <vt:variant>
        <vt:i4>5</vt:i4>
      </vt:variant>
      <vt:variant>
        <vt:lpwstr/>
      </vt:variant>
      <vt:variant>
        <vt:lpwstr>_Toc200340356</vt:lpwstr>
      </vt:variant>
      <vt:variant>
        <vt:i4>1114165</vt:i4>
      </vt:variant>
      <vt:variant>
        <vt:i4>11</vt:i4>
      </vt:variant>
      <vt:variant>
        <vt:i4>0</vt:i4>
      </vt:variant>
      <vt:variant>
        <vt:i4>5</vt:i4>
      </vt:variant>
      <vt:variant>
        <vt:lpwstr/>
      </vt:variant>
      <vt:variant>
        <vt:lpwstr>_Toc200340355</vt:lpwstr>
      </vt:variant>
      <vt:variant>
        <vt:i4>1114165</vt:i4>
      </vt:variant>
      <vt:variant>
        <vt:i4>5</vt:i4>
      </vt:variant>
      <vt:variant>
        <vt:i4>0</vt:i4>
      </vt:variant>
      <vt:variant>
        <vt:i4>5</vt:i4>
      </vt:variant>
      <vt:variant>
        <vt:lpwstr/>
      </vt:variant>
      <vt:variant>
        <vt:lpwstr>_Toc200340354</vt:lpwstr>
      </vt:variant>
      <vt:variant>
        <vt:i4>6094868</vt:i4>
      </vt:variant>
      <vt:variant>
        <vt:i4>0</vt:i4>
      </vt:variant>
      <vt:variant>
        <vt:i4>0</vt:i4>
      </vt:variant>
      <vt:variant>
        <vt:i4>5</vt:i4>
      </vt:variant>
      <vt:variant>
        <vt:lpwstr>http://eur-lex.europa.eu/LexUriServ/LexUriServ.do?uri=OJ:L:2008:139:0010:0011:DE:PDF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466/2008</dc:title>
  <dc:subject/>
  <dc:creator>Np</dc:creator>
  <cp:keywords/>
  <dc:description/>
  <cp:lastModifiedBy>Rüter, Dr., Ingo</cp:lastModifiedBy>
  <cp:revision>8</cp:revision>
  <cp:lastPrinted>2004-12-14T12:08:00Z</cp:lastPrinted>
  <dcterms:created xsi:type="dcterms:W3CDTF">2014-03-26T10:17:00Z</dcterms:created>
  <dcterms:modified xsi:type="dcterms:W3CDTF">2024-04-23T11:06:00Z</dcterms:modified>
</cp:coreProperties>
</file>