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2840363"/>
      <w:r>
        <w:t xml:space="preserve">VERORDNUNG (EG) Nr. </w:t>
      </w:r>
      <w:hyperlink r:id="rId7" w:history="1">
        <w:r>
          <w:rPr>
            <w:rStyle w:val="Hyperlink"/>
          </w:rPr>
          <w:t>465/2008</w:t>
        </w:r>
      </w:hyperlink>
      <w:r>
        <w:t xml:space="preserve"> DER KOMMISSION</w:t>
      </w:r>
      <w:r>
        <w:br/>
        <w:t>vom 28. Mai 2008</w:t>
      </w:r>
      <w:r>
        <w:br/>
        <w:t>zur Prüf- und Informationspflicht der Importeure und Hersteller</w:t>
      </w:r>
      <w:r>
        <w:br/>
        <w:t>bestimmter im Europäischen Verzeichnis der auf dem Markt</w:t>
      </w:r>
      <w:r>
        <w:br/>
        <w:t>vorhandenen chemisc</w:t>
      </w:r>
      <w:bookmarkStart w:id="1" w:name="_GoBack"/>
      <w:bookmarkEnd w:id="1"/>
      <w:r>
        <w:t>hen Stoffe aufgeführter persistenter,</w:t>
      </w:r>
      <w:r>
        <w:br/>
        <w:t>bioakkumulierbarer und toxischer Stoffe gemäß der Verordnung (EWG)</w:t>
      </w:r>
      <w:r>
        <w:br/>
        <w:t>Nr. 793/93 des Rates</w:t>
      </w:r>
      <w:bookmarkEnd w:id="0"/>
    </w:p>
    <w:p>
      <w:pPr>
        <w:pStyle w:val="GesAbsatz"/>
        <w:jc w:val="center"/>
      </w:pPr>
      <w:r>
        <w:t>(Text von Bedeutung für den EWR)</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2840363" w:history="1">
        <w:r>
          <w:rPr>
            <w:rStyle w:val="Hyperlink"/>
            <w:noProof/>
          </w:rPr>
          <w:t>VERORDNUNG (EG) Nr. 465/2008 DER KOMMISSION vom 28. Mai 2008</w:t>
        </w:r>
        <w:r>
          <w:rPr>
            <w:noProof/>
            <w:webHidden/>
          </w:rPr>
          <w:tab/>
        </w:r>
        <w:r>
          <w:rPr>
            <w:noProof/>
            <w:webHidden/>
          </w:rPr>
          <w:fldChar w:fldCharType="begin"/>
        </w:r>
        <w:r>
          <w:rPr>
            <w:noProof/>
            <w:webHidden/>
          </w:rPr>
          <w:instrText xml:space="preserve"> PAGEREF _Toc392840363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40364" w:history="1">
        <w:r>
          <w:rPr>
            <w:rStyle w:val="Hyperlink"/>
            <w:noProof/>
          </w:rPr>
          <w:t>Artikel 1</w:t>
        </w:r>
        <w:r>
          <w:rPr>
            <w:noProof/>
            <w:webHidden/>
          </w:rPr>
          <w:tab/>
        </w:r>
        <w:r>
          <w:rPr>
            <w:noProof/>
            <w:webHidden/>
          </w:rPr>
          <w:fldChar w:fldCharType="begin"/>
        </w:r>
        <w:r>
          <w:rPr>
            <w:noProof/>
            <w:webHidden/>
          </w:rPr>
          <w:instrText xml:space="preserve"> PAGEREF _Toc392840364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40365" w:history="1">
        <w:r>
          <w:rPr>
            <w:rStyle w:val="Hyperlink"/>
            <w:noProof/>
          </w:rPr>
          <w:t>Artikel 2</w:t>
        </w:r>
        <w:r>
          <w:rPr>
            <w:noProof/>
            <w:webHidden/>
          </w:rPr>
          <w:tab/>
        </w:r>
        <w:r>
          <w:rPr>
            <w:noProof/>
            <w:webHidden/>
          </w:rPr>
          <w:fldChar w:fldCharType="begin"/>
        </w:r>
        <w:r>
          <w:rPr>
            <w:noProof/>
            <w:webHidden/>
          </w:rPr>
          <w:instrText xml:space="preserve"> PAGEREF _Toc392840365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392840366" w:history="1">
        <w:r>
          <w:rPr>
            <w:rStyle w:val="Hyperlink"/>
            <w:noProof/>
          </w:rPr>
          <w:t>ANHANG</w:t>
        </w:r>
        <w:r>
          <w:rPr>
            <w:noProof/>
            <w:webHidden/>
          </w:rPr>
          <w:tab/>
        </w:r>
        <w:r>
          <w:rPr>
            <w:noProof/>
            <w:webHidden/>
          </w:rPr>
          <w:fldChar w:fldCharType="begin"/>
        </w:r>
        <w:r>
          <w:rPr>
            <w:noProof/>
            <w:webHidden/>
          </w:rPr>
          <w:instrText xml:space="preserve"> PAGEREF _Toc392840366 \h </w:instrText>
        </w:r>
        <w:r>
          <w:rPr>
            <w:noProof/>
            <w:webHidden/>
          </w:rPr>
        </w:r>
        <w:r>
          <w:rPr>
            <w:noProof/>
            <w:webHidden/>
          </w:rPr>
          <w:fldChar w:fldCharType="separate"/>
        </w:r>
        <w:r>
          <w:rPr>
            <w:noProof/>
            <w:webHidden/>
          </w:rPr>
          <w:t>2</w:t>
        </w:r>
        <w:r>
          <w:rPr>
            <w:noProof/>
            <w:webHidden/>
          </w:rPr>
          <w:fldChar w:fldCharType="end"/>
        </w:r>
      </w:hyperlink>
    </w:p>
    <w:p>
      <w:pPr>
        <w:pStyle w:val="GesAbsatz"/>
        <w:jc w:val="center"/>
      </w:pPr>
      <w:r>
        <w:rPr>
          <w:b/>
          <w:sz w:val="22"/>
          <w:szCs w:val="22"/>
        </w:rPr>
        <w:fldChar w:fldCharType="end"/>
      </w:r>
    </w:p>
    <w:p>
      <w:pPr>
        <w:pStyle w:val="GesAbsatz"/>
      </w:pPr>
      <w:r>
        <w:t>DIE KOMMISSION DER EUROPÄISCHEN GEMEINSCHAFTEN -</w:t>
      </w:r>
    </w:p>
    <w:p>
      <w:pPr>
        <w:pStyle w:val="GesAbsatz"/>
      </w:pPr>
      <w:r>
        <w:t>gestützt auf den Vertrag zur Gründung der Europäischen Gemeinschaft,</w:t>
      </w:r>
    </w:p>
    <w:p>
      <w:pPr>
        <w:pStyle w:val="GesAbsatz"/>
      </w:pPr>
      <w:r>
        <w:t>gestützt auf die Verordnung (EWG) Nr. 793/93 des Rates vom 23. März 1993 zur Bewertung und Kontrolle der Umweltrisiken chemischer Altstoffe</w:t>
      </w:r>
      <w:r>
        <w:rPr>
          <w:rStyle w:val="Funotenzeichen"/>
        </w:rPr>
        <w:footnoteReference w:id="1"/>
      </w:r>
      <w:r>
        <w:t>, insbesondere auf Artikel 12 Absatz 2,</w:t>
      </w:r>
    </w:p>
    <w:p>
      <w:pPr>
        <w:pStyle w:val="GesAbsatz"/>
      </w:pPr>
      <w:r>
        <w:t>in Erwägung nachstehender Gründe:</w:t>
      </w:r>
    </w:p>
    <w:p>
      <w:pPr>
        <w:pStyle w:val="GesAbsatz"/>
      </w:pPr>
      <w:r>
        <w:t>(1) Die Hersteller und Importeure bestimmter im Europäischen Verzeichnis der auf dem Markt vorhandenen chemischen Stoffe aufgeführter bestimmter Stoffe</w:t>
      </w:r>
      <w:r>
        <w:rPr>
          <w:rStyle w:val="Funotenzeichen"/>
        </w:rPr>
        <w:footnoteReference w:id="2"/>
      </w:r>
      <w:r>
        <w:t xml:space="preserve"> können verpflichtet werden, zusätzliche in ihrem Besitz befindliche Informationen vorzulegen und/oder den Altstoff einer Prüfung zu unterziehen, wenn triftige Gründe für die Annahme vorliegen, dass der Stoff eine ernste Gefährdung für Mensch oder Umwelt darstellt. Persistente, bioakkumulierbare und toxische Stoffe können eine solche Gefährdung darstellen.</w:t>
      </w:r>
    </w:p>
    <w:p>
      <w:pPr>
        <w:pStyle w:val="GesAbsatz"/>
      </w:pPr>
      <w:r>
        <w:t>(2) Die betreffenden Hersteller und Importeure sollten deshalb dazu verpflichtet werden, der Kommission die in ihrem Besitz befindlichen Informationen über die betreffenden Stoffe zur Verfügung zu stellen.</w:t>
      </w:r>
    </w:p>
    <w:p>
      <w:pPr>
        <w:pStyle w:val="GesAbsatz"/>
      </w:pPr>
      <w:r>
        <w:t>(3) Die betreffenden Hersteller und Importeure sollten ebenfalls verpflichtet werden, die fraglichen Stoffe einer Prüfung zu unterziehen, einen Prüfbericht zu erstellen und die Berichte zusammen mit den Prüfungsergebnissen der Kommission zu übermitteln.</w:t>
      </w:r>
    </w:p>
    <w:p>
      <w:pPr>
        <w:pStyle w:val="GesAbsatz"/>
      </w:pPr>
      <w:r>
        <w:t>(4) Die in dieser Verordnung vorgesehenen Maßnahmen entsprechen der Stellungnahme des Ausschusses gemäß Artikel 15 der Verordnung (EWG) Nr. 793/93 -</w:t>
      </w:r>
    </w:p>
    <w:p>
      <w:pPr>
        <w:pStyle w:val="GesAbsatz"/>
      </w:pPr>
      <w:r>
        <w:t>HAT FOLGENDE VERORDNUNG ERLASSEN:</w:t>
      </w:r>
    </w:p>
    <w:p>
      <w:pPr>
        <w:pStyle w:val="berschrift2"/>
      </w:pPr>
      <w:bookmarkStart w:id="2" w:name="_Toc392840364"/>
      <w:r>
        <w:t>Artikel 1</w:t>
      </w:r>
      <w:bookmarkEnd w:id="2"/>
    </w:p>
    <w:p>
      <w:pPr>
        <w:pStyle w:val="GesAbsatz"/>
      </w:pPr>
      <w:r>
        <w:t>Die Hersteller und Importeure von im Europäischen Verzeichnis der auf dem Markt vorhandenen chemischen Stoffe und im Anhang dieser Verordnung aufgeführten persistenten, bioakkumulierbaren und toxischen Stoffen übermitteln der Kommission die im Anhang genannten Informationen innerhalb der dort genannten Fristen und führen bei jedem Stoff die im Anhang angegebenen Prüfungen gemäß den dort festgelegten Protokollen durch.</w:t>
      </w:r>
    </w:p>
    <w:p>
      <w:pPr>
        <w:pStyle w:val="GesAbsatz"/>
      </w:pPr>
      <w:r>
        <w:t>Sie übermitteln der Kommission außerdem innerhalb der im Anhang genannten Fristen für jede Prüfung einen Bericht zusammen mit den Prüfungsergebnissen.</w:t>
      </w:r>
    </w:p>
    <w:p>
      <w:pPr>
        <w:pStyle w:val="berschrift2"/>
      </w:pPr>
      <w:bookmarkStart w:id="3" w:name="_Toc392840365"/>
      <w:r>
        <w:t>Artikel 2</w:t>
      </w:r>
      <w:bookmarkEnd w:id="3"/>
    </w:p>
    <w:p>
      <w:pPr>
        <w:pStyle w:val="GesAbsatz"/>
      </w:pPr>
      <w:r>
        <w:t xml:space="preserve">Diese Verordnung tritt am Tag nach ihrer Veröffentlichung im </w:t>
      </w:r>
      <w:r>
        <w:rPr>
          <w:i/>
        </w:rPr>
        <w:t>Amtsblatt der Europäischen Union</w:t>
      </w:r>
      <w:r>
        <w:t xml:space="preserve"> in Kraft.</w:t>
      </w:r>
    </w:p>
    <w:p>
      <w:pPr>
        <w:pStyle w:val="berschrift2"/>
        <w:jc w:val="left"/>
      </w:pPr>
      <w:r>
        <w:br w:type="page"/>
      </w:r>
      <w:bookmarkStart w:id="4" w:name="_Toc392840366"/>
      <w:r>
        <w:lastRenderedPageBreak/>
        <w:t>ANHANG</w:t>
      </w:r>
      <w:bookmarkEnd w:id="4"/>
    </w:p>
    <w:p>
      <w:pPr>
        <w:pStyle w:val="GesAbsatz"/>
      </w:pPr>
    </w:p>
    <w:tbl>
      <w:tblPr>
        <w:tblW w:w="10023" w:type="dxa"/>
        <w:tblBorders>
          <w:top w:val="nil"/>
          <w:left w:val="nil"/>
          <w:bottom w:val="nil"/>
          <w:right w:val="nil"/>
        </w:tblBorders>
        <w:tblLayout w:type="fixed"/>
        <w:tblLook w:val="0000" w:firstRow="0" w:lastRow="0" w:firstColumn="0" w:lastColumn="0" w:noHBand="0" w:noVBand="0"/>
      </w:tblPr>
      <w:tblGrid>
        <w:gridCol w:w="534"/>
        <w:gridCol w:w="1134"/>
        <w:gridCol w:w="1275"/>
        <w:gridCol w:w="2410"/>
        <w:gridCol w:w="3394"/>
        <w:gridCol w:w="1276"/>
      </w:tblGrid>
      <w:tr>
        <w:trPr>
          <w:trHeight w:val="530"/>
        </w:trPr>
        <w:tc>
          <w:tcPr>
            <w:tcW w:w="534" w:type="dxa"/>
            <w:tcBorders>
              <w:top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Nr.</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EINECS-Nr.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CAS-Nr.</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Bezeichnung des Stoffs</w:t>
            </w:r>
          </w:p>
        </w:tc>
        <w:tc>
          <w:tcPr>
            <w:tcW w:w="339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sz w:val="18"/>
                <w:szCs w:val="18"/>
              </w:rPr>
            </w:pPr>
            <w:r>
              <w:rPr>
                <w:rFonts w:cs="Arial"/>
                <w:sz w:val="18"/>
                <w:szCs w:val="18"/>
              </w:rPr>
              <w:t>Prüf-/Informationsanforderungen</w:t>
            </w:r>
          </w:p>
        </w:tc>
        <w:tc>
          <w:tcPr>
            <w:tcW w:w="1276" w:type="dxa"/>
            <w:tcBorders>
              <w:top w:val="single" w:sz="4" w:space="0" w:color="000000"/>
              <w:left w:val="single" w:sz="4" w:space="0" w:color="000000"/>
              <w:bottom w:val="single" w:sz="4" w:space="0" w:color="000000"/>
            </w:tcBorders>
            <w:vAlign w:val="center"/>
          </w:tcPr>
          <w:p>
            <w:pPr>
              <w:pStyle w:val="GesAbsatz"/>
              <w:jc w:val="center"/>
              <w:rPr>
                <w:rFonts w:cs="Arial"/>
                <w:sz w:val="18"/>
                <w:szCs w:val="18"/>
              </w:rPr>
            </w:pPr>
            <w:r>
              <w:rPr>
                <w:rFonts w:cs="Arial"/>
                <w:sz w:val="18"/>
                <w:szCs w:val="18"/>
              </w:rPr>
              <w:t>Frist ab Inkrafttreten dieser Verordnung</w:t>
            </w:r>
          </w:p>
        </w:tc>
      </w:tr>
      <w:tr>
        <w:trPr>
          <w:trHeight w:val="268"/>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204-279-1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118-82-1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lang w:val="en-US"/>
              </w:rPr>
            </w:pPr>
            <w:r>
              <w:rPr>
                <w:rFonts w:cs="Arial"/>
                <w:sz w:val="18"/>
                <w:szCs w:val="18"/>
                <w:lang w:val="en-US"/>
              </w:rPr>
              <w:t xml:space="preserve">2,2′,6,6′-Tetra-tert-butyl-4,4′-me-thylenediphenol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(OECD 305 oder Fütterungsstudie)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870"/>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2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239-622-4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15571-58-1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2-ethylhexyl 10-ethyl-4,4-dioctyl-7-oxo-8-oxa-3,5-dithia-4-stannatetradecanoate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(OECD 305 oder Fütterungsstudie)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487"/>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3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222-583-2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3542-36-7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Dichlorodioctylstannan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(durchzuführen an Stoff Nr. 2 (CAS 15571-58-1))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13"/>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4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256-798-8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50849-47-3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5-Nonylsalicylaldehydoxim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(OECD 305 oder Fütterungsstudie)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49"/>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5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281-018-8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83846-43-9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lang w:val="en-GB"/>
              </w:rPr>
            </w:pPr>
            <w:r>
              <w:rPr>
                <w:rFonts w:cs="Arial"/>
                <w:sz w:val="18"/>
                <w:szCs w:val="18"/>
                <w:lang w:val="en-GB"/>
              </w:rPr>
              <w:t xml:space="preserve">Benzoesäure, 2-hydroxy-, mono-C&gt;13-alkylderivate, Calciumsalze (2:1)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Verbesserte leichte biologische Abbaubarkeit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729"/>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6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250-702-8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31565-23-8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Di(tert-</w:t>
            </w:r>
            <w:proofErr w:type="spellStart"/>
            <w:r>
              <w:rPr>
                <w:rFonts w:cs="Arial"/>
                <w:sz w:val="18"/>
                <w:szCs w:val="18"/>
              </w:rPr>
              <w:t>dodecyl</w:t>
            </w:r>
            <w:proofErr w:type="spellEnd"/>
            <w:r>
              <w:rPr>
                <w:rFonts w:cs="Arial"/>
                <w:sz w:val="18"/>
                <w:szCs w:val="18"/>
              </w:rPr>
              <w:t xml:space="preserve">) </w:t>
            </w:r>
            <w:proofErr w:type="spellStart"/>
            <w:r>
              <w:rPr>
                <w:rFonts w:cs="Arial"/>
                <w:sz w:val="18"/>
                <w:szCs w:val="18"/>
              </w:rPr>
              <w:t>pentasulfid</w:t>
            </w:r>
            <w:proofErr w:type="spellEnd"/>
            <w:r>
              <w:rPr>
                <w:rFonts w:cs="Arial"/>
                <w:sz w:val="18"/>
                <w:szCs w:val="18"/>
              </w:rPr>
              <w:t xml:space="preserve"> </w:t>
            </w:r>
          </w:p>
        </w:tc>
        <w:tc>
          <w:tcPr>
            <w:tcW w:w="3394"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 xml:space="preserve">Weitere Untersuchung potenzieller Aufnahme in Fischen </w:t>
            </w:r>
            <w:r>
              <w:rPr>
                <w:rFonts w:cs="Arial"/>
                <w:sz w:val="18"/>
                <w:szCs w:val="18"/>
              </w:rPr>
              <w:br/>
              <w:t xml:space="preserve">Biokonzentrationsstudie an Fischen (Fütterungsstudie)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59"/>
        </w:trPr>
        <w:tc>
          <w:tcPr>
            <w:tcW w:w="534" w:type="dxa"/>
            <w:vMerge w:val="restart"/>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7 </w:t>
            </w:r>
          </w:p>
        </w:tc>
        <w:tc>
          <w:tcPr>
            <w:tcW w:w="1134"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284-578-1 </w:t>
            </w:r>
          </w:p>
        </w:tc>
        <w:tc>
          <w:tcPr>
            <w:tcW w:w="1275"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84929-98-6 </w:t>
            </w:r>
          </w:p>
        </w:tc>
        <w:tc>
          <w:tcPr>
            <w:tcW w:w="2410"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Magnesium, bis(2-hydroxybenzoato-O1,O2)-, ar,ar′-di-C&gt;13-alkylderivate </w:t>
            </w:r>
          </w:p>
        </w:tc>
        <w:tc>
          <w:tcPr>
            <w:tcW w:w="3394" w:type="dxa"/>
            <w:tcBorders>
              <w:top w:val="single" w:sz="4" w:space="0" w:color="000000"/>
              <w:left w:val="single" w:sz="4" w:space="0" w:color="000000"/>
              <w:bottom w:val="nil"/>
              <w:right w:val="single" w:sz="4" w:space="0" w:color="000000"/>
            </w:tcBorders>
          </w:tcPr>
          <w:p>
            <w:pPr>
              <w:pStyle w:val="GesAbsatz"/>
              <w:jc w:val="left"/>
              <w:rPr>
                <w:rFonts w:cs="Arial"/>
                <w:sz w:val="18"/>
                <w:szCs w:val="18"/>
              </w:rPr>
            </w:pPr>
            <w:r>
              <w:rPr>
                <w:rFonts w:cs="Arial"/>
                <w:sz w:val="18"/>
                <w:szCs w:val="18"/>
              </w:rPr>
              <w:t xml:space="preserve">Verbesserte leichte biologische Abbaubarkeit </w:t>
            </w:r>
          </w:p>
        </w:tc>
        <w:tc>
          <w:tcPr>
            <w:tcW w:w="1276" w:type="dxa"/>
            <w:vMerge w:val="restart"/>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28"/>
        </w:trPr>
        <w:tc>
          <w:tcPr>
            <w:tcW w:w="534" w:type="dxa"/>
            <w:vMerge/>
            <w:tcBorders>
              <w:right w:val="single" w:sz="4" w:space="0" w:color="000000"/>
            </w:tcBorders>
          </w:tcPr>
          <w:p>
            <w:pPr>
              <w:pStyle w:val="GesAbsatz"/>
              <w:jc w:val="left"/>
              <w:rPr>
                <w:rFonts w:cs="Arial"/>
                <w:sz w:val="18"/>
                <w:szCs w:val="18"/>
              </w:rPr>
            </w:pPr>
          </w:p>
        </w:tc>
        <w:tc>
          <w:tcPr>
            <w:tcW w:w="1134" w:type="dxa"/>
            <w:vMerge/>
            <w:tcBorders>
              <w:left w:val="single" w:sz="4" w:space="0" w:color="000000"/>
              <w:right w:val="single" w:sz="4" w:space="0" w:color="000000"/>
            </w:tcBorders>
          </w:tcPr>
          <w:p>
            <w:pPr>
              <w:pStyle w:val="GesAbsatz"/>
              <w:jc w:val="left"/>
              <w:rPr>
                <w:rFonts w:cs="Arial"/>
                <w:sz w:val="18"/>
                <w:szCs w:val="18"/>
              </w:rPr>
            </w:pPr>
          </w:p>
        </w:tc>
        <w:tc>
          <w:tcPr>
            <w:tcW w:w="1275" w:type="dxa"/>
            <w:vMerge/>
            <w:tcBorders>
              <w:left w:val="single" w:sz="4" w:space="0" w:color="000000"/>
              <w:right w:val="single" w:sz="4" w:space="0" w:color="000000"/>
            </w:tcBorders>
          </w:tcPr>
          <w:p>
            <w:pPr>
              <w:pStyle w:val="GesAbsatz"/>
              <w:jc w:val="left"/>
              <w:rPr>
                <w:rFonts w:cs="Arial"/>
                <w:sz w:val="18"/>
                <w:szCs w:val="18"/>
              </w:rPr>
            </w:pPr>
          </w:p>
        </w:tc>
        <w:tc>
          <w:tcPr>
            <w:tcW w:w="2410" w:type="dxa"/>
            <w:vMerge/>
            <w:tcBorders>
              <w:left w:val="single" w:sz="4" w:space="0" w:color="000000"/>
              <w:right w:val="single" w:sz="4" w:space="0" w:color="000000"/>
            </w:tcBorders>
          </w:tcPr>
          <w:p>
            <w:pPr>
              <w:pStyle w:val="GesAbsatz"/>
              <w:jc w:val="left"/>
              <w:rPr>
                <w:rFonts w:cs="Arial"/>
                <w:sz w:val="18"/>
                <w:szCs w:val="18"/>
              </w:rPr>
            </w:pPr>
          </w:p>
        </w:tc>
        <w:tc>
          <w:tcPr>
            <w:tcW w:w="3394" w:type="dxa"/>
            <w:tcBorders>
              <w:top w:val="nil"/>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(durchzuführen an Stoff Nr. 5 (CAS 83846-43-9))</w:t>
            </w:r>
          </w:p>
        </w:tc>
        <w:tc>
          <w:tcPr>
            <w:tcW w:w="1276" w:type="dxa"/>
            <w:vMerge/>
            <w:tcBorders>
              <w:left w:val="single" w:sz="4" w:space="0" w:color="000000"/>
            </w:tcBorders>
          </w:tcPr>
          <w:p>
            <w:pPr>
              <w:pStyle w:val="GesAbsatz"/>
              <w:jc w:val="left"/>
              <w:rPr>
                <w:rFonts w:cs="Arial"/>
                <w:sz w:val="18"/>
                <w:szCs w:val="18"/>
              </w:rPr>
            </w:pPr>
          </w:p>
        </w:tc>
      </w:tr>
      <w:tr>
        <w:trPr>
          <w:trHeight w:val="559"/>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8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209-136-7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556-67-2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Octamethylcyclotetrasiloxan </w:t>
            </w:r>
          </w:p>
        </w:tc>
        <w:tc>
          <w:tcPr>
            <w:tcW w:w="3394"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 xml:space="preserve">Umweltüberwachungsprogramm (zusammen mit Stoff Nr. 15 (CAS 541-02-6))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541"/>
        </w:trPr>
        <w:tc>
          <w:tcPr>
            <w:tcW w:w="534" w:type="dxa"/>
            <w:vMerge w:val="restart"/>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9 </w:t>
            </w:r>
          </w:p>
        </w:tc>
        <w:tc>
          <w:tcPr>
            <w:tcW w:w="1134"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262-975-0 </w:t>
            </w:r>
          </w:p>
        </w:tc>
        <w:tc>
          <w:tcPr>
            <w:tcW w:w="1275"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61788-44-1 </w:t>
            </w:r>
          </w:p>
        </w:tc>
        <w:tc>
          <w:tcPr>
            <w:tcW w:w="2410"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Phenol, styrolisiert </w:t>
            </w:r>
          </w:p>
        </w:tc>
        <w:tc>
          <w:tcPr>
            <w:tcW w:w="3394" w:type="dxa"/>
            <w:tcBorders>
              <w:top w:val="single" w:sz="4" w:space="0" w:color="000000"/>
              <w:left w:val="single" w:sz="4" w:space="0" w:color="000000"/>
              <w:bottom w:val="nil"/>
              <w:right w:val="single" w:sz="4" w:space="0" w:color="000000"/>
            </w:tcBorders>
          </w:tcPr>
          <w:p>
            <w:pPr>
              <w:pStyle w:val="GesAbsatz"/>
              <w:jc w:val="left"/>
              <w:rPr>
                <w:rFonts w:cs="Arial"/>
                <w:sz w:val="18"/>
                <w:szCs w:val="18"/>
              </w:rPr>
            </w:pPr>
            <w:r>
              <w:rPr>
                <w:rFonts w:cs="Arial"/>
                <w:sz w:val="18"/>
                <w:szCs w:val="18"/>
              </w:rPr>
              <w:t xml:space="preserve">21-Tage Daphnia Reproduktionstest (OECD Richtlinie 211) mit </w:t>
            </w:r>
            <w:proofErr w:type="spellStart"/>
            <w:r>
              <w:rPr>
                <w:rFonts w:cs="Arial"/>
                <w:sz w:val="18"/>
                <w:szCs w:val="18"/>
              </w:rPr>
              <w:t>Tristyrenatedphenol</w:t>
            </w:r>
            <w:proofErr w:type="spellEnd"/>
            <w:r>
              <w:rPr>
                <w:rFonts w:cs="Arial"/>
                <w:sz w:val="18"/>
                <w:szCs w:val="18"/>
              </w:rPr>
              <w:t xml:space="preserve"> (CAS 18254-13-2) </w:t>
            </w:r>
          </w:p>
        </w:tc>
        <w:tc>
          <w:tcPr>
            <w:tcW w:w="1276" w:type="dxa"/>
            <w:vMerge w:val="restart"/>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54"/>
        </w:trPr>
        <w:tc>
          <w:tcPr>
            <w:tcW w:w="534" w:type="dxa"/>
            <w:vMerge/>
            <w:tcBorders>
              <w:right w:val="single" w:sz="4" w:space="0" w:color="000000"/>
            </w:tcBorders>
          </w:tcPr>
          <w:p>
            <w:pPr>
              <w:pStyle w:val="GesAbsatz"/>
              <w:jc w:val="left"/>
              <w:rPr>
                <w:rFonts w:cs="Arial"/>
                <w:sz w:val="18"/>
                <w:szCs w:val="18"/>
              </w:rPr>
            </w:pPr>
          </w:p>
        </w:tc>
        <w:tc>
          <w:tcPr>
            <w:tcW w:w="1134" w:type="dxa"/>
            <w:vMerge/>
            <w:tcBorders>
              <w:left w:val="single" w:sz="4" w:space="0" w:color="000000"/>
              <w:right w:val="single" w:sz="4" w:space="0" w:color="000000"/>
            </w:tcBorders>
          </w:tcPr>
          <w:p>
            <w:pPr>
              <w:pStyle w:val="GesAbsatz"/>
              <w:jc w:val="left"/>
              <w:rPr>
                <w:rFonts w:cs="Arial"/>
                <w:sz w:val="18"/>
                <w:szCs w:val="18"/>
              </w:rPr>
            </w:pPr>
          </w:p>
        </w:tc>
        <w:tc>
          <w:tcPr>
            <w:tcW w:w="1275" w:type="dxa"/>
            <w:vMerge/>
            <w:tcBorders>
              <w:left w:val="single" w:sz="4" w:space="0" w:color="000000"/>
              <w:right w:val="single" w:sz="4" w:space="0" w:color="000000"/>
            </w:tcBorders>
          </w:tcPr>
          <w:p>
            <w:pPr>
              <w:pStyle w:val="GesAbsatz"/>
              <w:jc w:val="left"/>
              <w:rPr>
                <w:rFonts w:cs="Arial"/>
                <w:sz w:val="18"/>
                <w:szCs w:val="18"/>
              </w:rPr>
            </w:pPr>
          </w:p>
        </w:tc>
        <w:tc>
          <w:tcPr>
            <w:tcW w:w="2410" w:type="dxa"/>
            <w:vMerge/>
            <w:tcBorders>
              <w:left w:val="single" w:sz="4" w:space="0" w:color="000000"/>
              <w:right w:val="single" w:sz="4" w:space="0" w:color="000000"/>
            </w:tcBorders>
          </w:tcPr>
          <w:p>
            <w:pPr>
              <w:pStyle w:val="GesAbsatz"/>
              <w:jc w:val="left"/>
              <w:rPr>
                <w:rFonts w:cs="Arial"/>
                <w:sz w:val="18"/>
                <w:szCs w:val="18"/>
              </w:rPr>
            </w:pPr>
          </w:p>
        </w:tc>
        <w:tc>
          <w:tcPr>
            <w:tcW w:w="3394" w:type="dxa"/>
            <w:tcBorders>
              <w:top w:val="nil"/>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Biokonzentrationsstudie an Fischen (Fütterungsstudie)</w:t>
            </w:r>
          </w:p>
        </w:tc>
        <w:tc>
          <w:tcPr>
            <w:tcW w:w="1276" w:type="dxa"/>
            <w:vMerge/>
            <w:tcBorders>
              <w:left w:val="single" w:sz="4" w:space="0" w:color="000000"/>
            </w:tcBorders>
          </w:tcPr>
          <w:p>
            <w:pPr>
              <w:pStyle w:val="GesAbsatz"/>
              <w:jc w:val="left"/>
              <w:rPr>
                <w:rFonts w:cs="Arial"/>
                <w:sz w:val="18"/>
                <w:szCs w:val="18"/>
              </w:rPr>
            </w:pPr>
          </w:p>
        </w:tc>
      </w:tr>
      <w:tr>
        <w:trPr>
          <w:trHeight w:val="829"/>
        </w:trPr>
        <w:tc>
          <w:tcPr>
            <w:tcW w:w="534" w:type="dxa"/>
            <w:vMerge w:val="restart"/>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10 </w:t>
            </w:r>
          </w:p>
        </w:tc>
        <w:tc>
          <w:tcPr>
            <w:tcW w:w="1134"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262-967-7 </w:t>
            </w:r>
          </w:p>
        </w:tc>
        <w:tc>
          <w:tcPr>
            <w:tcW w:w="1275"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61788-32-7 </w:t>
            </w:r>
          </w:p>
        </w:tc>
        <w:tc>
          <w:tcPr>
            <w:tcW w:w="2410"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Terphenyl, hydriert </w:t>
            </w:r>
          </w:p>
        </w:tc>
        <w:tc>
          <w:tcPr>
            <w:tcW w:w="3394" w:type="dxa"/>
            <w:tcBorders>
              <w:top w:val="single" w:sz="4" w:space="0" w:color="000000"/>
              <w:left w:val="single" w:sz="4" w:space="0" w:color="000000"/>
              <w:bottom w:val="nil"/>
              <w:right w:val="single" w:sz="4" w:space="0" w:color="000000"/>
            </w:tcBorders>
          </w:tcPr>
          <w:p>
            <w:pPr>
              <w:pStyle w:val="GesAbsatz"/>
              <w:jc w:val="left"/>
              <w:rPr>
                <w:rFonts w:cs="Arial"/>
                <w:sz w:val="18"/>
                <w:szCs w:val="18"/>
              </w:rPr>
            </w:pPr>
            <w:r>
              <w:rPr>
                <w:rFonts w:cs="Arial"/>
                <w:sz w:val="18"/>
                <w:szCs w:val="18"/>
              </w:rPr>
              <w:t xml:space="preserve">Abbau im Boden (OECD 307) bei ausgewählten hydrierten Terphenylen Biokonzentrationsstudie an Fischen für Quaterphenyle </w:t>
            </w:r>
          </w:p>
        </w:tc>
        <w:tc>
          <w:tcPr>
            <w:tcW w:w="1276" w:type="dxa"/>
            <w:vMerge w:val="restart"/>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597"/>
        </w:trPr>
        <w:tc>
          <w:tcPr>
            <w:tcW w:w="534" w:type="dxa"/>
            <w:vMerge/>
            <w:tcBorders>
              <w:right w:val="single" w:sz="4" w:space="0" w:color="000000"/>
            </w:tcBorders>
          </w:tcPr>
          <w:p>
            <w:pPr>
              <w:pStyle w:val="GesAbsatz"/>
              <w:jc w:val="left"/>
              <w:rPr>
                <w:rFonts w:cs="Arial"/>
                <w:sz w:val="18"/>
                <w:szCs w:val="18"/>
              </w:rPr>
            </w:pPr>
          </w:p>
        </w:tc>
        <w:tc>
          <w:tcPr>
            <w:tcW w:w="1134" w:type="dxa"/>
            <w:vMerge/>
            <w:tcBorders>
              <w:left w:val="single" w:sz="4" w:space="0" w:color="000000"/>
              <w:right w:val="single" w:sz="4" w:space="0" w:color="000000"/>
            </w:tcBorders>
          </w:tcPr>
          <w:p>
            <w:pPr>
              <w:pStyle w:val="GesAbsatz"/>
              <w:jc w:val="left"/>
              <w:rPr>
                <w:rFonts w:cs="Arial"/>
                <w:sz w:val="18"/>
                <w:szCs w:val="18"/>
              </w:rPr>
            </w:pPr>
          </w:p>
        </w:tc>
        <w:tc>
          <w:tcPr>
            <w:tcW w:w="1275" w:type="dxa"/>
            <w:vMerge/>
            <w:tcBorders>
              <w:left w:val="single" w:sz="4" w:space="0" w:color="000000"/>
              <w:right w:val="single" w:sz="4" w:space="0" w:color="000000"/>
            </w:tcBorders>
          </w:tcPr>
          <w:p>
            <w:pPr>
              <w:pStyle w:val="GesAbsatz"/>
              <w:jc w:val="left"/>
              <w:rPr>
                <w:rFonts w:cs="Arial"/>
                <w:sz w:val="18"/>
                <w:szCs w:val="18"/>
              </w:rPr>
            </w:pPr>
          </w:p>
        </w:tc>
        <w:tc>
          <w:tcPr>
            <w:tcW w:w="2410" w:type="dxa"/>
            <w:vMerge/>
            <w:tcBorders>
              <w:left w:val="single" w:sz="4" w:space="0" w:color="000000"/>
              <w:right w:val="single" w:sz="4" w:space="0" w:color="000000"/>
            </w:tcBorders>
          </w:tcPr>
          <w:p>
            <w:pPr>
              <w:pStyle w:val="GesAbsatz"/>
              <w:jc w:val="left"/>
              <w:rPr>
                <w:rFonts w:cs="Arial"/>
                <w:sz w:val="18"/>
                <w:szCs w:val="18"/>
              </w:rPr>
            </w:pPr>
          </w:p>
        </w:tc>
        <w:tc>
          <w:tcPr>
            <w:tcW w:w="3394" w:type="dxa"/>
            <w:tcBorders>
              <w:top w:val="nil"/>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Je nach Ergebnis - Untersuchung des T-Kriteriums (gilt analog für Terphenyle (CAS 26140-60-3))</w:t>
            </w:r>
          </w:p>
        </w:tc>
        <w:tc>
          <w:tcPr>
            <w:tcW w:w="1276" w:type="dxa"/>
            <w:vMerge/>
            <w:tcBorders>
              <w:left w:val="single" w:sz="4" w:space="0" w:color="000000"/>
            </w:tcBorders>
          </w:tcPr>
          <w:p>
            <w:pPr>
              <w:pStyle w:val="GesAbsatz"/>
              <w:jc w:val="left"/>
              <w:rPr>
                <w:rFonts w:cs="Arial"/>
                <w:sz w:val="18"/>
                <w:szCs w:val="18"/>
              </w:rPr>
            </w:pPr>
          </w:p>
        </w:tc>
      </w:tr>
      <w:tr>
        <w:trPr>
          <w:trHeight w:val="555"/>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11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222-733-7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3590-84-9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Tetraoctyltin </w:t>
            </w:r>
          </w:p>
        </w:tc>
        <w:tc>
          <w:tcPr>
            <w:tcW w:w="3394"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(durchzuführen an Stoff Nr. 2 (CAS 15571-58-1))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95"/>
        </w:trPr>
        <w:tc>
          <w:tcPr>
            <w:tcW w:w="534" w:type="dxa"/>
            <w:vMerge w:val="restart"/>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12 </w:t>
            </w:r>
          </w:p>
        </w:tc>
        <w:tc>
          <w:tcPr>
            <w:tcW w:w="1134"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246-619-1 </w:t>
            </w:r>
          </w:p>
        </w:tc>
        <w:tc>
          <w:tcPr>
            <w:tcW w:w="1275"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25103-58-6 </w:t>
            </w:r>
          </w:p>
        </w:tc>
        <w:tc>
          <w:tcPr>
            <w:tcW w:w="2410"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tert.-Dodecanethiol </w:t>
            </w:r>
          </w:p>
        </w:tc>
        <w:tc>
          <w:tcPr>
            <w:tcW w:w="3394" w:type="dxa"/>
            <w:tcBorders>
              <w:top w:val="single" w:sz="4" w:space="0" w:color="000000"/>
              <w:left w:val="single" w:sz="4" w:space="0" w:color="000000"/>
              <w:bottom w:val="nil"/>
              <w:right w:val="single" w:sz="4" w:space="0" w:color="000000"/>
            </w:tcBorders>
          </w:tcPr>
          <w:p>
            <w:pPr>
              <w:pStyle w:val="GesAbsatz"/>
              <w:jc w:val="left"/>
              <w:rPr>
                <w:rFonts w:cs="Arial"/>
                <w:sz w:val="18"/>
                <w:szCs w:val="18"/>
              </w:rPr>
            </w:pPr>
            <w:r>
              <w:rPr>
                <w:rFonts w:cs="Arial"/>
                <w:sz w:val="18"/>
                <w:szCs w:val="18"/>
              </w:rPr>
              <w:t xml:space="preserve">Untersuchung der verbesserten biologischen Abbaubarkeit </w:t>
            </w:r>
          </w:p>
        </w:tc>
        <w:tc>
          <w:tcPr>
            <w:tcW w:w="1276" w:type="dxa"/>
            <w:vMerge w:val="restart"/>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144"/>
        </w:trPr>
        <w:tc>
          <w:tcPr>
            <w:tcW w:w="534" w:type="dxa"/>
            <w:vMerge/>
            <w:tcBorders>
              <w:right w:val="single" w:sz="4" w:space="0" w:color="000000"/>
            </w:tcBorders>
          </w:tcPr>
          <w:p>
            <w:pPr>
              <w:pStyle w:val="GesAbsatz"/>
              <w:jc w:val="left"/>
              <w:rPr>
                <w:rFonts w:cs="Arial"/>
                <w:sz w:val="18"/>
                <w:szCs w:val="18"/>
              </w:rPr>
            </w:pPr>
          </w:p>
        </w:tc>
        <w:tc>
          <w:tcPr>
            <w:tcW w:w="1134" w:type="dxa"/>
            <w:vMerge/>
            <w:tcBorders>
              <w:left w:val="single" w:sz="4" w:space="0" w:color="000000"/>
              <w:right w:val="single" w:sz="4" w:space="0" w:color="000000"/>
            </w:tcBorders>
          </w:tcPr>
          <w:p>
            <w:pPr>
              <w:pStyle w:val="GesAbsatz"/>
              <w:jc w:val="left"/>
              <w:rPr>
                <w:rFonts w:cs="Arial"/>
                <w:sz w:val="18"/>
                <w:szCs w:val="18"/>
              </w:rPr>
            </w:pPr>
          </w:p>
        </w:tc>
        <w:tc>
          <w:tcPr>
            <w:tcW w:w="1275" w:type="dxa"/>
            <w:vMerge/>
            <w:tcBorders>
              <w:left w:val="single" w:sz="4" w:space="0" w:color="000000"/>
              <w:right w:val="single" w:sz="4" w:space="0" w:color="000000"/>
            </w:tcBorders>
          </w:tcPr>
          <w:p>
            <w:pPr>
              <w:pStyle w:val="GesAbsatz"/>
              <w:jc w:val="left"/>
              <w:rPr>
                <w:rFonts w:cs="Arial"/>
                <w:sz w:val="18"/>
                <w:szCs w:val="18"/>
              </w:rPr>
            </w:pPr>
          </w:p>
        </w:tc>
        <w:tc>
          <w:tcPr>
            <w:tcW w:w="2410" w:type="dxa"/>
            <w:vMerge/>
            <w:tcBorders>
              <w:left w:val="single" w:sz="4" w:space="0" w:color="000000"/>
              <w:right w:val="single" w:sz="4" w:space="0" w:color="000000"/>
            </w:tcBorders>
          </w:tcPr>
          <w:p>
            <w:pPr>
              <w:pStyle w:val="GesAbsatz"/>
              <w:jc w:val="left"/>
              <w:rPr>
                <w:rFonts w:cs="Arial"/>
                <w:sz w:val="18"/>
                <w:szCs w:val="18"/>
              </w:rPr>
            </w:pPr>
          </w:p>
        </w:tc>
        <w:tc>
          <w:tcPr>
            <w:tcW w:w="3394" w:type="dxa"/>
            <w:tcBorders>
              <w:top w:val="nil"/>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Biokonzentrationsstudie an Fischen</w:t>
            </w:r>
          </w:p>
        </w:tc>
        <w:tc>
          <w:tcPr>
            <w:tcW w:w="1276" w:type="dxa"/>
            <w:vMerge/>
            <w:tcBorders>
              <w:left w:val="single" w:sz="4" w:space="0" w:color="000000"/>
            </w:tcBorders>
          </w:tcPr>
          <w:p>
            <w:pPr>
              <w:pStyle w:val="GesAbsatz"/>
              <w:jc w:val="left"/>
              <w:rPr>
                <w:rFonts w:cs="Arial"/>
                <w:sz w:val="18"/>
                <w:szCs w:val="18"/>
              </w:rPr>
            </w:pPr>
          </w:p>
        </w:tc>
      </w:tr>
      <w:tr>
        <w:trPr>
          <w:trHeight w:val="805"/>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13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248-227-6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27107-89-7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2-Ethylhexyl 10-ethyl2-dioctyl-7-oxo-8-oxa-3,5-dithia-4-stannatetra-decanoat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(durchzuführen an Stoff Nr. 2 (CAS 15571-58-1))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279"/>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lastRenderedPageBreak/>
              <w:t xml:space="preserve">14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250-709-6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31570-04-4 </w:t>
            </w:r>
          </w:p>
        </w:tc>
        <w:tc>
          <w:tcPr>
            <w:tcW w:w="24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 w:val="18"/>
                <w:szCs w:val="18"/>
                <w:lang w:val="en-GB"/>
              </w:rPr>
            </w:pPr>
            <w:proofErr w:type="spellStart"/>
            <w:r>
              <w:rPr>
                <w:rFonts w:cs="Arial"/>
                <w:sz w:val="18"/>
                <w:szCs w:val="18"/>
                <w:lang w:val="en-GB"/>
              </w:rPr>
              <w:t>Tris</w:t>
            </w:r>
            <w:proofErr w:type="spellEnd"/>
            <w:r>
              <w:rPr>
                <w:rFonts w:cs="Arial"/>
                <w:sz w:val="18"/>
                <w:szCs w:val="18"/>
                <w:lang w:val="en-GB"/>
              </w:rPr>
              <w:t>(2,4-di-tert-butylphenyl)</w:t>
            </w:r>
            <w:proofErr w:type="spellStart"/>
            <w:r>
              <w:rPr>
                <w:rFonts w:cs="Arial"/>
                <w:sz w:val="18"/>
                <w:szCs w:val="18"/>
                <w:lang w:val="en-GB"/>
              </w:rPr>
              <w:t>phosphit</w:t>
            </w:r>
            <w:proofErr w:type="spellEnd"/>
            <w:r>
              <w:rPr>
                <w:rFonts w:cs="Arial"/>
                <w:sz w:val="18"/>
                <w:szCs w:val="18"/>
                <w:lang w:val="en-GB"/>
              </w:rPr>
              <w:t xml:space="preserve"> </w:t>
            </w:r>
          </w:p>
        </w:tc>
        <w:tc>
          <w:tcPr>
            <w:tcW w:w="3394" w:type="dxa"/>
            <w:tcBorders>
              <w:top w:val="single" w:sz="4" w:space="0" w:color="000000"/>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 xml:space="preserve">Biokonzentrationsstudie an Fischen (Fütterungsstudie)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45"/>
        </w:trPr>
        <w:tc>
          <w:tcPr>
            <w:tcW w:w="534" w:type="dxa"/>
            <w:vMerge w:val="restart"/>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15 </w:t>
            </w:r>
          </w:p>
        </w:tc>
        <w:tc>
          <w:tcPr>
            <w:tcW w:w="1134"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208-764-9 </w:t>
            </w:r>
          </w:p>
        </w:tc>
        <w:tc>
          <w:tcPr>
            <w:tcW w:w="1275" w:type="dxa"/>
            <w:vMerge w:val="restart"/>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541-02-6 </w:t>
            </w:r>
          </w:p>
        </w:tc>
        <w:tc>
          <w:tcPr>
            <w:tcW w:w="2410" w:type="dxa"/>
            <w:tcBorders>
              <w:top w:val="single" w:sz="4" w:space="0" w:color="000000"/>
              <w:left w:val="single" w:sz="4" w:space="0" w:color="000000"/>
              <w:bottom w:val="nil"/>
              <w:right w:val="single" w:sz="4" w:space="0" w:color="000000"/>
            </w:tcBorders>
          </w:tcPr>
          <w:p>
            <w:pPr>
              <w:pStyle w:val="GesAbsatz"/>
              <w:jc w:val="left"/>
              <w:rPr>
                <w:rFonts w:cs="Arial"/>
                <w:sz w:val="18"/>
                <w:szCs w:val="18"/>
              </w:rPr>
            </w:pPr>
            <w:proofErr w:type="spellStart"/>
            <w:r>
              <w:rPr>
                <w:rFonts w:cs="Arial"/>
                <w:sz w:val="18"/>
                <w:szCs w:val="18"/>
              </w:rPr>
              <w:t>Decamethylcyclopentasiloxan</w:t>
            </w:r>
            <w:proofErr w:type="spellEnd"/>
            <w:r>
              <w:rPr>
                <w:rFonts w:cs="Arial"/>
                <w:sz w:val="18"/>
                <w:szCs w:val="18"/>
              </w:rPr>
              <w:t xml:space="preserve"> </w:t>
            </w:r>
          </w:p>
        </w:tc>
        <w:tc>
          <w:tcPr>
            <w:tcW w:w="3394" w:type="dxa"/>
            <w:tcBorders>
              <w:top w:val="single" w:sz="4" w:space="0" w:color="000000"/>
              <w:left w:val="single" w:sz="4" w:space="0" w:color="000000"/>
              <w:bottom w:val="nil"/>
              <w:right w:val="single" w:sz="4" w:space="0" w:color="000000"/>
            </w:tcBorders>
          </w:tcPr>
          <w:p>
            <w:pPr>
              <w:pStyle w:val="GesAbsatz"/>
              <w:jc w:val="left"/>
              <w:rPr>
                <w:rFonts w:cs="Arial"/>
                <w:sz w:val="18"/>
                <w:szCs w:val="18"/>
              </w:rPr>
            </w:pPr>
            <w:r>
              <w:rPr>
                <w:rFonts w:cs="Arial"/>
                <w:sz w:val="18"/>
                <w:szCs w:val="18"/>
              </w:rPr>
              <w:t xml:space="preserve">Umweltüberwachungsprogramm </w:t>
            </w:r>
          </w:p>
        </w:tc>
        <w:tc>
          <w:tcPr>
            <w:tcW w:w="1276" w:type="dxa"/>
            <w:vMerge w:val="restart"/>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r>
        <w:trPr>
          <w:trHeight w:val="345"/>
        </w:trPr>
        <w:tc>
          <w:tcPr>
            <w:tcW w:w="534" w:type="dxa"/>
            <w:vMerge/>
            <w:tcBorders>
              <w:right w:val="single" w:sz="4" w:space="0" w:color="000000"/>
            </w:tcBorders>
          </w:tcPr>
          <w:p>
            <w:pPr>
              <w:pStyle w:val="GesAbsatz"/>
              <w:jc w:val="left"/>
              <w:rPr>
                <w:rFonts w:cs="Arial"/>
                <w:sz w:val="18"/>
                <w:szCs w:val="18"/>
              </w:rPr>
            </w:pPr>
          </w:p>
        </w:tc>
        <w:tc>
          <w:tcPr>
            <w:tcW w:w="1134" w:type="dxa"/>
            <w:vMerge/>
            <w:tcBorders>
              <w:left w:val="single" w:sz="4" w:space="0" w:color="000000"/>
              <w:right w:val="single" w:sz="4" w:space="0" w:color="000000"/>
            </w:tcBorders>
          </w:tcPr>
          <w:p>
            <w:pPr>
              <w:pStyle w:val="GesAbsatz"/>
              <w:jc w:val="left"/>
              <w:rPr>
                <w:rFonts w:cs="Arial"/>
                <w:sz w:val="18"/>
                <w:szCs w:val="18"/>
              </w:rPr>
            </w:pPr>
          </w:p>
        </w:tc>
        <w:tc>
          <w:tcPr>
            <w:tcW w:w="1275" w:type="dxa"/>
            <w:vMerge/>
            <w:tcBorders>
              <w:left w:val="single" w:sz="4" w:space="0" w:color="000000"/>
              <w:right w:val="single" w:sz="4" w:space="0" w:color="000000"/>
            </w:tcBorders>
          </w:tcPr>
          <w:p>
            <w:pPr>
              <w:pStyle w:val="GesAbsatz"/>
              <w:jc w:val="left"/>
              <w:rPr>
                <w:rFonts w:cs="Arial"/>
                <w:sz w:val="18"/>
                <w:szCs w:val="18"/>
              </w:rPr>
            </w:pPr>
          </w:p>
        </w:tc>
        <w:tc>
          <w:tcPr>
            <w:tcW w:w="2410" w:type="dxa"/>
            <w:tcBorders>
              <w:top w:val="nil"/>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Screening: PBT &amp;vPvB</w:t>
            </w:r>
          </w:p>
        </w:tc>
        <w:tc>
          <w:tcPr>
            <w:tcW w:w="3394" w:type="dxa"/>
            <w:tcBorders>
              <w:top w:val="nil"/>
              <w:left w:val="single" w:sz="4" w:space="0" w:color="000000"/>
              <w:bottom w:val="single" w:sz="4" w:space="0" w:color="000000"/>
              <w:right w:val="single" w:sz="4" w:space="0" w:color="000000"/>
            </w:tcBorders>
          </w:tcPr>
          <w:p>
            <w:pPr>
              <w:pStyle w:val="GesAbsatz"/>
              <w:jc w:val="left"/>
              <w:rPr>
                <w:rFonts w:cs="Arial"/>
                <w:sz w:val="18"/>
                <w:szCs w:val="18"/>
              </w:rPr>
            </w:pPr>
            <w:r>
              <w:rPr>
                <w:rFonts w:cs="Arial"/>
                <w:sz w:val="18"/>
                <w:szCs w:val="18"/>
              </w:rPr>
              <w:t>(zusammen mit Stoff Nr. 8 (CAS 556-67-02))</w:t>
            </w:r>
          </w:p>
        </w:tc>
        <w:tc>
          <w:tcPr>
            <w:tcW w:w="1276" w:type="dxa"/>
            <w:vMerge/>
            <w:tcBorders>
              <w:left w:val="single" w:sz="4" w:space="0" w:color="000000"/>
            </w:tcBorders>
          </w:tcPr>
          <w:p>
            <w:pPr>
              <w:pStyle w:val="GesAbsatz"/>
              <w:jc w:val="left"/>
              <w:rPr>
                <w:rFonts w:cs="Arial"/>
                <w:sz w:val="18"/>
                <w:szCs w:val="18"/>
              </w:rPr>
            </w:pPr>
          </w:p>
        </w:tc>
      </w:tr>
      <w:tr>
        <w:trPr>
          <w:trHeight w:val="537"/>
        </w:trPr>
        <w:tc>
          <w:tcPr>
            <w:tcW w:w="534" w:type="dxa"/>
            <w:tcBorders>
              <w:top w:val="single" w:sz="4" w:space="0" w:color="000000"/>
              <w:right w:val="single" w:sz="4" w:space="0" w:color="000000"/>
            </w:tcBorders>
          </w:tcPr>
          <w:p>
            <w:pPr>
              <w:pStyle w:val="GesAbsatz"/>
              <w:jc w:val="left"/>
              <w:rPr>
                <w:rFonts w:cs="Arial"/>
                <w:sz w:val="18"/>
                <w:szCs w:val="18"/>
              </w:rPr>
            </w:pPr>
            <w:r>
              <w:rPr>
                <w:rFonts w:cs="Arial"/>
                <w:sz w:val="18"/>
                <w:szCs w:val="18"/>
              </w:rPr>
              <w:t xml:space="preserve">16 </w:t>
            </w:r>
          </w:p>
        </w:tc>
        <w:tc>
          <w:tcPr>
            <w:tcW w:w="113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254-052-6 </w:t>
            </w:r>
          </w:p>
        </w:tc>
        <w:tc>
          <w:tcPr>
            <w:tcW w:w="1275"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38640-62-9 </w:t>
            </w:r>
          </w:p>
        </w:tc>
        <w:tc>
          <w:tcPr>
            <w:tcW w:w="2410"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DIPN </w:t>
            </w:r>
          </w:p>
        </w:tc>
        <w:tc>
          <w:tcPr>
            <w:tcW w:w="3394" w:type="dxa"/>
            <w:tcBorders>
              <w:top w:val="single" w:sz="4" w:space="0" w:color="000000"/>
              <w:left w:val="single" w:sz="4" w:space="0" w:color="000000"/>
              <w:right w:val="single" w:sz="4" w:space="0" w:color="000000"/>
            </w:tcBorders>
          </w:tcPr>
          <w:p>
            <w:pPr>
              <w:pStyle w:val="GesAbsatz"/>
              <w:jc w:val="left"/>
              <w:rPr>
                <w:rFonts w:cs="Arial"/>
                <w:sz w:val="18"/>
                <w:szCs w:val="18"/>
              </w:rPr>
            </w:pPr>
            <w:r>
              <w:rPr>
                <w:rFonts w:cs="Arial"/>
                <w:sz w:val="18"/>
                <w:szCs w:val="18"/>
              </w:rPr>
              <w:t xml:space="preserve">Untersuchung der leichten biologischen Abbaubarkeit an auf dem Markt vorhandenem Material (OECD 301 B) </w:t>
            </w:r>
          </w:p>
        </w:tc>
        <w:tc>
          <w:tcPr>
            <w:tcW w:w="1276" w:type="dxa"/>
            <w:tcBorders>
              <w:top w:val="single" w:sz="4" w:space="0" w:color="000000"/>
              <w:left w:val="single" w:sz="4" w:space="0" w:color="000000"/>
            </w:tcBorders>
          </w:tcPr>
          <w:p>
            <w:pPr>
              <w:pStyle w:val="GesAbsatz"/>
              <w:jc w:val="left"/>
              <w:rPr>
                <w:rFonts w:cs="Arial"/>
                <w:sz w:val="18"/>
                <w:szCs w:val="18"/>
              </w:rPr>
            </w:pPr>
            <w:r>
              <w:rPr>
                <w:rFonts w:cs="Arial"/>
                <w:sz w:val="18"/>
                <w:szCs w:val="18"/>
              </w:rPr>
              <w:t xml:space="preserve">18 Monate </w:t>
            </w: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28.05.2008 (ABl. L 139 v. 29.05.2008 S. 8)</w:t>
    </w:r>
    <w:r>
      <w:tab/>
      <w:t xml:space="preserve">Seite </w:t>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84 vom 5.4.1993, S. 1. Verordnung geändert durch die Verordnung (EG) Nr. 1882/2003 des Europäischen Parlaments und des Rates (ABl. L 284 vom 31.10.2003, S. 1).</w:t>
      </w:r>
    </w:p>
  </w:footnote>
  <w:footnote w:id="2">
    <w:p>
      <w:pPr>
        <w:pStyle w:val="Funotentext"/>
      </w:pPr>
      <w:r>
        <w:rPr>
          <w:rStyle w:val="Funotenzeichen"/>
        </w:rPr>
        <w:footnoteRef/>
      </w:r>
      <w:r>
        <w:t xml:space="preserve"> ABl. C 146 A vom 15.6.1990,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80.0-13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FFB069-2383-4BC6-AEC3-A7B8898C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08/465/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341E-1E00-4EFD-BC81-1C969E80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640</Words>
  <Characters>5221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VERORDNUNG (EG) Nr. 465/2008</vt:lpstr>
    </vt:vector>
  </TitlesOfParts>
  <Company>LANUV NRW</Company>
  <LinksUpToDate>false</LinksUpToDate>
  <CharactersWithSpaces>5850</CharactersWithSpaces>
  <SharedDoc>false</SharedDoc>
  <HLinks>
    <vt:vector size="30" baseType="variant">
      <vt:variant>
        <vt:i4>1638457</vt:i4>
      </vt:variant>
      <vt:variant>
        <vt:i4>23</vt:i4>
      </vt:variant>
      <vt:variant>
        <vt:i4>0</vt:i4>
      </vt:variant>
      <vt:variant>
        <vt:i4>5</vt:i4>
      </vt:variant>
      <vt:variant>
        <vt:lpwstr/>
      </vt:variant>
      <vt:variant>
        <vt:lpwstr>_Toc200338850</vt:lpwstr>
      </vt:variant>
      <vt:variant>
        <vt:i4>1572921</vt:i4>
      </vt:variant>
      <vt:variant>
        <vt:i4>17</vt:i4>
      </vt:variant>
      <vt:variant>
        <vt:i4>0</vt:i4>
      </vt:variant>
      <vt:variant>
        <vt:i4>5</vt:i4>
      </vt:variant>
      <vt:variant>
        <vt:lpwstr/>
      </vt:variant>
      <vt:variant>
        <vt:lpwstr>_Toc200338849</vt:lpwstr>
      </vt:variant>
      <vt:variant>
        <vt:i4>1572921</vt:i4>
      </vt:variant>
      <vt:variant>
        <vt:i4>11</vt:i4>
      </vt:variant>
      <vt:variant>
        <vt:i4>0</vt:i4>
      </vt:variant>
      <vt:variant>
        <vt:i4>5</vt:i4>
      </vt:variant>
      <vt:variant>
        <vt:lpwstr/>
      </vt:variant>
      <vt:variant>
        <vt:lpwstr>_Toc200338848</vt:lpwstr>
      </vt:variant>
      <vt:variant>
        <vt:i4>1572921</vt:i4>
      </vt:variant>
      <vt:variant>
        <vt:i4>5</vt:i4>
      </vt:variant>
      <vt:variant>
        <vt:i4>0</vt:i4>
      </vt:variant>
      <vt:variant>
        <vt:i4>5</vt:i4>
      </vt:variant>
      <vt:variant>
        <vt:lpwstr/>
      </vt:variant>
      <vt:variant>
        <vt:lpwstr>_Toc200338847</vt:lpwstr>
      </vt:variant>
      <vt:variant>
        <vt:i4>5505053</vt:i4>
      </vt:variant>
      <vt:variant>
        <vt:i4>0</vt:i4>
      </vt:variant>
      <vt:variant>
        <vt:i4>0</vt:i4>
      </vt:variant>
      <vt:variant>
        <vt:i4>5</vt:i4>
      </vt:variant>
      <vt:variant>
        <vt:lpwstr>http://eur-lex.europa.eu/LexUriServ/LexUriServ.do?uri=OJ:L:2008:139:0008:0009:DE:PDF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465/2008</dc:title>
  <dc:creator>Np</dc:creator>
  <cp:lastModifiedBy>Rüter, Dr., Ingo</cp:lastModifiedBy>
  <cp:revision>7</cp:revision>
  <cp:lastPrinted>2004-12-14T11:08:00Z</cp:lastPrinted>
  <dcterms:created xsi:type="dcterms:W3CDTF">2014-07-11T09:12:00Z</dcterms:created>
  <dcterms:modified xsi:type="dcterms:W3CDTF">2024-04-23T11:07:00Z</dcterms:modified>
</cp:coreProperties>
</file>