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 xml:space="preserve">Bekanntmachung der Richtlinie für die Entwicklung naturnaher </w:t>
      </w:r>
      <w:r>
        <w:br/>
      </w:r>
      <w:bookmarkStart w:id="0" w:name="_GoBack"/>
      <w:bookmarkEnd w:id="0"/>
      <w:r>
        <w:t xml:space="preserve">Fließgewässer in Nordrhein-Westfalen - </w:t>
      </w:r>
      <w:r>
        <w:br/>
        <w:t>Ausbau und Unterhaltung</w:t>
      </w:r>
    </w:p>
    <w:p>
      <w:pPr>
        <w:pStyle w:val="GesAbsatz"/>
        <w:jc w:val="center"/>
      </w:pPr>
      <w:r>
        <w:t>RdErl. d. Ministeriums für Umwelt und Naturschutz, Landwirtschaft und Verbraucherschutz - IV-5 vom 18.03.2010</w:t>
      </w:r>
    </w:p>
    <w:p>
      <w:pPr>
        <w:pStyle w:val="GesAbsatz"/>
      </w:pPr>
      <w:hyperlink r:id="rId6" w:anchor="det0" w:history="1">
        <w:r>
          <w:rPr>
            <w:rStyle w:val="Hyperlink"/>
          </w:rPr>
          <w:t>Link zur Vorschrift im SMBl. NRW. 772:</w:t>
        </w:r>
      </w:hyperlink>
    </w:p>
    <w:p>
      <w:pPr>
        <w:pStyle w:val="GesAbsatz"/>
      </w:pPr>
    </w:p>
    <w:p>
      <w:pPr>
        <w:pStyle w:val="GesAbsatz"/>
      </w:pPr>
      <w:r>
        <w:t xml:space="preserve">Die gemäß Runderlass des Ministeriums für Umwelt, Raumordnung und Landwirtschaft IV B 8 - 2512 - 2298 (SMBl. NRW. 772) veröffentlichte Richtlinie für Unterhaltung und naturnahen Ausbau der Fließgewässer in Nordrhein-Westfalen (MBl. NRW. Nr. 39 vom 18.6.1999) wurde überarbeitet und aktualisiert. Die aktualisierte Fassung - Richtlinie für die Entwicklung naturnaher Fließgewässer in Nordrhein-Westfalen - Ausbau und Unterhaltung - kann auf der Internetseite des Landesamtes für Natur, Umwelt und Verbraucherschutz Nordrhein-Westfalen - www.lanuv.nrw.de - heruntergeladen oder über das Landesamt für Natur, Umwelt und Verbraucherschutz, Leibnizstr. 10, 45659 Recklinghausen bezogen  werden. Sie wird hiermit als nach § 100 Abs. 1 Satz 2 des Wassergesetzes für das Land Nordhrein-Westfalen - Landeswassergesetz (LWG) - für den Ausbau von Gewässern geltende allgemein anerkannte Regeln der Technik bekannt gegeben und ist zu beachten. Insoweit wird darauf hingewiesen, dass § 100 Abs. 1 Satz 2 LWG als fortgeltendes Landesrecht den in § 67 Abs. 1 des Gesetzes zur Ordnung des Wasserhaushalts vom 31.07.2009 (BGBl. I Nr. 51, 2585) enthaltenen Grundsatz für den Gewässerausbau konkretisiert. </w:t>
      </w:r>
    </w:p>
    <w:p>
      <w:pPr>
        <w:pStyle w:val="GesAbsatz"/>
      </w:pPr>
    </w:p>
    <w:p>
      <w:pPr>
        <w:pStyle w:val="GesAbsatz"/>
      </w:pPr>
      <w:r>
        <w:t>Die Richtlinie für Unterhaltung und naturnahen Ausbau der Fließgewässer in Nordrhein-Westfalen (MBl. NRW. Nr. 39 vom 18.06.1999) wird aufgehoben.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18.03.2010 (MBl. NRW. S. 203)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76.0-01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701643-7BF9-4526-9EE5-B9D22751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bes_text?anw_nr=1&amp;gld_nr=7&amp;ugl_nr=772&amp;bes_id=37344&amp;menu=0&amp;sg=0&amp;aufgehoben=N&amp;keyword=Bekanntmachung%20der%20Richtlinie%20f%FCr%20die%20Entwicklung%20naturnaher%20Flie%DFgew%E4sser%20in%20Nordrhein-Westfal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221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 für naturnahe Unterhaltung und naturnahen Ausbau der Fließgewässer in Nordrhein-Westfalen</vt:lpstr>
    </vt:vector>
  </TitlesOfParts>
  <Company>LANUV NRW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 für naturnahe Unterhaltung und naturnahen Ausbau der Fließgewässer in Nordrhein-Westfalen</dc:title>
  <dc:subject>Einführungserlass</dc:subject>
  <dc:creator>Np</dc:creator>
  <cp:lastModifiedBy>Rüter, Dr., Ingo</cp:lastModifiedBy>
  <cp:revision>8</cp:revision>
  <cp:lastPrinted>2004-12-14T12:08:00Z</cp:lastPrinted>
  <dcterms:created xsi:type="dcterms:W3CDTF">2014-11-05T07:38:00Z</dcterms:created>
  <dcterms:modified xsi:type="dcterms:W3CDTF">2023-06-06T07:23:00Z</dcterms:modified>
</cp:coreProperties>
</file>