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24492440"/>
      <w:bookmarkStart w:id="1" w:name="_GoBack"/>
      <w:bookmarkEnd w:id="1"/>
      <w:r>
        <w:t>Abwasserbeseitigung - Vollzug des § 61a LWG</w:t>
      </w:r>
      <w:bookmarkEnd w:id="0"/>
    </w:p>
    <w:p>
      <w:pPr>
        <w:jc w:val="center"/>
      </w:pPr>
      <w:r>
        <w:t>vom 17.06.2011 Aktenzeichen IV-7 031 002 0407</w:t>
      </w:r>
    </w:p>
    <w:p>
      <w:pPr>
        <w:pStyle w:val="GesAbsatz"/>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smallCaps/>
        </w:rPr>
        <w:fldChar w:fldCharType="begin"/>
      </w:r>
      <w:r>
        <w:rPr>
          <w:smallCaps/>
        </w:rPr>
        <w:instrText xml:space="preserve"> TOC \o "1-3" \h \z \u </w:instrText>
      </w:r>
      <w:r>
        <w:rPr>
          <w:smallCaps/>
        </w:rPr>
        <w:fldChar w:fldCharType="separate"/>
      </w:r>
      <w:hyperlink w:anchor="_Toc324492440" w:history="1">
        <w:r>
          <w:rPr>
            <w:rStyle w:val="Hyperlink"/>
            <w:noProof/>
          </w:rPr>
          <w:t>Abwasserbeseitigung - Vollzug des § 61a LWG</w:t>
        </w:r>
        <w:r>
          <w:rPr>
            <w:noProof/>
            <w:webHidden/>
          </w:rPr>
          <w:tab/>
        </w:r>
        <w:r>
          <w:rPr>
            <w:noProof/>
            <w:webHidden/>
          </w:rPr>
          <w:fldChar w:fldCharType="begin"/>
        </w:r>
        <w:r>
          <w:rPr>
            <w:noProof/>
            <w:webHidden/>
          </w:rPr>
          <w:instrText xml:space="preserve"> PAGEREF _Toc324492440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4492441" w:history="1">
        <w:r>
          <w:rPr>
            <w:rStyle w:val="Hyperlink"/>
            <w:noProof/>
          </w:rPr>
          <w:t>Dichtheitsprüfung</w:t>
        </w:r>
        <w:r>
          <w:rPr>
            <w:noProof/>
            <w:webHidden/>
          </w:rPr>
          <w:tab/>
        </w:r>
        <w:r>
          <w:rPr>
            <w:noProof/>
            <w:webHidden/>
          </w:rPr>
          <w:fldChar w:fldCharType="begin"/>
        </w:r>
        <w:r>
          <w:rPr>
            <w:noProof/>
            <w:webHidden/>
          </w:rPr>
          <w:instrText xml:space="preserve"> PAGEREF _Toc324492441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4492442" w:history="1">
        <w:r>
          <w:rPr>
            <w:rStyle w:val="Hyperlink"/>
            <w:noProof/>
          </w:rPr>
          <w:t>Zeitpunkt der Dichtheitsprüfung außerhalb von Wasserschutzgebieten</w:t>
        </w:r>
        <w:r>
          <w:rPr>
            <w:noProof/>
            <w:webHidden/>
          </w:rPr>
          <w:tab/>
        </w:r>
        <w:r>
          <w:rPr>
            <w:noProof/>
            <w:webHidden/>
          </w:rPr>
          <w:fldChar w:fldCharType="begin"/>
        </w:r>
        <w:r>
          <w:rPr>
            <w:noProof/>
            <w:webHidden/>
          </w:rPr>
          <w:instrText xml:space="preserve"> PAGEREF _Toc324492442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4492443" w:history="1">
        <w:r>
          <w:rPr>
            <w:rStyle w:val="Hyperlink"/>
            <w:noProof/>
          </w:rPr>
          <w:t>Dichtheitsbescheinigung</w:t>
        </w:r>
        <w:r>
          <w:rPr>
            <w:noProof/>
            <w:webHidden/>
          </w:rPr>
          <w:tab/>
        </w:r>
        <w:r>
          <w:rPr>
            <w:noProof/>
            <w:webHidden/>
          </w:rPr>
          <w:fldChar w:fldCharType="begin"/>
        </w:r>
        <w:r>
          <w:rPr>
            <w:noProof/>
            <w:webHidden/>
          </w:rPr>
          <w:instrText xml:space="preserve"> PAGEREF _Toc324492443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4492444" w:history="1">
        <w:r>
          <w:rPr>
            <w:rStyle w:val="Hyperlink"/>
            <w:noProof/>
          </w:rPr>
          <w:t>Sanierungsnotwendigkeiten und Fristen</w:t>
        </w:r>
        <w:r>
          <w:rPr>
            <w:noProof/>
            <w:webHidden/>
          </w:rPr>
          <w:tab/>
        </w:r>
        <w:r>
          <w:rPr>
            <w:noProof/>
            <w:webHidden/>
          </w:rPr>
          <w:fldChar w:fldCharType="begin"/>
        </w:r>
        <w:r>
          <w:rPr>
            <w:noProof/>
            <w:webHidden/>
          </w:rPr>
          <w:instrText xml:space="preserve"> PAGEREF _Toc324492444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4492445" w:history="1">
        <w:r>
          <w:rPr>
            <w:rStyle w:val="Hyperlink"/>
            <w:noProof/>
          </w:rPr>
          <w:t>Dränageanschlüsse am Schmutz- oder Mischwasserkanal</w:t>
        </w:r>
        <w:r>
          <w:rPr>
            <w:noProof/>
            <w:webHidden/>
          </w:rPr>
          <w:tab/>
        </w:r>
        <w:r>
          <w:rPr>
            <w:noProof/>
            <w:webHidden/>
          </w:rPr>
          <w:fldChar w:fldCharType="begin"/>
        </w:r>
        <w:r>
          <w:rPr>
            <w:noProof/>
            <w:webHidden/>
          </w:rPr>
          <w:instrText xml:space="preserve"> PAGEREF _Toc324492445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Im Hinblick auf die Dichtheitsprüfung und die ggf. notwendige Sanierung undichter privater Abwasserleitungen konkretisiere ich meinen Erlass vom 05.10.2010 wie folgt:</w:t>
      </w:r>
    </w:p>
    <w:p>
      <w:pPr>
        <w:pStyle w:val="berschrift3"/>
        <w:jc w:val="left"/>
      </w:pPr>
      <w:bookmarkStart w:id="2" w:name="_Toc324492441"/>
      <w:r>
        <w:t>Dichtheitsprüfung</w:t>
      </w:r>
      <w:bookmarkEnd w:id="2"/>
    </w:p>
    <w:p>
      <w:pPr>
        <w:pStyle w:val="GesAbsatz"/>
      </w:pPr>
      <w:r>
        <w:t>Entsprechend § 61a LWG sind private Abwasserleitungen auf Dichtheit zu prüfen. Die Art der Dichtheitsprüfung ist nicht vorgegeben. Als Regelverfahren hat sich eine optische Inspektion mit TV-Kamera bewährt. Damit können Schäden festgestellt, aber nicht alle undichten Stellen erkannt werden. Die optische Inspektion wird dennoch als Dichtheitsnachweis im Sinne der DIN 1986-30 anerkannt. Lediglich für Fremdwasserschwerpunktgebiete und in Wasserschutzgebieten sind Ausnahmen sinnvoll.</w:t>
      </w:r>
    </w:p>
    <w:p>
      <w:pPr>
        <w:pStyle w:val="GesAbsatz"/>
      </w:pPr>
      <w:r>
        <w:t>Die in der Regel preiswerteste Art der Dichtheitsprüfung stellt die Wasserstandsfüllprüfung dar. Dabei wird die Leitung zunächst abgesperrt und die Rohre bis 50 cm über den höchsten Punkt mit Wasser gefüllt und über 15 Minuten gehalten. Die Leitung gilt als dicht, wenn eine bestimmte Wasserzugabemenge nicht überschritten wird. Bei Grundleitungen, die unter der Bodenplatte liegen, kann die Füllhöhe bis zur obersten Rohrverbindung zwischen Bodenablaufgegenstand und Grundleitung reduziert werden. Die Füllhöhe reduziert sich dadurch i.d.R. auf ca. 20-30 cm unter Fußbodenoberkante.</w:t>
      </w:r>
    </w:p>
    <w:p>
      <w:pPr>
        <w:pStyle w:val="GesAbsatz"/>
      </w:pPr>
      <w:r>
        <w:t>Eine Druckprüfung gemäß DIN EN 1610 ist in der Regel nur bei Neubauten und wesentlichen Änderungen erforderlich.</w:t>
      </w:r>
    </w:p>
    <w:p>
      <w:pPr>
        <w:pStyle w:val="berschrift3"/>
        <w:jc w:val="left"/>
      </w:pPr>
      <w:bookmarkStart w:id="3" w:name="_Toc324492442"/>
      <w:r>
        <w:t>Zeitpunkt der Dichtheitsprüfung außerhalb von Wasserschutzgebieten</w:t>
      </w:r>
      <w:bookmarkEnd w:id="3"/>
    </w:p>
    <w:p>
      <w:pPr>
        <w:pStyle w:val="GesAbsatz"/>
      </w:pPr>
      <w:r>
        <w:t>Den spätesten Zeitpunkt der Durchführung einer Dichtheitsprüfung legt die Gemeinde fest. Die Gemeinde kann die Überprüfung des öffentlichen Kanals mit der Überprüfung der privaten Abwasserleitungen zusammenlegen. Dies hat den Vorteil, dass für den Bürger nachvollziehbar wird, dass für die öffentlichen und privaten Abwasserleitungen die gleichen Maßstäbe gelten.</w:t>
      </w:r>
    </w:p>
    <w:p>
      <w:pPr>
        <w:pStyle w:val="GesAbsatz"/>
      </w:pPr>
      <w:r>
        <w:t>Wenn die Gemeinde von dieser Option keinen Gebrauch macht, weil die öffentliche Kanäle in den letzten Jahren bereits ein- oder mehrmals untersucht worden sind, sollte die Gemeinde im Zuge ihrer Unterrichtungs- und Beratungspflichten die Bürger über diese Untersuchungen informieren.</w:t>
      </w:r>
    </w:p>
    <w:p>
      <w:pPr>
        <w:pStyle w:val="berschrift3"/>
        <w:jc w:val="left"/>
      </w:pPr>
      <w:bookmarkStart w:id="4" w:name="_Toc324492443"/>
      <w:r>
        <w:t>Dichtheitsbescheinigung</w:t>
      </w:r>
      <w:bookmarkEnd w:id="4"/>
    </w:p>
    <w:p>
      <w:pPr>
        <w:pStyle w:val="GesAbsatz"/>
      </w:pPr>
      <w:r>
        <w:t>Als Anlage liegt dem Erlass die im Auftrag des MKUNLV erarbeitete Musterdichtheitsbescheinigung bei. Eine einheitliche Form der Bescheinigung erleichtert die Handhabung durch die betroffenen Bürgerinnen und Bürger, die prüfenden Sachkundigen sowie durch die Kommunen. Ich bitte die Kommunen über die Musterdichtheitsbescheinigung zu unterrichten und deren Einsatz dringend zu empfehlen.</w:t>
      </w:r>
    </w:p>
    <w:p>
      <w:pPr>
        <w:pStyle w:val="GesAbsatz"/>
      </w:pPr>
      <w:r>
        <w:t>Anhand des der Musterdichtheitsbescheinigung beigefügten Bildreferenzkatalogs soll eine einfache Bewertung von Schadensbildern ermöglicht werden.</w:t>
      </w:r>
    </w:p>
    <w:p>
      <w:pPr>
        <w:pStyle w:val="berschrift3"/>
        <w:jc w:val="left"/>
      </w:pPr>
      <w:bookmarkStart w:id="5" w:name="_Toc324492444"/>
      <w:r>
        <w:t>Sanierungsnotwendigkeiten und Fristen</w:t>
      </w:r>
      <w:bookmarkEnd w:id="5"/>
    </w:p>
    <w:p>
      <w:pPr>
        <w:pStyle w:val="GesAbsatz"/>
      </w:pPr>
      <w:r>
        <w:t xml:space="preserve">Sofern die Dichtheitsprüfung ergibt, dass die private Abwasseranlage starke oder mittlere Schäden aufweist, ist sie grundsätzlich zu sanieren. </w:t>
      </w:r>
      <w:r>
        <w:rPr>
          <w:b/>
        </w:rPr>
        <w:t>Die Entscheidung, ob und wann eine Sanierung erforderlich ist, trifft - vorbehaltlich wasser- und bodenschutzrechtlicher Entscheidungen der zuständigen Ordnungsbehörden - die Gemeinde</w:t>
      </w:r>
      <w:r>
        <w:t>. Dabei kann eine Orientierung an der zu erwartenden Neufassung der DIN 1986-30 (vergleiche Entwurf Stand: 10/2010) hilfreich sein.</w:t>
      </w:r>
    </w:p>
    <w:p>
      <w:pPr>
        <w:pStyle w:val="GesAbsatz"/>
      </w:pPr>
      <w:r>
        <w:lastRenderedPageBreak/>
        <w:t>Bei Schäden, die beispielsweise die Standsicherheit betreffen (Schadenskategorie A), ist eine sofortige Sanierung erforderlich. Entsprechend der zu erwartenden Neufassung der DIN 1986 -30 sollte diese Sanierung nach Möglichkeit innerhalb von 6 Monaten abgeschlossen sein.</w:t>
      </w:r>
    </w:p>
    <w:p>
      <w:pPr>
        <w:pStyle w:val="GesAbsatz"/>
      </w:pPr>
      <w:r>
        <w:t>Bei mittelschweren Schäden soll die Sanierung in einer angemessenen Frist erfolgen. Entsprechend der zu erwartenden Neufassung der DIN 1986-30 sollte diese Sanierung nach Möglichkeit innerhalb von 5 Jahren abgeschlossen sein.</w:t>
      </w:r>
    </w:p>
    <w:p>
      <w:pPr>
        <w:pStyle w:val="GesAbsatz"/>
      </w:pPr>
      <w:r>
        <w:t xml:space="preserve">Für geringe Schäden der Schadensklasse C sollten grundsätzlich </w:t>
      </w:r>
      <w:r>
        <w:rPr>
          <w:b/>
        </w:rPr>
        <w:t>keine Sanierungsfristen</w:t>
      </w:r>
      <w:r>
        <w:t xml:space="preserve"> vorgegeben werden; die Beurteilung einer Notwendigkeit der Sanierung kann im Rahmen der wiederkehrenden Prüfung erfolgen.</w:t>
      </w:r>
    </w:p>
    <w:p>
      <w:pPr>
        <w:pStyle w:val="berschrift3"/>
        <w:jc w:val="left"/>
      </w:pPr>
      <w:bookmarkStart w:id="6" w:name="_Toc324492445"/>
      <w:r>
        <w:t>Dränageanschlüsse am Schmutz- oder Mischwasserkanal</w:t>
      </w:r>
      <w:bookmarkEnd w:id="6"/>
    </w:p>
    <w:p>
      <w:pPr>
        <w:pStyle w:val="GesAbsatz"/>
      </w:pPr>
      <w:r>
        <w:t>Die Abwassersatzungen fast aller Gemeinden beinhalten ein Verbot des Einleitens von Drainagewasser in Schmutz- oder Mischwasserkanäle. Vielerorts sind Drainageanschlüsse trotzdem toleriert worden. Die Kenntnis über den Umfang der Drainageeinleitungen und die damit verbundenen Kosten ist großenteils vor Ort nicht vorhanden. Gerade in Fremdwasserschwerpunktgebieten ist diese Kenntnis aber notwendig, um effiziente Sanierungskonzepte für die öffentliche Kanalisation zu ermöglichen. Insofern stellt die Feststellung „Drainageanschluss" eine Grundlage für zukünftige Kanalsanierungsmaßnahmen im öffentlichen Bereich dar. Sie bedeutet nicht, dass der private Grundstücksbesitzer in jedem Fall den Drainageanschluss zu beseitigen hat. Für ein Abklemmen der Drainage von Schmutz- und Mischwasserkanälen muss häufig erst eine entsprechende öffentliche Ableitung ermöglicht werden. Dies kann beispielsweise durch Umwandeln eines Mischwassersystems in ein Trennsystem geschehen.</w:t>
      </w:r>
    </w:p>
    <w:p>
      <w:pPr>
        <w:pStyle w:val="GesAbsatz"/>
      </w:pPr>
    </w:p>
    <w:p>
      <w:pPr>
        <w:pStyle w:val="GesAbsatz"/>
      </w:pPr>
      <w:r>
        <w:t>Im Auftrag</w:t>
      </w:r>
    </w:p>
    <w:p>
      <w:pPr>
        <w:pStyle w:val="GesAbsatz"/>
      </w:pPr>
      <w:r>
        <w:t xml:space="preserve">Dr. Viktor </w:t>
      </w:r>
      <w:proofErr w:type="spellStart"/>
      <w:r>
        <w:t>Mertsch</w:t>
      </w:r>
      <w:proofErr w:type="spellEnd"/>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17.06.2011 n.v.</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74.0-06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0C1B68-2008-497C-9E8E-8298ECA4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655</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Abwasserbeseitigung - Vollzug des § 61a LWG</vt:lpstr>
    </vt:vector>
  </TitlesOfParts>
  <Company>LANUV NRW</Company>
  <LinksUpToDate>false</LinksUpToDate>
  <CharactersWithSpaces>5645</CharactersWithSpaces>
  <SharedDoc>false</SharedDoc>
  <HLinks>
    <vt:vector size="36" baseType="variant">
      <vt:variant>
        <vt:i4>1507386</vt:i4>
      </vt:variant>
      <vt:variant>
        <vt:i4>32</vt:i4>
      </vt:variant>
      <vt:variant>
        <vt:i4>0</vt:i4>
      </vt:variant>
      <vt:variant>
        <vt:i4>5</vt:i4>
      </vt:variant>
      <vt:variant>
        <vt:lpwstr/>
      </vt:variant>
      <vt:variant>
        <vt:lpwstr>_Toc324492445</vt:lpwstr>
      </vt:variant>
      <vt:variant>
        <vt:i4>1507386</vt:i4>
      </vt:variant>
      <vt:variant>
        <vt:i4>26</vt:i4>
      </vt:variant>
      <vt:variant>
        <vt:i4>0</vt:i4>
      </vt:variant>
      <vt:variant>
        <vt:i4>5</vt:i4>
      </vt:variant>
      <vt:variant>
        <vt:lpwstr/>
      </vt:variant>
      <vt:variant>
        <vt:lpwstr>_Toc324492444</vt:lpwstr>
      </vt:variant>
      <vt:variant>
        <vt:i4>1507386</vt:i4>
      </vt:variant>
      <vt:variant>
        <vt:i4>20</vt:i4>
      </vt:variant>
      <vt:variant>
        <vt:i4>0</vt:i4>
      </vt:variant>
      <vt:variant>
        <vt:i4>5</vt:i4>
      </vt:variant>
      <vt:variant>
        <vt:lpwstr/>
      </vt:variant>
      <vt:variant>
        <vt:lpwstr>_Toc324492443</vt:lpwstr>
      </vt:variant>
      <vt:variant>
        <vt:i4>1507386</vt:i4>
      </vt:variant>
      <vt:variant>
        <vt:i4>14</vt:i4>
      </vt:variant>
      <vt:variant>
        <vt:i4>0</vt:i4>
      </vt:variant>
      <vt:variant>
        <vt:i4>5</vt:i4>
      </vt:variant>
      <vt:variant>
        <vt:lpwstr/>
      </vt:variant>
      <vt:variant>
        <vt:lpwstr>_Toc324492442</vt:lpwstr>
      </vt:variant>
      <vt:variant>
        <vt:i4>1507386</vt:i4>
      </vt:variant>
      <vt:variant>
        <vt:i4>8</vt:i4>
      </vt:variant>
      <vt:variant>
        <vt:i4>0</vt:i4>
      </vt:variant>
      <vt:variant>
        <vt:i4>5</vt:i4>
      </vt:variant>
      <vt:variant>
        <vt:lpwstr/>
      </vt:variant>
      <vt:variant>
        <vt:lpwstr>_Toc324492441</vt:lpwstr>
      </vt:variant>
      <vt:variant>
        <vt:i4>1507386</vt:i4>
      </vt:variant>
      <vt:variant>
        <vt:i4>2</vt:i4>
      </vt:variant>
      <vt:variant>
        <vt:i4>0</vt:i4>
      </vt:variant>
      <vt:variant>
        <vt:i4>5</vt:i4>
      </vt:variant>
      <vt:variant>
        <vt:lpwstr/>
      </vt:variant>
      <vt:variant>
        <vt:lpwstr>_Toc324492440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Abwasserbeseitigung - Vollzug des § 61a LWG</dc:title>
  <dc:creator>LANUV NRW</dc:creator>
  <cp:lastModifiedBy>Rüter, Dr., Ingo</cp:lastModifiedBy>
  <cp:revision>3</cp:revision>
  <cp:lastPrinted>2004-12-14T12:08:00Z</cp:lastPrinted>
  <dcterms:created xsi:type="dcterms:W3CDTF">2014-11-13T07:21:00Z</dcterms:created>
  <dcterms:modified xsi:type="dcterms:W3CDTF">2024-08-23T07:25:00Z</dcterms:modified>
</cp:coreProperties>
</file>