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4600722"/>
      <w:r>
        <w:t xml:space="preserve">Richtlinie </w:t>
      </w:r>
      <w:hyperlink r:id="rId6" w:history="1">
        <w:r>
          <w:rPr>
            <w:rStyle w:val="Hyperlink"/>
          </w:rPr>
          <w:t>91/676/EWG</w:t>
        </w:r>
      </w:hyperlink>
      <w:r>
        <w:t xml:space="preserve"> des Rates vom 12. Dezember 1991 zum </w:t>
      </w:r>
      <w:r>
        <w:br/>
        <w:t xml:space="preserve">Schutz der Gewässer vor Verunreinigung durch Nitrat aus </w:t>
      </w:r>
      <w:r>
        <w:br/>
        <w:t>landwirtschaftlichen Quellen</w:t>
      </w:r>
      <w:bookmarkEnd w:id="0"/>
    </w:p>
    <w:p>
      <w:pPr>
        <w:pStyle w:val="GesAbsatz"/>
        <w:jc w:val="left"/>
        <w:rPr>
          <w:snapToGrid w:val="0"/>
        </w:rPr>
      </w:pPr>
      <w:r>
        <w:rPr>
          <w:b/>
        </w:rPr>
        <w:t>Änderungen:</w:t>
      </w:r>
      <w:r>
        <w:t xml:space="preserve"> </w:t>
      </w:r>
      <w:hyperlink r:id="rId7" w:history="1">
        <w:r>
          <w:rPr>
            <w:rStyle w:val="Hyperlink"/>
          </w:rPr>
          <w:t>1882/2003/EG</w:t>
        </w:r>
      </w:hyperlink>
      <w:r>
        <w:t xml:space="preserve"> ABl. L 284 v. 31.10.2003 S. 1; </w:t>
      </w:r>
      <w:hyperlink r:id="rId8" w:history="1">
        <w:r>
          <w:rPr>
            <w:rStyle w:val="Hyperlink"/>
            <w:snapToGrid w:val="0"/>
          </w:rPr>
          <w:t>1137/2008/EG</w:t>
        </w:r>
      </w:hyperlink>
      <w:r>
        <w:rPr>
          <w:snapToGrid w:val="0"/>
        </w:rPr>
        <w:t xml:space="preserve"> ABl. L 331 v. 21.11.2008 S. 1 Inkrafttreten 11.12.2008;</w:t>
      </w: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w:instrText>
      </w:r>
      <w:r>
        <w:rPr>
          <w:b w:val="0"/>
          <w:bCs/>
          <w:caps w:val="0"/>
        </w:rPr>
        <w:fldChar w:fldCharType="separate"/>
      </w:r>
      <w:r>
        <w:rPr>
          <w:noProof/>
        </w:rPr>
        <w:t>Richtlinie 91/676/EWG</w:t>
      </w:r>
      <w:r>
        <w:rPr>
          <w:noProof/>
        </w:rPr>
        <w:tab/>
      </w:r>
      <w:r>
        <w:rPr>
          <w:noProof/>
        </w:rPr>
        <w:fldChar w:fldCharType="begin"/>
      </w:r>
      <w:r>
        <w:rPr>
          <w:noProof/>
        </w:rPr>
        <w:instrText xml:space="preserve"> PAGEREF _Toc134600722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_Toc134600723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_Toc134600724 \h </w:instrText>
      </w:r>
      <w:r>
        <w:rPr>
          <w:noProof/>
        </w:rPr>
      </w:r>
      <w:r>
        <w:rPr>
          <w:noProof/>
        </w:rPr>
        <w:fldChar w:fldCharType="separate"/>
      </w:r>
      <w:r>
        <w:rPr>
          <w:noProof/>
        </w:rPr>
        <w:t>2</w:t>
      </w:r>
      <w:r>
        <w:rPr>
          <w:noProof/>
        </w:rPr>
        <w:fldChar w:fldCharType="end"/>
      </w:r>
    </w:p>
    <w:p>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_Toc134600725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_Toc134600726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_Toc134600727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6</w:t>
      </w:r>
      <w:bookmarkStart w:id="1" w:name="_GoBack"/>
      <w:bookmarkEnd w:id="1"/>
      <w:r>
        <w:rPr>
          <w:noProof/>
        </w:rPr>
        <w:tab/>
      </w:r>
      <w:r>
        <w:rPr>
          <w:noProof/>
        </w:rPr>
        <w:fldChar w:fldCharType="begin"/>
      </w:r>
      <w:r>
        <w:rPr>
          <w:noProof/>
        </w:rPr>
        <w:instrText xml:space="preserve"> PAGEREF _Toc134600728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_Toc134600729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_Toc134600730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_Toc134600731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_Toc134600732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_Toc134600733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_Toc134600734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_Toc134600735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rPr>
        <w:t>Anhang I Kriterien für die Bestimmung der Gewässer nach Artikel 3 Absatz 1</w:t>
      </w:r>
      <w:r>
        <w:rPr>
          <w:noProof/>
        </w:rPr>
        <w:tab/>
      </w:r>
      <w:r>
        <w:rPr>
          <w:noProof/>
        </w:rPr>
        <w:fldChar w:fldCharType="begin"/>
      </w:r>
      <w:r>
        <w:rPr>
          <w:noProof/>
        </w:rPr>
        <w:instrText xml:space="preserve"> PAGEREF _Toc134600736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Anhang II  Regeln der guten fachlichen Praxis in der Landwirtschaft</w:t>
      </w:r>
      <w:r>
        <w:rPr>
          <w:noProof/>
        </w:rPr>
        <w:tab/>
      </w:r>
      <w:r>
        <w:rPr>
          <w:noProof/>
        </w:rPr>
        <w:fldChar w:fldCharType="begin"/>
      </w:r>
      <w:r>
        <w:rPr>
          <w:noProof/>
        </w:rPr>
        <w:instrText xml:space="preserve"> PAGEREF _Toc134600737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Anhang III Maßnahmen, die in die Aktionsprogramme nach Artikel 5 Absatz 4 Buchstabe a) aufzuneh</w:t>
      </w:r>
      <w:r>
        <w:rPr>
          <w:noProof/>
        </w:rPr>
        <w:softHyphen/>
        <w:t>men sind.</w:t>
      </w:r>
      <w:r>
        <w:rPr>
          <w:noProof/>
        </w:rPr>
        <w:tab/>
      </w:r>
      <w:r>
        <w:rPr>
          <w:noProof/>
        </w:rPr>
        <w:fldChar w:fldCharType="begin"/>
      </w:r>
      <w:r>
        <w:rPr>
          <w:noProof/>
        </w:rPr>
        <w:instrText xml:space="preserve"> PAGEREF _Toc134600738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rPr>
        <w:t>Anhang IV Referenzmeßmethoden</w:t>
      </w:r>
      <w:r>
        <w:rPr>
          <w:noProof/>
        </w:rPr>
        <w:tab/>
      </w:r>
      <w:r>
        <w:rPr>
          <w:noProof/>
        </w:rPr>
        <w:fldChar w:fldCharType="begin"/>
      </w:r>
      <w:r>
        <w:rPr>
          <w:noProof/>
        </w:rPr>
        <w:instrText xml:space="preserve"> PAGEREF _Toc134600739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rPr>
        <w:t>Anhang V Informationen für die Berichte nach Artikel 10</w:t>
      </w:r>
      <w:r>
        <w:rPr>
          <w:noProof/>
        </w:rPr>
        <w:tab/>
      </w:r>
      <w:r>
        <w:rPr>
          <w:noProof/>
        </w:rPr>
        <w:fldChar w:fldCharType="begin"/>
      </w:r>
      <w:r>
        <w:rPr>
          <w:noProof/>
        </w:rPr>
        <w:instrText xml:space="preserve"> PAGEREF _Toc134600740 \h </w:instrText>
      </w:r>
      <w:r>
        <w:rPr>
          <w:noProof/>
        </w:rPr>
      </w:r>
      <w:r>
        <w:rPr>
          <w:noProof/>
        </w:rPr>
        <w:fldChar w:fldCharType="separate"/>
      </w:r>
      <w:r>
        <w:rPr>
          <w:noProof/>
        </w:rPr>
        <w:t>8</w:t>
      </w:r>
      <w:r>
        <w:rPr>
          <w:noProof/>
        </w:rPr>
        <w:fldChar w:fldCharType="end"/>
      </w:r>
    </w:p>
    <w:p>
      <w:pPr>
        <w:pStyle w:val="GesAbsatz"/>
      </w:pPr>
      <w:r>
        <w:fldChar w:fldCharType="end"/>
      </w:r>
    </w:p>
    <w:p>
      <w:pPr>
        <w:pStyle w:val="GesAbsatz"/>
        <w:rPr>
          <w:b/>
        </w:rPr>
      </w:pPr>
      <w:r>
        <w:rPr>
          <w:b/>
        </w:rPr>
        <w:t>Der Rat der Europäischen Gemeinschaften -</w:t>
      </w:r>
    </w:p>
    <w:p>
      <w:pPr>
        <w:pStyle w:val="GesAbsatz"/>
      </w:pPr>
      <w:r>
        <w:t>gestützt auf den Vertrag zur Gründung der Europäischen Wirtschaftsgemeinschaft, insbesondere auf Artikel 130s,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Der Nitratgehalt der Gewässer nimmt in bestimmten Gebieten der Mitgliedstaaten zu und ist bereits hoch im Vergleich zu den Normen der Richtlinie 75/440/EWG des Rates vom 16. Juni 1975 über die Qualitätsanforderungen an Oberflächenwasser für die Trinkwassergewinnung in den Mitgliedstaaten</w:t>
      </w:r>
      <w:r>
        <w:rPr>
          <w:rStyle w:val="Funotenzeichen"/>
        </w:rPr>
        <w:footnoteReference w:id="4"/>
      </w:r>
      <w:r>
        <w:t>, geändert durch die Richtlinie 79/869/EWG</w:t>
      </w:r>
      <w:r>
        <w:rPr>
          <w:rStyle w:val="Funotenzeichen"/>
        </w:rPr>
        <w:footnoteReference w:id="5"/>
      </w:r>
      <w:r>
        <w:t>, und der Richtlinie 80/778/EWG des Rates vom 15. Juli 1980 über die Qualität von Wasser für den menschlichen Gebrauch</w:t>
      </w:r>
      <w:r>
        <w:rPr>
          <w:rStyle w:val="Funotenzeichen"/>
        </w:rPr>
        <w:footnoteReference w:id="6"/>
      </w:r>
      <w:r>
        <w:t>, zuletzt geändert durch die Beitrittsakte vom 1985.</w:t>
      </w:r>
    </w:p>
    <w:p>
      <w:pPr>
        <w:pStyle w:val="GesAbsatz"/>
      </w:pPr>
      <w:r>
        <w:t>Im Vierten Aktionsprogramm der Europäischen Gemeinschaften für den Umweltschutz</w:t>
      </w:r>
      <w:r>
        <w:rPr>
          <w:rStyle w:val="Funotenzeichen"/>
        </w:rPr>
        <w:footnoteReference w:id="7"/>
      </w:r>
      <w:r>
        <w:t xml:space="preserve"> heißt es, </w:t>
      </w:r>
      <w:proofErr w:type="spellStart"/>
      <w:r>
        <w:t>daß</w:t>
      </w:r>
      <w:proofErr w:type="spellEnd"/>
      <w:r>
        <w:t xml:space="preserve"> die Kommission beabsichtigt, einen Vorschlag für eine Richtlinie über die Überwachung und Verringerung der Gewässerverschmutzung aufgrund des Ausbringens oder Ableitens von Tierhaltungsabfällen und der übermäßigen Verwendung von Düngemitteln vorzulegen.</w:t>
      </w:r>
    </w:p>
    <w:p>
      <w:pPr>
        <w:pStyle w:val="GesAbsatz"/>
      </w:pPr>
      <w:r>
        <w:t xml:space="preserve">In der im Grünbuch der Kommission der Europäischen Gemeinschaften mit dem Titel „Perspektiven für die gemeinsame Agrarpolitik“ dargelegten Reform der gemeinsamen Agrarpolitik wird festgestellt, </w:t>
      </w:r>
      <w:proofErr w:type="spellStart"/>
      <w:r>
        <w:t>daß</w:t>
      </w:r>
      <w:proofErr w:type="spellEnd"/>
      <w:r>
        <w:t xml:space="preserve"> die Ver</w:t>
      </w:r>
      <w:r>
        <w:lastRenderedPageBreak/>
        <w:t xml:space="preserve">wendung von stickstoffhaltigen Düngemitteln und Dung für die Landwirtschaft der Gemeinschaft zwar erforderlich ist, die übermäßige Verwendung von Düngemitteln aber eine Gefahr für die Umwelt darstellt, so </w:t>
      </w:r>
      <w:proofErr w:type="spellStart"/>
      <w:r>
        <w:t>daß</w:t>
      </w:r>
      <w:proofErr w:type="spellEnd"/>
      <w:r>
        <w:t xml:space="preserve"> gemeinsame Maßnahmen zur Bewältigung der Probleme aufgrund der intensiven Viehwirtschaft ergriffen werden müssen und </w:t>
      </w:r>
      <w:proofErr w:type="spellStart"/>
      <w:r>
        <w:t>daß</w:t>
      </w:r>
      <w:proofErr w:type="spellEnd"/>
      <w:r>
        <w:t xml:space="preserve"> die Agrarpolitik die Umweltpolitik stärker berücksichtigen </w:t>
      </w:r>
      <w:proofErr w:type="spellStart"/>
      <w:r>
        <w:t>muß</w:t>
      </w:r>
      <w:proofErr w:type="spellEnd"/>
      <w:r>
        <w:t>.</w:t>
      </w:r>
    </w:p>
    <w:p>
      <w:pPr>
        <w:pStyle w:val="GesAbsatz"/>
      </w:pPr>
      <w:r>
        <w:t>In der Entschließung des Rates vom 28. Juni 1988 über den Schutz der Nordsee und anderer Gewässer in der Gemeinschaft</w:t>
      </w:r>
      <w:r>
        <w:rPr>
          <w:rStyle w:val="Funotenzeichen"/>
        </w:rPr>
        <w:footnoteReference w:id="8"/>
      </w:r>
      <w:r>
        <w:t xml:space="preserve"> wird die Kommission aufgefordert, Vorschläge für Maßnahmen auf Gemeinschaftsebene zu unterbreiten.</w:t>
      </w:r>
    </w:p>
    <w:p>
      <w:pPr>
        <w:pStyle w:val="GesAbsatz"/>
      </w:pPr>
      <w:r>
        <w:t>Die Verschmutzung der Gewässer der Gemeinschaft aus diffusen Quellen wird hauptsächlich durch Nitrat aus landwirtschaftlichen Quellen verursacht.</w:t>
      </w:r>
    </w:p>
    <w:p>
      <w:pPr>
        <w:pStyle w:val="GesAbsatz"/>
      </w:pPr>
      <w:r>
        <w:t>Zum Schutz der menschlichen Gesundheit und der lebenden Ressourcen und Ökosysteme der Gewässer sowie zur Sicherung sonstiger rechtmäßiger Nutzungen der Gewässer ist es deshalb notwendig, die durch Nitrat aus landwirtschaftlichen Quellen verursachte oder ausgelöste Gewässerverunreinigungen vorzubeugen. Hierzu ist es wichtig, Maßnahmen betreffend die Lagerung und das Ausbringen sämtlicher Stickstoffverbindungen auf landwirtschaftlichen Flächen sowie hinsichtlich bestimmter Bewirtschaftungsmethoden zu ergreifen.</w:t>
      </w:r>
    </w:p>
    <w:p>
      <w:pPr>
        <w:pStyle w:val="GesAbsatz"/>
      </w:pPr>
      <w:r>
        <w:t>Die Gewässerverunreinigung durch Nitrat in einem Mitgliedstaat kann sich auf die Gewässer in anderen Mitgliedstaaten auswirken, weshalb gemäß Artikel 130r Maßnahmen auf Gemeinschaftsebene notwendig sind.</w:t>
      </w:r>
    </w:p>
    <w:p>
      <w:pPr>
        <w:pStyle w:val="GesAbsatz"/>
      </w:pPr>
      <w:r>
        <w:t>Durch die Förderung einer guten fachlichen Praxis in der Landwirtschaft können die Mitgliedstaaten künftig für alle Gewässer einen allgemeinen Schutz vor Verunreinigung gewährleisten.</w:t>
      </w:r>
    </w:p>
    <w:p>
      <w:pPr>
        <w:pStyle w:val="GesAbsatz"/>
      </w:pPr>
      <w:r>
        <w:t>Bestimmte Einzugsgebiete von Gewässern, die von der Verschmutzung durch Stickstoffverbindungen bedroht sind, benötigen einen besonderen Schutz.</w:t>
      </w:r>
    </w:p>
    <w:p>
      <w:pPr>
        <w:pStyle w:val="GesAbsatz"/>
      </w:pPr>
      <w:r>
        <w:t>Die Mitgliedstaaten müssen die gefährdeten Gebiete ausweisen und die notwendigen Aktionsprogramme aufstellen und durchführen, um die Gewässerverunreinigungen durch Stickstoffverbindungen in diesen gefährdeten Gebieten zu verringern.</w:t>
      </w:r>
    </w:p>
    <w:p>
      <w:pPr>
        <w:pStyle w:val="GesAbsatz"/>
      </w:pPr>
      <w:r>
        <w:t>Solche Aktionsprogramme sollten Maßnahmen umfassen, mit denen das Ausbringen jeglicher Art von stickstoffhaltigen Düngemitteln auf landwirtschaftlichen Flächen begrenzt und insbesondere spezifische Grenzwerte für das Ausbringen von Dung festgelegt werden.</w:t>
      </w:r>
    </w:p>
    <w:p>
      <w:pPr>
        <w:pStyle w:val="GesAbsatz"/>
      </w:pPr>
      <w:r>
        <w:t>Es ist erforderlich, die Gewässer zu überwachen und bestimmte Referenzmethoden zur Messung von Stickstoffverbindungen anzuwenden, um die Wirksamkeit der Maßnahmen zu gewährleisten.</w:t>
      </w:r>
    </w:p>
    <w:p>
      <w:pPr>
        <w:pStyle w:val="GesAbsatz"/>
      </w:pPr>
      <w:r>
        <w:t xml:space="preserve">In einigen Mitgliedstaaten sind die hydrogeologischen Verhältnisse so beschaffen, </w:t>
      </w:r>
      <w:proofErr w:type="spellStart"/>
      <w:r>
        <w:t>daß</w:t>
      </w:r>
      <w:proofErr w:type="spellEnd"/>
      <w:r>
        <w:t xml:space="preserve"> es Jahre dauern kann, bis Schutzmaßnahmen zu einer Verbesserung der Wasserqualität führen.</w:t>
      </w:r>
    </w:p>
    <w:p>
      <w:pPr>
        <w:pStyle w:val="GesAbsatz"/>
      </w:pPr>
      <w:r>
        <w:t xml:space="preserve">Es sollte ein </w:t>
      </w:r>
      <w:proofErr w:type="spellStart"/>
      <w:r>
        <w:t>Ausschuß</w:t>
      </w:r>
      <w:proofErr w:type="spellEnd"/>
      <w:r>
        <w:t xml:space="preserve"> eingesetzt werden, der die Kommission in Fragen der Durchführung dieser Richtlinie und ihrer Anpassung an den wissenschaftlichen und technischen Fortschritt unterstützt.</w:t>
      </w:r>
    </w:p>
    <w:p>
      <w:pPr>
        <w:pStyle w:val="GesAbsatz"/>
      </w:pPr>
      <w:r>
        <w:t>Die Mitgliedstaaten sollten Berichte über die Durchführung dieser Richtlinie erstellen und diese der Kommission vorlegen.</w:t>
      </w:r>
    </w:p>
    <w:p>
      <w:pPr>
        <w:pStyle w:val="GesAbsatz"/>
      </w:pPr>
      <w:r>
        <w:t>Die Kommission sollte regelmäßig über die Durchführung dieser Richtlinie in den Mitgliedstaaten Bericht erstatten -</w:t>
      </w:r>
    </w:p>
    <w:p>
      <w:pPr>
        <w:pStyle w:val="GesAbsatz"/>
        <w:rPr>
          <w:b/>
          <w:bCs/>
        </w:rPr>
      </w:pPr>
      <w:r>
        <w:rPr>
          <w:b/>
          <w:bCs/>
        </w:rPr>
        <w:t xml:space="preserve">hat folgende Richtlinie </w:t>
      </w:r>
      <w:proofErr w:type="spellStart"/>
      <w:r>
        <w:rPr>
          <w:b/>
          <w:bCs/>
        </w:rPr>
        <w:t>erlassen</w:t>
      </w:r>
      <w:proofErr w:type="spellEnd"/>
      <w:r>
        <w:rPr>
          <w:b/>
          <w:bCs/>
        </w:rPr>
        <w:t>:</w:t>
      </w:r>
    </w:p>
    <w:p>
      <w:pPr>
        <w:pStyle w:val="berschrift2"/>
      </w:pPr>
      <w:bookmarkStart w:id="2" w:name="_Toc134600723"/>
      <w:r>
        <w:t>Artikel 1</w:t>
      </w:r>
      <w:bookmarkEnd w:id="2"/>
    </w:p>
    <w:p>
      <w:pPr>
        <w:pStyle w:val="GesAbsatz"/>
      </w:pPr>
      <w:r>
        <w:t>Diese Richtlinie hat zum Ziel,</w:t>
      </w:r>
    </w:p>
    <w:p>
      <w:pPr>
        <w:pStyle w:val="GesAbsatz"/>
        <w:ind w:left="426" w:hanging="426"/>
      </w:pPr>
      <w:r>
        <w:t>-</w:t>
      </w:r>
      <w:r>
        <w:tab/>
        <w:t>die durch Nitrat aus landwirtschaftlichen Quellen verursachte oder ausgelöste Gewässerverunreinigung zu verringern und</w:t>
      </w:r>
    </w:p>
    <w:p>
      <w:pPr>
        <w:pStyle w:val="GesAbsatz"/>
      </w:pPr>
      <w:r>
        <w:t>-</w:t>
      </w:r>
      <w:r>
        <w:tab/>
        <w:t>weiterer Gewässerverunreinigung dieser Art vorzubeugen.</w:t>
      </w:r>
    </w:p>
    <w:p>
      <w:pPr>
        <w:pStyle w:val="berschrift2"/>
      </w:pPr>
      <w:bookmarkStart w:id="3" w:name="_Toc134600724"/>
      <w:r>
        <w:t>Artikel 2</w:t>
      </w:r>
      <w:bookmarkEnd w:id="3"/>
    </w:p>
    <w:p>
      <w:pPr>
        <w:pStyle w:val="GesAbsatz"/>
      </w:pPr>
      <w:r>
        <w:t>Im Sinne dieser Richtlinie bedeuten:</w:t>
      </w:r>
    </w:p>
    <w:p>
      <w:pPr>
        <w:pStyle w:val="GesAbsatz"/>
        <w:ind w:left="426" w:hanging="426"/>
      </w:pPr>
      <w:r>
        <w:t>a)</w:t>
      </w:r>
      <w:r>
        <w:tab/>
        <w:t>Grundwasser: alles unterirdische Wasser in der Sättigungszone, das in unmittelbarer Berührung mit dem Boden oder dem Untergrund steht;</w:t>
      </w:r>
    </w:p>
    <w:p>
      <w:pPr>
        <w:pStyle w:val="GesAbsatz"/>
        <w:ind w:left="426" w:hanging="426"/>
      </w:pPr>
      <w:r>
        <w:lastRenderedPageBreak/>
        <w:t>b)</w:t>
      </w:r>
      <w:r>
        <w:tab/>
        <w:t>Süßwasser: natürlich vorkommendes Wasser mit geringer Salzkonzentration, das häufig zur Gewinnung und Aufbereitung von Trinkwasser geeignet erscheint;</w:t>
      </w:r>
    </w:p>
    <w:p>
      <w:pPr>
        <w:pStyle w:val="GesAbsatz"/>
        <w:ind w:left="426" w:hanging="426"/>
      </w:pPr>
      <w:r>
        <w:t>c)</w:t>
      </w:r>
      <w:r>
        <w:tab/>
        <w:t>Stickstoffverbindung: jeder stickstoffhaltige Stoff, ausgenommen gasförmiger Molekularstickstoff;</w:t>
      </w:r>
    </w:p>
    <w:p>
      <w:pPr>
        <w:pStyle w:val="GesAbsatz"/>
        <w:ind w:left="426" w:hanging="426"/>
      </w:pPr>
      <w:r>
        <w:t>d)</w:t>
      </w:r>
      <w:r>
        <w:tab/>
        <w:t>Tiere: alle Tiere, die zu Nutzzwecken oder zu gewerblichen Zwecken gehalten werden;</w:t>
      </w:r>
    </w:p>
    <w:p>
      <w:pPr>
        <w:pStyle w:val="GesAbsatz"/>
        <w:ind w:left="426" w:hanging="426"/>
      </w:pPr>
      <w:r>
        <w:t>e)</w:t>
      </w:r>
      <w:r>
        <w:tab/>
        <w:t>Düngemittel: jeder Stoff, der eine oder mehrere Stickstoffverbindungen enthält und auf den Boden zur Förderung des Pflanzenwachstums ausgebracht wird; hierunter können auch Dung, Abfälle aus Fischzuchtanlagen und Klärschlamm fallen;</w:t>
      </w:r>
    </w:p>
    <w:p>
      <w:pPr>
        <w:pStyle w:val="GesAbsatz"/>
        <w:ind w:left="426" w:hanging="426"/>
      </w:pPr>
      <w:r>
        <w:t>f)</w:t>
      </w:r>
      <w:r>
        <w:tab/>
        <w:t>Mineraldünger: alle industriell hergestellten Düngemittel;</w:t>
      </w:r>
    </w:p>
    <w:p>
      <w:pPr>
        <w:pStyle w:val="GesAbsatz"/>
        <w:ind w:left="426" w:hanging="426"/>
      </w:pPr>
      <w:r>
        <w:t>g)</w:t>
      </w:r>
      <w:r>
        <w:tab/>
        <w:t>Dung: tierische Ausscheidungen oder eine Mischung aus Einstreu und tierischen Ausscheidungen, auch in verarbeiteter Form;</w:t>
      </w:r>
    </w:p>
    <w:p>
      <w:pPr>
        <w:pStyle w:val="GesAbsatz"/>
        <w:ind w:left="426" w:hanging="426"/>
      </w:pPr>
      <w:r>
        <w:t>h)</w:t>
      </w:r>
      <w:r>
        <w:tab/>
        <w:t>Ausbringen: Aufbringen von Stoffen auf den Boden, entweder durch Verteilen auf den Boden, Einspritzen in den Boden, Einbringen unter die Oberfläche oder Vermischen mit dem Oberboden;</w:t>
      </w:r>
    </w:p>
    <w:p>
      <w:pPr>
        <w:pStyle w:val="GesAbsatz"/>
        <w:ind w:left="426" w:hanging="426"/>
      </w:pPr>
      <w:r>
        <w:t>i)</w:t>
      </w:r>
      <w:r>
        <w:tab/>
        <w:t>Eutrophierung: Anreicherung des Wassers mit Stickstoffverbindungen, die zu einem vermehrten Wachstum von Algen und höheren Formen des pflanzlichen Lebens und damit zu einer unerwünschten Beeinträchtigung des biologischen Gleichgewichts und der Qualität des betroffenen Gewässers führt;</w:t>
      </w:r>
    </w:p>
    <w:p>
      <w:pPr>
        <w:pStyle w:val="GesAbsatz"/>
        <w:ind w:left="426" w:hanging="426"/>
      </w:pPr>
      <w:r>
        <w:t>j)</w:t>
      </w:r>
      <w:r>
        <w:tab/>
        <w:t>Verunreinigung: direkte oder indirekte Ableitung von Stickstoffverbindungen aus landwirtschaftlichen Quellen in Gewässer, wenn dadurch die menschliche Gesundheit gefährdet, die lebenden Bestände und das Ökosystem der Gewässer geschädigt, Erholungsmöglichkeiten beeinträchtigt oder die sonstige rechtmäßige Nutzung der Gewässer behindert werden;</w:t>
      </w:r>
    </w:p>
    <w:p>
      <w:pPr>
        <w:pStyle w:val="GesAbsatz"/>
        <w:ind w:left="426" w:hanging="426"/>
      </w:pPr>
      <w:r>
        <w:t>k)</w:t>
      </w:r>
      <w:r>
        <w:tab/>
        <w:t>gefährdete Gebiete: gemäß Artikel 3 Absatz 2 ausgewiesene Flächen.</w:t>
      </w:r>
    </w:p>
    <w:p>
      <w:pPr>
        <w:pStyle w:val="berschrift2"/>
      </w:pPr>
      <w:bookmarkStart w:id="4" w:name="_Toc134600725"/>
      <w:r>
        <w:t>Artikel 3</w:t>
      </w:r>
      <w:bookmarkEnd w:id="4"/>
    </w:p>
    <w:p>
      <w:pPr>
        <w:pStyle w:val="GesAbsatz"/>
      </w:pPr>
      <w:r>
        <w:t>(1) Gewässer, die von Verunreinigung betroffen sind, und Gewässer, die von Verunreinigung betroffen werden können, falls keine Maßnahmen nach Artikel 5 ergriffen werden, werden von den Mitgliedstaaten nach den Kriterien des Anhangs I bestimmt.</w:t>
      </w:r>
    </w:p>
    <w:p>
      <w:pPr>
        <w:pStyle w:val="GesAbsatz"/>
      </w:pPr>
      <w:r>
        <w:t>(2) Die Mitgliedstaaten weisen innerhalb von zwei Jahren nach Bekanntgabe dieser Richtlinie alle in ihrem Gebiet bekannten Flächen, die in nach Absatz 1 bestimmte Gewässer entwässern und die zur Verunreinigung beitragen, als gefährdete Gebiete aus. Sie unterrichten die Kommission hiervon innerhalb von sechs Monaten nach erster Ausweisung.</w:t>
      </w:r>
    </w:p>
    <w:p>
      <w:pPr>
        <w:pStyle w:val="GesAbsatz"/>
      </w:pPr>
      <w:r>
        <w:t>(3) Werden Gewässer, die ein Mitgliedstaat gemäß Artikel 1 bestimmt hat, durch direkte oder indirekte Zuflüsse aus einem anderen Mitgliedstaat beeinträchtigt, so kann der Mitgliedstaat, dessen Gewässer beeinträchtigt werden, den anderen Mitgliedstaat und die Kommission entsprechend unterrichten.</w:t>
      </w:r>
    </w:p>
    <w:p>
      <w:pPr>
        <w:pStyle w:val="GesAbsatz"/>
      </w:pPr>
      <w:r>
        <w:t>Die beteiligten Mitgliedstaaten veranlassen gegebenenfalls gemeinsam mit der Kommission die notwendige Abstimmung zur Ermittlung der Ursachen der Verunreinigung und zur Festlegung der Maßnahmen, die zum Schutz der beeinträchtigten Gewässer zu treffen sind, um die Übereinstimmung mit dieser Richtlinie sicherzustellen.</w:t>
      </w:r>
    </w:p>
    <w:p>
      <w:pPr>
        <w:pStyle w:val="GesAbsatz"/>
      </w:pPr>
      <w:r>
        <w:t xml:space="preserve">(4) Die Mitgliedstaaten sind gehalten, ihr Verzeichnis der gefährdeten </w:t>
      </w:r>
      <w:proofErr w:type="gramStart"/>
      <w:r>
        <w:t>Gebiete</w:t>
      </w:r>
      <w:proofErr w:type="gramEnd"/>
      <w:r>
        <w:t xml:space="preserve"> wenn notwendig, jedoch mindestens alle vier Jahre zu prüfen und gegebenenfalls zu ändern oder zu ergänzen, um Veränderungen und zum Zeitpunkt der vorherigen Einstufung unvorhergesehene Faktoren zu berücksichtigen. Sie unterrichten die Kommission innerhalb von sechs Monaten von jeder Änderung oder Ergänzung dieses Verzeichnisses.</w:t>
      </w:r>
    </w:p>
    <w:p>
      <w:pPr>
        <w:pStyle w:val="GesAbsatz"/>
      </w:pPr>
      <w:r>
        <w:t>(5) Die Mitgliedstaaten sind von der Verpflichtung, bestimmte gefährdete Gebiete auszuweisen, befreit, wenn sie die in Artikel 5 genannten Aktionsprogramme nach den Vorgaben dieser Richtlinie in ihrem gesamten Gebiet durchführen.</w:t>
      </w:r>
    </w:p>
    <w:p>
      <w:pPr>
        <w:pStyle w:val="berschrift2"/>
      </w:pPr>
      <w:bookmarkStart w:id="5" w:name="_Toc134600726"/>
      <w:r>
        <w:t>Artikel 4</w:t>
      </w:r>
      <w:bookmarkEnd w:id="5"/>
    </w:p>
    <w:p>
      <w:pPr>
        <w:pStyle w:val="GesAbsatz"/>
      </w:pPr>
      <w:r>
        <w:t>(1) Um für alle Gewässer einen allgemeinen Schutz vor Verunreinigung zu gewährleisten, treffen die Mitgliedstaaten innen zwei Jahre nach Bekanntgabe dieser Richtlinie folgende Maßnahmen:</w:t>
      </w:r>
    </w:p>
    <w:p>
      <w:pPr>
        <w:pStyle w:val="GesAbsatz"/>
        <w:ind w:left="426" w:hanging="426"/>
      </w:pPr>
      <w:r>
        <w:t>a)</w:t>
      </w:r>
      <w:r>
        <w:tab/>
        <w:t>Sie stellen Regeln der guten fachlichen Praxis in der Landwirtschaft auf, die von den Landwirten auf freiwilliger Basis anzuwenden sind und Bestimmungen enthalten sollten, welche mindestens die in Anhang II Punkt A enthaltenen Punkte umfassen;</w:t>
      </w:r>
    </w:p>
    <w:p>
      <w:pPr>
        <w:pStyle w:val="GesAbsatz"/>
        <w:ind w:left="426" w:hanging="426"/>
      </w:pPr>
      <w:r>
        <w:t>b)</w:t>
      </w:r>
      <w:r>
        <w:tab/>
        <w:t>sie erarbeiten, falls notwendig, ein Programm, das auch Schulungs- und Informationsmaßnahmen für Landwirte vorsieht und das die Anwendung der Regeln der guten fachlichen Praxis in der Landwirtschaft fördert.</w:t>
      </w:r>
    </w:p>
    <w:p>
      <w:pPr>
        <w:pStyle w:val="GesAbsatz"/>
      </w:pPr>
      <w:r>
        <w:lastRenderedPageBreak/>
        <w:t>(2) Die Mitgliedstaaten übermitteln der Kommission die Einzelheiten ihrer Regeln der guten fachlichen Praxis in der Landwirtschaft; die Kommission nimmt die Angaben über diese Regeln in den in Artikel 11 genannten Bericht auf. Anhand der enthaltenen Informationen kann die Kommission dem Rat geeignete Vorschläge unterbreiten, wenn sie dies für erforderlich hält.</w:t>
      </w:r>
    </w:p>
    <w:p>
      <w:pPr>
        <w:pStyle w:val="berschrift2"/>
      </w:pPr>
      <w:bookmarkStart w:id="6" w:name="_Toc134600727"/>
      <w:r>
        <w:t>Artikel 5</w:t>
      </w:r>
      <w:bookmarkEnd w:id="6"/>
    </w:p>
    <w:p>
      <w:pPr>
        <w:pStyle w:val="GesAbsatz"/>
      </w:pPr>
      <w:r>
        <w:t>(1) Zur Verwirklichung der in Artikel 1 genannten Ziele legen die Mitgliedstaaten innerhalb von zwei Jahren nach der ersten Ausweisung der gefährdeten Gebiete nach Artikel 3 Absatz 2 oder innerhalb eines Jahres nach jeder ergänzenden Ausweisung nach Artikel 3 Absatz 4 Aktionsprogramme für die als gefährdet ausgewiesenen Gebiete fest.</w:t>
      </w:r>
    </w:p>
    <w:p>
      <w:pPr>
        <w:pStyle w:val="GesAbsatz"/>
      </w:pPr>
      <w:r>
        <w:t>(2) Ein Aktionsprogramm kann sich auf alle gefährdeten Gebiete im Gebiet eines Mitgliedstaates erstrecken, oder es können verschiedene Programme für verschiedene gefährdete Gebiete oder Teilgebiete festgelegt werden, wenn der Mitgliedstaat dies für angebracht hält.</w:t>
      </w:r>
    </w:p>
    <w:p>
      <w:pPr>
        <w:pStyle w:val="GesAbsatz"/>
      </w:pPr>
      <w:r>
        <w:t>(3) In den Aktionsprogrammen werden berücksichtigt:</w:t>
      </w:r>
    </w:p>
    <w:p>
      <w:pPr>
        <w:pStyle w:val="GesAbsatz"/>
        <w:ind w:left="426" w:hanging="426"/>
      </w:pPr>
      <w:r>
        <w:t>a)</w:t>
      </w:r>
      <w:r>
        <w:tab/>
        <w:t>die verfügbaren wissenschaftlichen und technischen Daten, insbesondere über die jeweiligen Stickstoffeinträge aus landwirtschaftlichen und anderen Quellen;</w:t>
      </w:r>
    </w:p>
    <w:p>
      <w:pPr>
        <w:pStyle w:val="GesAbsatz"/>
        <w:ind w:left="426" w:hanging="426"/>
      </w:pPr>
      <w:r>
        <w:t>b)</w:t>
      </w:r>
      <w:r>
        <w:tab/>
        <w:t>die Umweltbedingungen in den jeweiligen Regionen des Mitgliedstaates.</w:t>
      </w:r>
    </w:p>
    <w:p>
      <w:pPr>
        <w:pStyle w:val="GesAbsatz"/>
      </w:pPr>
      <w:r>
        <w:t>(4) Die Aktionsprogramme werden innerhalb von vier Jahren nach Aufstellung durchgeführt und enthalten folgende verbindlich vorgeschriebene Maßnahmen:</w:t>
      </w:r>
    </w:p>
    <w:p>
      <w:pPr>
        <w:pStyle w:val="GesAbsatz"/>
      </w:pPr>
      <w:r>
        <w:t>a)</w:t>
      </w:r>
      <w:r>
        <w:tab/>
        <w:t>die Maßnahmen nach Anhang III,</w:t>
      </w:r>
    </w:p>
    <w:p>
      <w:pPr>
        <w:pStyle w:val="GesAbsatz"/>
        <w:ind w:left="426" w:hanging="426"/>
      </w:pPr>
      <w:r>
        <w:t>b)</w:t>
      </w:r>
      <w:r>
        <w:tab/>
        <w:t>Maßnahmen, die die Mitgliedstaaten in den Regeln der guten fachlichen Praxis in der Landwirtschaft nach Maßgabe von Artikel 4 vorgeschrieben haben, ausgenommen diejenigen, die durch die Maßnahmen nach Anhang III ersetzt wurden.</w:t>
      </w:r>
    </w:p>
    <w:p>
      <w:pPr>
        <w:pStyle w:val="GesAbsatz"/>
      </w:pPr>
      <w:r>
        <w:t xml:space="preserve">(5) Die Mitgliedstaaten treffen darüber hinaus im Rahmen der Aktionsprogramme die zusätzlichen Maßnahmen oder verstärkten Aktionen, die sie für erforderlich halten, wenn von Anfang an oder anhand der Erfahrungen bei der Durchführung der Aktionsprogramme deutlich wird, </w:t>
      </w:r>
      <w:proofErr w:type="spellStart"/>
      <w:r>
        <w:t>daß</w:t>
      </w:r>
      <w:proofErr w:type="spellEnd"/>
      <w:r>
        <w:t xml:space="preserve"> die Maßnahmen nach Absatz 4 zur Verwirklichung der in Artikel 1 genannten Ziele nicht ausreichen. Bei der Wahl dieser Maßnahmen oder Aktionen tragen die Mitgliedstaaten deren Wirksamkeit und den damit verbundenen Kosten im Vergleich zu anderen möglichen Vorbeugungsmaßnahmen Rechnung.</w:t>
      </w:r>
    </w:p>
    <w:p>
      <w:pPr>
        <w:pStyle w:val="GesAbsatz"/>
      </w:pPr>
      <w:r>
        <w:t xml:space="preserve">(6) Die Mitgliedstaaten sorgen für die Aufstellung und Durchführung geeigneter Überwachungsprogramme, damit die Wirksamkeit der in diesem Artikel vorgesehenen Aktionsprogramme beurteilt werden kann. Die Mitgliedstaaten, die in Artikel 5 in ihrem gesamten Gebiet anwenden, überwachen den Nitratgehalt der Gewässer (Oberflächengewässer und Grundwasser) an ausgewählten </w:t>
      </w:r>
      <w:proofErr w:type="spellStart"/>
      <w:r>
        <w:t>Meßstellen</w:t>
      </w:r>
      <w:proofErr w:type="spellEnd"/>
      <w:r>
        <w:t>, an denen der Grand der Nitratverunreinigung der Gewässer aus landwirtschaftlichen Quellen festgestellt werden kann.</w:t>
      </w:r>
    </w:p>
    <w:p>
      <w:pPr>
        <w:pStyle w:val="GesAbsatz"/>
      </w:pPr>
      <w:r>
        <w:t>(7) Mindestens alle vier Jahre überprüfen die Mitgliedstaaten ihre Aktionsprogramme und schreiben, falls erforderlich, einschließlich zusätzlicher Maßnahmen nach Artikel 5 fort. Sie unterrichten die Kommission von allen Änderungen der Aktionsprogramme.</w:t>
      </w:r>
    </w:p>
    <w:p>
      <w:pPr>
        <w:pStyle w:val="berschrift2"/>
      </w:pPr>
      <w:bookmarkStart w:id="7" w:name="_Toc134600728"/>
      <w:r>
        <w:t>Artikel 6</w:t>
      </w:r>
      <w:bookmarkEnd w:id="7"/>
    </w:p>
    <w:p>
      <w:pPr>
        <w:pStyle w:val="GesAbsatz"/>
      </w:pPr>
      <w:r>
        <w:t>(1) Zur Ausweisung gefährdeter Gebiete und zur Fortschreibung der Ausweisung treffen die Mitgliedstaaten folgende Maßnahmen:</w:t>
      </w:r>
    </w:p>
    <w:p>
      <w:pPr>
        <w:pStyle w:val="GesAbsatz"/>
        <w:ind w:left="426" w:hanging="426"/>
      </w:pPr>
      <w:r>
        <w:t>a)</w:t>
      </w:r>
      <w:r>
        <w:tab/>
        <w:t>Innerhalb von zwei Jahren nach Bekanntgabe dieser Richtlinie messen sie die Nitratkonzentration im Süßwasser über einen Zeitraum von einem Jahr, und zwar:</w:t>
      </w:r>
    </w:p>
    <w:p>
      <w:pPr>
        <w:pStyle w:val="GesAbsatz"/>
        <w:tabs>
          <w:tab w:val="clear" w:pos="425"/>
        </w:tabs>
        <w:ind w:left="851" w:hanging="425"/>
      </w:pPr>
      <w:r>
        <w:t>i)</w:t>
      </w:r>
      <w:r>
        <w:tab/>
        <w:t xml:space="preserve">an </w:t>
      </w:r>
      <w:proofErr w:type="spellStart"/>
      <w:r>
        <w:t>Meßstellen</w:t>
      </w:r>
      <w:proofErr w:type="spellEnd"/>
      <w:r>
        <w:t xml:space="preserve"> von Oberflächengewässern nach Artikel 5 Absatz 4 der Richtlinie 75/440/EWG und/oder anderen </w:t>
      </w:r>
      <w:proofErr w:type="spellStart"/>
      <w:r>
        <w:t>Meßstellen</w:t>
      </w:r>
      <w:proofErr w:type="spellEnd"/>
      <w:r>
        <w:t>, die für die Oberflächengewässer der Mitgliedstaaten repräsentativ sind, mindestens einmal monatlich und häufiger bei Hochwasser,</w:t>
      </w:r>
    </w:p>
    <w:p>
      <w:pPr>
        <w:pStyle w:val="GesAbsatz"/>
        <w:tabs>
          <w:tab w:val="clear" w:pos="425"/>
        </w:tabs>
        <w:ind w:left="851" w:hanging="425"/>
      </w:pPr>
      <w:r>
        <w:t>ii)</w:t>
      </w:r>
      <w:r>
        <w:tab/>
        <w:t xml:space="preserve">an </w:t>
      </w:r>
      <w:proofErr w:type="spellStart"/>
      <w:r>
        <w:t>Grundwassermeßstellen</w:t>
      </w:r>
      <w:proofErr w:type="spellEnd"/>
      <w:r>
        <w:t>, die für die Grundwasservorkommen der Mitgliedstaaten repräsentativ sind, in regelmäßigen Abständen und unter Berücksichtigung der Richtlinie 80/778/EWG;</w:t>
      </w:r>
    </w:p>
    <w:p>
      <w:pPr>
        <w:pStyle w:val="GesAbsatz"/>
        <w:ind w:left="426" w:hanging="426"/>
      </w:pPr>
      <w:r>
        <w:t>b)</w:t>
      </w:r>
      <w:r>
        <w:tab/>
        <w:t xml:space="preserve">mindestens alle vier Jahre wiederholen sie die in Buchstabe a) beschriebenen Messungen, außer im Falle der </w:t>
      </w:r>
      <w:proofErr w:type="spellStart"/>
      <w:r>
        <w:t>Meßstellen</w:t>
      </w:r>
      <w:proofErr w:type="spellEnd"/>
      <w:r>
        <w:t xml:space="preserve">, bei denen die Nitratkonzentrationen bei allen früheren Proben unter 25 mg/l lag und keine neuen Faktoren aufgetreten sind, die zu einer Zunahme des Nitratgehalts führen könnten; in diesem Fall </w:t>
      </w:r>
      <w:proofErr w:type="spellStart"/>
      <w:r>
        <w:t>muß</w:t>
      </w:r>
      <w:proofErr w:type="spellEnd"/>
      <w:r>
        <w:t xml:space="preserve"> die Messung nur alle acht Jahre wiederholt werden;</w:t>
      </w:r>
    </w:p>
    <w:p>
      <w:pPr>
        <w:pStyle w:val="GesAbsatz"/>
        <w:ind w:left="426" w:hanging="426"/>
      </w:pPr>
      <w:r>
        <w:t>c)</w:t>
      </w:r>
      <w:r>
        <w:tab/>
        <w:t>alle vier Jahre überprüfen sie den Zustand ihrer Binnen-, Mündungs- und Küstengewässer unter dem Gesichtspunkt der Eutrophierung.</w:t>
      </w:r>
    </w:p>
    <w:p>
      <w:pPr>
        <w:pStyle w:val="GesAbsatz"/>
      </w:pPr>
      <w:r>
        <w:lastRenderedPageBreak/>
        <w:t>(2) Messungen werden nach den Referenzmethoden des Anhangs IV durchgeführt.</w:t>
      </w:r>
    </w:p>
    <w:p>
      <w:pPr>
        <w:pStyle w:val="berschrift2"/>
      </w:pPr>
      <w:bookmarkStart w:id="8" w:name="_Toc134600729"/>
      <w:r>
        <w:t>Artikel 7</w:t>
      </w:r>
      <w:bookmarkEnd w:id="8"/>
    </w:p>
    <w:p>
      <w:pPr>
        <w:pStyle w:val="GesAbsatz"/>
      </w:pPr>
      <w:r>
        <w:t>Die Kommission kann Leitlinien für die in den Artikeln 5 und 6 genannte Überwachung nach dem in Artikel 9 Absatz 2 genannten Regelungsverfahren ausarbeiten.</w:t>
      </w:r>
    </w:p>
    <w:p>
      <w:pPr>
        <w:pStyle w:val="berschrift2"/>
      </w:pPr>
      <w:bookmarkStart w:id="9" w:name="_Toc134600730"/>
      <w:r>
        <w:t>Artikel 8</w:t>
      </w:r>
      <w:bookmarkEnd w:id="9"/>
    </w:p>
    <w:p>
      <w:pPr>
        <w:pStyle w:val="GesAbsatz"/>
      </w:pPr>
      <w:r>
        <w:t>Die Kommission kann die Anhänge dieser Richtlinie entsprechend dem wissenschaftlichen und technischen Fortschritt anpassen.</w:t>
      </w:r>
    </w:p>
    <w:p>
      <w:pPr>
        <w:pStyle w:val="GesAbsatz"/>
      </w:pPr>
      <w:r>
        <w:t>Diese Maßnahmen zur Änderung nicht wesentlicher Bestimmungen dieser Richtlinie werden nach dem in Artikel 9 Absatz 3 genannten Regelungsverfahren mit Kontrolle erlassen.</w:t>
      </w:r>
    </w:p>
    <w:p>
      <w:pPr>
        <w:pStyle w:val="berschrift2"/>
      </w:pPr>
      <w:bookmarkStart w:id="10" w:name="_Toc134600731"/>
      <w:r>
        <w:t>Artikel 9</w:t>
      </w:r>
      <w:bookmarkEnd w:id="10"/>
    </w:p>
    <w:p>
      <w:pPr>
        <w:pStyle w:val="GesAbsatz"/>
      </w:pPr>
      <w:r>
        <w:t>(1) Die Kommission wird von einem Ausschuss unterstützt.</w:t>
      </w:r>
    </w:p>
    <w:p>
      <w:pPr>
        <w:pStyle w:val="GesAbsatz"/>
      </w:pPr>
      <w:r>
        <w:t>(2) Wird auf diesen Artikel Bezug genommen, so gelten die Artikel 5 und 7 des Beschlusses 1999/468/EG</w:t>
      </w:r>
      <w:r>
        <w:rPr>
          <w:rStyle w:val="Funotenzeichen"/>
          <w:sz w:val="16"/>
          <w:szCs w:val="16"/>
        </w:rPr>
        <w:footnoteReference w:id="9"/>
      </w:r>
      <w:r>
        <w:rPr>
          <w:sz w:val="16"/>
          <w:szCs w:val="16"/>
          <w:vertAlign w:val="superscript"/>
        </w:rPr>
        <w:t xml:space="preserve"> </w:t>
      </w:r>
      <w:r>
        <w:t>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11" w:name="_Toc134600732"/>
      <w:r>
        <w:t>Artikel 10</w:t>
      </w:r>
      <w:bookmarkEnd w:id="11"/>
    </w:p>
    <w:p>
      <w:pPr>
        <w:pStyle w:val="GesAbsatz"/>
      </w:pPr>
      <w:r>
        <w:t>(1) Die Mitgliedstaaten legen der Kommission für den Vierjahreszeitraum nach Bekanntgabe dieser Richtlinie und für jeden darauffolgenden Vierjahreszeitraum einen Bericht mit den in Anhang V beschriebenen Informationen vor.</w:t>
      </w:r>
    </w:p>
    <w:p>
      <w:pPr>
        <w:pStyle w:val="GesAbsatz"/>
      </w:pPr>
      <w:r>
        <w:t>(2) Ein Bericht nach diesem Artikel wird der Kommission binnen sechs Monaten nach Ende des Zeitraums vorgelegt, auf den er sich bezieht.</w:t>
      </w:r>
    </w:p>
    <w:p>
      <w:pPr>
        <w:pStyle w:val="berschrift2"/>
      </w:pPr>
      <w:bookmarkStart w:id="12" w:name="_Toc134600733"/>
      <w:r>
        <w:t>Artikel 11</w:t>
      </w:r>
      <w:bookmarkEnd w:id="12"/>
    </w:p>
    <w:p>
      <w:pPr>
        <w:pStyle w:val="GesAbsatz"/>
      </w:pPr>
      <w:r>
        <w:t>Auf der Grundlage der gemäß Artikel 10 erhaltenen Informationen veröffentlicht die Kommission binnen sechs Monaten nach Erhalt der Berichte der Mitgliedstaaten einen zusammenfassenden Bericht und übermittelt ihn dem Europäischen Parlament und dem Rat. Anhang der Durchführung der Richtlinie und insbesondere des Anhangs III unterbreitet die Kommission dem Rat bis zum 1. Januar 1998 einen Bericht, dem sie gegebenenfalls Vorschläge für die Überprüfung dieser Richtlinie beifügt.</w:t>
      </w:r>
    </w:p>
    <w:p>
      <w:pPr>
        <w:pStyle w:val="berschrift2"/>
      </w:pPr>
      <w:bookmarkStart w:id="13" w:name="_Toc134600734"/>
      <w:r>
        <w:t>Artikel 12</w:t>
      </w:r>
      <w:bookmarkEnd w:id="13"/>
    </w:p>
    <w:p>
      <w:pPr>
        <w:pStyle w:val="GesAbsatz"/>
      </w:pPr>
      <w:r>
        <w:t>(1) Die Mitgliedstaaten erlassen die erforderlichen Rechts- und Verwaltungsvorschriften, um dieser Richtlinie binnen zwei Jahren nach ihrer Bekanntgabe</w:t>
      </w:r>
      <w:r>
        <w:rPr>
          <w:rStyle w:val="Funotenzeichen"/>
        </w:rPr>
        <w:footnoteReference w:id="10"/>
      </w:r>
      <w:r>
        <w:t xml:space="preserve"> nachzukommen. Sie setzen die Kommission unverzüglich davon in Kenntnis.</w:t>
      </w:r>
    </w:p>
    <w:p>
      <w:pPr>
        <w:pStyle w:val="GesAbsatz"/>
      </w:pPr>
      <w:r>
        <w:t>(2) Wenn die Mitgliedstaaten diese Vorschriften erlassen, nehmen sie in den Vorschriften selbst oder durch einen Hinweis bei der amtlichen Veröffentlichung auf diese Richtlinie Bezug. Die Mitgliedstaaten regeln die Einzelheiten der Bezugnahmen.</w:t>
      </w:r>
    </w:p>
    <w:p>
      <w:pPr>
        <w:pStyle w:val="GesAbsatz"/>
      </w:pPr>
      <w:r>
        <w:t>(3) Die Mitgliedstaaten teilen der Kommission den Wortlaut der innerstaatlichen Rechtsvorschriften mit, die sie auf dem unter diese Richtlinie fallenden Gebiet erlassen.</w:t>
      </w:r>
    </w:p>
    <w:p>
      <w:pPr>
        <w:pStyle w:val="berschrift2"/>
      </w:pPr>
      <w:bookmarkStart w:id="14" w:name="_Toc134600735"/>
      <w:r>
        <w:t>Artikel 13</w:t>
      </w:r>
      <w:bookmarkEnd w:id="14"/>
    </w:p>
    <w:p>
      <w:pPr>
        <w:pStyle w:val="GesAbsatz"/>
      </w:pPr>
      <w:r>
        <w:t>Diese Richtlinie ist an die Mitgliedstaaten gerichtet.</w:t>
      </w:r>
    </w:p>
    <w:p>
      <w:pPr>
        <w:pStyle w:val="berschrift2"/>
        <w:jc w:val="left"/>
      </w:pPr>
      <w:bookmarkStart w:id="15" w:name="_Toc134600736"/>
      <w:r>
        <w:lastRenderedPageBreak/>
        <w:t>Anhang I</w:t>
      </w:r>
      <w:r>
        <w:br/>
        <w:t>Kriterien für die Bestimmung der Gewässer nach Artikel 3 Absatz 1</w:t>
      </w:r>
      <w:bookmarkEnd w:id="15"/>
    </w:p>
    <w:p>
      <w:pPr>
        <w:pStyle w:val="GesAbsatz"/>
      </w:pPr>
      <w:r>
        <w:t>A.</w:t>
      </w:r>
      <w:r>
        <w:tab/>
        <w:t xml:space="preserve">Gewässer nach Artikel 3 Absatz 1 werden unter anderem </w:t>
      </w:r>
      <w:proofErr w:type="gramStart"/>
      <w:r>
        <w:t>nach folgenden</w:t>
      </w:r>
      <w:proofErr w:type="gramEnd"/>
      <w:r>
        <w:t xml:space="preserve"> Kriterien bestimmt:</w:t>
      </w:r>
    </w:p>
    <w:p>
      <w:pPr>
        <w:pStyle w:val="GesAbsatz"/>
        <w:ind w:left="426" w:hanging="426"/>
      </w:pPr>
      <w:r>
        <w:t>1.</w:t>
      </w:r>
      <w:r>
        <w:tab/>
        <w:t>wenn Binnen Gewässer, insbesondere solche, die zur Trinkwassergewinnung genutzt werden oder bestimmt sind, eine höhere Nitratkonzentration als die nach der Richtlinie 75/440/EWG festgesetzte Konzentrationen enthalten oder enthalten können und keine Maßnahmen im Sinne des Artikels 5 getroffen werden;</w:t>
      </w:r>
    </w:p>
    <w:p>
      <w:pPr>
        <w:pStyle w:val="GesAbsatz"/>
        <w:ind w:left="426" w:hanging="426"/>
      </w:pPr>
      <w:r>
        <w:t>2.</w:t>
      </w:r>
      <w:r>
        <w:tab/>
        <w:t>wenn Grundwasser mehr als 50 mg/l Nitrat enthält oder enthalten könnte und keine Maßnahmen im Sinne des Artikels 5 getroffen werden;</w:t>
      </w:r>
    </w:p>
    <w:p>
      <w:pPr>
        <w:pStyle w:val="GesAbsatz"/>
        <w:ind w:left="426" w:hanging="426"/>
      </w:pPr>
      <w:r>
        <w:t>3.</w:t>
      </w:r>
      <w:r>
        <w:tab/>
        <w:t>wenn in Binnengewässern, Mündungsgewässern, Küstengewässern und in Meeren eine Eutrophierung festgestellt wurde oder in naher Zukunft zu befürchten ist und keine Maßnahmen im Sinne des Artikels 5 getroffen werden.</w:t>
      </w:r>
    </w:p>
    <w:p>
      <w:pPr>
        <w:pStyle w:val="GesAbsatz"/>
      </w:pPr>
      <w:r>
        <w:t>B.</w:t>
      </w:r>
      <w:r>
        <w:tab/>
        <w:t>Bei Anwendung dieser Kriterien berücksichtigen die Mitgliedstaaten ferner</w:t>
      </w:r>
    </w:p>
    <w:p>
      <w:pPr>
        <w:pStyle w:val="GesAbsatz"/>
        <w:ind w:left="426" w:hanging="426"/>
      </w:pPr>
      <w:r>
        <w:t>1.</w:t>
      </w:r>
      <w:r>
        <w:tab/>
        <w:t>die physikalischen und ökologischen Eigenarten von Boden und Gewässern;</w:t>
      </w:r>
    </w:p>
    <w:p>
      <w:pPr>
        <w:pStyle w:val="GesAbsatz"/>
        <w:ind w:left="426" w:hanging="426"/>
      </w:pPr>
      <w:r>
        <w:t>2.</w:t>
      </w:r>
      <w:r>
        <w:tab/>
        <w:t>den Stand der Erkenntnisse über das Verhalten von Stickstoffverbindungen in der Umwelt (Boden und Gewässer);</w:t>
      </w:r>
    </w:p>
    <w:p>
      <w:pPr>
        <w:pStyle w:val="GesAbsatz"/>
        <w:ind w:left="426" w:hanging="426"/>
      </w:pPr>
      <w:r>
        <w:t>3.</w:t>
      </w:r>
      <w:r>
        <w:tab/>
        <w:t>den Stand der Erkenntnisse über die Auswirkungen der Maßnahmen im Sinne des Artikels 5.</w:t>
      </w:r>
    </w:p>
    <w:p>
      <w:pPr>
        <w:pStyle w:val="berschrift2"/>
        <w:jc w:val="left"/>
      </w:pPr>
      <w:bookmarkStart w:id="16" w:name="_Toc134600737"/>
      <w:r>
        <w:t>Anhang II</w:t>
      </w:r>
      <w:r>
        <w:br/>
        <w:t>Regeln der guten fachlichen Praxis in der Landwirtschaft</w:t>
      </w:r>
      <w:bookmarkEnd w:id="16"/>
    </w:p>
    <w:p>
      <w:pPr>
        <w:pStyle w:val="GesAbsatz"/>
        <w:ind w:left="426" w:hanging="426"/>
      </w:pPr>
      <w:r>
        <w:t>A.</w:t>
      </w:r>
      <w:r>
        <w:tab/>
        <w:t>Die Regeln der guten fachlichen Praxis in der Landwirtschaft, mit denen die Verringerung der Nitratverunreinigung erreicht werden soll und die die Verhältnisse in den verschiedenen Regionen der Gemeinschaft berücksichtigen, sollte Bestimmungen zu folgenden Punkten enthalten, soweit diese von Belang sind:</w:t>
      </w:r>
    </w:p>
    <w:p>
      <w:pPr>
        <w:pStyle w:val="GesAbsatz"/>
        <w:ind w:left="426" w:hanging="426"/>
      </w:pPr>
      <w:r>
        <w:t>1.</w:t>
      </w:r>
      <w:r>
        <w:tab/>
        <w:t>Zeiträume, in denen Düngemitteln nicht auf landwirtschaftlichen Flächen ausgebracht werden sollten,</w:t>
      </w:r>
    </w:p>
    <w:p>
      <w:pPr>
        <w:pStyle w:val="GesAbsatz"/>
        <w:ind w:left="426" w:hanging="426"/>
      </w:pPr>
      <w:r>
        <w:t>2.</w:t>
      </w:r>
      <w:r>
        <w:tab/>
        <w:t>Ausbringen von Düngemitteln auf stark geneigten landwirtschaftlichen Flächen;</w:t>
      </w:r>
    </w:p>
    <w:p>
      <w:pPr>
        <w:pStyle w:val="GesAbsatz"/>
        <w:ind w:left="426" w:hanging="426"/>
      </w:pPr>
      <w:r>
        <w:t>3.</w:t>
      </w:r>
      <w:r>
        <w:tab/>
        <w:t>Ausbringen von Düngemitteln auf wassergesättigten, überschwemmten, gefrorenen oder schneebedeckten Böden;</w:t>
      </w:r>
    </w:p>
    <w:p>
      <w:pPr>
        <w:pStyle w:val="GesAbsatz"/>
        <w:ind w:left="426" w:hanging="426"/>
      </w:pPr>
      <w:r>
        <w:t>4.</w:t>
      </w:r>
      <w:r>
        <w:tab/>
        <w:t>Bedingungen für das Ausbringen von Düngemitteln auf landwirtschaftlichen Flächen in der Nähe von Wasserläufen;</w:t>
      </w:r>
    </w:p>
    <w:p>
      <w:pPr>
        <w:pStyle w:val="GesAbsatz"/>
        <w:ind w:left="426" w:hanging="426"/>
      </w:pPr>
      <w:r>
        <w:t>5.</w:t>
      </w:r>
      <w:r>
        <w:tab/>
        <w:t>Fassungsvermögen und Bauweise von Behältern zur Lagerung von Dung, einschließlich Maßnahmen zur Verhinderung von Gewässerverunreinigungen durch Einleiten und Versickern von dunghaltigen Flüssigkeiten und von gelagertem Pflanzenmaterial wie z. B. Silagesickersäften in das Grundwasser und in Oberflächengewässer;</w:t>
      </w:r>
    </w:p>
    <w:p>
      <w:pPr>
        <w:pStyle w:val="GesAbsatz"/>
        <w:ind w:left="426" w:hanging="426"/>
      </w:pPr>
      <w:r>
        <w:t>6.</w:t>
      </w:r>
      <w:r>
        <w:tab/>
        <w:t>Verfahren für das Ausbringen auf landwirtschaftlichen Flächen - einschließlich der Häufigkeit und Gleichmäßigkeit des Ausbringens - von sowohl Mineraldünger als auch Dung, bei denen die Nährstoffverluste in die Gewässer auf ein annehmbares Maß beschränkt bleiben.</w:t>
      </w:r>
    </w:p>
    <w:p>
      <w:pPr>
        <w:pStyle w:val="GesAbsatz"/>
        <w:ind w:left="426" w:hanging="426"/>
      </w:pPr>
      <w:r>
        <w:t>B.</w:t>
      </w:r>
      <w:r>
        <w:tab/>
        <w:t>Die Mitgliedstaaten können in ihre Regel der guten fachlichen Praxis in der Landwirtschaft auch folgende Punkte aufnehmen:</w:t>
      </w:r>
    </w:p>
    <w:p>
      <w:pPr>
        <w:pStyle w:val="GesAbsatz"/>
        <w:ind w:left="426" w:hanging="426"/>
      </w:pPr>
      <w:r>
        <w:t>7.</w:t>
      </w:r>
      <w:r>
        <w:tab/>
        <w:t>Bodenbewirtschaftung, einschließlich Fruchtfolgegestaltung und der Anbauverhältnisse (Grünland/Ackerland);</w:t>
      </w:r>
    </w:p>
    <w:p>
      <w:pPr>
        <w:pStyle w:val="GesAbsatz"/>
        <w:ind w:left="426" w:hanging="426"/>
      </w:pPr>
      <w:r>
        <w:t>8.</w:t>
      </w:r>
      <w:r>
        <w:tab/>
        <w:t>Beibehaltung einer Mindestpflanzenbedeckung während bestimmter (Regen-)Zeiten zur Aufnahme des Stickstoffs, der sonst eine Nitratbelastung im Gewässer verursachen könnte;</w:t>
      </w:r>
    </w:p>
    <w:p>
      <w:pPr>
        <w:pStyle w:val="GesAbsatz"/>
        <w:ind w:left="426" w:hanging="426"/>
      </w:pPr>
      <w:r>
        <w:t>9.</w:t>
      </w:r>
      <w:r>
        <w:tab/>
        <w:t>Aufstellung von Düngeplänen für die einzelnen landwirtschaftlichen Betriebe und Führen von Aufzeichnen über die Verwendung von Düngemitteln;</w:t>
      </w:r>
    </w:p>
    <w:p>
      <w:pPr>
        <w:pStyle w:val="GesAbsatz"/>
        <w:ind w:left="426" w:hanging="426"/>
      </w:pPr>
      <w:r>
        <w:t>10.</w:t>
      </w:r>
      <w:r>
        <w:tab/>
        <w:t>Verhinderung von Gewässerverunreinigungen durch Abfließen und Versickern von Wasser in Bewässerungssystemen über die Reichweite der Pflanzenwurzeln hinaus.</w:t>
      </w:r>
    </w:p>
    <w:p>
      <w:pPr>
        <w:pStyle w:val="berschrift2"/>
        <w:jc w:val="left"/>
      </w:pPr>
      <w:bookmarkStart w:id="17" w:name="_Toc134600738"/>
      <w:r>
        <w:t>Anhang III</w:t>
      </w:r>
      <w:r>
        <w:br/>
        <w:t>Maßnahmen, die in die Aktionsprogramme nach Artikel 5 Absatz 4 Buchstabe a) aufzunehmen sind.</w:t>
      </w:r>
      <w:bookmarkEnd w:id="17"/>
    </w:p>
    <w:p>
      <w:pPr>
        <w:pStyle w:val="GesAbsatz"/>
        <w:ind w:left="426" w:hanging="426"/>
      </w:pPr>
      <w:r>
        <w:t>1.</w:t>
      </w:r>
      <w:r>
        <w:tab/>
        <w:t>Diese Maßnahmen umfassen Vorschriften betreffend:</w:t>
      </w:r>
    </w:p>
    <w:p>
      <w:pPr>
        <w:pStyle w:val="GesAbsatz"/>
        <w:tabs>
          <w:tab w:val="clear" w:pos="425"/>
        </w:tabs>
        <w:ind w:left="851" w:hanging="425"/>
      </w:pPr>
      <w:r>
        <w:lastRenderedPageBreak/>
        <w:t>1.</w:t>
      </w:r>
      <w:r>
        <w:tab/>
        <w:t>die Zeiträume, in denen das Ausbringen bestimmter Arten von Düngemitteln auf landwirtschaftlichen Flächen verboten ist;</w:t>
      </w:r>
    </w:p>
    <w:p>
      <w:pPr>
        <w:pStyle w:val="GesAbsatz"/>
        <w:tabs>
          <w:tab w:val="clear" w:pos="425"/>
        </w:tabs>
        <w:ind w:left="851" w:hanging="425"/>
      </w:pPr>
      <w:r>
        <w:t>2.</w:t>
      </w:r>
      <w:r>
        <w:tab/>
        <w:t xml:space="preserve">das Fassungsvermögen von Behältern zur Lagerung von Dung, dieses </w:t>
      </w:r>
      <w:proofErr w:type="spellStart"/>
      <w:r>
        <w:t>muß</w:t>
      </w:r>
      <w:proofErr w:type="spellEnd"/>
      <w:r>
        <w:t xml:space="preserve"> größer sein als die erforderliche Kapazität für die Lagerung von Dung während des längsten Zeitraums, in dem das Ausbringen von Dung auf landwirtschaftlichen Flächen in den gefährdeten Gebieten verboten ist, es sei denn, der zuständigen Behörde gegenüber kann nachgewiesen werden, </w:t>
      </w:r>
      <w:proofErr w:type="spellStart"/>
      <w:r>
        <w:t>daß</w:t>
      </w:r>
      <w:proofErr w:type="spellEnd"/>
      <w:r>
        <w:t xml:space="preserve"> die das gegebene Fassungsvermögen übersteigende Menge umweltgerecht entsorgt wird;</w:t>
      </w:r>
    </w:p>
    <w:p>
      <w:pPr>
        <w:pStyle w:val="GesAbsatz"/>
        <w:tabs>
          <w:tab w:val="clear" w:pos="425"/>
        </w:tabs>
        <w:ind w:left="851" w:hanging="425"/>
      </w:pPr>
      <w:r>
        <w:t>3.</w:t>
      </w:r>
      <w:r>
        <w:tab/>
        <w:t>Begrenzung des Ausbringens von Düngemitteln auf landwirtschaftliche Flächen entsprechend den Regeln der guten fachlichen Praxis in der Landwirtschaft unter Berücksichtigung der besonderen Merkmale des betroffenen gefährdeten Gebiets, insbesondere von</w:t>
      </w:r>
    </w:p>
    <w:p>
      <w:pPr>
        <w:pStyle w:val="GesAbsatz"/>
        <w:ind w:left="1276" w:hanging="425"/>
      </w:pPr>
      <w:r>
        <w:t>a)</w:t>
      </w:r>
      <w:r>
        <w:tab/>
        <w:t>Bodenbeschaffenheit, Bodenart und Bodenneigung,</w:t>
      </w:r>
    </w:p>
    <w:p>
      <w:pPr>
        <w:pStyle w:val="GesAbsatz"/>
        <w:ind w:left="1276" w:hanging="425"/>
      </w:pPr>
      <w:r>
        <w:t>b)</w:t>
      </w:r>
      <w:r>
        <w:tab/>
        <w:t>klimatischen Verhältnissen, Niederschlägen und Bewässerung,</w:t>
      </w:r>
    </w:p>
    <w:p>
      <w:pPr>
        <w:pStyle w:val="GesAbsatz"/>
        <w:ind w:left="1276" w:hanging="425"/>
      </w:pPr>
      <w:r>
        <w:t>c)</w:t>
      </w:r>
      <w:r>
        <w:tab/>
        <w:t>Bodennutzung und Bewirtschaftungspraxis einschließlich Fruchtfolgen,</w:t>
      </w:r>
    </w:p>
    <w:p>
      <w:pPr>
        <w:pStyle w:val="GesAbsatz"/>
        <w:ind w:left="1276" w:hanging="425"/>
      </w:pPr>
      <w:r>
        <w:t xml:space="preserve">ausgerichtet auf </w:t>
      </w:r>
      <w:proofErr w:type="spellStart"/>
      <w:r>
        <w:t>en</w:t>
      </w:r>
      <w:proofErr w:type="spellEnd"/>
      <w:r>
        <w:t xml:space="preserve"> Gleichgewicht zwischen</w:t>
      </w:r>
    </w:p>
    <w:p>
      <w:pPr>
        <w:pStyle w:val="GesAbsatz"/>
        <w:ind w:left="1276" w:hanging="425"/>
      </w:pPr>
      <w:r>
        <w:t>i)</w:t>
      </w:r>
      <w:r>
        <w:tab/>
        <w:t>dem voraussichtlichen Stickstoffbedarf der Pflanzen und</w:t>
      </w:r>
    </w:p>
    <w:p>
      <w:pPr>
        <w:pStyle w:val="GesAbsatz"/>
        <w:ind w:left="1276" w:hanging="425"/>
      </w:pPr>
      <w:r>
        <w:t>ii)</w:t>
      </w:r>
      <w:r>
        <w:tab/>
        <w:t>der Stickstoffversorgung der Pflanzen aus dem Boden und aus der Düngung, und zwar aus</w:t>
      </w:r>
    </w:p>
    <w:p>
      <w:pPr>
        <w:pStyle w:val="GesAbsatz"/>
        <w:ind w:left="1701" w:hanging="425"/>
      </w:pPr>
      <w:r>
        <w:t>-</w:t>
      </w:r>
      <w:r>
        <w:tab/>
        <w:t>der im Boden vorhandenen Stickstoffmenge zu dem Zeitpunkt, zu dem die Pflanzen anfangen, den Stickstoff in signifikantem Umfang aufzunehmen (Reste am Ende des Winters);</w:t>
      </w:r>
    </w:p>
    <w:p>
      <w:pPr>
        <w:pStyle w:val="GesAbsatz"/>
        <w:ind w:left="1701" w:hanging="425"/>
      </w:pPr>
      <w:r>
        <w:t>-</w:t>
      </w:r>
      <w:r>
        <w:tab/>
        <w:t>der Stickstoffnachlieferung aus der Nettomineralisation der organisch gebundenen Stickstoffvorräte im Boden;</w:t>
      </w:r>
    </w:p>
    <w:p>
      <w:pPr>
        <w:pStyle w:val="GesAbsatz"/>
        <w:ind w:left="1701" w:hanging="425"/>
      </w:pPr>
      <w:r>
        <w:t>-</w:t>
      </w:r>
      <w:r>
        <w:tab/>
        <w:t>den Einträgen von Stickstoffverbindungen aus Dung;</w:t>
      </w:r>
    </w:p>
    <w:p>
      <w:pPr>
        <w:pStyle w:val="GesAbsatz"/>
        <w:ind w:left="1701" w:hanging="425"/>
      </w:pPr>
      <w:r>
        <w:t>-</w:t>
      </w:r>
      <w:r>
        <w:tab/>
        <w:t>den Einträgen von Stickstoffverbindungen aus Mineraldünger und anderen Düngemitteln.</w:t>
      </w:r>
    </w:p>
    <w:p>
      <w:pPr>
        <w:pStyle w:val="GesAbsatz"/>
        <w:ind w:left="426" w:hanging="426"/>
      </w:pPr>
      <w:r>
        <w:t>2.</w:t>
      </w:r>
      <w:r>
        <w:tab/>
        <w:t xml:space="preserve">Mit diesen Maßnahmen wird sichergestellt, </w:t>
      </w:r>
      <w:proofErr w:type="spellStart"/>
      <w:r>
        <w:t>daß</w:t>
      </w:r>
      <w:proofErr w:type="spellEnd"/>
      <w:r>
        <w:t xml:space="preserve"> bei jedem Ackerbau- oder Tierhaltungsbetrieb die auf den Boden ausgebrachte Dungmenge, einschließlich des von den Tieren selbst ausgebrachten Dungs, eine bestimmte Menge pro Jahr und Hektar nicht überschreitet.</w:t>
      </w:r>
    </w:p>
    <w:p>
      <w:pPr>
        <w:pStyle w:val="GesAbsatz"/>
        <w:ind w:left="426"/>
      </w:pPr>
      <w:r>
        <w:t>Als Höchstmenge pro Hektar gilt die Menge Dung, die 170 kg Stickstoff enthält. Jedoch</w:t>
      </w:r>
    </w:p>
    <w:p>
      <w:pPr>
        <w:pStyle w:val="GesAbsatz"/>
        <w:ind w:left="1276" w:hanging="425"/>
      </w:pPr>
      <w:r>
        <w:t>a)</w:t>
      </w:r>
      <w:r>
        <w:tab/>
        <w:t>können die Mitgliedstaaten für das erste Vierjahresprogramm eine Dungmenge zulassen, die bis zu 210 kg Stickstoff enthält;</w:t>
      </w:r>
    </w:p>
    <w:p>
      <w:pPr>
        <w:pStyle w:val="GesAbsatz"/>
        <w:ind w:left="1276" w:hanging="425"/>
      </w:pPr>
      <w:r>
        <w:t>b)</w:t>
      </w:r>
      <w:r>
        <w:tab/>
        <w:t xml:space="preserve">können die Mitgliedstaaten während und nach dem ersten Vierjahresprogramm andere als die obengenannten Mengen zulassen. Diese Mengen müssen so festgelegt werden, </w:t>
      </w:r>
      <w:proofErr w:type="spellStart"/>
      <w:r>
        <w:t>daß</w:t>
      </w:r>
      <w:proofErr w:type="spellEnd"/>
      <w:r>
        <w:t xml:space="preserve"> sie die Erreichung der in Artikel 1 genannten Ziele nicht beeinträchtigen; sie sind anhand objektiver Kriterien zu begründen; wie z. B.:</w:t>
      </w:r>
    </w:p>
    <w:p>
      <w:pPr>
        <w:pStyle w:val="GesAbsatz"/>
        <w:ind w:left="1701" w:hanging="425"/>
      </w:pPr>
      <w:r>
        <w:t>-</w:t>
      </w:r>
      <w:r>
        <w:tab/>
        <w:t>lange Wachstumsphasen;</w:t>
      </w:r>
    </w:p>
    <w:p>
      <w:pPr>
        <w:pStyle w:val="GesAbsatz"/>
        <w:ind w:left="1701" w:hanging="425"/>
      </w:pPr>
      <w:r>
        <w:t>-</w:t>
      </w:r>
      <w:r>
        <w:tab/>
        <w:t>Pflanzen mit hohem Stickstoffbedarf;</w:t>
      </w:r>
    </w:p>
    <w:p>
      <w:pPr>
        <w:pStyle w:val="GesAbsatz"/>
        <w:ind w:left="1701" w:hanging="425"/>
      </w:pPr>
      <w:r>
        <w:t>-</w:t>
      </w:r>
      <w:r>
        <w:tab/>
        <w:t>hoher Nettoniederschlag in dem gefährdeten Gebiet;</w:t>
      </w:r>
    </w:p>
    <w:p>
      <w:pPr>
        <w:pStyle w:val="GesAbsatz"/>
        <w:ind w:left="1701" w:hanging="425"/>
      </w:pPr>
      <w:r>
        <w:t>-</w:t>
      </w:r>
      <w:r>
        <w:tab/>
        <w:t>Böden mit einem außergewöhnlich hohen Denitrifikationsvermögen.</w:t>
      </w:r>
    </w:p>
    <w:p>
      <w:pPr>
        <w:pStyle w:val="GesAbsatz"/>
        <w:ind w:left="567"/>
      </w:pPr>
      <w:proofErr w:type="spellStart"/>
      <w:r>
        <w:t>Läßt</w:t>
      </w:r>
      <w:proofErr w:type="spellEnd"/>
      <w:r>
        <w:t xml:space="preserve"> ein Mitgliedstaat nach Maßgabe des vorliegenden Buchstabens b) eine andere Menge zu, so unterrichtet er davon die Kommission, die die Begründung nach dem in Artikel 9 festgelegten Verfahren prüft.</w:t>
      </w:r>
    </w:p>
    <w:p>
      <w:pPr>
        <w:pStyle w:val="GesAbsatz"/>
        <w:ind w:left="426" w:hanging="426"/>
      </w:pPr>
      <w:r>
        <w:t>3.</w:t>
      </w:r>
      <w:r>
        <w:tab/>
        <w:t>Lässt ein Mitgliedstaat nach Maßgabe von Unterabsatz 2 Buchstabe b eine andere Menge zu, so unterrichtet er davon die Kommission, die die Begründung nach dem in Artikel 9 Absatz 2 genannten Regelungsverfahren prüft.</w:t>
      </w:r>
    </w:p>
    <w:p>
      <w:pPr>
        <w:pStyle w:val="GesAbsatz"/>
        <w:ind w:left="426" w:hanging="426"/>
      </w:pPr>
      <w:r>
        <w:t>4.</w:t>
      </w:r>
      <w:r>
        <w:tab/>
        <w:t>Die Mitgliedstaaten teilen die Kommission mit, in welcher Weise sie die Bestimmungen nach Nummer 2 anwenden. Anhang der erhaltenen Informationen kann die Kommission, wenn sie dies für erforderlich hält, dem Rat gemäß Artikel 11 geeignete Vorschläge unterbreiten.</w:t>
      </w:r>
    </w:p>
    <w:p>
      <w:pPr>
        <w:pStyle w:val="berschrift2"/>
        <w:jc w:val="left"/>
      </w:pPr>
      <w:bookmarkStart w:id="18" w:name="_Toc134600739"/>
      <w:r>
        <w:t>Anhang IV</w:t>
      </w:r>
      <w:r>
        <w:br/>
      </w:r>
      <w:proofErr w:type="spellStart"/>
      <w:r>
        <w:t>Referenzmeßmethoden</w:t>
      </w:r>
      <w:bookmarkEnd w:id="18"/>
      <w:proofErr w:type="spellEnd"/>
    </w:p>
    <w:p>
      <w:pPr>
        <w:pStyle w:val="GesAbsatz"/>
      </w:pPr>
      <w:r>
        <w:t>Mineraldünger</w:t>
      </w:r>
    </w:p>
    <w:p>
      <w:pPr>
        <w:pStyle w:val="GesAbsatz"/>
      </w:pPr>
      <w:r>
        <w:lastRenderedPageBreak/>
        <w:t>Stickstoffverbindungen werden gemessen nach dem Verfahren der Richtlinie 77/535/EWG der Kommission vom 22. Juni 1977 zur Angleichung der Rechtsvorschriften der Mitgliedstaaten über Probenahme und Analysemethoden für Düngemittel</w:t>
      </w:r>
      <w:r>
        <w:rPr>
          <w:rStyle w:val="Funotenzeichen"/>
        </w:rPr>
        <w:footnoteReference w:id="11"/>
      </w:r>
      <w:r>
        <w:t xml:space="preserve"> zuletzt geändert durch die Richtlinie 89/519/EWG</w:t>
      </w:r>
      <w:r>
        <w:rPr>
          <w:rStyle w:val="Funotenzeichen"/>
        </w:rPr>
        <w:footnoteReference w:id="12"/>
      </w:r>
    </w:p>
    <w:p>
      <w:pPr>
        <w:pStyle w:val="GesAbsatz"/>
      </w:pPr>
      <w:r>
        <w:t>Binnengewässer, Küstengewässer und Meere</w:t>
      </w:r>
    </w:p>
    <w:p>
      <w:pPr>
        <w:pStyle w:val="GesAbsatz"/>
      </w:pPr>
      <w:r>
        <w:t>Die Nitratkonzentration wird gemessen in Übereinstimmung mit Artikel 4a Absatz 3 der Entscheidung 77/795/EWG des Rates vom 12. Dezember 1977 zur Einführung eines gemeinsamen Verfahrens zum Informationsaustausch über die Qualität des Oberflächensüßwassers in der Gemeinschaft</w:t>
      </w:r>
      <w:r>
        <w:rPr>
          <w:rStyle w:val="Funotenzeichen"/>
        </w:rPr>
        <w:footnoteReference w:id="13"/>
      </w:r>
      <w:r>
        <w:t>,</w:t>
      </w:r>
      <w:r>
        <w:rPr>
          <w:vertAlign w:val="superscript"/>
        </w:rPr>
        <w:t xml:space="preserve"> </w:t>
      </w:r>
      <w:r>
        <w:t>geändert durch die Entscheidung 86/574/EWG</w:t>
      </w:r>
      <w:r>
        <w:rPr>
          <w:rStyle w:val="Funotenzeichen"/>
        </w:rPr>
        <w:footnoteReference w:id="14"/>
      </w:r>
      <w:r>
        <w:t>.</w:t>
      </w:r>
    </w:p>
    <w:p>
      <w:pPr>
        <w:pStyle w:val="berschrift2"/>
        <w:jc w:val="left"/>
      </w:pPr>
      <w:bookmarkStart w:id="19" w:name="_Toc134600740"/>
      <w:r>
        <w:t>Anhang V</w:t>
      </w:r>
      <w:r>
        <w:br/>
        <w:t>Informationen für die Berichte nach Artikel 10</w:t>
      </w:r>
      <w:bookmarkEnd w:id="19"/>
    </w:p>
    <w:p>
      <w:pPr>
        <w:pStyle w:val="GesAbsatz"/>
      </w:pPr>
      <w:r>
        <w:t>1.</w:t>
      </w:r>
      <w:r>
        <w:tab/>
        <w:t>Darlegung der vorbeugenden Maßnahmen nach Artikel 4</w:t>
      </w:r>
    </w:p>
    <w:p>
      <w:pPr>
        <w:pStyle w:val="GesAbsatz"/>
      </w:pPr>
      <w:r>
        <w:t>2.</w:t>
      </w:r>
      <w:r>
        <w:tab/>
        <w:t>Karte, aus der folgendes hervorgeht:</w:t>
      </w:r>
    </w:p>
    <w:p>
      <w:pPr>
        <w:pStyle w:val="GesAbsatz"/>
        <w:tabs>
          <w:tab w:val="clear" w:pos="425"/>
        </w:tabs>
        <w:ind w:left="851" w:hanging="425"/>
      </w:pPr>
      <w:r>
        <w:t>a)</w:t>
      </w:r>
      <w:r>
        <w:tab/>
        <w:t>die nach Artikel 3 Absatz 1 und Anhang I bestimmten Gewässer, wobei für jedes Gewässer anzugeben ist, welches der Kriterien in Anhang I zu seiner Bestimmung herangezogen wurde.</w:t>
      </w:r>
    </w:p>
    <w:p>
      <w:pPr>
        <w:pStyle w:val="GesAbsatz"/>
        <w:tabs>
          <w:tab w:val="clear" w:pos="425"/>
        </w:tabs>
        <w:ind w:left="851" w:hanging="425"/>
      </w:pPr>
      <w:r>
        <w:t>b)</w:t>
      </w:r>
      <w:r>
        <w:tab/>
        <w:t>die Lage der ausgewiesenen gefährdeten Gebiete, wobei zwischen bereits bestehenden und seit dem vorangegangenen Bericht neu ausgewiesenen Gebieten zu unterscheiden ist.</w:t>
      </w:r>
    </w:p>
    <w:p>
      <w:pPr>
        <w:pStyle w:val="GesAbsatz"/>
        <w:ind w:left="426" w:hanging="426"/>
      </w:pPr>
      <w:r>
        <w:t>3.</w:t>
      </w:r>
      <w:r>
        <w:tab/>
        <w:t>Übersicht über die Ergebnisse der nach Artikel 6 durchgeführten Überwachung sowie Angaben der Gründe, die jeweils zu einer Ausweisung eines gefährdeten Gebiets und zu einer Änderung dieser Ausweisung oder einer zusätzlichen Ausweisung von gefährdeten Gebieten geführt haben.</w:t>
      </w:r>
    </w:p>
    <w:p>
      <w:pPr>
        <w:pStyle w:val="GesAbsatz"/>
      </w:pPr>
      <w:r>
        <w:t>4.</w:t>
      </w:r>
      <w:r>
        <w:tab/>
        <w:t>Übersicht über die Aktionsprogramme nach Artikel 5, insbesondere über</w:t>
      </w:r>
    </w:p>
    <w:p>
      <w:pPr>
        <w:pStyle w:val="GesAbsatz"/>
        <w:tabs>
          <w:tab w:val="clear" w:pos="425"/>
        </w:tabs>
        <w:ind w:left="851" w:hanging="425"/>
      </w:pPr>
      <w:r>
        <w:t>a)</w:t>
      </w:r>
      <w:r>
        <w:tab/>
        <w:t>die nach Artikel 5 Absatz 4 Buchstaben a) und b) vorgeschriebenen Maßnahmen;</w:t>
      </w:r>
    </w:p>
    <w:p>
      <w:pPr>
        <w:pStyle w:val="GesAbsatz"/>
        <w:tabs>
          <w:tab w:val="clear" w:pos="425"/>
        </w:tabs>
        <w:ind w:left="851" w:hanging="425"/>
      </w:pPr>
      <w:r>
        <w:t>b)</w:t>
      </w:r>
      <w:r>
        <w:tab/>
        <w:t>die nach Anhang III Nummer 4 erforderlichen Informationen;</w:t>
      </w:r>
    </w:p>
    <w:p>
      <w:pPr>
        <w:pStyle w:val="GesAbsatz"/>
        <w:tabs>
          <w:tab w:val="clear" w:pos="425"/>
        </w:tabs>
        <w:ind w:left="851" w:hanging="425"/>
      </w:pPr>
      <w:r>
        <w:t>c)</w:t>
      </w:r>
      <w:r>
        <w:tab/>
        <w:t>etwaige zusätzliche Maßnahmen oder verstärkte Aktionen nach Artikel 5 Absatz 5;</w:t>
      </w:r>
    </w:p>
    <w:p>
      <w:pPr>
        <w:pStyle w:val="GesAbsatz"/>
        <w:tabs>
          <w:tab w:val="clear" w:pos="425"/>
        </w:tabs>
        <w:ind w:left="851" w:hanging="425"/>
      </w:pPr>
      <w:r>
        <w:t>d)</w:t>
      </w:r>
      <w:r>
        <w:tab/>
        <w:t>die Ergebnisse der nach Artikel 5 Absatz 6 durchgeführten Überwachungsprogramme;</w:t>
      </w:r>
    </w:p>
    <w:p>
      <w:pPr>
        <w:pStyle w:val="GesAbsatz"/>
        <w:tabs>
          <w:tab w:val="clear" w:pos="425"/>
        </w:tabs>
        <w:ind w:left="851" w:hanging="425"/>
      </w:pPr>
      <w:r>
        <w:t>e)</w:t>
      </w:r>
      <w:r>
        <w:tab/>
        <w:t>die Prognosen der Mitgliedstaaten über den Zeitraum, in dem die nach Artikel 3 Absatz 1 bestimmten Gewässer voraussichtlich auf die Maßnahmen des Aktionsprogramms reagieren, und zwar unter Angabe der Unsicherheitsfaktoren, mit denen diese Prognosen behaftet sind.</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12.12.1991 (ABl. L 375 v. 31.12.1991 S. 1)</w:t>
    </w:r>
    <w:r>
      <w:tab/>
      <w:t xml:space="preserve">Seite </w:t>
    </w:r>
    <w:r>
      <w:fldChar w:fldCharType="begin"/>
    </w:r>
    <w:r>
      <w:instrText xml:space="preserve"> PAGE  \* MERGEFORMAT </w:instrText>
    </w:r>
    <w:r>
      <w:fldChar w:fldCharType="separate"/>
    </w:r>
    <w:r>
      <w:rPr>
        <w:noProof/>
      </w:rPr>
      <w:t>8</w:t>
    </w:r>
    <w:r>
      <w:fldChar w:fldCharType="end"/>
    </w:r>
  </w:p>
  <w:p>
    <w:pPr>
      <w:pStyle w:val="Fuzeile"/>
      <w:rPr>
        <w:lang w:val="en-US"/>
      </w:rPr>
    </w:pPr>
    <w:r>
      <w:tab/>
    </w:r>
    <w:r>
      <w:rPr>
        <w:lang w:val="en-US"/>
      </w:rPr>
      <w:t>Stand 22.10.2008 (ABl. L 311 v. 21.11.2008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54 vom 3.3.1989, S. 4, und ABl. Nr. C 51 vom 2.3.1990, S. 12</w:t>
      </w:r>
    </w:p>
  </w:footnote>
  <w:footnote w:id="2">
    <w:p>
      <w:pPr>
        <w:pStyle w:val="Funotentext"/>
      </w:pPr>
      <w:r>
        <w:rPr>
          <w:rStyle w:val="Funotenzeichen"/>
        </w:rPr>
        <w:footnoteRef/>
      </w:r>
      <w:r>
        <w:t xml:space="preserve"> ABl. Nr. C 158 vom 26.6.1989, S. 487</w:t>
      </w:r>
    </w:p>
  </w:footnote>
  <w:footnote w:id="3">
    <w:p>
      <w:pPr>
        <w:pStyle w:val="Funotentext"/>
      </w:pPr>
      <w:r>
        <w:rPr>
          <w:rStyle w:val="Funotenzeichen"/>
        </w:rPr>
        <w:footnoteRef/>
      </w:r>
      <w:r>
        <w:t xml:space="preserve"> ABl. Nr. C 159 vom 26.6.1989, S. 1</w:t>
      </w:r>
    </w:p>
  </w:footnote>
  <w:footnote w:id="4">
    <w:p>
      <w:pPr>
        <w:pStyle w:val="Funotentext"/>
      </w:pPr>
      <w:r>
        <w:rPr>
          <w:rStyle w:val="Funotenzeichen"/>
        </w:rPr>
        <w:footnoteRef/>
      </w:r>
      <w:r>
        <w:t xml:space="preserve"> ABl. Nr. L 194 vom 25.7.1975, S. 26</w:t>
      </w:r>
    </w:p>
  </w:footnote>
  <w:footnote w:id="5">
    <w:p>
      <w:pPr>
        <w:pStyle w:val="Funotentext"/>
      </w:pPr>
      <w:r>
        <w:rPr>
          <w:rStyle w:val="Funotenzeichen"/>
        </w:rPr>
        <w:footnoteRef/>
      </w:r>
      <w:r>
        <w:t xml:space="preserve"> ABl. Nr. L 271 vom 29.10.1979, S. 44</w:t>
      </w:r>
    </w:p>
  </w:footnote>
  <w:footnote w:id="6">
    <w:p>
      <w:pPr>
        <w:pStyle w:val="Funotentext"/>
      </w:pPr>
      <w:r>
        <w:rPr>
          <w:rStyle w:val="Funotenzeichen"/>
        </w:rPr>
        <w:footnoteRef/>
      </w:r>
      <w:r>
        <w:t xml:space="preserve"> ABl. Nr. L 229 vom 30.8.1980, S. 11</w:t>
      </w:r>
    </w:p>
  </w:footnote>
  <w:footnote w:id="7">
    <w:p>
      <w:pPr>
        <w:pStyle w:val="Funotentext"/>
      </w:pPr>
      <w:r>
        <w:rPr>
          <w:rStyle w:val="Funotenzeichen"/>
        </w:rPr>
        <w:footnoteRef/>
      </w:r>
      <w:r>
        <w:t xml:space="preserve"> ABl. Nr. C 328 vom 7.12.1987, S. 1</w:t>
      </w:r>
    </w:p>
  </w:footnote>
  <w:footnote w:id="8">
    <w:p>
      <w:pPr>
        <w:pStyle w:val="Funotentext"/>
      </w:pPr>
      <w:r>
        <w:rPr>
          <w:rStyle w:val="Funotenzeichen"/>
        </w:rPr>
        <w:footnoteRef/>
      </w:r>
      <w:r>
        <w:t xml:space="preserve"> ABl. Nr. C 209 vom 9.8.1988, S. 3</w:t>
      </w:r>
    </w:p>
  </w:footnote>
  <w:footnote w:id="9">
    <w:p>
      <w:pPr>
        <w:pStyle w:val="Funotentext"/>
      </w:pPr>
      <w:r>
        <w:rPr>
          <w:rStyle w:val="Funotenzeichen"/>
        </w:rPr>
        <w:footnoteRef/>
      </w:r>
      <w:r>
        <w:t xml:space="preserve"> Beschluss 1999/468/EG des Rates vom 28. Juni 1999 zur Festlegung der Modalitäten für die Ausübung der der Kommission übertragenen Durchführungsbefugnisse (ABl. L 184 vom 17.7.1999, S. 23).</w:t>
      </w:r>
    </w:p>
  </w:footnote>
  <w:footnote w:id="10">
    <w:p>
      <w:pPr>
        <w:pStyle w:val="Funotentext"/>
      </w:pPr>
      <w:r>
        <w:rPr>
          <w:rStyle w:val="Funotenzeichen"/>
        </w:rPr>
        <w:footnoteRef/>
      </w:r>
      <w:r>
        <w:t xml:space="preserve"> Diese Richtlinie wurde den Mitgliedstaaten am 19. Dezember 1991 bekanntgegeben.</w:t>
      </w:r>
    </w:p>
  </w:footnote>
  <w:footnote w:id="11">
    <w:p>
      <w:pPr>
        <w:pStyle w:val="Funotentext"/>
      </w:pPr>
      <w:r>
        <w:rPr>
          <w:rStyle w:val="Funotenzeichen"/>
        </w:rPr>
        <w:footnoteRef/>
      </w:r>
      <w:r>
        <w:t xml:space="preserve"> ABl. Nr. L 213 vom 22.8.1977, S. 1</w:t>
      </w:r>
    </w:p>
  </w:footnote>
  <w:footnote w:id="12">
    <w:p>
      <w:pPr>
        <w:pStyle w:val="Funotentext"/>
      </w:pPr>
      <w:r>
        <w:rPr>
          <w:rStyle w:val="Funotenzeichen"/>
        </w:rPr>
        <w:footnoteRef/>
      </w:r>
      <w:r>
        <w:t xml:space="preserve"> ABl. Nr. L 265 vom 12.9.1989, S. 30</w:t>
      </w:r>
    </w:p>
  </w:footnote>
  <w:footnote w:id="13">
    <w:p>
      <w:pPr>
        <w:pStyle w:val="Funotentext"/>
      </w:pPr>
      <w:r>
        <w:rPr>
          <w:rStyle w:val="Funotenzeichen"/>
        </w:rPr>
        <w:footnoteRef/>
      </w:r>
      <w:r>
        <w:t xml:space="preserve"> ABl. Nr. L 334 vom 24.12.1977, S. 29</w:t>
      </w:r>
    </w:p>
  </w:footnote>
  <w:footnote w:id="14">
    <w:p>
      <w:pPr>
        <w:pStyle w:val="Funotentext"/>
      </w:pPr>
      <w:r>
        <w:rPr>
          <w:rStyle w:val="Funotenzeichen"/>
        </w:rPr>
        <w:footnoteRef/>
      </w:r>
      <w:r>
        <w:t xml:space="preserve"> ABl Nr. L 335 vom 28.11.1986, S. 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70.0-22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7579C50A-163E-4DD2-B801-F2521DB5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8/1137/o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ta.europa.eu/eli/reg/2003/1882/o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1991/676/oj"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3368</Words>
  <Characters>22874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Richtlinie des Rates vom 12. Dezember 1991 zum Schutz der Gewässer vor Verunreinigung durch Nitrat aus landwirtschaftlichen Quellen (91/676/EWG)</vt:lpstr>
    </vt:vector>
  </TitlesOfParts>
  <Company>LANUV NRW</Company>
  <LinksUpToDate>false</LinksUpToDate>
  <CharactersWithSpaces>26190</CharactersWithSpaces>
  <SharedDoc>false</SharedDoc>
  <HLinks>
    <vt:vector size="12" baseType="variant">
      <vt:variant>
        <vt:i4>5898266</vt:i4>
      </vt:variant>
      <vt:variant>
        <vt:i4>3</vt:i4>
      </vt:variant>
      <vt:variant>
        <vt:i4>0</vt:i4>
      </vt:variant>
      <vt:variant>
        <vt:i4>5</vt:i4>
      </vt:variant>
      <vt:variant>
        <vt:lpwstr>http://eur-lex.europa.eu/LexUriServ/LexUriServ.do?uri=OJ:L:2008:311:0001:0054:DE:PDF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12. Dezember 1991 zum Schutz der Gewässer vor Verunreinigung durch Nitrat aus landwirtschaftlichen Quellen (91/676/EWG)</dc:title>
  <dc:creator>LANUV NRW</dc:creator>
  <dc:description>durchgesehen 11.2006</dc:description>
  <cp:lastModifiedBy>Rüter, Dr., Ingo</cp:lastModifiedBy>
  <cp:revision>8</cp:revision>
  <cp:lastPrinted>2006-11-06T06:03:00Z</cp:lastPrinted>
  <dcterms:created xsi:type="dcterms:W3CDTF">2015-05-28T10:35:00Z</dcterms:created>
  <dcterms:modified xsi:type="dcterms:W3CDTF">2024-08-22T13:10:00Z</dcterms:modified>
</cp:coreProperties>
</file>