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berschrift1"/>
      </w:pPr>
      <w:bookmarkStart w:id="0" w:name="_Toc143862461"/>
      <w:r>
        <w:t xml:space="preserve">RICHTLINIE </w:t>
      </w:r>
      <w:hyperlink r:id="rId7" w:history="1">
        <w:r>
          <w:rPr>
            <w:rStyle w:val="Hyperlink"/>
          </w:rPr>
          <w:t>2000/60/EG</w:t>
        </w:r>
      </w:hyperlink>
      <w:r>
        <w:t xml:space="preserve"> DES EUROPÄISCHEN PARLAMENTS</w:t>
      </w:r>
      <w:r>
        <w:br/>
        <w:t>UND DES RATES vom 23. Oktober 2000</w:t>
      </w:r>
      <w:r>
        <w:br/>
        <w:t>zur Schaffung eines Ordnungsrahmens für Maßnahmen</w:t>
      </w:r>
      <w:r>
        <w:br/>
        <w:t>der Gemeinschaft im Bereich der Wasserpolitik</w:t>
      </w:r>
      <w:bookmarkEnd w:id="0"/>
    </w:p>
    <w:p>
      <w:pPr>
        <w:pStyle w:val="GesAbsatz"/>
      </w:pPr>
      <w:r>
        <w:rPr>
          <w:b/>
        </w:rPr>
        <w:t>Änderungen:</w:t>
      </w:r>
      <w:r>
        <w:t xml:space="preserve"> </w:t>
      </w:r>
      <w:hyperlink r:id="rId8" w:history="1">
        <w:r>
          <w:rPr>
            <w:rStyle w:val="Hyperlink"/>
          </w:rPr>
          <w:t>2455/2001/EG</w:t>
        </w:r>
      </w:hyperlink>
      <w:r>
        <w:t xml:space="preserve"> ABl. L 331 v. 15.12.2001 S. 1; </w:t>
      </w:r>
      <w:hyperlink r:id="rId9" w:history="1">
        <w:r>
          <w:rPr>
            <w:rStyle w:val="Hyperlink"/>
          </w:rPr>
          <w:t>2008/32/EG</w:t>
        </w:r>
      </w:hyperlink>
      <w:r>
        <w:t xml:space="preserve"> ABl. L 81 v. 20.03.20208 S. 60; </w:t>
      </w:r>
      <w:hyperlink r:id="rId10" w:history="1">
        <w:r>
          <w:rPr>
            <w:rStyle w:val="Hyperlink"/>
          </w:rPr>
          <w:t>2008/105/EG</w:t>
        </w:r>
      </w:hyperlink>
      <w:r>
        <w:t xml:space="preserve"> ABl. L 348 v. 24.12.2008 S. 84; </w:t>
      </w:r>
      <w:hyperlink r:id="rId11" w:history="1">
        <w:r>
          <w:rPr>
            <w:rStyle w:val="Hyperlink"/>
          </w:rPr>
          <w:t>2009/31/EG</w:t>
        </w:r>
      </w:hyperlink>
      <w:r>
        <w:t xml:space="preserve"> ABl. L 140 v. 05.06.2009 S. 128 Inkrafttreten 25.6.2009; </w:t>
      </w:r>
      <w:hyperlink r:id="rId12" w:history="1">
        <w:r>
          <w:rPr>
            <w:rStyle w:val="Hyperlink"/>
          </w:rPr>
          <w:t>2013/39/EU</w:t>
        </w:r>
      </w:hyperlink>
      <w:r>
        <w:t xml:space="preserve"> ABl. L 226 v. </w:t>
      </w:r>
      <w:bookmarkStart w:id="1" w:name="_GoBack"/>
      <w:bookmarkEnd w:id="1"/>
      <w:r>
        <w:t xml:space="preserve">24.08.2013 S. 1 Inkrafttreten 13.09.2013; </w:t>
      </w:r>
      <w:hyperlink r:id="rId13" w:history="1">
        <w:r>
          <w:rPr>
            <w:rStyle w:val="Hyperlink"/>
          </w:rPr>
          <w:t>2013/64/EU</w:t>
        </w:r>
      </w:hyperlink>
      <w:r>
        <w:t xml:space="preserve"> ABl. L 353 v. 28.12.2013 S. 8 Inkrafttreten 01.01.2014; </w:t>
      </w:r>
      <w:hyperlink r:id="rId14" w:history="1">
        <w:r>
          <w:rPr>
            <w:rStyle w:val="Hyperlink"/>
          </w:rPr>
          <w:t>2014/101/EU</w:t>
        </w:r>
      </w:hyperlink>
      <w:r>
        <w:t xml:space="preserve"> ABl. L 311 v. 31.10.2014 S. 32 Inkrafttreten 20.11.2014;</w:t>
      </w:r>
    </w:p>
    <w:p>
      <w:pPr>
        <w:pStyle w:val="GesAbsatz"/>
      </w:pPr>
    </w:p>
    <w:p>
      <w:pPr>
        <w:pStyle w:val="GesAbsatz"/>
        <w:jc w:val="center"/>
        <w:rPr>
          <w:b/>
          <w:sz w:val="22"/>
          <w:szCs w:val="22"/>
        </w:rPr>
      </w:pPr>
      <w:r>
        <w:rPr>
          <w:b/>
          <w:sz w:val="22"/>
          <w:szCs w:val="22"/>
        </w:rPr>
        <w:t>Inhalt:</w:t>
      </w:r>
    </w:p>
    <w:p>
      <w:pPr>
        <w:pStyle w:val="Verzeichnis1"/>
        <w:tabs>
          <w:tab w:val="right" w:leader="dot" w:pos="9628"/>
        </w:tabs>
        <w:rPr>
          <w:rFonts w:asciiTheme="minorHAnsi" w:eastAsiaTheme="minorEastAsia" w:hAnsiTheme="minorHAnsi" w:cstheme="minorBidi"/>
          <w:b w:val="0"/>
          <w:bCs w:val="0"/>
          <w:caps w:val="0"/>
          <w:noProof/>
          <w:sz w:val="22"/>
          <w:szCs w:val="22"/>
        </w:rPr>
      </w:pPr>
      <w:r>
        <w:rPr>
          <w:b w:val="0"/>
          <w:sz w:val="22"/>
          <w:szCs w:val="22"/>
        </w:rPr>
        <w:fldChar w:fldCharType="begin"/>
      </w:r>
      <w:r>
        <w:rPr>
          <w:b w:val="0"/>
          <w:sz w:val="22"/>
          <w:szCs w:val="22"/>
        </w:rPr>
        <w:instrText xml:space="preserve"> TOC \o "1-3" \h \z \u </w:instrText>
      </w:r>
      <w:r>
        <w:rPr>
          <w:b w:val="0"/>
          <w:sz w:val="22"/>
          <w:szCs w:val="22"/>
        </w:rPr>
        <w:fldChar w:fldCharType="separate"/>
      </w:r>
      <w:hyperlink w:anchor="_Toc143862461" w:history="1">
        <w:r>
          <w:rPr>
            <w:rStyle w:val="Hyperlink"/>
            <w:noProof/>
          </w:rPr>
          <w:t>RICHTLINIE 2000/60/EG DES EUROPÄISCHEN PARLAMENTS UND DES RATES</w:t>
        </w:r>
        <w:r>
          <w:rPr>
            <w:noProof/>
            <w:webHidden/>
          </w:rPr>
          <w:tab/>
        </w:r>
        <w:r>
          <w:rPr>
            <w:noProof/>
            <w:webHidden/>
          </w:rPr>
          <w:fldChar w:fldCharType="begin"/>
        </w:r>
        <w:r>
          <w:rPr>
            <w:noProof/>
            <w:webHidden/>
          </w:rPr>
          <w:instrText xml:space="preserve"> PAGEREF _Toc143862461 \h </w:instrText>
        </w:r>
        <w:r>
          <w:rPr>
            <w:noProof/>
            <w:webHidden/>
          </w:rPr>
        </w:r>
        <w:r>
          <w:rPr>
            <w:noProof/>
            <w:webHidden/>
          </w:rPr>
          <w:fldChar w:fldCharType="separate"/>
        </w:r>
        <w:r>
          <w:rPr>
            <w:noProof/>
            <w:webHidden/>
          </w:rPr>
          <w:t>1</w:t>
        </w:r>
        <w:r>
          <w:rPr>
            <w:noProof/>
            <w:webHidden/>
          </w:rPr>
          <w:fldChar w:fldCharType="end"/>
        </w:r>
      </w:hyperlink>
    </w:p>
    <w:p>
      <w:pPr>
        <w:pStyle w:val="Verzeichnis2"/>
        <w:tabs>
          <w:tab w:val="right" w:leader="dot" w:pos="9628"/>
        </w:tabs>
        <w:rPr>
          <w:rFonts w:asciiTheme="minorHAnsi" w:eastAsiaTheme="minorEastAsia" w:hAnsiTheme="minorHAnsi" w:cstheme="minorBidi"/>
          <w:smallCaps w:val="0"/>
          <w:noProof/>
          <w:sz w:val="22"/>
          <w:szCs w:val="22"/>
        </w:rPr>
      </w:pPr>
      <w:hyperlink w:anchor="_Toc143862462" w:history="1">
        <w:r>
          <w:rPr>
            <w:rStyle w:val="Hyperlink"/>
            <w:noProof/>
          </w:rPr>
          <w:t>Artikel 1 Ziel</w:t>
        </w:r>
        <w:r>
          <w:rPr>
            <w:noProof/>
            <w:webHidden/>
          </w:rPr>
          <w:tab/>
        </w:r>
        <w:r>
          <w:rPr>
            <w:noProof/>
            <w:webHidden/>
          </w:rPr>
          <w:fldChar w:fldCharType="begin"/>
        </w:r>
        <w:r>
          <w:rPr>
            <w:noProof/>
            <w:webHidden/>
          </w:rPr>
          <w:instrText xml:space="preserve"> PAGEREF _Toc143862462 \h </w:instrText>
        </w:r>
        <w:r>
          <w:rPr>
            <w:noProof/>
            <w:webHidden/>
          </w:rPr>
        </w:r>
        <w:r>
          <w:rPr>
            <w:noProof/>
            <w:webHidden/>
          </w:rPr>
          <w:fldChar w:fldCharType="separate"/>
        </w:r>
        <w:r>
          <w:rPr>
            <w:noProof/>
            <w:webHidden/>
          </w:rPr>
          <w:t>6</w:t>
        </w:r>
        <w:r>
          <w:rPr>
            <w:noProof/>
            <w:webHidden/>
          </w:rPr>
          <w:fldChar w:fldCharType="end"/>
        </w:r>
      </w:hyperlink>
    </w:p>
    <w:p>
      <w:pPr>
        <w:pStyle w:val="Verzeichnis2"/>
        <w:tabs>
          <w:tab w:val="right" w:leader="dot" w:pos="9628"/>
        </w:tabs>
        <w:rPr>
          <w:rFonts w:asciiTheme="minorHAnsi" w:eastAsiaTheme="minorEastAsia" w:hAnsiTheme="minorHAnsi" w:cstheme="minorBidi"/>
          <w:smallCaps w:val="0"/>
          <w:noProof/>
          <w:sz w:val="22"/>
          <w:szCs w:val="22"/>
        </w:rPr>
      </w:pPr>
      <w:hyperlink w:anchor="_Toc143862463" w:history="1">
        <w:r>
          <w:rPr>
            <w:rStyle w:val="Hyperlink"/>
            <w:noProof/>
          </w:rPr>
          <w:t>Artikel 2 Begriffsbestimmungen</w:t>
        </w:r>
        <w:r>
          <w:rPr>
            <w:noProof/>
            <w:webHidden/>
          </w:rPr>
          <w:tab/>
        </w:r>
        <w:r>
          <w:rPr>
            <w:noProof/>
            <w:webHidden/>
          </w:rPr>
          <w:fldChar w:fldCharType="begin"/>
        </w:r>
        <w:r>
          <w:rPr>
            <w:noProof/>
            <w:webHidden/>
          </w:rPr>
          <w:instrText xml:space="preserve"> PAGEREF _Toc143862463 \h </w:instrText>
        </w:r>
        <w:r>
          <w:rPr>
            <w:noProof/>
            <w:webHidden/>
          </w:rPr>
        </w:r>
        <w:r>
          <w:rPr>
            <w:noProof/>
            <w:webHidden/>
          </w:rPr>
          <w:fldChar w:fldCharType="separate"/>
        </w:r>
        <w:r>
          <w:rPr>
            <w:noProof/>
            <w:webHidden/>
          </w:rPr>
          <w:t>7</w:t>
        </w:r>
        <w:r>
          <w:rPr>
            <w:noProof/>
            <w:webHidden/>
          </w:rPr>
          <w:fldChar w:fldCharType="end"/>
        </w:r>
      </w:hyperlink>
    </w:p>
    <w:p>
      <w:pPr>
        <w:pStyle w:val="Verzeichnis2"/>
        <w:tabs>
          <w:tab w:val="right" w:leader="dot" w:pos="9628"/>
        </w:tabs>
        <w:rPr>
          <w:rFonts w:asciiTheme="minorHAnsi" w:eastAsiaTheme="minorEastAsia" w:hAnsiTheme="minorHAnsi" w:cstheme="minorBidi"/>
          <w:smallCaps w:val="0"/>
          <w:noProof/>
          <w:sz w:val="22"/>
          <w:szCs w:val="22"/>
        </w:rPr>
      </w:pPr>
      <w:hyperlink w:anchor="_Toc143862464" w:history="1">
        <w:r>
          <w:rPr>
            <w:rStyle w:val="Hyperlink"/>
            <w:noProof/>
          </w:rPr>
          <w:t>Artikel 3 Koordinierung von Verwaltungsvereinbarungen innerhalb einer Flussgebietseinheit</w:t>
        </w:r>
        <w:r>
          <w:rPr>
            <w:noProof/>
            <w:webHidden/>
          </w:rPr>
          <w:tab/>
        </w:r>
        <w:r>
          <w:rPr>
            <w:noProof/>
            <w:webHidden/>
          </w:rPr>
          <w:fldChar w:fldCharType="begin"/>
        </w:r>
        <w:r>
          <w:rPr>
            <w:noProof/>
            <w:webHidden/>
          </w:rPr>
          <w:instrText xml:space="preserve"> PAGEREF _Toc143862464 \h </w:instrText>
        </w:r>
        <w:r>
          <w:rPr>
            <w:noProof/>
            <w:webHidden/>
          </w:rPr>
        </w:r>
        <w:r>
          <w:rPr>
            <w:noProof/>
            <w:webHidden/>
          </w:rPr>
          <w:fldChar w:fldCharType="separate"/>
        </w:r>
        <w:r>
          <w:rPr>
            <w:noProof/>
            <w:webHidden/>
          </w:rPr>
          <w:t>9</w:t>
        </w:r>
        <w:r>
          <w:rPr>
            <w:noProof/>
            <w:webHidden/>
          </w:rPr>
          <w:fldChar w:fldCharType="end"/>
        </w:r>
      </w:hyperlink>
    </w:p>
    <w:p>
      <w:pPr>
        <w:pStyle w:val="Verzeichnis2"/>
        <w:tabs>
          <w:tab w:val="right" w:leader="dot" w:pos="9628"/>
        </w:tabs>
        <w:rPr>
          <w:rFonts w:asciiTheme="minorHAnsi" w:eastAsiaTheme="minorEastAsia" w:hAnsiTheme="minorHAnsi" w:cstheme="minorBidi"/>
          <w:smallCaps w:val="0"/>
          <w:noProof/>
          <w:sz w:val="22"/>
          <w:szCs w:val="22"/>
        </w:rPr>
      </w:pPr>
      <w:hyperlink w:anchor="_Toc143862465" w:history="1">
        <w:r>
          <w:rPr>
            <w:rStyle w:val="Hyperlink"/>
            <w:noProof/>
          </w:rPr>
          <w:t>Artikel 4 Umweltziele</w:t>
        </w:r>
        <w:r>
          <w:rPr>
            <w:noProof/>
            <w:webHidden/>
          </w:rPr>
          <w:tab/>
        </w:r>
        <w:r>
          <w:rPr>
            <w:noProof/>
            <w:webHidden/>
          </w:rPr>
          <w:fldChar w:fldCharType="begin"/>
        </w:r>
        <w:r>
          <w:rPr>
            <w:noProof/>
            <w:webHidden/>
          </w:rPr>
          <w:instrText xml:space="preserve"> PAGEREF _Toc143862465 \h </w:instrText>
        </w:r>
        <w:r>
          <w:rPr>
            <w:noProof/>
            <w:webHidden/>
          </w:rPr>
        </w:r>
        <w:r>
          <w:rPr>
            <w:noProof/>
            <w:webHidden/>
          </w:rPr>
          <w:fldChar w:fldCharType="separate"/>
        </w:r>
        <w:r>
          <w:rPr>
            <w:noProof/>
            <w:webHidden/>
          </w:rPr>
          <w:t>10</w:t>
        </w:r>
        <w:r>
          <w:rPr>
            <w:noProof/>
            <w:webHidden/>
          </w:rPr>
          <w:fldChar w:fldCharType="end"/>
        </w:r>
      </w:hyperlink>
    </w:p>
    <w:p>
      <w:pPr>
        <w:pStyle w:val="Verzeichnis2"/>
        <w:tabs>
          <w:tab w:val="right" w:leader="dot" w:pos="9628"/>
        </w:tabs>
        <w:rPr>
          <w:rFonts w:asciiTheme="minorHAnsi" w:eastAsiaTheme="minorEastAsia" w:hAnsiTheme="minorHAnsi" w:cstheme="minorBidi"/>
          <w:smallCaps w:val="0"/>
          <w:noProof/>
          <w:sz w:val="22"/>
          <w:szCs w:val="22"/>
        </w:rPr>
      </w:pPr>
      <w:hyperlink w:anchor="_Toc143862466" w:history="1">
        <w:r>
          <w:rPr>
            <w:rStyle w:val="Hyperlink"/>
            <w:noProof/>
          </w:rPr>
          <w:t>Artikel 5 Merkmale der Flussgebietseinheit, Überprüfung der Umweltauswirkungen menschlicher Tätigkeiten und wirtschaftliche Analyse der Wassernutzung</w:t>
        </w:r>
        <w:r>
          <w:rPr>
            <w:noProof/>
            <w:webHidden/>
          </w:rPr>
          <w:tab/>
        </w:r>
        <w:r>
          <w:rPr>
            <w:noProof/>
            <w:webHidden/>
          </w:rPr>
          <w:fldChar w:fldCharType="begin"/>
        </w:r>
        <w:r>
          <w:rPr>
            <w:noProof/>
            <w:webHidden/>
          </w:rPr>
          <w:instrText xml:space="preserve"> PAGEREF _Toc143862466 \h </w:instrText>
        </w:r>
        <w:r>
          <w:rPr>
            <w:noProof/>
            <w:webHidden/>
          </w:rPr>
        </w:r>
        <w:r>
          <w:rPr>
            <w:noProof/>
            <w:webHidden/>
          </w:rPr>
          <w:fldChar w:fldCharType="separate"/>
        </w:r>
        <w:r>
          <w:rPr>
            <w:noProof/>
            <w:webHidden/>
          </w:rPr>
          <w:t>12</w:t>
        </w:r>
        <w:r>
          <w:rPr>
            <w:noProof/>
            <w:webHidden/>
          </w:rPr>
          <w:fldChar w:fldCharType="end"/>
        </w:r>
      </w:hyperlink>
    </w:p>
    <w:p>
      <w:pPr>
        <w:pStyle w:val="Verzeichnis2"/>
        <w:tabs>
          <w:tab w:val="right" w:leader="dot" w:pos="9628"/>
        </w:tabs>
        <w:rPr>
          <w:rFonts w:asciiTheme="minorHAnsi" w:eastAsiaTheme="minorEastAsia" w:hAnsiTheme="minorHAnsi" w:cstheme="minorBidi"/>
          <w:smallCaps w:val="0"/>
          <w:noProof/>
          <w:sz w:val="22"/>
          <w:szCs w:val="22"/>
        </w:rPr>
      </w:pPr>
      <w:hyperlink w:anchor="_Toc143862467" w:history="1">
        <w:r>
          <w:rPr>
            <w:rStyle w:val="Hyperlink"/>
            <w:noProof/>
          </w:rPr>
          <w:t>Artikel 6 Verzeichnis der Schutzgebiete</w:t>
        </w:r>
        <w:r>
          <w:rPr>
            <w:noProof/>
            <w:webHidden/>
          </w:rPr>
          <w:tab/>
        </w:r>
        <w:r>
          <w:rPr>
            <w:noProof/>
            <w:webHidden/>
          </w:rPr>
          <w:fldChar w:fldCharType="begin"/>
        </w:r>
        <w:r>
          <w:rPr>
            <w:noProof/>
            <w:webHidden/>
          </w:rPr>
          <w:instrText xml:space="preserve"> PAGEREF _Toc143862467 \h </w:instrText>
        </w:r>
        <w:r>
          <w:rPr>
            <w:noProof/>
            <w:webHidden/>
          </w:rPr>
        </w:r>
        <w:r>
          <w:rPr>
            <w:noProof/>
            <w:webHidden/>
          </w:rPr>
          <w:fldChar w:fldCharType="separate"/>
        </w:r>
        <w:r>
          <w:rPr>
            <w:noProof/>
            <w:webHidden/>
          </w:rPr>
          <w:t>13</w:t>
        </w:r>
        <w:r>
          <w:rPr>
            <w:noProof/>
            <w:webHidden/>
          </w:rPr>
          <w:fldChar w:fldCharType="end"/>
        </w:r>
      </w:hyperlink>
    </w:p>
    <w:p>
      <w:pPr>
        <w:pStyle w:val="Verzeichnis2"/>
        <w:tabs>
          <w:tab w:val="right" w:leader="dot" w:pos="9628"/>
        </w:tabs>
        <w:rPr>
          <w:rFonts w:asciiTheme="minorHAnsi" w:eastAsiaTheme="minorEastAsia" w:hAnsiTheme="minorHAnsi" w:cstheme="minorBidi"/>
          <w:smallCaps w:val="0"/>
          <w:noProof/>
          <w:sz w:val="22"/>
          <w:szCs w:val="22"/>
        </w:rPr>
      </w:pPr>
      <w:hyperlink w:anchor="_Toc143862468" w:history="1">
        <w:r>
          <w:rPr>
            <w:rStyle w:val="Hyperlink"/>
            <w:noProof/>
          </w:rPr>
          <w:t>Artikel 7 Gewässer für die Entnahme von Trinkwasser</w:t>
        </w:r>
        <w:r>
          <w:rPr>
            <w:noProof/>
            <w:webHidden/>
          </w:rPr>
          <w:tab/>
        </w:r>
        <w:r>
          <w:rPr>
            <w:noProof/>
            <w:webHidden/>
          </w:rPr>
          <w:fldChar w:fldCharType="begin"/>
        </w:r>
        <w:r>
          <w:rPr>
            <w:noProof/>
            <w:webHidden/>
          </w:rPr>
          <w:instrText xml:space="preserve"> PAGEREF _Toc143862468 \h </w:instrText>
        </w:r>
        <w:r>
          <w:rPr>
            <w:noProof/>
            <w:webHidden/>
          </w:rPr>
        </w:r>
        <w:r>
          <w:rPr>
            <w:noProof/>
            <w:webHidden/>
          </w:rPr>
          <w:fldChar w:fldCharType="separate"/>
        </w:r>
        <w:r>
          <w:rPr>
            <w:noProof/>
            <w:webHidden/>
          </w:rPr>
          <w:t>13</w:t>
        </w:r>
        <w:r>
          <w:rPr>
            <w:noProof/>
            <w:webHidden/>
          </w:rPr>
          <w:fldChar w:fldCharType="end"/>
        </w:r>
      </w:hyperlink>
    </w:p>
    <w:p>
      <w:pPr>
        <w:pStyle w:val="Verzeichnis2"/>
        <w:tabs>
          <w:tab w:val="right" w:leader="dot" w:pos="9628"/>
        </w:tabs>
        <w:rPr>
          <w:rFonts w:asciiTheme="minorHAnsi" w:eastAsiaTheme="minorEastAsia" w:hAnsiTheme="minorHAnsi" w:cstheme="minorBidi"/>
          <w:smallCaps w:val="0"/>
          <w:noProof/>
          <w:sz w:val="22"/>
          <w:szCs w:val="22"/>
        </w:rPr>
      </w:pPr>
      <w:hyperlink w:anchor="_Toc143862469" w:history="1">
        <w:r>
          <w:rPr>
            <w:rStyle w:val="Hyperlink"/>
            <w:noProof/>
          </w:rPr>
          <w:t>Artikel 8 Überwachung des Zustands des Oberflächengewässers, des Zustands des Grundwassers und der Schutzgebiete</w:t>
        </w:r>
        <w:r>
          <w:rPr>
            <w:noProof/>
            <w:webHidden/>
          </w:rPr>
          <w:tab/>
        </w:r>
        <w:r>
          <w:rPr>
            <w:noProof/>
            <w:webHidden/>
          </w:rPr>
          <w:fldChar w:fldCharType="begin"/>
        </w:r>
        <w:r>
          <w:rPr>
            <w:noProof/>
            <w:webHidden/>
          </w:rPr>
          <w:instrText xml:space="preserve"> PAGEREF _Toc143862469 \h </w:instrText>
        </w:r>
        <w:r>
          <w:rPr>
            <w:noProof/>
            <w:webHidden/>
          </w:rPr>
        </w:r>
        <w:r>
          <w:rPr>
            <w:noProof/>
            <w:webHidden/>
          </w:rPr>
          <w:fldChar w:fldCharType="separate"/>
        </w:r>
        <w:r>
          <w:rPr>
            <w:noProof/>
            <w:webHidden/>
          </w:rPr>
          <w:t>13</w:t>
        </w:r>
        <w:r>
          <w:rPr>
            <w:noProof/>
            <w:webHidden/>
          </w:rPr>
          <w:fldChar w:fldCharType="end"/>
        </w:r>
      </w:hyperlink>
    </w:p>
    <w:p>
      <w:pPr>
        <w:pStyle w:val="Verzeichnis2"/>
        <w:tabs>
          <w:tab w:val="right" w:leader="dot" w:pos="9628"/>
        </w:tabs>
        <w:rPr>
          <w:rFonts w:asciiTheme="minorHAnsi" w:eastAsiaTheme="minorEastAsia" w:hAnsiTheme="minorHAnsi" w:cstheme="minorBidi"/>
          <w:smallCaps w:val="0"/>
          <w:noProof/>
          <w:sz w:val="22"/>
          <w:szCs w:val="22"/>
        </w:rPr>
      </w:pPr>
      <w:hyperlink w:anchor="_Toc143862470" w:history="1">
        <w:r>
          <w:rPr>
            <w:rStyle w:val="Hyperlink"/>
            <w:noProof/>
          </w:rPr>
          <w:t>Artikel 9 Deckung der Kosten der Wasserdienstleistungen</w:t>
        </w:r>
        <w:r>
          <w:rPr>
            <w:noProof/>
            <w:webHidden/>
          </w:rPr>
          <w:tab/>
        </w:r>
        <w:r>
          <w:rPr>
            <w:noProof/>
            <w:webHidden/>
          </w:rPr>
          <w:fldChar w:fldCharType="begin"/>
        </w:r>
        <w:r>
          <w:rPr>
            <w:noProof/>
            <w:webHidden/>
          </w:rPr>
          <w:instrText xml:space="preserve"> PAGEREF _Toc143862470 \h </w:instrText>
        </w:r>
        <w:r>
          <w:rPr>
            <w:noProof/>
            <w:webHidden/>
          </w:rPr>
        </w:r>
        <w:r>
          <w:rPr>
            <w:noProof/>
            <w:webHidden/>
          </w:rPr>
          <w:fldChar w:fldCharType="separate"/>
        </w:r>
        <w:r>
          <w:rPr>
            <w:noProof/>
            <w:webHidden/>
          </w:rPr>
          <w:t>14</w:t>
        </w:r>
        <w:r>
          <w:rPr>
            <w:noProof/>
            <w:webHidden/>
          </w:rPr>
          <w:fldChar w:fldCharType="end"/>
        </w:r>
      </w:hyperlink>
    </w:p>
    <w:p>
      <w:pPr>
        <w:pStyle w:val="Verzeichnis2"/>
        <w:tabs>
          <w:tab w:val="right" w:leader="dot" w:pos="9628"/>
        </w:tabs>
        <w:rPr>
          <w:rFonts w:asciiTheme="minorHAnsi" w:eastAsiaTheme="minorEastAsia" w:hAnsiTheme="minorHAnsi" w:cstheme="minorBidi"/>
          <w:smallCaps w:val="0"/>
          <w:noProof/>
          <w:sz w:val="22"/>
          <w:szCs w:val="22"/>
        </w:rPr>
      </w:pPr>
      <w:hyperlink w:anchor="_Toc143862471" w:history="1">
        <w:r>
          <w:rPr>
            <w:rStyle w:val="Hyperlink"/>
            <w:noProof/>
          </w:rPr>
          <w:t>Artikel 10 Kombinierter Ansatz für Punktquellen und diffuse Quellen</w:t>
        </w:r>
        <w:r>
          <w:rPr>
            <w:noProof/>
            <w:webHidden/>
          </w:rPr>
          <w:tab/>
        </w:r>
        <w:r>
          <w:rPr>
            <w:noProof/>
            <w:webHidden/>
          </w:rPr>
          <w:fldChar w:fldCharType="begin"/>
        </w:r>
        <w:r>
          <w:rPr>
            <w:noProof/>
            <w:webHidden/>
          </w:rPr>
          <w:instrText xml:space="preserve"> PAGEREF _Toc143862471 \h </w:instrText>
        </w:r>
        <w:r>
          <w:rPr>
            <w:noProof/>
            <w:webHidden/>
          </w:rPr>
        </w:r>
        <w:r>
          <w:rPr>
            <w:noProof/>
            <w:webHidden/>
          </w:rPr>
          <w:fldChar w:fldCharType="separate"/>
        </w:r>
        <w:r>
          <w:rPr>
            <w:noProof/>
            <w:webHidden/>
          </w:rPr>
          <w:t>14</w:t>
        </w:r>
        <w:r>
          <w:rPr>
            <w:noProof/>
            <w:webHidden/>
          </w:rPr>
          <w:fldChar w:fldCharType="end"/>
        </w:r>
      </w:hyperlink>
    </w:p>
    <w:p>
      <w:pPr>
        <w:pStyle w:val="Verzeichnis2"/>
        <w:tabs>
          <w:tab w:val="right" w:leader="dot" w:pos="9628"/>
        </w:tabs>
        <w:rPr>
          <w:rFonts w:asciiTheme="minorHAnsi" w:eastAsiaTheme="minorEastAsia" w:hAnsiTheme="minorHAnsi" w:cstheme="minorBidi"/>
          <w:smallCaps w:val="0"/>
          <w:noProof/>
          <w:sz w:val="22"/>
          <w:szCs w:val="22"/>
        </w:rPr>
      </w:pPr>
      <w:hyperlink w:anchor="_Toc143862472" w:history="1">
        <w:r>
          <w:rPr>
            <w:rStyle w:val="Hyperlink"/>
            <w:noProof/>
          </w:rPr>
          <w:t>Artikel 11 Maßnahmenprogramm</w:t>
        </w:r>
        <w:r>
          <w:rPr>
            <w:noProof/>
            <w:webHidden/>
          </w:rPr>
          <w:tab/>
        </w:r>
        <w:r>
          <w:rPr>
            <w:noProof/>
            <w:webHidden/>
          </w:rPr>
          <w:fldChar w:fldCharType="begin"/>
        </w:r>
        <w:r>
          <w:rPr>
            <w:noProof/>
            <w:webHidden/>
          </w:rPr>
          <w:instrText xml:space="preserve"> PAGEREF _Toc143862472 \h </w:instrText>
        </w:r>
        <w:r>
          <w:rPr>
            <w:noProof/>
            <w:webHidden/>
          </w:rPr>
        </w:r>
        <w:r>
          <w:rPr>
            <w:noProof/>
            <w:webHidden/>
          </w:rPr>
          <w:fldChar w:fldCharType="separate"/>
        </w:r>
        <w:r>
          <w:rPr>
            <w:noProof/>
            <w:webHidden/>
          </w:rPr>
          <w:t>15</w:t>
        </w:r>
        <w:r>
          <w:rPr>
            <w:noProof/>
            <w:webHidden/>
          </w:rPr>
          <w:fldChar w:fldCharType="end"/>
        </w:r>
      </w:hyperlink>
    </w:p>
    <w:p>
      <w:pPr>
        <w:pStyle w:val="Verzeichnis2"/>
        <w:tabs>
          <w:tab w:val="right" w:leader="dot" w:pos="9628"/>
        </w:tabs>
        <w:rPr>
          <w:rFonts w:asciiTheme="minorHAnsi" w:eastAsiaTheme="minorEastAsia" w:hAnsiTheme="minorHAnsi" w:cstheme="minorBidi"/>
          <w:smallCaps w:val="0"/>
          <w:noProof/>
          <w:sz w:val="22"/>
          <w:szCs w:val="22"/>
        </w:rPr>
      </w:pPr>
      <w:hyperlink w:anchor="_Toc143862473" w:history="1">
        <w:r>
          <w:rPr>
            <w:rStyle w:val="Hyperlink"/>
            <w:noProof/>
          </w:rPr>
          <w:t>Artikel 12 Probleme, die nicht auf Ebene der Mitgliedstaaten behandelt werden können</w:t>
        </w:r>
        <w:r>
          <w:rPr>
            <w:noProof/>
            <w:webHidden/>
          </w:rPr>
          <w:tab/>
        </w:r>
        <w:r>
          <w:rPr>
            <w:noProof/>
            <w:webHidden/>
          </w:rPr>
          <w:fldChar w:fldCharType="begin"/>
        </w:r>
        <w:r>
          <w:rPr>
            <w:noProof/>
            <w:webHidden/>
          </w:rPr>
          <w:instrText xml:space="preserve"> PAGEREF _Toc143862473 \h </w:instrText>
        </w:r>
        <w:r>
          <w:rPr>
            <w:noProof/>
            <w:webHidden/>
          </w:rPr>
        </w:r>
        <w:r>
          <w:rPr>
            <w:noProof/>
            <w:webHidden/>
          </w:rPr>
          <w:fldChar w:fldCharType="separate"/>
        </w:r>
        <w:r>
          <w:rPr>
            <w:noProof/>
            <w:webHidden/>
          </w:rPr>
          <w:t>17</w:t>
        </w:r>
        <w:r>
          <w:rPr>
            <w:noProof/>
            <w:webHidden/>
          </w:rPr>
          <w:fldChar w:fldCharType="end"/>
        </w:r>
      </w:hyperlink>
    </w:p>
    <w:p>
      <w:pPr>
        <w:pStyle w:val="Verzeichnis2"/>
        <w:tabs>
          <w:tab w:val="right" w:leader="dot" w:pos="9628"/>
        </w:tabs>
        <w:rPr>
          <w:rFonts w:asciiTheme="minorHAnsi" w:eastAsiaTheme="minorEastAsia" w:hAnsiTheme="minorHAnsi" w:cstheme="minorBidi"/>
          <w:smallCaps w:val="0"/>
          <w:noProof/>
          <w:sz w:val="22"/>
          <w:szCs w:val="22"/>
        </w:rPr>
      </w:pPr>
      <w:hyperlink w:anchor="_Toc143862474" w:history="1">
        <w:r>
          <w:rPr>
            <w:rStyle w:val="Hyperlink"/>
            <w:noProof/>
          </w:rPr>
          <w:t>Artikel 13 Bewirtschaftungspläne für die Einzugsgebiete</w:t>
        </w:r>
        <w:r>
          <w:rPr>
            <w:noProof/>
            <w:webHidden/>
          </w:rPr>
          <w:tab/>
        </w:r>
        <w:r>
          <w:rPr>
            <w:noProof/>
            <w:webHidden/>
          </w:rPr>
          <w:fldChar w:fldCharType="begin"/>
        </w:r>
        <w:r>
          <w:rPr>
            <w:noProof/>
            <w:webHidden/>
          </w:rPr>
          <w:instrText xml:space="preserve"> PAGEREF _Toc143862474 \h </w:instrText>
        </w:r>
        <w:r>
          <w:rPr>
            <w:noProof/>
            <w:webHidden/>
          </w:rPr>
        </w:r>
        <w:r>
          <w:rPr>
            <w:noProof/>
            <w:webHidden/>
          </w:rPr>
          <w:fldChar w:fldCharType="separate"/>
        </w:r>
        <w:r>
          <w:rPr>
            <w:noProof/>
            <w:webHidden/>
          </w:rPr>
          <w:t>17</w:t>
        </w:r>
        <w:r>
          <w:rPr>
            <w:noProof/>
            <w:webHidden/>
          </w:rPr>
          <w:fldChar w:fldCharType="end"/>
        </w:r>
      </w:hyperlink>
    </w:p>
    <w:p>
      <w:pPr>
        <w:pStyle w:val="Verzeichnis2"/>
        <w:tabs>
          <w:tab w:val="right" w:leader="dot" w:pos="9628"/>
        </w:tabs>
        <w:rPr>
          <w:rFonts w:asciiTheme="minorHAnsi" w:eastAsiaTheme="minorEastAsia" w:hAnsiTheme="minorHAnsi" w:cstheme="minorBidi"/>
          <w:smallCaps w:val="0"/>
          <w:noProof/>
          <w:sz w:val="22"/>
          <w:szCs w:val="22"/>
        </w:rPr>
      </w:pPr>
      <w:hyperlink w:anchor="_Toc143862475" w:history="1">
        <w:r>
          <w:rPr>
            <w:rStyle w:val="Hyperlink"/>
            <w:noProof/>
          </w:rPr>
          <w:t>Artikel 14 Information und Anhörung der Öffentlichkeit</w:t>
        </w:r>
        <w:r>
          <w:rPr>
            <w:noProof/>
            <w:webHidden/>
          </w:rPr>
          <w:tab/>
        </w:r>
        <w:r>
          <w:rPr>
            <w:noProof/>
            <w:webHidden/>
          </w:rPr>
          <w:fldChar w:fldCharType="begin"/>
        </w:r>
        <w:r>
          <w:rPr>
            <w:noProof/>
            <w:webHidden/>
          </w:rPr>
          <w:instrText xml:space="preserve"> PAGEREF _Toc143862475 \h </w:instrText>
        </w:r>
        <w:r>
          <w:rPr>
            <w:noProof/>
            <w:webHidden/>
          </w:rPr>
        </w:r>
        <w:r>
          <w:rPr>
            <w:noProof/>
            <w:webHidden/>
          </w:rPr>
          <w:fldChar w:fldCharType="separate"/>
        </w:r>
        <w:r>
          <w:rPr>
            <w:noProof/>
            <w:webHidden/>
          </w:rPr>
          <w:t>18</w:t>
        </w:r>
        <w:r>
          <w:rPr>
            <w:noProof/>
            <w:webHidden/>
          </w:rPr>
          <w:fldChar w:fldCharType="end"/>
        </w:r>
      </w:hyperlink>
    </w:p>
    <w:p>
      <w:pPr>
        <w:pStyle w:val="Verzeichnis2"/>
        <w:tabs>
          <w:tab w:val="right" w:leader="dot" w:pos="9628"/>
        </w:tabs>
        <w:rPr>
          <w:rFonts w:asciiTheme="minorHAnsi" w:eastAsiaTheme="minorEastAsia" w:hAnsiTheme="minorHAnsi" w:cstheme="minorBidi"/>
          <w:smallCaps w:val="0"/>
          <w:noProof/>
          <w:sz w:val="22"/>
          <w:szCs w:val="22"/>
        </w:rPr>
      </w:pPr>
      <w:hyperlink w:anchor="_Toc143862476" w:history="1">
        <w:r>
          <w:rPr>
            <w:rStyle w:val="Hyperlink"/>
            <w:noProof/>
          </w:rPr>
          <w:t>Artikel 15 Berichterstattung</w:t>
        </w:r>
        <w:r>
          <w:rPr>
            <w:noProof/>
            <w:webHidden/>
          </w:rPr>
          <w:tab/>
        </w:r>
        <w:r>
          <w:rPr>
            <w:noProof/>
            <w:webHidden/>
          </w:rPr>
          <w:fldChar w:fldCharType="begin"/>
        </w:r>
        <w:r>
          <w:rPr>
            <w:noProof/>
            <w:webHidden/>
          </w:rPr>
          <w:instrText xml:space="preserve"> PAGEREF _Toc143862476 \h </w:instrText>
        </w:r>
        <w:r>
          <w:rPr>
            <w:noProof/>
            <w:webHidden/>
          </w:rPr>
        </w:r>
        <w:r>
          <w:rPr>
            <w:noProof/>
            <w:webHidden/>
          </w:rPr>
          <w:fldChar w:fldCharType="separate"/>
        </w:r>
        <w:r>
          <w:rPr>
            <w:noProof/>
            <w:webHidden/>
          </w:rPr>
          <w:t>18</w:t>
        </w:r>
        <w:r>
          <w:rPr>
            <w:noProof/>
            <w:webHidden/>
          </w:rPr>
          <w:fldChar w:fldCharType="end"/>
        </w:r>
      </w:hyperlink>
    </w:p>
    <w:p>
      <w:pPr>
        <w:pStyle w:val="Verzeichnis2"/>
        <w:tabs>
          <w:tab w:val="right" w:leader="dot" w:pos="9628"/>
        </w:tabs>
        <w:rPr>
          <w:rFonts w:asciiTheme="minorHAnsi" w:eastAsiaTheme="minorEastAsia" w:hAnsiTheme="minorHAnsi" w:cstheme="minorBidi"/>
          <w:smallCaps w:val="0"/>
          <w:noProof/>
          <w:sz w:val="22"/>
          <w:szCs w:val="22"/>
        </w:rPr>
      </w:pPr>
      <w:hyperlink w:anchor="_Toc143862477" w:history="1">
        <w:r>
          <w:rPr>
            <w:rStyle w:val="Hyperlink"/>
            <w:noProof/>
          </w:rPr>
          <w:t>Artikel 16 Strategien gegen die Wasserverschmutzung</w:t>
        </w:r>
        <w:r>
          <w:rPr>
            <w:noProof/>
            <w:webHidden/>
          </w:rPr>
          <w:tab/>
        </w:r>
        <w:r>
          <w:rPr>
            <w:noProof/>
            <w:webHidden/>
          </w:rPr>
          <w:fldChar w:fldCharType="begin"/>
        </w:r>
        <w:r>
          <w:rPr>
            <w:noProof/>
            <w:webHidden/>
          </w:rPr>
          <w:instrText xml:space="preserve"> PAGEREF _Toc143862477 \h </w:instrText>
        </w:r>
        <w:r>
          <w:rPr>
            <w:noProof/>
            <w:webHidden/>
          </w:rPr>
        </w:r>
        <w:r>
          <w:rPr>
            <w:noProof/>
            <w:webHidden/>
          </w:rPr>
          <w:fldChar w:fldCharType="separate"/>
        </w:r>
        <w:r>
          <w:rPr>
            <w:noProof/>
            <w:webHidden/>
          </w:rPr>
          <w:t>18</w:t>
        </w:r>
        <w:r>
          <w:rPr>
            <w:noProof/>
            <w:webHidden/>
          </w:rPr>
          <w:fldChar w:fldCharType="end"/>
        </w:r>
      </w:hyperlink>
    </w:p>
    <w:p>
      <w:pPr>
        <w:pStyle w:val="Verzeichnis2"/>
        <w:tabs>
          <w:tab w:val="right" w:leader="dot" w:pos="9628"/>
        </w:tabs>
        <w:rPr>
          <w:rFonts w:asciiTheme="minorHAnsi" w:eastAsiaTheme="minorEastAsia" w:hAnsiTheme="minorHAnsi" w:cstheme="minorBidi"/>
          <w:smallCaps w:val="0"/>
          <w:noProof/>
          <w:sz w:val="22"/>
          <w:szCs w:val="22"/>
        </w:rPr>
      </w:pPr>
      <w:hyperlink w:anchor="_Toc143862478" w:history="1">
        <w:r>
          <w:rPr>
            <w:rStyle w:val="Hyperlink"/>
            <w:noProof/>
          </w:rPr>
          <w:t>Artikel 17 Strategien zur Verhinderung und Begrenzung der Grundwasserverschmutzung</w:t>
        </w:r>
        <w:r>
          <w:rPr>
            <w:noProof/>
            <w:webHidden/>
          </w:rPr>
          <w:tab/>
        </w:r>
        <w:r>
          <w:rPr>
            <w:noProof/>
            <w:webHidden/>
          </w:rPr>
          <w:fldChar w:fldCharType="begin"/>
        </w:r>
        <w:r>
          <w:rPr>
            <w:noProof/>
            <w:webHidden/>
          </w:rPr>
          <w:instrText xml:space="preserve"> PAGEREF _Toc143862478 \h </w:instrText>
        </w:r>
        <w:r>
          <w:rPr>
            <w:noProof/>
            <w:webHidden/>
          </w:rPr>
        </w:r>
        <w:r>
          <w:rPr>
            <w:noProof/>
            <w:webHidden/>
          </w:rPr>
          <w:fldChar w:fldCharType="separate"/>
        </w:r>
        <w:r>
          <w:rPr>
            <w:noProof/>
            <w:webHidden/>
          </w:rPr>
          <w:t>20</w:t>
        </w:r>
        <w:r>
          <w:rPr>
            <w:noProof/>
            <w:webHidden/>
          </w:rPr>
          <w:fldChar w:fldCharType="end"/>
        </w:r>
      </w:hyperlink>
    </w:p>
    <w:p>
      <w:pPr>
        <w:pStyle w:val="Verzeichnis2"/>
        <w:tabs>
          <w:tab w:val="right" w:leader="dot" w:pos="9628"/>
        </w:tabs>
        <w:rPr>
          <w:rFonts w:asciiTheme="minorHAnsi" w:eastAsiaTheme="minorEastAsia" w:hAnsiTheme="minorHAnsi" w:cstheme="minorBidi"/>
          <w:smallCaps w:val="0"/>
          <w:noProof/>
          <w:sz w:val="22"/>
          <w:szCs w:val="22"/>
        </w:rPr>
      </w:pPr>
      <w:hyperlink w:anchor="_Toc143862479" w:history="1">
        <w:r>
          <w:rPr>
            <w:rStyle w:val="Hyperlink"/>
            <w:noProof/>
          </w:rPr>
          <w:t>Artikel 18 Bericht der Kommission</w:t>
        </w:r>
        <w:r>
          <w:rPr>
            <w:noProof/>
            <w:webHidden/>
          </w:rPr>
          <w:tab/>
        </w:r>
        <w:r>
          <w:rPr>
            <w:noProof/>
            <w:webHidden/>
          </w:rPr>
          <w:fldChar w:fldCharType="begin"/>
        </w:r>
        <w:r>
          <w:rPr>
            <w:noProof/>
            <w:webHidden/>
          </w:rPr>
          <w:instrText xml:space="preserve"> PAGEREF _Toc143862479 \h </w:instrText>
        </w:r>
        <w:r>
          <w:rPr>
            <w:noProof/>
            <w:webHidden/>
          </w:rPr>
        </w:r>
        <w:r>
          <w:rPr>
            <w:noProof/>
            <w:webHidden/>
          </w:rPr>
          <w:fldChar w:fldCharType="separate"/>
        </w:r>
        <w:r>
          <w:rPr>
            <w:noProof/>
            <w:webHidden/>
          </w:rPr>
          <w:t>20</w:t>
        </w:r>
        <w:r>
          <w:rPr>
            <w:noProof/>
            <w:webHidden/>
          </w:rPr>
          <w:fldChar w:fldCharType="end"/>
        </w:r>
      </w:hyperlink>
    </w:p>
    <w:p>
      <w:pPr>
        <w:pStyle w:val="Verzeichnis2"/>
        <w:tabs>
          <w:tab w:val="right" w:leader="dot" w:pos="9628"/>
        </w:tabs>
        <w:rPr>
          <w:rFonts w:asciiTheme="minorHAnsi" w:eastAsiaTheme="minorEastAsia" w:hAnsiTheme="minorHAnsi" w:cstheme="minorBidi"/>
          <w:smallCaps w:val="0"/>
          <w:noProof/>
          <w:sz w:val="22"/>
          <w:szCs w:val="22"/>
        </w:rPr>
      </w:pPr>
      <w:hyperlink w:anchor="_Toc143862480" w:history="1">
        <w:r>
          <w:rPr>
            <w:rStyle w:val="Hyperlink"/>
            <w:noProof/>
          </w:rPr>
          <w:t>Artikel 19 Pläne für künftige Maßnahmen der Gemeinschaft</w:t>
        </w:r>
        <w:r>
          <w:rPr>
            <w:noProof/>
            <w:webHidden/>
          </w:rPr>
          <w:tab/>
        </w:r>
        <w:r>
          <w:rPr>
            <w:noProof/>
            <w:webHidden/>
          </w:rPr>
          <w:fldChar w:fldCharType="begin"/>
        </w:r>
        <w:r>
          <w:rPr>
            <w:noProof/>
            <w:webHidden/>
          </w:rPr>
          <w:instrText xml:space="preserve"> PAGEREF _Toc143862480 \h </w:instrText>
        </w:r>
        <w:r>
          <w:rPr>
            <w:noProof/>
            <w:webHidden/>
          </w:rPr>
        </w:r>
        <w:r>
          <w:rPr>
            <w:noProof/>
            <w:webHidden/>
          </w:rPr>
          <w:fldChar w:fldCharType="separate"/>
        </w:r>
        <w:r>
          <w:rPr>
            <w:noProof/>
            <w:webHidden/>
          </w:rPr>
          <w:t>21</w:t>
        </w:r>
        <w:r>
          <w:rPr>
            <w:noProof/>
            <w:webHidden/>
          </w:rPr>
          <w:fldChar w:fldCharType="end"/>
        </w:r>
      </w:hyperlink>
    </w:p>
    <w:p>
      <w:pPr>
        <w:pStyle w:val="Verzeichnis2"/>
        <w:tabs>
          <w:tab w:val="right" w:leader="dot" w:pos="9628"/>
        </w:tabs>
        <w:rPr>
          <w:rFonts w:asciiTheme="minorHAnsi" w:eastAsiaTheme="minorEastAsia" w:hAnsiTheme="minorHAnsi" w:cstheme="minorBidi"/>
          <w:smallCaps w:val="0"/>
          <w:noProof/>
          <w:sz w:val="22"/>
          <w:szCs w:val="22"/>
        </w:rPr>
      </w:pPr>
      <w:hyperlink w:anchor="_Toc143862481" w:history="1">
        <w:r>
          <w:rPr>
            <w:rStyle w:val="Hyperlink"/>
            <w:noProof/>
          </w:rPr>
          <w:t>Artikel 20 Technische Anpassungen dieser Richtlinie</w:t>
        </w:r>
        <w:r>
          <w:rPr>
            <w:noProof/>
            <w:webHidden/>
          </w:rPr>
          <w:tab/>
        </w:r>
        <w:r>
          <w:rPr>
            <w:noProof/>
            <w:webHidden/>
          </w:rPr>
          <w:fldChar w:fldCharType="begin"/>
        </w:r>
        <w:r>
          <w:rPr>
            <w:noProof/>
            <w:webHidden/>
          </w:rPr>
          <w:instrText xml:space="preserve"> PAGEREF _Toc143862481 \h </w:instrText>
        </w:r>
        <w:r>
          <w:rPr>
            <w:noProof/>
            <w:webHidden/>
          </w:rPr>
        </w:r>
        <w:r>
          <w:rPr>
            <w:noProof/>
            <w:webHidden/>
          </w:rPr>
          <w:fldChar w:fldCharType="separate"/>
        </w:r>
        <w:r>
          <w:rPr>
            <w:noProof/>
            <w:webHidden/>
          </w:rPr>
          <w:t>21</w:t>
        </w:r>
        <w:r>
          <w:rPr>
            <w:noProof/>
            <w:webHidden/>
          </w:rPr>
          <w:fldChar w:fldCharType="end"/>
        </w:r>
      </w:hyperlink>
    </w:p>
    <w:p>
      <w:pPr>
        <w:pStyle w:val="Verzeichnis2"/>
        <w:tabs>
          <w:tab w:val="right" w:leader="dot" w:pos="9628"/>
        </w:tabs>
        <w:rPr>
          <w:rFonts w:asciiTheme="minorHAnsi" w:eastAsiaTheme="minorEastAsia" w:hAnsiTheme="minorHAnsi" w:cstheme="minorBidi"/>
          <w:smallCaps w:val="0"/>
          <w:noProof/>
          <w:sz w:val="22"/>
          <w:szCs w:val="22"/>
        </w:rPr>
      </w:pPr>
      <w:hyperlink w:anchor="_Toc143862482" w:history="1">
        <w:r>
          <w:rPr>
            <w:rStyle w:val="Hyperlink"/>
            <w:noProof/>
          </w:rPr>
          <w:t>Artikel 21 Ausschussverfahren</w:t>
        </w:r>
        <w:r>
          <w:rPr>
            <w:noProof/>
            <w:webHidden/>
          </w:rPr>
          <w:tab/>
        </w:r>
        <w:r>
          <w:rPr>
            <w:noProof/>
            <w:webHidden/>
          </w:rPr>
          <w:fldChar w:fldCharType="begin"/>
        </w:r>
        <w:r>
          <w:rPr>
            <w:noProof/>
            <w:webHidden/>
          </w:rPr>
          <w:instrText xml:space="preserve"> PAGEREF _Toc143862482 \h </w:instrText>
        </w:r>
        <w:r>
          <w:rPr>
            <w:noProof/>
            <w:webHidden/>
          </w:rPr>
        </w:r>
        <w:r>
          <w:rPr>
            <w:noProof/>
            <w:webHidden/>
          </w:rPr>
          <w:fldChar w:fldCharType="separate"/>
        </w:r>
        <w:r>
          <w:rPr>
            <w:noProof/>
            <w:webHidden/>
          </w:rPr>
          <w:t>21</w:t>
        </w:r>
        <w:r>
          <w:rPr>
            <w:noProof/>
            <w:webHidden/>
          </w:rPr>
          <w:fldChar w:fldCharType="end"/>
        </w:r>
      </w:hyperlink>
    </w:p>
    <w:p>
      <w:pPr>
        <w:pStyle w:val="Verzeichnis2"/>
        <w:tabs>
          <w:tab w:val="right" w:leader="dot" w:pos="9628"/>
        </w:tabs>
        <w:rPr>
          <w:rFonts w:asciiTheme="minorHAnsi" w:eastAsiaTheme="minorEastAsia" w:hAnsiTheme="minorHAnsi" w:cstheme="minorBidi"/>
          <w:smallCaps w:val="0"/>
          <w:noProof/>
          <w:sz w:val="22"/>
          <w:szCs w:val="22"/>
        </w:rPr>
      </w:pPr>
      <w:hyperlink w:anchor="_Toc143862483" w:history="1">
        <w:r>
          <w:rPr>
            <w:rStyle w:val="Hyperlink"/>
            <w:noProof/>
          </w:rPr>
          <w:t>Artikel 22 Aufhebung von Rechtsakten und Übergangsbestimmungen</w:t>
        </w:r>
        <w:r>
          <w:rPr>
            <w:noProof/>
            <w:webHidden/>
          </w:rPr>
          <w:tab/>
        </w:r>
        <w:r>
          <w:rPr>
            <w:noProof/>
            <w:webHidden/>
          </w:rPr>
          <w:fldChar w:fldCharType="begin"/>
        </w:r>
        <w:r>
          <w:rPr>
            <w:noProof/>
            <w:webHidden/>
          </w:rPr>
          <w:instrText xml:space="preserve"> PAGEREF _Toc143862483 \h </w:instrText>
        </w:r>
        <w:r>
          <w:rPr>
            <w:noProof/>
            <w:webHidden/>
          </w:rPr>
        </w:r>
        <w:r>
          <w:rPr>
            <w:noProof/>
            <w:webHidden/>
          </w:rPr>
          <w:fldChar w:fldCharType="separate"/>
        </w:r>
        <w:r>
          <w:rPr>
            <w:noProof/>
            <w:webHidden/>
          </w:rPr>
          <w:t>21</w:t>
        </w:r>
        <w:r>
          <w:rPr>
            <w:noProof/>
            <w:webHidden/>
          </w:rPr>
          <w:fldChar w:fldCharType="end"/>
        </w:r>
      </w:hyperlink>
    </w:p>
    <w:p>
      <w:pPr>
        <w:pStyle w:val="Verzeichnis2"/>
        <w:tabs>
          <w:tab w:val="right" w:leader="dot" w:pos="9628"/>
        </w:tabs>
        <w:rPr>
          <w:rFonts w:asciiTheme="minorHAnsi" w:eastAsiaTheme="minorEastAsia" w:hAnsiTheme="minorHAnsi" w:cstheme="minorBidi"/>
          <w:smallCaps w:val="0"/>
          <w:noProof/>
          <w:sz w:val="22"/>
          <w:szCs w:val="22"/>
        </w:rPr>
      </w:pPr>
      <w:hyperlink w:anchor="_Toc143862484" w:history="1">
        <w:r>
          <w:rPr>
            <w:rStyle w:val="Hyperlink"/>
            <w:noProof/>
          </w:rPr>
          <w:t>Artikel 23 Sanktionen</w:t>
        </w:r>
        <w:r>
          <w:rPr>
            <w:noProof/>
            <w:webHidden/>
          </w:rPr>
          <w:tab/>
        </w:r>
        <w:r>
          <w:rPr>
            <w:noProof/>
            <w:webHidden/>
          </w:rPr>
          <w:fldChar w:fldCharType="begin"/>
        </w:r>
        <w:r>
          <w:rPr>
            <w:noProof/>
            <w:webHidden/>
          </w:rPr>
          <w:instrText xml:space="preserve"> PAGEREF _Toc143862484 \h </w:instrText>
        </w:r>
        <w:r>
          <w:rPr>
            <w:noProof/>
            <w:webHidden/>
          </w:rPr>
        </w:r>
        <w:r>
          <w:rPr>
            <w:noProof/>
            <w:webHidden/>
          </w:rPr>
          <w:fldChar w:fldCharType="separate"/>
        </w:r>
        <w:r>
          <w:rPr>
            <w:noProof/>
            <w:webHidden/>
          </w:rPr>
          <w:t>22</w:t>
        </w:r>
        <w:r>
          <w:rPr>
            <w:noProof/>
            <w:webHidden/>
          </w:rPr>
          <w:fldChar w:fldCharType="end"/>
        </w:r>
      </w:hyperlink>
    </w:p>
    <w:p>
      <w:pPr>
        <w:pStyle w:val="Verzeichnis2"/>
        <w:tabs>
          <w:tab w:val="right" w:leader="dot" w:pos="9628"/>
        </w:tabs>
        <w:rPr>
          <w:rFonts w:asciiTheme="minorHAnsi" w:eastAsiaTheme="minorEastAsia" w:hAnsiTheme="minorHAnsi" w:cstheme="minorBidi"/>
          <w:smallCaps w:val="0"/>
          <w:noProof/>
          <w:sz w:val="22"/>
          <w:szCs w:val="22"/>
        </w:rPr>
      </w:pPr>
      <w:hyperlink w:anchor="_Toc143862485" w:history="1">
        <w:r>
          <w:rPr>
            <w:rStyle w:val="Hyperlink"/>
            <w:noProof/>
          </w:rPr>
          <w:t>Artikel 24 Umsetzung</w:t>
        </w:r>
        <w:r>
          <w:rPr>
            <w:noProof/>
            <w:webHidden/>
          </w:rPr>
          <w:tab/>
        </w:r>
        <w:r>
          <w:rPr>
            <w:noProof/>
            <w:webHidden/>
          </w:rPr>
          <w:fldChar w:fldCharType="begin"/>
        </w:r>
        <w:r>
          <w:rPr>
            <w:noProof/>
            <w:webHidden/>
          </w:rPr>
          <w:instrText xml:space="preserve"> PAGEREF _Toc143862485 \h </w:instrText>
        </w:r>
        <w:r>
          <w:rPr>
            <w:noProof/>
            <w:webHidden/>
          </w:rPr>
        </w:r>
        <w:r>
          <w:rPr>
            <w:noProof/>
            <w:webHidden/>
          </w:rPr>
          <w:fldChar w:fldCharType="separate"/>
        </w:r>
        <w:r>
          <w:rPr>
            <w:noProof/>
            <w:webHidden/>
          </w:rPr>
          <w:t>22</w:t>
        </w:r>
        <w:r>
          <w:rPr>
            <w:noProof/>
            <w:webHidden/>
          </w:rPr>
          <w:fldChar w:fldCharType="end"/>
        </w:r>
      </w:hyperlink>
    </w:p>
    <w:p>
      <w:pPr>
        <w:pStyle w:val="Verzeichnis2"/>
        <w:tabs>
          <w:tab w:val="right" w:leader="dot" w:pos="9628"/>
        </w:tabs>
        <w:rPr>
          <w:rFonts w:asciiTheme="minorHAnsi" w:eastAsiaTheme="minorEastAsia" w:hAnsiTheme="minorHAnsi" w:cstheme="minorBidi"/>
          <w:smallCaps w:val="0"/>
          <w:noProof/>
          <w:sz w:val="22"/>
          <w:szCs w:val="22"/>
        </w:rPr>
      </w:pPr>
      <w:hyperlink w:anchor="_Toc143862486" w:history="1">
        <w:r>
          <w:rPr>
            <w:rStyle w:val="Hyperlink"/>
            <w:noProof/>
          </w:rPr>
          <w:t>Artikel 25 Inkrafttreten</w:t>
        </w:r>
        <w:r>
          <w:rPr>
            <w:noProof/>
            <w:webHidden/>
          </w:rPr>
          <w:tab/>
        </w:r>
        <w:r>
          <w:rPr>
            <w:noProof/>
            <w:webHidden/>
          </w:rPr>
          <w:fldChar w:fldCharType="begin"/>
        </w:r>
        <w:r>
          <w:rPr>
            <w:noProof/>
            <w:webHidden/>
          </w:rPr>
          <w:instrText xml:space="preserve"> PAGEREF _Toc143862486 \h </w:instrText>
        </w:r>
        <w:r>
          <w:rPr>
            <w:noProof/>
            <w:webHidden/>
          </w:rPr>
        </w:r>
        <w:r>
          <w:rPr>
            <w:noProof/>
            <w:webHidden/>
          </w:rPr>
          <w:fldChar w:fldCharType="separate"/>
        </w:r>
        <w:r>
          <w:rPr>
            <w:noProof/>
            <w:webHidden/>
          </w:rPr>
          <w:t>22</w:t>
        </w:r>
        <w:r>
          <w:rPr>
            <w:noProof/>
            <w:webHidden/>
          </w:rPr>
          <w:fldChar w:fldCharType="end"/>
        </w:r>
      </w:hyperlink>
    </w:p>
    <w:p>
      <w:pPr>
        <w:pStyle w:val="Verzeichnis2"/>
        <w:tabs>
          <w:tab w:val="right" w:leader="dot" w:pos="9628"/>
        </w:tabs>
        <w:rPr>
          <w:rFonts w:asciiTheme="minorHAnsi" w:eastAsiaTheme="minorEastAsia" w:hAnsiTheme="minorHAnsi" w:cstheme="minorBidi"/>
          <w:smallCaps w:val="0"/>
          <w:noProof/>
          <w:sz w:val="22"/>
          <w:szCs w:val="22"/>
        </w:rPr>
      </w:pPr>
      <w:hyperlink w:anchor="_Toc143862487" w:history="1">
        <w:r>
          <w:rPr>
            <w:rStyle w:val="Hyperlink"/>
            <w:noProof/>
          </w:rPr>
          <w:t>Artikel 26 Adressaten</w:t>
        </w:r>
        <w:r>
          <w:rPr>
            <w:noProof/>
            <w:webHidden/>
          </w:rPr>
          <w:tab/>
        </w:r>
        <w:r>
          <w:rPr>
            <w:noProof/>
            <w:webHidden/>
          </w:rPr>
          <w:fldChar w:fldCharType="begin"/>
        </w:r>
        <w:r>
          <w:rPr>
            <w:noProof/>
            <w:webHidden/>
          </w:rPr>
          <w:instrText xml:space="preserve"> PAGEREF _Toc143862487 \h </w:instrText>
        </w:r>
        <w:r>
          <w:rPr>
            <w:noProof/>
            <w:webHidden/>
          </w:rPr>
        </w:r>
        <w:r>
          <w:rPr>
            <w:noProof/>
            <w:webHidden/>
          </w:rPr>
          <w:fldChar w:fldCharType="separate"/>
        </w:r>
        <w:r>
          <w:rPr>
            <w:noProof/>
            <w:webHidden/>
          </w:rPr>
          <w:t>23</w:t>
        </w:r>
        <w:r>
          <w:rPr>
            <w:noProof/>
            <w:webHidden/>
          </w:rPr>
          <w:fldChar w:fldCharType="end"/>
        </w:r>
      </w:hyperlink>
    </w:p>
    <w:p>
      <w:pPr>
        <w:pStyle w:val="Verzeichnis2"/>
        <w:tabs>
          <w:tab w:val="right" w:leader="dot" w:pos="9628"/>
        </w:tabs>
        <w:rPr>
          <w:rFonts w:asciiTheme="minorHAnsi" w:eastAsiaTheme="minorEastAsia" w:hAnsiTheme="minorHAnsi" w:cstheme="minorBidi"/>
          <w:smallCaps w:val="0"/>
          <w:noProof/>
          <w:sz w:val="22"/>
          <w:szCs w:val="22"/>
        </w:rPr>
      </w:pPr>
      <w:hyperlink w:anchor="_Toc143862488" w:history="1">
        <w:r>
          <w:rPr>
            <w:rStyle w:val="Hyperlink"/>
            <w:noProof/>
          </w:rPr>
          <w:t>Anhang I</w:t>
        </w:r>
        <w:r>
          <w:rPr>
            <w:noProof/>
            <w:webHidden/>
          </w:rPr>
          <w:tab/>
        </w:r>
        <w:r>
          <w:rPr>
            <w:noProof/>
            <w:webHidden/>
          </w:rPr>
          <w:fldChar w:fldCharType="begin"/>
        </w:r>
        <w:r>
          <w:rPr>
            <w:noProof/>
            <w:webHidden/>
          </w:rPr>
          <w:instrText xml:space="preserve"> PAGEREF _Toc143862488 \h </w:instrText>
        </w:r>
        <w:r>
          <w:rPr>
            <w:noProof/>
            <w:webHidden/>
          </w:rPr>
        </w:r>
        <w:r>
          <w:rPr>
            <w:noProof/>
            <w:webHidden/>
          </w:rPr>
          <w:fldChar w:fldCharType="separate"/>
        </w:r>
        <w:r>
          <w:rPr>
            <w:noProof/>
            <w:webHidden/>
          </w:rPr>
          <w:t>23</w:t>
        </w:r>
        <w:r>
          <w:rPr>
            <w:noProof/>
            <w:webHidden/>
          </w:rPr>
          <w:fldChar w:fldCharType="end"/>
        </w:r>
      </w:hyperlink>
    </w:p>
    <w:p>
      <w:pPr>
        <w:pStyle w:val="Verzeichnis2"/>
        <w:tabs>
          <w:tab w:val="right" w:leader="dot" w:pos="9628"/>
        </w:tabs>
        <w:rPr>
          <w:rFonts w:asciiTheme="minorHAnsi" w:eastAsiaTheme="minorEastAsia" w:hAnsiTheme="minorHAnsi" w:cstheme="minorBidi"/>
          <w:smallCaps w:val="0"/>
          <w:noProof/>
          <w:sz w:val="22"/>
          <w:szCs w:val="22"/>
        </w:rPr>
      </w:pPr>
      <w:hyperlink w:anchor="_Toc143862489" w:history="1">
        <w:r>
          <w:rPr>
            <w:rStyle w:val="Hyperlink"/>
            <w:noProof/>
          </w:rPr>
          <w:t>Anhang II</w:t>
        </w:r>
        <w:r>
          <w:rPr>
            <w:noProof/>
            <w:webHidden/>
          </w:rPr>
          <w:tab/>
        </w:r>
        <w:r>
          <w:rPr>
            <w:noProof/>
            <w:webHidden/>
          </w:rPr>
          <w:fldChar w:fldCharType="begin"/>
        </w:r>
        <w:r>
          <w:rPr>
            <w:noProof/>
            <w:webHidden/>
          </w:rPr>
          <w:instrText xml:space="preserve"> PAGEREF _Toc143862489 \h </w:instrText>
        </w:r>
        <w:r>
          <w:rPr>
            <w:noProof/>
            <w:webHidden/>
          </w:rPr>
        </w:r>
        <w:r>
          <w:rPr>
            <w:noProof/>
            <w:webHidden/>
          </w:rPr>
          <w:fldChar w:fldCharType="separate"/>
        </w:r>
        <w:r>
          <w:rPr>
            <w:noProof/>
            <w:webHidden/>
          </w:rPr>
          <w:t>23</w:t>
        </w:r>
        <w:r>
          <w:rPr>
            <w:noProof/>
            <w:webHidden/>
          </w:rPr>
          <w:fldChar w:fldCharType="end"/>
        </w:r>
      </w:hyperlink>
    </w:p>
    <w:p>
      <w:pPr>
        <w:pStyle w:val="Verzeichnis2"/>
        <w:tabs>
          <w:tab w:val="right" w:leader="dot" w:pos="9628"/>
        </w:tabs>
        <w:rPr>
          <w:rFonts w:asciiTheme="minorHAnsi" w:eastAsiaTheme="minorEastAsia" w:hAnsiTheme="minorHAnsi" w:cstheme="minorBidi"/>
          <w:smallCaps w:val="0"/>
          <w:noProof/>
          <w:sz w:val="22"/>
          <w:szCs w:val="22"/>
        </w:rPr>
      </w:pPr>
      <w:hyperlink w:anchor="_Toc143862490" w:history="1">
        <w:r>
          <w:rPr>
            <w:rStyle w:val="Hyperlink"/>
            <w:noProof/>
          </w:rPr>
          <w:t>Anhang III</w:t>
        </w:r>
        <w:r>
          <w:rPr>
            <w:noProof/>
            <w:webHidden/>
          </w:rPr>
          <w:tab/>
        </w:r>
        <w:r>
          <w:rPr>
            <w:noProof/>
            <w:webHidden/>
          </w:rPr>
          <w:fldChar w:fldCharType="begin"/>
        </w:r>
        <w:r>
          <w:rPr>
            <w:noProof/>
            <w:webHidden/>
          </w:rPr>
          <w:instrText xml:space="preserve"> PAGEREF _Toc143862490 \h </w:instrText>
        </w:r>
        <w:r>
          <w:rPr>
            <w:noProof/>
            <w:webHidden/>
          </w:rPr>
        </w:r>
        <w:r>
          <w:rPr>
            <w:noProof/>
            <w:webHidden/>
          </w:rPr>
          <w:fldChar w:fldCharType="separate"/>
        </w:r>
        <w:r>
          <w:rPr>
            <w:noProof/>
            <w:webHidden/>
          </w:rPr>
          <w:t>30</w:t>
        </w:r>
        <w:r>
          <w:rPr>
            <w:noProof/>
            <w:webHidden/>
          </w:rPr>
          <w:fldChar w:fldCharType="end"/>
        </w:r>
      </w:hyperlink>
    </w:p>
    <w:p>
      <w:pPr>
        <w:pStyle w:val="Verzeichnis2"/>
        <w:tabs>
          <w:tab w:val="right" w:leader="dot" w:pos="9628"/>
        </w:tabs>
        <w:rPr>
          <w:rFonts w:asciiTheme="minorHAnsi" w:eastAsiaTheme="minorEastAsia" w:hAnsiTheme="minorHAnsi" w:cstheme="minorBidi"/>
          <w:smallCaps w:val="0"/>
          <w:noProof/>
          <w:sz w:val="22"/>
          <w:szCs w:val="22"/>
        </w:rPr>
      </w:pPr>
      <w:hyperlink w:anchor="_Toc143862491" w:history="1">
        <w:r>
          <w:rPr>
            <w:rStyle w:val="Hyperlink"/>
            <w:noProof/>
          </w:rPr>
          <w:t>Anhang IV</w:t>
        </w:r>
        <w:r>
          <w:rPr>
            <w:noProof/>
            <w:webHidden/>
          </w:rPr>
          <w:tab/>
        </w:r>
        <w:r>
          <w:rPr>
            <w:noProof/>
            <w:webHidden/>
          </w:rPr>
          <w:fldChar w:fldCharType="begin"/>
        </w:r>
        <w:r>
          <w:rPr>
            <w:noProof/>
            <w:webHidden/>
          </w:rPr>
          <w:instrText xml:space="preserve"> PAGEREF _Toc143862491 \h </w:instrText>
        </w:r>
        <w:r>
          <w:rPr>
            <w:noProof/>
            <w:webHidden/>
          </w:rPr>
        </w:r>
        <w:r>
          <w:rPr>
            <w:noProof/>
            <w:webHidden/>
          </w:rPr>
          <w:fldChar w:fldCharType="separate"/>
        </w:r>
        <w:r>
          <w:rPr>
            <w:noProof/>
            <w:webHidden/>
          </w:rPr>
          <w:t>30</w:t>
        </w:r>
        <w:r>
          <w:rPr>
            <w:noProof/>
            <w:webHidden/>
          </w:rPr>
          <w:fldChar w:fldCharType="end"/>
        </w:r>
      </w:hyperlink>
    </w:p>
    <w:p>
      <w:pPr>
        <w:pStyle w:val="Verzeichnis2"/>
        <w:tabs>
          <w:tab w:val="right" w:leader="dot" w:pos="9628"/>
        </w:tabs>
        <w:rPr>
          <w:rFonts w:asciiTheme="minorHAnsi" w:eastAsiaTheme="minorEastAsia" w:hAnsiTheme="minorHAnsi" w:cstheme="minorBidi"/>
          <w:smallCaps w:val="0"/>
          <w:noProof/>
          <w:sz w:val="22"/>
          <w:szCs w:val="22"/>
        </w:rPr>
      </w:pPr>
      <w:hyperlink w:anchor="_Toc143862492" w:history="1">
        <w:r>
          <w:rPr>
            <w:rStyle w:val="Hyperlink"/>
            <w:noProof/>
          </w:rPr>
          <w:t>Anhang V</w:t>
        </w:r>
        <w:r>
          <w:rPr>
            <w:noProof/>
            <w:webHidden/>
          </w:rPr>
          <w:tab/>
        </w:r>
        <w:r>
          <w:rPr>
            <w:noProof/>
            <w:webHidden/>
          </w:rPr>
          <w:fldChar w:fldCharType="begin"/>
        </w:r>
        <w:r>
          <w:rPr>
            <w:noProof/>
            <w:webHidden/>
          </w:rPr>
          <w:instrText xml:space="preserve"> PAGEREF _Toc143862492 \h </w:instrText>
        </w:r>
        <w:r>
          <w:rPr>
            <w:noProof/>
            <w:webHidden/>
          </w:rPr>
        </w:r>
        <w:r>
          <w:rPr>
            <w:noProof/>
            <w:webHidden/>
          </w:rPr>
          <w:fldChar w:fldCharType="separate"/>
        </w:r>
        <w:r>
          <w:rPr>
            <w:noProof/>
            <w:webHidden/>
          </w:rPr>
          <w:t>30</w:t>
        </w:r>
        <w:r>
          <w:rPr>
            <w:noProof/>
            <w:webHidden/>
          </w:rPr>
          <w:fldChar w:fldCharType="end"/>
        </w:r>
      </w:hyperlink>
    </w:p>
    <w:p>
      <w:pPr>
        <w:pStyle w:val="Verzeichnis2"/>
        <w:tabs>
          <w:tab w:val="right" w:leader="dot" w:pos="9628"/>
        </w:tabs>
        <w:rPr>
          <w:rFonts w:asciiTheme="minorHAnsi" w:eastAsiaTheme="minorEastAsia" w:hAnsiTheme="minorHAnsi" w:cstheme="minorBidi"/>
          <w:smallCaps w:val="0"/>
          <w:noProof/>
          <w:sz w:val="22"/>
          <w:szCs w:val="22"/>
        </w:rPr>
      </w:pPr>
      <w:hyperlink w:anchor="_Toc143862493" w:history="1">
        <w:r>
          <w:rPr>
            <w:rStyle w:val="Hyperlink"/>
            <w:noProof/>
          </w:rPr>
          <w:t>Anhang VI</w:t>
        </w:r>
        <w:r>
          <w:rPr>
            <w:noProof/>
            <w:webHidden/>
          </w:rPr>
          <w:tab/>
        </w:r>
        <w:r>
          <w:rPr>
            <w:noProof/>
            <w:webHidden/>
          </w:rPr>
          <w:fldChar w:fldCharType="begin"/>
        </w:r>
        <w:r>
          <w:rPr>
            <w:noProof/>
            <w:webHidden/>
          </w:rPr>
          <w:instrText xml:space="preserve"> PAGEREF _Toc143862493 \h </w:instrText>
        </w:r>
        <w:r>
          <w:rPr>
            <w:noProof/>
            <w:webHidden/>
          </w:rPr>
        </w:r>
        <w:r>
          <w:rPr>
            <w:noProof/>
            <w:webHidden/>
          </w:rPr>
          <w:fldChar w:fldCharType="separate"/>
        </w:r>
        <w:r>
          <w:rPr>
            <w:noProof/>
            <w:webHidden/>
          </w:rPr>
          <w:t>59</w:t>
        </w:r>
        <w:r>
          <w:rPr>
            <w:noProof/>
            <w:webHidden/>
          </w:rPr>
          <w:fldChar w:fldCharType="end"/>
        </w:r>
      </w:hyperlink>
    </w:p>
    <w:p>
      <w:pPr>
        <w:pStyle w:val="Verzeichnis2"/>
        <w:tabs>
          <w:tab w:val="right" w:leader="dot" w:pos="9628"/>
        </w:tabs>
        <w:rPr>
          <w:rFonts w:asciiTheme="minorHAnsi" w:eastAsiaTheme="minorEastAsia" w:hAnsiTheme="minorHAnsi" w:cstheme="minorBidi"/>
          <w:smallCaps w:val="0"/>
          <w:noProof/>
          <w:sz w:val="22"/>
          <w:szCs w:val="22"/>
        </w:rPr>
      </w:pPr>
      <w:hyperlink w:anchor="_Toc143862494" w:history="1">
        <w:r>
          <w:rPr>
            <w:rStyle w:val="Hyperlink"/>
            <w:noProof/>
          </w:rPr>
          <w:t>Anhang VII</w:t>
        </w:r>
        <w:r>
          <w:rPr>
            <w:noProof/>
            <w:webHidden/>
          </w:rPr>
          <w:tab/>
        </w:r>
        <w:r>
          <w:rPr>
            <w:noProof/>
            <w:webHidden/>
          </w:rPr>
          <w:fldChar w:fldCharType="begin"/>
        </w:r>
        <w:r>
          <w:rPr>
            <w:noProof/>
            <w:webHidden/>
          </w:rPr>
          <w:instrText xml:space="preserve"> PAGEREF _Toc143862494 \h </w:instrText>
        </w:r>
        <w:r>
          <w:rPr>
            <w:noProof/>
            <w:webHidden/>
          </w:rPr>
        </w:r>
        <w:r>
          <w:rPr>
            <w:noProof/>
            <w:webHidden/>
          </w:rPr>
          <w:fldChar w:fldCharType="separate"/>
        </w:r>
        <w:r>
          <w:rPr>
            <w:noProof/>
            <w:webHidden/>
          </w:rPr>
          <w:t>60</w:t>
        </w:r>
        <w:r>
          <w:rPr>
            <w:noProof/>
            <w:webHidden/>
          </w:rPr>
          <w:fldChar w:fldCharType="end"/>
        </w:r>
      </w:hyperlink>
    </w:p>
    <w:p>
      <w:pPr>
        <w:pStyle w:val="Verzeichnis2"/>
        <w:tabs>
          <w:tab w:val="right" w:leader="dot" w:pos="9628"/>
        </w:tabs>
        <w:rPr>
          <w:rFonts w:asciiTheme="minorHAnsi" w:eastAsiaTheme="minorEastAsia" w:hAnsiTheme="minorHAnsi" w:cstheme="minorBidi"/>
          <w:smallCaps w:val="0"/>
          <w:noProof/>
          <w:sz w:val="22"/>
          <w:szCs w:val="22"/>
        </w:rPr>
      </w:pPr>
      <w:hyperlink w:anchor="_Toc143862495" w:history="1">
        <w:r>
          <w:rPr>
            <w:rStyle w:val="Hyperlink"/>
            <w:noProof/>
          </w:rPr>
          <w:t>Anhang VIII</w:t>
        </w:r>
        <w:r>
          <w:rPr>
            <w:noProof/>
            <w:webHidden/>
          </w:rPr>
          <w:tab/>
        </w:r>
        <w:r>
          <w:rPr>
            <w:noProof/>
            <w:webHidden/>
          </w:rPr>
          <w:fldChar w:fldCharType="begin"/>
        </w:r>
        <w:r>
          <w:rPr>
            <w:noProof/>
            <w:webHidden/>
          </w:rPr>
          <w:instrText xml:space="preserve"> PAGEREF _Toc143862495 \h </w:instrText>
        </w:r>
        <w:r>
          <w:rPr>
            <w:noProof/>
            <w:webHidden/>
          </w:rPr>
        </w:r>
        <w:r>
          <w:rPr>
            <w:noProof/>
            <w:webHidden/>
          </w:rPr>
          <w:fldChar w:fldCharType="separate"/>
        </w:r>
        <w:r>
          <w:rPr>
            <w:noProof/>
            <w:webHidden/>
          </w:rPr>
          <w:t>62</w:t>
        </w:r>
        <w:r>
          <w:rPr>
            <w:noProof/>
            <w:webHidden/>
          </w:rPr>
          <w:fldChar w:fldCharType="end"/>
        </w:r>
      </w:hyperlink>
    </w:p>
    <w:p>
      <w:pPr>
        <w:pStyle w:val="Verzeichnis2"/>
        <w:tabs>
          <w:tab w:val="right" w:leader="dot" w:pos="9628"/>
        </w:tabs>
        <w:rPr>
          <w:rFonts w:asciiTheme="minorHAnsi" w:eastAsiaTheme="minorEastAsia" w:hAnsiTheme="minorHAnsi" w:cstheme="minorBidi"/>
          <w:smallCaps w:val="0"/>
          <w:noProof/>
          <w:sz w:val="22"/>
          <w:szCs w:val="22"/>
        </w:rPr>
      </w:pPr>
      <w:hyperlink w:anchor="_Toc143862496" w:history="1">
        <w:r>
          <w:rPr>
            <w:rStyle w:val="Hyperlink"/>
            <w:noProof/>
          </w:rPr>
          <w:t>Anhang IX</w:t>
        </w:r>
        <w:r>
          <w:rPr>
            <w:noProof/>
            <w:webHidden/>
          </w:rPr>
          <w:tab/>
        </w:r>
        <w:r>
          <w:rPr>
            <w:noProof/>
            <w:webHidden/>
          </w:rPr>
          <w:fldChar w:fldCharType="begin"/>
        </w:r>
        <w:r>
          <w:rPr>
            <w:noProof/>
            <w:webHidden/>
          </w:rPr>
          <w:instrText xml:space="preserve"> PAGEREF _Toc143862496 \h </w:instrText>
        </w:r>
        <w:r>
          <w:rPr>
            <w:noProof/>
            <w:webHidden/>
          </w:rPr>
        </w:r>
        <w:r>
          <w:rPr>
            <w:noProof/>
            <w:webHidden/>
          </w:rPr>
          <w:fldChar w:fldCharType="separate"/>
        </w:r>
        <w:r>
          <w:rPr>
            <w:noProof/>
            <w:webHidden/>
          </w:rPr>
          <w:t>62</w:t>
        </w:r>
        <w:r>
          <w:rPr>
            <w:noProof/>
            <w:webHidden/>
          </w:rPr>
          <w:fldChar w:fldCharType="end"/>
        </w:r>
      </w:hyperlink>
    </w:p>
    <w:p>
      <w:pPr>
        <w:pStyle w:val="Verzeichnis2"/>
        <w:tabs>
          <w:tab w:val="right" w:leader="dot" w:pos="9628"/>
        </w:tabs>
        <w:rPr>
          <w:rFonts w:asciiTheme="minorHAnsi" w:eastAsiaTheme="minorEastAsia" w:hAnsiTheme="minorHAnsi" w:cstheme="minorBidi"/>
          <w:smallCaps w:val="0"/>
          <w:noProof/>
          <w:sz w:val="22"/>
          <w:szCs w:val="22"/>
        </w:rPr>
      </w:pPr>
      <w:hyperlink w:anchor="_Toc143862497" w:history="1">
        <w:r>
          <w:rPr>
            <w:rStyle w:val="Hyperlink"/>
            <w:noProof/>
          </w:rPr>
          <w:t>Anhang X</w:t>
        </w:r>
        <w:r>
          <w:rPr>
            <w:noProof/>
            <w:webHidden/>
          </w:rPr>
          <w:tab/>
        </w:r>
        <w:r>
          <w:rPr>
            <w:noProof/>
            <w:webHidden/>
          </w:rPr>
          <w:fldChar w:fldCharType="begin"/>
        </w:r>
        <w:r>
          <w:rPr>
            <w:noProof/>
            <w:webHidden/>
          </w:rPr>
          <w:instrText xml:space="preserve"> PAGEREF _Toc143862497 \h </w:instrText>
        </w:r>
        <w:r>
          <w:rPr>
            <w:noProof/>
            <w:webHidden/>
          </w:rPr>
        </w:r>
        <w:r>
          <w:rPr>
            <w:noProof/>
            <w:webHidden/>
          </w:rPr>
          <w:fldChar w:fldCharType="separate"/>
        </w:r>
        <w:r>
          <w:rPr>
            <w:noProof/>
            <w:webHidden/>
          </w:rPr>
          <w:t>62</w:t>
        </w:r>
        <w:r>
          <w:rPr>
            <w:noProof/>
            <w:webHidden/>
          </w:rPr>
          <w:fldChar w:fldCharType="end"/>
        </w:r>
      </w:hyperlink>
    </w:p>
    <w:p>
      <w:pPr>
        <w:pStyle w:val="Verzeichnis2"/>
        <w:tabs>
          <w:tab w:val="right" w:leader="dot" w:pos="9628"/>
        </w:tabs>
        <w:rPr>
          <w:rFonts w:asciiTheme="minorHAnsi" w:eastAsiaTheme="minorEastAsia" w:hAnsiTheme="minorHAnsi" w:cstheme="minorBidi"/>
          <w:smallCaps w:val="0"/>
          <w:noProof/>
          <w:sz w:val="22"/>
          <w:szCs w:val="22"/>
        </w:rPr>
      </w:pPr>
      <w:hyperlink w:anchor="_Toc143862498" w:history="1">
        <w:r>
          <w:rPr>
            <w:rStyle w:val="Hyperlink"/>
            <w:noProof/>
          </w:rPr>
          <w:t>Anhang XI</w:t>
        </w:r>
        <w:r>
          <w:rPr>
            <w:noProof/>
            <w:webHidden/>
          </w:rPr>
          <w:tab/>
        </w:r>
        <w:r>
          <w:rPr>
            <w:noProof/>
            <w:webHidden/>
          </w:rPr>
          <w:fldChar w:fldCharType="begin"/>
        </w:r>
        <w:r>
          <w:rPr>
            <w:noProof/>
            <w:webHidden/>
          </w:rPr>
          <w:instrText xml:space="preserve"> PAGEREF _Toc143862498 \h </w:instrText>
        </w:r>
        <w:r>
          <w:rPr>
            <w:noProof/>
            <w:webHidden/>
          </w:rPr>
        </w:r>
        <w:r>
          <w:rPr>
            <w:noProof/>
            <w:webHidden/>
          </w:rPr>
          <w:fldChar w:fldCharType="separate"/>
        </w:r>
        <w:r>
          <w:rPr>
            <w:noProof/>
            <w:webHidden/>
          </w:rPr>
          <w:t>64</w:t>
        </w:r>
        <w:r>
          <w:rPr>
            <w:noProof/>
            <w:webHidden/>
          </w:rPr>
          <w:fldChar w:fldCharType="end"/>
        </w:r>
      </w:hyperlink>
    </w:p>
    <w:p>
      <w:pPr>
        <w:pStyle w:val="GesAbsatz"/>
      </w:pPr>
      <w:r>
        <w:fldChar w:fldCharType="end"/>
      </w:r>
    </w:p>
    <w:p>
      <w:pPr>
        <w:pStyle w:val="GesAbsatz"/>
        <w:rPr>
          <w:rFonts w:cs="Arial"/>
        </w:rPr>
      </w:pPr>
      <w:r>
        <w:t xml:space="preserve">DAS EUROPÄISCHE PARLAMENT UND DER RAT DER EUROPÄISCHEN UNION </w:t>
      </w:r>
      <w:r>
        <w:rPr>
          <w:rFonts w:cs="Arial"/>
        </w:rPr>
        <w:t>—</w:t>
      </w:r>
    </w:p>
    <w:p>
      <w:pPr>
        <w:pStyle w:val="GesAbsatz"/>
      </w:pPr>
      <w:r>
        <w:t>gestützt auf den Vertrag zur Gründung der Europäischen Gemeinschaft, insbesondere auf Artikel 175 Absatz 1,</w:t>
      </w:r>
    </w:p>
    <w:p>
      <w:pPr>
        <w:pStyle w:val="GesAbsatz"/>
      </w:pPr>
      <w:r>
        <w:lastRenderedPageBreak/>
        <w:t>auf Vorschlag der Kommission</w:t>
      </w:r>
      <w:r>
        <w:rPr>
          <w:rStyle w:val="Funotenzeichen"/>
        </w:rPr>
        <w:footnoteReference w:id="1"/>
      </w:r>
      <w:r>
        <w:t>,</w:t>
      </w:r>
    </w:p>
    <w:p>
      <w:pPr>
        <w:pStyle w:val="GesAbsatz"/>
      </w:pPr>
      <w:r>
        <w:t>nach Stellungnahme des Wirtschafts- und Sozialausschusses</w:t>
      </w:r>
      <w:r>
        <w:rPr>
          <w:rStyle w:val="Funotenzeichen"/>
        </w:rPr>
        <w:footnoteReference w:id="2"/>
      </w:r>
      <w:r>
        <w:t>,</w:t>
      </w:r>
    </w:p>
    <w:p>
      <w:pPr>
        <w:pStyle w:val="GesAbsatz"/>
      </w:pPr>
      <w:r>
        <w:t>nach Stellungnahme des Ausschusses der Regionen</w:t>
      </w:r>
      <w:r>
        <w:rPr>
          <w:rStyle w:val="Funotenzeichen"/>
        </w:rPr>
        <w:footnoteReference w:id="3"/>
      </w:r>
      <w:r>
        <w:t>,</w:t>
      </w:r>
    </w:p>
    <w:p>
      <w:pPr>
        <w:pStyle w:val="GesAbsatz"/>
      </w:pPr>
      <w:r>
        <w:t>gemäß dem Verfahren des Artikels 251 des Vertrags</w:t>
      </w:r>
      <w:r>
        <w:rPr>
          <w:rStyle w:val="Funotenzeichen"/>
        </w:rPr>
        <w:footnoteReference w:id="4"/>
      </w:r>
      <w:r>
        <w:t>, aufgrund des vom Vermittlungsausschuss am 18. Juli 2000 gebilligten gemeinsamen Entwurfs,</w:t>
      </w:r>
    </w:p>
    <w:p>
      <w:pPr>
        <w:pStyle w:val="GesAbsatz"/>
      </w:pPr>
      <w:r>
        <w:t>in Erwägung nachstehender Gründe:</w:t>
      </w:r>
    </w:p>
    <w:p>
      <w:pPr>
        <w:pStyle w:val="GesAbsatz"/>
      </w:pPr>
      <w:r>
        <w:t>(1) Wasser ist keine übliche Handelsware, sondern ein ererbtes Gut, das geschützt, verteidigt und entsprechend behandelt werden muss.</w:t>
      </w:r>
    </w:p>
    <w:p>
      <w:pPr>
        <w:pStyle w:val="GesAbsatz"/>
      </w:pPr>
      <w:r>
        <w:t>(2) In den Schlussfolgerungen des 1988 durchgeführten Frankfurter Ministerseminars über die Wasserpolitik der Gemeinschaft wurden gemeinschaftliche Rechtsvorschriften für die ökologische Wasserqualität gefordert. Der Rat ersuchte die Kommission in seiner Entschließung vom 28. Juni 1988</w:t>
      </w:r>
      <w:r>
        <w:rPr>
          <w:rStyle w:val="Funotenzeichen"/>
        </w:rPr>
        <w:footnoteReference w:id="5"/>
      </w:r>
      <w:r>
        <w:t xml:space="preserve"> um die Vorlage von Vorschlägen zur Verbesserung der ökologischen Wasserqualität von Oberflächengewässern in der Gemeinschaft.</w:t>
      </w:r>
    </w:p>
    <w:p>
      <w:pPr>
        <w:pStyle w:val="GesAbsatz"/>
      </w:pPr>
      <w:r>
        <w:t>(3) In der Erklärung des Haager Ministerseminars über Grundwasser von 1991 wurde auf den Handlungsbedarf zur Vermeidung einer langfristigen Verschlechterung von Güte und Menge des Süßwassers verwiesen und ein Maßnahmenprogramm gefordert, das bis zum Jahr 2000 durchgeführt sein soll. Ziele sind die nachhaltige Bewirtschaftung und der Schutz der Süßwasserressourcen. Der Rat forderte in seinen Entschließungen vom 25. Februar 1992</w:t>
      </w:r>
      <w:r>
        <w:rPr>
          <w:rStyle w:val="Funotenzeichen"/>
        </w:rPr>
        <w:footnoteReference w:id="6"/>
      </w:r>
      <w:r>
        <w:t xml:space="preserve"> und vom 20. Februar 1995</w:t>
      </w:r>
      <w:r>
        <w:rPr>
          <w:rStyle w:val="Funotenzeichen"/>
        </w:rPr>
        <w:footnoteReference w:id="7"/>
      </w:r>
      <w:r>
        <w:t xml:space="preserve"> ein Aktionsprogramm für Grundwasser und eine Revision der Richtlinie 80/68/EWG des Rates vom 17. Dezember 1979 über den Schutz des Grundwassers gegen Verschmutzung durch bestimmte gefährliche Stoffe</w:t>
      </w:r>
      <w:r>
        <w:rPr>
          <w:rStyle w:val="Funotenzeichen"/>
        </w:rPr>
        <w:footnoteReference w:id="8"/>
      </w:r>
      <w:r>
        <w:t xml:space="preserve"> im Rahmen allgemeiner politischer Maßnahmen für den Süßwasserschutz.</w:t>
      </w:r>
    </w:p>
    <w:p>
      <w:pPr>
        <w:pStyle w:val="GesAbsatz"/>
      </w:pPr>
      <w:r>
        <w:t>(4) Die Nachfrage nach Wasser in ausreichender Menge und angemessener Güte steigt permanent in allen Anwendungsbereichen; dies bringt die Gewässer der Gemeinschaft unter wachsendem Druck. Die Europäische Umweltagentur hat am 10. November 1995 einen aktualisierten Bericht über die Lage der Umwelt in der Europäischen Union für 1995 vorgelegt und auf die Notwendigkeit hingewiesen, die Gewässer der Gemeinschaft sowohl in qualitativer als auch quantitativer Hinsicht zu schützen.</w:t>
      </w:r>
    </w:p>
    <w:p>
      <w:pPr>
        <w:pStyle w:val="GesAbsatz"/>
      </w:pPr>
      <w:r>
        <w:t>(5) Der Rat nahm am 18. Dezember 1995 Schlussfolgerungen an, in denen unter anderem die Ausarbeitung einer neuen Rahmenrichtlinie zur Festlegung der wesentlichen Grundsätze einer nachhaltigen Wasserschutzpolitik gefordert und die Kommission ersucht wurde, einen entsprechenden Vorschlag zu unterbreiten.</w:t>
      </w:r>
    </w:p>
    <w:p>
      <w:pPr>
        <w:pStyle w:val="GesAbsatz"/>
      </w:pPr>
      <w:r>
        <w:t xml:space="preserve">(6) Am 21. Februar 1996 verabschiedete die Kommission eine Mitteilung an das Europäische Parlament und den Rat über die </w:t>
      </w:r>
      <w:r>
        <w:rPr>
          <w:rFonts w:cs="Arial"/>
        </w:rPr>
        <w:t xml:space="preserve">„Wasserpolitik der Europäischen Union“, in </w:t>
      </w:r>
      <w:r>
        <w:t>der die Grundlagen für eine gemeinschaftliche Wasserpolitik festgelegt wurden.</w:t>
      </w:r>
    </w:p>
    <w:p>
      <w:pPr>
        <w:pStyle w:val="GesAbsatz"/>
      </w:pPr>
      <w:r>
        <w:t>(7) Am 9. September 1996 legte die Kommission einen Vorschlag für einen Beschluss des Europäischen Parlaments und des Rates über ein Aktionsprogramm zur Eingliederung von Grundwasserschutz und Grundwasserbewirtschaftung</w:t>
      </w:r>
      <w:r>
        <w:rPr>
          <w:rStyle w:val="Funotenzeichen"/>
        </w:rPr>
        <w:footnoteReference w:id="9"/>
      </w:r>
      <w:r>
        <w:t xml:space="preserve"> vor. In diesem Vorschlag wies die Kommission auf die Notwendigkeit von Verfahren zur Regelung der Süßwasserentnahme und der Überwachung von Güte und Menge des Süßwassers hin.</w:t>
      </w:r>
    </w:p>
    <w:p>
      <w:pPr>
        <w:pStyle w:val="GesAbsatz"/>
      </w:pPr>
      <w:r>
        <w:t>(8) Die Kommission hat am 29. Mai 1995 eine Mitteilung an das Europäische Parlament und an den Rat betreffend die sinnvolle Nutzung und Erhaltung von Feuchtgebieten angenommen, in der die große Bedeutung der Feuchtgebiete für den Schutz der Wasserressourcen anerkannt wurde.</w:t>
      </w:r>
    </w:p>
    <w:p>
      <w:pPr>
        <w:pStyle w:val="GesAbsatz"/>
      </w:pPr>
      <w:r>
        <w:t>(9) Es ist erforderlich, eine integrierte Wasserpolitik der Gemeinschaft zu entwickeln.</w:t>
      </w:r>
    </w:p>
    <w:p>
      <w:pPr>
        <w:pStyle w:val="GesAbsatz"/>
      </w:pPr>
      <w:r>
        <w:t>(10) Der Rat (25. Juni 1996), der Ausschuss der Regionen (19. September 1996), der Wirtschafts- und Sozialausschuss (26. September 1996) und das Europäische Parlament (23. Oktober 1996) ersuchten die Kommission um die Vorlage eines Vorschlags für eine Richtlinie des Rates zur Schaffung eines Ordnungsrahmens für die Europäische Wasserpolitik.</w:t>
      </w:r>
    </w:p>
    <w:p>
      <w:pPr>
        <w:pStyle w:val="GesAbsatz"/>
      </w:pPr>
      <w:r>
        <w:lastRenderedPageBreak/>
        <w:t>(11) Gemäß Artikel 174 des Vertrags soll die gemeinschaftliche Umweltpolitik zur Verfolgung der Ziele der Erhaltung und des Schutzes der Umwelt sowie der Verbesserung ihrer Qualität und der umsichtigen und rationellen Verwendung der natürlichen Ressourcen beitragen; diese Politik hat auf den Grundsätzen der Vorsorge und Vorbeugung, auf dem Grundsatz, Umweltbeeinträchtigungen mit Vorrang an ihrem Ursprung zu bekämpfen, sowie auf dem Verursacherprinzip zu beruhen.</w:t>
      </w:r>
    </w:p>
    <w:p>
      <w:pPr>
        <w:pStyle w:val="GesAbsatz"/>
      </w:pPr>
      <w:r>
        <w:t>(12) Gemäß Artikel 174 des Vertrags berücksichtigt die Gemeinschaft bei der Erarbeitung ihrer Umweltpolitik die verfügbaren wissenschaftlichen und technischen Daten, die Umweltbedingungen in den verschiedenen Regionen der Gemeinschaft sowie die wirtschaftliche und soziale Entwicklung der Gemeinschaft insgesamt, die ausgewogene Entwicklung ihrer Regionen sowie die Vorteile und die Belastung aufgrund des Tätigwerdens bzw. eines Nichttätigwerdens.</w:t>
      </w:r>
    </w:p>
    <w:p>
      <w:pPr>
        <w:pStyle w:val="GesAbsatz"/>
      </w:pPr>
      <w:r>
        <w:t>(13) Aufgrund der unterschiedlichen Gegebenheiten und des unterschiedlichen Bedarfs innerhalb der Gemeinschaft werden spezifische Lösungen benötigt. Bei der Planung und Durchführung von Maßnahmen zum Schutz und nachhaltigen Gebrauch von Wasser im Rahmen eines Einzugsgebiets muss diese Diversität berücksichtigt werden. Entscheidungen sollten auf einer Ebene getroffen werden, die einen möglichst direkten Kontakt zu der Örtlichkeit ermöglicht, in der Wasser genutzt oder durch bestimmte Tätigkeiten in Mitleidenschaft gezogen wird. Deshalb sollten von den Mitgliedstaaten erstellte Maßnahmenprogramme, die sich an den regionalen und lokalen Bedingungen orientieren, Vorrang genießen.</w:t>
      </w:r>
    </w:p>
    <w:p>
      <w:pPr>
        <w:pStyle w:val="GesAbsatz"/>
      </w:pPr>
      <w:r>
        <w:t>(14) Der Erfolg der vorliegenden Richtlinie hängt von einer engen Zusammenarbeit und kohärenten Maßnahmen auf gemeinschaftlicher, einzelstaatlicher und lokaler Ebene ab. Genauso wichtig sind jedoch Information, Konsultation und Einbeziehung der Öffentlichkeit, einschließlich der Nutzer.</w:t>
      </w:r>
    </w:p>
    <w:p>
      <w:pPr>
        <w:pStyle w:val="GesAbsatz"/>
        <w:rPr>
          <w:rFonts w:cs="Arial"/>
        </w:rPr>
      </w:pPr>
      <w:r>
        <w:t xml:space="preserve">(15) Die Wasserversorgung ist eine Leistung der Daseinsvorsorge im Sinne der Mitteilung der Kommission </w:t>
      </w:r>
      <w:r>
        <w:rPr>
          <w:rFonts w:cs="Arial"/>
        </w:rPr>
        <w:t xml:space="preserve">„Leistungen </w:t>
      </w:r>
      <w:r>
        <w:t>der Daseinsvorsorge in Europa</w:t>
      </w:r>
      <w:r>
        <w:rPr>
          <w:rFonts w:cs="Arial"/>
        </w:rPr>
        <w:t>“</w:t>
      </w:r>
      <w:r>
        <w:rPr>
          <w:rStyle w:val="Funotenzeichen"/>
          <w:rFonts w:cs="Arial"/>
        </w:rPr>
        <w:footnoteReference w:id="10"/>
      </w:r>
      <w:r>
        <w:rPr>
          <w:rFonts w:cs="Arial"/>
        </w:rPr>
        <w:t>.</w:t>
      </w:r>
    </w:p>
    <w:p>
      <w:pPr>
        <w:pStyle w:val="GesAbsatz"/>
      </w:pPr>
      <w:r>
        <w:t>(16) Der Schutz und die nachhaltige Bewirtschaftung von Gewässern müssen stärker in andere politische Maßnahmen der Gemeinschaft integriert werden, so z.B. in die Energiepolitik, die Verkehrspolitik, die Landwirtschaftspolitik, die Fischereipolitik, die Regionalpolitik und die Fremdenverkehrspolitik. Diese Richtlinie soll die Grundlage für einen kontinuierlichen Dialog und für die Entwicklung von Strategien für eine stärkere politische Integration legen. Sie kann somit auch einen bedeutenden Beitrag in anderen Bereichen der Zusammenarbeit zwischen den Mitgliedstaaten, unter anderem im Zusammenhang mit dem Europäischen Raumentwicklungskonzept (ESDP), leisten.</w:t>
      </w:r>
    </w:p>
    <w:p>
      <w:pPr>
        <w:pStyle w:val="GesAbsatz"/>
      </w:pPr>
      <w:r>
        <w:t>(17) Eine wirksame und kohärente Wasserpolitik muss der Empfindlichkeit von aquatischen Ökosystemen Rechnung tragen, die sich in der Nähe von Küsten oder Ästuarien oder in großen Meeresbuchten oder relativ abgeschlossenen Meeren befinden, da deren Gleichgewicht durch die Qualität der in sie fließenden Binnengewässer stark beeinflusst wird. Der Schutz des Wasserzustands innerhalb von Einzugsgebieten wird zu wirtschaftlichen Vorteilen führen, da er zum Schutz von Fischbeständen, insbesondere von küstennahen Fischbeständen, beiträgt.</w:t>
      </w:r>
    </w:p>
    <w:p>
      <w:pPr>
        <w:pStyle w:val="GesAbsatz"/>
      </w:pPr>
      <w:r>
        <w:t>(18) Eine gemeinschaftliche Wasserpolitik erfordert einen transparenten, effizienten und kohärenten rechtlichen Rahmen. Die Gemeinschaft sollte in diesem Zusammenhang allgemeine Grundsätze und einen Handlungsrahmen vorgeben. Mit dieser Richtlinie soll ein solcher Rahmen geschaffen, und es sollen die grundlegenden Prinzipien und Strukturen für den Schutz und den nachhaltigen Gebrauch von Wasser in der Gemeinschaft in Übereinstimmung mit dem Subsidiaritätsprinzip koordiniert, integriert und langfristig weiterentwickelt werden.</w:t>
      </w:r>
    </w:p>
    <w:p>
      <w:pPr>
        <w:pStyle w:val="GesAbsatz"/>
      </w:pPr>
      <w:r>
        <w:t>(19) Ziele der vorliegenden Richtlinie sind die Erhaltung und die Verbesserung der aquatischen Umwelt in der Gemeinschaft, wobei der Schwerpunkt auf der Güte der betreffenden Gewässer liegt. Die mengenmäßige Überwachung spielt bei dem Versuch, eine angemessene Wassergüte zu gewährleisten, eine zusätzliche Rolle, so dass im Hinblick auf das Ziel einer angemessenen Güte auch Maßnahmen in Bezug auf die Wassermenge erlassen werden sollten.</w:t>
      </w:r>
    </w:p>
    <w:p>
      <w:pPr>
        <w:pStyle w:val="GesAbsatz"/>
      </w:pPr>
      <w:r>
        <w:t>(20) Der mengenmäßige Zustand eines Grundwasserkörpers kann sich auf die ökologische Qualität der mit diesem Grundwasserkörper verbundenen Oberflächengewässer und Landökosysteme auswirken.</w:t>
      </w:r>
    </w:p>
    <w:p>
      <w:pPr>
        <w:pStyle w:val="GesAbsatz"/>
      </w:pPr>
      <w:r>
        <w:t>(21) Die Gemeinschaft und ihre Mitgliedstaaten sind Vertragsparteien verschiedener internationaler Übereinkommen, die bedeutende Verpflichtungen zum Schutz der Meeresgewässer gegen Verschmutzung beinhalten; hierzu gehören insbesondere das Übereinkommen über den Schutz der Meeresumwelt des Ostseegebiets, das am 9. April 1992 in Helsinki unterzeichnet und mit dem Beschluss 94/157/EG des Rates</w:t>
      </w:r>
      <w:r>
        <w:rPr>
          <w:rStyle w:val="Funotenzeichen"/>
        </w:rPr>
        <w:footnoteReference w:id="11"/>
      </w:r>
      <w:r>
        <w:t xml:space="preserve"> gebilligt wurde, das Übereinkommen zum Schutz der Meeresumwelt des Nordostatlantiks, das am 22. September 1992 in Paris unterzeichnet und mit dem Beschluss 98/249/EG des Rates</w:t>
      </w:r>
      <w:r>
        <w:rPr>
          <w:rStyle w:val="Funotenzeichen"/>
        </w:rPr>
        <w:footnoteReference w:id="12"/>
      </w:r>
      <w:r>
        <w:t xml:space="preserve"> gebilligt wurde, das Übereinkommen zum Schutz des Mittelmeeres gegen Verschmutzung, das am 16. Februar 1976 in Barcelona unterzeichnet </w:t>
      </w:r>
      <w:r>
        <w:lastRenderedPageBreak/>
        <w:t>und mit dem Beschluss 77/585/EWG des Rates</w:t>
      </w:r>
      <w:r>
        <w:rPr>
          <w:rStyle w:val="Funotenzeichen"/>
        </w:rPr>
        <w:footnoteReference w:id="13"/>
      </w:r>
      <w:r>
        <w:t xml:space="preserve"> gebilligt wurde, sowie das dazugehörige Protokoll über den Schutz des Mittelmeers gegen Verschmutzung vom Lande aus, das am 17. Mai 1980 in Athen unterzeichnet und mit dem Beschluss 83/101/EWG des Rates</w:t>
      </w:r>
      <w:r>
        <w:rPr>
          <w:rStyle w:val="Funotenzeichen"/>
        </w:rPr>
        <w:footnoteReference w:id="14"/>
      </w:r>
      <w:r>
        <w:t xml:space="preserve"> gebilligt wurde. Diese Richtlinie soll einen Beitrag dazu leisten, dass die Gemeinschaft und ihre Mitgliedstaaten diesen Verpflichtungen nachkommen können.</w:t>
      </w:r>
    </w:p>
    <w:p>
      <w:pPr>
        <w:pStyle w:val="GesAbsatz"/>
      </w:pPr>
      <w:r>
        <w:t>(22) Diese Richtlinie soll dazu beitragen, dass die Einleitung gefährlicher Stoffe in Wasser schrittweise verringert wird.</w:t>
      </w:r>
    </w:p>
    <w:p>
      <w:pPr>
        <w:pStyle w:val="GesAbsatz"/>
      </w:pPr>
      <w:r>
        <w:t>(23) Es werden allgemeine Grundsätze benötigt, um Maßnahmen der Mitgliedstaaten zur Verbesserung des Gewässerschutzes in der Gemeinschaft hinsichtlich der Wassermenge und -güte zu koordinieren, einen nachhaltigen Wassergebrauch zu fördern, einen Beitrag zur Lösung der grenzüberschreitenden Wasserprobleme zu leisten, aquatische Ökosysteme und die direkt von ihnen abhängenden Landökosysteme und Feuchtgebiete zu schützen und das Nutzungspotential der Gewässer der Gemeinschaft zu erhalten und zu entwickeln.</w:t>
      </w:r>
    </w:p>
    <w:p>
      <w:pPr>
        <w:pStyle w:val="GesAbsatz"/>
      </w:pPr>
      <w:r>
        <w:t>(24) Eine gute Wasserqualität sichert die Versorgung der Bevölkerung mit Trinkwasser.</w:t>
      </w:r>
    </w:p>
    <w:p>
      <w:pPr>
        <w:pStyle w:val="GesAbsatz"/>
      </w:pPr>
      <w:r>
        <w:t xml:space="preserve">(25) Es sollten gemeinsame Begriffsbestimmungen zur Beschreibung des Zustandes von Gewässern sowohl im Hinblick auf die Güte als auch </w:t>
      </w:r>
      <w:r>
        <w:rPr>
          <w:rFonts w:cs="Arial"/>
        </w:rPr>
        <w:t xml:space="preserve">- soweit für den </w:t>
      </w:r>
      <w:r>
        <w:t xml:space="preserve">Umweltschutz von Belang </w:t>
      </w:r>
      <w:r>
        <w:rPr>
          <w:rFonts w:cs="Arial"/>
        </w:rPr>
        <w:t xml:space="preserve">- auf die Menge festgelegt </w:t>
      </w:r>
      <w:r>
        <w:t>werden. Umweltziele sollen sicherstellen, dass sich die Oberflächengewässer und das Grundwasser in der gesamten Gemeinschaft in einem guten Zustand befinden und eine Verschlechterung des Zustands der Gewässer auf Gemeinschaftsebene verhindert wird.</w:t>
      </w:r>
    </w:p>
    <w:p>
      <w:pPr>
        <w:pStyle w:val="GesAbsatz"/>
      </w:pPr>
      <w:r>
        <w:t>(26) Die Mitgliedstaaten sollten bestrebt sein, einen zumindest guten Zustand ihrer Gewässer zu erreichen, indem sie unter Berücksichtigung vorhandener Anforderungen auf Gemeinschaftsebene die erforderlichen Maßnahmen im Rahmen integrierter Maßnahmenprogramme festlegen und in die Praxis umsetzen. Wenn sich ein Gewässer bereits in einem guten Zustand befindet, sollte dieser bewahrt bleiben. In Bezug auf Grundwasser sollten nicht nur die Anforderungen für einen guten Zustand erfüllt, sondern auch alle signifikanten und anhaltenden Trends einer Steigerung der Konzentration von Schadstoffen ermittelt und umgekehrt werden.</w:t>
      </w:r>
    </w:p>
    <w:p>
      <w:pPr>
        <w:pStyle w:val="GesAbsatz"/>
      </w:pPr>
      <w:r>
        <w:t>(27) Das Endziel dieser Richtlinie besteht darin, die Eliminierung prioritärer gefährlicher Stoffe zu erreichen und dazu beizutragen, dass in der Meeresumwelt für natürlich vorkommende Stoffe Konzentrationen in der Nähe der Hintergrundwerte erreicht werden.</w:t>
      </w:r>
    </w:p>
    <w:p>
      <w:pPr>
        <w:pStyle w:val="GesAbsatz"/>
      </w:pPr>
      <w:r>
        <w:t>(28) Oberflächengewässer und Grundwasserkörper sind prinzipiell erneuerbare natürliche Ressourcen. Aufgrund der natürlichen zeitlichen Verzögerung bei der Bildung und der Erneuerung von Grundwasserressourcen sind frühzeitige Maßnahmen und eine beständige langfristige Planung von Schutzmaßnahmen nötig, um einen guten Zustand des Grundwassers zu gewährleisten. Bei der Erstellung eines Zeitplans für Maßnahmen zur Erreichung eines guten Zustands des Grundwassers sowie zur Umkehrung aller signifikanten und anhaltenden Trends einer Steigerung der Konzentration von Schadstoffen im Grundwasser sollte dieser natürliche Verzögerungseffekt berücksichtigt werden.</w:t>
      </w:r>
    </w:p>
    <w:p>
      <w:pPr>
        <w:pStyle w:val="GesAbsatz"/>
      </w:pPr>
      <w:r>
        <w:t>(29) Bei ihren Anstrengungen zur Umsetzung der Ziele dieser Richtlinie und bei der Aufstellung des entsprechenden Maßnahmenprogramms können die Mitgliedstaaten eine stufenweise Durchführung des Maßnahmenprogramms vorsehen, um so die Durchführungskosten auf einen größeren Zeitraum zu verteilen.</w:t>
      </w:r>
    </w:p>
    <w:p>
      <w:pPr>
        <w:pStyle w:val="GesAbsatz"/>
      </w:pPr>
      <w:r>
        <w:t>(30) Im Hinblick auf eine vollständige und korrekte Umsetzung dieser Richtlinie sollten etwaige Verlängerungen der Fristen anhand geeigneter, eindeutiger und transparenter Kriterien erfolgen und von den Mitgliedstaaten in den Bewirtschaftungsplänen für das Einzugsgebiet begründet werden.</w:t>
      </w:r>
    </w:p>
    <w:p>
      <w:pPr>
        <w:pStyle w:val="GesAbsatz"/>
      </w:pPr>
      <w:r>
        <w:t>(31) In Fällen, in denen sich menschliche Tätigkeiten oder die natürlichen Gegebenheiten auf einen Wasserkörper in einer Weise auswirken, die es unmöglich oder äußerst kostspielig erscheinen lässt, einen guten Zustand zu erreichen, sind gegebenenfalls weniger strenge Umweltziele anhand geeigneter, eindeutiger und transparenter Kriterien festzulegen, wobei alle praktikablen Vorkehrungen getroffen werden müssen, um einer weiteren Verschlechterung des Gewässerzustands vorzubeugen.</w:t>
      </w:r>
    </w:p>
    <w:p>
      <w:pPr>
        <w:pStyle w:val="GesAbsatz"/>
      </w:pPr>
      <w:r>
        <w:t>(32) Es kann Gründe für eine Befreiung von der Auflage geben, einer weiteren Verschlechterung des Gewässerzustands vorzubeugen oder einen guten Zustand unter bestimmten Bedingungen zu erreichen, wenn die Nichterfüllung der Auflage auf unvorhergesehene oder außergewöhnliche Umstände, insbesondere Überschwemmungen und Dürren, oder auf neu eingetretene Änderungen der physischen Eigenschaften eines Oberflächenwasserkörpers oder Änderungen des Pegels von Grundwasserkörpern, die aus Gründen des überwiegenden öffentlichen Interesses erfolgt sind, zurückzuführen ist, unter der Voraussetzung, dass alle praktikablen Vorkehrungen getroffen werden, um die negativen Auswirkungen auf den Zustand des Wasserkörpers zu vermindern.</w:t>
      </w:r>
    </w:p>
    <w:p>
      <w:pPr>
        <w:pStyle w:val="GesAbsatz"/>
      </w:pPr>
      <w:r>
        <w:t>(33) Das Ziel eines guten Gewässerzustands sollte für jedes Einzugsgebiet verfolgt werden, so dass eine Koordinierung der Maßnahmen für Grundwässer und Oberflächengewässer ein und desselben ökologischen, hydrologischen und hydrogeologischen Systems erreicht wird.</w:t>
      </w:r>
    </w:p>
    <w:p>
      <w:pPr>
        <w:pStyle w:val="GesAbsatz"/>
      </w:pPr>
      <w:r>
        <w:lastRenderedPageBreak/>
        <w:t>(34) Zum Zwecke des Umweltschutzes müssen die qualitativen und quantitativen Aspekte sowohl bei Oberflächengewässern als auch bei Grundwässern stärker integriert werden, wobei die natürlichen Fließbedingungen von Wasser innerhalb des hydrologischen Kreislaufs zu berücksichtigen sind.</w:t>
      </w:r>
    </w:p>
    <w:p>
      <w:pPr>
        <w:pStyle w:val="GesAbsatz"/>
      </w:pPr>
      <w:r>
        <w:t>(35) Innerhalb von Einzugsgebieten, in denen der Wassergebrauch grenzüberschreitende Auswirkungen haben kann, sind die Anforderungen zur Erreichung der Umweltziele gemäß dieser Richtlinie und insbesondere alle Maßnahmenprogramme für die gesamte Flussgebietseinheit zu koordinieren. Bei Einzugsgebieten, die über das Gebiet der Gemeinschaft hinausgehen, sollten die Mitgliedstaaten für eine geeignete Koordinierung mit den entsprechenden Nichtmitgliedstaaten Sorge tragen. Diese Richtlinie soll einen Beitrag zur Erfüllung der Verpflichtungen der Gemeinschaft aufgrund internationaler Übereinkommen über den Schutz und die Bewirtschaftung von Gewässern leisten, insbesondere des durch den Beschluss 95/308/EG des Rates</w:t>
      </w:r>
      <w:r>
        <w:rPr>
          <w:rStyle w:val="Funotenzeichen"/>
        </w:rPr>
        <w:footnoteReference w:id="15"/>
      </w:r>
      <w:r>
        <w:t xml:space="preserve"> genehmigten Übereinkommens der Vereinten Nationen zum Schutz und zur Nutzung grenzüberschreitender Wasserläufe und internationaler Seen und nachfolgender Übereinkünfte über die Anwendung dieses Übereinkommens.</w:t>
      </w:r>
    </w:p>
    <w:p>
      <w:pPr>
        <w:pStyle w:val="GesAbsatz"/>
      </w:pPr>
      <w:r>
        <w:t>(36) Es ist erforderlich, eine Analyse der Merkmale eines Einzugsgebiets und der Auswirkungen menschlicher Tätigkeiten sowie eine wirtschaftliche Analyse des Wassergebrauchs zu erstellen. Die Entwicklung des Gewässerzustands in der gesamten Gemeinschaft sollte von den Mitgliedstaaten auf systematische und vergleichbare Weise überwacht werden. Die Mitgliedstaaten brauchen diese Informationen, um auf einer soliden Grundlage Maßnahmenprogramme zur Verwirklichung der Ziele dieser Richtlinie entwickeln zu können.</w:t>
      </w:r>
    </w:p>
    <w:p>
      <w:pPr>
        <w:pStyle w:val="GesAbsatz"/>
      </w:pPr>
      <w:r>
        <w:t>(37) Die Mitgliedstaaten sollten die zur Trinkwasserentnahme genutzten Gewässer ausweisen und die Einhaltung der Bestimmungen der Richtlinie 80/778/EWG des Rates vom 15. Juli 1980 über die Qualität von Wasser für den menschlichen Gebrauch</w:t>
      </w:r>
      <w:r>
        <w:rPr>
          <w:rStyle w:val="Funotenzeichen"/>
        </w:rPr>
        <w:footnoteReference w:id="16"/>
      </w:r>
      <w:r>
        <w:t xml:space="preserve"> sicherstellen.</w:t>
      </w:r>
    </w:p>
    <w:p>
      <w:pPr>
        <w:pStyle w:val="GesAbsatz"/>
      </w:pPr>
      <w:r>
        <w:t>(38) In den Maßnahmenprogrammen sollten die Mitgliedstaaten auch den Einsatz wirtschaftlicher Instrumente vorsehen. Der Grundsatz der Deckung der Kosten der Wassernutzung einschließlich umwelt- und ressourcenbezogener Kosten im Zusammenhang mit Beeinträchtigungen oder Schädigungen der aquatischen Umwelt sollte insbesondere entsprechend dem Verursacherprinzip berücksichtigt werden. Hierzu bedarf es einer wirtschaftlichen Analyse der Wassernutzung auf der Grundlage langfristiger Voraussagen für das Angebot und die Nachfrage von Wasser in der Flussgebietseinheit.</w:t>
      </w:r>
    </w:p>
    <w:p>
      <w:pPr>
        <w:pStyle w:val="GesAbsatz"/>
      </w:pPr>
      <w:r>
        <w:t>(39) Die Auswirkungen von Verschmutzungsunfällen müssen vermieden oder verringert werden. Das Maßnahmenprogramm sollte entsprechende Vorkehrungen umfassen.</w:t>
      </w:r>
    </w:p>
    <w:p>
      <w:pPr>
        <w:pStyle w:val="GesAbsatz"/>
      </w:pPr>
      <w:r>
        <w:t>(40) Zur Vermeidung und Verminderung der Verschmutzung sollte die gemeinschaftliche Wasserpolitik auf einem kombinierten Konzept beruhen, d. h. sowohl Begrenzung der Verschmutzung an der Quelle durch die Vorgabe von Emissionsgrenzwerten als auch Festlegung von Umweltqualitätsnormen.</w:t>
      </w:r>
    </w:p>
    <w:p>
      <w:pPr>
        <w:pStyle w:val="GesAbsatz"/>
      </w:pPr>
      <w:r>
        <w:t>(41) Ferner sollten im Hinblick auf die Wassermenge allgemeine Prinzipien für die Wasserentnahme und die Aufstauung festgelegt werden, um die ökologische Nachhaltigkeit für die betroffenen Wassersysteme zu sichern.</w:t>
      </w:r>
    </w:p>
    <w:p>
      <w:pPr>
        <w:pStyle w:val="GesAbsatz"/>
      </w:pPr>
      <w:r>
        <w:t>(42) Im Gemeinschaftsrecht sollten für bestimmte Schadstoffgruppen oder -familien gemeinsame Umweltqualitätsnormen und Emissionsgrenzwerte als Mindestanforderungen festgelegt werden. Für die Verabschiedung solcher Normen auf Gemeinschaftsebene sind entsprechende Bestimmungen zu erlassen.</w:t>
      </w:r>
    </w:p>
    <w:p>
      <w:pPr>
        <w:pStyle w:val="GesAbsatz"/>
      </w:pPr>
      <w:r>
        <w:t>(43) Die Wasserverschmutzung durch Einleitungen, Emissionen oder Verluste prioritärer gefährlicher Stoffe muss beendet oder schrittweise eingestellt werden. Das Europäische Parlament und der Rat sollten auf Vorschlag der Kommission festlegen, für welche Stoffe prioritär Maßnahmen zu ergreifen sind und welche spezifischen Maßnahmen gegen die Wasserverschmutzung durch solche Stoffe getroffen werden müssen, wobei alle bedeutenden Verschmutzungsquellen zu berücksichtigen und das Niveau und die Kombination von Begrenzungen unter dem Gesichtspunkt der Kostenwirksamkeit und der Verhältnismäßigkeit zu ermitteln sind.</w:t>
      </w:r>
    </w:p>
    <w:p>
      <w:pPr>
        <w:pStyle w:val="GesAbsatz"/>
      </w:pPr>
      <w:r>
        <w:t>(44) Die Bestimmung prioritärer gefährlicher Stoffe sollte dem Grundsatz der Vorsorge Rechnung tragen und sich insbesondere auf die Bestimmung von potentiell negativen Auswirkungen des Erzeugnisses und auf eine wissenschaftliche Bewertung des Risikos stützen.</w:t>
      </w:r>
    </w:p>
    <w:p>
      <w:pPr>
        <w:pStyle w:val="GesAbsatz"/>
      </w:pPr>
      <w:r>
        <w:t>(45) Die Mitgliedstaaten sollten Maßnahmen ergreifen, um die Verschmutzung von Oberflächenwasser durch prioritäre Stoffe zu beseitigen und die Verschmutzung durch andere Stoffe, die sonst das Erreichen der für die Oberflächenwasserkörper festgelegten Ziele durch die Mitgliedstaaten verhindern würden, schrittweise zu verringern.</w:t>
      </w:r>
    </w:p>
    <w:p>
      <w:pPr>
        <w:pStyle w:val="GesAbsatz"/>
      </w:pPr>
      <w:r>
        <w:t xml:space="preserve">(46) Um eine Beteiligung der breiten Öffentlichkeit, einschließlich der Wassernutzer, an der Erstellung und Aktualisierung der Bewirtschaftungspläne für die Einzugsgebiete sicherzustellen, ist es nötig, über geplante </w:t>
      </w:r>
      <w:r>
        <w:lastRenderedPageBreak/>
        <w:t>Maßnahmen in geeigneter Weise zu informieren und über deren Fortschreiten zu berichten, damit die Öffentlichkeit einbezogen werden kann, ehe endgültige Entscheidungen über die nötigen Maßnahmen getroffen werden.</w:t>
      </w:r>
    </w:p>
    <w:p>
      <w:pPr>
        <w:pStyle w:val="GesAbsatz"/>
      </w:pPr>
      <w:r>
        <w:t>(47) Durch diese Richtlinie sollen Mechanismen geschaffen werden, die es ermöglichen, Hindernisse anzugehen, die einer Verbesserung des Zustands der Gewässer im Wege stehen und nicht in den Geltungsbereich gemeinschaftlicher Wasserschutzvorschriften fallen. Ziel ist die Entwicklung angemessener Gemeinschaftsstrategien zur Überwindung dieser Hindernisse.</w:t>
      </w:r>
    </w:p>
    <w:p>
      <w:pPr>
        <w:pStyle w:val="GesAbsatz"/>
      </w:pPr>
      <w:r>
        <w:t>(48) Die Kommission sollte jährlich einen aktualisierten Plan für Initiativen vorlegen, die sie im Bereich der Wasserpolitik vorzuschlagen gedenkt.</w:t>
      </w:r>
    </w:p>
    <w:p>
      <w:pPr>
        <w:pStyle w:val="GesAbsatz"/>
      </w:pPr>
      <w:r>
        <w:t>(49) Diese Richtlinie sollte technische Spezifikationen enthalten, die ein kohärentes Vorgehen innerhalb der Gemeinschaft gewährleisten. Kriterien für die Beurteilung des Gewässerzustands stellen einen wichtigen Schritt nach vorn dar. Die Anpassung bestimmter technischer Aspekte an den technischen Fortschritt und die Normung der Überwachung sowie der Probenahme- und Analysemethoden sollten im Ausschussverfahren erfolgen. Um das Verständnis und eine kohärente Anwendung der Kriterien für die Beschreibung der Flussgebietseinheiten und für die Beurteilung des Gewässerzustands zu fördern, kann die Kommission Leitlinien für die Anwendung dieser Kriterien festlegen.</w:t>
      </w:r>
    </w:p>
    <w:p>
      <w:pPr>
        <w:pStyle w:val="GesAbsatz"/>
      </w:pPr>
      <w:r>
        <w:t>(50) Die zur Durchführung dieser Richtlinie erforderlichen Maßnahmen sollten gemäß dem Beschluss 1999/468/EG des Rates vom 28. Juni 1999 zur Festlegung der Modalitäten für die Ausübung der der Kommission übertragenen Durchführungsbefugnisse</w:t>
      </w:r>
      <w:r>
        <w:rPr>
          <w:rStyle w:val="Funotenzeichen"/>
        </w:rPr>
        <w:footnoteReference w:id="17"/>
      </w:r>
      <w:r>
        <w:t xml:space="preserve"> erlassen werden.</w:t>
      </w:r>
    </w:p>
    <w:p>
      <w:pPr>
        <w:pStyle w:val="GesAbsatz"/>
      </w:pPr>
      <w:r>
        <w:t>(51) Mit der Umsetzung dieser Richtlinie soll ein Wasser-Schutzniveau erreicht werden, das demjenigen bestimmter früherer Rechtsakte zumindest gleichwertig ist. Diese sollten deshalb aufgehoben werden, sobald die einschlägigen Bestimmungen der vorliegenden Richtlinie voll umgesetzt sind.</w:t>
      </w:r>
    </w:p>
    <w:p>
      <w:pPr>
        <w:pStyle w:val="GesAbsatz"/>
      </w:pPr>
      <w:r>
        <w:t>(52) In den Bestimmungen dieser Richtlinie wird der in der Richtlinie 76/464/EWG des Rates</w:t>
      </w:r>
      <w:r>
        <w:rPr>
          <w:rStyle w:val="Funotenzeichen"/>
        </w:rPr>
        <w:footnoteReference w:id="18"/>
      </w:r>
      <w:r>
        <w:t xml:space="preserve"> geschaffene Handlungsrahmen für die Überwachung der Verschmutzung durch bestimmte gefährliche Stoffe übernommen. Die Richtlinie 76/464/EWG sollte deshalb aufgehoben werden, sobald die einschlägigen Bestimmungen der vorliegenden Richtlinie voll umgesetzt sind.</w:t>
      </w:r>
    </w:p>
    <w:p>
      <w:pPr>
        <w:pStyle w:val="GesAbsatz"/>
        <w:rPr>
          <w:rFonts w:cs="Arial"/>
        </w:rPr>
      </w:pPr>
      <w:r>
        <w:t xml:space="preserve">(53) Bestehende Gewässerschutzvorschriften sollten vollständig umgesetzt und durchgesetzt werden. Eine ordnungsgemäße Anwendung der Vorschriften zur Umsetzung dieser Richtlinie muss in der gesamten Gemeinschaft durch entsprechende Sanktionen in den Rechtsvorschriften der Mitgliedstaaten gewährleistet sein. Solche Sanktionen müssen wirksam, angemessen und abschreckend sein </w:t>
      </w:r>
      <w:r>
        <w:rPr>
          <w:rFonts w:cs="Arial"/>
        </w:rPr>
        <w:t>-</w:t>
      </w:r>
    </w:p>
    <w:p>
      <w:pPr>
        <w:pStyle w:val="GesAbsatz"/>
      </w:pPr>
      <w:r>
        <w:t>HABEN FOLGENDE RICHTLINIE ERLASSEN:</w:t>
      </w:r>
    </w:p>
    <w:p>
      <w:pPr>
        <w:pStyle w:val="berschrift2"/>
      </w:pPr>
      <w:bookmarkStart w:id="2" w:name="_Toc143862462"/>
      <w:r>
        <w:t>Artikel 1</w:t>
      </w:r>
      <w:r>
        <w:br/>
        <w:t>Ziel</w:t>
      </w:r>
      <w:bookmarkEnd w:id="2"/>
    </w:p>
    <w:p>
      <w:pPr>
        <w:pStyle w:val="GesAbsatz"/>
      </w:pPr>
      <w:r>
        <w:t>Ziel dieser Richtlinie ist die Schaffung eines Ordnungsrahmens für den Schutz der Binnenoberflächengewässer, der Übergangsgewässer, der Küstengewässer und des Grundwassers zwecks</w:t>
      </w:r>
    </w:p>
    <w:p>
      <w:pPr>
        <w:pStyle w:val="GesAbsatz"/>
        <w:ind w:left="426" w:hanging="426"/>
      </w:pPr>
      <w:r>
        <w:t>a)</w:t>
      </w:r>
      <w:r>
        <w:tab/>
        <w:t>Vermeidung einer weiteren Verschlechterung sowie Schutz und Verbesserung des Zustands der aquatischen Ökosysteme und der direkt von ihnen abhängenden Landökosysteme und Feuchtgebiete im Hinblick auf deren Wasserhaushalt,</w:t>
      </w:r>
    </w:p>
    <w:p>
      <w:pPr>
        <w:pStyle w:val="GesAbsatz"/>
        <w:ind w:left="426" w:hanging="426"/>
      </w:pPr>
      <w:r>
        <w:t>b)</w:t>
      </w:r>
      <w:r>
        <w:tab/>
        <w:t>Förderung einer nachhaltigen Wassernutzung auf der Grundlage eines langfristigen Schutzes der vorhandenen Ressourcen,</w:t>
      </w:r>
    </w:p>
    <w:p>
      <w:pPr>
        <w:pStyle w:val="GesAbsatz"/>
        <w:ind w:left="426" w:hanging="426"/>
      </w:pPr>
      <w:r>
        <w:t>c)</w:t>
      </w:r>
      <w:r>
        <w:tab/>
        <w:t>Anstrebens eines stärkeren Schutzes und einer Verbesserung der aquatischen Umwelt, unter anderem durch spezifische Maßnahmen zur schrittweisen Reduzierung von Einleitungen, Emissionen und Verlusten von prioritären Stoffen und durch die Beendigung oder schrittweise Einstellung von Einleitungen, Emissionen und Verlusten von prioritären gefährlichen Stoffen;</w:t>
      </w:r>
    </w:p>
    <w:p>
      <w:pPr>
        <w:pStyle w:val="GesAbsatz"/>
        <w:ind w:left="426" w:hanging="426"/>
      </w:pPr>
      <w:r>
        <w:t>d)</w:t>
      </w:r>
      <w:r>
        <w:tab/>
        <w:t>Sicherstellung einer schrittweisen Reduzierung der Verschmutzung des Grundwassers und Verhinderung seiner weiteren Verschmutzung; und</w:t>
      </w:r>
    </w:p>
    <w:p>
      <w:pPr>
        <w:pStyle w:val="GesAbsatz"/>
        <w:ind w:left="426" w:hanging="426"/>
      </w:pPr>
      <w:r>
        <w:t>e)</w:t>
      </w:r>
      <w:r>
        <w:tab/>
        <w:t>Beitrag zur Minderung der Auswirkungen von Überschwemmungen und Dürren,</w:t>
      </w:r>
    </w:p>
    <w:p>
      <w:pPr>
        <w:pStyle w:val="GesAbsatz"/>
      </w:pPr>
      <w:r>
        <w:t>womit beigetragen werden soll</w:t>
      </w:r>
    </w:p>
    <w:p>
      <w:pPr>
        <w:pStyle w:val="GesAbsatz"/>
        <w:ind w:left="426" w:hanging="426"/>
      </w:pPr>
      <w:r>
        <w:rPr>
          <w:rFonts w:cs="Arial"/>
        </w:rPr>
        <w:t>-</w:t>
      </w:r>
      <w:r>
        <w:rPr>
          <w:rFonts w:cs="Arial"/>
        </w:rPr>
        <w:tab/>
        <w:t>zu einer ausreichenden Versorgung m</w:t>
      </w:r>
      <w:r>
        <w:t>it Oberflächen- und Grundwasser guter Qualität, wie es für eine nachhaltige, ausgewogene und gerechte Wassernutzung erforderlich ist;</w:t>
      </w:r>
    </w:p>
    <w:p>
      <w:pPr>
        <w:pStyle w:val="GesAbsatz"/>
        <w:ind w:left="426" w:hanging="426"/>
        <w:rPr>
          <w:rFonts w:cs="Arial"/>
        </w:rPr>
      </w:pPr>
      <w:r>
        <w:rPr>
          <w:rFonts w:cs="Arial"/>
        </w:rPr>
        <w:t>-</w:t>
      </w:r>
      <w:r>
        <w:rPr>
          <w:rFonts w:cs="Arial"/>
        </w:rPr>
        <w:tab/>
        <w:t>zu einer wesentlichen Reduzierung der Grundwasserverschmutzung;</w:t>
      </w:r>
    </w:p>
    <w:p>
      <w:pPr>
        <w:pStyle w:val="GesAbsatz"/>
        <w:ind w:left="426" w:hanging="426"/>
      </w:pPr>
      <w:r>
        <w:rPr>
          <w:rFonts w:cs="Arial"/>
        </w:rPr>
        <w:t>-</w:t>
      </w:r>
      <w:r>
        <w:rPr>
          <w:rFonts w:cs="Arial"/>
        </w:rPr>
        <w:tab/>
        <w:t>zum Schutz der Hoheitsgewässer und der Meeresgewässer;</w:t>
      </w:r>
    </w:p>
    <w:p>
      <w:pPr>
        <w:pStyle w:val="GesAbsatz"/>
        <w:ind w:left="426" w:hanging="426"/>
      </w:pPr>
      <w:r>
        <w:rPr>
          <w:rFonts w:cs="Arial"/>
        </w:rPr>
        <w:lastRenderedPageBreak/>
        <w:t>-</w:t>
      </w:r>
      <w:r>
        <w:rPr>
          <w:rFonts w:cs="Arial"/>
        </w:rPr>
        <w:tab/>
        <w:t xml:space="preserve">zur Verwirklichung der Ziele der einschlägigen internationalen </w:t>
      </w:r>
      <w:r>
        <w:t>Übereinkommen einschließlich derjenigen, die auf die Vermeidung und Beseitigung der Verschmutzung der Meeresumwelt abzielen, durch Gemeinschaftsmaßnahmen gemäß Artikel 16 Absatz 3 zur Beendigung oder schrittweisen Einstellung von Einleitungen, Emissionen oder Verlusten von prioritären gefährlichen Stoffen, und zwar mit dem Endziel, in der Meeresumwelt für natürlich anfallende Stoffe Konzentrationen in der Nähe der Hintergrundwerte und für anthropogene synthetische Stoffe Konzentrationen nahe Null zu erreichen.</w:t>
      </w:r>
    </w:p>
    <w:p>
      <w:pPr>
        <w:pStyle w:val="berschrift2"/>
      </w:pPr>
      <w:bookmarkStart w:id="3" w:name="_Toc143862463"/>
      <w:r>
        <w:t>Artikel 2</w:t>
      </w:r>
      <w:r>
        <w:br/>
        <w:t>Begriffsbestimmungen</w:t>
      </w:r>
      <w:bookmarkEnd w:id="3"/>
    </w:p>
    <w:p>
      <w:pPr>
        <w:pStyle w:val="GesAbsatz"/>
      </w:pPr>
      <w:r>
        <w:t>Im Sinne dieser Richtlinie gelten folgende Begriffsbestimmungen:</w:t>
      </w:r>
    </w:p>
    <w:p>
      <w:pPr>
        <w:pStyle w:val="GesAbsatz"/>
        <w:ind w:left="426" w:hanging="426"/>
      </w:pPr>
      <w:r>
        <w:t>1.</w:t>
      </w:r>
      <w:r>
        <w:tab/>
      </w:r>
      <w:r>
        <w:rPr>
          <w:rFonts w:cs="Arial"/>
        </w:rPr>
        <w:t xml:space="preserve">„Oberflächengewässer“: die Binnengewässer mit Ausnahme </w:t>
      </w:r>
      <w:r>
        <w:t>des Grundwassers sowie die Übergangsgewässer und Küstengewässer, wobei im Hinblick auf den chemischen Zustand ausnahmsweise auch die Hoheitsgewässer eingeschlossen sind;</w:t>
      </w:r>
    </w:p>
    <w:p>
      <w:pPr>
        <w:pStyle w:val="GesAbsatz"/>
        <w:ind w:left="426" w:hanging="426"/>
      </w:pPr>
      <w:r>
        <w:t>2.</w:t>
      </w:r>
      <w:r>
        <w:tab/>
      </w:r>
      <w:r>
        <w:rPr>
          <w:rFonts w:cs="Arial"/>
        </w:rPr>
        <w:t xml:space="preserve">„Grundwasser“: alles unterirdische Wasser in der Sättigungszone, </w:t>
      </w:r>
      <w:r>
        <w:t>das in unmittelbarer Berührung mit dem Boden oder dem Untergrund steht;</w:t>
      </w:r>
    </w:p>
    <w:p>
      <w:pPr>
        <w:pStyle w:val="GesAbsatz"/>
        <w:ind w:left="426" w:hanging="426"/>
      </w:pPr>
      <w:r>
        <w:t>3.</w:t>
      </w:r>
      <w:r>
        <w:tab/>
      </w:r>
      <w:r>
        <w:rPr>
          <w:rFonts w:cs="Arial"/>
        </w:rPr>
        <w:t xml:space="preserve">„Binnengewässer“: alle an der Erdoberfläche stehenden </w:t>
      </w:r>
      <w:r>
        <w:t>oder fließenden Gewässer sowie alles Grundwasser auf der landwärtigen Seite der Basislinie, von der aus die Breite der Hoheitsgewässer gemessen wird;</w:t>
      </w:r>
    </w:p>
    <w:p>
      <w:pPr>
        <w:pStyle w:val="GesAbsatz"/>
        <w:ind w:left="426" w:hanging="426"/>
      </w:pPr>
      <w:r>
        <w:t>4.</w:t>
      </w:r>
      <w:r>
        <w:tab/>
      </w:r>
      <w:r>
        <w:rPr>
          <w:rFonts w:cs="Arial"/>
        </w:rPr>
        <w:t xml:space="preserve">„Fluss“: ein </w:t>
      </w:r>
      <w:r>
        <w:t>Binnengewässer, das größtenteils an der Erdoberfläche fließt, teilweise aber auch unterirdisch fließen kann;</w:t>
      </w:r>
    </w:p>
    <w:p>
      <w:pPr>
        <w:pStyle w:val="GesAbsatz"/>
        <w:ind w:left="426" w:hanging="426"/>
        <w:rPr>
          <w:rFonts w:cs="Arial"/>
        </w:rPr>
      </w:pPr>
      <w:r>
        <w:t>5.</w:t>
      </w:r>
      <w:r>
        <w:tab/>
      </w:r>
      <w:r>
        <w:rPr>
          <w:rFonts w:cs="Arial"/>
        </w:rPr>
        <w:t>„See“: ein stehendes Binnenoberflächengewässer;</w:t>
      </w:r>
    </w:p>
    <w:p>
      <w:pPr>
        <w:pStyle w:val="GesAbsatz"/>
        <w:ind w:left="426" w:hanging="426"/>
      </w:pPr>
      <w:r>
        <w:t>6.</w:t>
      </w:r>
      <w:r>
        <w:tab/>
      </w:r>
      <w:r>
        <w:rPr>
          <w:rFonts w:cs="Arial"/>
        </w:rPr>
        <w:t xml:space="preserve">„Übergangsgewässer“: die Oberflächenwasserkörper in der </w:t>
      </w:r>
      <w:r>
        <w:t>Nähe von Flussmündungen, die aufgrund ihrer Nähe zu den Küstengewässern einen gewissen Salzgehalt aufweisen, aber im wesentlichen von Süßwasserströmungen beeinflusst werden;</w:t>
      </w:r>
    </w:p>
    <w:p>
      <w:pPr>
        <w:pStyle w:val="GesAbsatz"/>
        <w:ind w:left="426" w:hanging="426"/>
      </w:pPr>
      <w:r>
        <w:t>7.</w:t>
      </w:r>
      <w:r>
        <w:tab/>
      </w:r>
      <w:r>
        <w:rPr>
          <w:rFonts w:cs="Arial"/>
        </w:rPr>
        <w:t>„Küstengewässer“: die Oberflächengewässer auf der landw</w:t>
      </w:r>
      <w:r>
        <w:t>ärtigen Seite einer Linie, auf der sich jeder Punkt eine Seemeile seewärts vom nächsten Punkt der Basislinie befindet, von der aus die Breite der Hoheitsgewässer gemessen wird, gegebenenfalls bis zur äußeren Grenze eines Übergangsgewässers;</w:t>
      </w:r>
    </w:p>
    <w:p>
      <w:pPr>
        <w:pStyle w:val="GesAbsatz"/>
        <w:ind w:left="426" w:hanging="426"/>
      </w:pPr>
      <w:r>
        <w:t>8.</w:t>
      </w:r>
      <w:r>
        <w:tab/>
      </w:r>
      <w:r>
        <w:rPr>
          <w:rFonts w:cs="Arial"/>
        </w:rPr>
        <w:t xml:space="preserve">„künstlicher Wasserkörper“: ein von Menschenhand </w:t>
      </w:r>
      <w:r>
        <w:t>geschaffener Oberflächenwasserkörper;</w:t>
      </w:r>
    </w:p>
    <w:p>
      <w:pPr>
        <w:pStyle w:val="GesAbsatz"/>
        <w:ind w:left="426" w:hanging="426"/>
      </w:pPr>
      <w:r>
        <w:t>9.</w:t>
      </w:r>
      <w:r>
        <w:tab/>
      </w:r>
      <w:r>
        <w:rPr>
          <w:rFonts w:cs="Arial"/>
        </w:rPr>
        <w:t>„erheblich veränderter Wasserkörper“: ein Oberflächenwasserk</w:t>
      </w:r>
      <w:r>
        <w:t>örper, der durch physikalische Veränderungen durch den Menschen in seinem Wesen erheblich verändert wurde, entsprechend der Ausweisung durch den Mitgliedstaat gemäß Anhang II;</w:t>
      </w:r>
    </w:p>
    <w:p>
      <w:pPr>
        <w:pStyle w:val="GesAbsatz"/>
        <w:ind w:left="426" w:hanging="426"/>
      </w:pPr>
      <w:r>
        <w:t>10.</w:t>
      </w:r>
      <w:r>
        <w:tab/>
      </w:r>
      <w:r>
        <w:rPr>
          <w:rFonts w:cs="Arial"/>
        </w:rPr>
        <w:t xml:space="preserve">„Oberflächenwasserkörper“: ein einheitlicher und bedeutender </w:t>
      </w:r>
      <w:r>
        <w:t>Abschnitt eines Oberflächengewässers, z.B. ein See, ein Speicherbecken, ein Strom, Fluss oder Kanal, ein Teil eines Stroms, Flusses oder Kanals, ein Übergangsgewässer oder ein Küstengewässerstreifen;</w:t>
      </w:r>
    </w:p>
    <w:p>
      <w:pPr>
        <w:pStyle w:val="GesAbsatz"/>
        <w:ind w:left="426" w:hanging="426"/>
      </w:pPr>
      <w:r>
        <w:t>11.</w:t>
      </w:r>
      <w:r>
        <w:tab/>
      </w:r>
      <w:r>
        <w:rPr>
          <w:rFonts w:cs="Arial"/>
        </w:rPr>
        <w:t xml:space="preserve">„Grundwasserleiter“: eine unter der Oberfläche liegende </w:t>
      </w:r>
      <w:r>
        <w:t>Schicht oder Schichten von Felsen oder anderen geologischen Formationen mit hinreichender Porosität und Permeabilität, so dass entweder ein nennenswerter Grundwasserstrom oder die Entnahme erheblicher Grundwassermengen möglich ist;</w:t>
      </w:r>
    </w:p>
    <w:p>
      <w:pPr>
        <w:pStyle w:val="GesAbsatz"/>
        <w:ind w:left="426" w:hanging="426"/>
      </w:pPr>
      <w:r>
        <w:t>12.</w:t>
      </w:r>
      <w:r>
        <w:tab/>
      </w:r>
      <w:r>
        <w:rPr>
          <w:rFonts w:cs="Arial"/>
        </w:rPr>
        <w:t xml:space="preserve">„Grundwasserkörper“: ein abgegrenztes Grundwasservolumen </w:t>
      </w:r>
      <w:r>
        <w:t>innerhalb eines oder mehrerer Grundwasserleiter;</w:t>
      </w:r>
    </w:p>
    <w:p>
      <w:pPr>
        <w:pStyle w:val="GesAbsatz"/>
        <w:ind w:left="426" w:hanging="426"/>
      </w:pPr>
      <w:r>
        <w:t>13.</w:t>
      </w:r>
      <w:r>
        <w:tab/>
      </w:r>
      <w:r>
        <w:rPr>
          <w:rFonts w:cs="Arial"/>
        </w:rPr>
        <w:t xml:space="preserve">„Einzugsgebiet“: ein Gebiet, aus welchem über Ströme, </w:t>
      </w:r>
      <w:r>
        <w:t>Flüsse und möglicherweise Seen der gesamte Oberflächenabfluss an einer einzigen Flussmündung, einem Ästuar oder Delta ins Meer gelangt;</w:t>
      </w:r>
    </w:p>
    <w:p>
      <w:pPr>
        <w:pStyle w:val="GesAbsatz"/>
        <w:ind w:left="426" w:hanging="426"/>
      </w:pPr>
      <w:r>
        <w:t>14.</w:t>
      </w:r>
      <w:r>
        <w:tab/>
      </w:r>
      <w:r>
        <w:rPr>
          <w:rFonts w:cs="Arial"/>
        </w:rPr>
        <w:t xml:space="preserve">„Teileinzugsgebiet“: ein Gebiet, aus welchem über Ströme, </w:t>
      </w:r>
      <w:r>
        <w:t>Flüsse und möglicherweise Seen der gesamte Oberflächenabfluss an einem bestimmten Punkt in einen Wasserlauf (normalerweise einen See oder einen Zusammenfluss von Flüssen) gelangt;</w:t>
      </w:r>
    </w:p>
    <w:p>
      <w:pPr>
        <w:pStyle w:val="GesAbsatz"/>
        <w:ind w:left="426" w:hanging="426"/>
      </w:pPr>
      <w:r>
        <w:t>15.</w:t>
      </w:r>
      <w:r>
        <w:tab/>
      </w:r>
      <w:r>
        <w:rPr>
          <w:rFonts w:cs="Arial"/>
        </w:rPr>
        <w:t xml:space="preserve">„Flussgebietseinheit“: ein gemäß Artikel 3 Absatz 1 als </w:t>
      </w:r>
      <w:r>
        <w:t>Haupteinheit für die Bewirtschaftung von Einzugsgebieten festgelegtes Land- oder Meeresgebiet, das aus einem oder mehreren benachbarten Einzugsgebieten und den ihnen zugeordneten Grundwässern und Küstengewässern besteht;</w:t>
      </w:r>
    </w:p>
    <w:p>
      <w:pPr>
        <w:pStyle w:val="GesAbsatz"/>
        <w:ind w:left="426" w:hanging="426"/>
      </w:pPr>
      <w:r>
        <w:t>16.</w:t>
      </w:r>
      <w:r>
        <w:tab/>
      </w:r>
      <w:r>
        <w:rPr>
          <w:rFonts w:cs="Arial"/>
        </w:rPr>
        <w:t xml:space="preserve">„zuständige Behörde“: eine gemäß Artikel 3 Absatz 2 oder </w:t>
      </w:r>
      <w:r>
        <w:t>3 bestimmte Behörde oder mehrere solcher Behörden;</w:t>
      </w:r>
    </w:p>
    <w:p>
      <w:pPr>
        <w:pStyle w:val="GesAbsatz"/>
        <w:ind w:left="426" w:hanging="426"/>
      </w:pPr>
      <w:r>
        <w:t>17.</w:t>
      </w:r>
      <w:r>
        <w:tab/>
      </w:r>
      <w:r>
        <w:rPr>
          <w:rFonts w:cs="Arial"/>
        </w:rPr>
        <w:t xml:space="preserve">„Zustand des Oberflächengewässers“: die allgemeine </w:t>
      </w:r>
      <w:r>
        <w:t>Bezeichnung für den Zustand eines Oberflächenwasserkörpers auf der Grundlage des jeweils schlechteren Wertes für den ökologischen und den chemischen Zustand;</w:t>
      </w:r>
    </w:p>
    <w:p>
      <w:pPr>
        <w:pStyle w:val="GesAbsatz"/>
        <w:ind w:left="426" w:hanging="426"/>
        <w:rPr>
          <w:rFonts w:cs="Arial"/>
        </w:rPr>
      </w:pPr>
      <w:r>
        <w:t>18.</w:t>
      </w:r>
      <w:r>
        <w:tab/>
      </w:r>
      <w:r>
        <w:rPr>
          <w:rFonts w:cs="Arial"/>
        </w:rPr>
        <w:t xml:space="preserve">„guter Zustand des Oberflächengewässers“: der Zustand </w:t>
      </w:r>
      <w:r>
        <w:t xml:space="preserve">eines Oberflächenwasserkörpers, der sich in einem zumindest </w:t>
      </w:r>
      <w:r>
        <w:rPr>
          <w:rFonts w:cs="Arial"/>
        </w:rPr>
        <w:t>„guten“ ökologischen und chemischen Zustand befindet;</w:t>
      </w:r>
    </w:p>
    <w:p>
      <w:pPr>
        <w:pStyle w:val="GesAbsatz"/>
        <w:ind w:left="426" w:hanging="426"/>
      </w:pPr>
      <w:r>
        <w:t>19.</w:t>
      </w:r>
      <w:r>
        <w:tab/>
      </w:r>
      <w:r>
        <w:rPr>
          <w:rFonts w:cs="Arial"/>
        </w:rPr>
        <w:t xml:space="preserve">„Zustand des Grundwassers“: die allgemeine Bezeichnung </w:t>
      </w:r>
      <w:r>
        <w:t>für den Zustand eines Grundwasserkörpers auf der Grundlage des jeweils schlechteren Wertes für den mengenmäßigen und den chemischen Zustand;</w:t>
      </w:r>
    </w:p>
    <w:p>
      <w:pPr>
        <w:pStyle w:val="GesAbsatz"/>
        <w:ind w:left="426" w:hanging="426"/>
      </w:pPr>
      <w:r>
        <w:lastRenderedPageBreak/>
        <w:t>20.</w:t>
      </w:r>
      <w:r>
        <w:tab/>
      </w:r>
      <w:r>
        <w:rPr>
          <w:rFonts w:cs="Arial"/>
        </w:rPr>
        <w:t xml:space="preserve">„guter Zustand des Grundwassers“: der Zustand eines </w:t>
      </w:r>
      <w:r>
        <w:t xml:space="preserve">Grundwasserkörpers, der sich in einem zumindest </w:t>
      </w:r>
      <w:r>
        <w:rPr>
          <w:rFonts w:cs="Arial"/>
        </w:rPr>
        <w:t xml:space="preserve">„guten“ </w:t>
      </w:r>
      <w:r>
        <w:t>mengenmäßigen und chemischen Zustand befindet;</w:t>
      </w:r>
    </w:p>
    <w:p>
      <w:pPr>
        <w:pStyle w:val="GesAbsatz"/>
        <w:ind w:left="426" w:hanging="426"/>
      </w:pPr>
      <w:r>
        <w:t>21.</w:t>
      </w:r>
      <w:r>
        <w:tab/>
      </w:r>
      <w:r>
        <w:rPr>
          <w:rFonts w:cs="Arial"/>
        </w:rPr>
        <w:t xml:space="preserve">„ökologischer Zustand“: die Qualität von Struktur und </w:t>
      </w:r>
      <w:r>
        <w:t>Funktionsfähigkeit aquatischer, in Verbindung mit Oberflächengewässern stehender Ökosysteme gemäß der Einstufung nach Anhang V;</w:t>
      </w:r>
    </w:p>
    <w:p>
      <w:pPr>
        <w:pStyle w:val="GesAbsatz"/>
        <w:ind w:left="426" w:hanging="426"/>
      </w:pPr>
      <w:r>
        <w:t>22.</w:t>
      </w:r>
      <w:r>
        <w:tab/>
      </w:r>
      <w:r>
        <w:rPr>
          <w:rFonts w:cs="Arial"/>
        </w:rPr>
        <w:t>„guter ökologischer Zust</w:t>
      </w:r>
      <w:r>
        <w:t>and</w:t>
      </w:r>
      <w:r>
        <w:rPr>
          <w:rFonts w:cs="Arial"/>
        </w:rPr>
        <w:t xml:space="preserve">“: der Zustand eines entsprechenden </w:t>
      </w:r>
      <w:r>
        <w:t>Oberflächenwasserkörpers gemäß der Einstufung nach Anhang V;</w:t>
      </w:r>
    </w:p>
    <w:p>
      <w:pPr>
        <w:pStyle w:val="GesAbsatz"/>
        <w:ind w:left="426" w:hanging="426"/>
      </w:pPr>
      <w:r>
        <w:t>23.</w:t>
      </w:r>
      <w:r>
        <w:tab/>
      </w:r>
      <w:r>
        <w:rPr>
          <w:rFonts w:cs="Arial"/>
        </w:rPr>
        <w:t xml:space="preserve">„gutes ökologisches Potential“: der Zustand eines erheblich </w:t>
      </w:r>
      <w:r>
        <w:t>veränderten oder künstlichen Wasserkörpers, der nach den einschlägigen Bestimmungen des Anhangs V entsprechend eingestuft wurde;</w:t>
      </w:r>
    </w:p>
    <w:p>
      <w:pPr>
        <w:pStyle w:val="GesAbsatz"/>
        <w:ind w:left="426" w:hanging="426"/>
      </w:pPr>
      <w:r>
        <w:t>24.</w:t>
      </w:r>
      <w:r>
        <w:tab/>
      </w:r>
      <w:r>
        <w:rPr>
          <w:rFonts w:cs="Arial"/>
        </w:rPr>
        <w:t xml:space="preserve">„guter chemischer Zustand eines Oberflächengewässers“: </w:t>
      </w:r>
      <w:r>
        <w:t>der chemische Zustand, der zur Erreichung der Umweltziele für Oberflächengewässer gemäß Artikel 4 Absatz 1 Buchstabe a) erforderlich ist, das heißt der chemische Zustand, den ein Oberflächenwasserkörper erreicht hat, in dem kein Schadstoff in einer höheren Konzentration als den Umweltqualitätsnormen vorkommt, die in Anhang IX und gemäß Artikel 16 Absatz 7 oder in anderen einschlägigen Rechtsvorschriften der Gemeinschaft über Umweltqualitätsnormen auf Gemeinschaftsebene festgelegt sind;</w:t>
      </w:r>
    </w:p>
    <w:p>
      <w:pPr>
        <w:pStyle w:val="GesAbsatz"/>
        <w:ind w:left="426" w:hanging="426"/>
      </w:pPr>
      <w:r>
        <w:t>25.</w:t>
      </w:r>
      <w:r>
        <w:tab/>
      </w:r>
      <w:r>
        <w:rPr>
          <w:rFonts w:cs="Arial"/>
        </w:rPr>
        <w:t xml:space="preserve">„guter chemischer Zustand des Grundwassers“: der chemische </w:t>
      </w:r>
      <w:r>
        <w:t>Zustand eines Grundwasserkörpers, der alle in Tabelle 2.3.2 des Anhangs V aufgeführten Bedingungen erfüllt;</w:t>
      </w:r>
    </w:p>
    <w:p>
      <w:pPr>
        <w:pStyle w:val="GesAbsatz"/>
        <w:ind w:left="426" w:hanging="426"/>
      </w:pPr>
      <w:r>
        <w:t>26.</w:t>
      </w:r>
      <w:r>
        <w:tab/>
      </w:r>
      <w:r>
        <w:rPr>
          <w:rFonts w:cs="Arial"/>
        </w:rPr>
        <w:t>„mengenmäßiger Zustand“: eine Bezeichnung des Ausma</w:t>
      </w:r>
      <w:r>
        <w:t>ßes, in dem ein Grundwasserkörper durch direkte und indirekte Entnahme beeinträchtigt wird;</w:t>
      </w:r>
    </w:p>
    <w:p>
      <w:pPr>
        <w:pStyle w:val="GesAbsatz"/>
        <w:ind w:left="426" w:hanging="426"/>
      </w:pPr>
      <w:r>
        <w:t>27.</w:t>
      </w:r>
      <w:r>
        <w:tab/>
      </w:r>
      <w:r>
        <w:rPr>
          <w:rFonts w:cs="Arial"/>
        </w:rPr>
        <w:t>„verfügbare Grundwasserressource“: die langfristige mittle</w:t>
      </w:r>
      <w:r>
        <w:t>re jährliche Neubildung des Grundwasserkörpers abzüglich des langfristigen jährlichen Abflusses, der erforderlich ist, damit die in Artikel 4 genannten ökologischen Qualitätsziele für die mit ihm in Verbindung stehenden Oberflächengewässer erreicht werden und damit jede signifikante Verschlechterung des ökologischen Zustands dieser Gewässer und jede signifikante Schädigung der mit ihnen in Verbindung stehenden Landökosysteme vermieden wird;</w:t>
      </w:r>
    </w:p>
    <w:p>
      <w:pPr>
        <w:pStyle w:val="GesAbsatz"/>
      </w:pPr>
      <w:r>
        <w:t>28.</w:t>
      </w:r>
      <w:r>
        <w:tab/>
      </w:r>
      <w:r>
        <w:rPr>
          <w:rFonts w:cs="Arial"/>
        </w:rPr>
        <w:t xml:space="preserve">„guter mengenmäßiger Zustand“: der Zustand gemäß </w:t>
      </w:r>
      <w:r>
        <w:t>Tabelle 2.1.2 des Anhangs V;</w:t>
      </w:r>
    </w:p>
    <w:p>
      <w:pPr>
        <w:pStyle w:val="GesAbsatz"/>
        <w:ind w:left="426" w:hanging="426"/>
      </w:pPr>
      <w:r>
        <w:t>29.</w:t>
      </w:r>
      <w:r>
        <w:tab/>
      </w:r>
      <w:r>
        <w:rPr>
          <w:rFonts w:cs="Arial"/>
        </w:rPr>
        <w:t xml:space="preserve">„gefährliche Stoffe“: Stoffe oder Gruppen von Stoffen, die </w:t>
      </w:r>
      <w:r>
        <w:t>toxisch, persistent und bioakkumulierbar sind, und sonstige Stoffe oder Gruppen von Stoffen, die in ähnlichem Maße Anlass zu Besorgnis geben;</w:t>
      </w:r>
    </w:p>
    <w:p>
      <w:pPr>
        <w:pStyle w:val="GesAbsatz"/>
        <w:ind w:left="426" w:hanging="426"/>
      </w:pPr>
      <w:r>
        <w:t>30.</w:t>
      </w:r>
      <w:r>
        <w:tab/>
      </w:r>
      <w:r>
        <w:rPr>
          <w:rFonts w:cs="Arial"/>
        </w:rPr>
        <w:t xml:space="preserve">„prioritäre Stoffe“: Stoffe, die nach Artikel 16 Absatz 2 </w:t>
      </w:r>
      <w:r>
        <w:t>bestimmt werden und in Anhang X aufgeführt sind. Zu diesen Stoffen gehören auch die prioritären gefährlichen Stoffe, das heißt die Stoffe, die nach Artikel 16 Absätze 3 und 6 bestimmt werden und für die Maßnahmen nach Artikel 16 Absätze 1 und 8 ergriffen werden müssen;</w:t>
      </w:r>
    </w:p>
    <w:p>
      <w:pPr>
        <w:pStyle w:val="GesAbsatz"/>
        <w:ind w:left="426" w:hanging="426"/>
      </w:pPr>
      <w:r>
        <w:t>31.</w:t>
      </w:r>
      <w:r>
        <w:tab/>
      </w:r>
      <w:r>
        <w:rPr>
          <w:rFonts w:cs="Arial"/>
        </w:rPr>
        <w:t xml:space="preserve">„Schadstoff“: jeder Stoff, der zu einer Verschmutzung führen </w:t>
      </w:r>
      <w:r>
        <w:t>kann, insbesondere Stoffe des Anhangs VIII;</w:t>
      </w:r>
    </w:p>
    <w:p>
      <w:pPr>
        <w:pStyle w:val="GesAbsatz"/>
        <w:ind w:left="426" w:hanging="426"/>
      </w:pPr>
      <w:r>
        <w:t>32.</w:t>
      </w:r>
      <w:r>
        <w:tab/>
      </w:r>
      <w:r>
        <w:rPr>
          <w:rFonts w:cs="Arial"/>
        </w:rPr>
        <w:t xml:space="preserve">„unmittelbare Einleitung in das Grundwasser“: Einleitung </w:t>
      </w:r>
      <w:r>
        <w:t>von Schadstoffen in das Grundwasser ohne Versickern durch den Boden oder den Untergrund;</w:t>
      </w:r>
    </w:p>
    <w:p>
      <w:pPr>
        <w:pStyle w:val="GesAbsatz"/>
        <w:ind w:left="426" w:hanging="426"/>
      </w:pPr>
      <w:r>
        <w:t>33.</w:t>
      </w:r>
      <w:r>
        <w:tab/>
      </w:r>
      <w:r>
        <w:rPr>
          <w:rFonts w:cs="Arial"/>
        </w:rPr>
        <w:t xml:space="preserve">„Verschmutzung“: die durch menschliche Tätigkeiten </w:t>
      </w:r>
      <w:r>
        <w:t>direkt oder indirekt bewirkte Freisetzung von Stoffen oder Wärme in Luft, Wasser oder Boden, die der menschlichen Gesundheit oder der Qualität der aquatischen Ökosysteme oder der direkt von ihnen abhängenden Landökosysteme schaden können, zu einer Schädigung von Sachwerten führen oder eine Beeinträchtigung oder Störung des Erholungswertes und anderer legitimer Nutzungen der Umwelt mit sich bringen;</w:t>
      </w:r>
    </w:p>
    <w:p>
      <w:pPr>
        <w:pStyle w:val="GesAbsatz"/>
        <w:rPr>
          <w:rFonts w:cs="Arial"/>
        </w:rPr>
      </w:pPr>
      <w:r>
        <w:t>34.</w:t>
      </w:r>
      <w:r>
        <w:tab/>
      </w:r>
      <w:r>
        <w:rPr>
          <w:rFonts w:cs="Arial"/>
        </w:rPr>
        <w:t>„Umweltziele“: die in Artikel 4 festgelegten Ziele;</w:t>
      </w:r>
    </w:p>
    <w:p>
      <w:pPr>
        <w:pStyle w:val="GesAbsatz"/>
        <w:ind w:left="426" w:hanging="426"/>
      </w:pPr>
      <w:r>
        <w:t>35.</w:t>
      </w:r>
      <w:r>
        <w:tab/>
      </w:r>
      <w:r>
        <w:rPr>
          <w:rFonts w:cs="Arial"/>
        </w:rPr>
        <w:t xml:space="preserve">„Umweltqualitätsnorm“: die Konzentration eines bestimmten </w:t>
      </w:r>
      <w:r>
        <w:t>Schadstoffs oder einer bestimmten Schadstoffgruppe, die in Wasser, Sedimenten oder Biota aus Gründen des Gesundheits- und Umweltschutzes nicht überschritten werden darf;</w:t>
      </w:r>
    </w:p>
    <w:p>
      <w:pPr>
        <w:pStyle w:val="GesAbsatz"/>
        <w:ind w:left="426" w:hanging="426"/>
      </w:pPr>
      <w:r>
        <w:t>36.</w:t>
      </w:r>
      <w:r>
        <w:tab/>
      </w:r>
      <w:r>
        <w:rPr>
          <w:rFonts w:cs="Arial"/>
        </w:rPr>
        <w:t xml:space="preserve">„kombinierter Ansatz“: die Begrenzung von Einleitungen </w:t>
      </w:r>
      <w:r>
        <w:t>und Emissionen in Oberflächengewässer nach dem in Artikel 10 beschriebenen Ansatz;</w:t>
      </w:r>
    </w:p>
    <w:p>
      <w:pPr>
        <w:pStyle w:val="GesAbsatz"/>
        <w:ind w:left="426" w:hanging="426"/>
      </w:pPr>
      <w:r>
        <w:t>37.</w:t>
      </w:r>
      <w:r>
        <w:tab/>
      </w:r>
      <w:r>
        <w:rPr>
          <w:rFonts w:cs="Arial"/>
        </w:rPr>
        <w:t xml:space="preserve">„Wasser für den menschlichen Gebrauch“: Wasser entsprechend </w:t>
      </w:r>
      <w:r>
        <w:t>der Definition der Richtlinie 80/778/EWG in der durch die Richtlinie 98/83/EG geänderten Fassung;</w:t>
      </w:r>
    </w:p>
    <w:p>
      <w:pPr>
        <w:pStyle w:val="GesAbsatz"/>
        <w:ind w:left="426" w:hanging="426"/>
      </w:pPr>
      <w:r>
        <w:t>38.</w:t>
      </w:r>
      <w:r>
        <w:tab/>
      </w:r>
      <w:r>
        <w:rPr>
          <w:rFonts w:cs="Arial"/>
        </w:rPr>
        <w:t xml:space="preserve">„Wasserdienstleistungen“: alle Dienstleistungen, die für </w:t>
      </w:r>
      <w:r>
        <w:t>Haushalte, öffentliche Einrichtungen oder wirtschaftliche Tätigkeiten jeder Art folgendes zur Verfügung stellen:</w:t>
      </w:r>
    </w:p>
    <w:p>
      <w:pPr>
        <w:pStyle w:val="GesAbsatz"/>
        <w:ind w:left="851" w:hanging="425"/>
      </w:pPr>
      <w:r>
        <w:t>a)</w:t>
      </w:r>
      <w:r>
        <w:tab/>
        <w:t>Entnahme, Aufstauung, Speicherung, Behandlung und Verteilung von Oberflächen- oder Grundwasser;</w:t>
      </w:r>
    </w:p>
    <w:p>
      <w:pPr>
        <w:pStyle w:val="GesAbsatz"/>
        <w:ind w:left="851" w:hanging="425"/>
      </w:pPr>
      <w:r>
        <w:t>b)</w:t>
      </w:r>
      <w:r>
        <w:tab/>
        <w:t>Anlagen für die Sammlung und Behandlung von Abwasser, die anschließend in Oberflächengewässer einleiten;</w:t>
      </w:r>
    </w:p>
    <w:p>
      <w:pPr>
        <w:pStyle w:val="GesAbsatz"/>
        <w:ind w:left="426" w:hanging="426"/>
      </w:pPr>
      <w:r>
        <w:t>39.</w:t>
      </w:r>
      <w:r>
        <w:tab/>
      </w:r>
      <w:r>
        <w:rPr>
          <w:rFonts w:cs="Arial"/>
        </w:rPr>
        <w:t xml:space="preserve">„Wassernutzung“: die Wasserdienstleistungen sowie jede </w:t>
      </w:r>
      <w:r>
        <w:t>andere Handlung entsprechend Artikel 5 und Anhang II mit signifikanten Auswirkungen auf den Wasserzustand.</w:t>
      </w:r>
    </w:p>
    <w:p>
      <w:pPr>
        <w:pStyle w:val="GesAbsatz"/>
        <w:ind w:left="426"/>
      </w:pPr>
      <w:r>
        <w:t>Diese Definition gilt für die Zwecke des Artikels 1 und der wirtschaftlichen Analyse gemäß Artikel 5 und Anhang III Buchstabe b);</w:t>
      </w:r>
    </w:p>
    <w:p>
      <w:pPr>
        <w:pStyle w:val="GesAbsatz"/>
        <w:ind w:left="426" w:hanging="426"/>
      </w:pPr>
      <w:r>
        <w:lastRenderedPageBreak/>
        <w:t>40.</w:t>
      </w:r>
      <w:r>
        <w:tab/>
      </w:r>
      <w:r>
        <w:rPr>
          <w:rFonts w:cs="Arial"/>
        </w:rPr>
        <w:t xml:space="preserve">„Emissionsgrenzwert“: die im Verhältnis zu bestimmten </w:t>
      </w:r>
      <w:r>
        <w:t>spezifischen Parametern ausgedrückte Masse, die Konzentration und/oder das Niveau einer Emission, die in einem oder mehreren Zeiträumen nicht überschritten werden dürfen. Die Emissionsgrenzwerte können auch für bestimmte Gruppen, Familien oder Kategorien von Stoffen, insbesondere für die in Artikel 16 genannten, festgelegt werden.</w:t>
      </w:r>
    </w:p>
    <w:p>
      <w:pPr>
        <w:pStyle w:val="GesAbsatz"/>
        <w:ind w:left="426"/>
      </w:pPr>
      <w:r>
        <w:t>Die Emissionsgrenzwerte für Stoffe gelten normalerweise an dem Punkt, an dem die Emissionen die Anlage verlassen, wobei eine etwaige Verdünnung bei der Festsetzung der Grenzwerte nicht berücksichtigt wird. Bei der indirekten Einleitung in das Wasser kann die Wirkung einer Kläranlage bei der Festsetzung der Emissionsgrenzwerte der Anlage berücksichtigt werden, sofern ein insgesamt gleichwertiges Umweltschutzniveau sichergestellt wird und es nicht zu einer höheren Belastung der Umwelt kommt;</w:t>
      </w:r>
    </w:p>
    <w:p>
      <w:pPr>
        <w:pStyle w:val="GesAbsatz"/>
        <w:ind w:left="426" w:hanging="426"/>
      </w:pPr>
      <w:r>
        <w:t>41.</w:t>
      </w:r>
      <w:r>
        <w:tab/>
      </w:r>
      <w:r>
        <w:rPr>
          <w:rFonts w:cs="Arial"/>
        </w:rPr>
        <w:t xml:space="preserve">„Emissionsbegrenzung“: Begrenzungen, die auf eine spezifische </w:t>
      </w:r>
      <w:r>
        <w:t xml:space="preserve">Beschränkung von Emissionen, beispielsweise die Einhaltung von Emissionsgrenzwerten, oder auf sonstige Beschränkungen oder Auflagen hinsichtlich der Wirkung, der Natur oder sonstiger Merkmale von Emissionen oder emissionsbeeinflussenden Betriebsbedingungen abzielen. Der Gebrauch des Begriffs </w:t>
      </w:r>
      <w:r>
        <w:rPr>
          <w:rFonts w:cs="Arial"/>
        </w:rPr>
        <w:t xml:space="preserve">„Emissionsbegrenzung“ in dieser </w:t>
      </w:r>
      <w:r>
        <w:t>Richtlinie beinhaltet in Bezug auf Bestimmungen anderer Richtlinien in keiner Weise eine Neuauslegung der betreffenden Bestimmungen.</w:t>
      </w:r>
    </w:p>
    <w:p>
      <w:pPr>
        <w:pStyle w:val="berschrift2"/>
      </w:pPr>
      <w:bookmarkStart w:id="4" w:name="_Toc143862464"/>
      <w:r>
        <w:t>Artikel 3</w:t>
      </w:r>
      <w:r>
        <w:br/>
        <w:t>Koordinierung von Verwaltungsvereinbarungen innerhalb</w:t>
      </w:r>
      <w:r>
        <w:br/>
        <w:t>einer Flussgebietseinheit</w:t>
      </w:r>
      <w:bookmarkEnd w:id="4"/>
    </w:p>
    <w:p>
      <w:pPr>
        <w:pStyle w:val="GesAbsatz"/>
      </w:pPr>
      <w:r>
        <w:t>(1) Die Mitgliedstaaten bestimmen die einzelnen Einzugsgebiete innerhalb ihres jeweiligen Hoheitsgebiets und ordnen sie für die Zwecke dieser Richtlinie jeweils einer Flussgebietseinheit zu. Kleine Einzugsgebiete können gegebenenfalls mit größeren Einzugsgebieten zusammengelegt werden oder mit benachbarten kleinen Einzugsgebieten eine Flussgebietseinheit bilden. Grundwässer, die nicht in vollem Umfang in einem einzigen Einzugsgebiet liegen, werden genau bestimmt und der am nächsten gelegenen oder am besten geeigneten Flussgebietseinheit zugeordnet. Auch die Küstengewässer werden bestimmt und der bzw. den am nächsten gelegenen oder am besten geeigneten Flussgebietseinheit(en) zugeordnet.</w:t>
      </w:r>
    </w:p>
    <w:p>
      <w:pPr>
        <w:pStyle w:val="GesAbsatz"/>
      </w:pPr>
      <w:r>
        <w:t>(2) Die Mitgliedstaaten sorgen für geeignete Verwaltungsvereinbarungen, einschließlich der Bestimmung der geeigneten zuständigen Behörde, damit diese Richtlinie innerhalb jeder Flussgebietseinheit ihres Hoheitsgebiets angewandt wird.</w:t>
      </w:r>
    </w:p>
    <w:p>
      <w:pPr>
        <w:pStyle w:val="GesAbsatz"/>
      </w:pPr>
      <w:r>
        <w:t>(3) Die Mitgliedstaaten sorgen dafür, dass ein Einzugsgebiet, das auf dem Hoheitsgebiet von mehr als einem Mitgliedstaat liegt, einer internationalen Flussgebietseinheit zugeordnet wird. Auf Antrag der betroffenen Mitgliedstaaten wird die Kommission tätig, um die Zuordnung zu derartigen internationalen Flussgebietseinheiten zu erleichtern.</w:t>
      </w:r>
    </w:p>
    <w:p>
      <w:pPr>
        <w:pStyle w:val="GesAbsatz"/>
      </w:pPr>
      <w:r>
        <w:t>Jeder Mitgliedstaat sorgt für die geeigneten Verwaltungsvereinbarungen, einschließlich der Bestimmung der geeigneten zuständigen Behörde, damit diese Richtlinie innerhalb des in sein Hoheitsgebiet fallenden Teils einer internationalen Flussgebietseinheit angewandt wird.</w:t>
      </w:r>
    </w:p>
    <w:p>
      <w:pPr>
        <w:pStyle w:val="GesAbsatz"/>
      </w:pPr>
      <w:r>
        <w:t>(4) Die Mitgliedstaaten sorgen dafür, dass die Anforderungen dieser Richtlinie zur Erreichung der Umweltziele nach Artikel 4 und insbesondere alle Maßnahmenprogramme für die gesamte Flussgebietseinheit koordiniert werden. Im Falle internationaler Flussgebietseinheiten sorgen die betroffenen Mitgliedstaaten gemeinsam für diese Koordinierung und können zu diesem Zweck bestehende Strukturen nutzen, die auf internationale Übereinkommen zurückgehen. Auf Antrag der betroffenen Mitgliedstaaten wird die Kommission tätig, um die Festlegung der Maßnahmenprogramme zu erleichtern.</w:t>
      </w:r>
    </w:p>
    <w:p>
      <w:pPr>
        <w:pStyle w:val="GesAbsatz"/>
      </w:pPr>
      <w:r>
        <w:t>(5) Wenn eine Flussgebietseinheit über das Gebiet der Gemeinschaft hinausgeht, so bemühen sich der oder die betroffenen Mitgliedstaaten um eine geeignete Koordinierung mit den entsprechenden Nichtmitgliedstaaten, um die Ziele dieser Richtlinie in der gesamten Flussgebietseinheit zu erreichen. Die Mitgliedstaaten sorgen für die Anwendung der Vorschriften dieser Richtlinie in ihrem Hoheitsgebiet.</w:t>
      </w:r>
    </w:p>
    <w:p>
      <w:pPr>
        <w:pStyle w:val="GesAbsatz"/>
      </w:pPr>
      <w:r>
        <w:t>(6) Die Mitgliedstaaten können eine bestehende nationale oder internationale Stelle als zuständige Behörde im Sinne dieser Richtlinie bestimmen.</w:t>
      </w:r>
    </w:p>
    <w:p>
      <w:pPr>
        <w:pStyle w:val="GesAbsatz"/>
      </w:pPr>
      <w:r>
        <w:t>(7) Die Mitgliedstaaten bestimmen die zuständigen Behörden bis zu dem in Artikel 24 genannten Zeitpunkt.</w:t>
      </w:r>
    </w:p>
    <w:p>
      <w:pPr>
        <w:pStyle w:val="GesAbsatz"/>
      </w:pPr>
      <w:r>
        <w:t>(8) Die Mitgliedstaaten übermitteln der Kommission spätestens sechs Monate nach dem in Artikel 24 genannten Zeitpunkt eine Liste ihrer zuständigen Behörden sowie der zuständigen Behörden aller internationalen Einrichtungen, an denen sie beteiligt sind. Sie legen für jede zuständige Behörde die in Anhang I aufgeführten Informationen vor.</w:t>
      </w:r>
    </w:p>
    <w:p>
      <w:pPr>
        <w:pStyle w:val="GesAbsatz"/>
      </w:pPr>
      <w:r>
        <w:t>(9) Die Mitgliedstaaten unterrichten die Kommission über jegliche Veränderungen der gemäß Absatz 8 gemachten Angaben innerhalb von drei Monaten nach Wirksamwerden der Veränderung.</w:t>
      </w:r>
    </w:p>
    <w:p>
      <w:pPr>
        <w:pStyle w:val="berschrift2"/>
      </w:pPr>
      <w:bookmarkStart w:id="5" w:name="_Toc143862465"/>
      <w:r>
        <w:lastRenderedPageBreak/>
        <w:t>Artikel 4</w:t>
      </w:r>
      <w:r>
        <w:br/>
        <w:t>Umweltziele</w:t>
      </w:r>
      <w:bookmarkEnd w:id="5"/>
    </w:p>
    <w:p>
      <w:pPr>
        <w:pStyle w:val="GesAbsatz"/>
      </w:pPr>
      <w:r>
        <w:t>(1) In Bezug auf die Umsetzung der in den Bewirtschaftungsplänen für die Einzugsgebiete festgelegten Maßnahmenprogramme gilt folgendes:</w:t>
      </w:r>
    </w:p>
    <w:p>
      <w:pPr>
        <w:pStyle w:val="GesAbsatz"/>
        <w:rPr>
          <w:b/>
        </w:rPr>
      </w:pPr>
      <w:r>
        <w:rPr>
          <w:b/>
        </w:rPr>
        <w:t>a)</w:t>
      </w:r>
      <w:r>
        <w:rPr>
          <w:b/>
        </w:rPr>
        <w:tab/>
        <w:t>bei Oberflächengewässern:</w:t>
      </w:r>
    </w:p>
    <w:p>
      <w:pPr>
        <w:pStyle w:val="GesAbsatz"/>
        <w:ind w:left="851" w:hanging="425"/>
      </w:pPr>
      <w:r>
        <w:t>i)</w:t>
      </w:r>
      <w:r>
        <w:tab/>
        <w:t>die Mitgliedstaaten führen, vorbehaltlich der Anwendung der Absätze 6 und 7 und unbeschadet des Absatzes 8, die notwendigen Maßnahmen durch, um eine Verschlechterung des Zustands aller Oberflächenwasserkörper zu verhindern;</w:t>
      </w:r>
    </w:p>
    <w:p>
      <w:pPr>
        <w:pStyle w:val="GesAbsatz"/>
        <w:ind w:left="851" w:hanging="425"/>
      </w:pPr>
      <w:r>
        <w:t>ii)</w:t>
      </w:r>
      <w:r>
        <w:tab/>
        <w:t>die Mitgliedstaaten schützen, verbessern und sanieren alle Oberflächenwasserkörper, vorbehaltlich der Anwendung der Ziffer iii betreffend künstliche und erheblich veränderte Wasserkörper, mit dem Ziel, spätestens 15 Jahre nach Inkrafttreten dieser Richtlinie gemäß den Bestimmungen des Anhangs V, vorbehaltlich etwaiger Verlängerungen gemäß Absatz 4 sowie der Anwendung der Absätze 5, 6 und 7 und unbeschadet des Absatzes 8 einen guten Zustand der Oberflächengewässer zu erreichen;</w:t>
      </w:r>
    </w:p>
    <w:p>
      <w:pPr>
        <w:pStyle w:val="GesAbsatz"/>
        <w:ind w:left="851" w:hanging="425"/>
      </w:pPr>
      <w:r>
        <w:t>iii)</w:t>
      </w:r>
      <w:r>
        <w:tab/>
        <w:t>die Mitgliedstaaten schützen und verbessern alle künstlichen und erheblich veränderten Wasserkörper mit dem Ziel, spätestens 15 Jahre nach Inkrafttreten dieser Richtlinie gemäß den Bestimmungen des Anhang V, vorbehaltlich etwaiger Verlängerungen gemäß Absatz 4 sowie der Anwendung der Absätze 5, 6 und 7 und unbeschadet des Absatzes 8 ein gutes ökologisches Potential und einen guten chemischen Zustand der Oberflächengewässer zu erreichen;</w:t>
      </w:r>
    </w:p>
    <w:p>
      <w:pPr>
        <w:pStyle w:val="GesAbsatz"/>
        <w:ind w:left="851" w:hanging="425"/>
      </w:pPr>
      <w:r>
        <w:t>iv)</w:t>
      </w:r>
      <w:r>
        <w:tab/>
        <w:t>die Mitgliedstaaten führen gemäß Artikel 16 Absätze 1 und 8 die notwendigen Maßnahmen durch mit dem Ziel, die Verschmutzung durch prioritäre Stoffe schrittweise zu reduzieren und die Einleitungen, Emissionen und Verluste prioritärer gefährlicher Stoffe zu beenden oder schrittweise einzustellen;</w:t>
      </w:r>
    </w:p>
    <w:p>
      <w:pPr>
        <w:pStyle w:val="GesAbsatz"/>
        <w:ind w:left="426"/>
      </w:pPr>
      <w:r>
        <w:t>unbeschadet der in Artikel 1 genannten einschlägigen internationalen Übereinkommen im Hinblick auf die betroffenen Vertragsparteien;</w:t>
      </w:r>
    </w:p>
    <w:p>
      <w:pPr>
        <w:pStyle w:val="GesAbsatz"/>
        <w:rPr>
          <w:b/>
        </w:rPr>
      </w:pPr>
      <w:r>
        <w:rPr>
          <w:b/>
        </w:rPr>
        <w:t>b)</w:t>
      </w:r>
      <w:r>
        <w:rPr>
          <w:b/>
        </w:rPr>
        <w:tab/>
        <w:t>bei Grundwasser:</w:t>
      </w:r>
    </w:p>
    <w:p>
      <w:pPr>
        <w:pStyle w:val="GesAbsatz"/>
        <w:ind w:left="851" w:hanging="425"/>
      </w:pPr>
      <w:r>
        <w:t>i)</w:t>
      </w:r>
      <w:r>
        <w:tab/>
        <w:t>die Mitgliedstaaten führen, vorbehaltlich der Anwendung der Absätze 6 und 7, unbeschadet des Absatzes 8 und vorbehaltlich der Anwendung des Artikels 11 Absatz 3 Buchstabe j), die erforderlichen Maßnahmen durch, um die Einleitung von Schadstoffen in das Grundwasser zu verhindern oder zu begrenzen und eine Verschlechterung des Zustands aller Grundwasserkörper zu verhindern;</w:t>
      </w:r>
    </w:p>
    <w:p>
      <w:pPr>
        <w:pStyle w:val="GesAbsatz"/>
        <w:ind w:left="851" w:hanging="425"/>
      </w:pPr>
      <w:r>
        <w:t>ii)</w:t>
      </w:r>
      <w:r>
        <w:tab/>
        <w:t xml:space="preserve">die Mitgliedstaaten schützen, verbessern und sanieren alle Grundwasserkörper und gewährleisten ein Gleichgewicht zwischen Grundwasserentnahme und </w:t>
      </w:r>
      <w:r>
        <w:rPr>
          <w:rFonts w:cs="Arial"/>
        </w:rPr>
        <w:t xml:space="preserve">–neubildung </w:t>
      </w:r>
      <w:r>
        <w:t>mit dem Ziel, spätestens 15 Jahre nach Inkrafttreten dieser Richtlinie gemäß den Bestimmungen des Anhangs V, vorbehaltlich etwaiger Verlängerungen gemäß Absatz 4 sowie der Anwendung der Absätze 5, 6 und 7, unbeschadet des Absatzes 8 und vorbehaltlich des Artikels 11 Absatz 3 Buchstabe j) einen guten Zustand des Grundwassers zu erreichen;</w:t>
      </w:r>
    </w:p>
    <w:p>
      <w:pPr>
        <w:pStyle w:val="GesAbsatz"/>
        <w:ind w:left="851" w:hanging="425"/>
      </w:pPr>
      <w:r>
        <w:t>iii)</w:t>
      </w:r>
      <w:r>
        <w:tab/>
        <w:t>die Mitgliedstaaten führen die erforderlichen Maßnahmen durch, um alle signifikanten und anhaltenden Trends einer Steigerung der Konzentration von Schadstoffen aufgrund der Auswirkungen menschlicher Tätigkeiten umzukehren und so die Verschmutzung des Grundwassers schrittweise zu reduzieren.</w:t>
      </w:r>
    </w:p>
    <w:p>
      <w:pPr>
        <w:pStyle w:val="GesAbsatz"/>
        <w:ind w:left="851"/>
      </w:pPr>
      <w:r>
        <w:t>Die Maßnahmen zum Erreichen einer Trendumkehr werden gemäß Artikel 17 Absätze 2, 4 und 5 unter Berücksichtigung der in den einschlägigen gemeinschaftlichen Rechtsvorschriften festgelegten Normen vorbehaltlich der Anwendung der Absätze 6 und 7 und unbeschadet des Absatzes 8 durchgeführt;</w:t>
      </w:r>
    </w:p>
    <w:p>
      <w:pPr>
        <w:pStyle w:val="GesAbsatz"/>
        <w:rPr>
          <w:b/>
        </w:rPr>
      </w:pPr>
      <w:r>
        <w:rPr>
          <w:b/>
        </w:rPr>
        <w:t>c)</w:t>
      </w:r>
      <w:r>
        <w:rPr>
          <w:b/>
        </w:rPr>
        <w:tab/>
        <w:t>bei Schutzgebieten:</w:t>
      </w:r>
    </w:p>
    <w:p>
      <w:pPr>
        <w:pStyle w:val="GesAbsatz"/>
        <w:ind w:left="426"/>
      </w:pPr>
      <w:r>
        <w:t>Die Mitgliedstaaten erfüllen spätestens 15 Jahre nach Inkrafttreten dieser Richtlinie alle Normen und Ziele, sofern die gemeinschaftlichen Rechtsvorschriften, auf deren Grundlage die einzelnen Schutzgebiete ausgewiesen wurden, keine anderweitigen Bestimmungen enthalten.</w:t>
      </w:r>
    </w:p>
    <w:p>
      <w:pPr>
        <w:pStyle w:val="GesAbsatz"/>
      </w:pPr>
      <w:r>
        <w:t>In Bezug auf Mayotte als Gebiet in äußerster Randlage im Sinne des Artikels 349 des Vertrags über die Arbeitsweise der Europäischen Union (im Folgenden „Mayotte“) enden die Fristen nach Buchstabe a Ziffern ii und iii, Buchstabe b Ziffer ii und Buchstabe c am 22. Dezember 2021.</w:t>
      </w:r>
    </w:p>
    <w:p>
      <w:pPr>
        <w:pStyle w:val="GesAbsatz"/>
      </w:pPr>
      <w:r>
        <w:t>(2) Ist ein bestimmter Wasserkörper von mehr als einem der in Absatz 1 genannten Ziele betroffen, so gilt das weiterreichende Ziel.</w:t>
      </w:r>
    </w:p>
    <w:p>
      <w:pPr>
        <w:pStyle w:val="GesAbsatz"/>
      </w:pPr>
      <w:r>
        <w:t>(3) Die Mitgliedstaaten können einen Oberflächenwasserkörper als künstlich oder erheblich verändert einstufen, wenn</w:t>
      </w:r>
    </w:p>
    <w:p>
      <w:pPr>
        <w:pStyle w:val="GesAbsatz"/>
        <w:ind w:left="426" w:hanging="426"/>
      </w:pPr>
      <w:r>
        <w:t>a)</w:t>
      </w:r>
      <w:r>
        <w:tab/>
        <w:t>die zum Erreichen eines guten ökologischen Zustands erforderlichen Änderungen der hydromorphologischen Merkmale dieses Körpers signifikante negative Auswirkungen hätten auf:</w:t>
      </w:r>
    </w:p>
    <w:p>
      <w:pPr>
        <w:pStyle w:val="GesAbsatz"/>
        <w:ind w:left="851" w:hanging="425"/>
      </w:pPr>
      <w:r>
        <w:lastRenderedPageBreak/>
        <w:t>i)</w:t>
      </w:r>
      <w:r>
        <w:tab/>
        <w:t>die Umwelt im weiteren Sinne,</w:t>
      </w:r>
    </w:p>
    <w:p>
      <w:pPr>
        <w:pStyle w:val="GesAbsatz"/>
        <w:ind w:left="851" w:hanging="425"/>
      </w:pPr>
      <w:r>
        <w:t>ii)</w:t>
      </w:r>
      <w:r>
        <w:tab/>
        <w:t>die Schifffahrt, einschließlich Hafenanlagen, oder die Freizeitnutzung,</w:t>
      </w:r>
    </w:p>
    <w:p>
      <w:pPr>
        <w:pStyle w:val="GesAbsatz"/>
        <w:ind w:left="851" w:hanging="425"/>
      </w:pPr>
      <w:r>
        <w:t>iii)</w:t>
      </w:r>
      <w:r>
        <w:tab/>
        <w:t>die Tätigkeiten, zu deren Zweck das Wasser gespeichert wird, wie Trinkwasserversorgung, Stromerzeugung oder Bewässerung,</w:t>
      </w:r>
    </w:p>
    <w:p>
      <w:pPr>
        <w:pStyle w:val="GesAbsatz"/>
        <w:ind w:left="851" w:hanging="425"/>
      </w:pPr>
      <w:r>
        <w:t>iv)</w:t>
      </w:r>
      <w:r>
        <w:tab/>
        <w:t>die Wasserregulierung, den Schutz vor Überflutungen, die Landentwässerung, oder</w:t>
      </w:r>
    </w:p>
    <w:p>
      <w:pPr>
        <w:pStyle w:val="GesAbsatz"/>
        <w:ind w:left="851" w:hanging="425"/>
      </w:pPr>
      <w:r>
        <w:t>v)</w:t>
      </w:r>
      <w:r>
        <w:tab/>
        <w:t>andere ebenso wichtige nachhaltige Entwicklungstätigkeiten des Menschen,</w:t>
      </w:r>
    </w:p>
    <w:p>
      <w:pPr>
        <w:pStyle w:val="GesAbsatz"/>
        <w:ind w:left="426" w:hanging="426"/>
      </w:pPr>
      <w:r>
        <w:t>b)</w:t>
      </w:r>
      <w:r>
        <w:tab/>
        <w:t>die nutzbringenden Ziele, denen die künstlichen oder veränderten Merkmale des Wasserkörpers dienen, aus Gründen der technischen Durchführbarkeit oder aufgrund unverhältnismäßiger Kosten nicht in sinnvoller Weise durch andere Mittel erreicht werden können, die eine wesentlich bessere Umweltoption darstellen.</w:t>
      </w:r>
    </w:p>
    <w:p>
      <w:pPr>
        <w:pStyle w:val="GesAbsatz"/>
        <w:ind w:left="426"/>
      </w:pPr>
      <w:r>
        <w:t>Diese Einstufung und deren Gründe sind in dem gemäß Artikel 13 erforderlichen Bewirtschaftungsplan für das Einzugsgebiet im Einzelnen darzulegen und alle sechs Jahre zu überprüfen.</w:t>
      </w:r>
    </w:p>
    <w:p>
      <w:pPr>
        <w:pStyle w:val="GesAbsatz"/>
      </w:pPr>
      <w:r>
        <w:t>(4) Die in Absatz 1 vorgesehenen Zeitspannen können zum Zweck der stufenweisen Umsetzung der Ziele für Wasserkörper verlängert werden, sofern sich der Zustand des beeinträchtigten Wasserkörpers nicht weiter verschlechtert und die folgenden Bedingungen alle erfüllt sind:</w:t>
      </w:r>
    </w:p>
    <w:p>
      <w:pPr>
        <w:pStyle w:val="GesAbsatz"/>
        <w:ind w:left="426" w:hanging="426"/>
      </w:pPr>
      <w:r>
        <w:t>a)</w:t>
      </w:r>
      <w:r>
        <w:tab/>
        <w:t>Der betreffende Mitgliedstaat gelangt zu dem Schluss, dass sich vernünftiger Einschätzung nach nicht alle erforderlichen Verbesserungen des Zustands der Wasserkörper innerhalb der in Absatz 1 genannten Fristen erreichen lassen, und zwar aus wenigstens einem der folgenden Gründe:</w:t>
      </w:r>
    </w:p>
    <w:p>
      <w:pPr>
        <w:pStyle w:val="GesAbsatz"/>
        <w:ind w:left="851" w:hanging="425"/>
      </w:pPr>
      <w:r>
        <w:t>i)</w:t>
      </w:r>
      <w:r>
        <w:tab/>
        <w:t>der Umfang der erforderlichen Verbesserungen kann aus Gründen der technischen Durchführbarkeit nur in Schritten erreicht werden, die den vorgegebenen Zeitrahmen überschreiten;</w:t>
      </w:r>
    </w:p>
    <w:p>
      <w:pPr>
        <w:pStyle w:val="GesAbsatz"/>
        <w:ind w:left="851" w:hanging="425"/>
      </w:pPr>
      <w:r>
        <w:t>ii)</w:t>
      </w:r>
      <w:r>
        <w:tab/>
        <w:t>die Verwirklichung der Verbesserungen innerhalb des vorgegebenen Zeitrahmens würde unverhältnismäßig hohe Kosten verursachen;</w:t>
      </w:r>
    </w:p>
    <w:p>
      <w:pPr>
        <w:pStyle w:val="GesAbsatz"/>
        <w:ind w:left="851" w:hanging="425"/>
      </w:pPr>
      <w:r>
        <w:t>iii)</w:t>
      </w:r>
      <w:r>
        <w:tab/>
        <w:t>die natürlichen Gegebenheiten lassen keine rechtzeitige Verbesserung des Zustands des Wasserkörpers zu.</w:t>
      </w:r>
    </w:p>
    <w:p>
      <w:pPr>
        <w:pStyle w:val="GesAbsatz"/>
        <w:ind w:left="426" w:hanging="426"/>
      </w:pPr>
      <w:r>
        <w:t>b)</w:t>
      </w:r>
      <w:r>
        <w:tab/>
        <w:t>Die Verlängerung der Frist und die entsprechenden Gründe werden in dem in Artikel 13 genannten Bewirtschaftungsplan für das Einzugsgebiet im Einzelnen dargelegt und erläutert.</w:t>
      </w:r>
    </w:p>
    <w:p>
      <w:pPr>
        <w:pStyle w:val="GesAbsatz"/>
        <w:ind w:left="426" w:hanging="426"/>
      </w:pPr>
      <w:r>
        <w:t>c)</w:t>
      </w:r>
      <w:r>
        <w:tab/>
        <w:t>Die Verlängerungen gehen nicht über den Zeitraum zweier weiterer Aktualisierungen des Bewirtschaftungsplans für das Einzugsgebiet hinaus, es sei denn, die Ziele lassen sich aufgrund der natürlichen Gegebenheiten nicht innerhalb dieses Zeitraums erreichen.</w:t>
      </w:r>
    </w:p>
    <w:p>
      <w:pPr>
        <w:pStyle w:val="GesAbsatz"/>
        <w:ind w:left="426" w:hanging="426"/>
      </w:pPr>
      <w:r>
        <w:t>d)</w:t>
      </w:r>
      <w:r>
        <w:tab/>
        <w:t>Der Bewirtschaftungsplan für das Einzugsgebiet enthält eine Zusammenfassung derjenigen Maßnahmen nach Artikel 11, die als erforderlich angesehen werden, um die Wasserkörper bis zum Ablauf der verlängerten Frist schrittweise in den geforderten Zustand zu überführen, die Gründe für jede signifikante Verzögerung bei der Umsetzung dieser Maßnahmen und den voraussichtlichen Zeitplan für die Durchführung dieser Maßnahmen. Die aktualisierten Fassungen des Bewirtschaftungsplans für das Einzugsgebiet enthalten eine Überprüfung der Durchführung dieser Maßnahmen und eine Zusammenfassung aller etwaigen zusätzlichen Maßnahmen.</w:t>
      </w:r>
    </w:p>
    <w:p>
      <w:pPr>
        <w:pStyle w:val="GesAbsatz"/>
      </w:pPr>
      <w:r>
        <w:t>(5) Die Mitgliedstaaten können sich für bestimmte Wasserkörper die Verwirklichung weniger strenger Umweltziele als in Absatz 1 gefordert vornehmen, wenn sie durch menschliche Tätigkeiten, wie gemäß Artikel 5 Absatz 1 festgelegt, so beeinträchtigt sind oder ihre natürlichen Gegebenheiten so beschaffen sind, dass das Erreichen dieser Ziele in der Praxis nicht möglich oder unverhältnismäßig teuer wäre, und die folgenden Bedingungen alle erfüllt sind:</w:t>
      </w:r>
    </w:p>
    <w:p>
      <w:pPr>
        <w:pStyle w:val="GesAbsatz"/>
        <w:ind w:left="426" w:hanging="426"/>
      </w:pPr>
      <w:r>
        <w:t>a)</w:t>
      </w:r>
      <w:r>
        <w:tab/>
        <w:t>Die ökologischen und sozioökonomischen Erfordernisse, denen solche menschlichen Tätigkeiten dienen, können nicht durch andere Mittel erreicht werden, die eine wesentlich bessere und nicht mit unverhältnismäßig hohen Kosten verbundene Umweltoption darstellen.</w:t>
      </w:r>
    </w:p>
    <w:p>
      <w:pPr>
        <w:pStyle w:val="GesAbsatz"/>
      </w:pPr>
      <w:r>
        <w:t>b)</w:t>
      </w:r>
      <w:r>
        <w:tab/>
        <w:t>Die Mitgliedstaaten tragen Sorge dafür, dass</w:t>
      </w:r>
    </w:p>
    <w:p>
      <w:pPr>
        <w:pStyle w:val="GesAbsatz"/>
        <w:ind w:left="851" w:hanging="425"/>
      </w:pPr>
      <w:r>
        <w:rPr>
          <w:rFonts w:cs="Arial"/>
        </w:rPr>
        <w:t>-</w:t>
      </w:r>
      <w:r>
        <w:rPr>
          <w:rFonts w:cs="Arial"/>
        </w:rPr>
        <w:tab/>
        <w:t xml:space="preserve">im Hinblick auf Oberflächengewässer unter Berücksichtigung </w:t>
      </w:r>
      <w:r>
        <w:t>der Auswirkungen, die infolge der Art der menschlichen Tätigkeiten oder der Verschmutzung nach vernünftigem Ermessen nicht hätten vermieden werden können, der bestmögliche ökologische und chemische Zustand erreicht wird;</w:t>
      </w:r>
    </w:p>
    <w:p>
      <w:pPr>
        <w:pStyle w:val="GesAbsatz"/>
        <w:ind w:left="851" w:hanging="425"/>
      </w:pPr>
      <w:r>
        <w:rPr>
          <w:rFonts w:cs="Arial"/>
        </w:rPr>
        <w:t>-</w:t>
      </w:r>
      <w:r>
        <w:rPr>
          <w:rFonts w:cs="Arial"/>
        </w:rPr>
        <w:tab/>
        <w:t xml:space="preserve">im Hinblick auf das Grundwasser unter Berücksichtigung </w:t>
      </w:r>
      <w:r>
        <w:t>der Auswirkungen, die infolge der Art der menschlichen Tätigkeiten oder der Verschmutzung nach vernünftigem Ermessen nicht hätten vermieden werden können, die geringstmöglichen Veränderungen des guten Grundwasserzustands erfolgen.</w:t>
      </w:r>
    </w:p>
    <w:p>
      <w:pPr>
        <w:pStyle w:val="GesAbsatz"/>
      </w:pPr>
      <w:r>
        <w:t>c)</w:t>
      </w:r>
      <w:r>
        <w:tab/>
        <w:t>Es erfolgt keine weitere Verschlechterung des Zustands des betreffenden Wasserkörpers.</w:t>
      </w:r>
    </w:p>
    <w:p>
      <w:pPr>
        <w:pStyle w:val="GesAbsatz"/>
        <w:ind w:left="426" w:hanging="426"/>
      </w:pPr>
      <w:r>
        <w:t>d)</w:t>
      </w:r>
      <w:r>
        <w:tab/>
        <w:t>Die weniger strengen Umweltziele und die Gründe hierfür werden in dem in Artikel 13 genannten Bewirtschaftungsplan für das Einzugsgebiet im einzelnen dargelegt, und diese Ziele werden alle sechs Jahre überprüft.</w:t>
      </w:r>
    </w:p>
    <w:p>
      <w:pPr>
        <w:pStyle w:val="GesAbsatz"/>
      </w:pPr>
      <w:r>
        <w:lastRenderedPageBreak/>
        <w:t>(6) Eine vorübergehende Verschlechterung des Zustands von Wasserkörpern verstößt nicht gegen die Anforderungen dieser Richtlinie, wenn sie durch aus natürlichen Ursachen herrührende oder durch höhere Gewalt bedingte Umstände, die außergewöhnlich sind oder nach vernünftiger Einschätzung nicht vorhersehbar waren, insbesondere starke Überschwemmungen oder lang anhaltende Dürren, oder durch Umstände bedingt sind, die durch nach vernünftiger Einschätzung nicht vorhersehbare Unfälle entstanden sind, und wenn sämtliche nachstehenden Bedingungen erfüllt sind:</w:t>
      </w:r>
    </w:p>
    <w:p>
      <w:pPr>
        <w:pStyle w:val="GesAbsatz"/>
        <w:ind w:left="426" w:hanging="426"/>
      </w:pPr>
      <w:r>
        <w:t>a)</w:t>
      </w:r>
      <w:r>
        <w:tab/>
        <w:t>Es werden alle praktikablen Vorkehrungen getroffen, um eine weitere Verschlechterung des Zustands zu verhindern und um die Verwirklichung der Ziele dieser Richtlinie in anderen, nicht von diesen Umständen betroffenen Wasserkörpern nicht zu gefährden.</w:t>
      </w:r>
    </w:p>
    <w:p>
      <w:pPr>
        <w:pStyle w:val="GesAbsatz"/>
        <w:ind w:left="426" w:hanging="426"/>
      </w:pPr>
      <w:r>
        <w:t>b)</w:t>
      </w:r>
      <w:r>
        <w:tab/>
        <w:t>In dem Bewirtschaftungsplan für das Einzugsgebiet wird festgehalten, unter welchen Bedingungen solche Umstände, die außergewöhnlich sind oder nach vernünftiger Einschätzung nicht vorhersehbar waren, geltend gemacht werden können und welche Indikatoren hierbei zu verwenden sind.</w:t>
      </w:r>
    </w:p>
    <w:p>
      <w:pPr>
        <w:pStyle w:val="GesAbsatz"/>
        <w:ind w:left="426" w:hanging="426"/>
      </w:pPr>
      <w:r>
        <w:t>c)</w:t>
      </w:r>
      <w:r>
        <w:tab/>
        <w:t>Die Maßnahmen, die unter solchen außergewöhnlichen Umständen zu ergreifen sind, sind in dem Maßnahmenprogramm aufgeführt und gefährden nicht die Wiederherstellung des Zustands des Wasserkörpers, wenn die außergewöhnlichen Umstände vorüber sind.</w:t>
      </w:r>
    </w:p>
    <w:p>
      <w:pPr>
        <w:pStyle w:val="GesAbsatz"/>
        <w:ind w:left="426" w:hanging="426"/>
      </w:pPr>
      <w:r>
        <w:t>d)</w:t>
      </w:r>
      <w:r>
        <w:tab/>
        <w:t>Die Auswirkungen von Umständen, die außergewöhnlich sind oder nach vernünftiger Einschätzung nicht vorhersehbar waren, werden jährlich überprüft, und es werden vorbehaltlich der in Absatz 4 Buchstabe a) aufgeführten Gründe alle praktikablen Maßnahmen ergriffen, um den Zustand, den der Wasserkörper hatte, bevor er von solchen Umständen betroffen wurde, so bald wie nach vernünftiger Einschätzung möglich wiederherzustellen.</w:t>
      </w:r>
    </w:p>
    <w:p>
      <w:pPr>
        <w:pStyle w:val="GesAbsatz"/>
        <w:ind w:left="426" w:hanging="426"/>
      </w:pPr>
      <w:r>
        <w:t>e)</w:t>
      </w:r>
      <w:r>
        <w:tab/>
        <w:t>In die nächste aktualisierte Fassung des Bewirtschaftungsplans für das Einzugsgebiet wird eine zusammenfassende Darlegung der Auswirkungen der Umstände und der Maßnahmen, die entsprechend den Buchstaben a) und d) getroffen wurden bzw. noch zu treffen sind, aufgenommen.</w:t>
      </w:r>
    </w:p>
    <w:p>
      <w:pPr>
        <w:pStyle w:val="GesAbsatz"/>
      </w:pPr>
      <w:r>
        <w:t>(7) Die Mitgliedstaaten verstoßen nicht gegen diese Richtlinie, wenn:</w:t>
      </w:r>
    </w:p>
    <w:p>
      <w:pPr>
        <w:pStyle w:val="GesAbsatz"/>
        <w:ind w:left="426" w:hanging="426"/>
      </w:pPr>
      <w:r>
        <w:rPr>
          <w:rFonts w:cs="Arial"/>
        </w:rPr>
        <w:t>-</w:t>
      </w:r>
      <w:r>
        <w:rPr>
          <w:rFonts w:cs="Arial"/>
        </w:rPr>
        <w:tab/>
        <w:t xml:space="preserve">das Nichterreichen eines guten Grundwasserzustandes, </w:t>
      </w:r>
      <w:r>
        <w:t>eines guten ökologischen Zustands oder gegebenenfalls eines guten ökologischen Potentials oder das Nichtverhindern einer Verschlechterung des Zustands eines Oberflächen oder Grundwasserkörpers die Folge von neuen Änderungen der physischen Eigenschaften eines Oberflächenwasserkörpers oder von Änderungen des Pegels von Grundwasserkörpern ist, oder</w:t>
      </w:r>
    </w:p>
    <w:p>
      <w:pPr>
        <w:pStyle w:val="GesAbsatz"/>
        <w:ind w:left="426" w:hanging="426"/>
      </w:pPr>
      <w:r>
        <w:rPr>
          <w:rFonts w:cs="Arial"/>
        </w:rPr>
        <w:t>-</w:t>
      </w:r>
      <w:r>
        <w:rPr>
          <w:rFonts w:cs="Arial"/>
        </w:rPr>
        <w:tab/>
        <w:t>das Nichtverhin</w:t>
      </w:r>
      <w:r>
        <w:t>dern einer Verschlechterung von einem sehr guten zu einem guten Zustand eines Oberflächenwasserkörpers die Folge einer neuen nachhaltigen Entwicklungstätigkeit des Menschen ist</w:t>
      </w:r>
    </w:p>
    <w:p>
      <w:pPr>
        <w:pStyle w:val="GesAbsatz"/>
        <w:ind w:left="426" w:hanging="426"/>
      </w:pPr>
      <w:r>
        <w:t>und die folgenden Bedingungen alle erfüllt sind:</w:t>
      </w:r>
    </w:p>
    <w:p>
      <w:pPr>
        <w:pStyle w:val="GesAbsatz"/>
        <w:ind w:left="426" w:hanging="426"/>
      </w:pPr>
      <w:r>
        <w:t>a)</w:t>
      </w:r>
      <w:r>
        <w:tab/>
        <w:t>Es werden alle praktikablen Vorkehrungen getroffen, um die negativen Auswirkungen auf den Zustand des Wasserkörpers zu mindern;</w:t>
      </w:r>
    </w:p>
    <w:p>
      <w:pPr>
        <w:pStyle w:val="GesAbsatz"/>
        <w:ind w:left="426" w:hanging="426"/>
      </w:pPr>
      <w:r>
        <w:t>b)</w:t>
      </w:r>
      <w:r>
        <w:tab/>
        <w:t>die Gründe für die Änderungen werden in dem in Artikel 13 genannten Bewirtschaftungsplan für das Einzugsgebiet im einzelnen dargelegt, und die Ziele werden alle sechs Jahre überprüft;</w:t>
      </w:r>
    </w:p>
    <w:p>
      <w:pPr>
        <w:pStyle w:val="GesAbsatz"/>
        <w:ind w:left="426" w:hanging="426"/>
      </w:pPr>
      <w:r>
        <w:t>c)</w:t>
      </w:r>
      <w:r>
        <w:tab/>
        <w:t>die Gründe für die Änderungen sind von übergeordnetem öffentlichem Interesse und/oder der Nutzen, den die Verwirklichung der in Absatz 1 genannten Ziele für die Umwelt und die Gesellschaft hat, wird übertroffen durch den Nutzen der neuen Änderungen für die menschliche Gesundheit, die Erhaltung der Sicherheit der Menschen oder die nachhaltige Entwicklung; und</w:t>
      </w:r>
    </w:p>
    <w:p>
      <w:pPr>
        <w:pStyle w:val="GesAbsatz"/>
        <w:ind w:left="426" w:hanging="426"/>
      </w:pPr>
      <w:r>
        <w:t>d)</w:t>
      </w:r>
      <w:r>
        <w:tab/>
        <w:t>die nutzbringenden Ziele, denen diese Änderungen des Wasserkörpers dienen sollen, können aus Gründen der technischen Durchführbarkeit oder aufgrund unverhältnismäßiger Kosten nicht durch andere Mittel, die eine wesentlich bessere Umweltoption darstellen, erreicht werden.</w:t>
      </w:r>
    </w:p>
    <w:p>
      <w:pPr>
        <w:pStyle w:val="GesAbsatz"/>
      </w:pPr>
      <w:r>
        <w:t>(8) Ein Mitgliedstaat, der die Absätze 3, 4, 5, 6 und 7 zur Anwendung bringt, trägt dafür Sorge, dass dies die Verwirklichung der Ziele dieser Richtlinie in anderen Wasserkörpern innerhalb derselben Flussgebietseinheit nicht dauerhaft ausschließt oder gefährdet und mit den sonstigen gemeinschaftlichen Umweltschutzvorschriften vereinbar ist.</w:t>
      </w:r>
    </w:p>
    <w:p>
      <w:pPr>
        <w:pStyle w:val="GesAbsatz"/>
      </w:pPr>
      <w:r>
        <w:t>(9) Es müssen Schritte unternommen werden, um sicherzustellen, dass die Anwendung der neuen Bestimmungen, einschließlich der Anwendung der Absätze 3, 4, 5, 6 und 7, zumindest das gleiche Schutzniveau wie die bestehenden gemeinschaftlichen Rechtsvorschriften gewährleistet.</w:t>
      </w:r>
    </w:p>
    <w:p>
      <w:pPr>
        <w:pStyle w:val="berschrift2"/>
      </w:pPr>
      <w:bookmarkStart w:id="6" w:name="_Toc143862466"/>
      <w:r>
        <w:t>Artikel 5</w:t>
      </w:r>
      <w:r>
        <w:br/>
        <w:t>Merkmale der Flussgebietseinheit, Überprüfung der Umweltauswirkungen</w:t>
      </w:r>
      <w:r>
        <w:br/>
        <w:t>menschlicher Tätigkeiten und wirtschaftliche Analyse der Wassernutzung</w:t>
      </w:r>
      <w:bookmarkEnd w:id="6"/>
    </w:p>
    <w:p>
      <w:pPr>
        <w:pStyle w:val="GesAbsatz"/>
      </w:pPr>
      <w:r>
        <w:t>(1) Jeder Mitgliedstaat sorgt dafür, dass für jede Flussgebietseinheit oder für den in sein Hoheitsgebiet fallenden Teil einer internationalen Flussgebietseinheit</w:t>
      </w:r>
    </w:p>
    <w:p>
      <w:pPr>
        <w:pStyle w:val="GesAbsatz"/>
        <w:rPr>
          <w:rFonts w:cs="Arial"/>
        </w:rPr>
      </w:pPr>
      <w:r>
        <w:rPr>
          <w:rFonts w:cs="Arial"/>
        </w:rPr>
        <w:t>-</w:t>
      </w:r>
      <w:r>
        <w:rPr>
          <w:rFonts w:cs="Arial"/>
        </w:rPr>
        <w:tab/>
        <w:t>eine Analyse ihrer Merkmale,</w:t>
      </w:r>
    </w:p>
    <w:p>
      <w:pPr>
        <w:pStyle w:val="GesAbsatz"/>
        <w:ind w:left="426" w:hanging="426"/>
      </w:pPr>
      <w:r>
        <w:rPr>
          <w:rFonts w:cs="Arial"/>
        </w:rPr>
        <w:lastRenderedPageBreak/>
        <w:t>-</w:t>
      </w:r>
      <w:r>
        <w:rPr>
          <w:rFonts w:cs="Arial"/>
        </w:rPr>
        <w:tab/>
        <w:t xml:space="preserve">eine Überprüfung der Auswirkungen menschlicher Tätigkeiten </w:t>
      </w:r>
      <w:r>
        <w:t>auf den Zustand der Oberflächengewässer und des Grundwassers und</w:t>
      </w:r>
    </w:p>
    <w:p>
      <w:pPr>
        <w:pStyle w:val="GesAbsatz"/>
        <w:rPr>
          <w:rFonts w:cs="Arial"/>
        </w:rPr>
      </w:pPr>
      <w:r>
        <w:rPr>
          <w:rFonts w:cs="Arial"/>
        </w:rPr>
        <w:t>-</w:t>
      </w:r>
      <w:r>
        <w:rPr>
          <w:rFonts w:cs="Arial"/>
        </w:rPr>
        <w:tab/>
        <w:t>eine wirtschaftliche Analyse der Wassernutzung</w:t>
      </w:r>
    </w:p>
    <w:p>
      <w:pPr>
        <w:pStyle w:val="GesAbsatz"/>
      </w:pPr>
      <w:r>
        <w:t>entsprechend den technischen Spezifikationen gemäß den Anhängen II und III durchgeführt und spätestens vier Jahre nach Inkrafttreten dieser Richtlinie abgeschlossen werden.</w:t>
      </w:r>
    </w:p>
    <w:p>
      <w:pPr>
        <w:pStyle w:val="GesAbsatz"/>
      </w:pPr>
      <w:r>
        <w:t>(2) Die Analysen und Überprüfungen gemäß Absatz 1 werden spätestens 13 Jahre nach Inkrafttreten dieser Richtlinie und danach alle sechs Jahre überprüft und gegebenenfalls aktualisiert.</w:t>
      </w:r>
    </w:p>
    <w:p>
      <w:pPr>
        <w:pStyle w:val="berschrift2"/>
      </w:pPr>
      <w:bookmarkStart w:id="7" w:name="_Toc143862467"/>
      <w:r>
        <w:t>Artikel 6</w:t>
      </w:r>
      <w:r>
        <w:br/>
        <w:t>Verzeichnis der Schutzgebiete</w:t>
      </w:r>
      <w:bookmarkEnd w:id="7"/>
    </w:p>
    <w:p>
      <w:pPr>
        <w:pStyle w:val="GesAbsatz"/>
      </w:pPr>
      <w:r>
        <w:t>(1) Die Mitgliedstaaten sorgen dafür, dass ein Verzeichnis oder mehrere Verzeichnisse aller Gebiete innerhalb der einzelnen Flussgebietseinheiten erstellt wird bzw. erstellt werden, für die gemäß den spezifischen gemeinschaftlichen Rechtsvorschriften zum Schutz der Oberflächengewässer und des Grundwassers oder zur Erhaltung von unmittelbar vom Wasser abhängigen Lebensräumen und Arten ein besonderer Schutzbedarf festgestellt wurde. Sie stellen sicher, dass das Verzeichnis spätestens vier Jahre nach Inkrafttreten dieser Richtlinie erstellt ist.</w:t>
      </w:r>
    </w:p>
    <w:p>
      <w:pPr>
        <w:pStyle w:val="GesAbsatz"/>
      </w:pPr>
      <w:r>
        <w:t>(2) Das Verzeichnis bzw. die Verzeichnisse enthält bzw. enthalten alle gemäß Artikel 7 Absatz 1 ermittelten Wasserkörper und alle unter Anhang IV fallenden Schutzgebiete.</w:t>
      </w:r>
    </w:p>
    <w:p>
      <w:pPr>
        <w:pStyle w:val="GesAbsatz"/>
      </w:pPr>
      <w:r>
        <w:t>(3) Das Verzeichnis bzw. die Verzeichnisse der Schutzgebiete wird bzw. werden für jede Flussgebietseinheit regelmäßig überarbeitet und aktualisiert.</w:t>
      </w:r>
    </w:p>
    <w:p>
      <w:pPr>
        <w:pStyle w:val="berschrift2"/>
      </w:pPr>
      <w:bookmarkStart w:id="8" w:name="_Toc143862468"/>
      <w:r>
        <w:t>Artikel 7</w:t>
      </w:r>
      <w:r>
        <w:br/>
        <w:t>Gewässer für die Entnahme von Trinkwasser</w:t>
      </w:r>
      <w:bookmarkEnd w:id="8"/>
    </w:p>
    <w:p>
      <w:pPr>
        <w:pStyle w:val="GesAbsatz"/>
      </w:pPr>
      <w:r>
        <w:t>(1) Die Mitgliedstaaten ermitteln in jeder Flussgebietseinheit</w:t>
      </w:r>
    </w:p>
    <w:p>
      <w:pPr>
        <w:pStyle w:val="GesAbsatz"/>
        <w:ind w:left="426" w:hanging="426"/>
      </w:pPr>
      <w:r>
        <w:rPr>
          <w:rFonts w:cs="Arial"/>
        </w:rPr>
        <w:t>-</w:t>
      </w:r>
      <w:r>
        <w:rPr>
          <w:rFonts w:cs="Arial"/>
        </w:rPr>
        <w:tab/>
        <w:t xml:space="preserve">alle Wasserkörper, die für die Entnahme von Wasser für </w:t>
      </w:r>
      <w:r>
        <w:t>den menschlichen Verbrauch genutzt werden und die durchschnittlich mehr als 10 m³ täglich liefern oder mehr als 50 Personen bedienen, und</w:t>
      </w:r>
    </w:p>
    <w:p>
      <w:pPr>
        <w:pStyle w:val="GesAbsatz"/>
      </w:pPr>
      <w:r>
        <w:rPr>
          <w:rFonts w:cs="Arial"/>
        </w:rPr>
        <w:t>-</w:t>
      </w:r>
      <w:r>
        <w:rPr>
          <w:rFonts w:cs="Arial"/>
        </w:rPr>
        <w:tab/>
        <w:t>die für eine solche künftige Nutzung bestimmten Wasserk</w:t>
      </w:r>
      <w:r>
        <w:t>örper.</w:t>
      </w:r>
    </w:p>
    <w:p>
      <w:pPr>
        <w:pStyle w:val="GesAbsatz"/>
      </w:pPr>
      <w:r>
        <w:t>Die Mitgliedstaaten überwachen im Einklang mit den Bestimmungen des Anhangs V die Wasserkörper, die nach Anhang V durchschnittlich mehr als 100 m³ täglich liefern.</w:t>
      </w:r>
    </w:p>
    <w:p>
      <w:pPr>
        <w:pStyle w:val="GesAbsatz"/>
      </w:pPr>
      <w:r>
        <w:t>(2) Die Mitgliedstaaten stellen sicher, dass jeder Wasserkörper gemäß Absatz 1 nicht nur die Ziele des Artikels 4 gemäß den Anforderungen dieser Richtlinie für Oberflächenwasserkörper, einschließlich der gemäß Artikel 16 auf Gemeinschaftsebene festgelegten Qualitätsnormen, erreicht, sondern dass das gewonnene Wasser unter Berücksichtigung des angewandten Wasseraufbereitungsverfahrens und gemäß dem Gemeinschaftsrecht auch die Anforderungen der Richtlinie 80/778/EWG in der durch die Richtlinie 98/83/EG geänderten Fassung erfüllt.</w:t>
      </w:r>
    </w:p>
    <w:p>
      <w:pPr>
        <w:pStyle w:val="GesAbsatz"/>
      </w:pPr>
      <w:r>
        <w:t>(3) Die Mitgliedstaaten sorgen für den erforderlichen Schutz der ermittelten Wasserkörper, um eine Verschlechterung ihrer Qualität zu verhindern und so den für die Gewinnung von Trinkwasser erforderlichen Umfang der Aufbereitung zu verringern. Die Mitgliedstaaten können Schutzgebiete für diese Wasserkörper festlegen.</w:t>
      </w:r>
    </w:p>
    <w:p>
      <w:pPr>
        <w:pStyle w:val="berschrift2"/>
      </w:pPr>
      <w:bookmarkStart w:id="9" w:name="_Toc143862469"/>
      <w:r>
        <w:t>Artikel 8</w:t>
      </w:r>
      <w:r>
        <w:br/>
        <w:t>Überwachung des Zustands des Oberflächengewässers,</w:t>
      </w:r>
      <w:r>
        <w:br/>
        <w:t>des Zustands des Grundwassers und der Schutzgebiete</w:t>
      </w:r>
      <w:bookmarkEnd w:id="9"/>
    </w:p>
    <w:p>
      <w:pPr>
        <w:pStyle w:val="GesAbsatz"/>
      </w:pPr>
      <w:r>
        <w:t>(1) Die Mitgliedstaaten sorgen dafür, dass Programme zur Überwachung des Zustands der Gewässer aufgestellt werden, damit ein zusammenhängender und umfassender Überblick über den Zustand der Gewässer in jeder Flussgebietseinheit gewonnen wird; dabei gilt folgendes:</w:t>
      </w:r>
    </w:p>
    <w:p>
      <w:pPr>
        <w:pStyle w:val="GesAbsatz"/>
        <w:rPr>
          <w:rFonts w:cs="Arial"/>
        </w:rPr>
      </w:pPr>
      <w:r>
        <w:rPr>
          <w:rFonts w:cs="Arial"/>
        </w:rPr>
        <w:t>-</w:t>
      </w:r>
      <w:r>
        <w:rPr>
          <w:rFonts w:cs="Arial"/>
        </w:rPr>
        <w:tab/>
        <w:t>bei Oberflächengewässern umfassen diese Programme:</w:t>
      </w:r>
    </w:p>
    <w:p>
      <w:pPr>
        <w:pStyle w:val="GesAbsatz"/>
        <w:ind w:left="851" w:hanging="425"/>
      </w:pPr>
      <w:r>
        <w:t>i)</w:t>
      </w:r>
      <w:r>
        <w:tab/>
        <w:t>die Menge und den Wasserstand oder die Durchflussgeschwindigkeit, soweit sie für den ökologischen und chemischen Zustand und das ökologische Potential von Bedeutung sind, sowie</w:t>
      </w:r>
    </w:p>
    <w:p>
      <w:pPr>
        <w:pStyle w:val="GesAbsatz"/>
        <w:tabs>
          <w:tab w:val="left" w:pos="851"/>
        </w:tabs>
        <w:ind w:left="851" w:hanging="425"/>
      </w:pPr>
      <w:r>
        <w:t>ii)</w:t>
      </w:r>
      <w:r>
        <w:tab/>
        <w:t>den ökologischen und chemischen Zustand und das ökologische Potential;</w:t>
      </w:r>
    </w:p>
    <w:p>
      <w:pPr>
        <w:pStyle w:val="GesAbsatz"/>
        <w:ind w:left="426" w:hanging="426"/>
      </w:pPr>
      <w:r>
        <w:rPr>
          <w:rFonts w:cs="Arial"/>
        </w:rPr>
        <w:t>-</w:t>
      </w:r>
      <w:r>
        <w:rPr>
          <w:rFonts w:cs="Arial"/>
        </w:rPr>
        <w:tab/>
        <w:t xml:space="preserve">bei Grundwasserkörpern umfassen diese Programme die </w:t>
      </w:r>
      <w:r>
        <w:t>Überwachung des chemischen und des mengenmäßigen Zustands;</w:t>
      </w:r>
    </w:p>
    <w:p>
      <w:pPr>
        <w:pStyle w:val="GesAbsatz"/>
        <w:ind w:left="426" w:hanging="426"/>
      </w:pPr>
      <w:r>
        <w:rPr>
          <w:rFonts w:cs="Arial"/>
        </w:rPr>
        <w:t>-</w:t>
      </w:r>
      <w:r>
        <w:rPr>
          <w:rFonts w:cs="Arial"/>
        </w:rPr>
        <w:tab/>
        <w:t xml:space="preserve">bei Schutzgebieten werden diese Programme durch </w:t>
      </w:r>
      <w:r>
        <w:t>die Spezifikationen nach denjenigen gemeinschaftlichen Rechtsvorschriften ergänzt, aufgrund deren die einzelnen Schutzgebiete festgelegt worden sind.</w:t>
      </w:r>
    </w:p>
    <w:p>
      <w:pPr>
        <w:pStyle w:val="GesAbsatz"/>
      </w:pPr>
      <w:r>
        <w:lastRenderedPageBreak/>
        <w:t>(2) Diese Programme müssen spätestens sechs Jahre nach Inkrafttreten dieser Richtlinie anwendungsbereit sein, sofern in den betreffenden Rechtsvorschriften nicht etwas anderes vorgesehen ist. Die Überwachung erfolgt entsprechend den Anforderungen des Anhangs V.</w:t>
      </w:r>
    </w:p>
    <w:p>
      <w:pPr>
        <w:pStyle w:val="GesAbsatz"/>
      </w:pPr>
      <w:r>
        <w:t>(3) Es werden technische Spezifikationen und standardisierte Verfahren für die Analyse und Überwachung des Wasserzustands festgelegt. Diese Maßnahmen zur Änderung nicht wesentlicher Bestimmungen dieser Richtlinie durch Ergänzung werden nach dem in Artikel 21 Absatz 3 genannten Regelungsverfahren mit Kontrolle erlassen.</w:t>
      </w:r>
    </w:p>
    <w:p>
      <w:pPr>
        <w:pStyle w:val="berschrift2"/>
      </w:pPr>
      <w:bookmarkStart w:id="10" w:name="_Toc143862470"/>
      <w:r>
        <w:t>Artikel 9</w:t>
      </w:r>
      <w:r>
        <w:br/>
        <w:t>Deckung der Kosten der Wasserdienstleistungen</w:t>
      </w:r>
      <w:bookmarkEnd w:id="10"/>
    </w:p>
    <w:p>
      <w:pPr>
        <w:pStyle w:val="GesAbsatz"/>
      </w:pPr>
      <w:r>
        <w:t>(1) Die Mitgliedstaaten berücksichtigen unter Einbeziehung der wirtschaftlichen Analyse gemäß Anhang III und insbesondere unter Zugrundelegung des Verursacherprinzips den Grundsatz der Deckung der Kosten der Wasserdienstleistungen einschließlich umwelt- und ressourcenbezogener Kosten.</w:t>
      </w:r>
    </w:p>
    <w:p>
      <w:pPr>
        <w:pStyle w:val="GesAbsatz"/>
      </w:pPr>
      <w:r>
        <w:t>Die Mitgliedstaaten sorgen bis zum Jahr 2010 dafür,</w:t>
      </w:r>
    </w:p>
    <w:p>
      <w:pPr>
        <w:pStyle w:val="GesAbsatz"/>
        <w:ind w:left="426" w:hanging="426"/>
      </w:pPr>
      <w:r>
        <w:rPr>
          <w:rFonts w:cs="Arial"/>
        </w:rPr>
        <w:t>-</w:t>
      </w:r>
      <w:r>
        <w:rPr>
          <w:rFonts w:cs="Arial"/>
        </w:rPr>
        <w:tab/>
        <w:t xml:space="preserve">dass die Wassergebührenpolitik angemessene Anreize für </w:t>
      </w:r>
      <w:r>
        <w:t>die Benutzer darstellt, Wasserressourcen effizient zu nutzen, und somit zu den Umweltzielen dieser Richtlinie beiträgt;</w:t>
      </w:r>
    </w:p>
    <w:p>
      <w:pPr>
        <w:pStyle w:val="GesAbsatz"/>
        <w:ind w:left="426" w:hanging="426"/>
      </w:pPr>
      <w:r>
        <w:rPr>
          <w:rFonts w:cs="Arial"/>
        </w:rPr>
        <w:t>-</w:t>
      </w:r>
      <w:r>
        <w:rPr>
          <w:rFonts w:cs="Arial"/>
        </w:rPr>
        <w:tab/>
        <w:t xml:space="preserve">dass die verschiedenen Wassernutzungen, die mindestens </w:t>
      </w:r>
      <w:r>
        <w:t>in die Sektoren Industrie, Haushalte und Landwirtschaft aufzugliedern sind, auf der Grundlage der gemäß Anhang III vorgenommenen wirtschaftlichen Analyse und unter Berücksichtigung des Verursacherprinzips einen angemessenen Beitrag leisten zur Deckung der Kosten der Wasserdienstleistungen.</w:t>
      </w:r>
    </w:p>
    <w:p>
      <w:pPr>
        <w:pStyle w:val="GesAbsatz"/>
      </w:pPr>
      <w:r>
        <w:t>Die Mitgliedstaaten können dabei den sozialen, ökologischen und wirtschaftlichen Auswirkungen der Kostendeckung sowie die geographischen und klimatischen Gegebenheiten der betreffenden Region oder Regionen Rechnung tragen.</w:t>
      </w:r>
    </w:p>
    <w:p>
      <w:pPr>
        <w:pStyle w:val="GesAbsatz"/>
      </w:pPr>
      <w:r>
        <w:t>(2) Die Mitgliedstaaten berichten in ihren Bewirtschaftungsplänen für die Einzugsgebiete die geplanten Schritte zur Durchführung von Absatz 1, die zur Verwirklichung der Umweltziele dieser Richtlinie beitragen werden, sowie über den Beitrag der verschiedenen Wassernutzungen zur Deckung der Kosten der Wasserdienstleistungen.</w:t>
      </w:r>
    </w:p>
    <w:p>
      <w:pPr>
        <w:pStyle w:val="GesAbsatz"/>
      </w:pPr>
      <w:r>
        <w:t>(3) Dieser Artikel steht der Finanzierung besonderer Vorbeuge- oder Abhilfemaßnahmen zur Verwirklichung der Ziele dieser Richtlinie in keiner Weise entgegen.</w:t>
      </w:r>
    </w:p>
    <w:p>
      <w:pPr>
        <w:pStyle w:val="GesAbsatz"/>
      </w:pPr>
      <w:r>
        <w:t>(4) Die Mitgliedstaaten verstoßen nicht gegen diese Richtlinie, wenn sie beschließen, in Übereinstimmung mit eingeführten Praktiken die Bestimmungen von Absatz 1 Unterabsatz 2 und damit zusammenhängend die einschlägigen Bestimmungen von Absatz 2 auf eine bestimmte Wassernutzung nicht anzuwenden, sofern dadurch die Zwecke dieser Richtlinie und die Verwirklichung ihrer Ziele nicht in Frage gestellt werden. Die Mitgliedstaaten stellen in den Bewirtschaftungsplänen für die Einzugsgebiete dar, aus welchen Gründen sie Absatz 1 Unterabsatz 2 nicht in vollem Umfang anwenden.</w:t>
      </w:r>
    </w:p>
    <w:p>
      <w:pPr>
        <w:pStyle w:val="berschrift2"/>
      </w:pPr>
      <w:bookmarkStart w:id="11" w:name="_Toc143862471"/>
      <w:r>
        <w:t>Artikel 10</w:t>
      </w:r>
      <w:r>
        <w:br/>
        <w:t>Kombinierter Ansatz für Punktquellen und diffuse Quellen</w:t>
      </w:r>
      <w:bookmarkEnd w:id="11"/>
    </w:p>
    <w:p>
      <w:pPr>
        <w:pStyle w:val="GesAbsatz"/>
      </w:pPr>
      <w:r>
        <w:t>(1) Die Mitgliedstaaten sorgen dafür, dass alle in Absatz 2 genannten Einleitungen in Oberflächengewässer entsprechend dem in diesem Artikel festgelegten kombinierten Ansatz begrenzt werden.</w:t>
      </w:r>
    </w:p>
    <w:p>
      <w:pPr>
        <w:pStyle w:val="GesAbsatz"/>
      </w:pPr>
      <w:r>
        <w:t>(2) Die Mitgliedstaaten sorgen dafür, dass</w:t>
      </w:r>
    </w:p>
    <w:p>
      <w:pPr>
        <w:pStyle w:val="GesAbsatz"/>
      </w:pPr>
      <w:r>
        <w:t>a)</w:t>
      </w:r>
      <w:r>
        <w:tab/>
        <w:t>die Emissionsbegrenzung auf der Grundlage der besten verfügbaren Technologien oder</w:t>
      </w:r>
    </w:p>
    <w:p>
      <w:pPr>
        <w:pStyle w:val="GesAbsatz"/>
      </w:pPr>
      <w:r>
        <w:t>b)</w:t>
      </w:r>
      <w:r>
        <w:tab/>
        <w:t>die einschlägigen Emissionsgrenzwerte oder</w:t>
      </w:r>
    </w:p>
    <w:p>
      <w:pPr>
        <w:pStyle w:val="GesAbsatz"/>
        <w:ind w:left="426" w:hanging="426"/>
      </w:pPr>
      <w:r>
        <w:t>c)</w:t>
      </w:r>
      <w:r>
        <w:tab/>
        <w:t>bei diffusen Auswirkungen die Begrenzungen, die gegebenenfalls die beste verfügbare Umweltpraxis einschließen,</w:t>
      </w:r>
    </w:p>
    <w:p>
      <w:pPr>
        <w:pStyle w:val="GesAbsatz"/>
      </w:pPr>
      <w:r>
        <w:t>gemäß</w:t>
      </w:r>
    </w:p>
    <w:p>
      <w:pPr>
        <w:pStyle w:val="GesAbsatz"/>
        <w:ind w:left="426" w:hanging="426"/>
      </w:pPr>
      <w:r>
        <w:rPr>
          <w:rFonts w:cs="Arial"/>
        </w:rPr>
        <w:t>-</w:t>
      </w:r>
      <w:r>
        <w:rPr>
          <w:rFonts w:cs="Arial"/>
        </w:rPr>
        <w:tab/>
        <w:t xml:space="preserve">der Richtlinie 96/61/EG des Rates vom 24. September </w:t>
      </w:r>
      <w:r>
        <w:t>1996 über die integrierte Vermeidung und Verminderung der Umweltverschmutzung</w:t>
      </w:r>
      <w:r>
        <w:rPr>
          <w:rStyle w:val="Funotenzeichen"/>
        </w:rPr>
        <w:footnoteReference w:id="19"/>
      </w:r>
      <w:r>
        <w:t>,</w:t>
      </w:r>
    </w:p>
    <w:p>
      <w:pPr>
        <w:pStyle w:val="GesAbsatz"/>
        <w:ind w:left="426" w:hanging="426"/>
      </w:pPr>
      <w:r>
        <w:rPr>
          <w:rFonts w:cs="Arial"/>
        </w:rPr>
        <w:t>-</w:t>
      </w:r>
      <w:r>
        <w:rPr>
          <w:rFonts w:cs="Arial"/>
        </w:rPr>
        <w:tab/>
        <w:t xml:space="preserve">der Richtlinie 91/271/EWG des Rates vom 21. Mai 1991 </w:t>
      </w:r>
      <w:r>
        <w:t>über die Behandlung von kommunalem Abwasser</w:t>
      </w:r>
      <w:r>
        <w:rPr>
          <w:rStyle w:val="Funotenzeichen"/>
        </w:rPr>
        <w:footnoteReference w:id="20"/>
      </w:r>
      <w:r>
        <w:t>,</w:t>
      </w:r>
    </w:p>
    <w:p>
      <w:pPr>
        <w:pStyle w:val="GesAbsatz"/>
        <w:ind w:left="426" w:hanging="426"/>
      </w:pPr>
      <w:r>
        <w:rPr>
          <w:rFonts w:cs="Arial"/>
        </w:rPr>
        <w:t>-</w:t>
      </w:r>
      <w:r>
        <w:rPr>
          <w:rFonts w:cs="Arial"/>
        </w:rPr>
        <w:tab/>
        <w:t xml:space="preserve">der Richtlinie 91/676/EWG des Rates vom 12. Dezember </w:t>
      </w:r>
      <w:r>
        <w:t>1991 zum Schutz der Gewässer vor Verunreinigung durch Nitrat aus landwirtschaftlichen Quellen</w:t>
      </w:r>
      <w:r>
        <w:rPr>
          <w:rStyle w:val="Funotenzeichen"/>
        </w:rPr>
        <w:footnoteReference w:id="21"/>
      </w:r>
      <w:r>
        <w:t>,</w:t>
      </w:r>
    </w:p>
    <w:p>
      <w:pPr>
        <w:pStyle w:val="GesAbsatz"/>
      </w:pPr>
      <w:r>
        <w:rPr>
          <w:rFonts w:cs="Arial"/>
        </w:rPr>
        <w:lastRenderedPageBreak/>
        <w:t>-</w:t>
      </w:r>
      <w:r>
        <w:rPr>
          <w:rFonts w:cs="Arial"/>
        </w:rPr>
        <w:tab/>
        <w:t xml:space="preserve">den nach Artikel 16 der vorliegenden Richtlinie erlassenen </w:t>
      </w:r>
      <w:r>
        <w:t>Richtlinien,</w:t>
      </w:r>
    </w:p>
    <w:p>
      <w:pPr>
        <w:pStyle w:val="GesAbsatz"/>
      </w:pPr>
      <w:r>
        <w:rPr>
          <w:rFonts w:cs="Arial"/>
        </w:rPr>
        <w:t>-</w:t>
      </w:r>
      <w:r>
        <w:rPr>
          <w:rFonts w:cs="Arial"/>
        </w:rPr>
        <w:tab/>
        <w:t>den in Anhang IX aufgeführ</w:t>
      </w:r>
      <w:r>
        <w:t>ten Richtlinien,</w:t>
      </w:r>
    </w:p>
    <w:p>
      <w:pPr>
        <w:pStyle w:val="GesAbsatz"/>
        <w:rPr>
          <w:rFonts w:cs="Arial"/>
        </w:rPr>
      </w:pPr>
      <w:r>
        <w:rPr>
          <w:rFonts w:cs="Arial"/>
        </w:rPr>
        <w:t>-</w:t>
      </w:r>
      <w:r>
        <w:rPr>
          <w:rFonts w:cs="Arial"/>
        </w:rPr>
        <w:tab/>
        <w:t>den sonstigen einschlägigen Vorschriften des Gemeinschaftsrechts</w:t>
      </w:r>
    </w:p>
    <w:p>
      <w:pPr>
        <w:pStyle w:val="GesAbsatz"/>
      </w:pPr>
      <w:r>
        <w:t>spätestens zwölf Jahre nach Inkrafttreten dieser Richtlinie festgelegt und/oder durchgeführt werden, sofern in den betreffenden Rechtsvorschriften nicht etwas anderes vorgesehen ist.</w:t>
      </w:r>
    </w:p>
    <w:p>
      <w:pPr>
        <w:pStyle w:val="GesAbsatz"/>
      </w:pPr>
      <w:r>
        <w:t>(3) Sind aufgrund eines in dieser Richtlinie, in den in Anhang IX aufgeführten Richtlinien oder in anderen gemeinschaftlichen Rechtsvorschriften festgelegten Qualitätsziels oder Qualitätsstandards strengere Bedingungen als diejenigen erforderlich, die sich aus der Anwendung des Absatzes 2 ergäben, so werden dementsprechend strengere Emissionsbegrenzungen festgelegt.</w:t>
      </w:r>
    </w:p>
    <w:p>
      <w:pPr>
        <w:pStyle w:val="berschrift2"/>
      </w:pPr>
      <w:bookmarkStart w:id="12" w:name="_Toc143862472"/>
      <w:r>
        <w:t>Artikel 11</w:t>
      </w:r>
      <w:r>
        <w:br/>
        <w:t>Maßnahmenprogramm</w:t>
      </w:r>
      <w:bookmarkEnd w:id="12"/>
    </w:p>
    <w:p>
      <w:pPr>
        <w:pStyle w:val="GesAbsatz"/>
      </w:pPr>
      <w:r>
        <w:t>(1) Jeder Mitgliedstaat sorgt dafür, dass für jede Flussgebietseinheit oder für den in sein Hoheitsgebiet fallenden Teil einer internationalen Flussgebietseinheit unter Berücksichtigung der Ergebnisse der Analysen gemäß Artikel 5 ein Maßnahmenprogramm festgelegt wird, um die Ziele gemäß Artikel 4 zu verwirklichen. Diese Maßnahmenprogramme können auf Maßnahmen verweisen, die sich auf Rechtsvorschriften stützen, welche auf nationaler Ebene erlassen wurden, und sich auf das gesamte Hoheitsgebiet eines Mitgliedstaats erstrecken. Die Mitgliedstaaten können gegebenenfalls Maßnahmen ergreifen, die für alle Flussgebietseinheiten und/oder für alle in ihrem Hoheitsgebiet liegenden Teile internationaler Flussgebietseinheiten gelten.</w:t>
      </w:r>
    </w:p>
    <w:p>
      <w:pPr>
        <w:pStyle w:val="GesAbsatz"/>
      </w:pPr>
      <w:r>
        <w:t xml:space="preserve">(2) Jedes Maßnahmenprogramm enthält die </w:t>
      </w:r>
      <w:r>
        <w:rPr>
          <w:rFonts w:cs="Arial"/>
        </w:rPr>
        <w:t xml:space="preserve">„grundlegenden“ </w:t>
      </w:r>
      <w:r>
        <w:t xml:space="preserve">Maßnahmen gemäß Absatz 3 und gegebenenfalls </w:t>
      </w:r>
      <w:r>
        <w:rPr>
          <w:rFonts w:cs="Arial"/>
        </w:rPr>
        <w:t xml:space="preserve">„ergänzende“ </w:t>
      </w:r>
      <w:r>
        <w:t>Maßnahmen.</w:t>
      </w:r>
    </w:p>
    <w:p>
      <w:pPr>
        <w:pStyle w:val="GesAbsatz"/>
      </w:pPr>
      <w:r>
        <w:t xml:space="preserve">(3) </w:t>
      </w:r>
      <w:r>
        <w:rPr>
          <w:rFonts w:cs="Arial"/>
        </w:rPr>
        <w:t xml:space="preserve">„Grundlegende Maßnahmen“ sind die zu erfüllenden </w:t>
      </w:r>
      <w:r>
        <w:t>Mindestanforderungen und beinhalten</w:t>
      </w:r>
    </w:p>
    <w:p>
      <w:pPr>
        <w:pStyle w:val="GesAbsatz"/>
        <w:ind w:left="426" w:hanging="426"/>
      </w:pPr>
      <w:r>
        <w:t>a)</w:t>
      </w:r>
      <w:r>
        <w:tab/>
        <w:t>Maßnahmen zur Umsetzung gemeinschaftlicher Wasserschutzvorschriften einschließlich der Maßnahmen gemäß den Rechtsvorschriften nach Artikel 10 und Anhang VI Teil A;</w:t>
      </w:r>
    </w:p>
    <w:p>
      <w:pPr>
        <w:pStyle w:val="GesAbsatz"/>
      </w:pPr>
      <w:r>
        <w:t>b)</w:t>
      </w:r>
      <w:r>
        <w:tab/>
        <w:t>Maßnahmen, die als geeignet für die Ziele des Artikels 9 angesehen werden;</w:t>
      </w:r>
    </w:p>
    <w:p>
      <w:pPr>
        <w:pStyle w:val="GesAbsatz"/>
        <w:ind w:left="426" w:hanging="426"/>
      </w:pPr>
      <w:r>
        <w:t>c)</w:t>
      </w:r>
      <w:r>
        <w:tab/>
        <w:t>Maßnahmen, die eine effiziente und nachhaltige Wassernutzung fördern, um nicht die Verwirklichung der in Artikel 4 genannten Ziele zu gefährden;</w:t>
      </w:r>
    </w:p>
    <w:p>
      <w:pPr>
        <w:pStyle w:val="GesAbsatz"/>
        <w:ind w:left="426" w:hanging="426"/>
      </w:pPr>
      <w:r>
        <w:t>d)</w:t>
      </w:r>
      <w:r>
        <w:tab/>
        <w:t>Maßnahmen zur Erreichung der Anforderungen nach Artikel 7, einschließlich Maßnahmen zum Schutz der Wasserqualität, um den den bei der Gewinnung von Trinkwasser erforderlichen Umfang der Aufbereitung zu verringern;</w:t>
      </w:r>
    </w:p>
    <w:p>
      <w:pPr>
        <w:pStyle w:val="GesAbsatz"/>
        <w:ind w:left="426" w:hanging="426"/>
      </w:pPr>
      <w:r>
        <w:t>e)</w:t>
      </w:r>
      <w:r>
        <w:tab/>
        <w:t>Begrenzungen der Entnahme von Oberflächensüßwasser und Grundwasser sowie der Aufstauung von Oberflächensüßwasser, einschließlich eines oder mehrerer Register der Wasserentnahmen und einer Vorschrift über die vorherige Genehmigung der Entnahme und der Aufstauung. Diese Begrenzungen werden regelmäßig überprüft und gegebenenfalls aktualisiert. Die Mitgliedstaaten können Entnahmen oder Aufstauungen, die keine signifikanten Auswirkungen auf den Wasserzustand haben, von diesen Begrenzungen freistellen;</w:t>
      </w:r>
    </w:p>
    <w:p>
      <w:pPr>
        <w:pStyle w:val="GesAbsatz"/>
        <w:ind w:left="426" w:hanging="426"/>
      </w:pPr>
      <w:r>
        <w:t>f)</w:t>
      </w:r>
      <w:r>
        <w:tab/>
        <w:t>Begrenzungen, einschließlich des Erfordernisses einer vorherigen Genehmigung von künstlichen Anreicherungen oder Auffüllungen von Grundwasserkörpern. Das verwendete Wasser kann aus Oberflächengewässern oder Grundwasser stammen, sofern die Nutzung der Quelle nicht die Verwirklichung der Umweltziele gefährdet, die für die Quelle oder den angereicherten oder vergrößerten Grundwasserkörper festgesetzt wurden. Diese Begrenzungen sind regelmäßig zu überprüfen und gegebenenfalls zu aktualisieren;</w:t>
      </w:r>
    </w:p>
    <w:p>
      <w:pPr>
        <w:pStyle w:val="GesAbsatz"/>
        <w:ind w:left="426" w:hanging="426"/>
      </w:pPr>
      <w:r>
        <w:t>g)</w:t>
      </w:r>
      <w:r>
        <w:tab/>
        <w:t>bei Einleitungen über Punktquellen, die Verschmutzungen verursachen können, das Erfordernis einer vorherigen Regelung, wie ein Verbot der Einleitung von Schadstoffen in das Wasser, oder eine vorherige Genehmigung oder eine Registrierung nach allgemein verbindlichen Regeln, die Emissionsbegrenzungen für die betreffenden Schadstoffe, einschließlich Begrenzungen nach den Artikeln 10 und 16, vorsehen. Diese Begrenzungen werden regelmäßig überprüft und gegebenenfalls aktualisiert;</w:t>
      </w:r>
    </w:p>
    <w:p>
      <w:pPr>
        <w:pStyle w:val="GesAbsatz"/>
        <w:ind w:left="426" w:hanging="426"/>
      </w:pPr>
      <w:r>
        <w:t>h)</w:t>
      </w:r>
      <w:r>
        <w:tab/>
        <w:t>bei diffusen Quellen, die Verschmutzungen verursachen können, Maßnahmen zur Verhinderung oder Begrenzung der Einleitung von Schadstoffen. Die Begrenzungen können in Form einer Vorschrift erfolgen, wonach eine vorherige Regelung, wie etwa ein Verbot der Einleitung von Schadstoffen in das Wasser, eine vorherige Genehmigung oder eine Registrierung nach allgemein verbindlichen Regeln erforderlich ist, sofern ein solches Erfordernis nicht anderweitig im Gemeinschaftsrecht vorgesehen ist. Die betreffenden Begrenzungen werden regelmäßig überprüft und gegebenenfalls aktualisiert;</w:t>
      </w:r>
    </w:p>
    <w:p>
      <w:pPr>
        <w:pStyle w:val="GesAbsatz"/>
        <w:ind w:left="426" w:hanging="426"/>
      </w:pPr>
      <w:r>
        <w:t>i)</w:t>
      </w:r>
      <w:r>
        <w:tab/>
        <w:t xml:space="preserve">bei allen anderen nach Artikel 5 und Anhang II ermittelten signifikanten nachteiligen Auswirkungen auf den Wasserzustand insbesondere Maßnahmen, die sicherstellen, dass die hydromorphologischen Bedingungen der Wasserkörper so beschaffen sind, dass der erforderliche ökologische Zustand oder das gute ökologische Potential bei Wasserkörpern, die als künstlich oder erheblich verändert eingestuft sind, </w:t>
      </w:r>
      <w:r>
        <w:lastRenderedPageBreak/>
        <w:t>erreicht werden kann. Die diesbezüglichen Begrenzungen können in Form einer Vorschrift erfolgen, wonach eine vorherige Genehmigung oder eine Registrierung nach allgemein verbindlichen Regeln erforderlich ist, sofern ein solches Erfordernis nicht anderweitig im Gemeinschaftsrecht vorgesehen ist. Die betreffenden Begrenzungen werden regelmäßig überprüft und gegebenenfalls aktualisiert;</w:t>
      </w:r>
    </w:p>
    <w:p>
      <w:pPr>
        <w:pStyle w:val="GesAbsatz"/>
        <w:ind w:left="426" w:hanging="426"/>
      </w:pPr>
      <w:r>
        <w:t>j)</w:t>
      </w:r>
      <w:r>
        <w:tab/>
        <w:t>das Verbot einer direkten Einleitung von Schadstoffen in das Grundwasser nach Maßgabe der nachstehenden Vorschriften:</w:t>
      </w:r>
    </w:p>
    <w:p>
      <w:pPr>
        <w:pStyle w:val="GesAbsatz"/>
        <w:ind w:left="426"/>
      </w:pPr>
      <w:r>
        <w:t>Die Mitgliedstaaten können gestatten, dass geothermisch genutztes Wasser in den Grundwasserleiter, aus dem es stammt, wiedereingeleitet wird.</w:t>
      </w:r>
    </w:p>
    <w:p>
      <w:pPr>
        <w:pStyle w:val="GesAbsatz"/>
        <w:ind w:left="426"/>
      </w:pPr>
      <w:r>
        <w:t>Sie können ferner unter Festlegung der entsprechenden Bedingungen folgendes gestatten:</w:t>
      </w:r>
    </w:p>
    <w:p>
      <w:pPr>
        <w:pStyle w:val="GesAbsatz"/>
        <w:ind w:left="851" w:hanging="425"/>
      </w:pPr>
      <w:r>
        <w:rPr>
          <w:rFonts w:cs="Arial"/>
        </w:rPr>
        <w:t>-</w:t>
      </w:r>
      <w:r>
        <w:rPr>
          <w:rFonts w:cs="Arial"/>
        </w:rPr>
        <w:tab/>
        <w:t xml:space="preserve">die Einleitung von Wasser, das Stoffe enthält, die bei </w:t>
      </w:r>
      <w:r>
        <w:t>der Exploration und Förderung von Kohlenwasserstoffen oder bei Bergbauarbeiten anfallen, sowie die Einleitung von Wasser zu technischen Zwecken in geologische Formationen, aus denen Kohlenwasserstoffe oder andere Stoffe gewonnen worden sind, oder in geologische Formationen, die aus natürlichen Gründen für andere Zwecke auf Dauer ungeeignet sind. Solche Einleitungen dürfen keine anderen Stoffe als solche enthalten, die bei den obengenannten Arbeitsvorgängen anfallen;</w:t>
      </w:r>
    </w:p>
    <w:p>
      <w:pPr>
        <w:pStyle w:val="GesAbsatz"/>
        <w:ind w:left="851" w:hanging="425"/>
      </w:pPr>
      <w:r>
        <w:rPr>
          <w:rFonts w:cs="Arial"/>
        </w:rPr>
        <w:t>-</w:t>
      </w:r>
      <w:r>
        <w:rPr>
          <w:rFonts w:cs="Arial"/>
        </w:rPr>
        <w:tab/>
        <w:t>die Wiedereinleitung des aus Bergwerken</w:t>
      </w:r>
      <w:r>
        <w:t xml:space="preserve"> oder Steinbrüchen abgepumpten Wassers oder des wegen Wartungs- und Bauarbeiten abgepumpten Wassers;</w:t>
      </w:r>
    </w:p>
    <w:p>
      <w:pPr>
        <w:pStyle w:val="GesAbsatz"/>
        <w:ind w:left="851" w:hanging="425"/>
      </w:pPr>
      <w:r>
        <w:rPr>
          <w:rFonts w:cs="Arial"/>
        </w:rPr>
        <w:t>-</w:t>
      </w:r>
      <w:r>
        <w:rPr>
          <w:rFonts w:cs="Arial"/>
        </w:rPr>
        <w:tab/>
        <w:t xml:space="preserve">die Einleitung von Erdgas oder Flüssiggas (LPG) zu </w:t>
      </w:r>
      <w:r>
        <w:t>Speicherungszwecken in geologische Formationen, die aus natürlichen Gründen für andere Zwecke auf Dauer ungeeignet sind;</w:t>
      </w:r>
    </w:p>
    <w:p>
      <w:pPr>
        <w:pStyle w:val="GesAbsatz"/>
        <w:ind w:left="851" w:hanging="425"/>
      </w:pPr>
      <w:r>
        <w:t>-</w:t>
      </w:r>
      <w:r>
        <w:tab/>
        <w:t>die Injektion von Kohlendioxidströmen zur Speicherung in geologische Formationen, die aus natürlichen Gründen für andere Zwecke auf Dauer ungeeignet sind, vorausgesetzt eine solche Injektion erfolgt im Einklang mit der Richtlinie2009/31/EG des Europäischen Parlaments und des Rates vom 23. April 2009 über die geologische Speicherung von Kohlendioxid</w:t>
      </w:r>
      <w:r>
        <w:rPr>
          <w:rStyle w:val="Funotenzeichen"/>
        </w:rPr>
        <w:footnoteReference w:id="22"/>
      </w:r>
      <w:r>
        <w:t xml:space="preserve"> oder ist gemäß Artikel 2 Absatz 2 jener Richtlinie aus ihrem Geltungsbereich ausgenommen;</w:t>
      </w:r>
    </w:p>
    <w:p>
      <w:pPr>
        <w:pStyle w:val="GesAbsatz"/>
        <w:ind w:left="851" w:hanging="425"/>
      </w:pPr>
      <w:r>
        <w:rPr>
          <w:rFonts w:cs="Arial"/>
        </w:rPr>
        <w:t>-</w:t>
      </w:r>
      <w:r>
        <w:rPr>
          <w:rFonts w:cs="Arial"/>
        </w:rPr>
        <w:tab/>
        <w:t xml:space="preserve">Einleitung von Erdgas oder Flüssiggas (LPG) zu Speicherungszwecken </w:t>
      </w:r>
      <w:r>
        <w:t>in andere geologische Formationen, sofern die Sicherheit der Gasversorgung dringend gewährleistet werden muss und hierbei allen derzeit bestehenden oder künftigen Gefahren einer Verschlechterung der Qualität des aufnehmenden Grundwassers vorgebeugt wird;</w:t>
      </w:r>
    </w:p>
    <w:p>
      <w:pPr>
        <w:pStyle w:val="GesAbsatz"/>
        <w:ind w:left="851" w:hanging="425"/>
      </w:pPr>
      <w:r>
        <w:rPr>
          <w:rFonts w:cs="Arial"/>
        </w:rPr>
        <w:t>-</w:t>
      </w:r>
      <w:r>
        <w:rPr>
          <w:rFonts w:cs="Arial"/>
        </w:rPr>
        <w:tab/>
        <w:t xml:space="preserve">Hoch- und Tiefbauarbeiten und ähnliche Arbeiten über </w:t>
      </w:r>
      <w:r>
        <w:t>oder unter der Erdoberfläche, bei denen ein Kontakt zum Grundwasser entsteht. Hier können die Mitgliedstaaten festlegen, dass solche Arbeiten als genehmigt betrachtet werden müssen, wenn sie im Einklang mit allgemein verbindlichen Regeln, die die Mitgliedstaaten für solche Arbeiten erstellt haben, durchgeführt werden;</w:t>
      </w:r>
    </w:p>
    <w:p>
      <w:pPr>
        <w:pStyle w:val="GesAbsatz"/>
        <w:ind w:left="851" w:hanging="425"/>
      </w:pPr>
      <w:r>
        <w:rPr>
          <w:rFonts w:cs="Arial"/>
        </w:rPr>
        <w:t>-</w:t>
      </w:r>
      <w:r>
        <w:rPr>
          <w:rFonts w:cs="Arial"/>
        </w:rPr>
        <w:tab/>
        <w:t xml:space="preserve">die Einleitung geringfügiger Mengen von Stoffen für </w:t>
      </w:r>
      <w:r>
        <w:t>wissenschaftliche Zwecke zum Studium, zum Schutz oder zur Sanierung der Wasserkörper, wobei diese Mengen auf das zu diesen Zwecken unbedingt erforderliche Mindestmaß beschränkt bleiben müssen,</w:t>
      </w:r>
    </w:p>
    <w:p>
      <w:pPr>
        <w:pStyle w:val="GesAbsatz"/>
        <w:ind w:left="426"/>
      </w:pPr>
      <w:r>
        <w:t>sofern derartige Einleitungen das Erreichen der für den betreffenden Grundwasserkörper festgelegten Umweltziele nicht gefährden;</w:t>
      </w:r>
    </w:p>
    <w:p>
      <w:pPr>
        <w:pStyle w:val="GesAbsatz"/>
        <w:ind w:left="426" w:hanging="426"/>
      </w:pPr>
      <w:r>
        <w:t>k)</w:t>
      </w:r>
      <w:r>
        <w:tab/>
        <w:t>im Einklang mit den Maßnahmen, die gemäß Artikel 16 getroffen werden, Maßnahmen zur Beseitigung der Verschmutzung von Oberflächenwasser durch Stoffe, die in der gemäß Artikel 16 Absatz 2 vereinbarten Liste prioritärer Stoffe aufgeführt sind, und der schrittweisen Verringerung der Verschmutzung durch andere Stoffe, die sonst das Erreichen der gemäß Artikel 4 für die betreffenden Oberflächenwasserkörper festgelegten Ziele durch die Mitgliedstaaten verhindern würden;</w:t>
      </w:r>
    </w:p>
    <w:p>
      <w:pPr>
        <w:pStyle w:val="GesAbsatz"/>
        <w:ind w:left="426" w:hanging="426"/>
      </w:pPr>
      <w:r>
        <w:t>l)</w:t>
      </w:r>
      <w:r>
        <w:tab/>
        <w:t>alle erforderlichen Maßnahmen, um Freisetzungen von signifikanten Mengen an Schadstoffen aus technischen Anlagen zu verhindern und den Folgen unerwarteter Verschmutzungen, wie etwa bei Überschwemmungen, vorzubeugen und/oder diese zu mindern, auch mit Hilfe von Systemen zur frühzeitigen Entdeckung derartiger Vorkommnisse oder zur Frühwarnung und, im Falle von Unfällen, die nach vernünftiger Einschätzung nicht vorhersehbar waren, unter Einschluss aller geeigneter Maßnahmen zur Verringerung des Risikos für die aquatischen Ökosysteme.</w:t>
      </w:r>
    </w:p>
    <w:p>
      <w:pPr>
        <w:pStyle w:val="GesAbsatz"/>
      </w:pPr>
      <w:r>
        <w:t xml:space="preserve">(4) </w:t>
      </w:r>
      <w:r>
        <w:rPr>
          <w:rFonts w:cs="Arial"/>
        </w:rPr>
        <w:t>„Ergänzende Maßnahmen“ sind Maßnahmen</w:t>
      </w:r>
      <w:r>
        <w:t>, die zusätzlich zu den grundlegenden Maßnahmen geplant und ergriffen werden, um die gemäß Artikel 4 festgelegten Ziele zu erreichen. Anhang VI Teil B enthält eine nichterschöpfende Liste solcher Maßnahmen.</w:t>
      </w:r>
    </w:p>
    <w:p>
      <w:pPr>
        <w:pStyle w:val="GesAbsatz"/>
      </w:pPr>
      <w:r>
        <w:t>Die Mitgliedstaaten können ergänzende Maßnahmen auch ergreifen, um für einen zusätzlichen Schutz der unter die vorliegende Richtlinie fallenden Gewässer oder eine Verbesserung ihres Zustands zu sorgen; dies gilt auch im Rahmen der Durchführung der einschlägigen internationalen Übereinkommen gemäß Artikel 1.</w:t>
      </w:r>
    </w:p>
    <w:p>
      <w:pPr>
        <w:pStyle w:val="GesAbsatz"/>
      </w:pPr>
      <w:r>
        <w:lastRenderedPageBreak/>
        <w:t>(5) Geht aus den Überwachungsdaten oder sonstigen Daten hervor, dass die gemäß Artikel 4 für den Wasserkörper festgelegten Ziele voraussichtlich nicht erreicht werden, so sorgt der betreffende Mitgliedstaat dafür, dass</w:t>
      </w:r>
    </w:p>
    <w:p>
      <w:pPr>
        <w:pStyle w:val="GesAbsatz"/>
      </w:pPr>
      <w:r>
        <w:rPr>
          <w:rFonts w:cs="Arial"/>
        </w:rPr>
        <w:t>-</w:t>
      </w:r>
      <w:r>
        <w:rPr>
          <w:rFonts w:cs="Arial"/>
        </w:rPr>
        <w:tab/>
        <w:t>den Gründen hierfür nachgegang</w:t>
      </w:r>
      <w:r>
        <w:t>en wird und</w:t>
      </w:r>
    </w:p>
    <w:p>
      <w:pPr>
        <w:pStyle w:val="GesAbsatz"/>
      </w:pPr>
      <w:r>
        <w:rPr>
          <w:rFonts w:cs="Arial"/>
        </w:rPr>
        <w:t>-</w:t>
      </w:r>
      <w:r>
        <w:rPr>
          <w:rFonts w:cs="Arial"/>
        </w:rPr>
        <w:tab/>
        <w:t xml:space="preserve">die entsprechenden Zulassungen und Genehmigungen </w:t>
      </w:r>
      <w:r>
        <w:t>geprüft und gegebenenfalls revidiert werden,</w:t>
      </w:r>
    </w:p>
    <w:p>
      <w:pPr>
        <w:pStyle w:val="GesAbsatz"/>
      </w:pPr>
      <w:r>
        <w:rPr>
          <w:rFonts w:cs="Arial"/>
        </w:rPr>
        <w:t>-</w:t>
      </w:r>
      <w:r>
        <w:rPr>
          <w:rFonts w:cs="Arial"/>
        </w:rPr>
        <w:tab/>
        <w:t xml:space="preserve">die Überwachungsprogramme überprüft und gegebenenfalls </w:t>
      </w:r>
      <w:r>
        <w:t>angepasst werden,</w:t>
      </w:r>
    </w:p>
    <w:p>
      <w:pPr>
        <w:pStyle w:val="GesAbsatz"/>
        <w:ind w:left="426" w:hanging="426"/>
      </w:pPr>
      <w:r>
        <w:rPr>
          <w:rFonts w:cs="Arial"/>
        </w:rPr>
        <w:t>-</w:t>
      </w:r>
      <w:r>
        <w:rPr>
          <w:rFonts w:cs="Arial"/>
        </w:rPr>
        <w:tab/>
        <w:t>die zur Erreichung dieser Ziele erforderlichen Zusatzmaß</w:t>
      </w:r>
      <w:r>
        <w:t>nahmen festgelegt werden, gegebenenfalls einschließlich der Erstellung strengerer Umweltqualitätsnormen nach den Verfahren des Anhangs V.</w:t>
      </w:r>
    </w:p>
    <w:p>
      <w:pPr>
        <w:pStyle w:val="GesAbsatz"/>
      </w:pPr>
      <w:r>
        <w:t>Wenn diese Gründe auf Umständen natürlicher Art oder höherer Gewalt beruhen, die außergewöhnlich sind oder nach vernünftiger Einschätzung nicht vorhersehbar waren, wie insbesondere starke Überschwemmungen oder lang anhaltende Dürren, kann der Mitgliedstaat feststellen, dass vorbehaltlich des Artikels 4 Absatz 6 Zusatzmaßnahmen in der Praxis nicht durchführbar sind.</w:t>
      </w:r>
    </w:p>
    <w:p>
      <w:pPr>
        <w:pStyle w:val="GesAbsatz"/>
      </w:pPr>
      <w:r>
        <w:t>(6) Die Mitgliedstaaten treffen bei der Durchführung der Maßnahmen gemäß Absatz 3 alle geeigneten Vorkehrungen, damit die Meeresgewässer nicht zusätzlich verschmutzt werden. Unbeschadet der bestehenden Rechtsvorschriften darf die Durchführung von Maßnahmen gemäß Absatz 3 unter keinen Umständen direkt oder indirekt zu einer erhöhten Verschmutzung der Oberflächengewässer führen. Diese Anforderung gilt nicht, wenn sie eine stärkere Verschmutzung der Umwelt insgesamt bewirken würde.</w:t>
      </w:r>
    </w:p>
    <w:p>
      <w:pPr>
        <w:pStyle w:val="GesAbsatz"/>
      </w:pPr>
      <w:r>
        <w:t>(7) Die Maßnahmenprogramme müssen spätestens neun Jahre nach Inkrafttreten dieser Richtlinie aufgestellt sein; alle Maßnahmen müssen spätestens zwölf Jahre nach Inkrafttreten dieser Richtlinie in die Praxis umgesetzt sein.</w:t>
      </w:r>
    </w:p>
    <w:p>
      <w:pPr>
        <w:pStyle w:val="GesAbsatz"/>
      </w:pPr>
      <w:r>
        <w:t>Als Fristen gemäß Unterabsatz 1 werden für Mayotte der 22. Dezember 2015 bzw. der 22. Dezember 2018 festgelegt.</w:t>
      </w:r>
    </w:p>
    <w:p>
      <w:pPr>
        <w:pStyle w:val="GesAbsatz"/>
      </w:pPr>
      <w:r>
        <w:t>(8) Die Maßnahmenprogramme werden spätestens 15 Jahre nach Inkrafttreten dieser Richtlinie und danach alle sechs Jahre überprüft und nötigenfalls aktualisiert. Neue oder im Rahmen eines aktualisierten Programms geänderte Maßnahmen sind innerhalb von drei Jahren, nachdem sie beschlossen wurden, in die Praxis umzusetzen.</w:t>
      </w:r>
    </w:p>
    <w:p>
      <w:pPr>
        <w:pStyle w:val="GesAbsatz"/>
      </w:pPr>
      <w:r>
        <w:t>Als Frist gemäß Unterabsatz 1 wird für Mayotte der 22. Dezember 2021 festgelegt.</w:t>
      </w:r>
    </w:p>
    <w:p>
      <w:pPr>
        <w:pStyle w:val="berschrift2"/>
      </w:pPr>
      <w:bookmarkStart w:id="13" w:name="_Toc143862473"/>
      <w:r>
        <w:t>Artikel 12</w:t>
      </w:r>
      <w:r>
        <w:br/>
        <w:t>Probleme, die nicht auf Ebene der Mitgliedstaaten behandelt werden können</w:t>
      </w:r>
      <w:bookmarkEnd w:id="13"/>
    </w:p>
    <w:p>
      <w:pPr>
        <w:pStyle w:val="GesAbsatz"/>
      </w:pPr>
      <w:r>
        <w:t>(1) Stellt ein Mitgliedstaat ein Problem fest, das Auswirkungen auf die Bewirtschaftung seiner Wasserressourcen hat, von diesem Mitgliedstaat jedoch nicht gelöst werden kann, so kann er dies der Kommission und jedem anderen betroffenen Mitgliedstaat mitteilen und Empfehlungen zur Lösung dieses Problems machen.</w:t>
      </w:r>
    </w:p>
    <w:p>
      <w:pPr>
        <w:pStyle w:val="GesAbsatz"/>
      </w:pPr>
      <w:r>
        <w:t>(2) Die Kommission reagiert auf jeden Bericht oder jede Empfehlung der Mitgliedstaaten innerhalb einer Frist von sechs Monaten.</w:t>
      </w:r>
    </w:p>
    <w:p>
      <w:pPr>
        <w:pStyle w:val="berschrift2"/>
      </w:pPr>
      <w:bookmarkStart w:id="14" w:name="_Toc143862474"/>
      <w:r>
        <w:t>Artikel 13</w:t>
      </w:r>
      <w:r>
        <w:br/>
        <w:t>Bewirtschaftungspläne für die Einzugsgebiete</w:t>
      </w:r>
      <w:bookmarkEnd w:id="14"/>
    </w:p>
    <w:p>
      <w:pPr>
        <w:pStyle w:val="GesAbsatz"/>
      </w:pPr>
      <w:r>
        <w:t>(1) Die Mitgliedstaaten sorgen dafür, dass für jede Flussgebietseinheit, die vollständig in ihrem Hoheitsgebiet liegt, ein Bewirtschaftungsplan für die Einzugsgebiete erstellt wird.</w:t>
      </w:r>
    </w:p>
    <w:p>
      <w:pPr>
        <w:pStyle w:val="GesAbsatz"/>
      </w:pPr>
      <w:r>
        <w:t>(2) Liegt eine internationale Flussgebietseinheit vollständig im Gemeinschaftsgebiet, so sorgen die Mitgliedstaaten für eine Koordinierung im Hinblick auf die Erstellung eines einzigen internationalen Bewirtschaftungsplans für die Einzugsgebiete. Wird kein solcher internationaler Bewirtschaftungsplan für die Einzugsgebiete erstellt, so erstellen die Mitgliedstaaten im Hinblick auf das Erreichen der Ziele dieser Richtlinie Bewirtschaftungspläne zumindest für die in ihrem jeweiligen Hoheitsgebiet liegenden Teile der internationalen Flussgebietseinheit.</w:t>
      </w:r>
    </w:p>
    <w:p>
      <w:pPr>
        <w:pStyle w:val="GesAbsatz"/>
      </w:pPr>
      <w:r>
        <w:t>(3) Erstreckt sich eine internationale Flussgebietseinheit über die Grenzen der Gemeinschaft hinaus, so bemühen sich die Mitgliedstaaten darum, dass ein einziger Bewirtschaftungsplan für die Einzugsgebiete erstellt wird; falls dies nicht möglich ist, muss der Plan zumindest den Teil der internationalen Flussgebietseinheit erfassen, der in ihrem jeweiligen Hoheitsgebiet liegt.</w:t>
      </w:r>
    </w:p>
    <w:p>
      <w:pPr>
        <w:pStyle w:val="GesAbsatz"/>
      </w:pPr>
      <w:r>
        <w:t>(4) Der Bewirtschaftungsplan für die Einzugsgebiete enthält die in Anhang VII genannten Informationen.</w:t>
      </w:r>
    </w:p>
    <w:p>
      <w:pPr>
        <w:pStyle w:val="GesAbsatz"/>
      </w:pPr>
      <w:r>
        <w:t>(5) Die Bewirtschaftungspläne für die Einzugsgebiete können durch detailliertere Programme und Bewirtschaftungspläne für Teilgebiete, Sektoren, Problembereiche oder Gewässertypen ergänzt werden, die sich mit besonderen Aspekten der Wasserwirtschaft befassen. Die Durchführung dieser Maßnahmen befreit die Mitgliedstaaten nicht von den übrigen Verpflichtungen im Rahmen dieser Richtlinie.</w:t>
      </w:r>
    </w:p>
    <w:p>
      <w:pPr>
        <w:pStyle w:val="GesAbsatz"/>
      </w:pPr>
      <w:r>
        <w:t>(6) Die Bewirtschaftungspläne für die Einzugsgebiete werden spätestens neun Jahre nach Inkrafttreten dieser Richtlinie veröffentlicht.</w:t>
      </w:r>
    </w:p>
    <w:p>
      <w:pPr>
        <w:pStyle w:val="GesAbsatz"/>
      </w:pPr>
      <w:r>
        <w:lastRenderedPageBreak/>
        <w:t>Als Frist gemäß Unterabsatz 1 wird für Mayotte der 22. Dezember 2015 festgelegt.</w:t>
      </w:r>
    </w:p>
    <w:p>
      <w:pPr>
        <w:pStyle w:val="GesAbsatz"/>
      </w:pPr>
      <w:r>
        <w:t>(7) Die Bewirtschaftungspläne für die Einzugsgebiete werden spätestens 15 Jahre nach Inkrafttreten dieser Richtlinie und danach alle sechs Jahre überprüft und aktualisiert.</w:t>
      </w:r>
    </w:p>
    <w:p>
      <w:pPr>
        <w:pStyle w:val="GesAbsatz"/>
      </w:pPr>
      <w:r>
        <w:t>Als Frist gemäß Unterabsatz 1 wird für Mayotte der 22. Dezember 2021 festgelegt.</w:t>
      </w:r>
    </w:p>
    <w:p>
      <w:pPr>
        <w:pStyle w:val="berschrift2"/>
      </w:pPr>
      <w:bookmarkStart w:id="15" w:name="_Toc143862475"/>
      <w:r>
        <w:t>Artikel 14</w:t>
      </w:r>
      <w:r>
        <w:br/>
        <w:t>Information und Anhörung der Öffentlichkeit</w:t>
      </w:r>
      <w:bookmarkEnd w:id="15"/>
    </w:p>
    <w:p>
      <w:pPr>
        <w:pStyle w:val="GesAbsatz"/>
      </w:pPr>
      <w:r>
        <w:t>(1) Die Mitgliedstaaten fördern die aktive Beteiligung aller interessierten Stellen an der Umsetzung dieser Richtlinie, insbesondere an der Aufstellung, Überprüfung und Aktualisierung der Bewirtschaftungspläne für die Einzugsgebiete. Die Mitgliedstaaten sorgen dafür, dass sie für jede Flussgebietseinheit folgendes veröffentlichen und der Öffentlichkeit, einschließlich den Nutzern, zugänglich machen, damit diese Stellung nehmen kann:</w:t>
      </w:r>
    </w:p>
    <w:p>
      <w:pPr>
        <w:pStyle w:val="GesAbsatz"/>
        <w:ind w:left="426" w:hanging="426"/>
      </w:pPr>
      <w:r>
        <w:t>a)</w:t>
      </w:r>
      <w:r>
        <w:tab/>
        <w:t>einen Zeitplan und ein Arbeitsprogramm für die Aufstellung des Plans, einschließlich einer Erklärung über die zu treffenden Anhörungsmaßnahmen, und zwar spätestens drei Jahre vor Beginn des Zeitraums, auf den sich der Plan bezieht;</w:t>
      </w:r>
    </w:p>
    <w:p>
      <w:pPr>
        <w:pStyle w:val="GesAbsatz"/>
        <w:ind w:left="426" w:hanging="426"/>
      </w:pPr>
      <w:r>
        <w:t>b)</w:t>
      </w:r>
      <w:r>
        <w:tab/>
        <w:t>einen vorläufigen Überblick über die für das Einzugsgebiet festgestellten wichtigen Wasserbewirtschaftungsfragen, und zwar spätestens zwei Jahre vor Beginn des Zeitraums, auf den sich der Plan bezieht;</w:t>
      </w:r>
    </w:p>
    <w:p>
      <w:pPr>
        <w:pStyle w:val="GesAbsatz"/>
        <w:ind w:left="426" w:hanging="426"/>
      </w:pPr>
      <w:r>
        <w:t>c)</w:t>
      </w:r>
      <w:r>
        <w:tab/>
        <w:t>Entwürfe des Bewirtschaftungsplans für die Einzugsgebiete, und zwar spätestens ein Jahr vor Beginn des Zeitraums, auf den sich der Bewirtschaftungsplan bezieht.</w:t>
      </w:r>
    </w:p>
    <w:p>
      <w:pPr>
        <w:pStyle w:val="GesAbsatz"/>
      </w:pPr>
      <w:r>
        <w:t>Auf Antrag wird auch Zugang zu Hintergrunddokumenten und -informationen gewährt, die bei der Erstellung des Bewirtschaftungsplanentwurfs herangezogen wurden.</w:t>
      </w:r>
    </w:p>
    <w:p>
      <w:pPr>
        <w:pStyle w:val="GesAbsatz"/>
      </w:pPr>
      <w:r>
        <w:t>(2) Um eine aktive Einbeziehung und Anhörung zu ermöglichen, räumen die Mitgliedstaaten für schriftliche Bemerkungen zu diesen Unterlagen eine Frist von mindestens sechs Monaten ein.</w:t>
      </w:r>
    </w:p>
    <w:p>
      <w:pPr>
        <w:pStyle w:val="GesAbsatz"/>
      </w:pPr>
      <w:r>
        <w:t>(3) Die Absätze 1 und 2 gelten auch für die aktualisierten Bewirtschaftungspläne für die Einzugsgebiete.</w:t>
      </w:r>
    </w:p>
    <w:p>
      <w:pPr>
        <w:pStyle w:val="berschrift2"/>
      </w:pPr>
      <w:bookmarkStart w:id="16" w:name="_Toc143862476"/>
      <w:r>
        <w:t>Artikel 15</w:t>
      </w:r>
      <w:r>
        <w:br/>
        <w:t>Berichterstattung</w:t>
      </w:r>
      <w:bookmarkEnd w:id="16"/>
    </w:p>
    <w:p>
      <w:pPr>
        <w:pStyle w:val="GesAbsatz"/>
      </w:pPr>
      <w:r>
        <w:t>(1) Die Mitgliedstaaten übermitteln der Kommission und allen betroffenen Mitgliedstaaten innerhalb von drei Monaten nach Veröffentlichung Kopien folgender Bewirtschaftungspläne für die Einzugsgebiete und aller späteren aktualisierten Fassungen:</w:t>
      </w:r>
    </w:p>
    <w:p>
      <w:pPr>
        <w:pStyle w:val="GesAbsatz"/>
        <w:ind w:left="426" w:hanging="426"/>
      </w:pPr>
      <w:r>
        <w:t>a)</w:t>
      </w:r>
      <w:r>
        <w:tab/>
        <w:t>bei Flussgebietseinheiten, die vollständig im Hoheitsgebiet eines Mitgliedstaats liegen, sämtliche gemäß Artikel 13 veröffentlichten Bewirtschaftungspläne für Einzugsgebiete, die dieses Hoheitsgebiet abdecken;</w:t>
      </w:r>
    </w:p>
    <w:p>
      <w:pPr>
        <w:pStyle w:val="GesAbsatz"/>
        <w:ind w:left="426" w:hanging="426"/>
      </w:pPr>
      <w:r>
        <w:t>b)</w:t>
      </w:r>
      <w:r>
        <w:tab/>
        <w:t>bei internationalen Flussgebietseinheiten zumindest den Teil des Bewirtschaftungsplans, der das Hoheitsgebiet des Mitgliedstaats abdeckt.</w:t>
      </w:r>
    </w:p>
    <w:p>
      <w:pPr>
        <w:pStyle w:val="GesAbsatz"/>
      </w:pPr>
      <w:r>
        <w:t>(2) Die Mitgliedstaaten unterbreiten zusammenfassende Berichte der im Hinblick auf den ersten Bewirtschaftungsplan für das Einzugsgebiet durchgeführten</w:t>
      </w:r>
    </w:p>
    <w:p>
      <w:pPr>
        <w:pStyle w:val="GesAbsatz"/>
      </w:pPr>
      <w:r>
        <w:rPr>
          <w:rFonts w:cs="Arial"/>
        </w:rPr>
        <w:t>-</w:t>
      </w:r>
      <w:r>
        <w:rPr>
          <w:rFonts w:cs="Arial"/>
        </w:rPr>
        <w:tab/>
        <w:t>Analysen gemäß Artik</w:t>
      </w:r>
      <w:r>
        <w:t>el 5 und</w:t>
      </w:r>
    </w:p>
    <w:p>
      <w:pPr>
        <w:pStyle w:val="GesAbsatz"/>
        <w:rPr>
          <w:rFonts w:cs="Arial"/>
        </w:rPr>
      </w:pPr>
      <w:r>
        <w:rPr>
          <w:rFonts w:cs="Arial"/>
        </w:rPr>
        <w:t>-</w:t>
      </w:r>
      <w:r>
        <w:rPr>
          <w:rFonts w:cs="Arial"/>
        </w:rPr>
        <w:tab/>
        <w:t>Überwachungsprogramme gemäß Artikel 8</w:t>
      </w:r>
    </w:p>
    <w:p>
      <w:pPr>
        <w:pStyle w:val="GesAbsatz"/>
      </w:pPr>
      <w:r>
        <w:t>binnen drei Monaten nach ihrer Fertigstellung.</w:t>
      </w:r>
    </w:p>
    <w:p>
      <w:pPr>
        <w:pStyle w:val="GesAbsatz"/>
      </w:pPr>
      <w:r>
        <w:t>(3) Die Mitgliedstaaten legen innerhalb von drei Jahren nach der Veröffentlichung jedes Bewirtschaftungsplans für die Einzugsgebiete oder jeder Aktualisierung gemäß Artikel 13 einen Zwischenbericht mit einer Darstellung der Fortschritte vor, die bei der Durchführung des geplanten Maßnahmenprogramms erzielt wurden.</w:t>
      </w:r>
    </w:p>
    <w:p>
      <w:pPr>
        <w:pStyle w:val="berschrift2"/>
      </w:pPr>
      <w:bookmarkStart w:id="17" w:name="_Toc143862477"/>
      <w:r>
        <w:t>Artikel 16</w:t>
      </w:r>
      <w:r>
        <w:br/>
        <w:t>Strategien gegen die Wasserverschmutzung</w:t>
      </w:r>
      <w:bookmarkEnd w:id="17"/>
    </w:p>
    <w:p>
      <w:pPr>
        <w:pStyle w:val="GesAbsatz"/>
      </w:pPr>
      <w:r>
        <w:t>(1) Das Europäische Parlament und der Rat verabschieden spezifische Maßnahmen zur Bekämpfung der Wasserverschmutzung durch einzelne Schadstoffe oder Schadstoffgruppen, die ein erhebliches Risiko für oder durch die aquatische Umwelt darstellen, einschließlich der entsprechenden Risiken für Gewässer, die zur Trinkwasserentnahme genutzt werden. In Bezug auf diese Schadstoffe zielen die Maßnahmen auf eine schrittweise Reduzierung ab und in Bezug auf prioritäre gefährliche Stoffe gemäß der Definition in Artikel 2 Nummer 30 auf die Beendigung oder schrittweise Einstellung von Einleitungen, Emissionen und Verlusten. Diese Maßnahmen werden aufgrund der Vorschläge erlassen, die die Kommission nach den Verfahren des Vertrags unterbreitet.</w:t>
      </w:r>
    </w:p>
    <w:p>
      <w:pPr>
        <w:pStyle w:val="GesAbsatz"/>
      </w:pPr>
      <w:r>
        <w:t>(2) Die Kommission legt einen Vorschlag für eine Liste prioritärer Stoffe vor, die unter den Stoffen ausgewählt werden, die ein erhebliches Risiko für bzw. durch die aquatische Umwelt darstellen. Die Vergabe der Prioritäten richtet sich nach dem jeweiligen Risiko für bzw. durch die aquatische Umwelt, das wie folgt bewertet wird:</w:t>
      </w:r>
    </w:p>
    <w:p>
      <w:pPr>
        <w:pStyle w:val="GesAbsatz"/>
        <w:ind w:left="426" w:hanging="426"/>
      </w:pPr>
      <w:r>
        <w:lastRenderedPageBreak/>
        <w:t>a)</w:t>
      </w:r>
      <w:r>
        <w:tab/>
        <w:t>in Form einer Risikobewertung im Rahmen der Verordnung (EWG) Nr. 793/93 des Rates</w:t>
      </w:r>
      <w:r>
        <w:rPr>
          <w:rStyle w:val="Funotenzeichen"/>
        </w:rPr>
        <w:footnoteReference w:id="23"/>
      </w:r>
      <w:r>
        <w:t>, der Richtlinie 91/414/EWG des Rates</w:t>
      </w:r>
      <w:r>
        <w:rPr>
          <w:rStyle w:val="Funotenzeichen"/>
        </w:rPr>
        <w:footnoteReference w:id="24"/>
      </w:r>
      <w:r>
        <w:t xml:space="preserve"> und der Richtlinie 98/8/EG des Europäischen Parlaments und des Rates</w:t>
      </w:r>
      <w:r>
        <w:rPr>
          <w:rStyle w:val="Funotenzeichen"/>
        </w:rPr>
        <w:footnoteReference w:id="25"/>
      </w:r>
      <w:r>
        <w:t xml:space="preserve"> oder</w:t>
      </w:r>
    </w:p>
    <w:p>
      <w:pPr>
        <w:pStyle w:val="GesAbsatz"/>
        <w:ind w:left="426" w:hanging="426"/>
      </w:pPr>
      <w:r>
        <w:t>b)</w:t>
      </w:r>
      <w:r>
        <w:tab/>
        <w:t>in Form einer zielgerichteten risikobezogenen Bewertung gemäß den Verfahren der Verordnung (EWG) Nr. 793/93 mit ausschließlicher Prüfung der aquatischen Ökotoxizität und der über die aquatische Umwelt gegebenen Humantoxizität.</w:t>
      </w:r>
    </w:p>
    <w:p>
      <w:pPr>
        <w:pStyle w:val="GesAbsatz"/>
      </w:pPr>
      <w:r>
        <w:t>Wenn dies zur Einhaltung des in Absatz 4 festgelegten Zeitplans erforderlich ist, sind Stoffe auf der Grundlage ihres Risikos für oder durch die aquatische Umwelt als prioritär für Maßnahmen einzustufen, wobei die Einstufung in Form einer vereinfachten, auf wissenschaftlichen Grundsätzen beruhenden risikobezogenen Bewertung erfolgt, bei der folgende Faktoren besonders berücksichtigt werden:</w:t>
      </w:r>
    </w:p>
    <w:p>
      <w:pPr>
        <w:pStyle w:val="GesAbsatz"/>
        <w:ind w:left="426" w:hanging="426"/>
      </w:pPr>
      <w:r>
        <w:rPr>
          <w:rFonts w:cs="Arial"/>
        </w:rPr>
        <w:t>-</w:t>
      </w:r>
      <w:r>
        <w:rPr>
          <w:rFonts w:cs="Arial"/>
        </w:rPr>
        <w:tab/>
        <w:t xml:space="preserve">Hinweise auf die inhärente Gefährlichkeit des betreffenden </w:t>
      </w:r>
      <w:r>
        <w:t>Stoffes, insbesondere im Hinblick auf die aquatische Ökotoxizität und auf die im Wege einer aquatischen Exposition gegebene Humantoxizität, und</w:t>
      </w:r>
    </w:p>
    <w:p>
      <w:pPr>
        <w:pStyle w:val="GesAbsatz"/>
      </w:pPr>
      <w:r>
        <w:rPr>
          <w:rFonts w:cs="Arial"/>
        </w:rPr>
        <w:t>-</w:t>
      </w:r>
      <w:r>
        <w:rPr>
          <w:rFonts w:cs="Arial"/>
        </w:rPr>
        <w:tab/>
        <w:t xml:space="preserve">Befunde aus der Überwachung über weitverbreitete Formen </w:t>
      </w:r>
      <w:r>
        <w:t>der Verschmutzung und</w:t>
      </w:r>
    </w:p>
    <w:p>
      <w:pPr>
        <w:pStyle w:val="GesAbsatz"/>
        <w:ind w:left="426" w:hanging="426"/>
      </w:pPr>
      <w:r>
        <w:rPr>
          <w:rFonts w:cs="Arial"/>
        </w:rPr>
        <w:t>-</w:t>
      </w:r>
      <w:r>
        <w:rPr>
          <w:rFonts w:cs="Arial"/>
        </w:rPr>
        <w:tab/>
        <w:t xml:space="preserve">andere nachgewiesene Faktoren, die auf eine weitverbreitete </w:t>
      </w:r>
      <w:r>
        <w:t>Verschmutzung schließen lassen, z. B. Umfang der Produktion und der Verwendung des betreffenden Stoffs sowie typische Arten der Verwendung.</w:t>
      </w:r>
    </w:p>
    <w:p>
      <w:pPr>
        <w:pStyle w:val="GesAbsatz"/>
      </w:pPr>
      <w:r>
        <w:t>(3) In dem Vorschlag der Kommission werden auch die prioritären gefährlichen Stoffe genannt. Dabei berücksichtigt die Kommission die Auswahl bedenklicher Stoffe, die in den einschlägigen Gemeinschaftsvorschriften bezüglich gefährlicher Stoffe oder in einschlägigen internationalen Übereinkommen getroffen wird.</w:t>
      </w:r>
    </w:p>
    <w:p>
      <w:pPr>
        <w:pStyle w:val="GesAbsatz"/>
      </w:pPr>
      <w:r>
        <w:t>(4) Die Kommission überprüft die angenommene Liste prioritärer Stoffe spätestens vier Jahre nach Inkrafttreten dieser Richtlinie und von da an mindestens alle sechs Jahre und legt gegebenenfalls Vorschläge vor.</w:t>
      </w:r>
    </w:p>
    <w:p>
      <w:pPr>
        <w:pStyle w:val="GesAbsatz"/>
      </w:pPr>
      <w:r>
        <w:t xml:space="preserve">(5) Die Kommission berücksichtigt bei Erstellung ihres Vorschlags Empfehlungen des Wissenschaftlichen Ausschusses </w:t>
      </w:r>
      <w:r>
        <w:rPr>
          <w:rFonts w:cs="Arial"/>
        </w:rPr>
        <w:t>„Toxizit</w:t>
      </w:r>
      <w:r>
        <w:t>ät, Ökotoxizität und Umwelt</w:t>
      </w:r>
      <w:r>
        <w:rPr>
          <w:rFonts w:cs="Arial"/>
        </w:rPr>
        <w:t>“ sowie E</w:t>
      </w:r>
      <w:r>
        <w:t>mpfehlungen der Mitgliedstaaten, des Europäischen Parlaments, der Europäischen Umweltagentur, der gemeinschaftlichen Forschungsprogramme, internationaler Organisationen, denen die Gemeinschaft angehört, europäischer Wirtschaftsverbände, einschließlich Organisationen, die die kleinen und mittleren Unternehmen vertreten, europäischer Umweltorganisationen sowie jegliche weiteren relevanten Informationen, von denen sie Kenntnis erlangt.</w:t>
      </w:r>
    </w:p>
    <w:p>
      <w:pPr>
        <w:pStyle w:val="GesAbsatz"/>
      </w:pPr>
      <w:r>
        <w:t>(6) Die Kommission legt für die prioritären Stoffe Vorschläge für Begrenzungen vor zur</w:t>
      </w:r>
    </w:p>
    <w:p>
      <w:pPr>
        <w:pStyle w:val="GesAbsatz"/>
        <w:ind w:left="426" w:hanging="426"/>
      </w:pPr>
      <w:r>
        <w:rPr>
          <w:rFonts w:cs="Arial"/>
        </w:rPr>
        <w:t>-</w:t>
      </w:r>
      <w:r>
        <w:rPr>
          <w:rFonts w:cs="Arial"/>
        </w:rPr>
        <w:tab/>
        <w:t xml:space="preserve">schrittweisen Verringerung von Einleitungen, Emissionen </w:t>
      </w:r>
      <w:r>
        <w:t>und Verlusten der betreffenden Stoffe und insbesondere</w:t>
      </w:r>
    </w:p>
    <w:p>
      <w:pPr>
        <w:pStyle w:val="GesAbsatz"/>
        <w:ind w:left="426" w:hanging="426"/>
      </w:pPr>
      <w:r>
        <w:rPr>
          <w:rFonts w:cs="Arial"/>
        </w:rPr>
        <w:t>-</w:t>
      </w:r>
      <w:r>
        <w:rPr>
          <w:rFonts w:cs="Arial"/>
        </w:rPr>
        <w:tab/>
        <w:t xml:space="preserve">zur Beendigung oder schrittweisen Einstellung von Einleitungen, </w:t>
      </w:r>
      <w:r>
        <w:t>Emissionen und Verlusten der gemäß Absatz 3 bestimmten Stoffe, einschließlich eines entsprechenden Zeitplans. Der Zeitplan darf 20 Jahre ab dem Zeitpunkt, zu dem diese Vorschläge gemäß den Bestimmungen dieses Artikels vom Europäischen Parlament und vom Rat angenommen werden, nicht überschreiten.</w:t>
      </w:r>
    </w:p>
    <w:p>
      <w:pPr>
        <w:pStyle w:val="GesAbsatz"/>
      </w:pPr>
      <w:r>
        <w:t>Sie ermittelt dabei sowohl für Punktquellen als auch für diffuse Quellen unter dem Gesichtspunkt der Kostenwirksamkeit und der Verhältnismäßigkeit das angemessene Niveau und die Kombination von Produkt- und Verfahrenseinschränkungen und berücksichtigt gemeinschaftsweite einheitliche Emissionsgrenzwerte für Verfahrenseinschränkungen. Gemeinschaftliche Maßnahmen zwecks Begrenzung der Emissionen aus technischen Verfahren können gegebenenfalls nach Branchen geordnet werden. Schließen Produkteinschränkungen eine Überprüfung der einschlägigen Genehmigungen in, die gemäß der Richtlinie 91/414/EWG und der Richtlinie 98/8/EG erteilt wurden, so werden die Überprüfungen gemäß diesen Richtlinien durchgeführt. Bei jedem Vorschlag für Begrenzungsmaßnahmen sind spezifische Bestimmungen für deren Überprüfung und Aktualisierung sowie die Bewertung ihrer Wirksamkeit vorzusehen.</w:t>
      </w:r>
    </w:p>
    <w:p>
      <w:pPr>
        <w:pStyle w:val="GesAbsatz"/>
      </w:pPr>
      <w:r>
        <w:t>(7) Die Kommission schlägt Qualitätsnormen für die Konzentrationen der prioritären Stoffe in Oberflächenwasser, Sedimenten oder Biota vor.</w:t>
      </w:r>
    </w:p>
    <w:p>
      <w:pPr>
        <w:pStyle w:val="GesAbsatz"/>
      </w:pPr>
      <w:r>
        <w:t>(8) Die Kommission unterbreitet die Vorschläge gemäß den Absätzen 6 und 7 zumindest für die Emissionsbegrenzung von Punktquellen und für die Umweltqualitätsnormen binnen zwei Jahren nach Aufnahme des betreffenden Stoffs in die Liste prioritärer Stoffe. Kommt bei Stoffen, die in die erste Liste prioritärer Stoffe aufgenommen sind, sechs Jahre nach Inkrafttreten dieser Richtlinie keine Einigung auf Gemeinschaftsebene zustande, so legen die Mitgliedstaaten für alle Oberflächengewässer, die von Einleitungen dieser Stoffe betroffen sind, u. a. unter Erwägung aller technischen Möglichkeiten zu ihrer Verminderung Umweltqualitätsnormen und Begrenzungsmaßnahmen für die Hauptquellen dieser Einleitungen fest. Kommt bei Stoffen, die später in die Liste prioritärer Stoffe aufgenommen werden, keine Einigung auf Gemeinschaftsebene zustande, so ergreifen die Mitgliedstaaten die entsprechenden Maßnahmen fünf Jahre nach Aufnahme in die Liste.</w:t>
      </w:r>
    </w:p>
    <w:p>
      <w:pPr>
        <w:pStyle w:val="GesAbsatz"/>
      </w:pPr>
      <w:r>
        <w:lastRenderedPageBreak/>
        <w:t>(9) Die Kommission kann Strategien gegen die Wasserverschmutzung durch andere Schadstoffe oder Schadstoffgruppen, einschließlich der Verschmutzung durch Unfälle, erarbeiten.</w:t>
      </w:r>
    </w:p>
    <w:p>
      <w:pPr>
        <w:pStyle w:val="GesAbsatz"/>
      </w:pPr>
      <w:r>
        <w:t>(10) Bei der Erstellung ihrer Vorschläge gemäß den Absätzen 6 und 7 überprüft die Kommission auch alle in Anhang IX aufgeführten Richtlinien. Sie schlägt bis zu dem in Absatz 8 genannten Zeitpunkt eine Überprüfung der Begrenzungsmaßnahmen gemäß Anhang IX für alle in die Liste prioritärer Stoffe aufgenommenen Stoffe vor und unterbreitet Vorschläge für die geeigneten Maßnahmen, einschließlich der etwaigen Aufhebung der Begrenzungsmaßnahmen gemäß Anhang IX für alle anderen Stoffe. Alle Begrenzungsmaßnahmen gemäß Anhang IX, für die Überprüfungen vorgeschlagen werden, werden mit Inkrafttreten der überprüften Regelung aufgehoben.</w:t>
      </w:r>
    </w:p>
    <w:p>
      <w:pPr>
        <w:pStyle w:val="GesAbsatz"/>
      </w:pPr>
      <w:r>
        <w:t>(11) Die von der Kommission vorgeschlagene Liste prioritärer Stoffe nach den Absätzen 2 und 3 wird nach ihrer Annahme durch das Europäische Parlament und den Rat Anhang X dieser Richtlinie. Ihre Überprüfung gemäß Absatz 4 erfolgt nach dem gleichen Verfahren.</w:t>
      </w:r>
    </w:p>
    <w:p>
      <w:pPr>
        <w:pStyle w:val="berschrift2"/>
      </w:pPr>
      <w:bookmarkStart w:id="18" w:name="_Toc143862478"/>
      <w:r>
        <w:t>Artikel 17</w:t>
      </w:r>
      <w:r>
        <w:br/>
        <w:t>Strategien zur Verhinderung und Begrenzung der Grundwasserverschmutzung</w:t>
      </w:r>
      <w:bookmarkEnd w:id="18"/>
    </w:p>
    <w:p>
      <w:pPr>
        <w:pStyle w:val="GesAbsatz"/>
      </w:pPr>
      <w:r>
        <w:t>(1) Das Europäische Parlament und der Rat erlassen spezielle Maßnahmen zur Verhinderung und Begrenzung der Grundwasserverschmutzung. Diese Maßnahmen dienen dazu, das Ziel eines guten chemischen Zustands des Grundwassers gemäß Artikel 4 Absatz 1 Buchstabe b) zu erreichen; sie werden auf Vorschlag der Kommission, der innerhalb von zwei Jahren nach dem Inkrafttreten dieser Richtlinie vorzulegen ist, nach den im Vertrag festgelegten Verfahren erlassen.</w:t>
      </w:r>
    </w:p>
    <w:p>
      <w:pPr>
        <w:pStyle w:val="GesAbsatz"/>
      </w:pPr>
      <w:r>
        <w:t>(2) Wenn die Kommission Maßnahmen vorschlägt, berücksichtigt sie die gemäß Artikel 5 und Anhang II durchgeführten Analysen. Entsprechende Maßnahmen werden, sofern die Daten vorliegen, zu einem früheren Zeitpunkt vorgeschlagen und umfassen folgendes:</w:t>
      </w:r>
    </w:p>
    <w:p>
      <w:pPr>
        <w:pStyle w:val="GesAbsatz"/>
        <w:ind w:left="426" w:hanging="426"/>
      </w:pPr>
      <w:r>
        <w:t>a)</w:t>
      </w:r>
      <w:r>
        <w:tab/>
        <w:t>Kriterien für die Beurteilung eines guten chemischen Zustands des Grundwassers gemäß Anhang II Randnummer 2.2 und Anhang V Randnummern 2.3.2 und 2.4.5;</w:t>
      </w:r>
    </w:p>
    <w:p>
      <w:pPr>
        <w:pStyle w:val="GesAbsatz"/>
        <w:ind w:left="426" w:hanging="426"/>
      </w:pPr>
      <w:r>
        <w:t>b)</w:t>
      </w:r>
      <w:r>
        <w:tab/>
        <w:t>Kriterien für die Ermittlung signifikanter und anhaltender steigender Trends sowie für die Festlegung der gemäß Anhang V Randnummer 2.4.4 anzusetzenden Ausgangspunkte für die Trendumkehr.</w:t>
      </w:r>
    </w:p>
    <w:p>
      <w:pPr>
        <w:pStyle w:val="GesAbsatz"/>
      </w:pPr>
      <w:r>
        <w:t>(3) Maßnahmen, die sich aus der Anwendung von Absatz 1 ergeben, sind in die nach Artikel 11 erforderlichen Maßnahmenprogramme aufzunehmen.</w:t>
      </w:r>
    </w:p>
    <w:p>
      <w:pPr>
        <w:pStyle w:val="GesAbsatz"/>
      </w:pPr>
      <w:r>
        <w:t>(4) Liegen keine auf Gemeinschaftsebene gemäß Absatz 2 festgelegten Kriterien vor, so stellen die Mitgliedstaaten spätestens fünf Jahre nach Inkrafttreten dieser Richtlinie geeignete Kriterien auf.</w:t>
      </w:r>
    </w:p>
    <w:p>
      <w:pPr>
        <w:pStyle w:val="GesAbsatz"/>
      </w:pPr>
      <w:r>
        <w:t>(5) Liegen keine auf nationaler Ebene gemäß Absatz 4 festgelegten Kriterien vor, so liegt der Ausgangspunkt für die Trendumkehr bei höchstens 75% des Niveaus der Qualitätsnormen, die in bestehenden, auf das Grundwasser anwendbaren Rechtsvorschriften der Gemeinschaft festgelegt sind.</w:t>
      </w:r>
    </w:p>
    <w:p>
      <w:pPr>
        <w:pStyle w:val="berschrift2"/>
      </w:pPr>
      <w:bookmarkStart w:id="19" w:name="_Toc143862479"/>
      <w:r>
        <w:t>Artikel 18</w:t>
      </w:r>
      <w:r>
        <w:br/>
        <w:t>Bericht der Kommission</w:t>
      </w:r>
      <w:bookmarkEnd w:id="19"/>
    </w:p>
    <w:p>
      <w:pPr>
        <w:pStyle w:val="GesAbsatz"/>
      </w:pPr>
      <w:r>
        <w:t>(1) Die Kommission veröffentlicht spätestens zwölf Jahre nach Inkrafttreten dieser Richtlinie und von da an alle sechs Jahre einen Bericht über die Umsetzung dieser Richtlinie und legt ihn dem Europäischen Parlament und dem Rat vor.</w:t>
      </w:r>
    </w:p>
    <w:p>
      <w:pPr>
        <w:pStyle w:val="GesAbsatz"/>
      </w:pPr>
      <w:r>
        <w:t>(2) Dieser Bericht enthält folgende Informationen:</w:t>
      </w:r>
    </w:p>
    <w:p>
      <w:pPr>
        <w:pStyle w:val="GesAbsatz"/>
      </w:pPr>
      <w:r>
        <w:t>a)</w:t>
      </w:r>
      <w:r>
        <w:tab/>
        <w:t>einen Überblick über den Stand der Umsetzung dieser Richtlinie;</w:t>
      </w:r>
    </w:p>
    <w:p>
      <w:pPr>
        <w:pStyle w:val="GesAbsatz"/>
        <w:ind w:left="426" w:hanging="426"/>
      </w:pPr>
      <w:r>
        <w:t>b)</w:t>
      </w:r>
      <w:r>
        <w:tab/>
        <w:t>einen mit der Europäischen Umweltagentur abgestimmten Überblick über den Zustand von Oberflächen- und Grundwasser in der Gemeinschaft;</w:t>
      </w:r>
    </w:p>
    <w:p>
      <w:pPr>
        <w:pStyle w:val="GesAbsatz"/>
        <w:ind w:left="426" w:hanging="426"/>
      </w:pPr>
      <w:r>
        <w:t>c)</w:t>
      </w:r>
      <w:r>
        <w:tab/>
        <w:t>eine Übersicht über die gemäß Artikel 15 vorgelegten Bewirtschaftungspläne für die Einzugsgebiete, einschließlich Empfehlungen für die Verbesserung künftiger Pläne;</w:t>
      </w:r>
    </w:p>
    <w:p>
      <w:pPr>
        <w:pStyle w:val="GesAbsatz"/>
        <w:ind w:left="426" w:hanging="426"/>
      </w:pPr>
      <w:r>
        <w:t>d)</w:t>
      </w:r>
      <w:r>
        <w:tab/>
        <w:t>eine Zusammenfassung der Stellungnahmen zu allen Berichten und Empfehlungen, die die Mitgliedstaaten der Kommission gemäß Artikel 12 vorlegen;</w:t>
      </w:r>
    </w:p>
    <w:p>
      <w:pPr>
        <w:pStyle w:val="GesAbsatz"/>
        <w:ind w:left="426" w:hanging="426"/>
      </w:pPr>
      <w:r>
        <w:t>e)</w:t>
      </w:r>
      <w:r>
        <w:tab/>
        <w:t>eine Zusammenfassung aller gemäß Artikel 16 entwickelter Vorschläge, Begrenzungsmaßnahmen und Strategien;</w:t>
      </w:r>
    </w:p>
    <w:p>
      <w:pPr>
        <w:pStyle w:val="GesAbsatz"/>
        <w:ind w:left="426" w:hanging="426"/>
      </w:pPr>
      <w:r>
        <w:t>f)</w:t>
      </w:r>
      <w:r>
        <w:tab/>
        <w:t>eine Zusammenfassung der Antworten auf Bemerkungen des Europäischen Parlaments und des Rates zu früheren Berichten über die Umsetzung.</w:t>
      </w:r>
    </w:p>
    <w:p>
      <w:pPr>
        <w:pStyle w:val="GesAbsatz"/>
      </w:pPr>
      <w:r>
        <w:t>(3) Die Kommission veröffentlicht ferner einen Bericht über den Stand der Umsetzung, der sich auf die zusammenfassenden Berichte der Mitgliedstaaten gemäß Artikel 15 Absatz 2 stützt, und legt diesen Bericht spätestens zwei Jahre nach den in den Artikeln 5 und 8 genannten Zeitpunkten dem Europäischen Parlament und den Mitgliedstaaten vor.</w:t>
      </w:r>
    </w:p>
    <w:p>
      <w:pPr>
        <w:pStyle w:val="GesAbsatz"/>
      </w:pPr>
      <w:r>
        <w:lastRenderedPageBreak/>
        <w:t>(4) Die Kommission veröffentlicht innerhalb von drei Jahren nach Veröffentlichung der einzelnen Berichte gemäß Absatz 1 einen Zwischenbericht, in dem auf der Grundlage der Zwischenberichte der Mitgliedstaaten nach Artikel 15 Absatz 3 der Stand der Umsetzung dargelegt wird. Dieser Zwischenbericht wird dem Europäischen Parlament und dem Rat vorgelegt.</w:t>
      </w:r>
    </w:p>
    <w:p>
      <w:pPr>
        <w:pStyle w:val="GesAbsatz"/>
      </w:pPr>
      <w:r>
        <w:t>(5) Die Kommission beruft gegebenenfalls im Einklang mit dem Berichterstattungszyklus eine Konferenz der an der Wasserpolitik der Gemeinschaft interessierten Stellen aus den einzelnen Mitgliedstaaten ein; Zweck dieser Konferenz ist die Kommentierung des Durchführungsberichts der Kommission sowie der Erfahrungsaustausch.</w:t>
      </w:r>
    </w:p>
    <w:p>
      <w:pPr>
        <w:pStyle w:val="GesAbsatz"/>
      </w:pPr>
      <w:r>
        <w:t>Zu den Teilnehmern sollten Vertreter der zuständigen Behörden, des Europäischen Parlaments, der nichtstaatlichen Organisationen, der Sozial- und Wirtschaftspartner, der Verbraucherorganisationen, Wissenschaftler und weitere Sachverständige gehören.</w:t>
      </w:r>
    </w:p>
    <w:p>
      <w:pPr>
        <w:pStyle w:val="berschrift2"/>
      </w:pPr>
      <w:bookmarkStart w:id="20" w:name="_Toc143862480"/>
      <w:r>
        <w:t>Artikel 19</w:t>
      </w:r>
      <w:r>
        <w:br/>
        <w:t>Pläne für künftige Maßnahmen der Gemeinschaft</w:t>
      </w:r>
      <w:bookmarkEnd w:id="20"/>
    </w:p>
    <w:p>
      <w:pPr>
        <w:pStyle w:val="GesAbsatz"/>
      </w:pPr>
      <w:r>
        <w:t>(1) Die Kommission legt dem in Artikel 21 genannten Ausschuss jährlich informationshalber einen indikativen Plan von für die nahe Zukunft geplanten Maßnahmen vor, die Auswirkungen auf Wasserschutzvorschriften haben; hierzu gehören auch Maßnahmen im Rahmen der gemäß Artikel 16 entwickelten Vorschläge, Begrenzungsmaßnahmen und Strategien. Die Kommission unterbreitet spätestens zwei Jahre nach Inkrafttreten dieser Richtlinie die erste Vorlage dieser Art.</w:t>
      </w:r>
    </w:p>
    <w:p>
      <w:pPr>
        <w:pStyle w:val="GesAbsatz"/>
      </w:pPr>
      <w:r>
        <w:t>(2) Die Kommission überprüft diese Richtlinie spätestens 19 Jahre nach ihrem Inkrafttreten und schlägt gegebenenfalls erforderliche Änderungen vor.</w:t>
      </w:r>
    </w:p>
    <w:p>
      <w:pPr>
        <w:pStyle w:val="berschrift2"/>
      </w:pPr>
      <w:bookmarkStart w:id="21" w:name="_Toc143862481"/>
      <w:r>
        <w:t>Artikel 20</w:t>
      </w:r>
      <w:r>
        <w:br/>
        <w:t>Technische Anpassungen dieser Richtlinie</w:t>
      </w:r>
      <w:bookmarkEnd w:id="21"/>
    </w:p>
    <w:p>
      <w:pPr>
        <w:pStyle w:val="GesAbsatz"/>
      </w:pPr>
      <w:r>
        <w:t>(1) Die Anhänge I und III sowie Anhang V Randnummer 1.3.6 können unter Berücksichtigung der Zeiträume für die Überprüfung und Aktualisierung der Bewirtschaftungspläne für das Einzugsgebiet gemäß Artikel 13 an den wissenschaftlichen und technischen Fortschritt angepasst werden. Diese Maßnahmen zur Änderung nicht wesentlicher Bestimmungen dieser Richtlinie werden nach dem in Artikel 21 Absatz 3 genannten Regelungsverfahren mit Kontrolle erlassen.</w:t>
      </w:r>
    </w:p>
    <w:p>
      <w:pPr>
        <w:pStyle w:val="GesAbsatz"/>
      </w:pPr>
      <w:r>
        <w:t>Die Kommission kann erforderlichenfalls nach dem in Artikel 21 Absatz 2 genannten Regelungsverfahren Leitlinien für die Durchführung der Anhänge II und V festlegen.</w:t>
      </w:r>
    </w:p>
    <w:p>
      <w:pPr>
        <w:pStyle w:val="GesAbsatz"/>
      </w:pPr>
      <w:r>
        <w:t>(2) Für die Übermittlung und Verarbeitung von Daten, einschließlich statistischer und kartografischer Daten, können technische Formate für die Zwecke des Absatzes 1 nach dem in Artikel 21 Absatz 2 genannten Regelungsverfahren festgelegt werden.</w:t>
      </w:r>
    </w:p>
    <w:p>
      <w:pPr>
        <w:pStyle w:val="berschrift2"/>
      </w:pPr>
      <w:bookmarkStart w:id="22" w:name="_Toc143862482"/>
      <w:r>
        <w:t>Artikel 21</w:t>
      </w:r>
      <w:r>
        <w:br/>
        <w:t>Ausschussverfahren</w:t>
      </w:r>
      <w:bookmarkEnd w:id="22"/>
    </w:p>
    <w:p>
      <w:pPr>
        <w:pStyle w:val="GesAbsatz"/>
      </w:pPr>
      <w:r>
        <w:t>(1) Die Kommission wird von einem Ausschuss unterstützt.</w:t>
      </w:r>
    </w:p>
    <w:p>
      <w:pPr>
        <w:pStyle w:val="GesAbsatz"/>
      </w:pPr>
      <w:r>
        <w:t>(2) Wird auf diesen Absatz Bezug genommen, so gelten die Artikel 5 und 7 des Beschlusses 1999/468/EG unter Beachtung von dessen Artikel 8.</w:t>
      </w:r>
    </w:p>
    <w:p>
      <w:pPr>
        <w:pStyle w:val="GesAbsatz"/>
      </w:pPr>
      <w:r>
        <w:t>Der Zeitraum nach Artikel 5 Absatz 6 des Beschlusses 1999/468/EG wird auf drei Monate festgesetzt.</w:t>
      </w:r>
    </w:p>
    <w:p>
      <w:pPr>
        <w:pStyle w:val="GesAbsatz"/>
      </w:pPr>
      <w:r>
        <w:t>(3) Wird auf diesen Absatz Bezug genommen, so gelten Artikel 5a Absätze 1 bis 4 und Artikel 7 des Beschlusses 1999/468/EG unter Beachtung von dessen Artikel 8.</w:t>
      </w:r>
    </w:p>
    <w:p>
      <w:pPr>
        <w:pStyle w:val="berschrift2"/>
      </w:pPr>
      <w:bookmarkStart w:id="23" w:name="_Toc143862483"/>
      <w:r>
        <w:t>Artikel 22</w:t>
      </w:r>
      <w:r>
        <w:br/>
        <w:t>Aufhebung von Rechtsakten und Übergangsbestimmungen</w:t>
      </w:r>
      <w:bookmarkEnd w:id="23"/>
    </w:p>
    <w:p>
      <w:pPr>
        <w:pStyle w:val="GesAbsatz"/>
      </w:pPr>
      <w:r>
        <w:t>(1) Folgende Rechtsakte werden sieben Jahre nach Inkrafttreten dieser Richtlinie aufgehoben:</w:t>
      </w:r>
    </w:p>
    <w:p>
      <w:pPr>
        <w:pStyle w:val="GesAbsatz"/>
        <w:ind w:left="426" w:hanging="426"/>
      </w:pPr>
      <w:r>
        <w:rPr>
          <w:rFonts w:cs="Arial"/>
        </w:rPr>
        <w:t>-</w:t>
      </w:r>
      <w:r>
        <w:rPr>
          <w:rFonts w:cs="Arial"/>
        </w:rPr>
        <w:tab/>
        <w:t xml:space="preserve">Richtlinie 75/440/EWG des Rates vom 16. Juni 1975 über </w:t>
      </w:r>
      <w:r>
        <w:t>die Qualitätsanforderungen an Oberflächenwasser für die Trinkwassergewinnung in den Mitgliedstaaten</w:t>
      </w:r>
      <w:r>
        <w:rPr>
          <w:rStyle w:val="Funotenzeichen"/>
        </w:rPr>
        <w:footnoteReference w:id="26"/>
      </w:r>
      <w:r>
        <w:t>,</w:t>
      </w:r>
    </w:p>
    <w:p>
      <w:pPr>
        <w:pStyle w:val="GesAbsatz"/>
        <w:ind w:left="426" w:hanging="426"/>
      </w:pPr>
      <w:r>
        <w:rPr>
          <w:rFonts w:cs="Arial"/>
        </w:rPr>
        <w:t>-</w:t>
      </w:r>
      <w:r>
        <w:rPr>
          <w:rFonts w:cs="Arial"/>
        </w:rPr>
        <w:tab/>
        <w:t xml:space="preserve">Entscheidung 77/795/EWG des Rates vom 12. Dezember </w:t>
      </w:r>
      <w:r>
        <w:t>1977 zur Einführung eines Gemeinsamen Verfahrens zum Informationsaustausch über die Qualität des Oberflächensüßwassers in der Gemeinschaft</w:t>
      </w:r>
      <w:r>
        <w:rPr>
          <w:rStyle w:val="Funotenzeichen"/>
        </w:rPr>
        <w:footnoteReference w:id="27"/>
      </w:r>
      <w:r>
        <w:t>;</w:t>
      </w:r>
    </w:p>
    <w:p>
      <w:pPr>
        <w:pStyle w:val="GesAbsatz"/>
        <w:ind w:left="426" w:hanging="426"/>
      </w:pPr>
      <w:r>
        <w:rPr>
          <w:rFonts w:cs="Arial"/>
        </w:rPr>
        <w:lastRenderedPageBreak/>
        <w:t>-</w:t>
      </w:r>
      <w:r>
        <w:rPr>
          <w:rFonts w:cs="Arial"/>
        </w:rPr>
        <w:tab/>
        <w:t>Richtlinie 79/869/EWG des Rate</w:t>
      </w:r>
      <w:r>
        <w:t>s vom 9. Oktober 1979 über die Messmethoden sowie über die Häufigkeit der Probenahmen und der Analysen des Oberflächenwassers für die Trinkwassergewinnung in den Mitgliedstaaten</w:t>
      </w:r>
      <w:r>
        <w:rPr>
          <w:rStyle w:val="Funotenzeichen"/>
        </w:rPr>
        <w:footnoteReference w:id="28"/>
      </w:r>
      <w:r>
        <w:t>,</w:t>
      </w:r>
    </w:p>
    <w:p>
      <w:pPr>
        <w:pStyle w:val="GesAbsatz"/>
      </w:pPr>
      <w:r>
        <w:t>(2) Folgende Rechtsakte werden 13 Jahre nach Inkrafttreten dieser Richtlinie aufgehoben:</w:t>
      </w:r>
    </w:p>
    <w:p>
      <w:pPr>
        <w:pStyle w:val="GesAbsatz"/>
        <w:ind w:left="426" w:hanging="426"/>
      </w:pPr>
      <w:r>
        <w:rPr>
          <w:rFonts w:cs="Arial"/>
        </w:rPr>
        <w:t>-</w:t>
      </w:r>
      <w:r>
        <w:rPr>
          <w:rFonts w:cs="Arial"/>
        </w:rPr>
        <w:tab/>
        <w:t xml:space="preserve">Richtlinie 78/659/EWG des Rates vom 18. Juli 1978 über </w:t>
      </w:r>
      <w:r>
        <w:t>die Qualität von Süßwasser, das schutz- und verbesserungsbedürftig ist, um das Leben von Fischen zu erhalten</w:t>
      </w:r>
      <w:r>
        <w:rPr>
          <w:rStyle w:val="Funotenzeichen"/>
        </w:rPr>
        <w:footnoteReference w:id="29"/>
      </w:r>
      <w:r>
        <w:t>;</w:t>
      </w:r>
    </w:p>
    <w:p>
      <w:pPr>
        <w:pStyle w:val="GesAbsatz"/>
        <w:ind w:left="426" w:hanging="426"/>
      </w:pPr>
      <w:r>
        <w:rPr>
          <w:rFonts w:cs="Arial"/>
        </w:rPr>
        <w:t>-</w:t>
      </w:r>
      <w:r>
        <w:rPr>
          <w:rFonts w:cs="Arial"/>
        </w:rPr>
        <w:tab/>
        <w:t xml:space="preserve">Richtlinie 79/923/EWG des Rates vom 30. Oktober 1979 </w:t>
      </w:r>
      <w:r>
        <w:t>über die Qualitätsanforderungen an Muschelgewässer</w:t>
      </w:r>
      <w:r>
        <w:rPr>
          <w:rStyle w:val="Funotenzeichen"/>
        </w:rPr>
        <w:footnoteReference w:id="30"/>
      </w:r>
      <w:r>
        <w:t>;</w:t>
      </w:r>
    </w:p>
    <w:p>
      <w:pPr>
        <w:pStyle w:val="GesAbsatz"/>
        <w:ind w:left="426" w:hanging="426"/>
      </w:pPr>
      <w:r>
        <w:rPr>
          <w:rFonts w:cs="Arial"/>
        </w:rPr>
        <w:t>-</w:t>
      </w:r>
      <w:r>
        <w:rPr>
          <w:rFonts w:cs="Arial"/>
        </w:rPr>
        <w:tab/>
        <w:t xml:space="preserve">Richtlinie 80/68/EWG des Rates vom 17. Dezember 1979 </w:t>
      </w:r>
      <w:r>
        <w:t>über den Schutz des Grundwassers gegen Verschmutzung durch bestimmte gefährliche Stoffe;</w:t>
      </w:r>
    </w:p>
    <w:p>
      <w:pPr>
        <w:pStyle w:val="GesAbsatz"/>
        <w:ind w:left="426" w:hanging="426"/>
      </w:pPr>
      <w:r>
        <w:rPr>
          <w:rFonts w:cs="Arial"/>
        </w:rPr>
        <w:t>-</w:t>
      </w:r>
      <w:r>
        <w:rPr>
          <w:rFonts w:cs="Arial"/>
        </w:rPr>
        <w:tab/>
        <w:t>Richtlinie 76/464/EWG, mit Ausnahme des Artikels 6, d</w:t>
      </w:r>
      <w:r>
        <w:t>er mit Inkrafttreten der vorliegenden Richtlinie aufgehoben wird.</w:t>
      </w:r>
    </w:p>
    <w:p>
      <w:pPr>
        <w:pStyle w:val="GesAbsatz"/>
      </w:pPr>
      <w:r>
        <w:t>(3) Für die Richtlinie 76/464/EWG gelten folgende Übergangsbestimmungen:</w:t>
      </w:r>
    </w:p>
    <w:p>
      <w:pPr>
        <w:pStyle w:val="GesAbsatz"/>
        <w:ind w:left="426" w:hanging="426"/>
      </w:pPr>
      <w:r>
        <w:t>a)</w:t>
      </w:r>
      <w:r>
        <w:tab/>
        <w:t>Die gemäß Artikel 16 der vorliegenden Richtlinie festgelegte Liste prioritärer Stoffe ersetzt die in der Mitteilung der Kommission an den Rat vom 22. Juni 1982 enthaltene Liste der prioritären Stoffe;</w:t>
      </w:r>
    </w:p>
    <w:p>
      <w:pPr>
        <w:pStyle w:val="GesAbsatz"/>
        <w:ind w:left="426" w:hanging="426"/>
      </w:pPr>
      <w:r>
        <w:t>b)</w:t>
      </w:r>
      <w:r>
        <w:tab/>
        <w:t>für die Zwecke des Artikels 7 der Richtlinie 76/464/EWG können die Mitgliedstaaten die in der vorliegenden Richtlinie vorgesehenen Grundsätze für die Feststellung von Verschmutzungsproblemen und der sie verursachenden Stoffe, die Festlegung von Qualitätsnormen und die Verabschiedung von Maßnahmen anwenden.</w:t>
      </w:r>
    </w:p>
    <w:p>
      <w:pPr>
        <w:pStyle w:val="GesAbsatz"/>
      </w:pPr>
      <w:r>
        <w:t>(4) Die Umweltziele gemäß Artikel 4 und die Qualitätsnormen, die in Anhang IX und nach Artikel 16 Absatz 7 festgelegt sind und von den Mitgliedstaaten gemäß Anhang V für nicht auf der Liste prioritärer Stoffe stehende Stoffe und nach Artikel 16 Absatz 8 hinsichtlich prioritärer Stoffe, für die keine Gemeinschaftsnormen vorgegeben sind, festgelegt werden, gelten im Sinne des Artikels 2 Nummer 7 und des Artikels 10 der Richtlinie 96/61/EG als Umweltqualitätsnormen.</w:t>
      </w:r>
    </w:p>
    <w:p>
      <w:pPr>
        <w:pStyle w:val="GesAbsatz"/>
      </w:pPr>
      <w:r>
        <w:t>(5) Ist ein auf der Liste prioritärer Stoffe nach Artikel 16 stehender Stoff nicht in Anhang VIII dieser Richtlinie oder in Anhang III der Richtlinie 96/61/EG enthalten, so wird er darin aufgenommen.</w:t>
      </w:r>
    </w:p>
    <w:p>
      <w:pPr>
        <w:pStyle w:val="GesAbsatz"/>
      </w:pPr>
      <w:r>
        <w:t>(6) Bei Oberflächenwasserkörpern müssen mit den Umweltzielen, die im Rahmen des ersten Bewirtschaftungsplans für das Einzugsgebiet gemäß dieser Richtlinie festgelegt werden, als Mindestregelung Qualitätsnormen wirksam werden, die zumindest ebenso streng sind wie die zur Durchführung der Richtlinie 76/464/EWG erforderlichen Normen.</w:t>
      </w:r>
    </w:p>
    <w:p>
      <w:pPr>
        <w:pStyle w:val="berschrift2"/>
      </w:pPr>
      <w:bookmarkStart w:id="24" w:name="_Toc143862484"/>
      <w:r>
        <w:t>Artikel 23</w:t>
      </w:r>
      <w:r>
        <w:br/>
        <w:t>Sanktionen</w:t>
      </w:r>
      <w:bookmarkEnd w:id="24"/>
    </w:p>
    <w:p>
      <w:pPr>
        <w:pStyle w:val="GesAbsatz"/>
      </w:pPr>
      <w:r>
        <w:t>Die Mitgliedstaaten legen Sanktionen für Verstöße gegen die zur Umsetzung dieser Richtlinie erlassenen innerstaatlichen Bestimmungen fest. Die festgelegten Sanktionen müssen wirksam, angemessen und abschreckend sein.</w:t>
      </w:r>
    </w:p>
    <w:p>
      <w:pPr>
        <w:pStyle w:val="berschrift2"/>
      </w:pPr>
      <w:bookmarkStart w:id="25" w:name="_Toc143862485"/>
      <w:r>
        <w:t>Artikel 24</w:t>
      </w:r>
      <w:r>
        <w:br/>
        <w:t>Umsetzung</w:t>
      </w:r>
      <w:bookmarkEnd w:id="25"/>
    </w:p>
    <w:p>
      <w:pPr>
        <w:pStyle w:val="GesAbsatz"/>
      </w:pPr>
      <w:r>
        <w:t>(1) Die Mitgliedstaaten erlassen die Rechts- und Verwaltungsvorschriften, die erforderlich sind, um dieser Richtlinie spätestens ab dem 22. Dezember 2003 nachzukommen. Sie setzen die Kommission unverzüglich davon in Kenntnis.</w:t>
      </w:r>
    </w:p>
    <w:p>
      <w:pPr>
        <w:pStyle w:val="GesAbsatz"/>
      </w:pPr>
      <w:r>
        <w:t>Wenn die Mitgliedstaaten Vorschriften nach Unterabsatz 1 erlassen, nehmen sie in den Vorschriften selbst oder durch einen Hinweis bei der amtlichen Veröffentlichung auf diese Richtlinie Bezug. Die Mitgliedstaaten regeln die Einzelheiten der Bezugnahme.</w:t>
      </w:r>
    </w:p>
    <w:p>
      <w:pPr>
        <w:pStyle w:val="GesAbsatz"/>
      </w:pPr>
      <w:r>
        <w:t>(2) Die Mitgliedstaaten teilen der Kommission den Wortlaut der wichtigsten innerstaatlichen Rechtsvorschriften mit, die sie auf dem unter diese Richtlinie fallenden Gebiet erlassen. Die Kommission unterrichtet die anderen Mitgliedstaaten hiervon.</w:t>
      </w:r>
    </w:p>
    <w:p>
      <w:pPr>
        <w:pStyle w:val="berschrift2"/>
      </w:pPr>
      <w:bookmarkStart w:id="26" w:name="_Toc143862486"/>
      <w:r>
        <w:t>Artikel 25</w:t>
      </w:r>
      <w:r>
        <w:br/>
        <w:t>Inkrafttreten</w:t>
      </w:r>
      <w:bookmarkEnd w:id="26"/>
    </w:p>
    <w:p>
      <w:pPr>
        <w:pStyle w:val="GesAbsatz"/>
      </w:pPr>
      <w:r>
        <w:t>Diese Richtlinie tritt am Tag ihrer Veröffentlichung im Amtsblatt der Europäischen Gemeinschaften in Kraft.</w:t>
      </w:r>
    </w:p>
    <w:p>
      <w:pPr>
        <w:pStyle w:val="berschrift2"/>
      </w:pPr>
      <w:bookmarkStart w:id="27" w:name="_Toc143862487"/>
      <w:r>
        <w:lastRenderedPageBreak/>
        <w:t>Artikel 26</w:t>
      </w:r>
      <w:r>
        <w:br/>
        <w:t>Adressaten</w:t>
      </w:r>
      <w:bookmarkEnd w:id="27"/>
    </w:p>
    <w:p>
      <w:pPr>
        <w:pStyle w:val="GesAbsatz"/>
      </w:pPr>
      <w:r>
        <w:t>Diese Richtlinie ist an die Mitgliedstaaten gerichtet.</w:t>
      </w:r>
    </w:p>
    <w:p>
      <w:pPr>
        <w:pStyle w:val="berschrift2"/>
        <w:jc w:val="left"/>
      </w:pPr>
      <w:bookmarkStart w:id="28" w:name="_Toc143862488"/>
      <w:r>
        <w:t>Anhang I</w:t>
      </w:r>
      <w:bookmarkEnd w:id="28"/>
    </w:p>
    <w:p>
      <w:pPr>
        <w:pStyle w:val="GesAbsatz"/>
        <w:jc w:val="center"/>
        <w:rPr>
          <w:b/>
        </w:rPr>
      </w:pPr>
      <w:r>
        <w:rPr>
          <w:b/>
        </w:rPr>
        <w:t>INFORMATIONEN FÜR DIE ERSTELLUNG DER LISTE DER ZUSTÄNDIGEN BEHÖRDEN</w:t>
      </w:r>
    </w:p>
    <w:p>
      <w:pPr>
        <w:pStyle w:val="GesAbsatz"/>
      </w:pPr>
      <w:r>
        <w:t>Gemäß Artikel 3 Absatz 8 legen die Mitgliedstaaten bezüglich aller zuständigen Behörden jeder Flussgebietseinheit ihres Hoheitsgebiets und aller zuständigen Behörden des Teils internationaler Flussgebietseinheiten, der in ihrem Hoheitsgebiet liegt, folgende Informationen vor:</w:t>
      </w:r>
    </w:p>
    <w:p>
      <w:pPr>
        <w:pStyle w:val="GesAbsatz"/>
        <w:ind w:left="426" w:hanging="426"/>
      </w:pPr>
      <w:r>
        <w:t>i)</w:t>
      </w:r>
      <w:r>
        <w:tab/>
        <w:t>Name und Anschrift der zuständigen Behörde: offizieller Name und offizielle Anschrift der gemäß Artikel 3 Absatz 2 benannten Stelle;</w:t>
      </w:r>
    </w:p>
    <w:p>
      <w:pPr>
        <w:pStyle w:val="GesAbsatz"/>
        <w:ind w:left="426" w:hanging="426"/>
      </w:pPr>
      <w:r>
        <w:t>ii)</w:t>
      </w:r>
      <w:r>
        <w:tab/>
        <w:t>geographische Ausdehnung der Flussgebietseinheit: Namen der wichtigsten Flüsse in der Flussgebietseinheit sowie eine exakte Beschreibung der Grenzlinien. Diese Informationen sollten nach Möglichkeit in einem Format übermittelt werden, das eine Einspeisung in ein geographisches Informationssystem (GIS) und/oder in das geographische Informationssystem der Kommission (GISCO) ermöglicht;</w:t>
      </w:r>
    </w:p>
    <w:p>
      <w:pPr>
        <w:pStyle w:val="GesAbsatz"/>
        <w:ind w:left="426" w:hanging="426"/>
      </w:pPr>
      <w:r>
        <w:t>iii)</w:t>
      </w:r>
      <w:r>
        <w:tab/>
        <w:t>rechtlicher Status der zuständigen Behörde: eine Beschreibung des rechtlichen Status der zuständigen Behörde sowie gegebenenfalls eine Zusammenfassung oder Kopie ihres Statuts, des Gründungsvertrags oder eines gleichwertigen rechtlichen Dokuments;</w:t>
      </w:r>
    </w:p>
    <w:p>
      <w:pPr>
        <w:pStyle w:val="GesAbsatz"/>
        <w:ind w:left="426" w:hanging="426"/>
      </w:pPr>
      <w:r>
        <w:t>iv)</w:t>
      </w:r>
      <w:r>
        <w:tab/>
        <w:t>Zuständigkeiten: eine Beschreibung der rechtlichen und administrativen Zuständigkeiten der zuständigen Behörden und ihrer Rolle innerhalb der Flussgebietseinheit;</w:t>
      </w:r>
    </w:p>
    <w:p>
      <w:pPr>
        <w:pStyle w:val="GesAbsatz"/>
        <w:ind w:left="426" w:hanging="426"/>
      </w:pPr>
      <w:r>
        <w:t>v)</w:t>
      </w:r>
      <w:r>
        <w:tab/>
        <w:t>Mitglieder: wenn eine zuständige Behörde die Tätigkeiten anderer zuständiger Behörden koordiniert, ist eine Liste dieser Stellen vorzulegen sowie eine Zusammenfassung der zur Gewährleistung der Koordinierung aufgenommenen institutionellen Beziehungen;</w:t>
      </w:r>
    </w:p>
    <w:p>
      <w:pPr>
        <w:pStyle w:val="GesAbsatz"/>
        <w:ind w:left="426" w:hanging="426"/>
      </w:pPr>
      <w:r>
        <w:t>vi)</w:t>
      </w:r>
      <w:r>
        <w:tab/>
        <w:t>internationale Beziehungen: wenn die Flussgebietseinheit das Hoheitsgebiet von mehr als einem Mitgliedstaat oder das Hoheitsgebiet eines Drittlandes umfasst, ist eine Zusammenfassung der zur Gewährleistung der Koordinierung aufgenommenen institutionellen Beziehungen vorzulegen.</w:t>
      </w:r>
    </w:p>
    <w:p>
      <w:pPr>
        <w:pStyle w:val="berschrift2"/>
        <w:jc w:val="left"/>
      </w:pPr>
      <w:bookmarkStart w:id="29" w:name="_Toc143862489"/>
      <w:r>
        <w:t>Anhang II</w:t>
      </w:r>
      <w:bookmarkEnd w:id="29"/>
    </w:p>
    <w:p>
      <w:pPr>
        <w:pStyle w:val="GesAbsatz"/>
        <w:rPr>
          <w:b/>
        </w:rPr>
      </w:pPr>
      <w:r>
        <w:rPr>
          <w:b/>
        </w:rPr>
        <w:t>1 OBERFLÄCHENGEWÄSSER</w:t>
      </w:r>
    </w:p>
    <w:p>
      <w:pPr>
        <w:pStyle w:val="GesAbsatz"/>
      </w:pPr>
      <w:r>
        <w:t>1.1 Beschreibung der Typen der Oberflächenwasserkörper</w:t>
      </w:r>
    </w:p>
    <w:p>
      <w:pPr>
        <w:pStyle w:val="GesAbsatz"/>
      </w:pPr>
      <w:r>
        <w:t>Die Mitgliedstaaten ermitteln die Lage und den Grenzverlauf der Oberflächenwasserkörper und nehmen nach dem folgenden Verfahren eine erstmalige Beschreibung all dieser Wasserkörper vor. Die Mitgliedstaaten können Oberflächenwasserkörper zum Zwecke dieser erstmaligen Beschreibung in Gruppen zusammenfassen.</w:t>
      </w:r>
    </w:p>
    <w:p>
      <w:pPr>
        <w:pStyle w:val="GesAbsatz"/>
        <w:ind w:left="426" w:hanging="426"/>
      </w:pPr>
      <w:r>
        <w:t>i)</w:t>
      </w:r>
      <w:r>
        <w:tab/>
        <w:t xml:space="preserve">Die Oberflächenwasserkörper innerhalb der Flussgebietseinheit werden in eine der folgenden Kategorien von Oberflächengewässern </w:t>
      </w:r>
      <w:r>
        <w:rPr>
          <w:rFonts w:cs="Arial"/>
        </w:rPr>
        <w:t xml:space="preserve">- Flüsse, Seen, Übergangsgewässer und Küstengewässer - oder künstliche </w:t>
      </w:r>
      <w:r>
        <w:t>Oberflächenwasserkörper oder erheblich veränderte Oberflächenwasserkörper eingeordnet.</w:t>
      </w:r>
    </w:p>
    <w:p>
      <w:pPr>
        <w:pStyle w:val="GesAbsatz"/>
        <w:ind w:left="426" w:hanging="426"/>
        <w:rPr>
          <w:rFonts w:cs="Arial"/>
        </w:rPr>
      </w:pPr>
      <w:r>
        <w:t>ii)</w:t>
      </w:r>
      <w:r>
        <w:tab/>
        <w:t xml:space="preserve">In jeder Kategorie von Oberflächengewässern sind die betreffenden Oberflächenwasserkörper innerhalb der Flussgebietseinheit nach Typen zu unterscheiden. Diese Typen sind diejenigen, die entweder nach </w:t>
      </w:r>
      <w:r>
        <w:rPr>
          <w:rFonts w:cs="Arial"/>
        </w:rPr>
        <w:t xml:space="preserve">„System </w:t>
      </w:r>
      <w:r>
        <w:t>A</w:t>
      </w:r>
      <w:r>
        <w:rPr>
          <w:rFonts w:cs="Arial"/>
        </w:rPr>
        <w:t>“ oder „Sys</w:t>
      </w:r>
      <w:r>
        <w:t>tem B</w:t>
      </w:r>
      <w:r>
        <w:rPr>
          <w:rFonts w:cs="Arial"/>
        </w:rPr>
        <w:t>“ gemäß Abschnitt 1.2 definiert werden.</w:t>
      </w:r>
    </w:p>
    <w:p>
      <w:pPr>
        <w:pStyle w:val="GesAbsatz"/>
        <w:ind w:left="426" w:hanging="426"/>
      </w:pPr>
      <w:r>
        <w:t>iii)</w:t>
      </w:r>
      <w:r>
        <w:tab/>
        <w:t>Wird System A angewendet, so sind die Oberflächenwasserkörper innerhalb der Flussgebietseinheit zunächst nach den entsprechenden Ökoregionen in Einklang mit den in Abschnitt 1.2 angegebenen und in der betreffenden Karte in Anhang XI dargestellten geographischen Gebieten zu unterscheiden. Die Wasserkörper innerhalb jeder Ökoregion sind dann nach Arten von Oberflächenwasserkörpern entsprechend den in den Tabellen des Systems A angegebenen Deskriptoren zu unterscheiden.</w:t>
      </w:r>
    </w:p>
    <w:p>
      <w:pPr>
        <w:pStyle w:val="GesAbsatz"/>
        <w:ind w:left="426" w:hanging="426"/>
      </w:pPr>
      <w:r>
        <w:t>iv)</w:t>
      </w:r>
      <w:r>
        <w:tab/>
        <w:t>Wird System B angewendet, so müssen die Mitgliedstaaten zu einer mindestens ebenso feinen Unterscheidung gelangen, wie es nach System A der Fall wäre. Entsprechend ist eine Unterscheidung der Oberflächenwasserkörper innerhalb der Flussgebietseinheit zu treffen, und zwar anhand der Werte für die obligatorischen Deskriptoren sowie derjenigen optionalen Deskriptoren oder Deskriptorenkombinationen, die erforderlich sind, um sicherzustellen, dass typspezifische biologische Referenzbedingungen zuverlässig abgeleitet werden können.</w:t>
      </w:r>
    </w:p>
    <w:p>
      <w:pPr>
        <w:pStyle w:val="GesAbsatz"/>
        <w:ind w:left="426" w:hanging="426"/>
      </w:pPr>
      <w:r>
        <w:t>v)</w:t>
      </w:r>
      <w:r>
        <w:tab/>
        <w:t>Bei künstlichen oder erheblich veränderten Oberflächenwasserkörpern ist die Unterscheidung anhand der Deskriptoren für diejenigen Oberflächengewässerkategorien vorzunehmen, die dem betreffenden erheblich veränderten oder künstlichen Wasserkörper am ähnlichsten sind.</w:t>
      </w:r>
    </w:p>
    <w:p>
      <w:pPr>
        <w:pStyle w:val="GesAbsatz"/>
        <w:ind w:left="426" w:hanging="426"/>
      </w:pPr>
      <w:r>
        <w:t>vi)</w:t>
      </w:r>
      <w:r>
        <w:tab/>
        <w:t>Die Mitgliedstaaten übermitteln der Kommission eine oder mehrere Karten (im GIS-Format) der geographischen Lage der Typen in Einklang mit dem nach System A erforderlichen Feinheitsgrad der Unterscheidung.</w:t>
      </w:r>
    </w:p>
    <w:p>
      <w:pPr>
        <w:pStyle w:val="GesAbsatz"/>
      </w:pPr>
      <w:r>
        <w:lastRenderedPageBreak/>
        <w:t>1.2 Ökoregionen und Arten von Oberflächenwasserkörpern</w:t>
      </w:r>
    </w:p>
    <w:p>
      <w:pPr>
        <w:pStyle w:val="GesAbsatz"/>
      </w:pPr>
      <w:r>
        <w:t>1.2.1 Flüsse</w:t>
      </w:r>
    </w:p>
    <w:p>
      <w:pPr>
        <w:pStyle w:val="GesAbsatz"/>
      </w:pPr>
      <w:r>
        <w:t>System A</w:t>
      </w:r>
    </w:p>
    <w:tbl>
      <w:tblPr>
        <w:tblW w:w="8544" w:type="dxa"/>
        <w:tblBorders>
          <w:top w:val="single" w:sz="6" w:space="0" w:color="000000"/>
          <w:bottom w:val="single" w:sz="6" w:space="0" w:color="000000"/>
          <w:insideH w:val="single" w:sz="6" w:space="0" w:color="000000"/>
          <w:insideV w:val="single" w:sz="6" w:space="0" w:color="000000"/>
        </w:tblBorders>
        <w:tblLook w:val="0000" w:firstRow="0" w:lastRow="0" w:firstColumn="0" w:lastColumn="0" w:noHBand="0" w:noVBand="0"/>
      </w:tblPr>
      <w:tblGrid>
        <w:gridCol w:w="2518"/>
        <w:gridCol w:w="6026"/>
      </w:tblGrid>
      <w:tr>
        <w:trPr>
          <w:trHeight w:val="385"/>
        </w:trPr>
        <w:tc>
          <w:tcPr>
            <w:tcW w:w="2518" w:type="dxa"/>
          </w:tcPr>
          <w:p>
            <w:pPr>
              <w:pStyle w:val="GesAbsatz"/>
              <w:jc w:val="left"/>
            </w:pPr>
            <w:r>
              <w:t>Feststehende Typologie</w:t>
            </w:r>
          </w:p>
        </w:tc>
        <w:tc>
          <w:tcPr>
            <w:tcW w:w="6026" w:type="dxa"/>
          </w:tcPr>
          <w:p>
            <w:pPr>
              <w:pStyle w:val="GesAbsatz"/>
              <w:jc w:val="left"/>
            </w:pPr>
            <w:r>
              <w:t>Deskriptoren</w:t>
            </w:r>
          </w:p>
        </w:tc>
      </w:tr>
      <w:tr>
        <w:trPr>
          <w:trHeight w:val="321"/>
        </w:trPr>
        <w:tc>
          <w:tcPr>
            <w:tcW w:w="2518" w:type="dxa"/>
          </w:tcPr>
          <w:p>
            <w:pPr>
              <w:pStyle w:val="GesAbsatz"/>
              <w:jc w:val="left"/>
            </w:pPr>
            <w:r>
              <w:t>Ökoregion</w:t>
            </w:r>
          </w:p>
        </w:tc>
        <w:tc>
          <w:tcPr>
            <w:tcW w:w="6026" w:type="dxa"/>
          </w:tcPr>
          <w:p>
            <w:pPr>
              <w:pStyle w:val="GesAbsatz"/>
              <w:jc w:val="left"/>
            </w:pPr>
            <w:r>
              <w:t>Ökoregionen nach Karte A in Anhang XI</w:t>
            </w:r>
          </w:p>
        </w:tc>
      </w:tr>
      <w:tr>
        <w:trPr>
          <w:trHeight w:val="3756"/>
        </w:trPr>
        <w:tc>
          <w:tcPr>
            <w:tcW w:w="2518" w:type="dxa"/>
          </w:tcPr>
          <w:p>
            <w:pPr>
              <w:pStyle w:val="GesAbsatz"/>
              <w:jc w:val="left"/>
            </w:pPr>
            <w:r>
              <w:t>Typ</w:t>
            </w:r>
          </w:p>
        </w:tc>
        <w:tc>
          <w:tcPr>
            <w:tcW w:w="6026" w:type="dxa"/>
          </w:tcPr>
          <w:p>
            <w:pPr>
              <w:pStyle w:val="GesAbsatz"/>
              <w:tabs>
                <w:tab w:val="clear" w:pos="425"/>
                <w:tab w:val="left" w:pos="360"/>
              </w:tabs>
              <w:jc w:val="left"/>
            </w:pPr>
            <w:r>
              <w:t>Höhenlage</w:t>
            </w:r>
          </w:p>
          <w:p>
            <w:pPr>
              <w:pStyle w:val="GesAbsatz"/>
              <w:tabs>
                <w:tab w:val="clear" w:pos="425"/>
                <w:tab w:val="left" w:pos="360"/>
              </w:tabs>
              <w:jc w:val="left"/>
            </w:pPr>
            <w:r>
              <w:tab/>
              <w:t>höhere Lage: &gt; 800 m</w:t>
            </w:r>
          </w:p>
          <w:p>
            <w:pPr>
              <w:pStyle w:val="GesAbsatz"/>
              <w:tabs>
                <w:tab w:val="clear" w:pos="425"/>
                <w:tab w:val="left" w:pos="360"/>
              </w:tabs>
              <w:jc w:val="left"/>
            </w:pPr>
            <w:r>
              <w:tab/>
              <w:t xml:space="preserve">mittlere Lage: 200 bis 800 m </w:t>
            </w:r>
          </w:p>
          <w:p>
            <w:pPr>
              <w:pStyle w:val="GesAbsatz"/>
              <w:tabs>
                <w:tab w:val="clear" w:pos="425"/>
                <w:tab w:val="left" w:pos="360"/>
              </w:tabs>
              <w:jc w:val="left"/>
            </w:pPr>
            <w:r>
              <w:tab/>
              <w:t>Tiefland: &lt; 200 m</w:t>
            </w:r>
          </w:p>
          <w:p>
            <w:pPr>
              <w:pStyle w:val="GesAbsatz"/>
              <w:jc w:val="left"/>
            </w:pPr>
            <w:r>
              <w:t>Größe (auf der Grundlage des Einzugsgebiets)</w:t>
            </w:r>
          </w:p>
          <w:p>
            <w:pPr>
              <w:pStyle w:val="GesAbsatz"/>
              <w:tabs>
                <w:tab w:val="clear" w:pos="425"/>
                <w:tab w:val="left" w:pos="360"/>
              </w:tabs>
              <w:jc w:val="left"/>
            </w:pPr>
            <w:r>
              <w:tab/>
              <w:t>klein: 10 - 100 km</w:t>
            </w:r>
            <w:r>
              <w:rPr>
                <w:vertAlign w:val="superscript"/>
              </w:rPr>
              <w:t>2</w:t>
            </w:r>
          </w:p>
          <w:p>
            <w:pPr>
              <w:pStyle w:val="GesAbsatz"/>
              <w:tabs>
                <w:tab w:val="clear" w:pos="425"/>
                <w:tab w:val="left" w:pos="360"/>
              </w:tabs>
              <w:jc w:val="left"/>
            </w:pPr>
            <w:r>
              <w:tab/>
              <w:t>mittelgroß: &gt; 100 bis 1000 km²</w:t>
            </w:r>
          </w:p>
          <w:p>
            <w:pPr>
              <w:pStyle w:val="GesAbsatz"/>
              <w:tabs>
                <w:tab w:val="clear" w:pos="425"/>
                <w:tab w:val="left" w:pos="360"/>
              </w:tabs>
              <w:jc w:val="left"/>
            </w:pPr>
            <w:r>
              <w:tab/>
              <w:t>groß: &gt; 1000 bis 10000 km²</w:t>
            </w:r>
          </w:p>
          <w:p>
            <w:pPr>
              <w:pStyle w:val="GesAbsatz"/>
              <w:tabs>
                <w:tab w:val="clear" w:pos="425"/>
                <w:tab w:val="left" w:pos="360"/>
              </w:tabs>
              <w:jc w:val="left"/>
            </w:pPr>
            <w:r>
              <w:tab/>
              <w:t>sehr groß: &gt; 10000 km²</w:t>
            </w:r>
          </w:p>
          <w:p>
            <w:pPr>
              <w:pStyle w:val="GesAbsatz"/>
              <w:tabs>
                <w:tab w:val="clear" w:pos="425"/>
                <w:tab w:val="left" w:pos="360"/>
              </w:tabs>
              <w:jc w:val="left"/>
            </w:pPr>
            <w:r>
              <w:t>Geologie</w:t>
            </w:r>
          </w:p>
          <w:p>
            <w:pPr>
              <w:pStyle w:val="GesAbsatz"/>
              <w:tabs>
                <w:tab w:val="clear" w:pos="425"/>
                <w:tab w:val="left" w:pos="360"/>
              </w:tabs>
              <w:jc w:val="left"/>
            </w:pPr>
            <w:r>
              <w:tab/>
              <w:t>kalkig</w:t>
            </w:r>
          </w:p>
          <w:p>
            <w:pPr>
              <w:pStyle w:val="GesAbsatz"/>
              <w:tabs>
                <w:tab w:val="clear" w:pos="425"/>
                <w:tab w:val="left" w:pos="360"/>
              </w:tabs>
              <w:jc w:val="left"/>
            </w:pPr>
            <w:r>
              <w:tab/>
              <w:t>silikatisch</w:t>
            </w:r>
          </w:p>
          <w:p>
            <w:pPr>
              <w:pStyle w:val="GesAbsatz"/>
              <w:tabs>
                <w:tab w:val="left" w:pos="360"/>
              </w:tabs>
              <w:jc w:val="left"/>
            </w:pPr>
            <w:r>
              <w:tab/>
              <w:t>organisch</w:t>
            </w:r>
          </w:p>
        </w:tc>
      </w:tr>
    </w:tbl>
    <w:p>
      <w:pPr>
        <w:pStyle w:val="GesAbsatz"/>
        <w:rPr>
          <w:rFonts w:ascii="Adve 0663 3w" w:hAnsi="Adve 0663 3w" w:cs="Adve 0663 3w"/>
        </w:rPr>
      </w:pPr>
      <w:r>
        <w:t>System B</w:t>
      </w:r>
    </w:p>
    <w:tbl>
      <w:tblPr>
        <w:tblW w:w="8472" w:type="dxa"/>
        <w:tblBorders>
          <w:top w:val="single" w:sz="6" w:space="0" w:color="000000"/>
          <w:bottom w:val="single" w:sz="6" w:space="0" w:color="000000"/>
          <w:insideH w:val="single" w:sz="6" w:space="0" w:color="000000"/>
          <w:insideV w:val="single" w:sz="6" w:space="0" w:color="000000"/>
        </w:tblBorders>
        <w:tblLook w:val="0000" w:firstRow="0" w:lastRow="0" w:firstColumn="0" w:lastColumn="0" w:noHBand="0" w:noVBand="0"/>
      </w:tblPr>
      <w:tblGrid>
        <w:gridCol w:w="2518"/>
        <w:gridCol w:w="5954"/>
      </w:tblGrid>
      <w:tr>
        <w:trPr>
          <w:trHeight w:val="543"/>
        </w:trPr>
        <w:tc>
          <w:tcPr>
            <w:tcW w:w="2518" w:type="dxa"/>
          </w:tcPr>
          <w:p>
            <w:pPr>
              <w:pStyle w:val="GesAbsatz"/>
              <w:jc w:val="left"/>
            </w:pPr>
            <w:r>
              <w:t>Alternative Beschreibung</w:t>
            </w:r>
          </w:p>
        </w:tc>
        <w:tc>
          <w:tcPr>
            <w:tcW w:w="5954" w:type="dxa"/>
          </w:tcPr>
          <w:p>
            <w:pPr>
              <w:pStyle w:val="GesAbsatz"/>
              <w:jc w:val="left"/>
            </w:pPr>
            <w:r>
              <w:t>Physikalische und chemische Faktoren, die die Eigenschaften des Flusses oder Flussabschnitts und somit die Struktur und Zusammensetzung der Biozönosen bestimmen</w:t>
            </w:r>
          </w:p>
        </w:tc>
      </w:tr>
      <w:tr>
        <w:trPr>
          <w:trHeight w:val="1670"/>
        </w:trPr>
        <w:tc>
          <w:tcPr>
            <w:tcW w:w="2518" w:type="dxa"/>
          </w:tcPr>
          <w:p>
            <w:pPr>
              <w:pStyle w:val="GesAbsatz"/>
              <w:jc w:val="left"/>
            </w:pPr>
            <w:r>
              <w:t>Obligatorische Faktoren</w:t>
            </w:r>
          </w:p>
        </w:tc>
        <w:tc>
          <w:tcPr>
            <w:tcW w:w="5954" w:type="dxa"/>
          </w:tcPr>
          <w:p>
            <w:pPr>
              <w:pStyle w:val="GesAbsatz"/>
              <w:jc w:val="left"/>
            </w:pPr>
            <w:r>
              <w:t>Höhe</w:t>
            </w:r>
          </w:p>
          <w:p>
            <w:pPr>
              <w:pStyle w:val="GesAbsatz"/>
              <w:jc w:val="left"/>
            </w:pPr>
            <w:r>
              <w:t>geographische</w:t>
            </w:r>
          </w:p>
          <w:p>
            <w:pPr>
              <w:pStyle w:val="GesAbsatz"/>
              <w:jc w:val="left"/>
            </w:pPr>
            <w:r>
              <w:t>Breite</w:t>
            </w:r>
          </w:p>
          <w:p>
            <w:pPr>
              <w:pStyle w:val="GesAbsatz"/>
              <w:jc w:val="left"/>
            </w:pPr>
            <w:r>
              <w:t>geographische Länge</w:t>
            </w:r>
          </w:p>
          <w:p>
            <w:pPr>
              <w:pStyle w:val="GesAbsatz"/>
              <w:jc w:val="left"/>
            </w:pPr>
            <w:r>
              <w:t>Geologie</w:t>
            </w:r>
          </w:p>
          <w:p>
            <w:pPr>
              <w:pStyle w:val="GesAbsatz"/>
              <w:jc w:val="left"/>
            </w:pPr>
            <w:r>
              <w:t xml:space="preserve">Größe </w:t>
            </w:r>
          </w:p>
        </w:tc>
      </w:tr>
      <w:tr>
        <w:trPr>
          <w:trHeight w:val="623"/>
        </w:trPr>
        <w:tc>
          <w:tcPr>
            <w:tcW w:w="2518" w:type="dxa"/>
          </w:tcPr>
          <w:p>
            <w:pPr>
              <w:pStyle w:val="GesAbsatz"/>
              <w:jc w:val="left"/>
            </w:pPr>
            <w:r>
              <w:t>Optionale Faktoren</w:t>
            </w:r>
          </w:p>
        </w:tc>
        <w:tc>
          <w:tcPr>
            <w:tcW w:w="5954" w:type="dxa"/>
          </w:tcPr>
          <w:p>
            <w:pPr>
              <w:pStyle w:val="GesAbsatz"/>
              <w:jc w:val="left"/>
            </w:pPr>
            <w:r>
              <w:t>Entfernung von der Quelle des Flusses</w:t>
            </w:r>
          </w:p>
          <w:p>
            <w:pPr>
              <w:pStyle w:val="GesAbsatz"/>
              <w:jc w:val="left"/>
            </w:pPr>
            <w:r>
              <w:t>Strömungsenergie (Funktion von Strömung und Gefälle)</w:t>
            </w:r>
          </w:p>
          <w:p>
            <w:pPr>
              <w:pStyle w:val="GesAbsatz"/>
              <w:jc w:val="left"/>
            </w:pPr>
            <w:r>
              <w:t>durchschnittliche Wasserbreite</w:t>
            </w:r>
          </w:p>
          <w:p>
            <w:pPr>
              <w:pStyle w:val="GesAbsatz"/>
              <w:jc w:val="left"/>
            </w:pPr>
            <w:r>
              <w:t>durchschnittliche Wassertiefe</w:t>
            </w:r>
          </w:p>
          <w:p>
            <w:pPr>
              <w:pStyle w:val="GesAbsatz"/>
              <w:jc w:val="left"/>
            </w:pPr>
            <w:r>
              <w:t>durchschnittliches Wassergefälle</w:t>
            </w:r>
          </w:p>
          <w:p>
            <w:pPr>
              <w:pStyle w:val="GesAbsatz"/>
              <w:jc w:val="left"/>
            </w:pPr>
            <w:r>
              <w:t>Form und Gestalt des Hauptflussbettes</w:t>
            </w:r>
          </w:p>
          <w:p>
            <w:pPr>
              <w:pStyle w:val="GesAbsatz"/>
              <w:jc w:val="left"/>
            </w:pPr>
            <w:r>
              <w:t>Flussabfluss-(Durchfluss-)klasse</w:t>
            </w:r>
          </w:p>
          <w:p>
            <w:pPr>
              <w:pStyle w:val="GesAbsatz"/>
              <w:jc w:val="left"/>
            </w:pPr>
            <w:r>
              <w:t>Talform</w:t>
            </w:r>
          </w:p>
          <w:p>
            <w:pPr>
              <w:pStyle w:val="GesAbsatz"/>
              <w:jc w:val="left"/>
            </w:pPr>
            <w:r>
              <w:t>Feststofffracht</w:t>
            </w:r>
          </w:p>
          <w:p>
            <w:pPr>
              <w:pStyle w:val="GesAbsatz"/>
              <w:jc w:val="left"/>
            </w:pPr>
            <w:r>
              <w:t>Säurebindungsvermögen</w:t>
            </w:r>
          </w:p>
          <w:p>
            <w:pPr>
              <w:pStyle w:val="GesAbsatz"/>
              <w:jc w:val="left"/>
            </w:pPr>
            <w:r>
              <w:t>durchschnittliche Zusammensetzung des Substrats</w:t>
            </w:r>
          </w:p>
          <w:p>
            <w:pPr>
              <w:pStyle w:val="GesAbsatz"/>
              <w:jc w:val="left"/>
            </w:pPr>
            <w:r>
              <w:t>Chlorid</w:t>
            </w:r>
          </w:p>
          <w:p>
            <w:pPr>
              <w:pStyle w:val="GesAbsatz"/>
              <w:jc w:val="left"/>
            </w:pPr>
            <w:r>
              <w:t>Schwankungsbereich der Lufttemperatur</w:t>
            </w:r>
          </w:p>
          <w:p>
            <w:pPr>
              <w:pStyle w:val="GesAbsatz"/>
              <w:jc w:val="left"/>
            </w:pPr>
            <w:r>
              <w:t>durchschnittliche Lufttemperatur</w:t>
            </w:r>
          </w:p>
          <w:p>
            <w:pPr>
              <w:pStyle w:val="GesAbsatz"/>
              <w:jc w:val="left"/>
            </w:pPr>
            <w:r>
              <w:t>Niederschlag</w:t>
            </w:r>
          </w:p>
        </w:tc>
      </w:tr>
    </w:tbl>
    <w:p>
      <w:pPr>
        <w:pStyle w:val="GesAbsatz"/>
        <w:jc w:val="left"/>
      </w:pPr>
      <w:r>
        <w:t>1.2.2 Seen</w:t>
      </w:r>
    </w:p>
    <w:p>
      <w:r>
        <w:rPr>
          <w:rFonts w:ascii="Adve 0663 3w" w:hAnsi="Adve 0663 3w" w:cs="Adve 0663 3w"/>
        </w:rPr>
        <w:t>System A</w:t>
      </w:r>
    </w:p>
    <w:tbl>
      <w:tblPr>
        <w:tblW w:w="8472" w:type="dxa"/>
        <w:tblBorders>
          <w:top w:val="single" w:sz="6" w:space="0" w:color="000000"/>
          <w:bottom w:val="single" w:sz="6" w:space="0" w:color="000000"/>
          <w:insideH w:val="single" w:sz="6" w:space="0" w:color="000000"/>
          <w:insideV w:val="single" w:sz="6" w:space="0" w:color="000000"/>
        </w:tblBorders>
        <w:tblLook w:val="0000" w:firstRow="0" w:lastRow="0" w:firstColumn="0" w:lastColumn="0" w:noHBand="0" w:noVBand="0"/>
      </w:tblPr>
      <w:tblGrid>
        <w:gridCol w:w="2518"/>
        <w:gridCol w:w="5954"/>
      </w:tblGrid>
      <w:tr>
        <w:trPr>
          <w:trHeight w:val="370"/>
        </w:trPr>
        <w:tc>
          <w:tcPr>
            <w:tcW w:w="2518" w:type="dxa"/>
          </w:tcPr>
          <w:p>
            <w:pPr>
              <w:pStyle w:val="GesAbsatz"/>
              <w:jc w:val="left"/>
            </w:pPr>
            <w:r>
              <w:t>Feststehende Typologie</w:t>
            </w:r>
          </w:p>
        </w:tc>
        <w:tc>
          <w:tcPr>
            <w:tcW w:w="5954" w:type="dxa"/>
          </w:tcPr>
          <w:p>
            <w:pPr>
              <w:pStyle w:val="GesAbsatz"/>
              <w:jc w:val="left"/>
            </w:pPr>
            <w:r>
              <w:t>Deskriptoren</w:t>
            </w:r>
          </w:p>
        </w:tc>
      </w:tr>
      <w:tr>
        <w:trPr>
          <w:trHeight w:val="323"/>
        </w:trPr>
        <w:tc>
          <w:tcPr>
            <w:tcW w:w="2518" w:type="dxa"/>
          </w:tcPr>
          <w:p>
            <w:pPr>
              <w:pStyle w:val="GesAbsatz"/>
              <w:jc w:val="left"/>
            </w:pPr>
            <w:r>
              <w:t>Ökoregion</w:t>
            </w:r>
          </w:p>
        </w:tc>
        <w:tc>
          <w:tcPr>
            <w:tcW w:w="5954" w:type="dxa"/>
          </w:tcPr>
          <w:p>
            <w:pPr>
              <w:pStyle w:val="GesAbsatz"/>
              <w:jc w:val="left"/>
            </w:pPr>
            <w:r>
              <w:t>Ökoregionen nach Karte A in Anhang XI</w:t>
            </w:r>
          </w:p>
        </w:tc>
      </w:tr>
      <w:tr>
        <w:trPr>
          <w:trHeight w:val="959"/>
        </w:trPr>
        <w:tc>
          <w:tcPr>
            <w:tcW w:w="2518" w:type="dxa"/>
          </w:tcPr>
          <w:p>
            <w:pPr>
              <w:pStyle w:val="GesAbsatz"/>
              <w:jc w:val="left"/>
            </w:pPr>
            <w:r>
              <w:lastRenderedPageBreak/>
              <w:t>Typ</w:t>
            </w:r>
          </w:p>
        </w:tc>
        <w:tc>
          <w:tcPr>
            <w:tcW w:w="5954" w:type="dxa"/>
          </w:tcPr>
          <w:p>
            <w:pPr>
              <w:pStyle w:val="GesAbsatz"/>
              <w:jc w:val="left"/>
            </w:pPr>
            <w:r>
              <w:t>Höhenlage</w:t>
            </w:r>
          </w:p>
          <w:p>
            <w:pPr>
              <w:pStyle w:val="GesAbsatz"/>
              <w:tabs>
                <w:tab w:val="clear" w:pos="425"/>
                <w:tab w:val="left" w:pos="389"/>
              </w:tabs>
              <w:jc w:val="left"/>
            </w:pPr>
            <w:r>
              <w:tab/>
              <w:t>höhere Lage: &gt; 800 m</w:t>
            </w:r>
          </w:p>
          <w:p>
            <w:pPr>
              <w:pStyle w:val="GesAbsatz"/>
              <w:tabs>
                <w:tab w:val="clear" w:pos="425"/>
                <w:tab w:val="left" w:pos="389"/>
              </w:tabs>
              <w:jc w:val="left"/>
            </w:pPr>
            <w:r>
              <w:tab/>
              <w:t>mittlere Lage: 200 bis 800 m</w:t>
            </w:r>
          </w:p>
          <w:p>
            <w:pPr>
              <w:pStyle w:val="GesAbsatz"/>
              <w:tabs>
                <w:tab w:val="clear" w:pos="425"/>
                <w:tab w:val="left" w:pos="389"/>
              </w:tabs>
              <w:jc w:val="left"/>
            </w:pPr>
            <w:r>
              <w:tab/>
              <w:t>Tiefland: &lt; 200 m</w:t>
            </w:r>
          </w:p>
          <w:p>
            <w:pPr>
              <w:pStyle w:val="GesAbsatz"/>
              <w:tabs>
                <w:tab w:val="clear" w:pos="425"/>
                <w:tab w:val="left" w:pos="389"/>
              </w:tabs>
              <w:jc w:val="left"/>
            </w:pPr>
            <w:r>
              <w:t>Tiefe (auf der Grundlage der durchschnittlichen Tiefe)</w:t>
            </w:r>
          </w:p>
          <w:p>
            <w:pPr>
              <w:pStyle w:val="GesAbsatz"/>
              <w:tabs>
                <w:tab w:val="clear" w:pos="425"/>
                <w:tab w:val="left" w:pos="389"/>
              </w:tabs>
              <w:jc w:val="left"/>
            </w:pPr>
            <w:r>
              <w:tab/>
              <w:t>&lt; 3 m</w:t>
            </w:r>
          </w:p>
          <w:p>
            <w:pPr>
              <w:pStyle w:val="GesAbsatz"/>
              <w:tabs>
                <w:tab w:val="clear" w:pos="425"/>
                <w:tab w:val="left" w:pos="389"/>
              </w:tabs>
              <w:jc w:val="left"/>
            </w:pPr>
            <w:r>
              <w:tab/>
              <w:t xml:space="preserve">3 bis 15m </w:t>
            </w:r>
          </w:p>
          <w:p>
            <w:pPr>
              <w:pStyle w:val="GesAbsatz"/>
              <w:tabs>
                <w:tab w:val="clear" w:pos="425"/>
                <w:tab w:val="left" w:pos="389"/>
              </w:tabs>
              <w:jc w:val="left"/>
            </w:pPr>
            <w:r>
              <w:tab/>
              <w:t>&gt; 15 m</w:t>
            </w:r>
          </w:p>
          <w:p>
            <w:pPr>
              <w:pStyle w:val="GesAbsatz"/>
              <w:tabs>
                <w:tab w:val="clear" w:pos="425"/>
                <w:tab w:val="left" w:pos="389"/>
              </w:tabs>
              <w:jc w:val="left"/>
            </w:pPr>
            <w:r>
              <w:t>Größe (auf der Grundlage der Oberfläche)</w:t>
            </w:r>
          </w:p>
          <w:p>
            <w:pPr>
              <w:pStyle w:val="GesAbsatz"/>
              <w:tabs>
                <w:tab w:val="clear" w:pos="425"/>
                <w:tab w:val="left" w:pos="389"/>
              </w:tabs>
              <w:jc w:val="left"/>
            </w:pPr>
            <w:r>
              <w:tab/>
              <w:t>0,5 bis 1 km²</w:t>
            </w:r>
          </w:p>
          <w:p>
            <w:pPr>
              <w:pStyle w:val="GesAbsatz"/>
              <w:tabs>
                <w:tab w:val="clear" w:pos="425"/>
                <w:tab w:val="left" w:pos="389"/>
              </w:tabs>
              <w:jc w:val="left"/>
            </w:pPr>
            <w:r>
              <w:tab/>
              <w:t>1 bis 10 km²</w:t>
            </w:r>
          </w:p>
          <w:p>
            <w:pPr>
              <w:pStyle w:val="GesAbsatz"/>
              <w:tabs>
                <w:tab w:val="clear" w:pos="425"/>
                <w:tab w:val="left" w:pos="389"/>
              </w:tabs>
              <w:jc w:val="left"/>
            </w:pPr>
            <w:r>
              <w:tab/>
              <w:t>10 bis 100 km²</w:t>
            </w:r>
          </w:p>
          <w:p>
            <w:pPr>
              <w:pStyle w:val="GesAbsatz"/>
              <w:tabs>
                <w:tab w:val="clear" w:pos="425"/>
                <w:tab w:val="left" w:pos="389"/>
              </w:tabs>
              <w:jc w:val="left"/>
            </w:pPr>
            <w:r>
              <w:tab/>
              <w:t>&gt; 100 km²</w:t>
            </w:r>
          </w:p>
          <w:p>
            <w:pPr>
              <w:pStyle w:val="GesAbsatz"/>
              <w:tabs>
                <w:tab w:val="clear" w:pos="425"/>
                <w:tab w:val="left" w:pos="389"/>
              </w:tabs>
              <w:jc w:val="left"/>
            </w:pPr>
            <w:r>
              <w:t>Geologie</w:t>
            </w:r>
          </w:p>
          <w:p>
            <w:pPr>
              <w:pStyle w:val="GesAbsatz"/>
              <w:tabs>
                <w:tab w:val="clear" w:pos="425"/>
                <w:tab w:val="left" w:pos="389"/>
              </w:tabs>
              <w:jc w:val="left"/>
            </w:pPr>
            <w:r>
              <w:tab/>
              <w:t>kalkig</w:t>
            </w:r>
          </w:p>
          <w:p>
            <w:pPr>
              <w:pStyle w:val="GesAbsatz"/>
              <w:tabs>
                <w:tab w:val="clear" w:pos="425"/>
                <w:tab w:val="left" w:pos="389"/>
              </w:tabs>
              <w:jc w:val="left"/>
            </w:pPr>
            <w:r>
              <w:tab/>
              <w:t>silikatisch</w:t>
            </w:r>
          </w:p>
          <w:p>
            <w:pPr>
              <w:pStyle w:val="GesAbsatz"/>
              <w:tabs>
                <w:tab w:val="clear" w:pos="425"/>
                <w:tab w:val="left" w:pos="389"/>
              </w:tabs>
              <w:jc w:val="left"/>
            </w:pPr>
            <w:r>
              <w:tab/>
              <w:t>organisch</w:t>
            </w:r>
          </w:p>
        </w:tc>
      </w:tr>
    </w:tbl>
    <w:p>
      <w:pPr>
        <w:pStyle w:val="GesAbsatz"/>
      </w:pPr>
      <w:r>
        <w:t>System B</w:t>
      </w:r>
    </w:p>
    <w:tbl>
      <w:tblPr>
        <w:tblW w:w="8472" w:type="dxa"/>
        <w:tblBorders>
          <w:top w:val="single" w:sz="6" w:space="0" w:color="000000"/>
          <w:bottom w:val="single" w:sz="6" w:space="0" w:color="000000"/>
          <w:insideH w:val="single" w:sz="6" w:space="0" w:color="000000"/>
          <w:insideV w:val="single" w:sz="6" w:space="0" w:color="000000"/>
        </w:tblBorders>
        <w:tblLayout w:type="fixed"/>
        <w:tblLook w:val="0000" w:firstRow="0" w:lastRow="0" w:firstColumn="0" w:lastColumn="0" w:noHBand="0" w:noVBand="0"/>
      </w:tblPr>
      <w:tblGrid>
        <w:gridCol w:w="2518"/>
        <w:gridCol w:w="5954"/>
      </w:tblGrid>
      <w:tr>
        <w:trPr>
          <w:trHeight w:val="420"/>
        </w:trPr>
        <w:tc>
          <w:tcPr>
            <w:tcW w:w="2518" w:type="dxa"/>
          </w:tcPr>
          <w:p>
            <w:pPr>
              <w:pStyle w:val="GesAbsatz"/>
              <w:jc w:val="left"/>
              <w:rPr>
                <w:rFonts w:cs="Arial"/>
              </w:rPr>
            </w:pPr>
            <w:r>
              <w:rPr>
                <w:rFonts w:cs="Arial"/>
              </w:rPr>
              <w:t>Alternative Beschreibung</w:t>
            </w:r>
          </w:p>
        </w:tc>
        <w:tc>
          <w:tcPr>
            <w:tcW w:w="5954" w:type="dxa"/>
          </w:tcPr>
          <w:p>
            <w:pPr>
              <w:pStyle w:val="GesAbsatz"/>
              <w:jc w:val="left"/>
              <w:rPr>
                <w:rFonts w:cs="Arial"/>
              </w:rPr>
            </w:pPr>
            <w:r>
              <w:rPr>
                <w:rFonts w:cs="Arial"/>
              </w:rPr>
              <w:t>Physikalische und chemische Faktoren, die die Eigenschaften des Sees und somit die Struktur und Zusammensetzung der Biozönosen bestimmen</w:t>
            </w:r>
          </w:p>
        </w:tc>
      </w:tr>
      <w:tr>
        <w:trPr>
          <w:trHeight w:val="543"/>
        </w:trPr>
        <w:tc>
          <w:tcPr>
            <w:tcW w:w="2518" w:type="dxa"/>
          </w:tcPr>
          <w:p>
            <w:pPr>
              <w:pStyle w:val="GesAbsatz"/>
              <w:jc w:val="left"/>
              <w:rPr>
                <w:rFonts w:cs="Arial"/>
              </w:rPr>
            </w:pPr>
            <w:r>
              <w:rPr>
                <w:rFonts w:cs="Arial"/>
              </w:rPr>
              <w:t>Obligatorische Faktoren</w:t>
            </w:r>
          </w:p>
        </w:tc>
        <w:tc>
          <w:tcPr>
            <w:tcW w:w="5954" w:type="dxa"/>
          </w:tcPr>
          <w:p>
            <w:pPr>
              <w:pStyle w:val="GesAbsatz"/>
              <w:jc w:val="left"/>
              <w:rPr>
                <w:rFonts w:cs="Arial"/>
              </w:rPr>
            </w:pPr>
            <w:r>
              <w:rPr>
                <w:rFonts w:cs="Arial"/>
              </w:rPr>
              <w:t>Höhe</w:t>
            </w:r>
          </w:p>
          <w:p>
            <w:pPr>
              <w:pStyle w:val="GesAbsatz"/>
              <w:jc w:val="left"/>
              <w:rPr>
                <w:rFonts w:cs="Arial"/>
              </w:rPr>
            </w:pPr>
            <w:r>
              <w:rPr>
                <w:rFonts w:cs="Arial"/>
              </w:rPr>
              <w:t>geographische Breite</w:t>
            </w:r>
          </w:p>
          <w:p>
            <w:pPr>
              <w:pStyle w:val="GesAbsatz"/>
              <w:jc w:val="left"/>
              <w:rPr>
                <w:rFonts w:cs="Arial"/>
              </w:rPr>
            </w:pPr>
            <w:r>
              <w:rPr>
                <w:rFonts w:cs="Arial"/>
              </w:rPr>
              <w:t>geographische Länge</w:t>
            </w:r>
          </w:p>
          <w:p>
            <w:pPr>
              <w:pStyle w:val="GesAbsatz"/>
              <w:jc w:val="left"/>
              <w:rPr>
                <w:rFonts w:cs="Arial"/>
              </w:rPr>
            </w:pPr>
            <w:r>
              <w:rPr>
                <w:rFonts w:cs="Arial"/>
              </w:rPr>
              <w:t>Geologie</w:t>
            </w:r>
          </w:p>
          <w:p>
            <w:pPr>
              <w:pStyle w:val="GesAbsatz"/>
              <w:jc w:val="left"/>
              <w:rPr>
                <w:rFonts w:cs="Arial"/>
              </w:rPr>
            </w:pPr>
            <w:r>
              <w:rPr>
                <w:rFonts w:cs="Arial"/>
              </w:rPr>
              <w:t>Größe</w:t>
            </w:r>
          </w:p>
        </w:tc>
      </w:tr>
      <w:tr>
        <w:trPr>
          <w:trHeight w:val="907"/>
        </w:trPr>
        <w:tc>
          <w:tcPr>
            <w:tcW w:w="2518" w:type="dxa"/>
          </w:tcPr>
          <w:p>
            <w:pPr>
              <w:pStyle w:val="GesAbsatz"/>
              <w:jc w:val="left"/>
              <w:rPr>
                <w:rFonts w:cs="Arial"/>
              </w:rPr>
            </w:pPr>
            <w:r>
              <w:rPr>
                <w:rFonts w:cs="Arial"/>
              </w:rPr>
              <w:t>Optionale Faktoren</w:t>
            </w:r>
          </w:p>
        </w:tc>
        <w:tc>
          <w:tcPr>
            <w:tcW w:w="5954" w:type="dxa"/>
          </w:tcPr>
          <w:p>
            <w:pPr>
              <w:pStyle w:val="GesAbsatz"/>
              <w:jc w:val="left"/>
              <w:rPr>
                <w:rFonts w:cs="Arial"/>
              </w:rPr>
            </w:pPr>
            <w:r>
              <w:rPr>
                <w:rFonts w:cs="Arial"/>
              </w:rPr>
              <w:t>durchschnittliche Wassertiefe</w:t>
            </w:r>
          </w:p>
          <w:p>
            <w:pPr>
              <w:pStyle w:val="GesAbsatz"/>
              <w:jc w:val="left"/>
              <w:rPr>
                <w:rFonts w:cs="Arial"/>
              </w:rPr>
            </w:pPr>
            <w:r>
              <w:rPr>
                <w:rFonts w:cs="Arial"/>
              </w:rPr>
              <w:t>Morphologie des Sees</w:t>
            </w:r>
          </w:p>
          <w:p>
            <w:pPr>
              <w:pStyle w:val="GesAbsatz"/>
              <w:jc w:val="left"/>
              <w:rPr>
                <w:rFonts w:cs="Arial"/>
              </w:rPr>
            </w:pPr>
            <w:r>
              <w:rPr>
                <w:rFonts w:cs="Arial"/>
              </w:rPr>
              <w:t>Wassererneuerungszeit</w:t>
            </w:r>
          </w:p>
          <w:p>
            <w:pPr>
              <w:pStyle w:val="GesAbsatz"/>
              <w:jc w:val="left"/>
              <w:rPr>
                <w:rFonts w:cs="Arial"/>
              </w:rPr>
            </w:pPr>
            <w:r>
              <w:rPr>
                <w:rFonts w:cs="Arial"/>
              </w:rPr>
              <w:t>durchschnittliche Lufttemperatur</w:t>
            </w:r>
          </w:p>
          <w:p>
            <w:pPr>
              <w:pStyle w:val="GesAbsatz"/>
              <w:jc w:val="left"/>
              <w:rPr>
                <w:rFonts w:cs="Arial"/>
              </w:rPr>
            </w:pPr>
            <w:r>
              <w:rPr>
                <w:rFonts w:cs="Arial"/>
              </w:rPr>
              <w:t>Schwankungsbereich der Lufttemperatur</w:t>
            </w:r>
          </w:p>
          <w:p>
            <w:pPr>
              <w:pStyle w:val="GesAbsatz"/>
              <w:jc w:val="left"/>
              <w:rPr>
                <w:rFonts w:cs="Arial"/>
              </w:rPr>
            </w:pPr>
            <w:r>
              <w:rPr>
                <w:rFonts w:cs="Arial"/>
              </w:rPr>
              <w:t>Durchmischungseigenschaften (z.B. monomiktisch, dimiktisch, polymiktisch)</w:t>
            </w:r>
          </w:p>
          <w:p>
            <w:pPr>
              <w:pStyle w:val="GesAbsatz"/>
              <w:jc w:val="left"/>
              <w:rPr>
                <w:rFonts w:cs="Arial"/>
              </w:rPr>
            </w:pPr>
            <w:r>
              <w:rPr>
                <w:rFonts w:cs="Arial"/>
              </w:rPr>
              <w:t>Säurebindungsvermögen</w:t>
            </w:r>
          </w:p>
          <w:p>
            <w:pPr>
              <w:pStyle w:val="GesAbsatz"/>
              <w:jc w:val="left"/>
              <w:rPr>
                <w:rFonts w:cs="Arial"/>
              </w:rPr>
            </w:pPr>
            <w:r>
              <w:rPr>
                <w:rFonts w:cs="Arial"/>
              </w:rPr>
              <w:t>natürliche Nährstoffsituation</w:t>
            </w:r>
          </w:p>
          <w:p>
            <w:pPr>
              <w:pStyle w:val="GesAbsatz"/>
              <w:jc w:val="left"/>
              <w:rPr>
                <w:rFonts w:cs="Arial"/>
              </w:rPr>
            </w:pPr>
            <w:r>
              <w:rPr>
                <w:rFonts w:cs="Arial"/>
              </w:rPr>
              <w:t>durchschnittliche Zusammensetzung des Substrats</w:t>
            </w:r>
          </w:p>
          <w:p>
            <w:pPr>
              <w:pStyle w:val="GesAbsatz"/>
              <w:jc w:val="left"/>
              <w:rPr>
                <w:rFonts w:cs="Arial"/>
              </w:rPr>
            </w:pPr>
            <w:r>
              <w:rPr>
                <w:rFonts w:cs="Arial"/>
              </w:rPr>
              <w:t>Wasserspiegelschwankungen</w:t>
            </w:r>
          </w:p>
        </w:tc>
      </w:tr>
    </w:tbl>
    <w:p>
      <w:pPr>
        <w:pStyle w:val="GesAbsatz"/>
      </w:pPr>
      <w:r>
        <w:t>1.2.3 Übergangsgewässer</w:t>
      </w:r>
    </w:p>
    <w:p>
      <w:pPr>
        <w:pStyle w:val="GesAbsatz"/>
      </w:pPr>
      <w:r>
        <w:t>System A</w:t>
      </w:r>
    </w:p>
    <w:tbl>
      <w:tblPr>
        <w:tblW w:w="8472" w:type="dxa"/>
        <w:tblBorders>
          <w:top w:val="single" w:sz="6" w:space="0" w:color="000000"/>
          <w:bottom w:val="single" w:sz="6" w:space="0" w:color="000000"/>
          <w:insideH w:val="single" w:sz="6" w:space="0" w:color="000000"/>
          <w:insideV w:val="single" w:sz="6" w:space="0" w:color="000000"/>
        </w:tblBorders>
        <w:tblLayout w:type="fixed"/>
        <w:tblLook w:val="0000" w:firstRow="0" w:lastRow="0" w:firstColumn="0" w:lastColumn="0" w:noHBand="0" w:noVBand="0"/>
      </w:tblPr>
      <w:tblGrid>
        <w:gridCol w:w="2518"/>
        <w:gridCol w:w="5954"/>
      </w:tblGrid>
      <w:tr>
        <w:trPr>
          <w:trHeight w:val="370"/>
        </w:trPr>
        <w:tc>
          <w:tcPr>
            <w:tcW w:w="2518" w:type="dxa"/>
          </w:tcPr>
          <w:p>
            <w:pPr>
              <w:pStyle w:val="GesAbsatz"/>
              <w:jc w:val="left"/>
              <w:rPr>
                <w:rFonts w:cs="Arial"/>
              </w:rPr>
            </w:pPr>
            <w:r>
              <w:rPr>
                <w:rFonts w:cs="Arial"/>
              </w:rPr>
              <w:t>Feststehende Typologie</w:t>
            </w:r>
          </w:p>
        </w:tc>
        <w:tc>
          <w:tcPr>
            <w:tcW w:w="5954" w:type="dxa"/>
          </w:tcPr>
          <w:p>
            <w:pPr>
              <w:pStyle w:val="GesAbsatz"/>
              <w:jc w:val="left"/>
              <w:rPr>
                <w:rFonts w:cs="Arial"/>
              </w:rPr>
            </w:pPr>
            <w:r>
              <w:rPr>
                <w:rFonts w:cs="Arial"/>
              </w:rPr>
              <w:t>Deskriptoren</w:t>
            </w:r>
          </w:p>
        </w:tc>
      </w:tr>
      <w:tr>
        <w:trPr>
          <w:trHeight w:val="1941"/>
        </w:trPr>
        <w:tc>
          <w:tcPr>
            <w:tcW w:w="2518" w:type="dxa"/>
          </w:tcPr>
          <w:p>
            <w:pPr>
              <w:pStyle w:val="GesAbsatz"/>
              <w:jc w:val="left"/>
              <w:rPr>
                <w:rFonts w:cs="Arial"/>
              </w:rPr>
            </w:pPr>
            <w:r>
              <w:rPr>
                <w:rFonts w:cs="Arial"/>
              </w:rPr>
              <w:t>Ökoregion</w:t>
            </w:r>
          </w:p>
        </w:tc>
        <w:tc>
          <w:tcPr>
            <w:tcW w:w="5954" w:type="dxa"/>
          </w:tcPr>
          <w:p>
            <w:pPr>
              <w:pStyle w:val="GesAbsatz"/>
              <w:jc w:val="left"/>
              <w:rPr>
                <w:rFonts w:cs="Arial"/>
              </w:rPr>
            </w:pPr>
            <w:r>
              <w:rPr>
                <w:rFonts w:cs="Arial"/>
              </w:rPr>
              <w:t>Regionen nach Karte B in Anhang XI</w:t>
            </w:r>
          </w:p>
          <w:p>
            <w:pPr>
              <w:pStyle w:val="GesAbsatz"/>
              <w:jc w:val="left"/>
              <w:rPr>
                <w:rFonts w:cs="Arial"/>
              </w:rPr>
            </w:pPr>
            <w:r>
              <w:rPr>
                <w:rFonts w:cs="Arial"/>
              </w:rPr>
              <w:tab/>
              <w:t>Ostsee</w:t>
            </w:r>
          </w:p>
          <w:p>
            <w:pPr>
              <w:pStyle w:val="GesAbsatz"/>
              <w:jc w:val="left"/>
              <w:rPr>
                <w:rFonts w:cs="Arial"/>
              </w:rPr>
            </w:pPr>
            <w:r>
              <w:rPr>
                <w:rFonts w:cs="Arial"/>
              </w:rPr>
              <w:tab/>
              <w:t>Barentssee</w:t>
            </w:r>
          </w:p>
          <w:p>
            <w:pPr>
              <w:pStyle w:val="GesAbsatz"/>
              <w:jc w:val="left"/>
              <w:rPr>
                <w:rFonts w:cs="Arial"/>
              </w:rPr>
            </w:pPr>
            <w:r>
              <w:rPr>
                <w:rFonts w:cs="Arial"/>
              </w:rPr>
              <w:tab/>
              <w:t>Norwegische See</w:t>
            </w:r>
          </w:p>
          <w:p>
            <w:pPr>
              <w:pStyle w:val="GesAbsatz"/>
              <w:jc w:val="left"/>
              <w:rPr>
                <w:rFonts w:cs="Arial"/>
              </w:rPr>
            </w:pPr>
            <w:r>
              <w:rPr>
                <w:rFonts w:cs="Arial"/>
              </w:rPr>
              <w:tab/>
              <w:t>Nordsee</w:t>
            </w:r>
          </w:p>
          <w:p>
            <w:pPr>
              <w:pStyle w:val="GesAbsatz"/>
              <w:jc w:val="left"/>
              <w:rPr>
                <w:rFonts w:cs="Arial"/>
              </w:rPr>
            </w:pPr>
            <w:r>
              <w:rPr>
                <w:rFonts w:cs="Arial"/>
              </w:rPr>
              <w:tab/>
              <w:t>Nordatlantik</w:t>
            </w:r>
          </w:p>
          <w:p>
            <w:pPr>
              <w:pStyle w:val="GesAbsatz"/>
              <w:jc w:val="left"/>
              <w:rPr>
                <w:rFonts w:cs="Arial"/>
              </w:rPr>
            </w:pPr>
            <w:r>
              <w:rPr>
                <w:rFonts w:cs="Arial"/>
                <w:lang w:val="en-GB"/>
              </w:rPr>
              <w:tab/>
            </w:r>
            <w:r>
              <w:rPr>
                <w:rFonts w:cs="Arial"/>
              </w:rPr>
              <w:t>Mittelmeer</w:t>
            </w:r>
          </w:p>
        </w:tc>
      </w:tr>
      <w:tr>
        <w:trPr>
          <w:trHeight w:val="2905"/>
        </w:trPr>
        <w:tc>
          <w:tcPr>
            <w:tcW w:w="2518" w:type="dxa"/>
          </w:tcPr>
          <w:p>
            <w:pPr>
              <w:pStyle w:val="GesAbsatz"/>
              <w:jc w:val="left"/>
              <w:rPr>
                <w:rFonts w:cs="Arial"/>
              </w:rPr>
            </w:pPr>
            <w:r>
              <w:rPr>
                <w:rFonts w:cs="Arial"/>
              </w:rPr>
              <w:lastRenderedPageBreak/>
              <w:t>Typ</w:t>
            </w:r>
          </w:p>
        </w:tc>
        <w:tc>
          <w:tcPr>
            <w:tcW w:w="5954" w:type="dxa"/>
          </w:tcPr>
          <w:p>
            <w:pPr>
              <w:pStyle w:val="GesAbsatz"/>
              <w:jc w:val="left"/>
              <w:rPr>
                <w:rFonts w:cs="Arial"/>
              </w:rPr>
            </w:pPr>
            <w:r>
              <w:rPr>
                <w:rFonts w:cs="Arial"/>
              </w:rPr>
              <w:t>Jahresbezogener durchschnittlicher Salzgehalt</w:t>
            </w:r>
          </w:p>
          <w:p>
            <w:pPr>
              <w:pStyle w:val="GesAbsatz"/>
              <w:jc w:val="left"/>
              <w:rPr>
                <w:rFonts w:cs="Arial"/>
              </w:rPr>
            </w:pPr>
            <w:r>
              <w:rPr>
                <w:rFonts w:cs="Arial"/>
              </w:rPr>
              <w:tab/>
              <w:t>&lt; 0,5 %o: Süßwasser</w:t>
            </w:r>
          </w:p>
          <w:p>
            <w:pPr>
              <w:pStyle w:val="GesAbsatz"/>
              <w:jc w:val="left"/>
              <w:rPr>
                <w:rFonts w:cs="Arial"/>
              </w:rPr>
            </w:pPr>
            <w:r>
              <w:rPr>
                <w:rFonts w:cs="Arial"/>
              </w:rPr>
              <w:tab/>
              <w:t>0,5 bis &lt; 5 %o: oligohalin</w:t>
            </w:r>
          </w:p>
          <w:p>
            <w:pPr>
              <w:pStyle w:val="GesAbsatz"/>
              <w:jc w:val="left"/>
              <w:rPr>
                <w:rFonts w:cs="Arial"/>
              </w:rPr>
            </w:pPr>
            <w:r>
              <w:rPr>
                <w:rFonts w:cs="Arial"/>
              </w:rPr>
              <w:tab/>
              <w:t>5 bis &lt; 18 %o: mesohalin</w:t>
            </w:r>
          </w:p>
          <w:p>
            <w:pPr>
              <w:pStyle w:val="GesAbsatz"/>
              <w:jc w:val="left"/>
              <w:rPr>
                <w:rFonts w:cs="Arial"/>
              </w:rPr>
            </w:pPr>
            <w:r>
              <w:rPr>
                <w:rFonts w:cs="Arial"/>
              </w:rPr>
              <w:tab/>
              <w:t>18 bis &lt; 30 %o: polyhalin</w:t>
            </w:r>
          </w:p>
          <w:p>
            <w:pPr>
              <w:pStyle w:val="GesAbsatz"/>
              <w:jc w:val="left"/>
              <w:rPr>
                <w:rFonts w:cs="Arial"/>
              </w:rPr>
            </w:pPr>
            <w:r>
              <w:rPr>
                <w:rFonts w:cs="Arial"/>
              </w:rPr>
              <w:tab/>
              <w:t>30 bis &lt; 40 %o: euhalin</w:t>
            </w:r>
          </w:p>
          <w:p>
            <w:pPr>
              <w:pStyle w:val="GesAbsatz"/>
              <w:jc w:val="left"/>
              <w:rPr>
                <w:rFonts w:cs="Arial"/>
              </w:rPr>
            </w:pPr>
            <w:r>
              <w:rPr>
                <w:rFonts w:cs="Arial"/>
              </w:rPr>
              <w:t>Durchschnittlicher Tidenhub</w:t>
            </w:r>
          </w:p>
          <w:p>
            <w:pPr>
              <w:pStyle w:val="GesAbsatz"/>
              <w:jc w:val="left"/>
              <w:rPr>
                <w:rFonts w:cs="Arial"/>
              </w:rPr>
            </w:pPr>
            <w:r>
              <w:rPr>
                <w:rFonts w:cs="Arial"/>
              </w:rPr>
              <w:tab/>
              <w:t>&lt; 2 m: mikrotidal</w:t>
            </w:r>
          </w:p>
          <w:p>
            <w:pPr>
              <w:pStyle w:val="GesAbsatz"/>
              <w:jc w:val="left"/>
              <w:rPr>
                <w:rFonts w:cs="Arial"/>
              </w:rPr>
            </w:pPr>
            <w:r>
              <w:rPr>
                <w:rFonts w:cs="Arial"/>
              </w:rPr>
              <w:tab/>
              <w:t>2 bis 4 m: mesotidal</w:t>
            </w:r>
          </w:p>
          <w:p>
            <w:pPr>
              <w:pStyle w:val="GesAbsatz"/>
              <w:jc w:val="left"/>
              <w:rPr>
                <w:rFonts w:cs="Arial"/>
              </w:rPr>
            </w:pPr>
            <w:r>
              <w:rPr>
                <w:rFonts w:cs="Arial"/>
              </w:rPr>
              <w:tab/>
              <w:t>&gt; 4 m: makrotidal</w:t>
            </w:r>
          </w:p>
        </w:tc>
      </w:tr>
    </w:tbl>
    <w:p>
      <w:r>
        <w:t>System B</w:t>
      </w:r>
    </w:p>
    <w:tbl>
      <w:tblPr>
        <w:tblW w:w="8472" w:type="dxa"/>
        <w:tblBorders>
          <w:top w:val="single" w:sz="6" w:space="0" w:color="000000"/>
          <w:bottom w:val="single" w:sz="6" w:space="0" w:color="000000"/>
          <w:insideH w:val="single" w:sz="6" w:space="0" w:color="000000"/>
          <w:insideV w:val="single" w:sz="6" w:space="0" w:color="000000"/>
        </w:tblBorders>
        <w:tblLayout w:type="fixed"/>
        <w:tblLook w:val="0000" w:firstRow="0" w:lastRow="0" w:firstColumn="0" w:lastColumn="0" w:noHBand="0" w:noVBand="0"/>
      </w:tblPr>
      <w:tblGrid>
        <w:gridCol w:w="2518"/>
        <w:gridCol w:w="5954"/>
      </w:tblGrid>
      <w:tr>
        <w:trPr>
          <w:trHeight w:val="543"/>
        </w:trPr>
        <w:tc>
          <w:tcPr>
            <w:tcW w:w="2518" w:type="dxa"/>
          </w:tcPr>
          <w:p>
            <w:pPr>
              <w:pStyle w:val="GesAbsatz"/>
              <w:jc w:val="left"/>
              <w:rPr>
                <w:rFonts w:cs="Arial"/>
              </w:rPr>
            </w:pPr>
            <w:r>
              <w:rPr>
                <w:rFonts w:cs="Arial"/>
              </w:rPr>
              <w:t>Alternative Beschreibung</w:t>
            </w:r>
          </w:p>
        </w:tc>
        <w:tc>
          <w:tcPr>
            <w:tcW w:w="5954" w:type="dxa"/>
          </w:tcPr>
          <w:p>
            <w:pPr>
              <w:pStyle w:val="GesAbsatz"/>
              <w:jc w:val="left"/>
              <w:rPr>
                <w:rFonts w:cs="Arial"/>
              </w:rPr>
            </w:pPr>
            <w:r>
              <w:rPr>
                <w:rFonts w:cs="Arial"/>
              </w:rPr>
              <w:t>Physikalische und chemische Faktoren, die die Eigenschaften des Übergangsgewässers und somit die Struktur und Zusammensetzung der Biozönosen bestimmen</w:t>
            </w:r>
          </w:p>
        </w:tc>
      </w:tr>
      <w:tr>
        <w:trPr>
          <w:trHeight w:val="1149"/>
        </w:trPr>
        <w:tc>
          <w:tcPr>
            <w:tcW w:w="2518" w:type="dxa"/>
          </w:tcPr>
          <w:p>
            <w:pPr>
              <w:pStyle w:val="GesAbsatz"/>
              <w:jc w:val="left"/>
              <w:rPr>
                <w:rFonts w:cs="Arial"/>
              </w:rPr>
            </w:pPr>
            <w:r>
              <w:rPr>
                <w:rFonts w:cs="Arial"/>
              </w:rPr>
              <w:t>Obligatorische Faktoren</w:t>
            </w:r>
          </w:p>
        </w:tc>
        <w:tc>
          <w:tcPr>
            <w:tcW w:w="5954" w:type="dxa"/>
          </w:tcPr>
          <w:p>
            <w:pPr>
              <w:pStyle w:val="GesAbsatz"/>
              <w:jc w:val="left"/>
              <w:rPr>
                <w:rFonts w:cs="Arial"/>
              </w:rPr>
            </w:pPr>
            <w:r>
              <w:rPr>
                <w:rFonts w:cs="Arial"/>
              </w:rPr>
              <w:t>geographische Breite</w:t>
            </w:r>
          </w:p>
          <w:p>
            <w:pPr>
              <w:pStyle w:val="GesAbsatz"/>
              <w:jc w:val="left"/>
              <w:rPr>
                <w:rFonts w:cs="Arial"/>
              </w:rPr>
            </w:pPr>
            <w:r>
              <w:rPr>
                <w:rFonts w:cs="Arial"/>
              </w:rPr>
              <w:t>geographische Länge</w:t>
            </w:r>
          </w:p>
          <w:p>
            <w:pPr>
              <w:pStyle w:val="GesAbsatz"/>
              <w:jc w:val="left"/>
              <w:rPr>
                <w:rFonts w:cs="Arial"/>
              </w:rPr>
            </w:pPr>
            <w:r>
              <w:rPr>
                <w:rFonts w:cs="Arial"/>
              </w:rPr>
              <w:t>Tidenhub</w:t>
            </w:r>
          </w:p>
          <w:p>
            <w:pPr>
              <w:pStyle w:val="GesAbsatz"/>
              <w:jc w:val="left"/>
              <w:rPr>
                <w:rFonts w:cs="Arial"/>
              </w:rPr>
            </w:pPr>
            <w:r>
              <w:rPr>
                <w:rFonts w:cs="Arial"/>
              </w:rPr>
              <w:t>Salzgehalt</w:t>
            </w:r>
          </w:p>
        </w:tc>
      </w:tr>
      <w:tr>
        <w:trPr>
          <w:trHeight w:val="2645"/>
        </w:trPr>
        <w:tc>
          <w:tcPr>
            <w:tcW w:w="2518" w:type="dxa"/>
          </w:tcPr>
          <w:p>
            <w:pPr>
              <w:pStyle w:val="GesAbsatz"/>
              <w:jc w:val="left"/>
              <w:rPr>
                <w:rFonts w:cs="Arial"/>
              </w:rPr>
            </w:pPr>
            <w:r>
              <w:rPr>
                <w:rFonts w:cs="Arial"/>
              </w:rPr>
              <w:t>Optionale Faktoren</w:t>
            </w:r>
          </w:p>
        </w:tc>
        <w:tc>
          <w:tcPr>
            <w:tcW w:w="5954" w:type="dxa"/>
          </w:tcPr>
          <w:p>
            <w:pPr>
              <w:pStyle w:val="GesAbsatz"/>
              <w:jc w:val="left"/>
              <w:rPr>
                <w:rFonts w:cs="Arial"/>
              </w:rPr>
            </w:pPr>
            <w:r>
              <w:rPr>
                <w:rFonts w:cs="Arial"/>
              </w:rPr>
              <w:t>Tiefe</w:t>
            </w:r>
          </w:p>
          <w:p>
            <w:pPr>
              <w:pStyle w:val="GesAbsatz"/>
              <w:jc w:val="left"/>
              <w:rPr>
                <w:rFonts w:cs="Arial"/>
              </w:rPr>
            </w:pPr>
            <w:r>
              <w:rPr>
                <w:rFonts w:cs="Arial"/>
              </w:rPr>
              <w:t>Strömungsgeschwindigkeit</w:t>
            </w:r>
          </w:p>
          <w:p>
            <w:pPr>
              <w:pStyle w:val="GesAbsatz"/>
              <w:jc w:val="left"/>
              <w:rPr>
                <w:rFonts w:cs="Arial"/>
              </w:rPr>
            </w:pPr>
            <w:r>
              <w:rPr>
                <w:rFonts w:cs="Arial"/>
              </w:rPr>
              <w:t>Wellenexposition</w:t>
            </w:r>
          </w:p>
          <w:p>
            <w:pPr>
              <w:pStyle w:val="GesAbsatz"/>
              <w:jc w:val="left"/>
              <w:rPr>
                <w:rFonts w:cs="Arial"/>
              </w:rPr>
            </w:pPr>
            <w:r>
              <w:rPr>
                <w:rFonts w:cs="Arial"/>
              </w:rPr>
              <w:t>Verweildauer</w:t>
            </w:r>
          </w:p>
          <w:p>
            <w:pPr>
              <w:pStyle w:val="GesAbsatz"/>
              <w:jc w:val="left"/>
              <w:rPr>
                <w:rFonts w:cs="Arial"/>
              </w:rPr>
            </w:pPr>
            <w:r>
              <w:rPr>
                <w:rFonts w:cs="Arial"/>
              </w:rPr>
              <w:t>durchschnittliche Wassertemperatur</w:t>
            </w:r>
          </w:p>
          <w:p>
            <w:pPr>
              <w:pStyle w:val="GesAbsatz"/>
              <w:jc w:val="left"/>
              <w:rPr>
                <w:rFonts w:cs="Arial"/>
              </w:rPr>
            </w:pPr>
            <w:r>
              <w:rPr>
                <w:rFonts w:cs="Arial"/>
              </w:rPr>
              <w:t>Durchmischungseigenschaften</w:t>
            </w:r>
          </w:p>
          <w:p>
            <w:pPr>
              <w:pStyle w:val="GesAbsatz"/>
              <w:jc w:val="left"/>
              <w:rPr>
                <w:rFonts w:cs="Arial"/>
              </w:rPr>
            </w:pPr>
            <w:r>
              <w:rPr>
                <w:rFonts w:cs="Arial"/>
              </w:rPr>
              <w:t>Durchschnittliche Zusammensetzung des Substrats</w:t>
            </w:r>
          </w:p>
          <w:p>
            <w:pPr>
              <w:pStyle w:val="GesAbsatz"/>
              <w:jc w:val="left"/>
              <w:rPr>
                <w:rFonts w:cs="Arial"/>
              </w:rPr>
            </w:pPr>
            <w:r>
              <w:rPr>
                <w:rFonts w:cs="Arial"/>
              </w:rPr>
              <w:t>Gestalt</w:t>
            </w:r>
          </w:p>
          <w:p>
            <w:pPr>
              <w:pStyle w:val="GesAbsatz"/>
              <w:jc w:val="left"/>
              <w:rPr>
                <w:rFonts w:cs="Arial"/>
              </w:rPr>
            </w:pPr>
            <w:r>
              <w:rPr>
                <w:rFonts w:cs="Arial"/>
              </w:rPr>
              <w:t>Schwankungsbereich der Wassertemperatur</w:t>
            </w:r>
          </w:p>
        </w:tc>
      </w:tr>
    </w:tbl>
    <w:p>
      <w:pPr>
        <w:pStyle w:val="GesAbsatz"/>
      </w:pPr>
      <w:r>
        <w:t>1.2.4 Küstengewässer</w:t>
      </w:r>
    </w:p>
    <w:p>
      <w:pPr>
        <w:pStyle w:val="GesAbsatz"/>
      </w:pPr>
      <w:r>
        <w:t>System A</w:t>
      </w:r>
    </w:p>
    <w:tbl>
      <w:tblPr>
        <w:tblW w:w="8472" w:type="dxa"/>
        <w:tblBorders>
          <w:top w:val="single" w:sz="6" w:space="0" w:color="000000"/>
          <w:bottom w:val="single" w:sz="6" w:space="0" w:color="000000"/>
          <w:insideH w:val="single" w:sz="6" w:space="0" w:color="000000"/>
          <w:insideV w:val="single" w:sz="6" w:space="0" w:color="000000"/>
        </w:tblBorders>
        <w:tblLayout w:type="fixed"/>
        <w:tblLook w:val="0000" w:firstRow="0" w:lastRow="0" w:firstColumn="0" w:lastColumn="0" w:noHBand="0" w:noVBand="0"/>
      </w:tblPr>
      <w:tblGrid>
        <w:gridCol w:w="2518"/>
        <w:gridCol w:w="5954"/>
      </w:tblGrid>
      <w:tr>
        <w:trPr>
          <w:trHeight w:val="373"/>
        </w:trPr>
        <w:tc>
          <w:tcPr>
            <w:tcW w:w="2518" w:type="dxa"/>
          </w:tcPr>
          <w:p>
            <w:pPr>
              <w:pStyle w:val="GesAbsatz"/>
              <w:jc w:val="left"/>
              <w:rPr>
                <w:rFonts w:cs="Arial"/>
              </w:rPr>
            </w:pPr>
            <w:r>
              <w:rPr>
                <w:rFonts w:cs="Arial"/>
              </w:rPr>
              <w:t>Feststehende Typologie</w:t>
            </w:r>
          </w:p>
        </w:tc>
        <w:tc>
          <w:tcPr>
            <w:tcW w:w="5954" w:type="dxa"/>
          </w:tcPr>
          <w:p>
            <w:pPr>
              <w:pStyle w:val="GesAbsatz"/>
              <w:jc w:val="left"/>
              <w:rPr>
                <w:rFonts w:cs="Arial"/>
              </w:rPr>
            </w:pPr>
            <w:r>
              <w:rPr>
                <w:rFonts w:cs="Arial"/>
              </w:rPr>
              <w:t>Deskriptoren</w:t>
            </w:r>
          </w:p>
        </w:tc>
      </w:tr>
      <w:tr>
        <w:trPr>
          <w:trHeight w:val="2058"/>
        </w:trPr>
        <w:tc>
          <w:tcPr>
            <w:tcW w:w="2518" w:type="dxa"/>
          </w:tcPr>
          <w:p>
            <w:pPr>
              <w:pStyle w:val="GesAbsatz"/>
              <w:jc w:val="left"/>
              <w:rPr>
                <w:rFonts w:cs="Arial"/>
              </w:rPr>
            </w:pPr>
            <w:r>
              <w:rPr>
                <w:rFonts w:cs="Arial"/>
              </w:rPr>
              <w:t>Ökoregion</w:t>
            </w:r>
          </w:p>
        </w:tc>
        <w:tc>
          <w:tcPr>
            <w:tcW w:w="5954" w:type="dxa"/>
          </w:tcPr>
          <w:p>
            <w:pPr>
              <w:pStyle w:val="GesAbsatz"/>
              <w:jc w:val="left"/>
              <w:rPr>
                <w:rFonts w:cs="Arial"/>
              </w:rPr>
            </w:pPr>
            <w:r>
              <w:rPr>
                <w:rFonts w:cs="Arial"/>
              </w:rPr>
              <w:t>Regionen nach Karte B in Anhang XI</w:t>
            </w:r>
          </w:p>
          <w:p>
            <w:pPr>
              <w:pStyle w:val="GesAbsatz"/>
              <w:jc w:val="left"/>
              <w:rPr>
                <w:rFonts w:cs="Arial"/>
              </w:rPr>
            </w:pPr>
            <w:r>
              <w:rPr>
                <w:rFonts w:cs="Arial"/>
              </w:rPr>
              <w:tab/>
              <w:t>Ostsee</w:t>
            </w:r>
          </w:p>
          <w:p>
            <w:pPr>
              <w:pStyle w:val="GesAbsatz"/>
              <w:jc w:val="left"/>
              <w:rPr>
                <w:rFonts w:cs="Arial"/>
              </w:rPr>
            </w:pPr>
            <w:r>
              <w:rPr>
                <w:rFonts w:cs="Arial"/>
                <w:lang w:val="en-GB"/>
              </w:rPr>
              <w:tab/>
            </w:r>
            <w:r>
              <w:rPr>
                <w:rFonts w:cs="Arial"/>
              </w:rPr>
              <w:t>Barentssee</w:t>
            </w:r>
          </w:p>
          <w:p>
            <w:pPr>
              <w:pStyle w:val="GesAbsatz"/>
              <w:jc w:val="left"/>
              <w:rPr>
                <w:rFonts w:cs="Arial"/>
                <w:lang w:val="en-GB"/>
              </w:rPr>
            </w:pPr>
            <w:r>
              <w:rPr>
                <w:rFonts w:cs="Arial"/>
                <w:lang w:val="en-GB"/>
              </w:rPr>
              <w:tab/>
            </w:r>
            <w:r>
              <w:rPr>
                <w:rFonts w:cs="Arial"/>
              </w:rPr>
              <w:t>Norwegische</w:t>
            </w:r>
            <w:r>
              <w:rPr>
                <w:rFonts w:cs="Arial"/>
                <w:lang w:val="en-GB"/>
              </w:rPr>
              <w:t xml:space="preserve"> See</w:t>
            </w:r>
          </w:p>
          <w:p>
            <w:pPr>
              <w:pStyle w:val="GesAbsatz"/>
              <w:jc w:val="left"/>
              <w:rPr>
                <w:rFonts w:cs="Arial"/>
              </w:rPr>
            </w:pPr>
            <w:r>
              <w:rPr>
                <w:rFonts w:cs="Arial"/>
                <w:lang w:val="en-GB"/>
              </w:rPr>
              <w:tab/>
            </w:r>
            <w:r>
              <w:rPr>
                <w:rFonts w:cs="Arial"/>
              </w:rPr>
              <w:t>Nordsee</w:t>
            </w:r>
          </w:p>
          <w:p>
            <w:pPr>
              <w:pStyle w:val="GesAbsatz"/>
              <w:jc w:val="left"/>
              <w:rPr>
                <w:rFonts w:cs="Arial"/>
              </w:rPr>
            </w:pPr>
            <w:r>
              <w:rPr>
                <w:rFonts w:cs="Arial"/>
                <w:lang w:val="en-GB"/>
              </w:rPr>
              <w:tab/>
            </w:r>
            <w:r>
              <w:rPr>
                <w:rFonts w:cs="Arial"/>
              </w:rPr>
              <w:t>Nordatlantik</w:t>
            </w:r>
          </w:p>
          <w:p>
            <w:pPr>
              <w:pStyle w:val="GesAbsatz"/>
              <w:jc w:val="left"/>
              <w:rPr>
                <w:rFonts w:cs="Arial"/>
              </w:rPr>
            </w:pPr>
            <w:r>
              <w:rPr>
                <w:rFonts w:cs="Arial"/>
                <w:lang w:val="en-GB"/>
              </w:rPr>
              <w:tab/>
            </w:r>
            <w:r>
              <w:rPr>
                <w:rFonts w:cs="Arial"/>
              </w:rPr>
              <w:t>Mittelmeer</w:t>
            </w:r>
          </w:p>
        </w:tc>
      </w:tr>
      <w:tr>
        <w:trPr>
          <w:trHeight w:val="2905"/>
        </w:trPr>
        <w:tc>
          <w:tcPr>
            <w:tcW w:w="2518" w:type="dxa"/>
          </w:tcPr>
          <w:p>
            <w:pPr>
              <w:pStyle w:val="GesAbsatz"/>
              <w:jc w:val="left"/>
              <w:rPr>
                <w:rFonts w:cs="Arial"/>
              </w:rPr>
            </w:pPr>
            <w:r>
              <w:rPr>
                <w:rFonts w:cs="Arial"/>
              </w:rPr>
              <w:t>Typ</w:t>
            </w:r>
          </w:p>
        </w:tc>
        <w:tc>
          <w:tcPr>
            <w:tcW w:w="5954" w:type="dxa"/>
          </w:tcPr>
          <w:p>
            <w:pPr>
              <w:pStyle w:val="GesAbsatz"/>
              <w:jc w:val="left"/>
              <w:rPr>
                <w:rFonts w:cs="Arial"/>
              </w:rPr>
            </w:pPr>
            <w:r>
              <w:rPr>
                <w:rFonts w:cs="Arial"/>
              </w:rPr>
              <w:t>Jahresbezogener durchschnittlicher Salzgehalt</w:t>
            </w:r>
          </w:p>
          <w:p>
            <w:pPr>
              <w:pStyle w:val="GesAbsatz"/>
              <w:jc w:val="left"/>
              <w:rPr>
                <w:rFonts w:cs="Arial"/>
              </w:rPr>
            </w:pPr>
            <w:r>
              <w:rPr>
                <w:rFonts w:cs="Arial"/>
              </w:rPr>
              <w:tab/>
              <w:t>&lt; 0,5 %o: Süßwasser</w:t>
            </w:r>
          </w:p>
          <w:p>
            <w:pPr>
              <w:pStyle w:val="GesAbsatz"/>
              <w:jc w:val="left"/>
              <w:rPr>
                <w:rFonts w:cs="Arial"/>
              </w:rPr>
            </w:pPr>
            <w:r>
              <w:rPr>
                <w:rFonts w:cs="Arial"/>
              </w:rPr>
              <w:tab/>
              <w:t>0,5 bis &lt; 5 %o: oligohalin</w:t>
            </w:r>
          </w:p>
          <w:p>
            <w:pPr>
              <w:pStyle w:val="GesAbsatz"/>
              <w:jc w:val="left"/>
              <w:rPr>
                <w:rFonts w:cs="Arial"/>
              </w:rPr>
            </w:pPr>
            <w:r>
              <w:rPr>
                <w:rFonts w:cs="Arial"/>
              </w:rPr>
              <w:tab/>
              <w:t>5 bis &lt; 18 %o: mesohalin</w:t>
            </w:r>
          </w:p>
          <w:p>
            <w:pPr>
              <w:pStyle w:val="GesAbsatz"/>
              <w:jc w:val="left"/>
              <w:rPr>
                <w:rFonts w:cs="Arial"/>
              </w:rPr>
            </w:pPr>
            <w:r>
              <w:rPr>
                <w:rFonts w:cs="Arial"/>
              </w:rPr>
              <w:tab/>
              <w:t>18 bis &lt; 30 %o: polyhalin</w:t>
            </w:r>
          </w:p>
          <w:p>
            <w:pPr>
              <w:pStyle w:val="GesAbsatz"/>
              <w:jc w:val="left"/>
              <w:rPr>
                <w:rFonts w:cs="Arial"/>
              </w:rPr>
            </w:pPr>
            <w:r>
              <w:rPr>
                <w:rFonts w:cs="Arial"/>
              </w:rPr>
              <w:tab/>
              <w:t>30 bis &lt; 40 %o: euhalin</w:t>
            </w:r>
          </w:p>
          <w:p>
            <w:pPr>
              <w:pStyle w:val="GesAbsatz"/>
              <w:jc w:val="left"/>
              <w:rPr>
                <w:rFonts w:cs="Arial"/>
              </w:rPr>
            </w:pPr>
            <w:r>
              <w:rPr>
                <w:rFonts w:cs="Arial"/>
              </w:rPr>
              <w:t>Durchschnittliche Tiefe</w:t>
            </w:r>
          </w:p>
          <w:p>
            <w:pPr>
              <w:pStyle w:val="GesAbsatz"/>
              <w:jc w:val="left"/>
              <w:rPr>
                <w:rFonts w:cs="Arial"/>
              </w:rPr>
            </w:pPr>
            <w:r>
              <w:rPr>
                <w:rFonts w:cs="Arial"/>
              </w:rPr>
              <w:tab/>
              <w:t>Flachwasser:&lt; 30 m</w:t>
            </w:r>
          </w:p>
          <w:p>
            <w:pPr>
              <w:pStyle w:val="GesAbsatz"/>
              <w:jc w:val="left"/>
              <w:rPr>
                <w:rFonts w:cs="Arial"/>
              </w:rPr>
            </w:pPr>
            <w:r>
              <w:rPr>
                <w:rFonts w:cs="Arial"/>
              </w:rPr>
              <w:tab/>
              <w:t>Wasser mittlerer Tiefe: (30 bis 200 m)</w:t>
            </w:r>
          </w:p>
          <w:p>
            <w:pPr>
              <w:pStyle w:val="GesAbsatz"/>
              <w:jc w:val="left"/>
              <w:rPr>
                <w:rFonts w:cs="Arial"/>
              </w:rPr>
            </w:pPr>
            <w:r>
              <w:rPr>
                <w:rFonts w:cs="Arial"/>
              </w:rPr>
              <w:tab/>
              <w:t>Tiefsee: &gt; 200 m</w:t>
            </w:r>
          </w:p>
        </w:tc>
      </w:tr>
    </w:tbl>
    <w:p>
      <w:pPr>
        <w:pStyle w:val="GesAbsatz"/>
      </w:pPr>
      <w:r>
        <w:lastRenderedPageBreak/>
        <w:t>System B</w:t>
      </w:r>
    </w:p>
    <w:tbl>
      <w:tblPr>
        <w:tblW w:w="8472" w:type="dxa"/>
        <w:tblBorders>
          <w:top w:val="nil"/>
          <w:left w:val="nil"/>
          <w:bottom w:val="nil"/>
          <w:right w:val="nil"/>
        </w:tblBorders>
        <w:tblLayout w:type="fixed"/>
        <w:tblLook w:val="0000" w:firstRow="0" w:lastRow="0" w:firstColumn="0" w:lastColumn="0" w:noHBand="0" w:noVBand="0"/>
      </w:tblPr>
      <w:tblGrid>
        <w:gridCol w:w="2518"/>
        <w:gridCol w:w="5954"/>
      </w:tblGrid>
      <w:tr>
        <w:trPr>
          <w:trHeight w:val="543"/>
        </w:trPr>
        <w:tc>
          <w:tcPr>
            <w:tcW w:w="2518" w:type="dxa"/>
            <w:tcBorders>
              <w:top w:val="single" w:sz="6" w:space="0" w:color="000000"/>
              <w:bottom w:val="single" w:sz="6" w:space="0" w:color="000000"/>
              <w:right w:val="single" w:sz="5" w:space="0" w:color="000000"/>
            </w:tcBorders>
          </w:tcPr>
          <w:p>
            <w:pPr>
              <w:pStyle w:val="GesAbsatz"/>
              <w:jc w:val="left"/>
              <w:rPr>
                <w:rFonts w:cs="Arial"/>
              </w:rPr>
            </w:pPr>
            <w:r>
              <w:rPr>
                <w:rFonts w:cs="Arial"/>
              </w:rPr>
              <w:t>Alternative Beschreibung</w:t>
            </w:r>
          </w:p>
        </w:tc>
        <w:tc>
          <w:tcPr>
            <w:tcW w:w="5954" w:type="dxa"/>
            <w:tcBorders>
              <w:top w:val="single" w:sz="6" w:space="0" w:color="000000"/>
              <w:left w:val="single" w:sz="5" w:space="0" w:color="000000"/>
              <w:bottom w:val="single" w:sz="6" w:space="0" w:color="000000"/>
            </w:tcBorders>
          </w:tcPr>
          <w:p>
            <w:pPr>
              <w:pStyle w:val="GesAbsatz"/>
              <w:jc w:val="left"/>
              <w:rPr>
                <w:rFonts w:cs="Arial"/>
              </w:rPr>
            </w:pPr>
            <w:r>
              <w:rPr>
                <w:rFonts w:cs="Arial"/>
              </w:rPr>
              <w:t>Physikalische und chemische Faktoren, die die Eigenschaften des Küstengewässers und somit die Struktur und Zusammensetzung der Biozönosen bestimmen</w:t>
            </w:r>
          </w:p>
        </w:tc>
      </w:tr>
      <w:tr>
        <w:trPr>
          <w:trHeight w:val="1091"/>
        </w:trPr>
        <w:tc>
          <w:tcPr>
            <w:tcW w:w="2518" w:type="dxa"/>
            <w:tcBorders>
              <w:top w:val="single" w:sz="6" w:space="0" w:color="000000"/>
              <w:bottom w:val="single" w:sz="6" w:space="0" w:color="000000"/>
              <w:right w:val="single" w:sz="5" w:space="0" w:color="000000"/>
            </w:tcBorders>
          </w:tcPr>
          <w:p>
            <w:pPr>
              <w:pStyle w:val="GesAbsatz"/>
              <w:jc w:val="left"/>
              <w:rPr>
                <w:rFonts w:cs="Arial"/>
              </w:rPr>
            </w:pPr>
            <w:r>
              <w:rPr>
                <w:rFonts w:cs="Arial"/>
              </w:rPr>
              <w:t>Obligatorische Faktoren</w:t>
            </w:r>
          </w:p>
        </w:tc>
        <w:tc>
          <w:tcPr>
            <w:tcW w:w="5954" w:type="dxa"/>
            <w:tcBorders>
              <w:top w:val="single" w:sz="6" w:space="0" w:color="000000"/>
              <w:left w:val="single" w:sz="5" w:space="0" w:color="000000"/>
              <w:bottom w:val="single" w:sz="6" w:space="0" w:color="000000"/>
            </w:tcBorders>
          </w:tcPr>
          <w:p>
            <w:pPr>
              <w:pStyle w:val="GesAbsatz"/>
              <w:jc w:val="left"/>
              <w:rPr>
                <w:rFonts w:cs="Arial"/>
              </w:rPr>
            </w:pPr>
            <w:r>
              <w:rPr>
                <w:rFonts w:cs="Arial"/>
              </w:rPr>
              <w:t>geographische Breite</w:t>
            </w:r>
          </w:p>
          <w:p>
            <w:pPr>
              <w:pStyle w:val="GesAbsatz"/>
              <w:jc w:val="left"/>
              <w:rPr>
                <w:rFonts w:cs="Arial"/>
              </w:rPr>
            </w:pPr>
            <w:r>
              <w:rPr>
                <w:rFonts w:cs="Arial"/>
              </w:rPr>
              <w:t>geographische Länge</w:t>
            </w:r>
          </w:p>
          <w:p>
            <w:pPr>
              <w:pStyle w:val="GesAbsatz"/>
              <w:jc w:val="left"/>
              <w:rPr>
                <w:rFonts w:cs="Arial"/>
              </w:rPr>
            </w:pPr>
            <w:r>
              <w:rPr>
                <w:rFonts w:cs="Arial"/>
              </w:rPr>
              <w:t>Salzgehalt</w:t>
            </w:r>
          </w:p>
          <w:p>
            <w:pPr>
              <w:pStyle w:val="GesAbsatz"/>
              <w:jc w:val="left"/>
              <w:rPr>
                <w:rFonts w:cs="Arial"/>
              </w:rPr>
            </w:pPr>
            <w:r>
              <w:rPr>
                <w:rFonts w:cs="Arial"/>
              </w:rPr>
              <w:t>Tiefe</w:t>
            </w:r>
          </w:p>
        </w:tc>
      </w:tr>
      <w:tr>
        <w:trPr>
          <w:trHeight w:val="2257"/>
        </w:trPr>
        <w:tc>
          <w:tcPr>
            <w:tcW w:w="2518" w:type="dxa"/>
            <w:tcBorders>
              <w:top w:val="single" w:sz="6" w:space="0" w:color="000000"/>
              <w:bottom w:val="single" w:sz="6" w:space="0" w:color="000000"/>
              <w:right w:val="single" w:sz="6" w:space="0" w:color="000000"/>
            </w:tcBorders>
          </w:tcPr>
          <w:p>
            <w:pPr>
              <w:pStyle w:val="GesAbsatz"/>
              <w:jc w:val="left"/>
              <w:rPr>
                <w:rFonts w:cs="Arial"/>
              </w:rPr>
            </w:pPr>
            <w:r>
              <w:rPr>
                <w:rFonts w:cs="Arial"/>
              </w:rPr>
              <w:t>Optionale Faktoren</w:t>
            </w:r>
          </w:p>
        </w:tc>
        <w:tc>
          <w:tcPr>
            <w:tcW w:w="5954" w:type="dxa"/>
            <w:tcBorders>
              <w:top w:val="single" w:sz="6" w:space="0" w:color="000000"/>
              <w:left w:val="single" w:sz="6" w:space="0" w:color="000000"/>
              <w:bottom w:val="single" w:sz="6" w:space="0" w:color="000000"/>
            </w:tcBorders>
          </w:tcPr>
          <w:p>
            <w:pPr>
              <w:pStyle w:val="GesAbsatz"/>
              <w:jc w:val="left"/>
              <w:rPr>
                <w:rFonts w:cs="Arial"/>
              </w:rPr>
            </w:pPr>
            <w:r>
              <w:rPr>
                <w:rFonts w:cs="Arial"/>
              </w:rPr>
              <w:t>Strömungsgeschwindigkeit</w:t>
            </w:r>
          </w:p>
          <w:p>
            <w:pPr>
              <w:pStyle w:val="GesAbsatz"/>
              <w:jc w:val="left"/>
              <w:rPr>
                <w:rFonts w:cs="Arial"/>
              </w:rPr>
            </w:pPr>
            <w:r>
              <w:rPr>
                <w:rFonts w:cs="Arial"/>
              </w:rPr>
              <w:t>Wellenexposition</w:t>
            </w:r>
          </w:p>
          <w:p>
            <w:pPr>
              <w:pStyle w:val="GesAbsatz"/>
              <w:jc w:val="left"/>
              <w:rPr>
                <w:rFonts w:cs="Arial"/>
              </w:rPr>
            </w:pPr>
            <w:r>
              <w:rPr>
                <w:rFonts w:cs="Arial"/>
              </w:rPr>
              <w:t>durchschnittliche Wassertemperatur</w:t>
            </w:r>
          </w:p>
          <w:p>
            <w:pPr>
              <w:pStyle w:val="GesAbsatz"/>
              <w:jc w:val="left"/>
              <w:rPr>
                <w:rFonts w:cs="Arial"/>
              </w:rPr>
            </w:pPr>
            <w:r>
              <w:rPr>
                <w:rFonts w:cs="Arial"/>
              </w:rPr>
              <w:t>Durchmischungseigenschaften</w:t>
            </w:r>
          </w:p>
          <w:p>
            <w:pPr>
              <w:pStyle w:val="GesAbsatz"/>
              <w:jc w:val="left"/>
              <w:rPr>
                <w:rFonts w:cs="Arial"/>
              </w:rPr>
            </w:pPr>
            <w:r>
              <w:rPr>
                <w:rFonts w:cs="Arial"/>
              </w:rPr>
              <w:t>Trübung</w:t>
            </w:r>
          </w:p>
          <w:p>
            <w:pPr>
              <w:pStyle w:val="GesAbsatz"/>
              <w:jc w:val="left"/>
              <w:rPr>
                <w:rFonts w:cs="Arial"/>
              </w:rPr>
            </w:pPr>
            <w:r>
              <w:rPr>
                <w:rFonts w:cs="Arial"/>
              </w:rPr>
              <w:t>Rückhaltedauer (bei eingeschlossenen Buchten)</w:t>
            </w:r>
          </w:p>
          <w:p>
            <w:pPr>
              <w:pStyle w:val="GesAbsatz"/>
              <w:jc w:val="left"/>
              <w:rPr>
                <w:rFonts w:cs="Arial"/>
              </w:rPr>
            </w:pPr>
            <w:r>
              <w:rPr>
                <w:rFonts w:cs="Arial"/>
              </w:rPr>
              <w:t>durchschnittliche Zusammensetzung des Substrats</w:t>
            </w:r>
          </w:p>
          <w:p>
            <w:pPr>
              <w:pStyle w:val="GesAbsatz"/>
              <w:jc w:val="left"/>
              <w:rPr>
                <w:rFonts w:cs="Arial"/>
              </w:rPr>
            </w:pPr>
            <w:r>
              <w:rPr>
                <w:rFonts w:cs="Arial"/>
              </w:rPr>
              <w:t>Schwankungsbereich der Wassertemperatur</w:t>
            </w:r>
          </w:p>
        </w:tc>
      </w:tr>
    </w:tbl>
    <w:p>
      <w:pPr>
        <w:pStyle w:val="GesAbsatz"/>
      </w:pPr>
    </w:p>
    <w:p>
      <w:pPr>
        <w:pStyle w:val="GesAbsatz"/>
      </w:pPr>
      <w:r>
        <w:t>1.3 Festlegung der typspezifischen Referenzbedingungen für Arten von Oberflächenwasserkörpern</w:t>
      </w:r>
    </w:p>
    <w:p>
      <w:pPr>
        <w:pStyle w:val="GesAbsatz"/>
        <w:ind w:left="426" w:hanging="426"/>
      </w:pPr>
      <w:r>
        <w:t>i)</w:t>
      </w:r>
      <w:r>
        <w:tab/>
        <w:t>Für jeden gemäß Randnummer 1.1 beschriebenen Oberflächenwasserkörper sind typspezifische hydromorphologische und physikalisch-chemische Bedingungen festzulegen, die denjenigen hydromorphologischen und physikalisch-chemischen Qualitätskomponenten entsprechen, die in Anhang V Randnummer 1.1 für diesen Typ von Oberflächenwasserkörper für den sehr guten ökologischen Zustand gemäß der entsprechenden Tabelle in Anhang V Randnummer 1.2 angegeben sind. Außerdem sind typspezifische biologische Referenzbedingungen festzulegen, die die biologischen Qualitätskomponenten abbilden, die in Anhang V Randnummer 1.1 für diese Art von Oberflächenwasserkörper bei sehr gutem ökologischen Zustand gemäß der entsprechenden Tabelle in Anhang V Randnummer 1.2 angegeben sind.</w:t>
      </w:r>
    </w:p>
    <w:p>
      <w:pPr>
        <w:pStyle w:val="GesAbsatz"/>
        <w:ind w:left="426" w:hanging="426"/>
      </w:pPr>
      <w:r>
        <w:t>ii)</w:t>
      </w:r>
      <w:r>
        <w:tab/>
        <w:t>Bei Anwendung der in diesem Abschnitt beschriebenen Verfahren auf erheblich veränderte oder künstliche Oberflächenwasserkörper sind Bezugnahmen auf den sehr guten ökologischen Zustand als Bezugnahmen auf das höchste ökologische Potenzial gemäß Anhang V Tabelle 1.2.5 zu verstehen. Die Werte für das höchste ökologische Potenzial eines Wasserkörpers sind alle sechs Jahre zu überprüfen.</w:t>
      </w:r>
    </w:p>
    <w:p>
      <w:pPr>
        <w:pStyle w:val="GesAbsatz"/>
        <w:ind w:left="426" w:hanging="426"/>
      </w:pPr>
      <w:r>
        <w:t>iii)</w:t>
      </w:r>
      <w:r>
        <w:tab/>
        <w:t>Die typspezifischen Bedingungen für die Zwecke der Ziffern i) und ii) und die typspezifischen biologischen Referenzbedingungen können entweder raumbezogen oder modellbasiert sein oder sie können durch Kombination dieser Verfahren abgeleitet werden. Ist die Anwendung dieser Verfahren nicht möglich, können die Mitgliedstaaten Sachverständige zu Rate ziehen, um diese Bedingungen festzulegen. Bei der Definition des sehr guten ökologischen Zustands im Hinblick auf die Konzentration bestimmter synthetischer Schadstoffe gelten als Nachweisgrenze die Werte, die mit den Techniken ermittelt werden können, die zum Zeitpunkt der Festlegung der typspezifischen Bedingungen verfügbar sind.</w:t>
      </w:r>
    </w:p>
    <w:p>
      <w:pPr>
        <w:pStyle w:val="GesAbsatz"/>
        <w:ind w:left="426" w:hanging="426"/>
      </w:pPr>
      <w:r>
        <w:t>iv)</w:t>
      </w:r>
      <w:r>
        <w:tab/>
        <w:t>Für raumbezogene typspezifische biologische Referenzbedingungen ist von den Mitgliedstaaten ein Bezugsnetz für jede Art von Oberflächenwasserkörper zu entwickeln. Das Netz muss eine ausreichende Anzahl von Stellen mit sehr gutem Zustand umfassen, damit angesichts der Veränderlichkeit der Werte der Qualitätskomponenten, die einem sehr guten ökologischen Zustand des betreffenden Oberflächenwasserkörpers entsprechen, und angesichts der nach Ziffer v) anzuwendenden Modellierungstechniken ein ausreichender Grad an Zuverlässigkeit der Werte für die Referenzbedingungen gegeben ist.</w:t>
      </w:r>
    </w:p>
    <w:p>
      <w:pPr>
        <w:pStyle w:val="GesAbsatz"/>
        <w:ind w:left="426" w:hanging="426"/>
      </w:pPr>
      <w:r>
        <w:t>v)</w:t>
      </w:r>
      <w:r>
        <w:tab/>
        <w:t>Modellbasierte typspezifische biologische Referenzbedingungen können entweder aus Vorhersagemodellen oder durch Rückberechnungsverfahren abgeleitet werden. Für die Verfahren sind historische, paläologische und andere verfügbare Daten zu verwenden, und es muss ein ausreichender Grad an Zuverlässigkeit der Werte für die Referenzbedingungen gegeben sein, damit sichergestellt ist, dass die auf diese Weise abgeleiteten Bedingungen für jede Art von Oberflächenwasserkörper zutreffend und stichhaltig sind.</w:t>
      </w:r>
    </w:p>
    <w:p>
      <w:pPr>
        <w:pStyle w:val="GesAbsatz"/>
        <w:ind w:left="426" w:hanging="426"/>
      </w:pPr>
      <w:r>
        <w:t>vi)</w:t>
      </w:r>
      <w:r>
        <w:tab/>
        <w:t>Ist es aufgrund eines hohen Maßes an natürlicher Veränderlichkeit einer Qualitätskomponente -</w:t>
      </w:r>
      <w:r>
        <w:rPr>
          <w:rFonts w:cs="Arial"/>
        </w:rPr>
        <w:t xml:space="preserve"> also nicht </w:t>
      </w:r>
      <w:r>
        <w:t>etwa aufgrund saisonaler Veränderungen -</w:t>
      </w:r>
      <w:r>
        <w:rPr>
          <w:rFonts w:cs="Arial"/>
        </w:rPr>
        <w:t xml:space="preserve"> nicht möglich, zuverlässige typspezifische Referenzbedingungen </w:t>
      </w:r>
      <w:r>
        <w:t>für diese Komponente eines Oberflächenwasserkörpers festzulegen, kann diese Komponente von der Beurteilung des ökologischen Zustands dieses Typs von Oberflächengewässer ausgeklammert werden. In diesem Fall geben die Mitgliedstaaten im Bewirtschaftungsplan für die Einzugsgebiete die Gründe für die Ausklammerung an.</w:t>
      </w:r>
    </w:p>
    <w:p>
      <w:pPr>
        <w:pStyle w:val="GesAbsatz"/>
      </w:pPr>
      <w:r>
        <w:lastRenderedPageBreak/>
        <w:t>1.4 Ermittlung der Belastungen</w:t>
      </w:r>
    </w:p>
    <w:p>
      <w:pPr>
        <w:pStyle w:val="GesAbsatz"/>
      </w:pPr>
      <w:r>
        <w:t>Die Mitgliedstaaten sorgen für die Erhebung und Aufbewahrung von Daten über die Art und das Ausmaß der signifikanten anthropogenen Belastungen, denen die Oberflächenwasserkörper in jeder Flussgebietseinheit unterliegen können; dies umfasst insbesondere die Einschätzung und Ermittlung der von städtischen, industriellen, landwirtschaftlichen und anderen Anlagen und Tätigkeiten stammenden signifikanten Verschmutzung durch Punktquellen, insbesondere durch die in Anhang VIII aufgeführten Stoffe, unter anderem anhand von Informationen, die gesammelt wurden gemäß</w:t>
      </w:r>
    </w:p>
    <w:p>
      <w:pPr>
        <w:pStyle w:val="GesAbsatz"/>
      </w:pPr>
      <w:r>
        <w:t>i)</w:t>
      </w:r>
      <w:r>
        <w:tab/>
        <w:t>den Artikeln 15 und 17 der Richtlinie 91/271/EWG</w:t>
      </w:r>
      <w:r>
        <w:rPr>
          <w:rStyle w:val="Funotenzeichen"/>
        </w:rPr>
        <w:footnoteReference w:id="31"/>
      </w:r>
      <w:r>
        <w:t>,</w:t>
      </w:r>
    </w:p>
    <w:p>
      <w:pPr>
        <w:pStyle w:val="GesAbsatz"/>
      </w:pPr>
      <w:r>
        <w:t>ii)</w:t>
      </w:r>
      <w:r>
        <w:tab/>
        <w:t>den Artikeln 9 bis 15 der Richtlinie 96/61/EG,</w:t>
      </w:r>
    </w:p>
    <w:p>
      <w:pPr>
        <w:pStyle w:val="GesAbsatz"/>
      </w:pPr>
      <w:r>
        <w:t>und im Hinblick auf den ersten Bewirtschaftungsplan für Einzugsgebiete gemäß</w:t>
      </w:r>
    </w:p>
    <w:p>
      <w:pPr>
        <w:pStyle w:val="GesAbsatz"/>
      </w:pPr>
      <w:r>
        <w:t>iii)</w:t>
      </w:r>
      <w:r>
        <w:tab/>
        <w:t>Artikel 11 der Richtlinie 76/464/EWG und</w:t>
      </w:r>
    </w:p>
    <w:p>
      <w:pPr>
        <w:pStyle w:val="GesAbsatz"/>
      </w:pPr>
      <w:r>
        <w:t>iv)</w:t>
      </w:r>
      <w:r>
        <w:tab/>
        <w:t>der Richtlinien 75/440/EWG, 76/160/EWG</w:t>
      </w:r>
      <w:r>
        <w:rPr>
          <w:rStyle w:val="Funotenzeichen"/>
        </w:rPr>
        <w:footnoteReference w:id="32"/>
      </w:r>
      <w:r>
        <w:t>, 78/659/EWG und 79/923/EWG</w:t>
      </w:r>
      <w:r>
        <w:rPr>
          <w:rStyle w:val="Funotenzeichen"/>
        </w:rPr>
        <w:footnoteReference w:id="33"/>
      </w:r>
      <w:r>
        <w:t>;</w:t>
      </w:r>
    </w:p>
    <w:p>
      <w:pPr>
        <w:pStyle w:val="GesAbsatz"/>
      </w:pPr>
      <w:r>
        <w:t>Einschätzung und Ermittlung der von städtischen, industriellen, landwirtschaftlichen und sonstigen Anlagen und Tätigkeiten stammenden signifikanten Verschmutzung durch diffuse Quellen, insbesondere durch die in Anhang VIII aufgeführten Stoffe, unter anderem anhand von Informationen, die gesammelt wurden gemäß</w:t>
      </w:r>
    </w:p>
    <w:p>
      <w:pPr>
        <w:pStyle w:val="GesAbsatz"/>
      </w:pPr>
      <w:r>
        <w:t>i)</w:t>
      </w:r>
      <w:r>
        <w:tab/>
        <w:t>den Artikeln 3, 5 und 6 der Richtlinie 96/676/EG</w:t>
      </w:r>
      <w:r>
        <w:rPr>
          <w:rStyle w:val="Funotenzeichen"/>
        </w:rPr>
        <w:footnoteReference w:id="34"/>
      </w:r>
      <w:r>
        <w:t>,</w:t>
      </w:r>
    </w:p>
    <w:p>
      <w:pPr>
        <w:pStyle w:val="GesAbsatz"/>
      </w:pPr>
      <w:r>
        <w:t>ii)</w:t>
      </w:r>
      <w:r>
        <w:tab/>
        <w:t>den Artikeln 7 und 17 der Richtlinie 91/414/EWG,</w:t>
      </w:r>
    </w:p>
    <w:p>
      <w:pPr>
        <w:pStyle w:val="GesAbsatz"/>
      </w:pPr>
      <w:r>
        <w:t>iii)</w:t>
      </w:r>
      <w:r>
        <w:tab/>
        <w:t>der Richtlinie 98/8/EG</w:t>
      </w:r>
    </w:p>
    <w:p>
      <w:pPr>
        <w:pStyle w:val="GesAbsatz"/>
      </w:pPr>
      <w:r>
        <w:t>und im Hinblick auf den ersten Bewirtschaftungsplan für Einzugsgebiete gemäß</w:t>
      </w:r>
    </w:p>
    <w:p>
      <w:pPr>
        <w:pStyle w:val="GesAbsatz"/>
      </w:pPr>
      <w:r>
        <w:t>iv)</w:t>
      </w:r>
      <w:r>
        <w:tab/>
        <w:t>den Richtlinien 75/440/EWG, 76/160/EWG, 76/464/EWG, 78/659/EWG und 79/923/EWG;</w:t>
      </w:r>
    </w:p>
    <w:p>
      <w:pPr>
        <w:pStyle w:val="GesAbsatz"/>
      </w:pPr>
      <w:r>
        <w:t>Einschätzung und Ermittlung signifikanter Wasserentnahme für städtische, industrielle, landwirtschaftliche und andere Zwecke einschließlich der saisonalen Schwankungen und des jährlichen Gesamtbedarfs sowie der Wasserverluste in Versorgungssystemen;</w:t>
      </w:r>
    </w:p>
    <w:p>
      <w:pPr>
        <w:pStyle w:val="GesAbsatz"/>
        <w:rPr>
          <w:rFonts w:cs="Arial"/>
        </w:rPr>
      </w:pPr>
      <w:r>
        <w:t>Einschätzung und Ermittlung der Auswirkungen signifikanter Abflussregulierung -</w:t>
      </w:r>
      <w:r>
        <w:rPr>
          <w:rFonts w:cs="Arial"/>
        </w:rPr>
        <w:t xml:space="preserve"> einschließlich der Wasser</w:t>
      </w:r>
      <w:r>
        <w:rPr>
          <w:rFonts w:cs="Arial"/>
        </w:rPr>
        <w:softHyphen/>
      </w:r>
      <w:r>
        <w:t>über- und -umleitung -</w:t>
      </w:r>
      <w:r>
        <w:rPr>
          <w:rFonts w:cs="Arial"/>
        </w:rPr>
        <w:t xml:space="preserve"> auf die Fließeigenschaften und die Wasserbilanzen;</w:t>
      </w:r>
    </w:p>
    <w:p>
      <w:pPr>
        <w:pStyle w:val="GesAbsatz"/>
      </w:pPr>
      <w:r>
        <w:t>Ermittlung signifikanter morphologischer Veränderungen von Wasserkörpern;</w:t>
      </w:r>
    </w:p>
    <w:p>
      <w:pPr>
        <w:pStyle w:val="GesAbsatz"/>
      </w:pPr>
      <w:r>
        <w:t>Einschätzung und Ermittlung anderer signifikanter anthropogener Auswirkungen auf den Zustand des Wassers;</w:t>
      </w:r>
    </w:p>
    <w:p>
      <w:pPr>
        <w:pStyle w:val="GesAbsatz"/>
      </w:pPr>
      <w:r>
        <w:t>Einschätzung der Bodennutzungsstrukturen, einschließlich Ermittlung der größten städtischen, industriellen und landwirtschaftlichen Gebiete und, wo relevant, auch von Fischereigebieten und Wäldern.</w:t>
      </w:r>
    </w:p>
    <w:p>
      <w:pPr>
        <w:pStyle w:val="GesAbsatz"/>
      </w:pPr>
      <w:r>
        <w:t>1.5 Beurteilung der Auswirkungen</w:t>
      </w:r>
    </w:p>
    <w:p>
      <w:pPr>
        <w:pStyle w:val="GesAbsatz"/>
      </w:pPr>
      <w:r>
        <w:t>Die Mitgliedstaaten beurteilen, wie empfindlich der Zustand von Oberflächenwasserkörpern auf die in Abschnitt 1.4 genannten Belastungen reagiert.</w:t>
      </w:r>
    </w:p>
    <w:p>
      <w:pPr>
        <w:pStyle w:val="GesAbsatz"/>
      </w:pPr>
      <w:r>
        <w:t>Die Mitgliedstaaten verwenden die gemäß Abschnitt 1.4 gesammelten Informationen sowie andere einschlägige Informationen einschließlich vorhandener Daten aus der Umweltüberwachung, um zu beurteilen, wie wahrscheinlich es ist, dass die Oberflächenwasserkörper innerhalb der Flussgebietseinheit die für diese Wasserkörper gemäß Artikel 4 aufgestellten Umweltqualitätsziele nicht erreichen. Die Mitgliedstaaten können Modellierungstechniken anwenden, um diese Beurteilung zu unterstützen.</w:t>
      </w:r>
    </w:p>
    <w:p>
      <w:pPr>
        <w:pStyle w:val="GesAbsatz"/>
      </w:pPr>
      <w:r>
        <w:t>Werden Wasserkörper ermittelt, bei denen das Risiko besteht, dass sie die Umweltqualitätsziele nicht erreichen, wird, soweit angezeigt, eine zusätzliche Beschreibung vorgenommen, um die Ausgestaltung sowohl der Überwachungsprogramme nach Artikel 8 als auch der Maßnahmenprogramme nach Artikel 11 zu optimieren.</w:t>
      </w:r>
    </w:p>
    <w:p>
      <w:pPr>
        <w:pStyle w:val="GesAbsatz"/>
        <w:rPr>
          <w:b/>
        </w:rPr>
      </w:pPr>
      <w:r>
        <w:rPr>
          <w:b/>
        </w:rPr>
        <w:t>2 GRUNDWASSER</w:t>
      </w:r>
    </w:p>
    <w:p>
      <w:pPr>
        <w:pStyle w:val="GesAbsatz"/>
      </w:pPr>
      <w:r>
        <w:t>2.1 Erstmalige Beschreibung</w:t>
      </w:r>
    </w:p>
    <w:p>
      <w:pPr>
        <w:pStyle w:val="GesAbsatz"/>
      </w:pPr>
      <w:r>
        <w:t>Die Mitgliedstaaten nehmen eine erstmalige Beschreibung aller Grundwasserkörper vor, um zu beurteilen, inwieweit sie genutzt werden und wie hoch das Risiko ist, dass sie die Ziele für jeden einzelnen Grundwasserkörper gemäß Artikel 4 nicht erfüllen. Die Mitgliedstaaten können Grundwasserkörper zum Zweck dieser erstmaligen Beschreibung in Gruppen zusammenfassen. Für diese Analyse können vorhandene hydrologische, geologische, pedologische, Landnutzungs-, Einleitungs- und Entnahmedaten sowie sonstige Daten verwendet werden; aus der Analyse muss aber folgendes hervorgehen:</w:t>
      </w:r>
    </w:p>
    <w:p>
      <w:pPr>
        <w:pStyle w:val="GesAbsatz"/>
        <w:rPr>
          <w:rFonts w:cs="Arial"/>
        </w:rPr>
      </w:pPr>
      <w:r>
        <w:rPr>
          <w:rFonts w:cs="Arial"/>
        </w:rPr>
        <w:t>-</w:t>
      </w:r>
      <w:r>
        <w:rPr>
          <w:rFonts w:cs="Arial"/>
        </w:rPr>
        <w:tab/>
        <w:t>Lage und Grenzen des Grundwasserkörpers bzw. der Grundwasserkörper;</w:t>
      </w:r>
    </w:p>
    <w:p>
      <w:pPr>
        <w:pStyle w:val="GesAbsatz"/>
        <w:rPr>
          <w:rFonts w:cs="Arial"/>
        </w:rPr>
      </w:pPr>
      <w:r>
        <w:rPr>
          <w:rFonts w:cs="Arial"/>
        </w:rPr>
        <w:lastRenderedPageBreak/>
        <w:t>-</w:t>
      </w:r>
      <w:r>
        <w:rPr>
          <w:rFonts w:cs="Arial"/>
        </w:rPr>
        <w:tab/>
        <w:t>Belastungen, denen der/die Grundwasserkörper ausgesetzt sein kann/können, einschließlich</w:t>
      </w:r>
    </w:p>
    <w:p>
      <w:pPr>
        <w:pStyle w:val="GesAbsatz"/>
        <w:rPr>
          <w:rFonts w:cs="Arial"/>
        </w:rPr>
      </w:pPr>
      <w:r>
        <w:rPr>
          <w:rFonts w:cs="Arial"/>
        </w:rPr>
        <w:t>-</w:t>
      </w:r>
      <w:r>
        <w:rPr>
          <w:rFonts w:cs="Arial"/>
        </w:rPr>
        <w:tab/>
        <w:t>diffuse Schadstoffquellen,</w:t>
      </w:r>
    </w:p>
    <w:p>
      <w:pPr>
        <w:pStyle w:val="GesAbsatz"/>
      </w:pPr>
      <w:r>
        <w:t>-</w:t>
      </w:r>
      <w:r>
        <w:tab/>
        <w:t>punktuelle Schadstoffquellen,</w:t>
      </w:r>
    </w:p>
    <w:p>
      <w:pPr>
        <w:pStyle w:val="GesAbsatz"/>
        <w:rPr>
          <w:rFonts w:cs="Arial"/>
        </w:rPr>
      </w:pPr>
      <w:r>
        <w:rPr>
          <w:rFonts w:cs="Arial"/>
        </w:rPr>
        <w:t>-</w:t>
      </w:r>
      <w:r>
        <w:rPr>
          <w:rFonts w:cs="Arial"/>
        </w:rPr>
        <w:tab/>
        <w:t>Entnahme,</w:t>
      </w:r>
    </w:p>
    <w:p>
      <w:pPr>
        <w:pStyle w:val="GesAbsatz"/>
        <w:rPr>
          <w:rFonts w:cs="Arial"/>
        </w:rPr>
      </w:pPr>
      <w:r>
        <w:rPr>
          <w:rFonts w:cs="Arial"/>
        </w:rPr>
        <w:t>-</w:t>
      </w:r>
      <w:r>
        <w:rPr>
          <w:rFonts w:cs="Arial"/>
        </w:rPr>
        <w:tab/>
        <w:t>künstliche Anreicherung;</w:t>
      </w:r>
    </w:p>
    <w:p>
      <w:pPr>
        <w:pStyle w:val="GesAbsatz"/>
        <w:ind w:left="426" w:hanging="426"/>
      </w:pPr>
      <w:r>
        <w:rPr>
          <w:rFonts w:cs="Arial"/>
        </w:rPr>
        <w:t>-</w:t>
      </w:r>
      <w:r>
        <w:rPr>
          <w:rFonts w:cs="Arial"/>
        </w:rPr>
        <w:tab/>
        <w:t>die allgemeine Charakteristik der darüberliegenden Schichten des Einzugsgebiets, aus dem der Grundwasserk</w:t>
      </w:r>
      <w:r>
        <w:t>örper angereichert wird;</w:t>
      </w:r>
    </w:p>
    <w:p>
      <w:pPr>
        <w:pStyle w:val="GesAbsatz"/>
        <w:ind w:left="426" w:hanging="426"/>
      </w:pPr>
      <w:r>
        <w:rPr>
          <w:rFonts w:cs="Arial"/>
        </w:rPr>
        <w:t>-</w:t>
      </w:r>
      <w:r>
        <w:rPr>
          <w:rFonts w:cs="Arial"/>
        </w:rPr>
        <w:tab/>
        <w:t>Grundwasserkörper, bei denen direkt abhängige Oberf</w:t>
      </w:r>
      <w:r>
        <w:t>lächengewässer-Ökosysteme oder Landökosysteme vorhanden sind.</w:t>
      </w:r>
    </w:p>
    <w:p>
      <w:pPr>
        <w:pStyle w:val="GesAbsatz"/>
      </w:pPr>
      <w:r>
        <w:t>2.2 Weitergehende Beschreibung</w:t>
      </w:r>
    </w:p>
    <w:p>
      <w:pPr>
        <w:pStyle w:val="GesAbsatz"/>
      </w:pPr>
      <w:r>
        <w:t>Im Anschluss an diese erstmalige Beschreibung nehmen die Mitgliedstaaten eine weitergehende Beschreibung derjenigen Grundwasserkörper oder Gruppen von Grundwasserkörpern vor, bei denen ein Risiko hinsichtlich der Zielrichtung ermittelt wurde, um das Ausmaß dieses Risikos genauer zu beurteilen und die Maßnahmen zu ermitteln, die nach Artikel 11 erforderlich sind. Dementsprechend muss diese Beschreibung einschlägige Informationen über die Auswirkungen menschlicher Tätigkeiten und, soweit erforderlich, folgende Informationen enthalten:</w:t>
      </w:r>
    </w:p>
    <w:p>
      <w:pPr>
        <w:pStyle w:val="GesAbsatz"/>
        <w:ind w:left="426" w:hanging="426"/>
      </w:pPr>
      <w:r>
        <w:rPr>
          <w:rFonts w:cs="Arial"/>
        </w:rPr>
        <w:t>-</w:t>
      </w:r>
      <w:r>
        <w:rPr>
          <w:rFonts w:cs="Arial"/>
        </w:rPr>
        <w:tab/>
        <w:t xml:space="preserve">geologische Merkmale des Grundwasserkörpers einschließlich der Ausdehnung und des Typs der geologischen </w:t>
      </w:r>
      <w:r>
        <w:t>Einheiten;</w:t>
      </w:r>
    </w:p>
    <w:p>
      <w:pPr>
        <w:pStyle w:val="GesAbsatz"/>
        <w:ind w:left="426" w:hanging="426"/>
      </w:pPr>
      <w:r>
        <w:rPr>
          <w:rFonts w:cs="Arial"/>
        </w:rPr>
        <w:t>-</w:t>
      </w:r>
      <w:r>
        <w:rPr>
          <w:rFonts w:cs="Arial"/>
        </w:rPr>
        <w:tab/>
        <w:t xml:space="preserve">hydrogeologische </w:t>
      </w:r>
      <w:r>
        <w:t>Merkmale des Grundwasserkörpers einschließlich der hydraulischen Leitfähigkeit, der Hohlraumanteile und des Spannungszustandes;</w:t>
      </w:r>
    </w:p>
    <w:p>
      <w:pPr>
        <w:pStyle w:val="GesAbsatz"/>
        <w:ind w:left="426" w:hanging="426"/>
      </w:pPr>
      <w:r>
        <w:rPr>
          <w:rFonts w:cs="Arial"/>
        </w:rPr>
        <w:t>-</w:t>
      </w:r>
      <w:r>
        <w:rPr>
          <w:rFonts w:cs="Arial"/>
        </w:rPr>
        <w:tab/>
        <w:t xml:space="preserve">Merkmale der Deckschichten und Böden des Einzugsgebiets, aus dem der Grundwasserkörper neugebildet </w:t>
      </w:r>
      <w:r>
        <w:t>wird, einschließlich der Mächtigkeit, Hohlraumanteile, hydraulischen Leitfähigkeit und Absorptionseigenschaften der Deckschichten und Böden;</w:t>
      </w:r>
    </w:p>
    <w:p>
      <w:pPr>
        <w:pStyle w:val="GesAbsatz"/>
        <w:rPr>
          <w:rFonts w:cs="Arial"/>
        </w:rPr>
      </w:pPr>
      <w:r>
        <w:rPr>
          <w:rFonts w:cs="Arial"/>
        </w:rPr>
        <w:t>-</w:t>
      </w:r>
      <w:r>
        <w:rPr>
          <w:rFonts w:cs="Arial"/>
        </w:rPr>
        <w:tab/>
        <w:t>Stratifikationsmerkmale des Grundwassers innerhalb des Grundwasserkörpers;</w:t>
      </w:r>
    </w:p>
    <w:p>
      <w:pPr>
        <w:pStyle w:val="GesAbsatz"/>
        <w:ind w:left="426" w:hanging="426"/>
      </w:pPr>
      <w:r>
        <w:rPr>
          <w:rFonts w:cs="Arial"/>
        </w:rPr>
        <w:t>-</w:t>
      </w:r>
      <w:r>
        <w:rPr>
          <w:rFonts w:cs="Arial"/>
        </w:rPr>
        <w:tab/>
        <w:t>Bestandsaufnahme der mit dem Grundwa</w:t>
      </w:r>
      <w:r>
        <w:t>sserkörper in Verbindung stehenden Oberflächengewässersysteme einschließlich der Landökosysteme und der Wasserkörper von Oberflächengewässern, mit denen das Grundwasser dynamisch verbunden ist;</w:t>
      </w:r>
    </w:p>
    <w:p>
      <w:pPr>
        <w:pStyle w:val="GesAbsatz"/>
        <w:ind w:left="426" w:hanging="426"/>
      </w:pPr>
      <w:r>
        <w:rPr>
          <w:rFonts w:cs="Arial"/>
        </w:rPr>
        <w:t>-</w:t>
      </w:r>
      <w:r>
        <w:rPr>
          <w:rFonts w:cs="Arial"/>
        </w:rPr>
        <w:tab/>
        <w:t xml:space="preserve">Schätzungen der Strömungseinrichtungen und der Wasseraustauschraten zwischen dem Grundwasserkörper </w:t>
      </w:r>
      <w:r>
        <w:t>und den mit ihm in Verbindung stehenden Oberflächengewässersystemen;</w:t>
      </w:r>
    </w:p>
    <w:p>
      <w:pPr>
        <w:pStyle w:val="GesAbsatz"/>
      </w:pPr>
      <w:r>
        <w:rPr>
          <w:rFonts w:cs="Arial"/>
        </w:rPr>
        <w:t>-</w:t>
      </w:r>
      <w:r>
        <w:rPr>
          <w:rFonts w:cs="Arial"/>
        </w:rPr>
        <w:tab/>
        <w:t>ausreichende Daten für die Berechnung der langfristigen mittleren jährlichen Grun</w:t>
      </w:r>
      <w:r>
        <w:t>dwasserneubildung;</w:t>
      </w:r>
    </w:p>
    <w:p>
      <w:pPr>
        <w:pStyle w:val="GesAbsatz"/>
        <w:ind w:left="426" w:hanging="426"/>
      </w:pPr>
      <w:r>
        <w:rPr>
          <w:rFonts w:cs="Arial"/>
        </w:rPr>
        <w:t>-</w:t>
      </w:r>
      <w:r>
        <w:rPr>
          <w:rFonts w:cs="Arial"/>
        </w:rPr>
        <w:tab/>
        <w:t xml:space="preserve">Beschreibung der chemischen Zusammensetzung des Grundwassers, einschließlich der Beiträge aus menschlichen </w:t>
      </w:r>
      <w:r>
        <w:t>Tätigkeiten. Die Mitgliedstaaten können bei der Festlegung der natürlichen Hintergrundwerte für diese Grundwasserkörper Typologien für die Beschreibung von Grundwasser verwenden.</w:t>
      </w:r>
    </w:p>
    <w:p>
      <w:pPr>
        <w:pStyle w:val="GesAbsatz"/>
      </w:pPr>
      <w:r>
        <w:t>2.3 Prüfung der Auswirkungen menschlicher Tätigkeiten auf das Grundwasser</w:t>
      </w:r>
    </w:p>
    <w:p>
      <w:pPr>
        <w:pStyle w:val="GesAbsatz"/>
      </w:pPr>
      <w:r>
        <w:t>Bei Grundwasserkörpern, die sich über die Grenze zwischen zwei oder mehreren Mitgliedstaaten hinaus erstrecken oder bei denen die gemäß Randnummer 2.1 durchgeführte erste Beschreibung ergeben hat, dass sie die Ziele für Wasserkörper nach Artikel 4 möglicherweise nicht erfüllen, sind für jeden Wasserkörper folgende Informationen zu erfassen und bereitzuhalten, sofern sie relevant sind:</w:t>
      </w:r>
    </w:p>
    <w:p>
      <w:pPr>
        <w:pStyle w:val="GesAbsatz"/>
      </w:pPr>
      <w:r>
        <w:t>a)</w:t>
      </w:r>
      <w:r>
        <w:tab/>
        <w:t>Lage von Stellen im Grundwasserkörper, denen Wasser entnommen wird, mit Ausnahme von</w:t>
      </w:r>
    </w:p>
    <w:p>
      <w:pPr>
        <w:pStyle w:val="GesAbsatz"/>
        <w:ind w:left="851" w:hanging="425"/>
        <w:rPr>
          <w:rFonts w:cs="Arial"/>
        </w:rPr>
      </w:pPr>
      <w:r>
        <w:rPr>
          <w:rFonts w:cs="Arial"/>
        </w:rPr>
        <w:t>-</w:t>
      </w:r>
      <w:r>
        <w:rPr>
          <w:rFonts w:cs="Arial"/>
        </w:rPr>
        <w:tab/>
        <w:t>Stellen, denen Wasser entnommen wird und die im Tagesdurchschnitt weniger als 10 m³ liefern, oder</w:t>
      </w:r>
    </w:p>
    <w:p>
      <w:pPr>
        <w:pStyle w:val="GesAbsatz"/>
        <w:ind w:left="851" w:hanging="425"/>
      </w:pPr>
      <w:r>
        <w:rPr>
          <w:rFonts w:cs="Arial"/>
        </w:rPr>
        <w:t>-</w:t>
      </w:r>
      <w:r>
        <w:rPr>
          <w:rFonts w:cs="Arial"/>
        </w:rPr>
        <w:tab/>
        <w:t>Stellen, denen Wasser für den menschlichen Gebrauch entnommen wir</w:t>
      </w:r>
      <w:r>
        <w:t>d und die im Tagesdurchschnitt weniger als 10 m³ liefern oder weniger als 50 Personen versorgen;</w:t>
      </w:r>
    </w:p>
    <w:p>
      <w:pPr>
        <w:pStyle w:val="GesAbsatz"/>
      </w:pPr>
      <w:r>
        <w:t>b)</w:t>
      </w:r>
      <w:r>
        <w:tab/>
        <w:t>mittlere jährliche Entnahme an diesen Stellen;</w:t>
      </w:r>
    </w:p>
    <w:p>
      <w:pPr>
        <w:pStyle w:val="GesAbsatz"/>
      </w:pPr>
      <w:r>
        <w:t>c)</w:t>
      </w:r>
      <w:r>
        <w:tab/>
        <w:t>chemische Zusammensetzung des dem Grundwasserkörper entnommenen Wassers;</w:t>
      </w:r>
    </w:p>
    <w:p>
      <w:pPr>
        <w:pStyle w:val="GesAbsatz"/>
      </w:pPr>
      <w:r>
        <w:t>d)</w:t>
      </w:r>
      <w:r>
        <w:tab/>
        <w:t>Lage der Stellen im Grundwasserkörper, an denen Wasser direkt eingeleitet wird;</w:t>
      </w:r>
    </w:p>
    <w:p>
      <w:pPr>
        <w:pStyle w:val="GesAbsatz"/>
      </w:pPr>
      <w:r>
        <w:t>e)</w:t>
      </w:r>
      <w:r>
        <w:tab/>
        <w:t>Einleitungsraten an diesen Stellen;</w:t>
      </w:r>
    </w:p>
    <w:p>
      <w:pPr>
        <w:pStyle w:val="GesAbsatz"/>
      </w:pPr>
      <w:r>
        <w:t>f)</w:t>
      </w:r>
      <w:r>
        <w:tab/>
        <w:t>chemische Zusammensetzung der Einleitungen in den Grundwasserkörper;</w:t>
      </w:r>
    </w:p>
    <w:p>
      <w:pPr>
        <w:pStyle w:val="GesAbsatz"/>
        <w:ind w:left="426" w:hanging="426"/>
      </w:pPr>
      <w:r>
        <w:t>g)</w:t>
      </w:r>
      <w:r>
        <w:tab/>
        <w:t>Landnutzung im Einzugsgebiet oder in den Einzugsgebieten, aus dem bzw. denen der Grundwasserkörper angereichert wird, einschließlich Einleitungen von Schadstoffen und anthropogener Veränderungen der Anreicherungscharakteristika, wie Ableitung von Regenwasser und Abflüssen aufgrund der Bodenversiegelung, künstliche Anreicherung, Errichtung von Dämmen und Trockenlegung.</w:t>
      </w:r>
    </w:p>
    <w:p>
      <w:pPr>
        <w:pStyle w:val="GesAbsatz"/>
      </w:pPr>
      <w:r>
        <w:t>2.4 Prüfung der Auswirkungen von Veränderungen des Grundwasserspiegels</w:t>
      </w:r>
    </w:p>
    <w:p>
      <w:pPr>
        <w:pStyle w:val="GesAbsatz"/>
      </w:pPr>
      <w:r>
        <w:lastRenderedPageBreak/>
        <w:t>Die Mitgliedstaaten ermitteln ferner diejenigen Grundwasserkörper, für die nach Artikel 4, einschließlich aufgrund einer Prüfung der Auswirkungen des Zustands des Wasserkörpers auf die nachstehenden Aspekte, weniger strenge Ziele festzulegen sind:</w:t>
      </w:r>
    </w:p>
    <w:p>
      <w:pPr>
        <w:pStyle w:val="GesAbsatz"/>
      </w:pPr>
      <w:r>
        <w:t>i)</w:t>
      </w:r>
      <w:r>
        <w:tab/>
        <w:t>Oberflächengewässer und mit ihnen in Verbindung stehende Landökosysteme;</w:t>
      </w:r>
    </w:p>
    <w:p>
      <w:pPr>
        <w:pStyle w:val="GesAbsatz"/>
      </w:pPr>
      <w:r>
        <w:t>ii)</w:t>
      </w:r>
      <w:r>
        <w:tab/>
        <w:t>Wasserregulierung, Hochwasserschutz und Trockenlegung von Land;</w:t>
      </w:r>
    </w:p>
    <w:p>
      <w:pPr>
        <w:pStyle w:val="GesAbsatz"/>
      </w:pPr>
      <w:r>
        <w:t>iii)</w:t>
      </w:r>
      <w:r>
        <w:tab/>
        <w:t>menschliche Entwicklung.</w:t>
      </w:r>
    </w:p>
    <w:p>
      <w:pPr>
        <w:pStyle w:val="GesAbsatz"/>
      </w:pPr>
      <w:r>
        <w:t>2.5 Überprüfung der Auswirkungen der Verschmutzung auf die Qualität des Grundwassers</w:t>
      </w:r>
    </w:p>
    <w:p>
      <w:pPr>
        <w:pStyle w:val="GesAbsatz"/>
      </w:pPr>
      <w:r>
        <w:t>Die Mitgliedstaaten bestimmen jene Grundwasserkörper, für die weniger strenge Zielsetzungen gemäß Artikel 4 Absatz 5 festzulegen sind, wenn der Grundwasserkörper infolge der Auswirkungen menschlicher Tätigkeit nach der Beurteilung gemäß Artikel 5 Absatz 1 so verschmutzt ist, dass ein guter chemischer Zustand des Grundwassers nicht oder nur mit unverhältnismäßig hohen Kosten zu erreichen wäre.</w:t>
      </w:r>
    </w:p>
    <w:p>
      <w:pPr>
        <w:pStyle w:val="berschrift2"/>
        <w:jc w:val="left"/>
      </w:pPr>
      <w:bookmarkStart w:id="30" w:name="_Toc143862490"/>
      <w:r>
        <w:t>Anhang III</w:t>
      </w:r>
      <w:bookmarkEnd w:id="30"/>
    </w:p>
    <w:p>
      <w:pPr>
        <w:pStyle w:val="GesAbsatz"/>
        <w:jc w:val="center"/>
        <w:rPr>
          <w:b/>
        </w:rPr>
      </w:pPr>
      <w:r>
        <w:rPr>
          <w:b/>
        </w:rPr>
        <w:t>WIRTSCHAFTLICHE ANALYSE</w:t>
      </w:r>
    </w:p>
    <w:p>
      <w:pPr>
        <w:pStyle w:val="GesAbsatz"/>
      </w:pPr>
      <w:r>
        <w:t>Die wirtschaftliche Analyse muss (unter Berücksichtigung der Kosten für die Erhebung der betreffenden Daten) genügend Informationen in ausreichender Detailliertheit enthalten, damit</w:t>
      </w:r>
    </w:p>
    <w:p>
      <w:pPr>
        <w:pStyle w:val="GesAbsatz"/>
        <w:ind w:left="426" w:hanging="426"/>
      </w:pPr>
      <w:r>
        <w:t>a)</w:t>
      </w:r>
      <w:r>
        <w:tab/>
        <w:t>die einschlägigen Berechnungen durchgeführt werden können, die erforderlich sind, um dem Grundsatz der Deckung der Kosten der Wasserdienstleistungen gemäß Artikel 9 unter Berücksichtigung der langfristigen Voraussagen für das Angebot und die Nachfrage von Wasser in der Flussgebietseinheit Rechnung zu tragen; erforderlichenfalls wird auch Folgendem Rechnung getragen:</w:t>
      </w:r>
    </w:p>
    <w:p>
      <w:pPr>
        <w:pStyle w:val="GesAbsatz"/>
        <w:ind w:left="851" w:hanging="425"/>
      </w:pPr>
      <w:r>
        <w:rPr>
          <w:rFonts w:cs="Arial"/>
        </w:rPr>
        <w:t>-</w:t>
      </w:r>
      <w:r>
        <w:rPr>
          <w:rFonts w:cs="Arial"/>
        </w:rPr>
        <w:tab/>
        <w:t>den Schätzungen der Menge, der Preise und der Kosten im Zusammenhang mit den Wasserdienstleist</w:t>
      </w:r>
      <w:r>
        <w:t>ungen,</w:t>
      </w:r>
    </w:p>
    <w:p>
      <w:pPr>
        <w:pStyle w:val="GesAbsatz"/>
        <w:ind w:left="851" w:hanging="425"/>
        <w:rPr>
          <w:rFonts w:cs="Arial"/>
        </w:rPr>
      </w:pPr>
      <w:r>
        <w:rPr>
          <w:rFonts w:cs="Arial"/>
        </w:rPr>
        <w:t>-</w:t>
      </w:r>
      <w:r>
        <w:rPr>
          <w:rFonts w:cs="Arial"/>
        </w:rPr>
        <w:tab/>
        <w:t>den Schätzungen der einschlägigen Investitionen einschließlich der entsprechenden Vorausplanungen;</w:t>
      </w:r>
    </w:p>
    <w:p>
      <w:pPr>
        <w:pStyle w:val="GesAbsatz"/>
        <w:ind w:left="426" w:hanging="426"/>
      </w:pPr>
      <w:r>
        <w:t>b)</w:t>
      </w:r>
      <w:r>
        <w:tab/>
        <w:t>die in Bezug auf die Wassernutzung kosteneffizientesten Kombinationen der in das Maßnahmenprogramm nach Artikel 11 aufzunehmenden Maßnahmen auf der Grundlage von Schätzungen ihrer potentiellen Kosten beurteilt werden können.</w:t>
      </w:r>
    </w:p>
    <w:p>
      <w:pPr>
        <w:pStyle w:val="berschrift2"/>
        <w:jc w:val="left"/>
      </w:pPr>
      <w:bookmarkStart w:id="31" w:name="_Toc143862491"/>
      <w:r>
        <w:t>Anhang IV</w:t>
      </w:r>
      <w:bookmarkEnd w:id="31"/>
    </w:p>
    <w:p>
      <w:pPr>
        <w:pStyle w:val="GesAbsatz"/>
        <w:jc w:val="center"/>
        <w:rPr>
          <w:b/>
        </w:rPr>
      </w:pPr>
      <w:r>
        <w:rPr>
          <w:b/>
        </w:rPr>
        <w:t>SCHUTZGEBIETE</w:t>
      </w:r>
    </w:p>
    <w:p>
      <w:pPr>
        <w:pStyle w:val="GesAbsatz"/>
      </w:pPr>
      <w:r>
        <w:t>1.</w:t>
      </w:r>
      <w:r>
        <w:tab/>
        <w:t>Das Verzeichnis der Schutzgebiete gemäß Artikel 6 umfasst folgende Arten von Schutzgebieten:</w:t>
      </w:r>
    </w:p>
    <w:p>
      <w:pPr>
        <w:pStyle w:val="GesAbsatz"/>
        <w:ind w:left="851" w:hanging="425"/>
      </w:pPr>
      <w:r>
        <w:t>i)</w:t>
      </w:r>
      <w:r>
        <w:tab/>
        <w:t>Gebiete, die gemäß Artikel 7 für die Entnahme von Wasser für den menschlichen Gebrauch ausgewiesen wurden;</w:t>
      </w:r>
    </w:p>
    <w:p>
      <w:pPr>
        <w:pStyle w:val="GesAbsatz"/>
        <w:ind w:left="851" w:hanging="425"/>
      </w:pPr>
      <w:r>
        <w:t>ii)</w:t>
      </w:r>
      <w:r>
        <w:tab/>
        <w:t>Gebiete, die zum Schutz wirtschaftlich bedeutender aquatischer Arten ausgewiesen wurden;</w:t>
      </w:r>
    </w:p>
    <w:p>
      <w:pPr>
        <w:pStyle w:val="GesAbsatz"/>
        <w:ind w:left="851" w:hanging="425"/>
      </w:pPr>
      <w:r>
        <w:t>iii)</w:t>
      </w:r>
      <w:r>
        <w:tab/>
        <w:t>Gewässer, die als Erholungsgewässer ausgewiesen wurden, einschließlich Gebiete, die im Rahmen der Richtlinie 76/160/EWG als Badegewässer ausgewiesen wurden;</w:t>
      </w:r>
    </w:p>
    <w:p>
      <w:pPr>
        <w:pStyle w:val="GesAbsatz"/>
        <w:ind w:left="851" w:hanging="425"/>
      </w:pPr>
      <w:r>
        <w:t>iv)</w:t>
      </w:r>
      <w:r>
        <w:tab/>
        <w:t>nährstoffsensible Gebiete, einschließlich Gebiete, die im Rahmen der Richtlinie 91/676/EWG als gefährdete Gebiete ausgewiesen wurden, sowie Gebiete, die im Rahmen der Richtlinie 91/271/EWG als empfindliche Gebiete ausgewiesen wurden;</w:t>
      </w:r>
    </w:p>
    <w:p>
      <w:pPr>
        <w:pStyle w:val="GesAbsatz"/>
        <w:ind w:left="851" w:hanging="425"/>
      </w:pPr>
      <w:r>
        <w:t>v)</w:t>
      </w:r>
      <w:r>
        <w:tab/>
        <w:t>Gebiete, die für den Schutz von Lebensräumen oder Arten ausgewiesen wurden, sofern die Erhaltung oder Verbesserung des Wasserzustands ein wichtiger Faktor für diesen Schutz ist, einschließlich der Natura-2000-Standorte, die im Rahmen der Richtlinie 92/43/EWG</w:t>
      </w:r>
      <w:r>
        <w:rPr>
          <w:rStyle w:val="Funotenzeichen"/>
        </w:rPr>
        <w:footnoteReference w:id="35"/>
      </w:r>
      <w:r>
        <w:t xml:space="preserve"> und der Richtlinie 79/409/EWG</w:t>
      </w:r>
      <w:r>
        <w:rPr>
          <w:rStyle w:val="Funotenzeichen"/>
        </w:rPr>
        <w:footnoteReference w:id="36"/>
      </w:r>
      <w:r>
        <w:t xml:space="preserve"> ausgewiesen wurden.</w:t>
      </w:r>
    </w:p>
    <w:p>
      <w:pPr>
        <w:pStyle w:val="GesAbsatz"/>
        <w:ind w:left="426" w:hanging="426"/>
      </w:pPr>
      <w:r>
        <w:t>2.</w:t>
      </w:r>
      <w:r>
        <w:tab/>
        <w:t>Der Zusammenfassung des Verzeichnisses, das obligatorischer Bestandteil des Bewirtschaftungsplans für das Einzugsgebiet ist, sind Karten beizufügen, auf denen die Lage jedes Schutzgebiets angegeben ist; ferner sind die gemeinschaftlichen, einzelstaatlichen oder lokalen Rechtsvorschriften zu nennen, auf deren Grundlage diese Gebiete ausgewiesen wurden.</w:t>
      </w:r>
    </w:p>
    <w:p>
      <w:pPr>
        <w:pStyle w:val="berschrift2"/>
        <w:jc w:val="left"/>
      </w:pPr>
      <w:bookmarkStart w:id="32" w:name="_Toc143862492"/>
      <w:r>
        <w:t>Anhang V</w:t>
      </w:r>
      <w:bookmarkEnd w:id="32"/>
    </w:p>
    <w:p>
      <w:pPr>
        <w:pStyle w:val="GesAbsatz"/>
        <w:rPr>
          <w:b/>
        </w:rPr>
      </w:pPr>
      <w:r>
        <w:rPr>
          <w:b/>
        </w:rPr>
        <w:t>1 ZUSTAND DER OBERFLÄCHENGEWÄSSER</w:t>
      </w:r>
    </w:p>
    <w:p>
      <w:pPr>
        <w:pStyle w:val="GesAbsatz"/>
        <w:tabs>
          <w:tab w:val="clear" w:pos="425"/>
          <w:tab w:val="left" w:pos="567"/>
        </w:tabs>
        <w:ind w:left="567" w:hanging="567"/>
      </w:pPr>
      <w:r>
        <w:t>1.1</w:t>
      </w:r>
      <w:r>
        <w:tab/>
        <w:t>Qualitätskomponenten für die Einstufung des ökologischen Zustands</w:t>
      </w:r>
    </w:p>
    <w:p>
      <w:pPr>
        <w:pStyle w:val="GesAbsatz"/>
        <w:tabs>
          <w:tab w:val="clear" w:pos="425"/>
          <w:tab w:val="left" w:pos="567"/>
        </w:tabs>
        <w:ind w:left="567" w:hanging="567"/>
      </w:pPr>
      <w:r>
        <w:t>1.1.1</w:t>
      </w:r>
      <w:r>
        <w:tab/>
        <w:t>Flüsse</w:t>
      </w:r>
    </w:p>
    <w:p>
      <w:pPr>
        <w:pStyle w:val="GesAbsatz"/>
        <w:tabs>
          <w:tab w:val="clear" w:pos="425"/>
          <w:tab w:val="left" w:pos="567"/>
        </w:tabs>
        <w:ind w:left="567" w:hanging="567"/>
      </w:pPr>
      <w:r>
        <w:lastRenderedPageBreak/>
        <w:t>1.1.2</w:t>
      </w:r>
      <w:r>
        <w:tab/>
        <w:t>Seen</w:t>
      </w:r>
    </w:p>
    <w:p>
      <w:pPr>
        <w:pStyle w:val="GesAbsatz"/>
        <w:tabs>
          <w:tab w:val="clear" w:pos="425"/>
          <w:tab w:val="left" w:pos="567"/>
        </w:tabs>
        <w:ind w:left="567" w:hanging="567"/>
      </w:pPr>
      <w:r>
        <w:t>1.1.3</w:t>
      </w:r>
      <w:r>
        <w:tab/>
        <w:t>Übergangsgewässer</w:t>
      </w:r>
    </w:p>
    <w:p>
      <w:pPr>
        <w:pStyle w:val="GesAbsatz"/>
        <w:tabs>
          <w:tab w:val="clear" w:pos="425"/>
          <w:tab w:val="left" w:pos="567"/>
        </w:tabs>
        <w:ind w:left="567" w:hanging="567"/>
      </w:pPr>
      <w:r>
        <w:t>1.1.4</w:t>
      </w:r>
      <w:r>
        <w:tab/>
        <w:t>Küstengewässer</w:t>
      </w:r>
    </w:p>
    <w:p>
      <w:pPr>
        <w:pStyle w:val="GesAbsatz"/>
        <w:tabs>
          <w:tab w:val="clear" w:pos="425"/>
          <w:tab w:val="left" w:pos="567"/>
        </w:tabs>
        <w:ind w:left="567" w:hanging="567"/>
      </w:pPr>
      <w:r>
        <w:t>1.1.5</w:t>
      </w:r>
      <w:r>
        <w:tab/>
        <w:t>Künstliche und erheblich veränderte Oberflächenwasserkörper</w:t>
      </w:r>
    </w:p>
    <w:p>
      <w:pPr>
        <w:pStyle w:val="GesAbsatz"/>
        <w:tabs>
          <w:tab w:val="clear" w:pos="425"/>
          <w:tab w:val="left" w:pos="567"/>
        </w:tabs>
        <w:ind w:left="567" w:hanging="567"/>
      </w:pPr>
      <w:r>
        <w:t>1.2</w:t>
      </w:r>
      <w:r>
        <w:tab/>
        <w:t>Normative Begriffsbestimmungen zur Einstufung des ökologischen Zustands</w:t>
      </w:r>
    </w:p>
    <w:p>
      <w:pPr>
        <w:pStyle w:val="GesAbsatz"/>
        <w:tabs>
          <w:tab w:val="clear" w:pos="425"/>
          <w:tab w:val="left" w:pos="567"/>
        </w:tabs>
        <w:ind w:left="567" w:hanging="567"/>
      </w:pPr>
      <w:r>
        <w:t>1.2.1</w:t>
      </w:r>
      <w:r>
        <w:tab/>
        <w:t>Begriffsbestimmungen für den sehr guten, guten und mäßigen ökologischen Zustand von Flüssen</w:t>
      </w:r>
    </w:p>
    <w:p>
      <w:pPr>
        <w:pStyle w:val="GesAbsatz"/>
        <w:tabs>
          <w:tab w:val="clear" w:pos="425"/>
          <w:tab w:val="left" w:pos="567"/>
        </w:tabs>
        <w:ind w:left="567" w:hanging="567"/>
      </w:pPr>
      <w:r>
        <w:t>1.2.2</w:t>
      </w:r>
      <w:r>
        <w:tab/>
        <w:t>Begriffsbestimmungen für den sehr guten, guten und mäßigen ökologischen Zustand von Seen</w:t>
      </w:r>
    </w:p>
    <w:p>
      <w:pPr>
        <w:pStyle w:val="GesAbsatz"/>
        <w:tabs>
          <w:tab w:val="clear" w:pos="425"/>
          <w:tab w:val="left" w:pos="567"/>
        </w:tabs>
        <w:ind w:left="567" w:hanging="567"/>
      </w:pPr>
      <w:r>
        <w:t>1.2.3</w:t>
      </w:r>
      <w:r>
        <w:tab/>
        <w:t>Begriffsbestimmungen für den sehr guten, guten und mäßigen ökologischen Zustand von Übergangsgewässern</w:t>
      </w:r>
    </w:p>
    <w:p>
      <w:pPr>
        <w:pStyle w:val="GesAbsatz"/>
        <w:tabs>
          <w:tab w:val="clear" w:pos="425"/>
          <w:tab w:val="left" w:pos="567"/>
        </w:tabs>
        <w:ind w:left="567" w:hanging="567"/>
      </w:pPr>
      <w:r>
        <w:t>1.2.4</w:t>
      </w:r>
      <w:r>
        <w:tab/>
        <w:t>Begriffsbestimmungen für den sehr guten, guten und mäßigen ökologischen Zustand von Küstengewässern</w:t>
      </w:r>
    </w:p>
    <w:p>
      <w:pPr>
        <w:pStyle w:val="GesAbsatz"/>
        <w:tabs>
          <w:tab w:val="clear" w:pos="425"/>
          <w:tab w:val="left" w:pos="567"/>
        </w:tabs>
        <w:ind w:left="567" w:hanging="567"/>
      </w:pPr>
      <w:r>
        <w:t>1.2.5</w:t>
      </w:r>
      <w:r>
        <w:tab/>
        <w:t>Begriffsbestimmungen für das höchste, das gute und das mäßige ökologische Potential von erheblich veränderten oder künstlichen Wasserkörpern</w:t>
      </w:r>
    </w:p>
    <w:p>
      <w:pPr>
        <w:pStyle w:val="GesAbsatz"/>
        <w:tabs>
          <w:tab w:val="clear" w:pos="425"/>
          <w:tab w:val="left" w:pos="567"/>
        </w:tabs>
        <w:ind w:left="567" w:hanging="567"/>
      </w:pPr>
      <w:r>
        <w:t>1.2.6</w:t>
      </w:r>
      <w:r>
        <w:tab/>
        <w:t>Verfahren zur Festlegung chemischer Qualitätsnormen durch die Mitgliedstaaten</w:t>
      </w:r>
    </w:p>
    <w:p>
      <w:pPr>
        <w:pStyle w:val="GesAbsatz"/>
        <w:tabs>
          <w:tab w:val="clear" w:pos="425"/>
          <w:tab w:val="left" w:pos="567"/>
        </w:tabs>
        <w:ind w:left="567" w:hanging="567"/>
      </w:pPr>
      <w:r>
        <w:t>1.3</w:t>
      </w:r>
      <w:r>
        <w:tab/>
        <w:t>Überwachung des ökologischen und des chemischen Zustands der Oberflächengewässer</w:t>
      </w:r>
    </w:p>
    <w:p>
      <w:pPr>
        <w:pStyle w:val="GesAbsatz"/>
        <w:tabs>
          <w:tab w:val="clear" w:pos="425"/>
          <w:tab w:val="left" w:pos="567"/>
        </w:tabs>
        <w:ind w:left="567" w:hanging="567"/>
      </w:pPr>
      <w:r>
        <w:t>1.3.1</w:t>
      </w:r>
      <w:r>
        <w:tab/>
        <w:t>Gestaltung der überblicksweisen Überwachung</w:t>
      </w:r>
    </w:p>
    <w:p>
      <w:pPr>
        <w:pStyle w:val="GesAbsatz"/>
        <w:tabs>
          <w:tab w:val="clear" w:pos="425"/>
          <w:tab w:val="left" w:pos="567"/>
        </w:tabs>
        <w:ind w:left="567" w:hanging="567"/>
      </w:pPr>
      <w:r>
        <w:t>1.3.2</w:t>
      </w:r>
      <w:r>
        <w:tab/>
        <w:t>Gestaltung der operativen Überwachung</w:t>
      </w:r>
    </w:p>
    <w:p>
      <w:pPr>
        <w:pStyle w:val="GesAbsatz"/>
        <w:tabs>
          <w:tab w:val="clear" w:pos="425"/>
          <w:tab w:val="left" w:pos="567"/>
        </w:tabs>
        <w:ind w:left="567" w:hanging="567"/>
      </w:pPr>
      <w:r>
        <w:t>1.3.3</w:t>
      </w:r>
      <w:r>
        <w:tab/>
        <w:t>Überwachung zu Ermittlungszwecken</w:t>
      </w:r>
    </w:p>
    <w:p>
      <w:pPr>
        <w:pStyle w:val="GesAbsatz"/>
        <w:tabs>
          <w:tab w:val="clear" w:pos="425"/>
          <w:tab w:val="left" w:pos="567"/>
        </w:tabs>
        <w:ind w:left="567" w:hanging="567"/>
      </w:pPr>
      <w:r>
        <w:t>1.3.4</w:t>
      </w:r>
      <w:r>
        <w:tab/>
        <w:t>Überwachungsfrequenz</w:t>
      </w:r>
    </w:p>
    <w:p>
      <w:pPr>
        <w:pStyle w:val="GesAbsatz"/>
        <w:tabs>
          <w:tab w:val="clear" w:pos="425"/>
          <w:tab w:val="left" w:pos="567"/>
        </w:tabs>
        <w:ind w:left="567" w:hanging="567"/>
      </w:pPr>
      <w:r>
        <w:t>1.3.5</w:t>
      </w:r>
      <w:r>
        <w:tab/>
        <w:t>Zusätzliche Überwachungsanforderungen für Schutzgebiete</w:t>
      </w:r>
    </w:p>
    <w:p>
      <w:pPr>
        <w:pStyle w:val="GesAbsatz"/>
        <w:tabs>
          <w:tab w:val="clear" w:pos="425"/>
          <w:tab w:val="left" w:pos="567"/>
        </w:tabs>
        <w:ind w:left="567" w:hanging="567"/>
      </w:pPr>
      <w:r>
        <w:t>1.3.6</w:t>
      </w:r>
      <w:r>
        <w:tab/>
        <w:t>Normen für die Überwachung der Qualitätskomponenten</w:t>
      </w:r>
    </w:p>
    <w:p>
      <w:pPr>
        <w:pStyle w:val="GesAbsatz"/>
        <w:tabs>
          <w:tab w:val="clear" w:pos="425"/>
          <w:tab w:val="left" w:pos="567"/>
        </w:tabs>
        <w:ind w:left="567" w:hanging="567"/>
      </w:pPr>
      <w:r>
        <w:t>1.4</w:t>
      </w:r>
      <w:r>
        <w:tab/>
        <w:t>Einstufung und Darstellung des ökologischen Zustands</w:t>
      </w:r>
    </w:p>
    <w:p>
      <w:pPr>
        <w:pStyle w:val="GesAbsatz"/>
        <w:tabs>
          <w:tab w:val="clear" w:pos="425"/>
          <w:tab w:val="left" w:pos="567"/>
        </w:tabs>
        <w:ind w:left="567" w:hanging="567"/>
      </w:pPr>
      <w:r>
        <w:t>1.4.1</w:t>
      </w:r>
      <w:r>
        <w:tab/>
        <w:t>Vergleichbarkeit der Ergebnisse der biologischen Überwachung</w:t>
      </w:r>
    </w:p>
    <w:p>
      <w:pPr>
        <w:pStyle w:val="GesAbsatz"/>
        <w:tabs>
          <w:tab w:val="clear" w:pos="425"/>
          <w:tab w:val="left" w:pos="567"/>
        </w:tabs>
        <w:ind w:left="567" w:hanging="567"/>
      </w:pPr>
      <w:r>
        <w:t>1.4.2</w:t>
      </w:r>
      <w:r>
        <w:tab/>
        <w:t>Darstellung der Überwachungsergebnisse und Einstufung des ökologischen Zustands und des ökologischen Potentials</w:t>
      </w:r>
    </w:p>
    <w:p>
      <w:pPr>
        <w:pStyle w:val="GesAbsatz"/>
        <w:tabs>
          <w:tab w:val="clear" w:pos="425"/>
          <w:tab w:val="left" w:pos="567"/>
        </w:tabs>
        <w:ind w:left="567" w:hanging="567"/>
      </w:pPr>
      <w:r>
        <w:t>1.4.3</w:t>
      </w:r>
      <w:r>
        <w:tab/>
        <w:t>Darstellung der Überwachungsergebnisse und Einstufung des chemischen Zustands</w:t>
      </w:r>
    </w:p>
    <w:p>
      <w:pPr>
        <w:pStyle w:val="GesAbsatz"/>
        <w:rPr>
          <w:b/>
        </w:rPr>
      </w:pPr>
      <w:r>
        <w:rPr>
          <w:b/>
        </w:rPr>
        <w:t>2 GRUNDWASSER</w:t>
      </w:r>
    </w:p>
    <w:p>
      <w:pPr>
        <w:pStyle w:val="GesAbsatz"/>
        <w:tabs>
          <w:tab w:val="clear" w:pos="425"/>
          <w:tab w:val="left" w:pos="567"/>
        </w:tabs>
        <w:ind w:left="567" w:hanging="567"/>
      </w:pPr>
      <w:r>
        <w:t>2.1</w:t>
      </w:r>
      <w:r>
        <w:tab/>
        <w:t>Mengenmäßiger Zustand des Grundwassers</w:t>
      </w:r>
    </w:p>
    <w:p>
      <w:pPr>
        <w:pStyle w:val="GesAbsatz"/>
        <w:tabs>
          <w:tab w:val="clear" w:pos="425"/>
          <w:tab w:val="left" w:pos="567"/>
        </w:tabs>
        <w:ind w:left="567" w:hanging="567"/>
      </w:pPr>
      <w:r>
        <w:t>2.1.1</w:t>
      </w:r>
      <w:r>
        <w:tab/>
        <w:t>Parameter für die Einstufung des mengenmäßigen Zustands des Grundwassers</w:t>
      </w:r>
    </w:p>
    <w:p>
      <w:pPr>
        <w:pStyle w:val="GesAbsatz"/>
        <w:tabs>
          <w:tab w:val="clear" w:pos="425"/>
          <w:tab w:val="left" w:pos="567"/>
        </w:tabs>
        <w:ind w:left="567" w:hanging="567"/>
      </w:pPr>
      <w:r>
        <w:t>2.1.2</w:t>
      </w:r>
      <w:r>
        <w:tab/>
        <w:t>Bestimmung des mengenmäßigen Zustands</w:t>
      </w:r>
    </w:p>
    <w:p>
      <w:pPr>
        <w:pStyle w:val="GesAbsatz"/>
        <w:tabs>
          <w:tab w:val="clear" w:pos="425"/>
          <w:tab w:val="left" w:pos="567"/>
        </w:tabs>
        <w:ind w:left="567" w:hanging="567"/>
      </w:pPr>
      <w:r>
        <w:t>2.2</w:t>
      </w:r>
      <w:r>
        <w:tab/>
        <w:t>Überwachung des mengenmäßigen Zustands des Grundwassers</w:t>
      </w:r>
    </w:p>
    <w:p>
      <w:pPr>
        <w:pStyle w:val="GesAbsatz"/>
        <w:tabs>
          <w:tab w:val="clear" w:pos="425"/>
          <w:tab w:val="left" w:pos="567"/>
        </w:tabs>
        <w:ind w:left="567" w:hanging="567"/>
      </w:pPr>
      <w:r>
        <w:t>2.2.1</w:t>
      </w:r>
      <w:r>
        <w:tab/>
        <w:t>Grundwasserspiegel-Überwachungsnetz</w:t>
      </w:r>
    </w:p>
    <w:p>
      <w:pPr>
        <w:pStyle w:val="GesAbsatz"/>
        <w:tabs>
          <w:tab w:val="clear" w:pos="425"/>
          <w:tab w:val="left" w:pos="567"/>
        </w:tabs>
        <w:ind w:left="567" w:hanging="567"/>
      </w:pPr>
      <w:r>
        <w:t>2.2.2</w:t>
      </w:r>
      <w:r>
        <w:tab/>
        <w:t>Dichte der Überwachungsstellen</w:t>
      </w:r>
    </w:p>
    <w:p>
      <w:pPr>
        <w:pStyle w:val="GesAbsatz"/>
        <w:tabs>
          <w:tab w:val="clear" w:pos="425"/>
          <w:tab w:val="left" w:pos="567"/>
        </w:tabs>
        <w:ind w:left="567" w:hanging="567"/>
      </w:pPr>
      <w:r>
        <w:t>2.2.3</w:t>
      </w:r>
      <w:r>
        <w:tab/>
        <w:t>Überwachungsfrequenz</w:t>
      </w:r>
    </w:p>
    <w:p>
      <w:pPr>
        <w:pStyle w:val="GesAbsatz"/>
        <w:tabs>
          <w:tab w:val="clear" w:pos="425"/>
          <w:tab w:val="left" w:pos="567"/>
        </w:tabs>
        <w:ind w:left="567" w:hanging="567"/>
      </w:pPr>
      <w:r>
        <w:t>2.2.4</w:t>
      </w:r>
      <w:r>
        <w:tab/>
        <w:t>Interpretation und Darstellung des mengenmäßigen Zustands des Grundwassers</w:t>
      </w:r>
    </w:p>
    <w:p>
      <w:pPr>
        <w:pStyle w:val="GesAbsatz"/>
        <w:tabs>
          <w:tab w:val="clear" w:pos="425"/>
          <w:tab w:val="left" w:pos="567"/>
        </w:tabs>
        <w:ind w:left="567" w:hanging="567"/>
      </w:pPr>
      <w:r>
        <w:t>2.3</w:t>
      </w:r>
      <w:r>
        <w:tab/>
        <w:t>Chemischer Zustand des Grundwassers</w:t>
      </w:r>
    </w:p>
    <w:p>
      <w:pPr>
        <w:pStyle w:val="GesAbsatz"/>
        <w:tabs>
          <w:tab w:val="clear" w:pos="425"/>
          <w:tab w:val="left" w:pos="567"/>
        </w:tabs>
        <w:ind w:left="567" w:hanging="567"/>
      </w:pPr>
      <w:r>
        <w:t>2.3.1</w:t>
      </w:r>
      <w:r>
        <w:tab/>
        <w:t>Parameter für die Bestimmung des chemischen Zustands</w:t>
      </w:r>
    </w:p>
    <w:p>
      <w:pPr>
        <w:pStyle w:val="GesAbsatz"/>
        <w:tabs>
          <w:tab w:val="clear" w:pos="425"/>
          <w:tab w:val="left" w:pos="567"/>
        </w:tabs>
        <w:ind w:left="567" w:hanging="567"/>
      </w:pPr>
      <w:r>
        <w:t>2.3.2</w:t>
      </w:r>
      <w:r>
        <w:tab/>
        <w:t>Bestimmung des guten chemischen Zustands</w:t>
      </w:r>
    </w:p>
    <w:p>
      <w:pPr>
        <w:pStyle w:val="GesAbsatz"/>
      </w:pPr>
      <w:r>
        <w:t>2.4</w:t>
      </w:r>
      <w:r>
        <w:tab/>
        <w:t>Überwachung des chemischen Zustands des Grundwassers</w:t>
      </w:r>
    </w:p>
    <w:p>
      <w:pPr>
        <w:pStyle w:val="GesAbsatz"/>
      </w:pPr>
      <w:r>
        <w:t>2.4.1</w:t>
      </w:r>
      <w:r>
        <w:tab/>
        <w:t>Grundwasserüberwachungsnetz</w:t>
      </w:r>
    </w:p>
    <w:p>
      <w:pPr>
        <w:pStyle w:val="GesAbsatz"/>
      </w:pPr>
      <w:r>
        <w:t>2.4.2</w:t>
      </w:r>
      <w:r>
        <w:tab/>
        <w:t>Überblicksweise Überwachung</w:t>
      </w:r>
    </w:p>
    <w:p>
      <w:pPr>
        <w:pStyle w:val="GesAbsatz"/>
      </w:pPr>
      <w:r>
        <w:t>2.4.3</w:t>
      </w:r>
      <w:r>
        <w:tab/>
        <w:t>Operative Überwachung</w:t>
      </w:r>
    </w:p>
    <w:p>
      <w:pPr>
        <w:pStyle w:val="GesAbsatz"/>
      </w:pPr>
      <w:r>
        <w:t>2.4.4</w:t>
      </w:r>
      <w:r>
        <w:tab/>
        <w:t>Ermittlung der Trends bei Schadstoffen</w:t>
      </w:r>
    </w:p>
    <w:p>
      <w:pPr>
        <w:pStyle w:val="GesAbsatz"/>
      </w:pPr>
      <w:r>
        <w:t>2.4.5</w:t>
      </w:r>
      <w:r>
        <w:tab/>
        <w:t>Interpretation und Darstellung des chemischen Zustands des Grundwassers</w:t>
      </w:r>
    </w:p>
    <w:p>
      <w:pPr>
        <w:pStyle w:val="GesAbsatz"/>
      </w:pPr>
      <w:r>
        <w:t>2.5</w:t>
      </w:r>
      <w:r>
        <w:tab/>
        <w:t>Darstellung des Grundwasserzustands</w:t>
      </w:r>
    </w:p>
    <w:p>
      <w:pPr>
        <w:pStyle w:val="GesAbsatz"/>
        <w:rPr>
          <w:b/>
        </w:rPr>
      </w:pPr>
      <w:r>
        <w:rPr>
          <w:b/>
        </w:rPr>
        <w:t>1 ZUSTAND DER OBERFLÄCHENGEWÄSSER</w:t>
      </w:r>
    </w:p>
    <w:p>
      <w:pPr>
        <w:pStyle w:val="GesAbsatz"/>
      </w:pPr>
      <w:r>
        <w:t>1.1</w:t>
      </w:r>
      <w:r>
        <w:tab/>
        <w:t>Qualitätskomponenten für die Einstufung des ökologischen Zustands</w:t>
      </w:r>
    </w:p>
    <w:p>
      <w:pPr>
        <w:pStyle w:val="GesAbsatz"/>
        <w:tabs>
          <w:tab w:val="clear" w:pos="425"/>
          <w:tab w:val="left" w:pos="567"/>
        </w:tabs>
      </w:pPr>
      <w:r>
        <w:t>1.1.1</w:t>
      </w:r>
      <w:r>
        <w:tab/>
        <w:t>Flüsse</w:t>
      </w:r>
    </w:p>
    <w:p>
      <w:pPr>
        <w:pStyle w:val="GesAbsatz"/>
        <w:tabs>
          <w:tab w:val="clear" w:pos="425"/>
          <w:tab w:val="left" w:pos="567"/>
        </w:tabs>
        <w:ind w:left="567"/>
      </w:pPr>
      <w:r>
        <w:t>Biologische Komponenten</w:t>
      </w:r>
    </w:p>
    <w:p>
      <w:pPr>
        <w:pStyle w:val="GesAbsatz"/>
        <w:tabs>
          <w:tab w:val="clear" w:pos="425"/>
          <w:tab w:val="left" w:pos="851"/>
        </w:tabs>
        <w:ind w:left="851"/>
      </w:pPr>
      <w:r>
        <w:t>Zusammensetzung und Abundanz der Gewässerflora,</w:t>
      </w:r>
    </w:p>
    <w:p>
      <w:pPr>
        <w:pStyle w:val="GesAbsatz"/>
        <w:tabs>
          <w:tab w:val="clear" w:pos="425"/>
          <w:tab w:val="left" w:pos="851"/>
        </w:tabs>
        <w:ind w:left="851"/>
      </w:pPr>
      <w:r>
        <w:lastRenderedPageBreak/>
        <w:t>Zusammensetzung und Abundanz der benthischen wirbellosen Fauna,</w:t>
      </w:r>
    </w:p>
    <w:p>
      <w:pPr>
        <w:pStyle w:val="GesAbsatz"/>
        <w:tabs>
          <w:tab w:val="clear" w:pos="425"/>
          <w:tab w:val="left" w:pos="851"/>
        </w:tabs>
        <w:ind w:left="851"/>
      </w:pPr>
      <w:r>
        <w:t>Zusammensetzung, Abundanz und Altersstruktur der Fischfauna.</w:t>
      </w:r>
    </w:p>
    <w:p>
      <w:pPr>
        <w:pStyle w:val="GesAbsatz"/>
        <w:tabs>
          <w:tab w:val="clear" w:pos="425"/>
          <w:tab w:val="left" w:pos="567"/>
        </w:tabs>
        <w:ind w:left="567"/>
      </w:pPr>
      <w:r>
        <w:t>Hydromorphologische Komponenten in Unterstützung der biologischen Komponenten</w:t>
      </w:r>
    </w:p>
    <w:p>
      <w:pPr>
        <w:pStyle w:val="GesAbsatz"/>
        <w:tabs>
          <w:tab w:val="clear" w:pos="425"/>
          <w:tab w:val="left" w:pos="851"/>
        </w:tabs>
        <w:ind w:left="851"/>
      </w:pPr>
      <w:r>
        <w:t>Wasserhaushalt</w:t>
      </w:r>
    </w:p>
    <w:p>
      <w:pPr>
        <w:pStyle w:val="GesAbsatz"/>
        <w:tabs>
          <w:tab w:val="clear" w:pos="425"/>
          <w:tab w:val="left" w:pos="1134"/>
        </w:tabs>
        <w:ind w:left="1134"/>
      </w:pPr>
      <w:r>
        <w:t>Abfluss und Abflussdynamik,</w:t>
      </w:r>
    </w:p>
    <w:p>
      <w:pPr>
        <w:pStyle w:val="GesAbsatz"/>
        <w:tabs>
          <w:tab w:val="clear" w:pos="425"/>
          <w:tab w:val="left" w:pos="1134"/>
        </w:tabs>
        <w:ind w:left="1134"/>
      </w:pPr>
      <w:r>
        <w:t>Verbindung zu Grundwasserkörpern;</w:t>
      </w:r>
    </w:p>
    <w:p>
      <w:pPr>
        <w:pStyle w:val="GesAbsatz"/>
        <w:tabs>
          <w:tab w:val="clear" w:pos="425"/>
          <w:tab w:val="left" w:pos="851"/>
        </w:tabs>
        <w:ind w:left="851"/>
      </w:pPr>
      <w:r>
        <w:t>Durchgängigkeit des Flusses</w:t>
      </w:r>
    </w:p>
    <w:p>
      <w:pPr>
        <w:pStyle w:val="GesAbsatz"/>
        <w:tabs>
          <w:tab w:val="clear" w:pos="425"/>
          <w:tab w:val="left" w:pos="851"/>
        </w:tabs>
        <w:ind w:left="851"/>
      </w:pPr>
      <w:r>
        <w:t>Morphologische Bedingungen</w:t>
      </w:r>
    </w:p>
    <w:p>
      <w:pPr>
        <w:pStyle w:val="GesAbsatz"/>
        <w:tabs>
          <w:tab w:val="clear" w:pos="425"/>
          <w:tab w:val="left" w:pos="1134"/>
        </w:tabs>
        <w:ind w:left="1134"/>
      </w:pPr>
      <w:r>
        <w:t>Tiefen- und Breitenvariation,</w:t>
      </w:r>
    </w:p>
    <w:p>
      <w:pPr>
        <w:pStyle w:val="GesAbsatz"/>
        <w:tabs>
          <w:tab w:val="clear" w:pos="425"/>
          <w:tab w:val="left" w:pos="1134"/>
        </w:tabs>
        <w:ind w:left="1134"/>
      </w:pPr>
      <w:r>
        <w:t>Struktur und Substrat des Flussbetts,</w:t>
      </w:r>
    </w:p>
    <w:p>
      <w:pPr>
        <w:pStyle w:val="GesAbsatz"/>
        <w:tabs>
          <w:tab w:val="clear" w:pos="425"/>
          <w:tab w:val="left" w:pos="1134"/>
        </w:tabs>
        <w:ind w:left="1134"/>
      </w:pPr>
      <w:r>
        <w:t>Struktur der Uferzone.</w:t>
      </w:r>
    </w:p>
    <w:p>
      <w:pPr>
        <w:pStyle w:val="GesAbsatz"/>
        <w:tabs>
          <w:tab w:val="clear" w:pos="425"/>
          <w:tab w:val="left" w:pos="567"/>
        </w:tabs>
        <w:ind w:left="567"/>
      </w:pPr>
      <w:r>
        <w:t>Chemische und physikalisch-chemische Komponenten in Unterstützung der biologischen Komponenten</w:t>
      </w:r>
    </w:p>
    <w:p>
      <w:pPr>
        <w:pStyle w:val="GesAbsatz"/>
        <w:tabs>
          <w:tab w:val="clear" w:pos="425"/>
          <w:tab w:val="left" w:pos="567"/>
        </w:tabs>
        <w:ind w:left="567"/>
      </w:pPr>
      <w:r>
        <w:t>Allgemein</w:t>
      </w:r>
    </w:p>
    <w:p>
      <w:pPr>
        <w:pStyle w:val="GesAbsatz"/>
        <w:tabs>
          <w:tab w:val="clear" w:pos="425"/>
          <w:tab w:val="left" w:pos="851"/>
        </w:tabs>
        <w:ind w:left="851"/>
      </w:pPr>
      <w:r>
        <w:t>Temperaturverhältnisse,</w:t>
      </w:r>
    </w:p>
    <w:p>
      <w:pPr>
        <w:pStyle w:val="GesAbsatz"/>
        <w:tabs>
          <w:tab w:val="clear" w:pos="425"/>
          <w:tab w:val="left" w:pos="851"/>
        </w:tabs>
        <w:ind w:left="851"/>
      </w:pPr>
      <w:r>
        <w:t>Sauerstoffhaushalt,</w:t>
      </w:r>
    </w:p>
    <w:p>
      <w:pPr>
        <w:pStyle w:val="GesAbsatz"/>
        <w:tabs>
          <w:tab w:val="clear" w:pos="425"/>
          <w:tab w:val="left" w:pos="851"/>
        </w:tabs>
        <w:ind w:left="851"/>
      </w:pPr>
      <w:r>
        <w:t>Salzgehalt,</w:t>
      </w:r>
    </w:p>
    <w:p>
      <w:pPr>
        <w:pStyle w:val="GesAbsatz"/>
        <w:tabs>
          <w:tab w:val="clear" w:pos="425"/>
          <w:tab w:val="left" w:pos="851"/>
        </w:tabs>
        <w:ind w:left="851"/>
      </w:pPr>
      <w:r>
        <w:t>Versauerungszustand,</w:t>
      </w:r>
    </w:p>
    <w:p>
      <w:pPr>
        <w:pStyle w:val="GesAbsatz"/>
        <w:tabs>
          <w:tab w:val="clear" w:pos="425"/>
          <w:tab w:val="left" w:pos="851"/>
        </w:tabs>
        <w:ind w:left="851"/>
      </w:pPr>
      <w:r>
        <w:t>Nährstoffverhältnisse;</w:t>
      </w:r>
    </w:p>
    <w:p>
      <w:pPr>
        <w:pStyle w:val="GesAbsatz"/>
        <w:tabs>
          <w:tab w:val="clear" w:pos="425"/>
          <w:tab w:val="left" w:pos="567"/>
        </w:tabs>
        <w:ind w:left="567"/>
      </w:pPr>
      <w:r>
        <w:t>Spezifische Schadstoffe</w:t>
      </w:r>
    </w:p>
    <w:p>
      <w:pPr>
        <w:pStyle w:val="GesAbsatz"/>
        <w:tabs>
          <w:tab w:val="clear" w:pos="425"/>
          <w:tab w:val="left" w:pos="567"/>
        </w:tabs>
        <w:ind w:left="567"/>
      </w:pPr>
      <w:r>
        <w:t>Verschmutzung durch alle prioritären Stoffe, bei denen festgestellt wurde, dass sie in den Wasserkörper eingeleitet werden,</w:t>
      </w:r>
    </w:p>
    <w:p>
      <w:pPr>
        <w:pStyle w:val="GesAbsatz"/>
        <w:tabs>
          <w:tab w:val="clear" w:pos="425"/>
          <w:tab w:val="left" w:pos="567"/>
        </w:tabs>
        <w:ind w:left="567"/>
      </w:pPr>
      <w:r>
        <w:t>Verschmutzung durch sonstige Stoffe, bei denen festgestellt wurde, dass sie in signifikanten Mengen in den Wasserkörper eingeleitet werden.</w:t>
      </w:r>
    </w:p>
    <w:p>
      <w:pPr>
        <w:pStyle w:val="GesAbsatz"/>
        <w:tabs>
          <w:tab w:val="clear" w:pos="425"/>
          <w:tab w:val="left" w:pos="567"/>
        </w:tabs>
      </w:pPr>
      <w:r>
        <w:t>1.1.2</w:t>
      </w:r>
      <w:r>
        <w:tab/>
        <w:t>Seen</w:t>
      </w:r>
    </w:p>
    <w:p>
      <w:pPr>
        <w:pStyle w:val="GesAbsatz"/>
        <w:tabs>
          <w:tab w:val="clear" w:pos="425"/>
          <w:tab w:val="left" w:pos="567"/>
        </w:tabs>
        <w:ind w:left="567"/>
      </w:pPr>
      <w:r>
        <w:t>Biologische Komponenten</w:t>
      </w:r>
    </w:p>
    <w:p>
      <w:pPr>
        <w:pStyle w:val="GesAbsatz"/>
        <w:tabs>
          <w:tab w:val="clear" w:pos="425"/>
          <w:tab w:val="left" w:pos="851"/>
        </w:tabs>
        <w:ind w:left="851"/>
      </w:pPr>
      <w:r>
        <w:t>Zusammensetzung, Abundanz und Biomasse des Phytoplanktons,</w:t>
      </w:r>
    </w:p>
    <w:p>
      <w:pPr>
        <w:pStyle w:val="GesAbsatz"/>
        <w:tabs>
          <w:tab w:val="clear" w:pos="425"/>
          <w:tab w:val="left" w:pos="851"/>
        </w:tabs>
        <w:ind w:left="851"/>
      </w:pPr>
      <w:r>
        <w:t>Zusammensetzung und Abundanz der sonstigen Gewässerflora,</w:t>
      </w:r>
    </w:p>
    <w:p>
      <w:pPr>
        <w:pStyle w:val="GesAbsatz"/>
        <w:tabs>
          <w:tab w:val="clear" w:pos="425"/>
          <w:tab w:val="left" w:pos="851"/>
        </w:tabs>
        <w:ind w:left="851"/>
      </w:pPr>
      <w:r>
        <w:t>Zusammensetzung und Abundanz der benthischen wirbellosen Fauna,</w:t>
      </w:r>
    </w:p>
    <w:p>
      <w:pPr>
        <w:pStyle w:val="GesAbsatz"/>
        <w:tabs>
          <w:tab w:val="clear" w:pos="425"/>
          <w:tab w:val="left" w:pos="851"/>
        </w:tabs>
        <w:ind w:left="851"/>
      </w:pPr>
      <w:r>
        <w:t>Zusammensetzung, Abundanz und Altersstruktur der Fischfauna;</w:t>
      </w:r>
    </w:p>
    <w:p>
      <w:pPr>
        <w:pStyle w:val="GesAbsatz"/>
        <w:tabs>
          <w:tab w:val="clear" w:pos="425"/>
          <w:tab w:val="left" w:pos="567"/>
        </w:tabs>
        <w:ind w:left="567"/>
      </w:pPr>
      <w:r>
        <w:t>Hydromorphologische Komponenten in Unterstützung der biologischen Komponenten</w:t>
      </w:r>
    </w:p>
    <w:p>
      <w:pPr>
        <w:pStyle w:val="GesAbsatz"/>
        <w:tabs>
          <w:tab w:val="clear" w:pos="425"/>
          <w:tab w:val="left" w:pos="851"/>
        </w:tabs>
        <w:ind w:left="851"/>
      </w:pPr>
      <w:r>
        <w:t>Wasserhaushalt</w:t>
      </w:r>
    </w:p>
    <w:p>
      <w:pPr>
        <w:pStyle w:val="GesAbsatz"/>
        <w:tabs>
          <w:tab w:val="clear" w:pos="425"/>
          <w:tab w:val="left" w:pos="1134"/>
        </w:tabs>
        <w:ind w:left="1134"/>
      </w:pPr>
      <w:r>
        <w:t>Wasserstandsdynamik,</w:t>
      </w:r>
    </w:p>
    <w:p>
      <w:pPr>
        <w:pStyle w:val="GesAbsatz"/>
        <w:tabs>
          <w:tab w:val="clear" w:pos="425"/>
          <w:tab w:val="left" w:pos="1134"/>
        </w:tabs>
        <w:ind w:left="1134"/>
      </w:pPr>
      <w:r>
        <w:t>Wassererneuerungszeit,</w:t>
      </w:r>
    </w:p>
    <w:p>
      <w:pPr>
        <w:pStyle w:val="GesAbsatz"/>
        <w:tabs>
          <w:tab w:val="clear" w:pos="425"/>
          <w:tab w:val="left" w:pos="1134"/>
        </w:tabs>
        <w:ind w:left="1134"/>
      </w:pPr>
      <w:r>
        <w:t>Verbindung zum Grundwasserkörper;</w:t>
      </w:r>
    </w:p>
    <w:p>
      <w:pPr>
        <w:pStyle w:val="GesAbsatz"/>
        <w:tabs>
          <w:tab w:val="clear" w:pos="425"/>
          <w:tab w:val="left" w:pos="851"/>
        </w:tabs>
        <w:ind w:left="851"/>
      </w:pPr>
      <w:r>
        <w:t>Morphologische Bedingungen</w:t>
      </w:r>
    </w:p>
    <w:p>
      <w:pPr>
        <w:pStyle w:val="GesAbsatz"/>
        <w:tabs>
          <w:tab w:val="clear" w:pos="425"/>
          <w:tab w:val="left" w:pos="1134"/>
        </w:tabs>
        <w:ind w:left="1134"/>
      </w:pPr>
      <w:r>
        <w:t>Tiefenvariation,</w:t>
      </w:r>
    </w:p>
    <w:p>
      <w:pPr>
        <w:pStyle w:val="GesAbsatz"/>
        <w:tabs>
          <w:tab w:val="clear" w:pos="425"/>
          <w:tab w:val="left" w:pos="1134"/>
        </w:tabs>
        <w:ind w:left="1134"/>
      </w:pPr>
      <w:r>
        <w:t>Menge, Struktur und Substrat des Gewässerbodens,</w:t>
      </w:r>
    </w:p>
    <w:p>
      <w:pPr>
        <w:pStyle w:val="GesAbsatz"/>
        <w:tabs>
          <w:tab w:val="clear" w:pos="425"/>
          <w:tab w:val="left" w:pos="1134"/>
        </w:tabs>
        <w:ind w:left="1134"/>
      </w:pPr>
      <w:r>
        <w:t>Struktur der Uferzone;</w:t>
      </w:r>
    </w:p>
    <w:p>
      <w:pPr>
        <w:pStyle w:val="GesAbsatz"/>
        <w:tabs>
          <w:tab w:val="clear" w:pos="425"/>
          <w:tab w:val="left" w:pos="567"/>
        </w:tabs>
        <w:ind w:left="567"/>
      </w:pPr>
      <w:r>
        <w:t>Chemische und physikalisch-chemische Komponenten in Unterstützung der biologischen Komponenten</w:t>
      </w:r>
    </w:p>
    <w:p>
      <w:pPr>
        <w:pStyle w:val="GesAbsatz"/>
        <w:tabs>
          <w:tab w:val="clear" w:pos="425"/>
          <w:tab w:val="left" w:pos="567"/>
        </w:tabs>
        <w:ind w:left="567"/>
      </w:pPr>
      <w:r>
        <w:t>Allgemein</w:t>
      </w:r>
    </w:p>
    <w:p>
      <w:pPr>
        <w:pStyle w:val="GesAbsatz"/>
        <w:tabs>
          <w:tab w:val="clear" w:pos="425"/>
          <w:tab w:val="left" w:pos="851"/>
        </w:tabs>
        <w:ind w:left="851"/>
      </w:pPr>
      <w:r>
        <w:t>Sichttiefe,</w:t>
      </w:r>
    </w:p>
    <w:p>
      <w:pPr>
        <w:pStyle w:val="GesAbsatz"/>
        <w:tabs>
          <w:tab w:val="clear" w:pos="425"/>
          <w:tab w:val="left" w:pos="851"/>
        </w:tabs>
        <w:ind w:left="851"/>
      </w:pPr>
      <w:r>
        <w:t>Temperaturverhältnisse,</w:t>
      </w:r>
    </w:p>
    <w:p>
      <w:pPr>
        <w:pStyle w:val="GesAbsatz"/>
        <w:tabs>
          <w:tab w:val="clear" w:pos="425"/>
          <w:tab w:val="left" w:pos="851"/>
        </w:tabs>
        <w:ind w:left="851"/>
      </w:pPr>
      <w:r>
        <w:t>Sauerstoffhaushalt,</w:t>
      </w:r>
    </w:p>
    <w:p>
      <w:pPr>
        <w:pStyle w:val="GesAbsatz"/>
        <w:tabs>
          <w:tab w:val="clear" w:pos="425"/>
          <w:tab w:val="left" w:pos="851"/>
        </w:tabs>
        <w:ind w:left="851"/>
      </w:pPr>
      <w:r>
        <w:t>Salzgehalt,</w:t>
      </w:r>
    </w:p>
    <w:p>
      <w:pPr>
        <w:pStyle w:val="GesAbsatz"/>
        <w:tabs>
          <w:tab w:val="clear" w:pos="425"/>
          <w:tab w:val="left" w:pos="851"/>
        </w:tabs>
        <w:ind w:left="851"/>
      </w:pPr>
      <w:r>
        <w:t>Versauerungszustand,</w:t>
      </w:r>
    </w:p>
    <w:p>
      <w:pPr>
        <w:pStyle w:val="GesAbsatz"/>
        <w:tabs>
          <w:tab w:val="clear" w:pos="425"/>
          <w:tab w:val="left" w:pos="851"/>
        </w:tabs>
        <w:ind w:left="851"/>
      </w:pPr>
      <w:r>
        <w:t>Nährstoffverhältnisse;</w:t>
      </w:r>
    </w:p>
    <w:p>
      <w:pPr>
        <w:pStyle w:val="GesAbsatz"/>
        <w:tabs>
          <w:tab w:val="clear" w:pos="425"/>
          <w:tab w:val="left" w:pos="567"/>
        </w:tabs>
        <w:ind w:left="567"/>
      </w:pPr>
      <w:r>
        <w:t>Spezifische Schadstoffe</w:t>
      </w:r>
    </w:p>
    <w:p>
      <w:pPr>
        <w:pStyle w:val="GesAbsatz"/>
        <w:tabs>
          <w:tab w:val="clear" w:pos="425"/>
          <w:tab w:val="left" w:pos="567"/>
        </w:tabs>
        <w:ind w:left="567"/>
      </w:pPr>
      <w:r>
        <w:t>Verschmutzung durch alle prioritären Stoffe, bei denen festgestellt wurde, dass sie in den Wasserkörper eingeleitet werden</w:t>
      </w:r>
    </w:p>
    <w:p>
      <w:pPr>
        <w:pStyle w:val="GesAbsatz"/>
        <w:tabs>
          <w:tab w:val="clear" w:pos="425"/>
          <w:tab w:val="left" w:pos="567"/>
        </w:tabs>
        <w:ind w:left="567"/>
      </w:pPr>
      <w:r>
        <w:lastRenderedPageBreak/>
        <w:t>Verschmutzung durch sonstige Stoffe, bei denen festgestellt wurde, dass sie in signifikanten Mengen in den Wasserkörper eingeleitet werden</w:t>
      </w:r>
    </w:p>
    <w:p>
      <w:pPr>
        <w:pStyle w:val="GesAbsatz"/>
        <w:tabs>
          <w:tab w:val="clear" w:pos="425"/>
          <w:tab w:val="left" w:pos="567"/>
        </w:tabs>
      </w:pPr>
      <w:r>
        <w:t>1.1.3</w:t>
      </w:r>
      <w:r>
        <w:tab/>
        <w:t>Übergangsgewässer</w:t>
      </w:r>
    </w:p>
    <w:p>
      <w:pPr>
        <w:pStyle w:val="GesAbsatz"/>
        <w:tabs>
          <w:tab w:val="clear" w:pos="425"/>
          <w:tab w:val="left" w:pos="567"/>
        </w:tabs>
        <w:ind w:left="567"/>
      </w:pPr>
      <w:r>
        <w:t>Biologische Komponenten</w:t>
      </w:r>
    </w:p>
    <w:p>
      <w:pPr>
        <w:pStyle w:val="GesAbsatz"/>
        <w:tabs>
          <w:tab w:val="clear" w:pos="425"/>
          <w:tab w:val="left" w:pos="851"/>
        </w:tabs>
        <w:ind w:left="851"/>
      </w:pPr>
      <w:r>
        <w:t>Zusammensetzung, Abundanz und Biomasse des Phytoplanktons,</w:t>
      </w:r>
    </w:p>
    <w:p>
      <w:pPr>
        <w:pStyle w:val="GesAbsatz"/>
        <w:tabs>
          <w:tab w:val="clear" w:pos="425"/>
          <w:tab w:val="left" w:pos="851"/>
        </w:tabs>
        <w:ind w:left="851"/>
      </w:pPr>
      <w:r>
        <w:t>Zusammensetzung und Abundanz der sonstigen Gewässerflora,</w:t>
      </w:r>
    </w:p>
    <w:p>
      <w:pPr>
        <w:pStyle w:val="GesAbsatz"/>
        <w:tabs>
          <w:tab w:val="clear" w:pos="425"/>
          <w:tab w:val="left" w:pos="851"/>
        </w:tabs>
        <w:ind w:left="851"/>
      </w:pPr>
      <w:r>
        <w:t>Zusammensetzung und Abundanz der benthischen wirbellosen Fauna,</w:t>
      </w:r>
    </w:p>
    <w:p>
      <w:pPr>
        <w:pStyle w:val="GesAbsatz"/>
        <w:tabs>
          <w:tab w:val="clear" w:pos="425"/>
          <w:tab w:val="left" w:pos="851"/>
        </w:tabs>
        <w:ind w:left="851"/>
      </w:pPr>
      <w:r>
        <w:t>Zusammensetzung und Abundanz der Fischfauna;</w:t>
      </w:r>
    </w:p>
    <w:p>
      <w:pPr>
        <w:pStyle w:val="GesAbsatz"/>
        <w:tabs>
          <w:tab w:val="clear" w:pos="425"/>
          <w:tab w:val="left" w:pos="567"/>
        </w:tabs>
        <w:ind w:left="567"/>
      </w:pPr>
      <w:r>
        <w:t>Hydromorphologische Komponenten in Unterstützung der biologischen Komponenten</w:t>
      </w:r>
    </w:p>
    <w:p>
      <w:pPr>
        <w:pStyle w:val="GesAbsatz"/>
        <w:tabs>
          <w:tab w:val="clear" w:pos="425"/>
          <w:tab w:val="left" w:pos="851"/>
        </w:tabs>
        <w:ind w:left="851"/>
      </w:pPr>
      <w:r>
        <w:t>Morphologische Bedingungen</w:t>
      </w:r>
    </w:p>
    <w:p>
      <w:pPr>
        <w:pStyle w:val="GesAbsatz"/>
        <w:tabs>
          <w:tab w:val="clear" w:pos="425"/>
          <w:tab w:val="left" w:pos="1134"/>
        </w:tabs>
        <w:ind w:left="1134"/>
      </w:pPr>
      <w:r>
        <w:t>Tiefenvariation,</w:t>
      </w:r>
    </w:p>
    <w:p>
      <w:pPr>
        <w:pStyle w:val="GesAbsatz"/>
        <w:tabs>
          <w:tab w:val="clear" w:pos="425"/>
          <w:tab w:val="left" w:pos="1134"/>
        </w:tabs>
        <w:ind w:left="1134"/>
      </w:pPr>
      <w:r>
        <w:t>Menge, Struktur und Substrat des Gewässerbodens,</w:t>
      </w:r>
    </w:p>
    <w:p>
      <w:pPr>
        <w:pStyle w:val="GesAbsatz"/>
        <w:tabs>
          <w:tab w:val="clear" w:pos="425"/>
          <w:tab w:val="left" w:pos="1134"/>
        </w:tabs>
        <w:ind w:left="1134"/>
      </w:pPr>
      <w:r>
        <w:t>Struktur der Gezeitenzone;</w:t>
      </w:r>
    </w:p>
    <w:p>
      <w:pPr>
        <w:pStyle w:val="GesAbsatz"/>
        <w:tabs>
          <w:tab w:val="clear" w:pos="425"/>
          <w:tab w:val="left" w:pos="851"/>
        </w:tabs>
        <w:ind w:left="851"/>
      </w:pPr>
      <w:r>
        <w:t>Tidenregime</w:t>
      </w:r>
    </w:p>
    <w:p>
      <w:pPr>
        <w:pStyle w:val="GesAbsatz"/>
        <w:tabs>
          <w:tab w:val="clear" w:pos="425"/>
          <w:tab w:val="left" w:pos="1134"/>
        </w:tabs>
        <w:ind w:left="1134"/>
      </w:pPr>
      <w:r>
        <w:t>Süßwasserzustrom,</w:t>
      </w:r>
    </w:p>
    <w:p>
      <w:pPr>
        <w:pStyle w:val="GesAbsatz"/>
        <w:tabs>
          <w:tab w:val="clear" w:pos="425"/>
          <w:tab w:val="left" w:pos="1134"/>
        </w:tabs>
        <w:ind w:left="1134"/>
      </w:pPr>
      <w:r>
        <w:t>Wellenbelastung;</w:t>
      </w:r>
    </w:p>
    <w:p>
      <w:pPr>
        <w:pStyle w:val="GesAbsatz"/>
        <w:tabs>
          <w:tab w:val="clear" w:pos="425"/>
          <w:tab w:val="left" w:pos="567"/>
        </w:tabs>
        <w:ind w:left="567"/>
      </w:pPr>
      <w:r>
        <w:t>Chemische und physikalisch-chemische Komponenten in Unterstützung der biologischen Komponenten</w:t>
      </w:r>
    </w:p>
    <w:p>
      <w:pPr>
        <w:pStyle w:val="GesAbsatz"/>
        <w:tabs>
          <w:tab w:val="clear" w:pos="425"/>
          <w:tab w:val="left" w:pos="567"/>
        </w:tabs>
        <w:ind w:left="567"/>
      </w:pPr>
      <w:r>
        <w:t>Allgemein</w:t>
      </w:r>
    </w:p>
    <w:p>
      <w:pPr>
        <w:pStyle w:val="GesAbsatz"/>
        <w:tabs>
          <w:tab w:val="clear" w:pos="425"/>
          <w:tab w:val="left" w:pos="851"/>
        </w:tabs>
        <w:ind w:left="851"/>
      </w:pPr>
      <w:r>
        <w:t>Sichttiefe,</w:t>
      </w:r>
    </w:p>
    <w:p>
      <w:pPr>
        <w:pStyle w:val="GesAbsatz"/>
        <w:tabs>
          <w:tab w:val="clear" w:pos="425"/>
          <w:tab w:val="left" w:pos="851"/>
        </w:tabs>
        <w:ind w:left="851"/>
      </w:pPr>
      <w:r>
        <w:t>Temperaturverhältnisse,</w:t>
      </w:r>
    </w:p>
    <w:p>
      <w:pPr>
        <w:pStyle w:val="GesAbsatz"/>
        <w:tabs>
          <w:tab w:val="clear" w:pos="425"/>
          <w:tab w:val="left" w:pos="851"/>
        </w:tabs>
        <w:ind w:left="851"/>
      </w:pPr>
      <w:r>
        <w:t>Sauerstoffhaushalt,</w:t>
      </w:r>
    </w:p>
    <w:p>
      <w:pPr>
        <w:pStyle w:val="GesAbsatz"/>
        <w:tabs>
          <w:tab w:val="clear" w:pos="425"/>
          <w:tab w:val="left" w:pos="851"/>
        </w:tabs>
        <w:ind w:left="851"/>
      </w:pPr>
      <w:r>
        <w:t>Salzgehalt,</w:t>
      </w:r>
    </w:p>
    <w:p>
      <w:pPr>
        <w:pStyle w:val="GesAbsatz"/>
        <w:tabs>
          <w:tab w:val="clear" w:pos="425"/>
          <w:tab w:val="left" w:pos="851"/>
        </w:tabs>
        <w:ind w:left="851"/>
      </w:pPr>
      <w:r>
        <w:t>Nährstoffverhältnisse;</w:t>
      </w:r>
    </w:p>
    <w:p>
      <w:pPr>
        <w:pStyle w:val="GesAbsatz"/>
        <w:tabs>
          <w:tab w:val="clear" w:pos="425"/>
          <w:tab w:val="left" w:pos="567"/>
        </w:tabs>
        <w:ind w:left="567"/>
      </w:pPr>
      <w:r>
        <w:t>Spezifische Schadstoffe</w:t>
      </w:r>
    </w:p>
    <w:p>
      <w:pPr>
        <w:pStyle w:val="GesAbsatz"/>
        <w:tabs>
          <w:tab w:val="clear" w:pos="425"/>
          <w:tab w:val="left" w:pos="567"/>
        </w:tabs>
        <w:ind w:left="567"/>
      </w:pPr>
      <w:r>
        <w:t>Verschmutzung durch alle prioritären Stoffe, bei denen festgestellt wurde, dass sie in den Wasserkörper eingeleitet werden,</w:t>
      </w:r>
    </w:p>
    <w:p>
      <w:pPr>
        <w:pStyle w:val="GesAbsatz"/>
        <w:tabs>
          <w:tab w:val="clear" w:pos="425"/>
          <w:tab w:val="left" w:pos="567"/>
        </w:tabs>
        <w:ind w:left="567"/>
      </w:pPr>
      <w:r>
        <w:t>Verschmutzung durch sonstige Stoffe, bei denen festgestellt wurde, dass sie in signifikanten Mengen in den Wasserkörper eingeleitet werden.</w:t>
      </w:r>
    </w:p>
    <w:p>
      <w:pPr>
        <w:pStyle w:val="GesAbsatz"/>
        <w:tabs>
          <w:tab w:val="clear" w:pos="425"/>
          <w:tab w:val="left" w:pos="567"/>
        </w:tabs>
      </w:pPr>
      <w:r>
        <w:t>1.1.4</w:t>
      </w:r>
      <w:r>
        <w:tab/>
        <w:t>Küstengewässer</w:t>
      </w:r>
    </w:p>
    <w:p>
      <w:pPr>
        <w:pStyle w:val="GesAbsatz"/>
        <w:tabs>
          <w:tab w:val="clear" w:pos="425"/>
          <w:tab w:val="left" w:pos="567"/>
        </w:tabs>
        <w:ind w:left="567"/>
      </w:pPr>
      <w:r>
        <w:t>Biologische Komponenten</w:t>
      </w:r>
    </w:p>
    <w:p>
      <w:pPr>
        <w:pStyle w:val="GesAbsatz"/>
        <w:tabs>
          <w:tab w:val="clear" w:pos="425"/>
          <w:tab w:val="left" w:pos="851"/>
        </w:tabs>
        <w:ind w:left="851"/>
      </w:pPr>
      <w:r>
        <w:t>Zusammensetzung, Abundanz und Biomasse des Phytoplanktons,</w:t>
      </w:r>
    </w:p>
    <w:p>
      <w:pPr>
        <w:pStyle w:val="GesAbsatz"/>
        <w:tabs>
          <w:tab w:val="clear" w:pos="425"/>
          <w:tab w:val="left" w:pos="851"/>
        </w:tabs>
        <w:ind w:left="851"/>
      </w:pPr>
      <w:r>
        <w:t>Zusammensetzung und Abundanz der sonstigen Gewässerflora,</w:t>
      </w:r>
    </w:p>
    <w:p>
      <w:pPr>
        <w:pStyle w:val="GesAbsatz"/>
        <w:tabs>
          <w:tab w:val="clear" w:pos="425"/>
          <w:tab w:val="left" w:pos="851"/>
        </w:tabs>
        <w:ind w:left="851"/>
      </w:pPr>
      <w:r>
        <w:t>Zusammensetzung und Abundanz der benthischen wirbellosen Fauna;</w:t>
      </w:r>
    </w:p>
    <w:p>
      <w:pPr>
        <w:pStyle w:val="GesAbsatz"/>
        <w:tabs>
          <w:tab w:val="clear" w:pos="425"/>
          <w:tab w:val="left" w:pos="567"/>
        </w:tabs>
        <w:ind w:left="567"/>
      </w:pPr>
      <w:r>
        <w:t>Hydromorphologische Komponenten in Unterstützung der biologischen Komponenten</w:t>
      </w:r>
    </w:p>
    <w:p>
      <w:pPr>
        <w:pStyle w:val="GesAbsatz"/>
        <w:tabs>
          <w:tab w:val="clear" w:pos="425"/>
          <w:tab w:val="left" w:pos="851"/>
        </w:tabs>
        <w:ind w:left="851"/>
      </w:pPr>
      <w:r>
        <w:t>Morphologische Bedingungen</w:t>
      </w:r>
    </w:p>
    <w:p>
      <w:pPr>
        <w:pStyle w:val="GesAbsatz"/>
        <w:tabs>
          <w:tab w:val="clear" w:pos="425"/>
          <w:tab w:val="left" w:pos="1134"/>
        </w:tabs>
        <w:ind w:left="1134"/>
      </w:pPr>
      <w:r>
        <w:t>Tiefenvariation,</w:t>
      </w:r>
    </w:p>
    <w:p>
      <w:pPr>
        <w:pStyle w:val="GesAbsatz"/>
        <w:tabs>
          <w:tab w:val="clear" w:pos="425"/>
          <w:tab w:val="left" w:pos="1134"/>
        </w:tabs>
        <w:ind w:left="1134"/>
      </w:pPr>
      <w:r>
        <w:t>Struktur und Substrat des Meeresbodens,</w:t>
      </w:r>
    </w:p>
    <w:p>
      <w:pPr>
        <w:pStyle w:val="GesAbsatz"/>
        <w:tabs>
          <w:tab w:val="clear" w:pos="425"/>
          <w:tab w:val="left" w:pos="1134"/>
        </w:tabs>
        <w:ind w:left="1134"/>
      </w:pPr>
      <w:r>
        <w:t>Struktur der Gezeitenzone;</w:t>
      </w:r>
    </w:p>
    <w:p>
      <w:pPr>
        <w:pStyle w:val="GesAbsatz"/>
        <w:tabs>
          <w:tab w:val="clear" w:pos="425"/>
          <w:tab w:val="left" w:pos="851"/>
        </w:tabs>
        <w:ind w:left="851"/>
      </w:pPr>
      <w:r>
        <w:t>Tidenregime</w:t>
      </w:r>
    </w:p>
    <w:p>
      <w:pPr>
        <w:pStyle w:val="GesAbsatz"/>
        <w:tabs>
          <w:tab w:val="clear" w:pos="425"/>
          <w:tab w:val="left" w:pos="1134"/>
        </w:tabs>
        <w:ind w:left="1134"/>
      </w:pPr>
      <w:r>
        <w:t>Richtung der vorherrschenden Strömungen,</w:t>
      </w:r>
    </w:p>
    <w:p>
      <w:pPr>
        <w:pStyle w:val="GesAbsatz"/>
        <w:tabs>
          <w:tab w:val="clear" w:pos="425"/>
          <w:tab w:val="left" w:pos="1134"/>
        </w:tabs>
        <w:ind w:left="1134"/>
      </w:pPr>
      <w:r>
        <w:t>Wellenbelastung;</w:t>
      </w:r>
    </w:p>
    <w:p>
      <w:pPr>
        <w:pStyle w:val="GesAbsatz"/>
        <w:tabs>
          <w:tab w:val="clear" w:pos="425"/>
          <w:tab w:val="left" w:pos="567"/>
        </w:tabs>
        <w:ind w:left="567"/>
      </w:pPr>
      <w:r>
        <w:t>Chemische und physikalisch-chemische Komponenten in Unterstützung der biologischen Komponenten</w:t>
      </w:r>
    </w:p>
    <w:p>
      <w:pPr>
        <w:pStyle w:val="GesAbsatz"/>
        <w:tabs>
          <w:tab w:val="clear" w:pos="425"/>
          <w:tab w:val="left" w:pos="567"/>
        </w:tabs>
        <w:ind w:left="567"/>
      </w:pPr>
      <w:r>
        <w:t>Allgemein</w:t>
      </w:r>
    </w:p>
    <w:p>
      <w:pPr>
        <w:pStyle w:val="GesAbsatz"/>
        <w:tabs>
          <w:tab w:val="clear" w:pos="425"/>
          <w:tab w:val="left" w:pos="851"/>
        </w:tabs>
        <w:ind w:left="851"/>
      </w:pPr>
      <w:r>
        <w:t>Sichttiefe,</w:t>
      </w:r>
    </w:p>
    <w:p>
      <w:pPr>
        <w:pStyle w:val="GesAbsatz"/>
        <w:tabs>
          <w:tab w:val="clear" w:pos="425"/>
          <w:tab w:val="left" w:pos="851"/>
        </w:tabs>
        <w:ind w:left="851"/>
      </w:pPr>
      <w:r>
        <w:t>Temperaturverhältnisse,</w:t>
      </w:r>
    </w:p>
    <w:p>
      <w:pPr>
        <w:pStyle w:val="GesAbsatz"/>
        <w:tabs>
          <w:tab w:val="clear" w:pos="425"/>
          <w:tab w:val="left" w:pos="851"/>
        </w:tabs>
        <w:ind w:left="851"/>
      </w:pPr>
      <w:r>
        <w:t>Sauerstoffhaushalt,</w:t>
      </w:r>
    </w:p>
    <w:p>
      <w:pPr>
        <w:pStyle w:val="GesAbsatz"/>
        <w:tabs>
          <w:tab w:val="clear" w:pos="425"/>
          <w:tab w:val="left" w:pos="851"/>
        </w:tabs>
        <w:ind w:left="851"/>
      </w:pPr>
      <w:r>
        <w:t>Salzgehalt,</w:t>
      </w:r>
    </w:p>
    <w:p>
      <w:pPr>
        <w:pStyle w:val="GesAbsatz"/>
        <w:tabs>
          <w:tab w:val="clear" w:pos="425"/>
          <w:tab w:val="left" w:pos="851"/>
        </w:tabs>
        <w:ind w:left="851"/>
      </w:pPr>
      <w:r>
        <w:t>Nährstoffverhältnisse.</w:t>
      </w:r>
    </w:p>
    <w:p>
      <w:pPr>
        <w:pStyle w:val="GesAbsatz"/>
        <w:tabs>
          <w:tab w:val="clear" w:pos="425"/>
          <w:tab w:val="left" w:pos="567"/>
        </w:tabs>
        <w:ind w:left="567"/>
      </w:pPr>
      <w:r>
        <w:t>Spezifische Schadstoffe</w:t>
      </w:r>
    </w:p>
    <w:p>
      <w:pPr>
        <w:pStyle w:val="GesAbsatz"/>
        <w:tabs>
          <w:tab w:val="clear" w:pos="425"/>
          <w:tab w:val="left" w:pos="567"/>
        </w:tabs>
        <w:ind w:left="567"/>
      </w:pPr>
      <w:r>
        <w:lastRenderedPageBreak/>
        <w:t>Verschmutzung durch alle prioritären Stoffe, bei denen festgestellt wurde, dass sie in den Wasserkörper eingeleitet werden,</w:t>
      </w:r>
    </w:p>
    <w:p>
      <w:pPr>
        <w:pStyle w:val="GesAbsatz"/>
        <w:tabs>
          <w:tab w:val="clear" w:pos="425"/>
          <w:tab w:val="left" w:pos="567"/>
        </w:tabs>
        <w:ind w:left="567"/>
      </w:pPr>
      <w:r>
        <w:t>Verschmutzung durch sonstige Stoffe, bei denen festgestellt wurde, dass sie in signifikanten Mengen in den Wasserkörper eingeleitet werden.</w:t>
      </w:r>
    </w:p>
    <w:p>
      <w:pPr>
        <w:pStyle w:val="GesAbsatz"/>
        <w:tabs>
          <w:tab w:val="clear" w:pos="425"/>
          <w:tab w:val="left" w:pos="567"/>
        </w:tabs>
      </w:pPr>
      <w:r>
        <w:t>1.1.5</w:t>
      </w:r>
      <w:r>
        <w:tab/>
        <w:t>Künstliche und stark veränderte Oberflächenwasserkörper</w:t>
      </w:r>
    </w:p>
    <w:p>
      <w:pPr>
        <w:pStyle w:val="GesAbsatz"/>
        <w:tabs>
          <w:tab w:val="clear" w:pos="425"/>
          <w:tab w:val="left" w:pos="567"/>
        </w:tabs>
        <w:ind w:left="567"/>
      </w:pPr>
      <w:r>
        <w:t>Als Qualitätskomponenten für künstliche und erheblich veränderte Oberflächenwasserkörper werden die Komponenten herangezogen, die für diejenige der vorgenannten vier Kategorien von natürlichen Oberflächengewässern gelten, die dem betreffenden erheblich veränderten oder künstlichen Wasserkörper am ähnlichsten ist.</w:t>
      </w:r>
    </w:p>
    <w:p>
      <w:pPr>
        <w:pStyle w:val="GesAbsatz"/>
        <w:sectPr>
          <w:headerReference w:type="default" r:id="rId15"/>
          <w:footerReference w:type="even" r:id="rId16"/>
          <w:footerReference w:type="default" r:id="rId17"/>
          <w:pgSz w:w="11907" w:h="16840" w:code="9"/>
          <w:pgMar w:top="1134" w:right="851" w:bottom="1134" w:left="1418" w:header="567" w:footer="851" w:gutter="0"/>
          <w:cols w:space="720"/>
        </w:sectPr>
      </w:pPr>
    </w:p>
    <w:p>
      <w:pPr>
        <w:pStyle w:val="GesAbsatz"/>
      </w:pPr>
      <w:r>
        <w:lastRenderedPageBreak/>
        <w:t>1.2</w:t>
      </w:r>
      <w:r>
        <w:tab/>
        <w:t>Normative Begriffsbestimmungen zur Einstufung des ökologischen Zustands</w:t>
      </w:r>
    </w:p>
    <w:p>
      <w:pPr>
        <w:pStyle w:val="GesAbsatz"/>
        <w:rPr>
          <w:b/>
        </w:rPr>
      </w:pPr>
      <w:r>
        <w:rPr>
          <w:b/>
        </w:rPr>
        <w:t>Tabelle 1.2: Allgemeine Begriffsbestimmungen für den Zustand von Flüssen, Seen, Übergangsgewässern und Küstengewässern</w:t>
      </w:r>
    </w:p>
    <w:p>
      <w:pPr>
        <w:pStyle w:val="GesAbsatz"/>
      </w:pPr>
      <w:r>
        <w:t>Im Folgenden wird eine allgemeine Bestimmung der ökologischen Qualität gegeben. Zur Einstufung sind als Werte für die Qualitätskomponenten des ökologischen Zustands bei der jeweiligen Kategorie von Oberflächengewässern die Werte der nachstehenden Tabellen 1.2.1 bis 1.2.4 anzuwenden.</w:t>
      </w:r>
    </w:p>
    <w:p>
      <w:pPr>
        <w:pStyle w:val="GesAbsatz"/>
      </w:pPr>
    </w:p>
    <w:tbl>
      <w:tblPr>
        <w:tblW w:w="143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95"/>
        <w:gridCol w:w="4180"/>
        <w:gridCol w:w="4178"/>
        <w:gridCol w:w="4180"/>
      </w:tblGrid>
      <w:tr>
        <w:trPr>
          <w:trHeight w:val="363"/>
        </w:trPr>
        <w:tc>
          <w:tcPr>
            <w:tcW w:w="1795" w:type="dxa"/>
          </w:tcPr>
          <w:p>
            <w:pPr>
              <w:pStyle w:val="GesAbsatz"/>
              <w:rPr>
                <w:rFonts w:cs="Arial"/>
                <w:sz w:val="18"/>
                <w:szCs w:val="18"/>
              </w:rPr>
            </w:pPr>
            <w:r>
              <w:rPr>
                <w:rFonts w:cs="Arial"/>
                <w:sz w:val="18"/>
                <w:szCs w:val="18"/>
              </w:rPr>
              <w:t>Komponente</w:t>
            </w:r>
          </w:p>
        </w:tc>
        <w:tc>
          <w:tcPr>
            <w:tcW w:w="4180" w:type="dxa"/>
          </w:tcPr>
          <w:p>
            <w:pPr>
              <w:pStyle w:val="GesAbsatz"/>
              <w:rPr>
                <w:rFonts w:cs="Arial"/>
                <w:sz w:val="18"/>
                <w:szCs w:val="18"/>
              </w:rPr>
            </w:pPr>
            <w:r>
              <w:rPr>
                <w:rFonts w:cs="Arial"/>
                <w:sz w:val="18"/>
                <w:szCs w:val="18"/>
              </w:rPr>
              <w:t>Sehr guter Zustand</w:t>
            </w:r>
          </w:p>
        </w:tc>
        <w:tc>
          <w:tcPr>
            <w:tcW w:w="4178" w:type="dxa"/>
          </w:tcPr>
          <w:p>
            <w:pPr>
              <w:pStyle w:val="GesAbsatz"/>
              <w:rPr>
                <w:rFonts w:cs="Arial"/>
                <w:sz w:val="18"/>
                <w:szCs w:val="18"/>
              </w:rPr>
            </w:pPr>
            <w:r>
              <w:rPr>
                <w:rFonts w:cs="Arial"/>
                <w:sz w:val="18"/>
                <w:szCs w:val="18"/>
              </w:rPr>
              <w:t xml:space="preserve">Guter Zustand </w:t>
            </w:r>
          </w:p>
        </w:tc>
        <w:tc>
          <w:tcPr>
            <w:tcW w:w="4180" w:type="dxa"/>
          </w:tcPr>
          <w:p>
            <w:pPr>
              <w:pStyle w:val="GesAbsatz"/>
              <w:rPr>
                <w:rFonts w:cs="Arial"/>
                <w:sz w:val="18"/>
                <w:szCs w:val="18"/>
              </w:rPr>
            </w:pPr>
            <w:r>
              <w:rPr>
                <w:rFonts w:cs="Arial"/>
                <w:sz w:val="18"/>
                <w:szCs w:val="18"/>
              </w:rPr>
              <w:t xml:space="preserve">Mäßiger Zustand </w:t>
            </w:r>
          </w:p>
        </w:tc>
      </w:tr>
      <w:tr>
        <w:trPr>
          <w:trHeight w:val="3263"/>
        </w:trPr>
        <w:tc>
          <w:tcPr>
            <w:tcW w:w="1795" w:type="dxa"/>
          </w:tcPr>
          <w:p>
            <w:pPr>
              <w:pStyle w:val="GesAbsatz"/>
              <w:rPr>
                <w:rFonts w:cs="Arial"/>
                <w:sz w:val="18"/>
                <w:szCs w:val="18"/>
              </w:rPr>
            </w:pPr>
            <w:r>
              <w:rPr>
                <w:rFonts w:cs="Arial"/>
                <w:sz w:val="18"/>
                <w:szCs w:val="18"/>
              </w:rPr>
              <w:t xml:space="preserve">Allgemein </w:t>
            </w:r>
          </w:p>
        </w:tc>
        <w:tc>
          <w:tcPr>
            <w:tcW w:w="4180" w:type="dxa"/>
          </w:tcPr>
          <w:p>
            <w:pPr>
              <w:pStyle w:val="GesAbsatz"/>
              <w:rPr>
                <w:rFonts w:cs="Arial"/>
                <w:sz w:val="18"/>
                <w:szCs w:val="18"/>
              </w:rPr>
            </w:pPr>
            <w:r>
              <w:rPr>
                <w:rFonts w:cs="Arial"/>
                <w:sz w:val="18"/>
                <w:szCs w:val="18"/>
              </w:rPr>
              <w:t>Es sind bei dem jeweiligen Oberflächengewässertyp keine oder nur sehr geringfügige anthropogene Änderungen der Werte für die physikalisch-chemischen und hydro-morphologischen Qualitätskomponenten gegenüber den Werten zu verzeichnen, die normalerweise bei Abwesenheit störender Einflüsse mit diesem Typ einhergehen.</w:t>
            </w:r>
          </w:p>
          <w:p>
            <w:pPr>
              <w:pStyle w:val="GesAbsatz"/>
              <w:rPr>
                <w:rFonts w:cs="Arial"/>
                <w:sz w:val="18"/>
                <w:szCs w:val="18"/>
              </w:rPr>
            </w:pPr>
            <w:r>
              <w:rPr>
                <w:rFonts w:cs="Arial"/>
                <w:sz w:val="18"/>
                <w:szCs w:val="18"/>
              </w:rPr>
              <w:t>Die Werte für die biologischen Qualitätskomponenten des Oberflächengewässers entsprechen denen, die normalerweise bei Abwesenheit störender Einflüsse mit dem betreffenden Typ einhergehen, und zeigen keine oder nur sehr geringfügige Abweichungen an.</w:t>
            </w:r>
          </w:p>
          <w:p>
            <w:pPr>
              <w:pStyle w:val="GesAbsatz"/>
              <w:rPr>
                <w:rFonts w:cs="Arial"/>
                <w:sz w:val="18"/>
                <w:szCs w:val="18"/>
              </w:rPr>
            </w:pPr>
            <w:r>
              <w:rPr>
                <w:rFonts w:cs="Arial"/>
                <w:sz w:val="18"/>
                <w:szCs w:val="18"/>
              </w:rPr>
              <w:t>Die typspezifischen Bedingungen und Gemeinschaften sind damit gegeben.</w:t>
            </w:r>
          </w:p>
        </w:tc>
        <w:tc>
          <w:tcPr>
            <w:tcW w:w="4178" w:type="dxa"/>
          </w:tcPr>
          <w:p>
            <w:pPr>
              <w:pStyle w:val="GesAbsatz"/>
              <w:rPr>
                <w:rFonts w:cs="Arial"/>
                <w:sz w:val="18"/>
                <w:szCs w:val="18"/>
              </w:rPr>
            </w:pPr>
            <w:r>
              <w:rPr>
                <w:rFonts w:cs="Arial"/>
                <w:sz w:val="18"/>
                <w:szCs w:val="18"/>
              </w:rPr>
              <w:t>Die Werte für die biologischen Qualitätskomponenten des Oberflächengewässertyps zeigen geringe anthropogene Abweichungen an, weichen aber nur in geringem Maße von den Werten ab, die normalerweise bei Abwesenheit störender Einflüsse mit dem betreffenden Oberflächengewässertyp einhergehen.</w:t>
            </w:r>
          </w:p>
        </w:tc>
        <w:tc>
          <w:tcPr>
            <w:tcW w:w="4180" w:type="dxa"/>
          </w:tcPr>
          <w:p>
            <w:pPr>
              <w:pStyle w:val="GesAbsatz"/>
              <w:rPr>
                <w:rFonts w:cs="Arial"/>
                <w:sz w:val="18"/>
                <w:szCs w:val="18"/>
              </w:rPr>
            </w:pPr>
            <w:r>
              <w:rPr>
                <w:rFonts w:cs="Arial"/>
                <w:sz w:val="18"/>
                <w:szCs w:val="18"/>
              </w:rPr>
              <w:t>Die Werte für die biologischen Qualitätskomponenten des Oberflächengewässertyps weichen mäßig von den Werten ab, die normalerweise bei Abwesenheit störender Einflüsse mit dem betreffenden Oberflächengewässertyp einhergehen. Die Werte geben Hinweise auf mäßige anthropogene Abweichungen und weisen signifikant stärkere Störungen auf, als dies unter den Bedingungen des guten Zustands der Fall ist.</w:t>
            </w:r>
          </w:p>
        </w:tc>
      </w:tr>
    </w:tbl>
    <w:p>
      <w:pPr>
        <w:pStyle w:val="GesAbsatz"/>
      </w:pPr>
    </w:p>
    <w:p>
      <w:pPr>
        <w:pStyle w:val="GesAbsatz"/>
      </w:pPr>
      <w:r>
        <w:t>Gewässer, deren Zustand schlechter als mäßig ist, werden als unbefriedigend oder schlecht eingestuft.</w:t>
      </w:r>
    </w:p>
    <w:p>
      <w:pPr>
        <w:pStyle w:val="GesAbsatz"/>
      </w:pPr>
      <w:r>
        <w:t>Gewässer, bei denen die Werte für die biologischen Qualitätskomponenten des betreffenden Oberflächengewässertyps stärkere Veränderungen aufweisen und die Biozönosen erheblich von denen abweichen, die normalerweise bei Abwesenheit störender Einflüsse mit dem betreffenden Oberflächengewässertyp einhergehen, werden als unbefriedigend eingestuft.</w:t>
      </w:r>
    </w:p>
    <w:p>
      <w:pPr>
        <w:pStyle w:val="GesAbsatz"/>
      </w:pPr>
      <w:r>
        <w:t>Gewässer, bei denen die Werte für die biologischen Qualitätskomponenten des betreffenden Oberflächengewässertyps erhebliche Veränderungen aufweisen und große Teile der Biozönosen, die normalerweise bei Abwesenheit störender Einflüsse mit dem betreffenden Oberflächengewässertyp einhergehen, fehlen, werden als schlecht eingestuft.</w:t>
      </w:r>
    </w:p>
    <w:p>
      <w:pPr>
        <w:pStyle w:val="GesAbsatz"/>
      </w:pPr>
      <w:r>
        <w:br w:type="page"/>
      </w:r>
      <w:r>
        <w:lastRenderedPageBreak/>
        <w:t>1.2.1 Begriffsbestimmungen für den sehr guten, guten und mäßigen ökologischen Zustand von Flüssen</w:t>
      </w:r>
    </w:p>
    <w:tbl>
      <w:tblPr>
        <w:tblW w:w="143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95"/>
        <w:gridCol w:w="4180"/>
        <w:gridCol w:w="4178"/>
        <w:gridCol w:w="4180"/>
      </w:tblGrid>
      <w:tr>
        <w:trPr>
          <w:trHeight w:val="363"/>
          <w:tblHeader/>
        </w:trPr>
        <w:tc>
          <w:tcPr>
            <w:tcW w:w="1795" w:type="dxa"/>
          </w:tcPr>
          <w:p>
            <w:pPr>
              <w:pStyle w:val="GesAbsatz"/>
              <w:rPr>
                <w:sz w:val="18"/>
                <w:szCs w:val="18"/>
              </w:rPr>
            </w:pPr>
            <w:r>
              <w:rPr>
                <w:sz w:val="18"/>
                <w:szCs w:val="18"/>
              </w:rPr>
              <w:t xml:space="preserve">Komponente </w:t>
            </w:r>
          </w:p>
        </w:tc>
        <w:tc>
          <w:tcPr>
            <w:tcW w:w="4180" w:type="dxa"/>
          </w:tcPr>
          <w:p>
            <w:pPr>
              <w:pStyle w:val="GesAbsatz"/>
              <w:rPr>
                <w:sz w:val="18"/>
                <w:szCs w:val="18"/>
              </w:rPr>
            </w:pPr>
            <w:r>
              <w:rPr>
                <w:sz w:val="18"/>
                <w:szCs w:val="18"/>
              </w:rPr>
              <w:t xml:space="preserve">Sehr guter Zustand </w:t>
            </w:r>
          </w:p>
        </w:tc>
        <w:tc>
          <w:tcPr>
            <w:tcW w:w="4178" w:type="dxa"/>
          </w:tcPr>
          <w:p>
            <w:pPr>
              <w:pStyle w:val="GesAbsatz"/>
              <w:rPr>
                <w:sz w:val="18"/>
                <w:szCs w:val="18"/>
              </w:rPr>
            </w:pPr>
            <w:r>
              <w:rPr>
                <w:sz w:val="18"/>
                <w:szCs w:val="18"/>
              </w:rPr>
              <w:t xml:space="preserve">Guter Zustand </w:t>
            </w:r>
          </w:p>
        </w:tc>
        <w:tc>
          <w:tcPr>
            <w:tcW w:w="4180" w:type="dxa"/>
          </w:tcPr>
          <w:p>
            <w:pPr>
              <w:pStyle w:val="GesAbsatz"/>
              <w:rPr>
                <w:sz w:val="18"/>
                <w:szCs w:val="18"/>
              </w:rPr>
            </w:pPr>
            <w:r>
              <w:rPr>
                <w:sz w:val="18"/>
                <w:szCs w:val="18"/>
              </w:rPr>
              <w:t xml:space="preserve">Mäßiger Zustand </w:t>
            </w:r>
          </w:p>
        </w:tc>
      </w:tr>
      <w:tr>
        <w:trPr>
          <w:trHeight w:val="2783"/>
        </w:trPr>
        <w:tc>
          <w:tcPr>
            <w:tcW w:w="1795" w:type="dxa"/>
          </w:tcPr>
          <w:p>
            <w:pPr>
              <w:pStyle w:val="GesAbsatz"/>
              <w:rPr>
                <w:sz w:val="18"/>
                <w:szCs w:val="18"/>
              </w:rPr>
            </w:pPr>
            <w:r>
              <w:rPr>
                <w:sz w:val="18"/>
                <w:szCs w:val="18"/>
              </w:rPr>
              <w:t xml:space="preserve">Phytoplankton </w:t>
            </w:r>
          </w:p>
        </w:tc>
        <w:tc>
          <w:tcPr>
            <w:tcW w:w="4180" w:type="dxa"/>
          </w:tcPr>
          <w:p>
            <w:pPr>
              <w:pStyle w:val="GesAbsatz"/>
              <w:rPr>
                <w:sz w:val="18"/>
                <w:szCs w:val="18"/>
              </w:rPr>
            </w:pPr>
            <w:r>
              <w:rPr>
                <w:sz w:val="18"/>
                <w:szCs w:val="18"/>
              </w:rPr>
              <w:t>Die taxonomische Zusammensetzung des Phytoplanktons entspricht vollständig oder nahezu vollständig den Bedingungen bei Abwesenheit störender Einflüsse.</w:t>
            </w:r>
          </w:p>
          <w:p>
            <w:pPr>
              <w:pStyle w:val="GesAbsatz"/>
              <w:rPr>
                <w:sz w:val="18"/>
                <w:szCs w:val="18"/>
              </w:rPr>
            </w:pPr>
            <w:r>
              <w:rPr>
                <w:sz w:val="18"/>
                <w:szCs w:val="18"/>
              </w:rPr>
              <w:t>Die durchschnittliche Abundanz des Phytoplanktons entspricht voll und ganz den typspezifischen physikalisch-chemischen Bedingungen und ist nicht so beschaffen, dass dadurch die typspezifischen Bedingungen für die Sichttiefe signifikant verändert werden.</w:t>
            </w:r>
          </w:p>
          <w:p>
            <w:pPr>
              <w:pStyle w:val="GesAbsatz"/>
              <w:rPr>
                <w:sz w:val="18"/>
                <w:szCs w:val="18"/>
              </w:rPr>
            </w:pPr>
            <w:r>
              <w:rPr>
                <w:sz w:val="18"/>
                <w:szCs w:val="18"/>
              </w:rPr>
              <w:t>Planktonblüten treten mit einer Häufigkeit und Intensität auf, die den typspezifischen physikalisch-chemischen Bedingungen entspricht.</w:t>
            </w:r>
          </w:p>
        </w:tc>
        <w:tc>
          <w:tcPr>
            <w:tcW w:w="4178" w:type="dxa"/>
          </w:tcPr>
          <w:p>
            <w:pPr>
              <w:pStyle w:val="GesAbsatz"/>
              <w:rPr>
                <w:sz w:val="18"/>
                <w:szCs w:val="18"/>
              </w:rPr>
            </w:pPr>
            <w:r>
              <w:rPr>
                <w:sz w:val="18"/>
                <w:szCs w:val="18"/>
              </w:rPr>
              <w:t>Die planktonischen Taxa weichen in ihrer Zusammensetzung und Abundanz geringfügig von den typspezifischen Gemeinschaften ab. Diese Abweichungen deuten nicht auf ein beschleunigtes Wachstum von Algen hin, das das Gleichgewicht der in dem Gewässer vorhandenen Organismen oder die physikalisch-chemische Qualität des Wassers oder Sediments in unerwünschter Weise stören würde.</w:t>
            </w:r>
          </w:p>
          <w:p>
            <w:pPr>
              <w:pStyle w:val="GesAbsatz"/>
              <w:rPr>
                <w:sz w:val="18"/>
                <w:szCs w:val="18"/>
              </w:rPr>
            </w:pPr>
            <w:r>
              <w:rPr>
                <w:sz w:val="18"/>
                <w:szCs w:val="18"/>
              </w:rPr>
              <w:t>Es kann zu einem leichten Anstieg der Häufigkeit und Intensität der typspezifischen Planktonblüten kommen.</w:t>
            </w:r>
          </w:p>
        </w:tc>
        <w:tc>
          <w:tcPr>
            <w:tcW w:w="4180" w:type="dxa"/>
          </w:tcPr>
          <w:p>
            <w:pPr>
              <w:pStyle w:val="GesAbsatz"/>
              <w:rPr>
                <w:sz w:val="18"/>
                <w:szCs w:val="18"/>
              </w:rPr>
            </w:pPr>
            <w:r>
              <w:rPr>
                <w:sz w:val="18"/>
                <w:szCs w:val="18"/>
              </w:rPr>
              <w:t>Die Zusammensetzung der planktonischen Taxa weicht mäßig von der der typspezifischen Gemeinschaften ab.</w:t>
            </w:r>
          </w:p>
          <w:p>
            <w:pPr>
              <w:pStyle w:val="GesAbsatz"/>
              <w:rPr>
                <w:sz w:val="18"/>
                <w:szCs w:val="18"/>
              </w:rPr>
            </w:pPr>
            <w:r>
              <w:rPr>
                <w:sz w:val="18"/>
                <w:szCs w:val="18"/>
              </w:rPr>
              <w:t>Bei der Abundanz sind mäßige Störungen zu verzeichnen, was dazu führen kann, dass bei den Werten für andere biologische und physikalisch-chemische Qualitätskomponenten signifikante unerwünschte Störungen auftreten.</w:t>
            </w:r>
          </w:p>
          <w:p>
            <w:pPr>
              <w:pStyle w:val="GesAbsatz"/>
              <w:rPr>
                <w:sz w:val="18"/>
                <w:szCs w:val="18"/>
              </w:rPr>
            </w:pPr>
            <w:r>
              <w:rPr>
                <w:sz w:val="18"/>
                <w:szCs w:val="18"/>
              </w:rPr>
              <w:t xml:space="preserve">Es kann zu einem mäßigen Anstieg der Häufigkeit und Intensität der Planktonblüten kommen. In den Sommermonaten können anhaltende Blüten auftreten. </w:t>
            </w:r>
          </w:p>
        </w:tc>
      </w:tr>
      <w:tr>
        <w:trPr>
          <w:trHeight w:val="2822"/>
        </w:trPr>
        <w:tc>
          <w:tcPr>
            <w:tcW w:w="1795" w:type="dxa"/>
          </w:tcPr>
          <w:p>
            <w:pPr>
              <w:pStyle w:val="GesAbsatz"/>
              <w:rPr>
                <w:sz w:val="18"/>
                <w:szCs w:val="18"/>
              </w:rPr>
            </w:pPr>
            <w:r>
              <w:rPr>
                <w:sz w:val="18"/>
                <w:szCs w:val="18"/>
              </w:rPr>
              <w:t xml:space="preserve">Makrophyten und Phytobenthos </w:t>
            </w:r>
          </w:p>
        </w:tc>
        <w:tc>
          <w:tcPr>
            <w:tcW w:w="4180" w:type="dxa"/>
          </w:tcPr>
          <w:p>
            <w:pPr>
              <w:pStyle w:val="GesAbsatz"/>
              <w:rPr>
                <w:sz w:val="18"/>
                <w:szCs w:val="18"/>
              </w:rPr>
            </w:pPr>
            <w:r>
              <w:rPr>
                <w:sz w:val="18"/>
                <w:szCs w:val="18"/>
              </w:rPr>
              <w:t>Die taxonomische Zusammensetzung entspricht vollständig oder nahezu vollständig den Bedingungen bei Abwesenheit störender Einflüsse.</w:t>
            </w:r>
          </w:p>
          <w:p>
            <w:pPr>
              <w:pStyle w:val="GesAbsatz"/>
              <w:rPr>
                <w:sz w:val="18"/>
                <w:szCs w:val="18"/>
              </w:rPr>
            </w:pPr>
            <w:r>
              <w:rPr>
                <w:sz w:val="18"/>
                <w:szCs w:val="18"/>
              </w:rPr>
              <w:t>Keine erkennbaren Änderungen der durchschnittlichen makrophytischen und der durchschnittlichen phytobenthischen Abundanz.</w:t>
            </w:r>
          </w:p>
        </w:tc>
        <w:tc>
          <w:tcPr>
            <w:tcW w:w="4178" w:type="dxa"/>
          </w:tcPr>
          <w:p>
            <w:pPr>
              <w:pStyle w:val="GesAbsatz"/>
              <w:rPr>
                <w:sz w:val="18"/>
                <w:szCs w:val="18"/>
              </w:rPr>
            </w:pPr>
            <w:r>
              <w:rPr>
                <w:sz w:val="18"/>
                <w:szCs w:val="18"/>
              </w:rPr>
              <w:t>Die makrophytischen und phytobenthischen Taxa weichen in ihrer Zusammensetzung und Abundanz geringfügig von den typspezifischen Gemeinschaften ab. Diese Abweichungen deuten nicht auf ein beschleunigtes Wachstum von Algen oder höheren Pflanzen hin, das das Gleichgewicht der in dem Gewässer vorhandenen Organismen oder die physikalisch-chemische Qualität des Wassers oder Sediments in unerwünschter Weise stören würde.</w:t>
            </w:r>
          </w:p>
          <w:p>
            <w:pPr>
              <w:pStyle w:val="GesAbsatz"/>
              <w:rPr>
                <w:sz w:val="18"/>
                <w:szCs w:val="18"/>
              </w:rPr>
            </w:pPr>
            <w:r>
              <w:rPr>
                <w:sz w:val="18"/>
                <w:szCs w:val="18"/>
              </w:rPr>
              <w:t>Die phytobenthische Lebensgemeinschaft wird nicht durch anthropogene Bakterienzotten und anthropogene Bakterienbeläge beeinträchtigt.</w:t>
            </w:r>
          </w:p>
        </w:tc>
        <w:tc>
          <w:tcPr>
            <w:tcW w:w="4180" w:type="dxa"/>
          </w:tcPr>
          <w:p>
            <w:pPr>
              <w:pStyle w:val="GesAbsatz"/>
              <w:rPr>
                <w:sz w:val="18"/>
                <w:szCs w:val="18"/>
              </w:rPr>
            </w:pPr>
            <w:r>
              <w:rPr>
                <w:sz w:val="18"/>
                <w:szCs w:val="18"/>
              </w:rPr>
              <w:t>Die Zusammensetzung der makrophytischen und phytobenthischen Taxa weicht mäßig von der der typspezifischen Gemeinschaft ab und ist in signifikanter Weise stärker gestört, als dies bei gutem Zustand der Fall ist.</w:t>
            </w:r>
          </w:p>
          <w:p>
            <w:pPr>
              <w:pStyle w:val="GesAbsatz"/>
              <w:rPr>
                <w:sz w:val="18"/>
                <w:szCs w:val="18"/>
              </w:rPr>
            </w:pPr>
            <w:r>
              <w:rPr>
                <w:sz w:val="18"/>
                <w:szCs w:val="18"/>
              </w:rPr>
              <w:t>Es sind mäßige Änderungen der durchschnittlichen makrophytischen und der durchschnittlichen phytobenthischen Abundanz erkennbar.</w:t>
            </w:r>
          </w:p>
          <w:p>
            <w:pPr>
              <w:pStyle w:val="GesAbsatz"/>
              <w:rPr>
                <w:sz w:val="18"/>
                <w:szCs w:val="18"/>
              </w:rPr>
            </w:pPr>
            <w:r>
              <w:rPr>
                <w:sz w:val="18"/>
                <w:szCs w:val="18"/>
              </w:rPr>
              <w:t>Die phytobenthische Lebensgemeinschaft kann durch anthropogene Bakterienzotten und anthropogene Bakterienbeläge beeinträchtigt und in bestimmten Gebieten ver- drängt werden.</w:t>
            </w:r>
          </w:p>
        </w:tc>
      </w:tr>
      <w:tr>
        <w:trPr>
          <w:trHeight w:val="2883"/>
        </w:trPr>
        <w:tc>
          <w:tcPr>
            <w:tcW w:w="1795" w:type="dxa"/>
          </w:tcPr>
          <w:p>
            <w:pPr>
              <w:pStyle w:val="GesAbsatz"/>
              <w:rPr>
                <w:sz w:val="18"/>
                <w:szCs w:val="18"/>
              </w:rPr>
            </w:pPr>
            <w:r>
              <w:rPr>
                <w:sz w:val="18"/>
                <w:szCs w:val="18"/>
              </w:rPr>
              <w:lastRenderedPageBreak/>
              <w:t xml:space="preserve">Benthische wirbellose Fauna </w:t>
            </w:r>
          </w:p>
        </w:tc>
        <w:tc>
          <w:tcPr>
            <w:tcW w:w="4180" w:type="dxa"/>
          </w:tcPr>
          <w:p>
            <w:pPr>
              <w:pStyle w:val="GesAbsatz"/>
              <w:rPr>
                <w:sz w:val="18"/>
                <w:szCs w:val="18"/>
              </w:rPr>
            </w:pPr>
            <w:r>
              <w:rPr>
                <w:sz w:val="18"/>
                <w:szCs w:val="18"/>
              </w:rPr>
              <w:t>Die taxonomische Zusammensetzung und die Abundanz entsprechen vollständig oder nahezu vollständig den Bedingungen bei Abwesenheit störender Einflüsse.</w:t>
            </w:r>
          </w:p>
          <w:p>
            <w:pPr>
              <w:pStyle w:val="GesAbsatz"/>
              <w:rPr>
                <w:sz w:val="18"/>
                <w:szCs w:val="18"/>
              </w:rPr>
            </w:pPr>
            <w:r>
              <w:rPr>
                <w:sz w:val="18"/>
                <w:szCs w:val="18"/>
              </w:rPr>
              <w:t>Der Anteil störungsempfindlicher Taxa im Verhältnis zu robusten Taxa zeigt keine Anzeichen für eine Abweichung von den Werten, die bei Abwesenheit störender Einflüsse zu verzeichnen sind.</w:t>
            </w:r>
          </w:p>
          <w:p>
            <w:pPr>
              <w:pStyle w:val="GesAbsatz"/>
              <w:rPr>
                <w:sz w:val="18"/>
                <w:szCs w:val="18"/>
              </w:rPr>
            </w:pPr>
            <w:r>
              <w:rPr>
                <w:sz w:val="18"/>
                <w:szCs w:val="18"/>
              </w:rPr>
              <w:t>Der Grad der Vielfalt der wirbellosen Taxa zeigt keine Anzeichen für Abweichungen von den Werten, die bei Abwesenheit störender Einflüsse zu verzeichnen sind.</w:t>
            </w:r>
          </w:p>
        </w:tc>
        <w:tc>
          <w:tcPr>
            <w:tcW w:w="4178" w:type="dxa"/>
          </w:tcPr>
          <w:p>
            <w:pPr>
              <w:pStyle w:val="GesAbsatz"/>
              <w:rPr>
                <w:sz w:val="18"/>
                <w:szCs w:val="18"/>
              </w:rPr>
            </w:pPr>
            <w:r>
              <w:rPr>
                <w:sz w:val="18"/>
                <w:szCs w:val="18"/>
              </w:rPr>
              <w:t>Die wirbellosen Taxa weichen in ihrer Zusammensetzung und Abundanz geringfügig von den typspezifischen Gemeinschaften ab.</w:t>
            </w:r>
          </w:p>
          <w:p>
            <w:pPr>
              <w:pStyle w:val="GesAbsatz"/>
              <w:rPr>
                <w:sz w:val="18"/>
                <w:szCs w:val="18"/>
              </w:rPr>
            </w:pPr>
            <w:r>
              <w:rPr>
                <w:sz w:val="18"/>
                <w:szCs w:val="18"/>
              </w:rPr>
              <w:t>Der Anteil der störungsempfindlichen Taxa im Verhältnis zu den robusten Taxa zeigt geringfügige Anzeichen für Abweichungen von den typspezifischen Werten.</w:t>
            </w:r>
          </w:p>
          <w:p>
            <w:pPr>
              <w:pStyle w:val="GesAbsatz"/>
              <w:rPr>
                <w:sz w:val="18"/>
                <w:szCs w:val="18"/>
              </w:rPr>
            </w:pPr>
            <w:r>
              <w:rPr>
                <w:sz w:val="18"/>
                <w:szCs w:val="18"/>
              </w:rPr>
              <w:t>Der Grad der Vielfalt der wirbellosen Taxa zeigt geringfügige Anzeichen für Abweichungen von den typspezifischen Werten.</w:t>
            </w:r>
          </w:p>
        </w:tc>
        <w:tc>
          <w:tcPr>
            <w:tcW w:w="4180" w:type="dxa"/>
          </w:tcPr>
          <w:p>
            <w:pPr>
              <w:pStyle w:val="GesAbsatz"/>
              <w:rPr>
                <w:sz w:val="18"/>
                <w:szCs w:val="18"/>
              </w:rPr>
            </w:pPr>
            <w:r>
              <w:rPr>
                <w:sz w:val="18"/>
                <w:szCs w:val="18"/>
              </w:rPr>
              <w:t>Die wirbellosen Taxa weichen in Zusammensetzung und Abundanz mäßig von den typspezifischen Gemeinschaften ab.</w:t>
            </w:r>
          </w:p>
          <w:p>
            <w:pPr>
              <w:pStyle w:val="GesAbsatz"/>
              <w:rPr>
                <w:sz w:val="18"/>
                <w:szCs w:val="18"/>
              </w:rPr>
            </w:pPr>
            <w:r>
              <w:rPr>
                <w:sz w:val="18"/>
                <w:szCs w:val="18"/>
              </w:rPr>
              <w:t>Wichtige taxonomische Gruppen der typspezifischen Gemeinschaft fehlen.</w:t>
            </w:r>
          </w:p>
          <w:p>
            <w:pPr>
              <w:pStyle w:val="GesAbsatz"/>
              <w:rPr>
                <w:sz w:val="18"/>
                <w:szCs w:val="18"/>
              </w:rPr>
            </w:pPr>
            <w:r>
              <w:rPr>
                <w:sz w:val="18"/>
                <w:szCs w:val="18"/>
              </w:rPr>
              <w:t>Der Anteil der störungsempfindlichen Taxa im Verhältnis zu den robusten Taxa und der Grad der Vielfalt liegen beträchtlich unter dem typspezifischen Wert und in signifikanter Weise unter den Werten, die für einen guten Zustand gelten.</w:t>
            </w:r>
          </w:p>
        </w:tc>
      </w:tr>
      <w:tr>
        <w:trPr>
          <w:trHeight w:val="2703"/>
        </w:trPr>
        <w:tc>
          <w:tcPr>
            <w:tcW w:w="1795" w:type="dxa"/>
          </w:tcPr>
          <w:p>
            <w:pPr>
              <w:pStyle w:val="GesAbsatz"/>
              <w:rPr>
                <w:sz w:val="18"/>
                <w:szCs w:val="18"/>
              </w:rPr>
            </w:pPr>
            <w:r>
              <w:rPr>
                <w:sz w:val="18"/>
                <w:szCs w:val="18"/>
              </w:rPr>
              <w:t xml:space="preserve">Fischfauna </w:t>
            </w:r>
          </w:p>
        </w:tc>
        <w:tc>
          <w:tcPr>
            <w:tcW w:w="4180" w:type="dxa"/>
          </w:tcPr>
          <w:p>
            <w:pPr>
              <w:pStyle w:val="GesAbsatz"/>
              <w:rPr>
                <w:sz w:val="18"/>
                <w:szCs w:val="18"/>
              </w:rPr>
            </w:pPr>
            <w:r>
              <w:rPr>
                <w:sz w:val="18"/>
                <w:szCs w:val="18"/>
              </w:rPr>
              <w:t>Zusammensetzung und Abundanz der Arten entsprechen vollständig oder nahezu vollständig den Bedingungen bei Abwesenheit störender Einflüsse.</w:t>
            </w:r>
          </w:p>
          <w:p>
            <w:pPr>
              <w:pStyle w:val="GesAbsatz"/>
              <w:rPr>
                <w:sz w:val="18"/>
                <w:szCs w:val="18"/>
              </w:rPr>
            </w:pPr>
            <w:r>
              <w:rPr>
                <w:sz w:val="18"/>
                <w:szCs w:val="18"/>
              </w:rPr>
              <w:t>Alle typspezifschen störungsempfindlichen Arten sind vorhanden.</w:t>
            </w:r>
          </w:p>
          <w:p>
            <w:pPr>
              <w:pStyle w:val="GesAbsatz"/>
              <w:rPr>
                <w:sz w:val="18"/>
                <w:szCs w:val="18"/>
              </w:rPr>
            </w:pPr>
            <w:r>
              <w:rPr>
                <w:sz w:val="18"/>
                <w:szCs w:val="18"/>
              </w:rPr>
              <w:t>Die Altersstrukturen der Fischgemeinschaften zeigen kaum Anzeichen anthropogener Störungen und deuten nicht auf Störungen bei der Fortpflanzung oder Entwicklung irgendeiner besonderen Art hin.</w:t>
            </w:r>
          </w:p>
        </w:tc>
        <w:tc>
          <w:tcPr>
            <w:tcW w:w="4178" w:type="dxa"/>
          </w:tcPr>
          <w:p>
            <w:pPr>
              <w:pStyle w:val="GesAbsatz"/>
              <w:rPr>
                <w:sz w:val="18"/>
                <w:szCs w:val="18"/>
              </w:rPr>
            </w:pPr>
            <w:r>
              <w:rPr>
                <w:sz w:val="18"/>
                <w:szCs w:val="18"/>
              </w:rPr>
              <w:t>Aufgrund anthropogener Einflüsse auf die physikalischchemischen und hydromorphologischen Qualitätskomponenten weichen die Arten in Zusammensetzung und Abundanz geringfügig von den typspezifischen Gemeinschaften ab.</w:t>
            </w:r>
          </w:p>
          <w:p>
            <w:pPr>
              <w:pStyle w:val="GesAbsatz"/>
              <w:rPr>
                <w:sz w:val="18"/>
                <w:szCs w:val="18"/>
              </w:rPr>
            </w:pPr>
            <w:r>
              <w:rPr>
                <w:sz w:val="18"/>
                <w:szCs w:val="18"/>
              </w:rPr>
              <w:t>Die Altersstrukturen der Fischgemeinschaften zeigen Anzeichen für Störungen aufgrund anthropogener Einflüsse auf die physikalisch-chemischen oder hydromorphologischen Qualitätskomponenten und deuten in wenigen Fällen auf Störungen bei der Fortpflanzung oder Entwicklung einer bestimmten Art hin, so dass einige Altersstufen fehlen können.</w:t>
            </w:r>
          </w:p>
        </w:tc>
        <w:tc>
          <w:tcPr>
            <w:tcW w:w="4180" w:type="dxa"/>
          </w:tcPr>
          <w:p>
            <w:pPr>
              <w:pStyle w:val="GesAbsatz"/>
              <w:rPr>
                <w:sz w:val="18"/>
                <w:szCs w:val="18"/>
              </w:rPr>
            </w:pPr>
            <w:r>
              <w:rPr>
                <w:sz w:val="18"/>
                <w:szCs w:val="18"/>
              </w:rPr>
              <w:t>Aufgrund anthropogener Einflüsse auf die physikalisch-chemischen oder hydromorphologischen Qualitätskomponenten weichen die Fischarten in Zusammensetzung und Abundanz mäßig von den typspezifischen Gemeinschaften ab.</w:t>
            </w:r>
          </w:p>
          <w:p>
            <w:pPr>
              <w:pStyle w:val="GesAbsatz"/>
              <w:rPr>
                <w:sz w:val="18"/>
                <w:szCs w:val="18"/>
              </w:rPr>
            </w:pPr>
            <w:r>
              <w:rPr>
                <w:sz w:val="18"/>
                <w:szCs w:val="18"/>
              </w:rPr>
              <w:t>Die Altersstruktur der Fischgemeinschaften zeigt größere Anzeichen anthropogener Störungen, so dass ein mäßiger Teil der typspezifischen Arten fehlt oder sehr selten ist.</w:t>
            </w:r>
          </w:p>
        </w:tc>
      </w:tr>
    </w:tbl>
    <w:p>
      <w:pPr>
        <w:pStyle w:val="GesAbsatz"/>
      </w:pPr>
    </w:p>
    <w:p>
      <w:pPr>
        <w:pStyle w:val="GesAbsatz"/>
        <w:rPr>
          <w:rFonts w:cs="Adve 0661 3w"/>
        </w:rPr>
      </w:pPr>
      <w:r>
        <w:rPr>
          <w:rFonts w:cs="Adve 0661 3w"/>
        </w:rPr>
        <w:t>Hydromorphologische Qualitätskomponenten</w:t>
      </w:r>
    </w:p>
    <w:tbl>
      <w:tblPr>
        <w:tblW w:w="14333" w:type="dxa"/>
        <w:tblBorders>
          <w:top w:val="nil"/>
          <w:left w:val="nil"/>
          <w:bottom w:val="nil"/>
          <w:right w:val="nil"/>
        </w:tblBorders>
        <w:tblLayout w:type="fixed"/>
        <w:tblLook w:val="0000" w:firstRow="0" w:lastRow="0" w:firstColumn="0" w:lastColumn="0" w:noHBand="0" w:noVBand="0"/>
      </w:tblPr>
      <w:tblGrid>
        <w:gridCol w:w="1794"/>
        <w:gridCol w:w="4181"/>
        <w:gridCol w:w="4178"/>
        <w:gridCol w:w="4180"/>
      </w:tblGrid>
      <w:tr>
        <w:trPr>
          <w:trHeight w:val="363"/>
        </w:trPr>
        <w:tc>
          <w:tcPr>
            <w:tcW w:w="1794" w:type="dxa"/>
            <w:tcBorders>
              <w:top w:val="single" w:sz="6" w:space="0" w:color="000000"/>
              <w:left w:val="single" w:sz="6" w:space="0" w:color="000000"/>
              <w:bottom w:val="single" w:sz="6" w:space="0" w:color="000000"/>
              <w:right w:val="single" w:sz="6" w:space="0" w:color="000000"/>
            </w:tcBorders>
          </w:tcPr>
          <w:p>
            <w:pPr>
              <w:pStyle w:val="GesAbsatz"/>
              <w:jc w:val="center"/>
              <w:rPr>
                <w:sz w:val="18"/>
                <w:szCs w:val="18"/>
              </w:rPr>
            </w:pPr>
            <w:r>
              <w:rPr>
                <w:sz w:val="18"/>
                <w:szCs w:val="18"/>
              </w:rPr>
              <w:t>Komponente</w:t>
            </w:r>
          </w:p>
        </w:tc>
        <w:tc>
          <w:tcPr>
            <w:tcW w:w="4181" w:type="dxa"/>
            <w:tcBorders>
              <w:top w:val="single" w:sz="6" w:space="0" w:color="000000"/>
              <w:left w:val="single" w:sz="6" w:space="0" w:color="000000"/>
              <w:bottom w:val="single" w:sz="6" w:space="0" w:color="000000"/>
              <w:right w:val="single" w:sz="6" w:space="0" w:color="000000"/>
            </w:tcBorders>
          </w:tcPr>
          <w:p>
            <w:pPr>
              <w:pStyle w:val="GesAbsatz"/>
              <w:jc w:val="center"/>
              <w:rPr>
                <w:sz w:val="18"/>
                <w:szCs w:val="18"/>
              </w:rPr>
            </w:pPr>
            <w:r>
              <w:rPr>
                <w:sz w:val="18"/>
                <w:szCs w:val="18"/>
              </w:rPr>
              <w:t>Sehr guter Zustand</w:t>
            </w:r>
          </w:p>
        </w:tc>
        <w:tc>
          <w:tcPr>
            <w:tcW w:w="4178" w:type="dxa"/>
            <w:tcBorders>
              <w:top w:val="single" w:sz="6" w:space="0" w:color="000000"/>
              <w:left w:val="single" w:sz="6" w:space="0" w:color="000000"/>
              <w:bottom w:val="single" w:sz="6" w:space="0" w:color="000000"/>
              <w:right w:val="single" w:sz="6" w:space="0" w:color="000000"/>
            </w:tcBorders>
          </w:tcPr>
          <w:p>
            <w:pPr>
              <w:pStyle w:val="GesAbsatz"/>
              <w:jc w:val="center"/>
              <w:rPr>
                <w:sz w:val="18"/>
                <w:szCs w:val="18"/>
              </w:rPr>
            </w:pPr>
            <w:r>
              <w:rPr>
                <w:sz w:val="18"/>
                <w:szCs w:val="18"/>
              </w:rPr>
              <w:t>Guter Zustand</w:t>
            </w:r>
          </w:p>
        </w:tc>
        <w:tc>
          <w:tcPr>
            <w:tcW w:w="4180" w:type="dxa"/>
            <w:tcBorders>
              <w:top w:val="single" w:sz="6" w:space="0" w:color="000000"/>
              <w:left w:val="single" w:sz="6" w:space="0" w:color="000000"/>
              <w:bottom w:val="single" w:sz="6" w:space="0" w:color="000000"/>
              <w:right w:val="single" w:sz="6" w:space="0" w:color="000000"/>
            </w:tcBorders>
          </w:tcPr>
          <w:p>
            <w:pPr>
              <w:pStyle w:val="GesAbsatz"/>
              <w:jc w:val="center"/>
              <w:rPr>
                <w:sz w:val="18"/>
                <w:szCs w:val="18"/>
              </w:rPr>
            </w:pPr>
            <w:r>
              <w:rPr>
                <w:sz w:val="18"/>
                <w:szCs w:val="18"/>
              </w:rPr>
              <w:t>Mäßiger Zustand</w:t>
            </w:r>
          </w:p>
        </w:tc>
      </w:tr>
      <w:tr>
        <w:trPr>
          <w:trHeight w:val="1058"/>
        </w:trPr>
        <w:tc>
          <w:tcPr>
            <w:tcW w:w="1794" w:type="dxa"/>
            <w:tcBorders>
              <w:top w:val="single" w:sz="6" w:space="0" w:color="000000"/>
              <w:left w:val="single" w:sz="6" w:space="0" w:color="000000"/>
              <w:bottom w:val="single" w:sz="6" w:space="0" w:color="000000"/>
              <w:right w:val="single" w:sz="6" w:space="0" w:color="000000"/>
            </w:tcBorders>
          </w:tcPr>
          <w:p>
            <w:pPr>
              <w:pStyle w:val="GesAbsatz"/>
              <w:rPr>
                <w:sz w:val="18"/>
                <w:szCs w:val="18"/>
              </w:rPr>
            </w:pPr>
            <w:r>
              <w:rPr>
                <w:sz w:val="18"/>
                <w:szCs w:val="18"/>
              </w:rPr>
              <w:t>Wasserhaushalt</w:t>
            </w:r>
          </w:p>
        </w:tc>
        <w:tc>
          <w:tcPr>
            <w:tcW w:w="4181" w:type="dxa"/>
            <w:tcBorders>
              <w:top w:val="single" w:sz="6" w:space="0" w:color="000000"/>
              <w:left w:val="single" w:sz="6" w:space="0" w:color="000000"/>
              <w:bottom w:val="single" w:sz="6" w:space="0" w:color="000000"/>
              <w:right w:val="single" w:sz="6" w:space="0" w:color="000000"/>
            </w:tcBorders>
          </w:tcPr>
          <w:p>
            <w:pPr>
              <w:pStyle w:val="GesAbsatz"/>
              <w:rPr>
                <w:sz w:val="18"/>
                <w:szCs w:val="18"/>
              </w:rPr>
            </w:pPr>
            <w:r>
              <w:rPr>
                <w:sz w:val="18"/>
                <w:szCs w:val="18"/>
              </w:rPr>
              <w:t>Menge und Dynamik der Strömung und die sich daraus ergebende Verbindung zum Grundwasser entsprechen vollständig oder nahezu vollständig den Bedingungen bei Abwesenheit störender Einflüsse.</w:t>
            </w:r>
          </w:p>
        </w:tc>
        <w:tc>
          <w:tcPr>
            <w:tcW w:w="4178" w:type="dxa"/>
            <w:tcBorders>
              <w:top w:val="single" w:sz="6" w:space="0" w:color="000000"/>
              <w:left w:val="single" w:sz="6" w:space="0" w:color="000000"/>
              <w:bottom w:val="single" w:sz="6" w:space="0" w:color="000000"/>
              <w:right w:val="single" w:sz="6" w:space="0" w:color="000000"/>
            </w:tcBorders>
          </w:tcPr>
          <w:p>
            <w:pPr>
              <w:pStyle w:val="GesAbsatz"/>
              <w:rPr>
                <w:sz w:val="18"/>
                <w:szCs w:val="18"/>
              </w:rPr>
            </w:pPr>
            <w:r>
              <w:rPr>
                <w:sz w:val="18"/>
                <w:szCs w:val="18"/>
              </w:rPr>
              <w:t>Bedingungen, unter denen die oben für die biologischen Qualitätskomponenten beschriebenen Werte erreicht werden können.</w:t>
            </w:r>
          </w:p>
        </w:tc>
        <w:tc>
          <w:tcPr>
            <w:tcW w:w="4180" w:type="dxa"/>
            <w:tcBorders>
              <w:top w:val="single" w:sz="6" w:space="0" w:color="000000"/>
              <w:left w:val="single" w:sz="6" w:space="0" w:color="000000"/>
              <w:bottom w:val="single" w:sz="6" w:space="0" w:color="000000"/>
              <w:right w:val="single" w:sz="6" w:space="0" w:color="000000"/>
            </w:tcBorders>
          </w:tcPr>
          <w:p>
            <w:pPr>
              <w:pStyle w:val="GesAbsatz"/>
              <w:rPr>
                <w:sz w:val="18"/>
                <w:szCs w:val="18"/>
              </w:rPr>
            </w:pPr>
            <w:r>
              <w:rPr>
                <w:sz w:val="18"/>
                <w:szCs w:val="18"/>
              </w:rPr>
              <w:t>Bedingungen, unter denen die oben für die biologischen Qualitätskomponenten beschriebenen Werte erreicht werden können.</w:t>
            </w:r>
          </w:p>
        </w:tc>
      </w:tr>
      <w:tr>
        <w:trPr>
          <w:trHeight w:val="161"/>
        </w:trPr>
        <w:tc>
          <w:tcPr>
            <w:tcW w:w="1794" w:type="dxa"/>
            <w:tcBorders>
              <w:top w:val="single" w:sz="6" w:space="0" w:color="000000"/>
              <w:left w:val="single" w:sz="6" w:space="0" w:color="000000"/>
              <w:bottom w:val="single" w:sz="6" w:space="0" w:color="000000"/>
              <w:right w:val="single" w:sz="6" w:space="0" w:color="000000"/>
            </w:tcBorders>
          </w:tcPr>
          <w:p>
            <w:pPr>
              <w:pStyle w:val="GesAbsatz"/>
              <w:rPr>
                <w:sz w:val="18"/>
                <w:szCs w:val="18"/>
              </w:rPr>
            </w:pPr>
            <w:r>
              <w:rPr>
                <w:sz w:val="18"/>
                <w:szCs w:val="18"/>
              </w:rPr>
              <w:t>Durchgängigkeit des Flusses</w:t>
            </w:r>
          </w:p>
        </w:tc>
        <w:tc>
          <w:tcPr>
            <w:tcW w:w="4181" w:type="dxa"/>
            <w:tcBorders>
              <w:top w:val="single" w:sz="6" w:space="0" w:color="000000"/>
              <w:left w:val="single" w:sz="6" w:space="0" w:color="000000"/>
              <w:bottom w:val="single" w:sz="6" w:space="0" w:color="000000"/>
              <w:right w:val="single" w:sz="6" w:space="0" w:color="000000"/>
            </w:tcBorders>
          </w:tcPr>
          <w:p>
            <w:pPr>
              <w:pStyle w:val="GesAbsatz"/>
              <w:rPr>
                <w:sz w:val="18"/>
                <w:szCs w:val="18"/>
              </w:rPr>
            </w:pPr>
            <w:r>
              <w:rPr>
                <w:sz w:val="18"/>
                <w:szCs w:val="18"/>
              </w:rPr>
              <w:t xml:space="preserve">Die Durchgängigkeit des Flusses wird nicht durch menschliche Tätigkeiten gestört und ermöglicht </w:t>
            </w:r>
            <w:r>
              <w:rPr>
                <w:sz w:val="18"/>
                <w:szCs w:val="18"/>
              </w:rPr>
              <w:lastRenderedPageBreak/>
              <w:t>eine ungestörte Migration aquatischer Organismen und den Transport von Sedimenten,</w:t>
            </w:r>
          </w:p>
        </w:tc>
        <w:tc>
          <w:tcPr>
            <w:tcW w:w="4178" w:type="dxa"/>
            <w:tcBorders>
              <w:top w:val="single" w:sz="6" w:space="0" w:color="000000"/>
              <w:left w:val="single" w:sz="6" w:space="0" w:color="000000"/>
              <w:bottom w:val="single" w:sz="6" w:space="0" w:color="000000"/>
              <w:right w:val="single" w:sz="6" w:space="0" w:color="000000"/>
            </w:tcBorders>
          </w:tcPr>
          <w:p>
            <w:pPr>
              <w:pStyle w:val="GesAbsatz"/>
              <w:rPr>
                <w:sz w:val="18"/>
                <w:szCs w:val="18"/>
              </w:rPr>
            </w:pPr>
            <w:r>
              <w:rPr>
                <w:sz w:val="18"/>
                <w:szCs w:val="18"/>
              </w:rPr>
              <w:lastRenderedPageBreak/>
              <w:t>Bedingungen, unter denen die oben für die biologischen Qualitätskomponenten beschriebenen Werte erreicht werden können.</w:t>
            </w:r>
          </w:p>
        </w:tc>
        <w:tc>
          <w:tcPr>
            <w:tcW w:w="4180" w:type="dxa"/>
            <w:tcBorders>
              <w:top w:val="single" w:sz="6" w:space="0" w:color="000000"/>
              <w:left w:val="single" w:sz="6" w:space="0" w:color="000000"/>
              <w:bottom w:val="single" w:sz="6" w:space="0" w:color="000000"/>
              <w:right w:val="single" w:sz="6" w:space="0" w:color="000000"/>
            </w:tcBorders>
          </w:tcPr>
          <w:p>
            <w:pPr>
              <w:pStyle w:val="GesAbsatz"/>
              <w:rPr>
                <w:sz w:val="18"/>
                <w:szCs w:val="18"/>
              </w:rPr>
            </w:pPr>
            <w:r>
              <w:rPr>
                <w:sz w:val="18"/>
                <w:szCs w:val="18"/>
              </w:rPr>
              <w:t>Bedingungen, unter denen die oben für die biologischen Qualitätskomponenten beschriebenen Werte erreicht werden können.</w:t>
            </w:r>
          </w:p>
        </w:tc>
      </w:tr>
      <w:tr>
        <w:trPr>
          <w:trHeight w:val="1460"/>
        </w:trPr>
        <w:tc>
          <w:tcPr>
            <w:tcW w:w="1794" w:type="dxa"/>
            <w:tcBorders>
              <w:top w:val="single" w:sz="6" w:space="0" w:color="000000"/>
              <w:left w:val="single" w:sz="6" w:space="0" w:color="000000"/>
              <w:bottom w:val="single" w:sz="6" w:space="0" w:color="000000"/>
              <w:right w:val="single" w:sz="6" w:space="0" w:color="000000"/>
            </w:tcBorders>
          </w:tcPr>
          <w:p>
            <w:pPr>
              <w:pStyle w:val="GesAbsatz"/>
              <w:rPr>
                <w:sz w:val="18"/>
                <w:szCs w:val="18"/>
              </w:rPr>
            </w:pPr>
            <w:r>
              <w:rPr>
                <w:sz w:val="18"/>
                <w:szCs w:val="18"/>
              </w:rPr>
              <w:t>Morphologie</w:t>
            </w:r>
          </w:p>
        </w:tc>
        <w:tc>
          <w:tcPr>
            <w:tcW w:w="4181" w:type="dxa"/>
            <w:tcBorders>
              <w:top w:val="single" w:sz="6" w:space="0" w:color="000000"/>
              <w:left w:val="single" w:sz="6" w:space="0" w:color="000000"/>
              <w:bottom w:val="single" w:sz="6" w:space="0" w:color="000000"/>
              <w:right w:val="single" w:sz="6" w:space="0" w:color="000000"/>
            </w:tcBorders>
          </w:tcPr>
          <w:p>
            <w:pPr>
              <w:pStyle w:val="GesAbsatz"/>
              <w:rPr>
                <w:sz w:val="18"/>
                <w:szCs w:val="18"/>
              </w:rPr>
            </w:pPr>
            <w:r>
              <w:rPr>
                <w:sz w:val="18"/>
                <w:szCs w:val="18"/>
              </w:rPr>
              <w:t>Laufentwicklung, Variationen von Breite und Tiefe, Strömungsgeschwindigkeiten, Substratbedingungen sowie Struktur und Bedingungen der Uferbereiche entsprechen vollständig oder nahezu vollständig den Bedingungen bei Abwesenheit störender Einflüsse.</w:t>
            </w:r>
          </w:p>
        </w:tc>
        <w:tc>
          <w:tcPr>
            <w:tcW w:w="4178" w:type="dxa"/>
            <w:tcBorders>
              <w:top w:val="single" w:sz="6" w:space="0" w:color="000000"/>
              <w:left w:val="single" w:sz="6" w:space="0" w:color="000000"/>
              <w:bottom w:val="single" w:sz="6" w:space="0" w:color="000000"/>
              <w:right w:val="single" w:sz="6" w:space="0" w:color="000000"/>
            </w:tcBorders>
          </w:tcPr>
          <w:p>
            <w:pPr>
              <w:pStyle w:val="GesAbsatz"/>
              <w:rPr>
                <w:sz w:val="18"/>
                <w:szCs w:val="18"/>
              </w:rPr>
            </w:pPr>
            <w:r>
              <w:rPr>
                <w:sz w:val="18"/>
                <w:szCs w:val="18"/>
              </w:rPr>
              <w:t>Bedingungen, unter denen die oben für die biologischen Qualitätskomponenten beschriebenen Werte erreicht werden können.</w:t>
            </w:r>
          </w:p>
        </w:tc>
        <w:tc>
          <w:tcPr>
            <w:tcW w:w="4180" w:type="dxa"/>
            <w:tcBorders>
              <w:top w:val="single" w:sz="6" w:space="0" w:color="000000"/>
              <w:left w:val="single" w:sz="6" w:space="0" w:color="000000"/>
              <w:bottom w:val="single" w:sz="6" w:space="0" w:color="000000"/>
              <w:right w:val="single" w:sz="6" w:space="0" w:color="000000"/>
            </w:tcBorders>
          </w:tcPr>
          <w:p>
            <w:pPr>
              <w:pStyle w:val="GesAbsatz"/>
              <w:rPr>
                <w:sz w:val="18"/>
                <w:szCs w:val="18"/>
              </w:rPr>
            </w:pPr>
            <w:r>
              <w:rPr>
                <w:sz w:val="18"/>
                <w:szCs w:val="18"/>
              </w:rPr>
              <w:t>Bedingungen, unter denen die oben für die biologischen Qualitätskomponenten beschriebenen Werte erreicht werden können.</w:t>
            </w:r>
          </w:p>
        </w:tc>
      </w:tr>
    </w:tbl>
    <w:p>
      <w:pPr>
        <w:pStyle w:val="GesAbsatz"/>
      </w:pPr>
    </w:p>
    <w:p>
      <w:pPr>
        <w:pStyle w:val="GesAbsatz"/>
        <w:rPr>
          <w:rFonts w:cs="Adve 0661 3w"/>
          <w:vertAlign w:val="superscript"/>
        </w:rPr>
      </w:pPr>
      <w:r>
        <w:rPr>
          <w:rFonts w:cs="Adve 0661 3w"/>
        </w:rPr>
        <w:t>Physikalisch-chemische Qualitätskomponenten</w:t>
      </w:r>
      <w:r>
        <w:rPr>
          <w:rFonts w:cs="Adve 0661 3w"/>
          <w:vertAlign w:val="superscript"/>
        </w:rPr>
        <w:t>1)</w:t>
      </w:r>
    </w:p>
    <w:tbl>
      <w:tblPr>
        <w:tblW w:w="143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95"/>
        <w:gridCol w:w="4180"/>
        <w:gridCol w:w="4178"/>
        <w:gridCol w:w="4180"/>
      </w:tblGrid>
      <w:tr>
        <w:trPr>
          <w:trHeight w:val="365"/>
        </w:trPr>
        <w:tc>
          <w:tcPr>
            <w:tcW w:w="1795" w:type="dxa"/>
          </w:tcPr>
          <w:p>
            <w:pPr>
              <w:pStyle w:val="GesAbsatz"/>
              <w:rPr>
                <w:sz w:val="18"/>
                <w:szCs w:val="18"/>
              </w:rPr>
            </w:pPr>
            <w:r>
              <w:rPr>
                <w:sz w:val="18"/>
                <w:szCs w:val="18"/>
              </w:rPr>
              <w:t xml:space="preserve">Komponente </w:t>
            </w:r>
          </w:p>
        </w:tc>
        <w:tc>
          <w:tcPr>
            <w:tcW w:w="4180" w:type="dxa"/>
          </w:tcPr>
          <w:p>
            <w:pPr>
              <w:pStyle w:val="GesAbsatz"/>
              <w:rPr>
                <w:sz w:val="18"/>
                <w:szCs w:val="18"/>
              </w:rPr>
            </w:pPr>
            <w:r>
              <w:rPr>
                <w:sz w:val="18"/>
                <w:szCs w:val="18"/>
              </w:rPr>
              <w:t xml:space="preserve">Sehr guter Zustand </w:t>
            </w:r>
          </w:p>
        </w:tc>
        <w:tc>
          <w:tcPr>
            <w:tcW w:w="4178" w:type="dxa"/>
          </w:tcPr>
          <w:p>
            <w:pPr>
              <w:pStyle w:val="GesAbsatz"/>
              <w:rPr>
                <w:sz w:val="18"/>
                <w:szCs w:val="18"/>
              </w:rPr>
            </w:pPr>
            <w:r>
              <w:rPr>
                <w:sz w:val="18"/>
                <w:szCs w:val="18"/>
              </w:rPr>
              <w:t xml:space="preserve">Guter Zustand </w:t>
            </w:r>
          </w:p>
        </w:tc>
        <w:tc>
          <w:tcPr>
            <w:tcW w:w="4180" w:type="dxa"/>
          </w:tcPr>
          <w:p>
            <w:pPr>
              <w:pStyle w:val="GesAbsatz"/>
              <w:rPr>
                <w:sz w:val="18"/>
                <w:szCs w:val="18"/>
              </w:rPr>
            </w:pPr>
            <w:r>
              <w:rPr>
                <w:sz w:val="18"/>
                <w:szCs w:val="18"/>
              </w:rPr>
              <w:t xml:space="preserve">Mäßiger Zustand </w:t>
            </w:r>
          </w:p>
        </w:tc>
      </w:tr>
      <w:tr>
        <w:trPr>
          <w:trHeight w:val="3049"/>
        </w:trPr>
        <w:tc>
          <w:tcPr>
            <w:tcW w:w="1795" w:type="dxa"/>
          </w:tcPr>
          <w:p>
            <w:pPr>
              <w:pStyle w:val="GesAbsatz"/>
              <w:rPr>
                <w:sz w:val="18"/>
                <w:szCs w:val="18"/>
              </w:rPr>
            </w:pPr>
            <w:r>
              <w:rPr>
                <w:sz w:val="18"/>
                <w:szCs w:val="18"/>
              </w:rPr>
              <w:t xml:space="preserve">Allgemeine Bedingungen </w:t>
            </w:r>
          </w:p>
        </w:tc>
        <w:tc>
          <w:tcPr>
            <w:tcW w:w="4180" w:type="dxa"/>
          </w:tcPr>
          <w:p>
            <w:pPr>
              <w:pStyle w:val="GesAbsatz"/>
              <w:rPr>
                <w:sz w:val="18"/>
                <w:szCs w:val="18"/>
              </w:rPr>
            </w:pPr>
            <w:r>
              <w:rPr>
                <w:sz w:val="18"/>
                <w:szCs w:val="18"/>
              </w:rPr>
              <w:t>Die Werte für die physikalisch-chemischen Komponenten entsprechen vollständig oder nahezu vollständig den Werten, die bei Abwesenheit störender Einflüsse zu verzeichnen sind.</w:t>
            </w:r>
          </w:p>
          <w:p>
            <w:pPr>
              <w:pStyle w:val="GesAbsatz"/>
              <w:rPr>
                <w:sz w:val="18"/>
                <w:szCs w:val="18"/>
              </w:rPr>
            </w:pPr>
            <w:r>
              <w:rPr>
                <w:sz w:val="18"/>
                <w:szCs w:val="18"/>
              </w:rPr>
              <w:t>Die Nährstoffkonzentrationen bleiben in dem Bereich, der normalerweise bei Abwesenheit störender Einflüsse festzustellen ist.</w:t>
            </w:r>
          </w:p>
          <w:p>
            <w:pPr>
              <w:pStyle w:val="GesAbsatz"/>
              <w:rPr>
                <w:sz w:val="18"/>
                <w:szCs w:val="18"/>
              </w:rPr>
            </w:pPr>
            <w:r>
              <w:rPr>
                <w:sz w:val="18"/>
                <w:szCs w:val="18"/>
              </w:rPr>
              <w:t>Salzgehalt, pH-Wert, Säureneutralisierungsvermögen und Temperatur zeigen keine Anzeichen anthropogener Störungen und bleiben in dem Bereich, der normalerweise bei Abwesenheit störender Einflüsse festzustellen ist.</w:t>
            </w:r>
          </w:p>
        </w:tc>
        <w:tc>
          <w:tcPr>
            <w:tcW w:w="4178" w:type="dxa"/>
          </w:tcPr>
          <w:p>
            <w:pPr>
              <w:pStyle w:val="GesAbsatz"/>
              <w:rPr>
                <w:sz w:val="18"/>
                <w:szCs w:val="18"/>
              </w:rPr>
            </w:pPr>
            <w:r>
              <w:rPr>
                <w:sz w:val="18"/>
                <w:szCs w:val="18"/>
              </w:rPr>
              <w:t>Die Werte für die Temperatur, den Sauerstoffhaushalt, den pH-Wert, das Säureneutralisierungsvermögen und den Salzgehalt gehen nicht über den Bereich hinaus innerhalb dessen die Funktionsfähigkeit des typspezifischen Ökosystems und die Einhaltung der oben beschriebenen Werte für die biologischen Qualitätskomponenten gewährleistet sind.</w:t>
            </w:r>
          </w:p>
          <w:p>
            <w:pPr>
              <w:pStyle w:val="GesAbsatz"/>
              <w:rPr>
                <w:sz w:val="18"/>
                <w:szCs w:val="18"/>
              </w:rPr>
            </w:pPr>
            <w:r>
              <w:rPr>
                <w:sz w:val="18"/>
                <w:szCs w:val="18"/>
              </w:rPr>
              <w:t>Die Nährstoffkonzentrationen liegen nicht über den Wer- ten, bei denen die Funktionsfähigkeit des typspezifischen Ökosystems und die Einhaltung der oben beschriebenen Werte für die biologischen Qualitätskomponenten gewährleistet sind.</w:t>
            </w:r>
          </w:p>
        </w:tc>
        <w:tc>
          <w:tcPr>
            <w:tcW w:w="4180" w:type="dxa"/>
          </w:tcPr>
          <w:p>
            <w:pPr>
              <w:pStyle w:val="GesAbsatz"/>
              <w:rPr>
                <w:sz w:val="18"/>
                <w:szCs w:val="18"/>
              </w:rPr>
            </w:pPr>
            <w:r>
              <w:rPr>
                <w:sz w:val="18"/>
                <w:szCs w:val="18"/>
              </w:rPr>
              <w:t xml:space="preserve">Bedingungen, unter denen die oben für die biologischen Qualitätskomponenten beschriebenen Werte erreicht werden können. </w:t>
            </w:r>
          </w:p>
        </w:tc>
      </w:tr>
      <w:tr>
        <w:trPr>
          <w:trHeight w:val="1065"/>
        </w:trPr>
        <w:tc>
          <w:tcPr>
            <w:tcW w:w="1795" w:type="dxa"/>
          </w:tcPr>
          <w:p>
            <w:pPr>
              <w:pStyle w:val="GesAbsatz"/>
              <w:rPr>
                <w:sz w:val="18"/>
                <w:szCs w:val="18"/>
              </w:rPr>
            </w:pPr>
            <w:r>
              <w:rPr>
                <w:sz w:val="18"/>
                <w:szCs w:val="18"/>
              </w:rPr>
              <w:t>Spezifische synthetische Schadstoffe</w:t>
            </w:r>
          </w:p>
        </w:tc>
        <w:tc>
          <w:tcPr>
            <w:tcW w:w="4180" w:type="dxa"/>
          </w:tcPr>
          <w:p>
            <w:pPr>
              <w:pStyle w:val="GesAbsatz"/>
              <w:rPr>
                <w:sz w:val="18"/>
                <w:szCs w:val="18"/>
              </w:rPr>
            </w:pPr>
            <w:r>
              <w:rPr>
                <w:sz w:val="18"/>
                <w:szCs w:val="18"/>
              </w:rPr>
              <w:t>Konzentrationen nahe Null oder zumindest unter der Nachweisgrenze der allgemein gebräuchlichen fortgeschrittensten Analysetechniken.</w:t>
            </w:r>
          </w:p>
        </w:tc>
        <w:tc>
          <w:tcPr>
            <w:tcW w:w="4178" w:type="dxa"/>
          </w:tcPr>
          <w:p>
            <w:pPr>
              <w:pStyle w:val="GesAbsatz"/>
              <w:rPr>
                <w:sz w:val="18"/>
                <w:szCs w:val="18"/>
              </w:rPr>
            </w:pPr>
            <w:r>
              <w:rPr>
                <w:sz w:val="18"/>
                <w:szCs w:val="18"/>
              </w:rPr>
              <w:t>Konzentrationen nicht höher als die Umweltqualitätsnormen, die nach dem Verfahren gemäß Randnummer 1.2.6 festgelegt werden, unbeschadet der Richtlinie 91/414/EG und der Richtlinie 98/8/EG (&lt; eqs).</w:t>
            </w:r>
          </w:p>
        </w:tc>
        <w:tc>
          <w:tcPr>
            <w:tcW w:w="4180" w:type="dxa"/>
          </w:tcPr>
          <w:p>
            <w:pPr>
              <w:pStyle w:val="GesAbsatz"/>
              <w:rPr>
                <w:sz w:val="18"/>
                <w:szCs w:val="18"/>
              </w:rPr>
            </w:pPr>
            <w:r>
              <w:rPr>
                <w:sz w:val="18"/>
                <w:szCs w:val="18"/>
              </w:rPr>
              <w:t>Bedingungen, unter denen die oben für die biologischen Qualitätskomponenten beschriebenen Werte erreicht werden können.</w:t>
            </w:r>
          </w:p>
        </w:tc>
      </w:tr>
      <w:tr>
        <w:trPr>
          <w:trHeight w:val="1210"/>
        </w:trPr>
        <w:tc>
          <w:tcPr>
            <w:tcW w:w="1795" w:type="dxa"/>
          </w:tcPr>
          <w:p>
            <w:pPr>
              <w:pStyle w:val="GesAbsatz"/>
              <w:rPr>
                <w:sz w:val="18"/>
                <w:szCs w:val="18"/>
              </w:rPr>
            </w:pPr>
            <w:r>
              <w:rPr>
                <w:sz w:val="18"/>
                <w:szCs w:val="18"/>
              </w:rPr>
              <w:t xml:space="preserve">Spezifische nichtsynthetische Schadstoffe </w:t>
            </w:r>
          </w:p>
        </w:tc>
        <w:tc>
          <w:tcPr>
            <w:tcW w:w="4180" w:type="dxa"/>
          </w:tcPr>
          <w:p>
            <w:pPr>
              <w:pStyle w:val="GesAbsatz"/>
              <w:rPr>
                <w:sz w:val="18"/>
                <w:szCs w:val="18"/>
              </w:rPr>
            </w:pPr>
            <w:r>
              <w:rPr>
                <w:sz w:val="18"/>
                <w:szCs w:val="18"/>
              </w:rPr>
              <w:t>Die Konzentrationen bleiben in dem Bereich, der normalerweise bei Abwesenheit störender Einflüsse festzustellen ist (Hintergrundwerte = bgl).</w:t>
            </w:r>
          </w:p>
        </w:tc>
        <w:tc>
          <w:tcPr>
            <w:tcW w:w="4178" w:type="dxa"/>
          </w:tcPr>
          <w:p>
            <w:pPr>
              <w:pStyle w:val="GesAbsatz"/>
              <w:rPr>
                <w:sz w:val="18"/>
                <w:szCs w:val="18"/>
              </w:rPr>
            </w:pPr>
            <w:r>
              <w:rPr>
                <w:sz w:val="18"/>
                <w:szCs w:val="18"/>
              </w:rPr>
              <w:t xml:space="preserve">Konzentrationen nicht höher als die Umweltqualitätsnormen, die nach dem Verfahren gemäß Randnummer 1.2.6 festgelegt werden </w:t>
            </w:r>
            <w:r>
              <w:rPr>
                <w:sz w:val="18"/>
                <w:szCs w:val="18"/>
                <w:vertAlign w:val="superscript"/>
              </w:rPr>
              <w:t>2)</w:t>
            </w:r>
            <w:r>
              <w:rPr>
                <w:sz w:val="18"/>
                <w:szCs w:val="18"/>
              </w:rPr>
              <w:t>, unbeschadet der Richtlinie 91/414/EG und der Richtlinie 98/8/EG (&lt; eqs).</w:t>
            </w:r>
          </w:p>
        </w:tc>
        <w:tc>
          <w:tcPr>
            <w:tcW w:w="4180" w:type="dxa"/>
          </w:tcPr>
          <w:p>
            <w:pPr>
              <w:pStyle w:val="GesAbsatz"/>
              <w:rPr>
                <w:sz w:val="18"/>
                <w:szCs w:val="18"/>
              </w:rPr>
            </w:pPr>
            <w:r>
              <w:rPr>
                <w:sz w:val="18"/>
                <w:szCs w:val="18"/>
              </w:rPr>
              <w:t>Bedingungen, unter denen die oben für die biologischen Qualitätskomponenten beschriebenen Werte erreicht werden können.</w:t>
            </w:r>
          </w:p>
        </w:tc>
      </w:tr>
      <w:tr>
        <w:trPr>
          <w:trHeight w:val="760"/>
        </w:trPr>
        <w:tc>
          <w:tcPr>
            <w:tcW w:w="14333" w:type="dxa"/>
            <w:gridSpan w:val="4"/>
          </w:tcPr>
          <w:p>
            <w:pPr>
              <w:pStyle w:val="GesAbsatz"/>
              <w:rPr>
                <w:sz w:val="18"/>
                <w:szCs w:val="18"/>
              </w:rPr>
            </w:pPr>
            <w:r>
              <w:rPr>
                <w:sz w:val="18"/>
                <w:szCs w:val="18"/>
                <w:vertAlign w:val="superscript"/>
              </w:rPr>
              <w:t>1)</w:t>
            </w:r>
            <w:r>
              <w:rPr>
                <w:sz w:val="18"/>
                <w:szCs w:val="18"/>
              </w:rPr>
              <w:t xml:space="preserve"> Es werden folgende Abkürzungen verwendet: bgl (</w:t>
            </w:r>
            <w:r>
              <w:rPr>
                <w:sz w:val="18"/>
                <w:szCs w:val="18"/>
                <w:lang w:val="en-US"/>
              </w:rPr>
              <w:t>background level</w:t>
            </w:r>
            <w:r>
              <w:rPr>
                <w:sz w:val="18"/>
                <w:szCs w:val="18"/>
              </w:rPr>
              <w:t>) = Hintergrundwert; eqs (</w:t>
            </w:r>
            <w:r>
              <w:rPr>
                <w:sz w:val="18"/>
                <w:szCs w:val="18"/>
                <w:lang w:val="en-US"/>
              </w:rPr>
              <w:t>environmental quality standard</w:t>
            </w:r>
            <w:r>
              <w:rPr>
                <w:sz w:val="18"/>
                <w:szCs w:val="18"/>
              </w:rPr>
              <w:t>) = Umweltqualitätsstandard.</w:t>
            </w:r>
          </w:p>
          <w:p>
            <w:pPr>
              <w:pStyle w:val="GesAbsatz"/>
              <w:rPr>
                <w:sz w:val="18"/>
                <w:szCs w:val="18"/>
              </w:rPr>
            </w:pPr>
            <w:r>
              <w:rPr>
                <w:sz w:val="18"/>
                <w:szCs w:val="18"/>
                <w:vertAlign w:val="superscript"/>
              </w:rPr>
              <w:lastRenderedPageBreak/>
              <w:t>2)</w:t>
            </w:r>
            <w:r>
              <w:rPr>
                <w:sz w:val="18"/>
                <w:szCs w:val="18"/>
              </w:rPr>
              <w:t xml:space="preserve"> Die Anwendung der Umweltqualitätsnormen, die sich aus diesem Protokoll ergben, bedeutet nicht, dass die Schadstoffkonzentrationen so weit verringert werden müssen, dass sie unter den Hintergrundwerten liegen (eqs &gt; bgl).</w:t>
            </w:r>
          </w:p>
        </w:tc>
      </w:tr>
    </w:tbl>
    <w:p>
      <w:pPr>
        <w:pStyle w:val="GesAbsatz"/>
      </w:pPr>
    </w:p>
    <w:p>
      <w:pPr>
        <w:pStyle w:val="GesAbsatz"/>
        <w:rPr>
          <w:rFonts w:cs="Adve 0661 3w"/>
        </w:rPr>
      </w:pPr>
      <w:r>
        <w:rPr>
          <w:rFonts w:cs="Adve 0661 3w"/>
        </w:rPr>
        <w:t>1.2.2 Begriffsbestimmungen für den sehr guten, guten und mäßigen ökologischen Zustand von Seen</w:t>
      </w:r>
    </w:p>
    <w:p>
      <w:pPr>
        <w:pStyle w:val="GesAbsatz"/>
        <w:rPr>
          <w:rFonts w:cs="Adve 0661 3w"/>
        </w:rPr>
      </w:pPr>
      <w:r>
        <w:rPr>
          <w:rFonts w:cs="Adve 0661 3w"/>
        </w:rPr>
        <w:t>Biologische Qualitätskomponenten</w:t>
      </w:r>
    </w:p>
    <w:tbl>
      <w:tblPr>
        <w:tblW w:w="143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97"/>
        <w:gridCol w:w="4179"/>
        <w:gridCol w:w="4177"/>
        <w:gridCol w:w="4180"/>
      </w:tblGrid>
      <w:tr>
        <w:trPr>
          <w:trHeight w:val="363"/>
          <w:tblHeader/>
        </w:trPr>
        <w:tc>
          <w:tcPr>
            <w:tcW w:w="1797" w:type="dxa"/>
          </w:tcPr>
          <w:p>
            <w:pPr>
              <w:pStyle w:val="GesAbsatz"/>
              <w:rPr>
                <w:sz w:val="18"/>
                <w:szCs w:val="18"/>
              </w:rPr>
            </w:pPr>
            <w:r>
              <w:rPr>
                <w:sz w:val="18"/>
                <w:szCs w:val="18"/>
              </w:rPr>
              <w:t xml:space="preserve">Komponente </w:t>
            </w:r>
          </w:p>
        </w:tc>
        <w:tc>
          <w:tcPr>
            <w:tcW w:w="4179" w:type="dxa"/>
          </w:tcPr>
          <w:p>
            <w:pPr>
              <w:pStyle w:val="GesAbsatz"/>
              <w:rPr>
                <w:sz w:val="18"/>
                <w:szCs w:val="18"/>
              </w:rPr>
            </w:pPr>
            <w:r>
              <w:rPr>
                <w:sz w:val="18"/>
                <w:szCs w:val="18"/>
              </w:rPr>
              <w:t xml:space="preserve">Sehr guter Zustand </w:t>
            </w:r>
          </w:p>
        </w:tc>
        <w:tc>
          <w:tcPr>
            <w:tcW w:w="4177" w:type="dxa"/>
          </w:tcPr>
          <w:p>
            <w:pPr>
              <w:pStyle w:val="GesAbsatz"/>
              <w:rPr>
                <w:sz w:val="18"/>
                <w:szCs w:val="18"/>
              </w:rPr>
            </w:pPr>
            <w:r>
              <w:rPr>
                <w:sz w:val="18"/>
                <w:szCs w:val="18"/>
              </w:rPr>
              <w:t xml:space="preserve">Guter Zustand </w:t>
            </w:r>
          </w:p>
        </w:tc>
        <w:tc>
          <w:tcPr>
            <w:tcW w:w="4180" w:type="dxa"/>
          </w:tcPr>
          <w:p>
            <w:pPr>
              <w:pStyle w:val="GesAbsatz"/>
              <w:rPr>
                <w:sz w:val="18"/>
                <w:szCs w:val="18"/>
              </w:rPr>
            </w:pPr>
            <w:r>
              <w:rPr>
                <w:sz w:val="18"/>
                <w:szCs w:val="18"/>
              </w:rPr>
              <w:t xml:space="preserve">Mäßiger Zustand </w:t>
            </w:r>
          </w:p>
        </w:tc>
      </w:tr>
      <w:tr>
        <w:trPr>
          <w:trHeight w:val="2788"/>
        </w:trPr>
        <w:tc>
          <w:tcPr>
            <w:tcW w:w="1797" w:type="dxa"/>
          </w:tcPr>
          <w:p>
            <w:pPr>
              <w:pStyle w:val="GesAbsatz"/>
              <w:rPr>
                <w:sz w:val="18"/>
                <w:szCs w:val="18"/>
              </w:rPr>
            </w:pPr>
            <w:r>
              <w:rPr>
                <w:sz w:val="18"/>
                <w:szCs w:val="18"/>
              </w:rPr>
              <w:t xml:space="preserve">Phytoplankton </w:t>
            </w:r>
          </w:p>
        </w:tc>
        <w:tc>
          <w:tcPr>
            <w:tcW w:w="4179" w:type="dxa"/>
          </w:tcPr>
          <w:p>
            <w:pPr>
              <w:pStyle w:val="GesAbsatz"/>
              <w:rPr>
                <w:sz w:val="18"/>
                <w:szCs w:val="18"/>
              </w:rPr>
            </w:pPr>
            <w:r>
              <w:rPr>
                <w:sz w:val="18"/>
                <w:szCs w:val="18"/>
              </w:rPr>
              <w:t>Die taxonomische Zusammensetzung und die Abundanz des Phytoplanktons entsprechen vollständig oder nahezu vollständig den Bedingungen bei Abwesenheit störender Einflüsse.</w:t>
            </w:r>
          </w:p>
          <w:p>
            <w:pPr>
              <w:pStyle w:val="GesAbsatz"/>
              <w:rPr>
                <w:sz w:val="18"/>
                <w:szCs w:val="18"/>
              </w:rPr>
            </w:pPr>
            <w:r>
              <w:rPr>
                <w:sz w:val="18"/>
                <w:szCs w:val="18"/>
              </w:rPr>
              <w:t>Die durchschnittliche Biomasse des Phytoplanktons entspricht den typspezifischen physikalisch-chemischen Bedingungen und ist nicht so beschaffen, dass dadurch die typspezifischen Bedingungen für die Sichttiefe signifikant verändert werden.</w:t>
            </w:r>
          </w:p>
          <w:p>
            <w:pPr>
              <w:pStyle w:val="GesAbsatz"/>
              <w:rPr>
                <w:sz w:val="18"/>
                <w:szCs w:val="18"/>
              </w:rPr>
            </w:pPr>
            <w:r>
              <w:rPr>
                <w:sz w:val="18"/>
                <w:szCs w:val="18"/>
              </w:rPr>
              <w:t>Planktonblüten treten mit einer Häufigkeit und Intensität auf, die den typspezifischen physikalisch-chemischen Bedingungen entspricht.</w:t>
            </w:r>
          </w:p>
        </w:tc>
        <w:tc>
          <w:tcPr>
            <w:tcW w:w="4177" w:type="dxa"/>
          </w:tcPr>
          <w:p>
            <w:pPr>
              <w:pStyle w:val="GesAbsatz"/>
              <w:rPr>
                <w:sz w:val="18"/>
                <w:szCs w:val="18"/>
              </w:rPr>
            </w:pPr>
            <w:r>
              <w:rPr>
                <w:sz w:val="18"/>
                <w:szCs w:val="18"/>
              </w:rPr>
              <w:t>Die planktonischen Taxa weichen in ihrer Zusammensetzung und Abundanz geringfügig von den typspezifischen Gemeinschaften ab. Diese Abweichungen deuten nicht auf ein beschleunigtes Wachstum von Algen hin, das das Gleichgewicht der in dem Gewässer vorhandenen Organismen oder die physikalisch-chemische Qualität des Wassers oder Sediments in unerwünschter Weise stören würde.</w:t>
            </w:r>
          </w:p>
          <w:p>
            <w:pPr>
              <w:pStyle w:val="GesAbsatz"/>
              <w:rPr>
                <w:sz w:val="18"/>
                <w:szCs w:val="18"/>
              </w:rPr>
            </w:pPr>
            <w:r>
              <w:rPr>
                <w:sz w:val="18"/>
                <w:szCs w:val="18"/>
              </w:rPr>
              <w:t>Es kann zu einem leichten Anstieg der Häufigkeit und Intensität der typspezifischen Planktonblüten kommen.</w:t>
            </w:r>
          </w:p>
        </w:tc>
        <w:tc>
          <w:tcPr>
            <w:tcW w:w="4180" w:type="dxa"/>
          </w:tcPr>
          <w:p>
            <w:pPr>
              <w:pStyle w:val="GesAbsatz"/>
              <w:rPr>
                <w:sz w:val="18"/>
                <w:szCs w:val="18"/>
              </w:rPr>
            </w:pPr>
            <w:r>
              <w:rPr>
                <w:sz w:val="18"/>
                <w:szCs w:val="18"/>
              </w:rPr>
              <w:t>Zusammensetzung und Abundanz der planktonischen Taxa weichen mäßig von denen der typspezifischen Gemeinschaften ab.</w:t>
            </w:r>
          </w:p>
          <w:p>
            <w:pPr>
              <w:pStyle w:val="GesAbsatz"/>
              <w:rPr>
                <w:sz w:val="18"/>
                <w:szCs w:val="18"/>
              </w:rPr>
            </w:pPr>
            <w:r>
              <w:rPr>
                <w:sz w:val="18"/>
                <w:szCs w:val="18"/>
              </w:rPr>
              <w:t>Bei der Biomasse sind mäßige Störungen zu verzeichnen, was zu signifikanten unerwünschten Störungen bei anderen biologischen Qualitätskomponenten und bei der physikalisch-chemischen Qualität des Wassers oder Sediments führen kann.</w:t>
            </w:r>
          </w:p>
          <w:p>
            <w:pPr>
              <w:pStyle w:val="GesAbsatz"/>
              <w:rPr>
                <w:sz w:val="18"/>
                <w:szCs w:val="18"/>
              </w:rPr>
            </w:pPr>
            <w:r>
              <w:rPr>
                <w:sz w:val="18"/>
                <w:szCs w:val="18"/>
              </w:rPr>
              <w:t>Es kann zu einem mäßigen Anstieg der Häufigkeit und Intensität der Planktonblüten kommen. In den Sommermonaten können anhaltende Blüten auftreten.</w:t>
            </w:r>
          </w:p>
        </w:tc>
      </w:tr>
      <w:tr>
        <w:trPr>
          <w:trHeight w:val="3020"/>
        </w:trPr>
        <w:tc>
          <w:tcPr>
            <w:tcW w:w="1797" w:type="dxa"/>
          </w:tcPr>
          <w:p>
            <w:pPr>
              <w:pStyle w:val="GesAbsatz"/>
              <w:rPr>
                <w:sz w:val="18"/>
                <w:szCs w:val="18"/>
              </w:rPr>
            </w:pPr>
            <w:r>
              <w:rPr>
                <w:sz w:val="18"/>
                <w:szCs w:val="18"/>
              </w:rPr>
              <w:t xml:space="preserve">Makrophyten und Phytobenthos </w:t>
            </w:r>
          </w:p>
        </w:tc>
        <w:tc>
          <w:tcPr>
            <w:tcW w:w="4179" w:type="dxa"/>
          </w:tcPr>
          <w:p>
            <w:pPr>
              <w:pStyle w:val="GesAbsatz"/>
              <w:rPr>
                <w:sz w:val="18"/>
                <w:szCs w:val="18"/>
              </w:rPr>
            </w:pPr>
            <w:r>
              <w:rPr>
                <w:sz w:val="18"/>
                <w:szCs w:val="18"/>
              </w:rPr>
              <w:t>Die taxonomische Zusammensetzung entspricht vollständig oder nahezu vollständig den Bedingungen bei Abwesenheit störender Einflüsse.</w:t>
            </w:r>
          </w:p>
          <w:p>
            <w:pPr>
              <w:pStyle w:val="GesAbsatz"/>
              <w:rPr>
                <w:sz w:val="18"/>
                <w:szCs w:val="18"/>
              </w:rPr>
            </w:pPr>
            <w:r>
              <w:rPr>
                <w:sz w:val="18"/>
                <w:szCs w:val="18"/>
              </w:rPr>
              <w:t>Keine erkennbaren Änderungen der durchschnittlichen makrophytischen und der durchschnittlichen phytobenthischen Abundanz.</w:t>
            </w:r>
          </w:p>
        </w:tc>
        <w:tc>
          <w:tcPr>
            <w:tcW w:w="4177" w:type="dxa"/>
          </w:tcPr>
          <w:p>
            <w:pPr>
              <w:pStyle w:val="GesAbsatz"/>
              <w:rPr>
                <w:sz w:val="18"/>
                <w:szCs w:val="18"/>
              </w:rPr>
            </w:pPr>
            <w:r>
              <w:rPr>
                <w:sz w:val="18"/>
                <w:szCs w:val="18"/>
              </w:rPr>
              <w:t>Die makrophytischen und phytobenthischen Taxa weichen in ihrer Zusammensetzung und Abundanz geringfügig von den typspezifischen Gemeinschaften ab. Diese Abweichungen deuten nicht auf ein beschleunigtes Wachstum von Algen oder höheren Pflanzen hin, das das Gleichgewicht der in dem Gewässer vorhandenen Organismen oder die physikalisch-chemische Qualität des Wassers in unerwünschter Weise stören würde.</w:t>
            </w:r>
          </w:p>
          <w:p>
            <w:pPr>
              <w:pStyle w:val="GesAbsatz"/>
              <w:rPr>
                <w:sz w:val="18"/>
                <w:szCs w:val="18"/>
              </w:rPr>
            </w:pPr>
            <w:r>
              <w:rPr>
                <w:sz w:val="18"/>
                <w:szCs w:val="18"/>
              </w:rPr>
              <w:t>Die phytobenthische Lebensgemeinschaft wird nicht durch anthropogene Bakterienanhäufung und anthropogenen Bakterienbesatz beeinträchtigt.</w:t>
            </w:r>
          </w:p>
        </w:tc>
        <w:tc>
          <w:tcPr>
            <w:tcW w:w="4180" w:type="dxa"/>
          </w:tcPr>
          <w:p>
            <w:pPr>
              <w:pStyle w:val="GesAbsatz"/>
              <w:rPr>
                <w:sz w:val="18"/>
                <w:szCs w:val="18"/>
              </w:rPr>
            </w:pPr>
            <w:r>
              <w:rPr>
                <w:sz w:val="18"/>
                <w:szCs w:val="18"/>
              </w:rPr>
              <w:t>Die Zusammensetzung der makrophytischen und phytobenthischen Taxa weicht mäßig von der der typspezifischen Gemeinschaft ab und ist in signifikanter Weise stärker gestört, als dies bei gutem Zustand der Fall ist.</w:t>
            </w:r>
          </w:p>
          <w:p>
            <w:pPr>
              <w:pStyle w:val="GesAbsatz"/>
              <w:rPr>
                <w:sz w:val="18"/>
                <w:szCs w:val="18"/>
              </w:rPr>
            </w:pPr>
            <w:r>
              <w:rPr>
                <w:sz w:val="18"/>
                <w:szCs w:val="18"/>
              </w:rPr>
              <w:t>Es sind mäßige Änderungen der durchschnittlichen makrophytischen und der durchschnittlichen phytobenthischen Abundanz erkennbar.</w:t>
            </w:r>
          </w:p>
          <w:p>
            <w:pPr>
              <w:pStyle w:val="GesAbsatz"/>
              <w:rPr>
                <w:sz w:val="18"/>
                <w:szCs w:val="18"/>
              </w:rPr>
            </w:pPr>
            <w:r>
              <w:rPr>
                <w:sz w:val="18"/>
                <w:szCs w:val="18"/>
              </w:rPr>
              <w:t>Die phytobentische Lebensgemeinschaft kann durch antropogene Bakterienanhäufung und anthropogenen Bakterienbesatz beeinträchtigt und in bestimmten Gebieten verdrängt werden.</w:t>
            </w:r>
          </w:p>
        </w:tc>
      </w:tr>
      <w:tr>
        <w:trPr>
          <w:trHeight w:val="2825"/>
        </w:trPr>
        <w:tc>
          <w:tcPr>
            <w:tcW w:w="1797" w:type="dxa"/>
          </w:tcPr>
          <w:p>
            <w:pPr>
              <w:pStyle w:val="GesAbsatz"/>
              <w:rPr>
                <w:sz w:val="18"/>
                <w:szCs w:val="18"/>
              </w:rPr>
            </w:pPr>
            <w:r>
              <w:rPr>
                <w:sz w:val="18"/>
                <w:szCs w:val="18"/>
              </w:rPr>
              <w:lastRenderedPageBreak/>
              <w:t xml:space="preserve">Benthische wirbellose Fauna </w:t>
            </w:r>
          </w:p>
        </w:tc>
        <w:tc>
          <w:tcPr>
            <w:tcW w:w="4179" w:type="dxa"/>
          </w:tcPr>
          <w:p>
            <w:pPr>
              <w:pStyle w:val="GesAbsatz"/>
              <w:rPr>
                <w:sz w:val="18"/>
                <w:szCs w:val="18"/>
              </w:rPr>
            </w:pPr>
            <w:r>
              <w:rPr>
                <w:sz w:val="18"/>
                <w:szCs w:val="18"/>
              </w:rPr>
              <w:t>Die taxonomische Zusammensetzung und die Abundanz entsprechen vollständig oder nahezu vollständig den Bedingungen bei Abwesenheit störender Einflüsse.</w:t>
            </w:r>
          </w:p>
          <w:p>
            <w:pPr>
              <w:pStyle w:val="GesAbsatz"/>
              <w:rPr>
                <w:sz w:val="18"/>
                <w:szCs w:val="18"/>
              </w:rPr>
            </w:pPr>
            <w:r>
              <w:rPr>
                <w:sz w:val="18"/>
                <w:szCs w:val="18"/>
              </w:rPr>
              <w:t>Der Anteil störungsempfindlicher Taxa im Verhältnis zu robusten Taxa zeigt keine Anzeichen für eine Abweichung von den Werten, die bei Abwesenheit störender Einflüsse zu verzeichnen sind.</w:t>
            </w:r>
          </w:p>
          <w:p>
            <w:pPr>
              <w:pStyle w:val="GesAbsatz"/>
              <w:rPr>
                <w:sz w:val="18"/>
                <w:szCs w:val="18"/>
              </w:rPr>
            </w:pPr>
            <w:r>
              <w:rPr>
                <w:sz w:val="18"/>
                <w:szCs w:val="18"/>
              </w:rPr>
              <w:t xml:space="preserve">Der Grad der Vielfalt der wirbellosen Taxa zeigt keine Anzeichen für Abweichungen von den Werten, die bei Abwesenheit störender Einflüsse zu verzeichnen sind. </w:t>
            </w:r>
          </w:p>
        </w:tc>
        <w:tc>
          <w:tcPr>
            <w:tcW w:w="4177" w:type="dxa"/>
          </w:tcPr>
          <w:p>
            <w:pPr>
              <w:pStyle w:val="GesAbsatz"/>
              <w:rPr>
                <w:sz w:val="18"/>
                <w:szCs w:val="18"/>
              </w:rPr>
            </w:pPr>
            <w:r>
              <w:rPr>
                <w:sz w:val="18"/>
                <w:szCs w:val="18"/>
              </w:rPr>
              <w:t>Die wirbellosen Taxa weichen in ihrer Zusammensetzung und Abundanz geringfügig von den typspezifischen Gemeinschaften ab.</w:t>
            </w:r>
          </w:p>
          <w:p>
            <w:pPr>
              <w:pStyle w:val="GesAbsatz"/>
              <w:rPr>
                <w:sz w:val="18"/>
                <w:szCs w:val="18"/>
              </w:rPr>
            </w:pPr>
            <w:r>
              <w:rPr>
                <w:sz w:val="18"/>
                <w:szCs w:val="18"/>
              </w:rPr>
              <w:t>Der Anteil der störungsempfindlichen Taxa im Verhältnis zu den robusten Taxa zeigt geringfügige Anzeichen für Abweichungen von den typspezifischen Werten. Der Grad der Vielfalt der wirbellosen Taxa zeigt geringfügige Anzeichen für Abweichungen von den typspezifischen Werten.</w:t>
            </w:r>
          </w:p>
        </w:tc>
        <w:tc>
          <w:tcPr>
            <w:tcW w:w="4180" w:type="dxa"/>
          </w:tcPr>
          <w:p>
            <w:pPr>
              <w:pStyle w:val="GesAbsatz"/>
              <w:rPr>
                <w:sz w:val="18"/>
                <w:szCs w:val="18"/>
              </w:rPr>
            </w:pPr>
            <w:r>
              <w:rPr>
                <w:sz w:val="18"/>
                <w:szCs w:val="18"/>
              </w:rPr>
              <w:t>Die wirbellosen Taxa weichen in Zusammensetzung und Abundanz mäßig von den typspezifischen Gemeinschaften ab.</w:t>
            </w:r>
          </w:p>
          <w:p>
            <w:pPr>
              <w:pStyle w:val="GesAbsatz"/>
              <w:rPr>
                <w:sz w:val="18"/>
                <w:szCs w:val="18"/>
              </w:rPr>
            </w:pPr>
            <w:r>
              <w:rPr>
                <w:sz w:val="18"/>
                <w:szCs w:val="18"/>
              </w:rPr>
              <w:t>Wichtige taxonomische Gruppen der typspezifischen Gemeinschaft fehlen.</w:t>
            </w:r>
          </w:p>
          <w:p>
            <w:pPr>
              <w:pStyle w:val="GesAbsatz"/>
              <w:rPr>
                <w:sz w:val="18"/>
                <w:szCs w:val="18"/>
              </w:rPr>
            </w:pPr>
            <w:r>
              <w:rPr>
                <w:sz w:val="18"/>
                <w:szCs w:val="18"/>
              </w:rPr>
              <w:t>Der Anteil der störungsempfindlichen Taxa im Verhältnis zu den robusten Taxa und der Grad der Vielfalt liegen beträchtlich unter dem typspezifischen Wert und in signifikanter Weise unter den Werten, die für einen guten Zustand gelten.</w:t>
            </w:r>
          </w:p>
        </w:tc>
      </w:tr>
      <w:tr>
        <w:trPr>
          <w:trHeight w:val="2703"/>
        </w:trPr>
        <w:tc>
          <w:tcPr>
            <w:tcW w:w="1797" w:type="dxa"/>
          </w:tcPr>
          <w:p>
            <w:pPr>
              <w:pStyle w:val="GesAbsatz"/>
              <w:rPr>
                <w:rFonts w:cs="Arial"/>
                <w:sz w:val="18"/>
                <w:szCs w:val="18"/>
              </w:rPr>
            </w:pPr>
            <w:r>
              <w:rPr>
                <w:rFonts w:cs="Arial"/>
                <w:sz w:val="18"/>
                <w:szCs w:val="18"/>
              </w:rPr>
              <w:t xml:space="preserve">Fischfauna </w:t>
            </w:r>
          </w:p>
        </w:tc>
        <w:tc>
          <w:tcPr>
            <w:tcW w:w="4179" w:type="dxa"/>
          </w:tcPr>
          <w:p>
            <w:pPr>
              <w:pStyle w:val="GesAbsatz"/>
              <w:rPr>
                <w:rFonts w:cs="Arial"/>
                <w:sz w:val="18"/>
                <w:szCs w:val="18"/>
              </w:rPr>
            </w:pPr>
            <w:r>
              <w:rPr>
                <w:rFonts w:cs="Arial"/>
                <w:sz w:val="18"/>
                <w:szCs w:val="18"/>
              </w:rPr>
              <w:t>Zusammensetzung und Abundanz der Arten entsprechen vollständig oder nahezu vollständig den Bedingungen bei Abwesenheit störender Einflüsse.</w:t>
            </w:r>
          </w:p>
          <w:p>
            <w:pPr>
              <w:pStyle w:val="GesAbsatz"/>
              <w:rPr>
                <w:rFonts w:cs="Arial"/>
                <w:sz w:val="18"/>
                <w:szCs w:val="18"/>
              </w:rPr>
            </w:pPr>
            <w:r>
              <w:rPr>
                <w:rFonts w:cs="Arial"/>
                <w:sz w:val="18"/>
                <w:szCs w:val="18"/>
              </w:rPr>
              <w:t>Alle typspezifischen störungsempfindlichen Arten sind vorhanden.</w:t>
            </w:r>
          </w:p>
          <w:p>
            <w:pPr>
              <w:pStyle w:val="GesAbsatz"/>
              <w:rPr>
                <w:rFonts w:cs="Arial"/>
                <w:sz w:val="18"/>
                <w:szCs w:val="18"/>
              </w:rPr>
            </w:pPr>
            <w:r>
              <w:rPr>
                <w:rFonts w:cs="Arial"/>
                <w:sz w:val="18"/>
                <w:szCs w:val="18"/>
              </w:rPr>
              <w:t>Die Altersstrukturen der Fischgemeinschaften zeigen kaum Anzeichen anthropogener Störungen und deuten nicht auf Störungen bei der Fortpflanzung oder Entwicklung irgendeiner besonderen Art hin.</w:t>
            </w:r>
          </w:p>
        </w:tc>
        <w:tc>
          <w:tcPr>
            <w:tcW w:w="4177" w:type="dxa"/>
          </w:tcPr>
          <w:p>
            <w:pPr>
              <w:pStyle w:val="GesAbsatz"/>
              <w:rPr>
                <w:rFonts w:cs="Arial"/>
                <w:sz w:val="18"/>
                <w:szCs w:val="18"/>
              </w:rPr>
            </w:pPr>
            <w:r>
              <w:rPr>
                <w:rFonts w:cs="Arial"/>
                <w:sz w:val="18"/>
                <w:szCs w:val="18"/>
              </w:rPr>
              <w:t>Aufgrund anthropogener Einflüsse auf die physikalisch-chemischen und hydromorphologischen Qualitätskomponenten weichen die Arten in Zusammensetzung und Abundanz geringfügig von den typspezifischen Gemeinschaften ab.</w:t>
            </w:r>
          </w:p>
          <w:p>
            <w:pPr>
              <w:pStyle w:val="GesAbsatz"/>
              <w:rPr>
                <w:rFonts w:cs="Arial"/>
                <w:sz w:val="18"/>
                <w:szCs w:val="18"/>
              </w:rPr>
            </w:pPr>
            <w:r>
              <w:rPr>
                <w:rFonts w:cs="Arial"/>
                <w:sz w:val="18"/>
                <w:szCs w:val="18"/>
              </w:rPr>
              <w:t>Die Altersstrukturen der Fischgemeinschaften zeigen Anzeichen für Störungen aufgrund anthropogener Einflüsse auf die physikalisch-chemischen oder hydromorphologischen Qualitätskomponenten und deuten in wenigen Fällen auf Störungen bei der Fortpflanzung oder Entwicklung einer bestimmten Art hin, so dass einige Altersstufen fehlen können.</w:t>
            </w:r>
          </w:p>
        </w:tc>
        <w:tc>
          <w:tcPr>
            <w:tcW w:w="4180" w:type="dxa"/>
          </w:tcPr>
          <w:p>
            <w:pPr>
              <w:pStyle w:val="GesAbsatz"/>
              <w:rPr>
                <w:rFonts w:cs="Arial"/>
                <w:sz w:val="18"/>
                <w:szCs w:val="18"/>
              </w:rPr>
            </w:pPr>
            <w:r>
              <w:rPr>
                <w:rFonts w:cs="Arial"/>
                <w:sz w:val="18"/>
                <w:szCs w:val="18"/>
              </w:rPr>
              <w:t>Aufgrund anthropogener Einflüsse auf die physikalisch-chemischen oder hydromorphologischen Qualitätskomponenten weichen die Fischarten in Zusammensetzung und Abundanz mäßig von den typspezifischen Gemeinschaften ab.</w:t>
            </w:r>
          </w:p>
          <w:p>
            <w:pPr>
              <w:pStyle w:val="GesAbsatz"/>
              <w:rPr>
                <w:rFonts w:cs="Arial"/>
                <w:sz w:val="18"/>
                <w:szCs w:val="18"/>
              </w:rPr>
            </w:pPr>
            <w:r>
              <w:rPr>
                <w:rFonts w:cs="Arial"/>
                <w:sz w:val="18"/>
                <w:szCs w:val="18"/>
              </w:rPr>
              <w:t xml:space="preserve">Aufgrund anthropogener Einflüsse auf die physikalisch-chemischen oder hydromorphologischen Qualitätskomponenten zeigt die Altersstruktur der Fischgemeinschaften größere Anzeichen von Störungen, so dass ein mäßiger Teil der typspezifischen Arten fehlt oder sehr selten ist. </w:t>
            </w:r>
          </w:p>
        </w:tc>
      </w:tr>
    </w:tbl>
    <w:p>
      <w:pPr>
        <w:pStyle w:val="GesAbsatz"/>
      </w:pPr>
    </w:p>
    <w:p>
      <w:pPr>
        <w:pStyle w:val="GesAbsatz"/>
        <w:rPr>
          <w:rFonts w:cs="Arial"/>
        </w:rPr>
      </w:pPr>
      <w:r>
        <w:rPr>
          <w:rFonts w:cs="Arial"/>
        </w:rPr>
        <w:t>Hydromorphologische Qualitätskomponenten</w:t>
      </w:r>
    </w:p>
    <w:tbl>
      <w:tblPr>
        <w:tblW w:w="143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97"/>
        <w:gridCol w:w="4179"/>
        <w:gridCol w:w="4177"/>
        <w:gridCol w:w="4180"/>
      </w:tblGrid>
      <w:tr>
        <w:trPr>
          <w:trHeight w:val="350"/>
          <w:tblHeader/>
        </w:trPr>
        <w:tc>
          <w:tcPr>
            <w:tcW w:w="1797" w:type="dxa"/>
          </w:tcPr>
          <w:p>
            <w:pPr>
              <w:pStyle w:val="GesAbsatz"/>
              <w:rPr>
                <w:rFonts w:cs="Arial"/>
                <w:sz w:val="18"/>
                <w:szCs w:val="18"/>
              </w:rPr>
            </w:pPr>
            <w:r>
              <w:rPr>
                <w:rFonts w:cs="Arial"/>
                <w:sz w:val="18"/>
                <w:szCs w:val="18"/>
              </w:rPr>
              <w:t xml:space="preserve">Komponente </w:t>
            </w:r>
          </w:p>
        </w:tc>
        <w:tc>
          <w:tcPr>
            <w:tcW w:w="4179" w:type="dxa"/>
          </w:tcPr>
          <w:p>
            <w:pPr>
              <w:pStyle w:val="GesAbsatz"/>
              <w:rPr>
                <w:rFonts w:cs="Arial"/>
                <w:sz w:val="18"/>
                <w:szCs w:val="18"/>
              </w:rPr>
            </w:pPr>
            <w:r>
              <w:rPr>
                <w:rFonts w:cs="Arial"/>
                <w:sz w:val="18"/>
                <w:szCs w:val="18"/>
              </w:rPr>
              <w:t xml:space="preserve">Sehr guter Zustand </w:t>
            </w:r>
          </w:p>
        </w:tc>
        <w:tc>
          <w:tcPr>
            <w:tcW w:w="4177" w:type="dxa"/>
          </w:tcPr>
          <w:p>
            <w:pPr>
              <w:pStyle w:val="GesAbsatz"/>
              <w:rPr>
                <w:rFonts w:cs="Arial"/>
                <w:sz w:val="18"/>
                <w:szCs w:val="18"/>
              </w:rPr>
            </w:pPr>
            <w:r>
              <w:rPr>
                <w:rFonts w:cs="Arial"/>
                <w:sz w:val="18"/>
                <w:szCs w:val="18"/>
              </w:rPr>
              <w:t xml:space="preserve">Guter Zustand </w:t>
            </w:r>
          </w:p>
        </w:tc>
        <w:tc>
          <w:tcPr>
            <w:tcW w:w="4180" w:type="dxa"/>
          </w:tcPr>
          <w:p>
            <w:pPr>
              <w:pStyle w:val="GesAbsatz"/>
              <w:rPr>
                <w:rFonts w:cs="Arial"/>
                <w:sz w:val="18"/>
                <w:szCs w:val="18"/>
              </w:rPr>
            </w:pPr>
            <w:r>
              <w:rPr>
                <w:rFonts w:cs="Arial"/>
                <w:sz w:val="18"/>
                <w:szCs w:val="18"/>
              </w:rPr>
              <w:t xml:space="preserve">Mäßiger Zustand </w:t>
            </w:r>
          </w:p>
        </w:tc>
      </w:tr>
      <w:tr>
        <w:trPr>
          <w:trHeight w:val="1058"/>
        </w:trPr>
        <w:tc>
          <w:tcPr>
            <w:tcW w:w="1797" w:type="dxa"/>
          </w:tcPr>
          <w:p>
            <w:pPr>
              <w:pStyle w:val="GesAbsatz"/>
              <w:rPr>
                <w:rFonts w:cs="Arial"/>
                <w:sz w:val="18"/>
                <w:szCs w:val="18"/>
              </w:rPr>
            </w:pPr>
            <w:r>
              <w:rPr>
                <w:rFonts w:cs="Arial"/>
                <w:sz w:val="18"/>
                <w:szCs w:val="18"/>
              </w:rPr>
              <w:t xml:space="preserve">Wasserhaushalt </w:t>
            </w:r>
          </w:p>
        </w:tc>
        <w:tc>
          <w:tcPr>
            <w:tcW w:w="4179" w:type="dxa"/>
          </w:tcPr>
          <w:p>
            <w:pPr>
              <w:pStyle w:val="GesAbsatz"/>
              <w:rPr>
                <w:rFonts w:cs="Arial"/>
                <w:sz w:val="18"/>
                <w:szCs w:val="18"/>
              </w:rPr>
            </w:pPr>
            <w:r>
              <w:rPr>
                <w:rFonts w:cs="Arial"/>
                <w:sz w:val="18"/>
                <w:szCs w:val="18"/>
              </w:rPr>
              <w:t>Menge und Dynamik der Strömung, Pegel, Verweildauer und die sich daraus ergebende Verbindung zum Grundwasser entsprechen vollständig oder nahezu vollständig den Bedingungen bei Abwesenheit störender Einflüsse.</w:t>
            </w:r>
          </w:p>
        </w:tc>
        <w:tc>
          <w:tcPr>
            <w:tcW w:w="4177" w:type="dxa"/>
          </w:tcPr>
          <w:p>
            <w:pPr>
              <w:pStyle w:val="GesAbsatz"/>
              <w:rPr>
                <w:rFonts w:cs="Arial"/>
                <w:sz w:val="18"/>
                <w:szCs w:val="18"/>
              </w:rPr>
            </w:pPr>
            <w:r>
              <w:rPr>
                <w:rFonts w:cs="Arial"/>
                <w:sz w:val="18"/>
                <w:szCs w:val="18"/>
              </w:rPr>
              <w:t xml:space="preserve">Bedingungen, unter denen die oben für die biologischen Qualitätskomponenten beschriebenen Werte erreicht werden können. </w:t>
            </w:r>
          </w:p>
        </w:tc>
        <w:tc>
          <w:tcPr>
            <w:tcW w:w="4180" w:type="dxa"/>
          </w:tcPr>
          <w:p>
            <w:pPr>
              <w:pStyle w:val="GesAbsatz"/>
              <w:rPr>
                <w:rFonts w:cs="Arial"/>
                <w:sz w:val="18"/>
                <w:szCs w:val="18"/>
              </w:rPr>
            </w:pPr>
            <w:r>
              <w:rPr>
                <w:rFonts w:cs="Arial"/>
                <w:sz w:val="18"/>
                <w:szCs w:val="18"/>
              </w:rPr>
              <w:t xml:space="preserve">Bedingungen, unter denen die oben für die biologischen Qualitätskomponenten beschriebenen Werte erreicht werden können. </w:t>
            </w:r>
          </w:p>
        </w:tc>
      </w:tr>
      <w:tr>
        <w:trPr>
          <w:trHeight w:val="1056"/>
        </w:trPr>
        <w:tc>
          <w:tcPr>
            <w:tcW w:w="1797" w:type="dxa"/>
          </w:tcPr>
          <w:p>
            <w:pPr>
              <w:pStyle w:val="GesAbsatz"/>
              <w:rPr>
                <w:rFonts w:cs="Arial"/>
                <w:sz w:val="18"/>
                <w:szCs w:val="18"/>
              </w:rPr>
            </w:pPr>
            <w:r>
              <w:rPr>
                <w:rFonts w:cs="Arial"/>
                <w:sz w:val="18"/>
                <w:szCs w:val="18"/>
              </w:rPr>
              <w:lastRenderedPageBreak/>
              <w:t xml:space="preserve">Morphologie </w:t>
            </w:r>
          </w:p>
        </w:tc>
        <w:tc>
          <w:tcPr>
            <w:tcW w:w="4179" w:type="dxa"/>
          </w:tcPr>
          <w:p>
            <w:pPr>
              <w:pStyle w:val="GesAbsatz"/>
              <w:rPr>
                <w:rFonts w:cs="Arial"/>
                <w:sz w:val="18"/>
                <w:szCs w:val="18"/>
              </w:rPr>
            </w:pPr>
            <w:r>
              <w:rPr>
                <w:rFonts w:cs="Arial"/>
                <w:sz w:val="18"/>
                <w:szCs w:val="18"/>
              </w:rPr>
              <w:t>Variationen der Tiefe des Sees, Quantität und Struktur des Substrats sowie Struktur und Bedingungen des Uferbereichs entsprechen vollständig oder nahezu vollständig den Bedingungen bei Abwesenheit störender Einflüsse.</w:t>
            </w:r>
          </w:p>
        </w:tc>
        <w:tc>
          <w:tcPr>
            <w:tcW w:w="4177" w:type="dxa"/>
          </w:tcPr>
          <w:p>
            <w:pPr>
              <w:pStyle w:val="GesAbsatz"/>
              <w:rPr>
                <w:rFonts w:cs="Arial"/>
                <w:sz w:val="18"/>
                <w:szCs w:val="18"/>
              </w:rPr>
            </w:pPr>
            <w:r>
              <w:rPr>
                <w:rFonts w:cs="Arial"/>
                <w:sz w:val="18"/>
                <w:szCs w:val="18"/>
              </w:rPr>
              <w:t>Bedingungen, unter denen die oben für die biologischen Qualitätskomponenten beschriebenen Werte erreicht werden können.</w:t>
            </w:r>
          </w:p>
        </w:tc>
        <w:tc>
          <w:tcPr>
            <w:tcW w:w="4180" w:type="dxa"/>
          </w:tcPr>
          <w:p>
            <w:pPr>
              <w:pStyle w:val="GesAbsatz"/>
              <w:rPr>
                <w:rFonts w:cs="Arial"/>
                <w:sz w:val="18"/>
                <w:szCs w:val="18"/>
              </w:rPr>
            </w:pPr>
            <w:r>
              <w:rPr>
                <w:rFonts w:cs="Arial"/>
                <w:sz w:val="18"/>
                <w:szCs w:val="18"/>
              </w:rPr>
              <w:t>Bedingungen, unter denen die oben für die biologischen Qualitätskomponenten beschriebenen Werte erreicht werden können.</w:t>
            </w:r>
          </w:p>
        </w:tc>
      </w:tr>
    </w:tbl>
    <w:p>
      <w:pPr>
        <w:pStyle w:val="GesAbsatz"/>
      </w:pPr>
    </w:p>
    <w:p>
      <w:pPr>
        <w:pStyle w:val="GesAbsatz"/>
        <w:rPr>
          <w:rFonts w:cs="Adve 0661 3w"/>
        </w:rPr>
      </w:pPr>
      <w:r>
        <w:rPr>
          <w:rFonts w:cs="Adve 0661 3w"/>
        </w:rPr>
        <w:t>Physikalisch-chemische Qualitätskomponenten</w:t>
      </w:r>
      <w:r>
        <w:rPr>
          <w:rFonts w:cs="Adve 0661 3w"/>
          <w:vertAlign w:val="superscript"/>
        </w:rPr>
        <w:t>1)</w:t>
      </w:r>
    </w:p>
    <w:tbl>
      <w:tblPr>
        <w:tblW w:w="143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95"/>
        <w:gridCol w:w="4180"/>
        <w:gridCol w:w="4178"/>
        <w:gridCol w:w="4180"/>
      </w:tblGrid>
      <w:tr>
        <w:trPr>
          <w:trHeight w:val="365"/>
          <w:tblHeader/>
        </w:trPr>
        <w:tc>
          <w:tcPr>
            <w:tcW w:w="1795" w:type="dxa"/>
          </w:tcPr>
          <w:p>
            <w:pPr>
              <w:pStyle w:val="GesAbsatz"/>
              <w:rPr>
                <w:sz w:val="18"/>
                <w:szCs w:val="18"/>
              </w:rPr>
            </w:pPr>
            <w:r>
              <w:rPr>
                <w:sz w:val="18"/>
                <w:szCs w:val="18"/>
              </w:rPr>
              <w:t xml:space="preserve">Komponente </w:t>
            </w:r>
          </w:p>
        </w:tc>
        <w:tc>
          <w:tcPr>
            <w:tcW w:w="4180" w:type="dxa"/>
          </w:tcPr>
          <w:p>
            <w:pPr>
              <w:pStyle w:val="GesAbsatz"/>
              <w:rPr>
                <w:sz w:val="18"/>
                <w:szCs w:val="18"/>
              </w:rPr>
            </w:pPr>
            <w:r>
              <w:rPr>
                <w:sz w:val="18"/>
                <w:szCs w:val="18"/>
              </w:rPr>
              <w:t xml:space="preserve">Sehr guter Zustand </w:t>
            </w:r>
          </w:p>
        </w:tc>
        <w:tc>
          <w:tcPr>
            <w:tcW w:w="4178" w:type="dxa"/>
          </w:tcPr>
          <w:p>
            <w:pPr>
              <w:pStyle w:val="GesAbsatz"/>
              <w:rPr>
                <w:sz w:val="18"/>
                <w:szCs w:val="18"/>
              </w:rPr>
            </w:pPr>
            <w:r>
              <w:rPr>
                <w:sz w:val="18"/>
                <w:szCs w:val="18"/>
              </w:rPr>
              <w:t xml:space="preserve">Guter Zustand </w:t>
            </w:r>
          </w:p>
        </w:tc>
        <w:tc>
          <w:tcPr>
            <w:tcW w:w="4180" w:type="dxa"/>
          </w:tcPr>
          <w:p>
            <w:pPr>
              <w:pStyle w:val="GesAbsatz"/>
              <w:rPr>
                <w:sz w:val="18"/>
                <w:szCs w:val="18"/>
              </w:rPr>
            </w:pPr>
            <w:r>
              <w:rPr>
                <w:sz w:val="18"/>
                <w:szCs w:val="18"/>
              </w:rPr>
              <w:t xml:space="preserve">Mäßiger Zustand </w:t>
            </w:r>
          </w:p>
        </w:tc>
      </w:tr>
      <w:tr>
        <w:trPr>
          <w:trHeight w:val="2735"/>
        </w:trPr>
        <w:tc>
          <w:tcPr>
            <w:tcW w:w="1795" w:type="dxa"/>
          </w:tcPr>
          <w:p>
            <w:pPr>
              <w:pStyle w:val="GesAbsatz"/>
              <w:rPr>
                <w:sz w:val="18"/>
                <w:szCs w:val="18"/>
              </w:rPr>
            </w:pPr>
            <w:r>
              <w:rPr>
                <w:sz w:val="18"/>
                <w:szCs w:val="18"/>
              </w:rPr>
              <w:t>Allgemeine Bedingungen</w:t>
            </w:r>
          </w:p>
        </w:tc>
        <w:tc>
          <w:tcPr>
            <w:tcW w:w="4180" w:type="dxa"/>
          </w:tcPr>
          <w:p>
            <w:pPr>
              <w:pStyle w:val="GesAbsatz"/>
              <w:rPr>
                <w:sz w:val="18"/>
                <w:szCs w:val="18"/>
              </w:rPr>
            </w:pPr>
            <w:r>
              <w:rPr>
                <w:sz w:val="18"/>
                <w:szCs w:val="18"/>
              </w:rPr>
              <w:t>Die Werte für die physikalisch-chemischen Komponenten entsprechen vollständig oder nahezu vollständig den Werten, die bei Abwesenheit störender Einflüsse zu verzeichnen sind.</w:t>
            </w:r>
          </w:p>
          <w:p>
            <w:pPr>
              <w:pStyle w:val="GesAbsatz"/>
              <w:rPr>
                <w:sz w:val="18"/>
                <w:szCs w:val="18"/>
              </w:rPr>
            </w:pPr>
            <w:r>
              <w:rPr>
                <w:sz w:val="18"/>
                <w:szCs w:val="18"/>
              </w:rPr>
              <w:t>Die Nährstoffkonzentrationen bleiben innerhalb des Wertespektrums, das normalerweise bei Abwesenheit stören- der Einflüsse vorzufinden ist.</w:t>
            </w:r>
          </w:p>
          <w:p>
            <w:pPr>
              <w:pStyle w:val="GesAbsatz"/>
              <w:rPr>
                <w:sz w:val="18"/>
                <w:szCs w:val="18"/>
              </w:rPr>
            </w:pPr>
            <w:r>
              <w:rPr>
                <w:sz w:val="18"/>
                <w:szCs w:val="18"/>
              </w:rPr>
              <w:t>Salzgehalt, pH-Wert, Säureneutralisierungsvermögen, Sichttiefe und Temperatur zeigen keine Anzeichen anthropogener Störungen und bleiben in dem Bereich, der normalerweise bei Abwesenheit störender Einflüsse festzustellen ist.</w:t>
            </w:r>
          </w:p>
        </w:tc>
        <w:tc>
          <w:tcPr>
            <w:tcW w:w="4178" w:type="dxa"/>
          </w:tcPr>
          <w:p>
            <w:pPr>
              <w:pStyle w:val="GesAbsatz"/>
              <w:rPr>
                <w:sz w:val="18"/>
                <w:szCs w:val="18"/>
              </w:rPr>
            </w:pPr>
            <w:r>
              <w:rPr>
                <w:sz w:val="18"/>
                <w:szCs w:val="18"/>
              </w:rPr>
              <w:t>Die Werte für die Temperatur, die Sauerstoffbilanz, den pH-Wert, das Säureneutralisierungsvermögen, die Sichttiefe und den Salzgehalt gehen nicht über den Bereich hinaus, innerhalb dessen die Funktionsfähigkeit des Ökosystems und die Einhaltung der oben beschriebenen Werte für die biologischen Qualitätskomponenten gewährleistet sind.</w:t>
            </w:r>
          </w:p>
          <w:p>
            <w:pPr>
              <w:pStyle w:val="GesAbsatz"/>
              <w:rPr>
                <w:sz w:val="18"/>
                <w:szCs w:val="18"/>
              </w:rPr>
            </w:pPr>
            <w:r>
              <w:rPr>
                <w:sz w:val="18"/>
                <w:szCs w:val="18"/>
              </w:rPr>
              <w:t>Die Nährstoffkonzentrationen liegen nicht über den Werten, bei denen die Funktionsfähigkeit des Ökosystems und die Einhaltung der oben beschriebenen Werte für die biologischen Qualitätskomponenten gewährleistet sind.</w:t>
            </w:r>
          </w:p>
        </w:tc>
        <w:tc>
          <w:tcPr>
            <w:tcW w:w="4180" w:type="dxa"/>
          </w:tcPr>
          <w:p>
            <w:pPr>
              <w:pStyle w:val="GesAbsatz"/>
              <w:rPr>
                <w:sz w:val="18"/>
                <w:szCs w:val="18"/>
              </w:rPr>
            </w:pPr>
            <w:r>
              <w:rPr>
                <w:sz w:val="18"/>
                <w:szCs w:val="18"/>
              </w:rPr>
              <w:t>Bedingungen, unter denen die oben für die biologischen Qualitätskomponenten beschriebenen Werte erreicht werden können.</w:t>
            </w:r>
          </w:p>
        </w:tc>
      </w:tr>
      <w:tr>
        <w:trPr>
          <w:trHeight w:val="1076"/>
        </w:trPr>
        <w:tc>
          <w:tcPr>
            <w:tcW w:w="1795" w:type="dxa"/>
          </w:tcPr>
          <w:p>
            <w:pPr>
              <w:pStyle w:val="GesAbsatz"/>
              <w:rPr>
                <w:sz w:val="18"/>
                <w:szCs w:val="18"/>
              </w:rPr>
            </w:pPr>
            <w:r>
              <w:rPr>
                <w:sz w:val="18"/>
                <w:szCs w:val="18"/>
              </w:rPr>
              <w:t xml:space="preserve">Spezifische synthetische Schadstoffe </w:t>
            </w:r>
          </w:p>
        </w:tc>
        <w:tc>
          <w:tcPr>
            <w:tcW w:w="4180" w:type="dxa"/>
          </w:tcPr>
          <w:p>
            <w:pPr>
              <w:pStyle w:val="GesAbsatz"/>
              <w:rPr>
                <w:sz w:val="18"/>
                <w:szCs w:val="18"/>
              </w:rPr>
            </w:pPr>
            <w:r>
              <w:rPr>
                <w:sz w:val="18"/>
                <w:szCs w:val="18"/>
              </w:rPr>
              <w:t>Konzentrationen nahe Null oder zumindest unter der Nachweisgrenze der allgemein gebräuchlichen fortgeschrittensten Analysetechniken.</w:t>
            </w:r>
          </w:p>
        </w:tc>
        <w:tc>
          <w:tcPr>
            <w:tcW w:w="4178" w:type="dxa"/>
          </w:tcPr>
          <w:p>
            <w:pPr>
              <w:pStyle w:val="GesAbsatz"/>
              <w:rPr>
                <w:sz w:val="18"/>
                <w:szCs w:val="18"/>
              </w:rPr>
            </w:pPr>
            <w:r>
              <w:rPr>
                <w:sz w:val="18"/>
                <w:szCs w:val="18"/>
              </w:rPr>
              <w:t>Konzentrationen nicht höher als die Umweltqualitätsnormen, die nach dem Verfahren gemäß Randnummer 1.2.6 festgelegt werden, unbeschadet der Richtlinie 91/414/EWG und der Richtlinie 98/8/EG (&lt; eqs).</w:t>
            </w:r>
          </w:p>
        </w:tc>
        <w:tc>
          <w:tcPr>
            <w:tcW w:w="4180" w:type="dxa"/>
          </w:tcPr>
          <w:p>
            <w:pPr>
              <w:pStyle w:val="GesAbsatz"/>
              <w:rPr>
                <w:sz w:val="18"/>
                <w:szCs w:val="18"/>
              </w:rPr>
            </w:pPr>
            <w:r>
              <w:rPr>
                <w:sz w:val="18"/>
                <w:szCs w:val="18"/>
              </w:rPr>
              <w:t>Bedingungen, unter denen die oben für die biologischen Qualitätskomponenten beschriebenen Werte erreicht werden können.</w:t>
            </w:r>
          </w:p>
        </w:tc>
      </w:tr>
      <w:tr>
        <w:trPr>
          <w:trHeight w:val="1036"/>
        </w:trPr>
        <w:tc>
          <w:tcPr>
            <w:tcW w:w="1795" w:type="dxa"/>
          </w:tcPr>
          <w:p>
            <w:pPr>
              <w:pStyle w:val="GesAbsatz"/>
              <w:rPr>
                <w:sz w:val="18"/>
                <w:szCs w:val="18"/>
              </w:rPr>
            </w:pPr>
            <w:r>
              <w:rPr>
                <w:sz w:val="18"/>
                <w:szCs w:val="18"/>
              </w:rPr>
              <w:t>Spezifische nichtsynthetische Schadstoffe</w:t>
            </w:r>
          </w:p>
        </w:tc>
        <w:tc>
          <w:tcPr>
            <w:tcW w:w="4180" w:type="dxa"/>
          </w:tcPr>
          <w:p>
            <w:pPr>
              <w:pStyle w:val="GesAbsatz"/>
              <w:rPr>
                <w:sz w:val="18"/>
                <w:szCs w:val="18"/>
              </w:rPr>
            </w:pPr>
            <w:r>
              <w:rPr>
                <w:sz w:val="18"/>
                <w:szCs w:val="18"/>
              </w:rPr>
              <w:t xml:space="preserve">Die Konzentrationen bleiben in dem Bereich, der normalerweise bei Abwesenheit störender Einflüsse festzustellen ist (Hintergrundwerte = bgl). </w:t>
            </w:r>
          </w:p>
        </w:tc>
        <w:tc>
          <w:tcPr>
            <w:tcW w:w="4178" w:type="dxa"/>
          </w:tcPr>
          <w:p>
            <w:pPr>
              <w:pStyle w:val="GesAbsatz"/>
              <w:rPr>
                <w:sz w:val="18"/>
                <w:szCs w:val="18"/>
              </w:rPr>
            </w:pPr>
            <w:r>
              <w:rPr>
                <w:sz w:val="18"/>
                <w:szCs w:val="18"/>
              </w:rPr>
              <w:t xml:space="preserve">Konzentrationen nicht höher als die Umweltqualitätsnormen, die nach dem Verfahren gemäß Randnummer 1.2.6 festgelegt werden </w:t>
            </w:r>
            <w:r>
              <w:rPr>
                <w:sz w:val="18"/>
                <w:szCs w:val="18"/>
                <w:vertAlign w:val="superscript"/>
              </w:rPr>
              <w:t>2)</w:t>
            </w:r>
            <w:r>
              <w:rPr>
                <w:sz w:val="18"/>
                <w:szCs w:val="18"/>
              </w:rPr>
              <w:t>, unbeschadet der Richtlinie 91/414/EWG und der Richtlinie 98/8/EG (&lt; eqs).</w:t>
            </w:r>
          </w:p>
        </w:tc>
        <w:tc>
          <w:tcPr>
            <w:tcW w:w="4180" w:type="dxa"/>
          </w:tcPr>
          <w:p>
            <w:pPr>
              <w:pStyle w:val="GesAbsatz"/>
              <w:rPr>
                <w:sz w:val="18"/>
                <w:szCs w:val="18"/>
              </w:rPr>
            </w:pPr>
            <w:r>
              <w:rPr>
                <w:sz w:val="18"/>
                <w:szCs w:val="18"/>
              </w:rPr>
              <w:t>Bedingungen, unter denen die oben für die biologischen Qualitätskomponenten beschriebenen Werte erreicht werden können.</w:t>
            </w:r>
          </w:p>
        </w:tc>
      </w:tr>
      <w:tr>
        <w:trPr>
          <w:trHeight w:val="635"/>
        </w:trPr>
        <w:tc>
          <w:tcPr>
            <w:tcW w:w="14333" w:type="dxa"/>
            <w:gridSpan w:val="4"/>
          </w:tcPr>
          <w:p>
            <w:pPr>
              <w:pStyle w:val="GesAbsatz"/>
              <w:rPr>
                <w:sz w:val="18"/>
                <w:szCs w:val="18"/>
              </w:rPr>
            </w:pPr>
            <w:r>
              <w:rPr>
                <w:sz w:val="18"/>
                <w:szCs w:val="18"/>
                <w:vertAlign w:val="superscript"/>
              </w:rPr>
              <w:t>1)</w:t>
            </w:r>
            <w:r>
              <w:rPr>
                <w:sz w:val="18"/>
                <w:szCs w:val="18"/>
              </w:rPr>
              <w:t xml:space="preserve"> Es werden folgende Abkürzungen verwendet: bgl = Hintergrundwert; eqs = Umweltqualitätsstandard</w:t>
            </w:r>
          </w:p>
          <w:p>
            <w:pPr>
              <w:pStyle w:val="GesAbsatz"/>
              <w:rPr>
                <w:sz w:val="18"/>
                <w:szCs w:val="18"/>
              </w:rPr>
            </w:pPr>
            <w:r>
              <w:rPr>
                <w:sz w:val="18"/>
                <w:szCs w:val="18"/>
                <w:vertAlign w:val="superscript"/>
              </w:rPr>
              <w:t>2)</w:t>
            </w:r>
            <w:r>
              <w:rPr>
                <w:sz w:val="18"/>
                <w:szCs w:val="18"/>
              </w:rPr>
              <w:t xml:space="preserve"> Die Anwendung der Umweltqualitätsnormen, die sich aus diesem Protokoll ergeben, bedeutet nicht, dass die Schadstoffkonzentrationen so weit verringert werden müssen, dass sie unter den Hintergrundwerten liegen.</w:t>
            </w:r>
          </w:p>
        </w:tc>
      </w:tr>
    </w:tbl>
    <w:p>
      <w:pPr>
        <w:pStyle w:val="GesAbsatz"/>
      </w:pPr>
    </w:p>
    <w:p>
      <w:pPr>
        <w:rPr>
          <w:color w:val="000000"/>
        </w:rPr>
      </w:pPr>
      <w:r>
        <w:br w:type="page"/>
      </w:r>
    </w:p>
    <w:p>
      <w:pPr>
        <w:pStyle w:val="GesAbsatz"/>
      </w:pPr>
      <w:r>
        <w:lastRenderedPageBreak/>
        <w:t>1.2.3 Begriffsbestimmungen für den sehr guten, guten und mäßigen ökologischen Zustand von Übergangsgewässern</w:t>
      </w:r>
    </w:p>
    <w:p>
      <w:pPr>
        <w:pStyle w:val="GesAbsatz"/>
      </w:pPr>
      <w:r>
        <w:t>Biologische Qualitätskomponenten</w:t>
      </w:r>
    </w:p>
    <w:tbl>
      <w:tblPr>
        <w:tblW w:w="14142" w:type="dxa"/>
        <w:tblBorders>
          <w:top w:val="nil"/>
          <w:left w:val="nil"/>
          <w:bottom w:val="nil"/>
          <w:right w:val="nil"/>
        </w:tblBorders>
        <w:tblLayout w:type="fixed"/>
        <w:tblLook w:val="0000" w:firstRow="0" w:lastRow="0" w:firstColumn="0" w:lastColumn="0" w:noHBand="0" w:noVBand="0"/>
      </w:tblPr>
      <w:tblGrid>
        <w:gridCol w:w="1809"/>
        <w:gridCol w:w="4061"/>
        <w:gridCol w:w="4072"/>
        <w:gridCol w:w="4200"/>
      </w:tblGrid>
      <w:tr>
        <w:trPr>
          <w:trHeight w:val="350"/>
          <w:tblHeader/>
        </w:trPr>
        <w:tc>
          <w:tcPr>
            <w:tcW w:w="1809" w:type="dxa"/>
            <w:tcBorders>
              <w:top w:val="single" w:sz="6" w:space="0" w:color="000000"/>
              <w:left w:val="single" w:sz="6" w:space="0" w:color="000000"/>
              <w:bottom w:val="single" w:sz="6" w:space="0" w:color="000000"/>
              <w:right w:val="single" w:sz="6" w:space="0" w:color="000000"/>
            </w:tcBorders>
          </w:tcPr>
          <w:p>
            <w:pPr>
              <w:pStyle w:val="GesAbsatz"/>
              <w:rPr>
                <w:rFonts w:cs="Arial"/>
                <w:sz w:val="18"/>
                <w:szCs w:val="18"/>
              </w:rPr>
            </w:pPr>
            <w:r>
              <w:rPr>
                <w:rFonts w:cs="Arial"/>
                <w:sz w:val="18"/>
                <w:szCs w:val="18"/>
              </w:rPr>
              <w:t xml:space="preserve">Komponente </w:t>
            </w:r>
          </w:p>
        </w:tc>
        <w:tc>
          <w:tcPr>
            <w:tcW w:w="4061" w:type="dxa"/>
            <w:tcBorders>
              <w:top w:val="single" w:sz="6" w:space="0" w:color="000000"/>
              <w:left w:val="single" w:sz="6" w:space="0" w:color="000000"/>
              <w:bottom w:val="single" w:sz="6" w:space="0" w:color="000000"/>
              <w:right w:val="single" w:sz="6" w:space="0" w:color="000000"/>
            </w:tcBorders>
          </w:tcPr>
          <w:p>
            <w:pPr>
              <w:pStyle w:val="GesAbsatz"/>
              <w:rPr>
                <w:rFonts w:cs="Arial"/>
                <w:sz w:val="18"/>
                <w:szCs w:val="18"/>
              </w:rPr>
            </w:pPr>
            <w:r>
              <w:rPr>
                <w:rFonts w:cs="Arial"/>
                <w:sz w:val="18"/>
                <w:szCs w:val="18"/>
              </w:rPr>
              <w:t xml:space="preserve">Sehr guter Zustand </w:t>
            </w:r>
          </w:p>
        </w:tc>
        <w:tc>
          <w:tcPr>
            <w:tcW w:w="4072" w:type="dxa"/>
            <w:tcBorders>
              <w:top w:val="single" w:sz="6" w:space="0" w:color="000000"/>
              <w:left w:val="single" w:sz="6" w:space="0" w:color="000000"/>
              <w:bottom w:val="single" w:sz="6" w:space="0" w:color="000000"/>
              <w:right w:val="single" w:sz="6" w:space="0" w:color="000000"/>
            </w:tcBorders>
          </w:tcPr>
          <w:p>
            <w:pPr>
              <w:pStyle w:val="GesAbsatz"/>
              <w:rPr>
                <w:rFonts w:cs="Arial"/>
                <w:sz w:val="18"/>
                <w:szCs w:val="18"/>
              </w:rPr>
            </w:pPr>
            <w:r>
              <w:rPr>
                <w:rFonts w:cs="Arial"/>
                <w:sz w:val="18"/>
                <w:szCs w:val="18"/>
              </w:rPr>
              <w:t xml:space="preserve">Guter Zustand </w:t>
            </w:r>
          </w:p>
        </w:tc>
        <w:tc>
          <w:tcPr>
            <w:tcW w:w="4200" w:type="dxa"/>
            <w:tcBorders>
              <w:top w:val="single" w:sz="6" w:space="0" w:color="000000"/>
              <w:left w:val="single" w:sz="6" w:space="0" w:color="000000"/>
              <w:bottom w:val="single" w:sz="6" w:space="0" w:color="000000"/>
              <w:right w:val="single" w:sz="6" w:space="0" w:color="000000"/>
            </w:tcBorders>
          </w:tcPr>
          <w:p>
            <w:pPr>
              <w:pStyle w:val="GesAbsatz"/>
              <w:rPr>
                <w:rFonts w:cs="Arial"/>
                <w:sz w:val="18"/>
                <w:szCs w:val="18"/>
              </w:rPr>
            </w:pPr>
            <w:r>
              <w:rPr>
                <w:rFonts w:cs="Arial"/>
                <w:sz w:val="18"/>
                <w:szCs w:val="18"/>
              </w:rPr>
              <w:t xml:space="preserve">Mäßiger Zustand </w:t>
            </w:r>
          </w:p>
        </w:tc>
      </w:tr>
      <w:tr>
        <w:trPr>
          <w:trHeight w:val="192"/>
        </w:trPr>
        <w:tc>
          <w:tcPr>
            <w:tcW w:w="1809" w:type="dxa"/>
            <w:tcBorders>
              <w:top w:val="single" w:sz="6" w:space="0" w:color="000000"/>
              <w:left w:val="single" w:sz="6" w:space="0" w:color="000000"/>
              <w:right w:val="single" w:sz="6" w:space="0" w:color="000000"/>
            </w:tcBorders>
          </w:tcPr>
          <w:p>
            <w:pPr>
              <w:pStyle w:val="GesAbsatz"/>
              <w:rPr>
                <w:rFonts w:cs="Arial"/>
                <w:sz w:val="18"/>
                <w:szCs w:val="18"/>
              </w:rPr>
            </w:pPr>
            <w:r>
              <w:rPr>
                <w:rFonts w:cs="Arial"/>
                <w:sz w:val="18"/>
                <w:szCs w:val="18"/>
              </w:rPr>
              <w:t xml:space="preserve">Phytoplankton </w:t>
            </w:r>
          </w:p>
        </w:tc>
        <w:tc>
          <w:tcPr>
            <w:tcW w:w="4061" w:type="dxa"/>
            <w:tcBorders>
              <w:top w:val="single" w:sz="6" w:space="0" w:color="000000"/>
              <w:left w:val="single" w:sz="6" w:space="0" w:color="000000"/>
              <w:right w:val="single" w:sz="6" w:space="0" w:color="000000"/>
            </w:tcBorders>
          </w:tcPr>
          <w:p>
            <w:pPr>
              <w:pStyle w:val="GesAbsatz"/>
              <w:rPr>
                <w:rFonts w:cs="Arial"/>
                <w:sz w:val="18"/>
                <w:szCs w:val="18"/>
              </w:rPr>
            </w:pPr>
            <w:r>
              <w:rPr>
                <w:rFonts w:cs="Arial"/>
                <w:sz w:val="18"/>
                <w:szCs w:val="18"/>
              </w:rPr>
              <w:t>Zusammensetzung und Abundanz der phytoplanktonischen Taxa entsprechen den Bedingungen bei Abwesenheit störender Einflüsse.</w:t>
            </w:r>
          </w:p>
          <w:p>
            <w:pPr>
              <w:pStyle w:val="GesAbsatz"/>
              <w:rPr>
                <w:rFonts w:cs="Arial"/>
                <w:sz w:val="18"/>
                <w:szCs w:val="18"/>
              </w:rPr>
            </w:pPr>
            <w:r>
              <w:rPr>
                <w:rFonts w:cs="Arial"/>
                <w:sz w:val="18"/>
                <w:szCs w:val="18"/>
              </w:rPr>
              <w:t>Die durchschnittliche Biomasse des Phytoplanktons entspricht den typspezifischen physikalisch-chemischen Bedingungen und ist nicht so beschaffen, dass dadurch die typspezifischen Transparenzbedingungen signifikant verändert werden.</w:t>
            </w:r>
          </w:p>
          <w:p>
            <w:pPr>
              <w:pStyle w:val="GesAbsatz"/>
              <w:rPr>
                <w:rFonts w:cs="Arial"/>
                <w:sz w:val="18"/>
                <w:szCs w:val="18"/>
              </w:rPr>
            </w:pPr>
            <w:r>
              <w:rPr>
                <w:rFonts w:cs="Arial"/>
                <w:sz w:val="18"/>
                <w:szCs w:val="18"/>
              </w:rPr>
              <w:t>Planktonblüten treten mit einer Häufigkeit und Intensität auf, die den typspezifischen physikalisch-chemischen Bedingungen entspricht.</w:t>
            </w:r>
          </w:p>
        </w:tc>
        <w:tc>
          <w:tcPr>
            <w:tcW w:w="4072" w:type="dxa"/>
            <w:tcBorders>
              <w:top w:val="single" w:sz="6" w:space="0" w:color="000000"/>
              <w:left w:val="single" w:sz="6" w:space="0" w:color="000000"/>
              <w:right w:val="single" w:sz="6" w:space="0" w:color="000000"/>
            </w:tcBorders>
          </w:tcPr>
          <w:p>
            <w:pPr>
              <w:pStyle w:val="GesAbsatz"/>
              <w:rPr>
                <w:rFonts w:cs="Arial"/>
                <w:sz w:val="18"/>
                <w:szCs w:val="18"/>
              </w:rPr>
            </w:pPr>
            <w:r>
              <w:rPr>
                <w:rFonts w:cs="Arial"/>
                <w:sz w:val="18"/>
                <w:szCs w:val="18"/>
              </w:rPr>
              <w:t>Geringfügige Abweichungen bei Zusammensetzung und Abundanz der phytoplanktonischen Taxa.</w:t>
            </w:r>
          </w:p>
          <w:p>
            <w:pPr>
              <w:pStyle w:val="GesAbsatz"/>
              <w:rPr>
                <w:rFonts w:cs="Arial"/>
                <w:sz w:val="18"/>
                <w:szCs w:val="18"/>
              </w:rPr>
            </w:pPr>
            <w:r>
              <w:rPr>
                <w:rFonts w:cs="Arial"/>
                <w:sz w:val="18"/>
                <w:szCs w:val="18"/>
              </w:rPr>
              <w:t>Die Biomasse weicht geringfügig von den typspezifischen Bedingungen ab. Diese Abweichungen deuten nicht auf ein beschleunigtes Wachstum von Algen hin, das das Gleichgewicht der in dem Gewässer vorhandenen Organismen oder die physikalisch-chemische Qualität des Wassers in unerwünschter Weise stören würde.</w:t>
            </w:r>
          </w:p>
          <w:p>
            <w:pPr>
              <w:pStyle w:val="GesAbsatz"/>
              <w:rPr>
                <w:rFonts w:cs="Arial"/>
                <w:sz w:val="18"/>
                <w:szCs w:val="18"/>
              </w:rPr>
            </w:pPr>
            <w:r>
              <w:rPr>
                <w:rFonts w:cs="Arial"/>
                <w:sz w:val="18"/>
                <w:szCs w:val="18"/>
              </w:rPr>
              <w:t>Es kann zu einem leichten Anstieg der Häufigkeit und Intensität der typspezifischen Planktonblüten kommen.</w:t>
            </w:r>
          </w:p>
        </w:tc>
        <w:tc>
          <w:tcPr>
            <w:tcW w:w="4200" w:type="dxa"/>
            <w:tcBorders>
              <w:top w:val="single" w:sz="6" w:space="0" w:color="000000"/>
              <w:left w:val="single" w:sz="6" w:space="0" w:color="000000"/>
              <w:right w:val="single" w:sz="6" w:space="0" w:color="000000"/>
            </w:tcBorders>
          </w:tcPr>
          <w:p>
            <w:pPr>
              <w:pStyle w:val="GesAbsatz"/>
              <w:rPr>
                <w:rFonts w:cs="Arial"/>
                <w:sz w:val="18"/>
                <w:szCs w:val="18"/>
              </w:rPr>
            </w:pPr>
            <w:r>
              <w:rPr>
                <w:rFonts w:cs="Arial"/>
                <w:sz w:val="18"/>
                <w:szCs w:val="18"/>
              </w:rPr>
              <w:t>Zusammensetzung und Abundanz der phytoplanktonischen Taxa weichen mäßig von den typspezifischen Bedingungen ab.</w:t>
            </w:r>
          </w:p>
          <w:p>
            <w:pPr>
              <w:pStyle w:val="GesAbsatz"/>
              <w:rPr>
                <w:rFonts w:cs="Arial"/>
                <w:sz w:val="18"/>
                <w:szCs w:val="18"/>
              </w:rPr>
            </w:pPr>
            <w:r>
              <w:rPr>
                <w:rFonts w:cs="Arial"/>
                <w:sz w:val="18"/>
                <w:szCs w:val="18"/>
              </w:rPr>
              <w:t xml:space="preserve">Bei der Biomasse sind mäßige Störungen zu verzeichnen, was zu signifikanten unerwünschten Störungen bei anderen biologischen Qualitätskomponenten führen kann. </w:t>
            </w:r>
          </w:p>
          <w:p>
            <w:pPr>
              <w:pStyle w:val="GesAbsatz"/>
              <w:rPr>
                <w:rFonts w:cs="Arial"/>
                <w:sz w:val="18"/>
                <w:szCs w:val="18"/>
              </w:rPr>
            </w:pPr>
            <w:r>
              <w:rPr>
                <w:rFonts w:cs="Arial"/>
                <w:sz w:val="18"/>
                <w:szCs w:val="18"/>
              </w:rPr>
              <w:t>Es kann zu einem mäßigen Anstieg der Häufigkeit und Intensität der Planktonblüten kommen. In den Sommermonaten können anhaltende Blüten auftreten.</w:t>
            </w:r>
          </w:p>
        </w:tc>
      </w:tr>
      <w:tr>
        <w:trPr>
          <w:trHeight w:val="1921"/>
        </w:trPr>
        <w:tc>
          <w:tcPr>
            <w:tcW w:w="1809" w:type="dxa"/>
            <w:tcBorders>
              <w:top w:val="single" w:sz="6" w:space="0" w:color="000000"/>
              <w:left w:val="single" w:sz="6" w:space="0" w:color="000000"/>
              <w:right w:val="single" w:sz="6" w:space="0" w:color="000000"/>
            </w:tcBorders>
          </w:tcPr>
          <w:p>
            <w:pPr>
              <w:pStyle w:val="GesAbsatz"/>
              <w:rPr>
                <w:rFonts w:cs="Arial"/>
                <w:sz w:val="18"/>
                <w:szCs w:val="18"/>
              </w:rPr>
            </w:pPr>
            <w:r>
              <w:rPr>
                <w:rFonts w:cs="Arial"/>
                <w:sz w:val="18"/>
                <w:szCs w:val="18"/>
              </w:rPr>
              <w:t>Großalgen</w:t>
            </w:r>
          </w:p>
        </w:tc>
        <w:tc>
          <w:tcPr>
            <w:tcW w:w="4061" w:type="dxa"/>
            <w:tcBorders>
              <w:top w:val="single" w:sz="6" w:space="0" w:color="000000"/>
              <w:left w:val="single" w:sz="6" w:space="0" w:color="000000"/>
              <w:right w:val="single" w:sz="6" w:space="0" w:color="000000"/>
            </w:tcBorders>
          </w:tcPr>
          <w:p>
            <w:pPr>
              <w:pStyle w:val="GesAbsatz"/>
              <w:rPr>
                <w:rFonts w:cs="Arial"/>
                <w:sz w:val="18"/>
                <w:szCs w:val="18"/>
              </w:rPr>
            </w:pPr>
            <w:r>
              <w:rPr>
                <w:rFonts w:cs="Arial"/>
                <w:sz w:val="18"/>
                <w:szCs w:val="18"/>
              </w:rPr>
              <w:t>Die Zusammensetzung der Großalgentaxa entspricht den Bedingungen bei Abwesenheit störender Einflüsse.</w:t>
            </w:r>
          </w:p>
          <w:p>
            <w:pPr>
              <w:pStyle w:val="GesAbsatz"/>
              <w:rPr>
                <w:rFonts w:cs="Arial"/>
                <w:sz w:val="18"/>
                <w:szCs w:val="18"/>
              </w:rPr>
            </w:pPr>
            <w:r>
              <w:rPr>
                <w:rFonts w:cs="Arial"/>
                <w:sz w:val="18"/>
                <w:szCs w:val="18"/>
              </w:rPr>
              <w:t>Keine erkennbaren Änderungen der Mächtigkeit der Großalgen aufgrund menschlicher Tätigkeiten.</w:t>
            </w:r>
          </w:p>
        </w:tc>
        <w:tc>
          <w:tcPr>
            <w:tcW w:w="4072" w:type="dxa"/>
            <w:tcBorders>
              <w:top w:val="single" w:sz="6" w:space="0" w:color="000000"/>
              <w:left w:val="single" w:sz="6" w:space="0" w:color="000000"/>
              <w:right w:val="single" w:sz="6" w:space="0" w:color="000000"/>
            </w:tcBorders>
          </w:tcPr>
          <w:p>
            <w:pPr>
              <w:pStyle w:val="GesAbsatz"/>
              <w:rPr>
                <w:rFonts w:cs="Arial"/>
                <w:sz w:val="18"/>
                <w:szCs w:val="18"/>
              </w:rPr>
            </w:pPr>
            <w:r>
              <w:rPr>
                <w:rFonts w:cs="Arial"/>
                <w:sz w:val="18"/>
                <w:szCs w:val="18"/>
              </w:rPr>
              <w:t>Die Großalgentaxa weichen in ihrer Zusammensetzung und Abundanz geringfügig von den typspezifischen Gemeinschaften ab. Diese Abweichungen deuten nicht auf ein beschleunigtes Wachstum von Phytobenthos oder höheren Pflanzen hin, das das Gleichgewicht der in dem Gewässer vorhandenen Organismen oder die physikalisch-chemische Qualität des Wassers in unerwünschter Weise stören würde.</w:t>
            </w:r>
          </w:p>
        </w:tc>
        <w:tc>
          <w:tcPr>
            <w:tcW w:w="4200" w:type="dxa"/>
            <w:tcBorders>
              <w:top w:val="single" w:sz="6" w:space="0" w:color="000000"/>
              <w:left w:val="single" w:sz="6" w:space="0" w:color="000000"/>
              <w:right w:val="single" w:sz="6" w:space="0" w:color="000000"/>
            </w:tcBorders>
          </w:tcPr>
          <w:p>
            <w:pPr>
              <w:pStyle w:val="GesAbsatz"/>
              <w:rPr>
                <w:rFonts w:cs="Arial"/>
                <w:sz w:val="18"/>
                <w:szCs w:val="18"/>
              </w:rPr>
            </w:pPr>
            <w:r>
              <w:rPr>
                <w:rFonts w:cs="Arial"/>
                <w:sz w:val="18"/>
                <w:szCs w:val="18"/>
              </w:rPr>
              <w:t>Die Zusammensetzung der Großalgentaxa weicht mäßig von den typspezifischen Bedingungen ab und ist in signifikanter Weise stärker gestört, als dies bei gutem Zustand der Fall ist.</w:t>
            </w:r>
          </w:p>
          <w:p>
            <w:pPr>
              <w:pStyle w:val="GesAbsatz"/>
              <w:rPr>
                <w:rFonts w:cs="Arial"/>
                <w:sz w:val="18"/>
                <w:szCs w:val="18"/>
              </w:rPr>
            </w:pPr>
            <w:r>
              <w:rPr>
                <w:rFonts w:cs="Arial"/>
                <w:sz w:val="18"/>
                <w:szCs w:val="18"/>
              </w:rPr>
              <w:t>Es sind mäßige Änderungen der durchschnittlichen Großalgenabundanz erkennbar, die dazu führen können, dass das Gleichgewicht der in dem Gewässer verbundenen Organismen in unerwünschter Weise gestört wird.</w:t>
            </w:r>
          </w:p>
        </w:tc>
      </w:tr>
      <w:tr>
        <w:trPr>
          <w:trHeight w:val="1703"/>
        </w:trPr>
        <w:tc>
          <w:tcPr>
            <w:tcW w:w="1809" w:type="dxa"/>
            <w:tcBorders>
              <w:top w:val="single" w:sz="6" w:space="0" w:color="000000"/>
              <w:left w:val="single" w:sz="6" w:space="0" w:color="000000"/>
              <w:right w:val="single" w:sz="6" w:space="0" w:color="000000"/>
            </w:tcBorders>
          </w:tcPr>
          <w:p>
            <w:pPr>
              <w:pStyle w:val="GesAbsatz"/>
              <w:rPr>
                <w:rFonts w:cs="Arial"/>
                <w:sz w:val="18"/>
                <w:szCs w:val="18"/>
              </w:rPr>
            </w:pPr>
            <w:r>
              <w:rPr>
                <w:rFonts w:cs="Arial"/>
                <w:sz w:val="18"/>
                <w:szCs w:val="18"/>
              </w:rPr>
              <w:t>Angiospermen</w:t>
            </w:r>
          </w:p>
        </w:tc>
        <w:tc>
          <w:tcPr>
            <w:tcW w:w="4061" w:type="dxa"/>
            <w:tcBorders>
              <w:top w:val="single" w:sz="6" w:space="0" w:color="000000"/>
              <w:left w:val="single" w:sz="6" w:space="0" w:color="000000"/>
              <w:right w:val="single" w:sz="6" w:space="0" w:color="000000"/>
            </w:tcBorders>
          </w:tcPr>
          <w:p>
            <w:pPr>
              <w:pStyle w:val="GesAbsatz"/>
              <w:rPr>
                <w:rFonts w:cs="Arial"/>
                <w:sz w:val="18"/>
                <w:szCs w:val="18"/>
              </w:rPr>
            </w:pPr>
            <w:r>
              <w:rPr>
                <w:rFonts w:cs="Arial"/>
                <w:sz w:val="18"/>
                <w:szCs w:val="18"/>
              </w:rPr>
              <w:t>Die taxonomische Zusammensetzung entspricht vollständig oder nahezu vollständig den Bedingungen bei Abwesenheit störender Einflüsse.</w:t>
            </w:r>
          </w:p>
          <w:p>
            <w:pPr>
              <w:pStyle w:val="GesAbsatz"/>
              <w:rPr>
                <w:rFonts w:cs="Arial"/>
                <w:sz w:val="18"/>
                <w:szCs w:val="18"/>
              </w:rPr>
            </w:pPr>
            <w:r>
              <w:rPr>
                <w:rFonts w:cs="Arial"/>
                <w:sz w:val="18"/>
                <w:szCs w:val="18"/>
              </w:rPr>
              <w:t>Keine erkennbaren Änderungen der Abundanz der Angiospermen aufgrund menschlicher Tätigkeiten.</w:t>
            </w:r>
          </w:p>
        </w:tc>
        <w:tc>
          <w:tcPr>
            <w:tcW w:w="4072" w:type="dxa"/>
            <w:tcBorders>
              <w:top w:val="single" w:sz="6" w:space="0" w:color="000000"/>
              <w:left w:val="single" w:sz="6" w:space="0" w:color="000000"/>
              <w:right w:val="single" w:sz="6" w:space="0" w:color="000000"/>
            </w:tcBorders>
          </w:tcPr>
          <w:p>
            <w:pPr>
              <w:pStyle w:val="GesAbsatz"/>
              <w:rPr>
                <w:rFonts w:cs="Arial"/>
                <w:sz w:val="18"/>
                <w:szCs w:val="18"/>
              </w:rPr>
            </w:pPr>
            <w:r>
              <w:rPr>
                <w:rFonts w:cs="Arial"/>
                <w:sz w:val="18"/>
                <w:szCs w:val="18"/>
              </w:rPr>
              <w:t>Die Angiospermentaxa weichen in ihrer Zusammensetzung geringfügig von den typspezifischen Gemeinschaften ab.</w:t>
            </w:r>
          </w:p>
          <w:p>
            <w:pPr>
              <w:pStyle w:val="GesAbsatz"/>
              <w:rPr>
                <w:rFonts w:cs="Arial"/>
                <w:sz w:val="18"/>
                <w:szCs w:val="18"/>
              </w:rPr>
            </w:pPr>
            <w:r>
              <w:rPr>
                <w:rFonts w:cs="Arial"/>
                <w:sz w:val="18"/>
                <w:szCs w:val="18"/>
              </w:rPr>
              <w:t>Die Abundanz der Angiospermen zeigt geringfügige Anzeichen von Störungen.</w:t>
            </w:r>
          </w:p>
        </w:tc>
        <w:tc>
          <w:tcPr>
            <w:tcW w:w="4200" w:type="dxa"/>
            <w:tcBorders>
              <w:top w:val="single" w:sz="6" w:space="0" w:color="000000"/>
              <w:left w:val="single" w:sz="6" w:space="0" w:color="000000"/>
              <w:right w:val="single" w:sz="6" w:space="0" w:color="000000"/>
            </w:tcBorders>
          </w:tcPr>
          <w:p>
            <w:pPr>
              <w:pStyle w:val="GesAbsatz"/>
              <w:rPr>
                <w:rFonts w:cs="Arial"/>
                <w:sz w:val="18"/>
                <w:szCs w:val="18"/>
              </w:rPr>
            </w:pPr>
            <w:r>
              <w:rPr>
                <w:rFonts w:cs="Arial"/>
                <w:sz w:val="18"/>
                <w:szCs w:val="18"/>
              </w:rPr>
              <w:t>Die Zusammensetzung der Angiospermentaxa weicht mäßig von der der typspezifischen Gemeinschaften ab und ist in signifikanter Weise stärker gestört, als dies bei gutem Zustand der Fall ist.</w:t>
            </w:r>
          </w:p>
          <w:p>
            <w:pPr>
              <w:pStyle w:val="GesAbsatz"/>
              <w:rPr>
                <w:rFonts w:cs="Arial"/>
                <w:sz w:val="18"/>
                <w:szCs w:val="18"/>
              </w:rPr>
            </w:pPr>
            <w:r>
              <w:rPr>
                <w:rFonts w:cs="Arial"/>
                <w:sz w:val="18"/>
                <w:szCs w:val="18"/>
              </w:rPr>
              <w:t>Bei der Abundanz der Angiospermen sind mäßige Störungen festzustellen.</w:t>
            </w:r>
          </w:p>
        </w:tc>
      </w:tr>
      <w:tr>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543"/>
        </w:trPr>
        <w:tc>
          <w:tcPr>
            <w:tcW w:w="1809" w:type="dxa"/>
          </w:tcPr>
          <w:p>
            <w:pPr>
              <w:pStyle w:val="GesAbsatz"/>
              <w:rPr>
                <w:rFonts w:cs="Arial"/>
                <w:sz w:val="18"/>
                <w:szCs w:val="18"/>
              </w:rPr>
            </w:pPr>
            <w:r>
              <w:rPr>
                <w:rFonts w:cs="Arial"/>
                <w:sz w:val="18"/>
                <w:szCs w:val="18"/>
              </w:rPr>
              <w:t>Benthische wirbellose Fauna</w:t>
            </w:r>
          </w:p>
        </w:tc>
        <w:tc>
          <w:tcPr>
            <w:tcW w:w="4061" w:type="dxa"/>
          </w:tcPr>
          <w:p>
            <w:pPr>
              <w:pStyle w:val="GesAbsatz"/>
              <w:rPr>
                <w:rFonts w:cs="Arial"/>
                <w:sz w:val="18"/>
                <w:szCs w:val="18"/>
              </w:rPr>
            </w:pPr>
            <w:r>
              <w:rPr>
                <w:rFonts w:cs="Arial"/>
                <w:sz w:val="18"/>
                <w:szCs w:val="18"/>
              </w:rPr>
              <w:t>Der Grad der Vielfalt und Abundanz der wirbellosen Taxa liegt in dem Bereich, der normalerweise bei Abwesenheit störender Einflüsse festzustellen ist.</w:t>
            </w:r>
          </w:p>
          <w:p>
            <w:pPr>
              <w:pStyle w:val="GesAbsatz"/>
              <w:rPr>
                <w:rFonts w:cs="Arial"/>
                <w:sz w:val="18"/>
                <w:szCs w:val="18"/>
              </w:rPr>
            </w:pPr>
            <w:r>
              <w:rPr>
                <w:rFonts w:cs="Arial"/>
                <w:sz w:val="18"/>
                <w:szCs w:val="18"/>
              </w:rPr>
              <w:lastRenderedPageBreak/>
              <w:t>Alle störungsempfindlichen Taxa, die bei Abwesenheit störender Einflüsse gegeben sind, sind vorhanden.</w:t>
            </w:r>
          </w:p>
        </w:tc>
        <w:tc>
          <w:tcPr>
            <w:tcW w:w="4072" w:type="dxa"/>
          </w:tcPr>
          <w:p>
            <w:pPr>
              <w:pStyle w:val="GesAbsatz"/>
              <w:rPr>
                <w:rFonts w:cs="Arial"/>
                <w:sz w:val="18"/>
                <w:szCs w:val="18"/>
              </w:rPr>
            </w:pPr>
            <w:r>
              <w:rPr>
                <w:rFonts w:cs="Arial"/>
                <w:sz w:val="18"/>
                <w:szCs w:val="18"/>
              </w:rPr>
              <w:lastRenderedPageBreak/>
              <w:t>Der Grad der Vielfalt und der Abundanz der wirbellosen Taxa liegt geringfügig außerhalb des Bereichs, der typspezifischen Bedingungen entspricht.</w:t>
            </w:r>
          </w:p>
          <w:p>
            <w:pPr>
              <w:pStyle w:val="GesAbsatz"/>
              <w:rPr>
                <w:rFonts w:cs="Arial"/>
                <w:sz w:val="18"/>
                <w:szCs w:val="18"/>
              </w:rPr>
            </w:pPr>
            <w:r>
              <w:rPr>
                <w:rFonts w:cs="Arial"/>
                <w:sz w:val="18"/>
                <w:szCs w:val="18"/>
              </w:rPr>
              <w:t>Die meisten empfindlichen Taxa der typspezifischen Gemeinschaften sind vorhanden.</w:t>
            </w:r>
          </w:p>
        </w:tc>
        <w:tc>
          <w:tcPr>
            <w:tcW w:w="4200" w:type="dxa"/>
          </w:tcPr>
          <w:p>
            <w:pPr>
              <w:pStyle w:val="GesAbsatz"/>
              <w:rPr>
                <w:rFonts w:cs="Arial"/>
                <w:sz w:val="18"/>
                <w:szCs w:val="18"/>
              </w:rPr>
            </w:pPr>
            <w:r>
              <w:rPr>
                <w:rFonts w:cs="Arial"/>
                <w:sz w:val="18"/>
                <w:szCs w:val="18"/>
              </w:rPr>
              <w:t>Der Grad der Vielfalt und der Abundanz der wirbellosen Taxa liegt mäßig außerhalb des Bereichs, der typspezifischen Bedingungen entspricht.</w:t>
            </w:r>
          </w:p>
          <w:p>
            <w:pPr>
              <w:pStyle w:val="GesAbsatz"/>
              <w:rPr>
                <w:rFonts w:cs="Arial"/>
                <w:sz w:val="18"/>
                <w:szCs w:val="18"/>
              </w:rPr>
            </w:pPr>
            <w:r>
              <w:rPr>
                <w:rFonts w:cs="Arial"/>
                <w:sz w:val="18"/>
                <w:szCs w:val="18"/>
              </w:rPr>
              <w:t>Es sind Taxa vorhanden, die auf Verschmutzung hindeuten. Viele empfindliche Taxa der typspezifischen Gemeinschaften fehlen.</w:t>
            </w:r>
          </w:p>
        </w:tc>
      </w:tr>
      <w:tr>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182"/>
        </w:trPr>
        <w:tc>
          <w:tcPr>
            <w:tcW w:w="1809" w:type="dxa"/>
          </w:tcPr>
          <w:p>
            <w:pPr>
              <w:pStyle w:val="GesAbsatz"/>
              <w:rPr>
                <w:rFonts w:cs="Arial"/>
                <w:sz w:val="18"/>
                <w:szCs w:val="18"/>
              </w:rPr>
            </w:pPr>
            <w:r>
              <w:rPr>
                <w:rFonts w:cs="Arial"/>
                <w:sz w:val="18"/>
                <w:szCs w:val="18"/>
              </w:rPr>
              <w:t>Fischfauna</w:t>
            </w:r>
          </w:p>
        </w:tc>
        <w:tc>
          <w:tcPr>
            <w:tcW w:w="4061" w:type="dxa"/>
          </w:tcPr>
          <w:p>
            <w:pPr>
              <w:pStyle w:val="GesAbsatz"/>
              <w:rPr>
                <w:rFonts w:cs="Arial"/>
                <w:sz w:val="18"/>
                <w:szCs w:val="18"/>
              </w:rPr>
            </w:pPr>
            <w:r>
              <w:rPr>
                <w:rFonts w:cs="Arial"/>
                <w:sz w:val="18"/>
                <w:szCs w:val="18"/>
              </w:rPr>
              <w:t>Zusammensetzung und Abundanz der Arten entsprechen den Bedingungen bei Abwesenheit störender Einflüsse.</w:t>
            </w:r>
          </w:p>
        </w:tc>
        <w:tc>
          <w:tcPr>
            <w:tcW w:w="4072" w:type="dxa"/>
          </w:tcPr>
          <w:p>
            <w:pPr>
              <w:pStyle w:val="GesAbsatz"/>
              <w:rPr>
                <w:rFonts w:cs="Arial"/>
                <w:sz w:val="18"/>
                <w:szCs w:val="18"/>
              </w:rPr>
            </w:pPr>
            <w:r>
              <w:rPr>
                <w:rFonts w:cs="Arial"/>
                <w:sz w:val="18"/>
                <w:szCs w:val="18"/>
              </w:rPr>
              <w:t>Die Abundanz der störungsempfindlichen Arten zeigt geringfügige Anzeichen für Abweichungen von den typspezifischen Bedingungen aufgrund anthropogener Einflüsse auf die physikalisch-chemischen oder hydromorphologischen Qualitätskomponenten.</w:t>
            </w:r>
          </w:p>
        </w:tc>
        <w:tc>
          <w:tcPr>
            <w:tcW w:w="4200" w:type="dxa"/>
          </w:tcPr>
          <w:p>
            <w:pPr>
              <w:pStyle w:val="GesAbsatz"/>
              <w:rPr>
                <w:rFonts w:cs="Arial"/>
                <w:sz w:val="18"/>
                <w:szCs w:val="18"/>
              </w:rPr>
            </w:pPr>
            <w:r>
              <w:rPr>
                <w:rFonts w:cs="Arial"/>
                <w:sz w:val="18"/>
                <w:szCs w:val="18"/>
              </w:rPr>
              <w:t>Ein mäßiger Teil der typspezifischen störungsempfindlichen Arten fehlt aufgrund anthropogener Einflüsse auf die physikalisch-chemischen oder hydromorphologischen Qualitätskomponenten.</w:t>
            </w:r>
          </w:p>
        </w:tc>
      </w:tr>
    </w:tbl>
    <w:p/>
    <w:p>
      <w:r>
        <w:t>Hydromorphologische Qualitätskomponenten</w:t>
      </w:r>
    </w:p>
    <w:tbl>
      <w:tblPr>
        <w:tblW w:w="14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09"/>
        <w:gridCol w:w="4061"/>
        <w:gridCol w:w="4072"/>
        <w:gridCol w:w="4200"/>
      </w:tblGrid>
      <w:tr>
        <w:trPr>
          <w:trHeight w:val="350"/>
        </w:trPr>
        <w:tc>
          <w:tcPr>
            <w:tcW w:w="1809" w:type="dxa"/>
          </w:tcPr>
          <w:p>
            <w:pPr>
              <w:pStyle w:val="GesAbsatz"/>
              <w:rPr>
                <w:rFonts w:cs="Arial"/>
                <w:sz w:val="18"/>
                <w:szCs w:val="18"/>
              </w:rPr>
            </w:pPr>
            <w:r>
              <w:rPr>
                <w:rFonts w:cs="Arial"/>
                <w:sz w:val="18"/>
                <w:szCs w:val="18"/>
              </w:rPr>
              <w:t xml:space="preserve">Komponente </w:t>
            </w:r>
          </w:p>
        </w:tc>
        <w:tc>
          <w:tcPr>
            <w:tcW w:w="4061" w:type="dxa"/>
          </w:tcPr>
          <w:p>
            <w:pPr>
              <w:pStyle w:val="GesAbsatz"/>
              <w:rPr>
                <w:rFonts w:cs="Arial"/>
                <w:sz w:val="18"/>
                <w:szCs w:val="18"/>
              </w:rPr>
            </w:pPr>
            <w:r>
              <w:rPr>
                <w:rFonts w:cs="Arial"/>
                <w:sz w:val="18"/>
                <w:szCs w:val="18"/>
              </w:rPr>
              <w:t xml:space="preserve">Sehr guter Zustand </w:t>
            </w:r>
          </w:p>
        </w:tc>
        <w:tc>
          <w:tcPr>
            <w:tcW w:w="4072" w:type="dxa"/>
          </w:tcPr>
          <w:p>
            <w:pPr>
              <w:pStyle w:val="GesAbsatz"/>
              <w:rPr>
                <w:rFonts w:cs="Arial"/>
                <w:sz w:val="18"/>
                <w:szCs w:val="18"/>
              </w:rPr>
            </w:pPr>
            <w:r>
              <w:rPr>
                <w:rFonts w:cs="Arial"/>
                <w:sz w:val="18"/>
                <w:szCs w:val="18"/>
              </w:rPr>
              <w:t xml:space="preserve">Guter Zustand </w:t>
            </w:r>
          </w:p>
        </w:tc>
        <w:tc>
          <w:tcPr>
            <w:tcW w:w="4200" w:type="dxa"/>
          </w:tcPr>
          <w:p>
            <w:pPr>
              <w:pStyle w:val="GesAbsatz"/>
              <w:rPr>
                <w:rFonts w:cs="Arial"/>
                <w:sz w:val="18"/>
                <w:szCs w:val="18"/>
              </w:rPr>
            </w:pPr>
            <w:r>
              <w:rPr>
                <w:rFonts w:cs="Arial"/>
                <w:sz w:val="18"/>
                <w:szCs w:val="18"/>
              </w:rPr>
              <w:t xml:space="preserve">Mäßiger Zustand </w:t>
            </w:r>
          </w:p>
        </w:tc>
      </w:tr>
      <w:tr>
        <w:trPr>
          <w:trHeight w:val="621"/>
        </w:trPr>
        <w:tc>
          <w:tcPr>
            <w:tcW w:w="1809" w:type="dxa"/>
          </w:tcPr>
          <w:p>
            <w:pPr>
              <w:pStyle w:val="GesAbsatz"/>
              <w:rPr>
                <w:rFonts w:cs="Arial"/>
                <w:sz w:val="18"/>
                <w:szCs w:val="18"/>
              </w:rPr>
            </w:pPr>
            <w:r>
              <w:rPr>
                <w:rFonts w:cs="Arial"/>
                <w:sz w:val="18"/>
                <w:szCs w:val="18"/>
              </w:rPr>
              <w:t>Gezeiten</w:t>
            </w:r>
          </w:p>
        </w:tc>
        <w:tc>
          <w:tcPr>
            <w:tcW w:w="4061" w:type="dxa"/>
          </w:tcPr>
          <w:p>
            <w:pPr>
              <w:pStyle w:val="GesAbsatz"/>
              <w:rPr>
                <w:rFonts w:cs="Arial"/>
                <w:sz w:val="18"/>
                <w:szCs w:val="18"/>
              </w:rPr>
            </w:pPr>
            <w:r>
              <w:rPr>
                <w:rFonts w:cs="Arial"/>
                <w:sz w:val="18"/>
                <w:szCs w:val="18"/>
              </w:rPr>
              <w:t>Der Süßwasserzustrom entspricht vollständig oder nahezu vollständig den Bedingungen bei Abwesenheit störender Einflüsse.</w:t>
            </w:r>
          </w:p>
        </w:tc>
        <w:tc>
          <w:tcPr>
            <w:tcW w:w="4072" w:type="dxa"/>
          </w:tcPr>
          <w:p>
            <w:pPr>
              <w:pStyle w:val="GesAbsatz"/>
              <w:rPr>
                <w:rFonts w:cs="Arial"/>
                <w:sz w:val="18"/>
                <w:szCs w:val="18"/>
              </w:rPr>
            </w:pPr>
            <w:r>
              <w:rPr>
                <w:rFonts w:cs="Arial"/>
                <w:sz w:val="18"/>
                <w:szCs w:val="18"/>
              </w:rPr>
              <w:t>Bedingungen, unter denen die oben für die biologischen Qualitätskomponenten beschriebenen Werte erreicht werden können.</w:t>
            </w:r>
          </w:p>
        </w:tc>
        <w:tc>
          <w:tcPr>
            <w:tcW w:w="4200" w:type="dxa"/>
          </w:tcPr>
          <w:p>
            <w:pPr>
              <w:pStyle w:val="GesAbsatz"/>
              <w:rPr>
                <w:rFonts w:cs="Arial"/>
                <w:sz w:val="18"/>
                <w:szCs w:val="18"/>
              </w:rPr>
            </w:pPr>
            <w:r>
              <w:rPr>
                <w:rFonts w:cs="Arial"/>
                <w:sz w:val="18"/>
                <w:szCs w:val="18"/>
              </w:rPr>
              <w:t>Bedingungen, unter denen die oben für die biologischen Qualitätskomponenten beschriebenen Werte erreicht werden können.</w:t>
            </w:r>
          </w:p>
        </w:tc>
      </w:tr>
      <w:tr>
        <w:trPr>
          <w:trHeight w:val="1154"/>
        </w:trPr>
        <w:tc>
          <w:tcPr>
            <w:tcW w:w="1809" w:type="dxa"/>
          </w:tcPr>
          <w:p>
            <w:pPr>
              <w:pStyle w:val="GesAbsatz"/>
              <w:rPr>
                <w:rFonts w:cs="Arial"/>
                <w:sz w:val="18"/>
                <w:szCs w:val="18"/>
              </w:rPr>
            </w:pPr>
            <w:r>
              <w:rPr>
                <w:rFonts w:cs="Arial"/>
                <w:sz w:val="18"/>
                <w:szCs w:val="18"/>
              </w:rPr>
              <w:t>Morphologie</w:t>
            </w:r>
          </w:p>
        </w:tc>
        <w:tc>
          <w:tcPr>
            <w:tcW w:w="4061" w:type="dxa"/>
          </w:tcPr>
          <w:p>
            <w:pPr>
              <w:pStyle w:val="GesAbsatz"/>
              <w:rPr>
                <w:rFonts w:cs="Arial"/>
                <w:sz w:val="18"/>
                <w:szCs w:val="18"/>
              </w:rPr>
            </w:pPr>
            <w:r>
              <w:rPr>
                <w:rFonts w:cs="Arial"/>
                <w:sz w:val="18"/>
                <w:szCs w:val="18"/>
              </w:rPr>
              <w:t>Tiefenvariationen, Substratbedingungen sowie Struktur und Bedingungen der Gezeitenzonen entsprechen vollständig oder nahezu vollständig den Bedingungen bei Abwesenheit störender Einflüsse.</w:t>
            </w:r>
          </w:p>
        </w:tc>
        <w:tc>
          <w:tcPr>
            <w:tcW w:w="4072" w:type="dxa"/>
          </w:tcPr>
          <w:p>
            <w:pPr>
              <w:pStyle w:val="GesAbsatz"/>
              <w:rPr>
                <w:rFonts w:cs="Arial"/>
                <w:sz w:val="18"/>
                <w:szCs w:val="18"/>
              </w:rPr>
            </w:pPr>
            <w:r>
              <w:rPr>
                <w:rFonts w:cs="Arial"/>
                <w:sz w:val="18"/>
                <w:szCs w:val="18"/>
              </w:rPr>
              <w:t>Bedingungen, unter denen die oben für die biologischen Qualitätskomponenten beschriebenen Werte erreicht werden können.</w:t>
            </w:r>
          </w:p>
        </w:tc>
        <w:tc>
          <w:tcPr>
            <w:tcW w:w="4200" w:type="dxa"/>
          </w:tcPr>
          <w:p>
            <w:pPr>
              <w:pStyle w:val="GesAbsatz"/>
              <w:rPr>
                <w:rFonts w:cs="Arial"/>
                <w:sz w:val="18"/>
                <w:szCs w:val="18"/>
              </w:rPr>
            </w:pPr>
            <w:r>
              <w:rPr>
                <w:rFonts w:cs="Arial"/>
                <w:sz w:val="18"/>
                <w:szCs w:val="18"/>
              </w:rPr>
              <w:t>Bedingungen, unter denen die oben für die biologischen Qualitätskomponenten beschriebenen Werte erreicht werden können.</w:t>
            </w:r>
          </w:p>
        </w:tc>
      </w:tr>
    </w:tbl>
    <w:p>
      <w:pPr>
        <w:pStyle w:val="GesAbsatz"/>
      </w:pPr>
    </w:p>
    <w:p>
      <w:pPr>
        <w:rPr>
          <w:color w:val="000000"/>
        </w:rPr>
      </w:pPr>
      <w:r>
        <w:br w:type="page"/>
      </w:r>
    </w:p>
    <w:p>
      <w:pPr>
        <w:pStyle w:val="GesAbsatz"/>
        <w:rPr>
          <w:rFonts w:cs="Adve 0661 3w"/>
        </w:rPr>
      </w:pPr>
      <w:r>
        <w:rPr>
          <w:rFonts w:cs="Adve 0661 3w"/>
        </w:rPr>
        <w:lastRenderedPageBreak/>
        <w:t xml:space="preserve">Physikalisch-chemische Qualitätskomponenten </w:t>
      </w:r>
      <w:r>
        <w:rPr>
          <w:rFonts w:cs="Adve 0661 3w"/>
          <w:vertAlign w:val="superscript"/>
        </w:rPr>
        <w:t>1)</w:t>
      </w:r>
    </w:p>
    <w:tbl>
      <w:tblPr>
        <w:tblW w:w="143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95"/>
        <w:gridCol w:w="4180"/>
        <w:gridCol w:w="4178"/>
        <w:gridCol w:w="4180"/>
      </w:tblGrid>
      <w:tr>
        <w:trPr>
          <w:trHeight w:val="365"/>
          <w:tblHeader/>
        </w:trPr>
        <w:tc>
          <w:tcPr>
            <w:tcW w:w="1795" w:type="dxa"/>
          </w:tcPr>
          <w:p>
            <w:pPr>
              <w:pStyle w:val="GesAbsatz"/>
              <w:rPr>
                <w:rFonts w:cs="Arial"/>
                <w:sz w:val="18"/>
                <w:szCs w:val="18"/>
              </w:rPr>
            </w:pPr>
            <w:r>
              <w:rPr>
                <w:rFonts w:cs="Arial"/>
                <w:sz w:val="18"/>
                <w:szCs w:val="18"/>
              </w:rPr>
              <w:t xml:space="preserve">Komponente </w:t>
            </w:r>
          </w:p>
        </w:tc>
        <w:tc>
          <w:tcPr>
            <w:tcW w:w="4180" w:type="dxa"/>
          </w:tcPr>
          <w:p>
            <w:pPr>
              <w:pStyle w:val="GesAbsatz"/>
              <w:rPr>
                <w:rFonts w:cs="Arial"/>
                <w:sz w:val="18"/>
                <w:szCs w:val="18"/>
              </w:rPr>
            </w:pPr>
            <w:r>
              <w:rPr>
                <w:rFonts w:cs="Arial"/>
                <w:sz w:val="18"/>
                <w:szCs w:val="18"/>
              </w:rPr>
              <w:t xml:space="preserve">Sehr guter Zustand </w:t>
            </w:r>
          </w:p>
        </w:tc>
        <w:tc>
          <w:tcPr>
            <w:tcW w:w="4178" w:type="dxa"/>
          </w:tcPr>
          <w:p>
            <w:pPr>
              <w:pStyle w:val="GesAbsatz"/>
              <w:rPr>
                <w:rFonts w:cs="Arial"/>
                <w:sz w:val="18"/>
                <w:szCs w:val="18"/>
              </w:rPr>
            </w:pPr>
            <w:r>
              <w:rPr>
                <w:rFonts w:cs="Arial"/>
                <w:sz w:val="18"/>
                <w:szCs w:val="18"/>
              </w:rPr>
              <w:t xml:space="preserve">Guter Zustand </w:t>
            </w:r>
          </w:p>
        </w:tc>
        <w:tc>
          <w:tcPr>
            <w:tcW w:w="4180" w:type="dxa"/>
          </w:tcPr>
          <w:p>
            <w:pPr>
              <w:pStyle w:val="GesAbsatz"/>
              <w:rPr>
                <w:rFonts w:cs="Arial"/>
                <w:sz w:val="18"/>
                <w:szCs w:val="18"/>
              </w:rPr>
            </w:pPr>
            <w:r>
              <w:rPr>
                <w:rFonts w:cs="Arial"/>
                <w:sz w:val="18"/>
                <w:szCs w:val="18"/>
              </w:rPr>
              <w:t xml:space="preserve">Mäßiger Zustand </w:t>
            </w:r>
          </w:p>
        </w:tc>
      </w:tr>
      <w:tr>
        <w:trPr>
          <w:trHeight w:val="2524"/>
        </w:trPr>
        <w:tc>
          <w:tcPr>
            <w:tcW w:w="1795" w:type="dxa"/>
          </w:tcPr>
          <w:p>
            <w:pPr>
              <w:pStyle w:val="GesAbsatz"/>
              <w:rPr>
                <w:rFonts w:cs="Arial"/>
                <w:sz w:val="18"/>
                <w:szCs w:val="18"/>
              </w:rPr>
            </w:pPr>
            <w:r>
              <w:rPr>
                <w:rFonts w:cs="Arial"/>
                <w:sz w:val="18"/>
                <w:szCs w:val="18"/>
              </w:rPr>
              <w:t xml:space="preserve">Allgemeine Bedingungen </w:t>
            </w:r>
          </w:p>
        </w:tc>
        <w:tc>
          <w:tcPr>
            <w:tcW w:w="4180" w:type="dxa"/>
          </w:tcPr>
          <w:p>
            <w:pPr>
              <w:pStyle w:val="GesAbsatz"/>
              <w:rPr>
                <w:rFonts w:cs="Arial"/>
                <w:sz w:val="18"/>
                <w:szCs w:val="18"/>
              </w:rPr>
            </w:pPr>
            <w:r>
              <w:rPr>
                <w:rFonts w:cs="Arial"/>
                <w:sz w:val="18"/>
                <w:szCs w:val="18"/>
              </w:rPr>
              <w:t>Die physikalisch-chemischen Komponenten entsprechen vollständig oder nahezu vollständig den Werten, die bei Abwesenheit störender Einflüsse zu verzeichnen sind.</w:t>
            </w:r>
          </w:p>
          <w:p>
            <w:pPr>
              <w:pStyle w:val="GesAbsatz"/>
              <w:rPr>
                <w:rFonts w:cs="Arial"/>
                <w:sz w:val="18"/>
                <w:szCs w:val="18"/>
              </w:rPr>
            </w:pPr>
            <w:r>
              <w:rPr>
                <w:rFonts w:cs="Arial"/>
                <w:sz w:val="18"/>
                <w:szCs w:val="18"/>
              </w:rPr>
              <w:t>Die Nährstoffkonzentrationen bleiben in dem Bereich, der normalerweise bei Abwesenheit störender Einflüsse festzustellen ist.</w:t>
            </w:r>
          </w:p>
          <w:p>
            <w:pPr>
              <w:pStyle w:val="GesAbsatz"/>
              <w:rPr>
                <w:rFonts w:cs="Arial"/>
                <w:sz w:val="18"/>
                <w:szCs w:val="18"/>
              </w:rPr>
            </w:pPr>
            <w:r>
              <w:rPr>
                <w:rFonts w:cs="Arial"/>
                <w:sz w:val="18"/>
                <w:szCs w:val="18"/>
              </w:rPr>
              <w:t>Temperatur, Sauerstoffbilanz und Sichttiefe zeigen keine Anzeichen anthropogener Störungen und bleiben in dem Bereich, der normalerweise bei Abwesenheit störender Einflüsse festzustellen ist.</w:t>
            </w:r>
          </w:p>
        </w:tc>
        <w:tc>
          <w:tcPr>
            <w:tcW w:w="4178" w:type="dxa"/>
          </w:tcPr>
          <w:p>
            <w:pPr>
              <w:pStyle w:val="GesAbsatz"/>
              <w:rPr>
                <w:rFonts w:cs="Arial"/>
                <w:sz w:val="18"/>
                <w:szCs w:val="18"/>
              </w:rPr>
            </w:pPr>
            <w:r>
              <w:rPr>
                <w:rFonts w:cs="Arial"/>
                <w:sz w:val="18"/>
                <w:szCs w:val="18"/>
              </w:rPr>
              <w:t>Die Werte für die Temperatur, den Sauerstoffhaushalt und die Sichttiefe gehen nicht über den Bereich hinaus, innerhalb dessen die Funktionsfähigkeit des Ökosystems und die Einhaltung der oben beschriebenen Werte für die biologischen Qualitätskomponenten gewährleistet sind.</w:t>
            </w:r>
          </w:p>
          <w:p>
            <w:pPr>
              <w:pStyle w:val="GesAbsatz"/>
              <w:rPr>
                <w:rFonts w:cs="Arial"/>
                <w:sz w:val="18"/>
                <w:szCs w:val="18"/>
              </w:rPr>
            </w:pPr>
            <w:r>
              <w:rPr>
                <w:rFonts w:cs="Arial"/>
                <w:sz w:val="18"/>
                <w:szCs w:val="18"/>
              </w:rPr>
              <w:t>Die Nährstoffkonzentrationen liegen nicht über den Werten, bei denen die Funktionsfähigkeit des Ökosystems und die Einhaltung der oben beschriebenen Werte für die biologischen Qualitätskomponenten gewährleistet sind.</w:t>
            </w:r>
          </w:p>
        </w:tc>
        <w:tc>
          <w:tcPr>
            <w:tcW w:w="4180" w:type="dxa"/>
          </w:tcPr>
          <w:p>
            <w:pPr>
              <w:pStyle w:val="GesAbsatz"/>
              <w:rPr>
                <w:rFonts w:cs="Arial"/>
                <w:sz w:val="18"/>
                <w:szCs w:val="18"/>
              </w:rPr>
            </w:pPr>
            <w:r>
              <w:rPr>
                <w:rFonts w:cs="Arial"/>
                <w:sz w:val="18"/>
                <w:szCs w:val="18"/>
              </w:rPr>
              <w:t>Bedingungen, unter denen die oben für die biologischen Qualitätskomponenten beschriebenen Werte erreicht werden können.</w:t>
            </w:r>
          </w:p>
        </w:tc>
      </w:tr>
      <w:tr>
        <w:trPr>
          <w:trHeight w:val="1184"/>
        </w:trPr>
        <w:tc>
          <w:tcPr>
            <w:tcW w:w="1795" w:type="dxa"/>
          </w:tcPr>
          <w:p>
            <w:pPr>
              <w:pStyle w:val="GesAbsatz"/>
              <w:rPr>
                <w:rFonts w:cs="Arial"/>
                <w:sz w:val="18"/>
                <w:szCs w:val="18"/>
              </w:rPr>
            </w:pPr>
            <w:r>
              <w:rPr>
                <w:rFonts w:cs="Arial"/>
                <w:sz w:val="18"/>
                <w:szCs w:val="18"/>
              </w:rPr>
              <w:t>Spezifische synthetische Schadstoffe</w:t>
            </w:r>
          </w:p>
        </w:tc>
        <w:tc>
          <w:tcPr>
            <w:tcW w:w="4180" w:type="dxa"/>
          </w:tcPr>
          <w:p>
            <w:pPr>
              <w:pStyle w:val="GesAbsatz"/>
              <w:rPr>
                <w:rFonts w:cs="Arial"/>
                <w:sz w:val="18"/>
                <w:szCs w:val="18"/>
              </w:rPr>
            </w:pPr>
            <w:r>
              <w:rPr>
                <w:rFonts w:cs="Arial"/>
                <w:sz w:val="18"/>
                <w:szCs w:val="18"/>
              </w:rPr>
              <w:t>Konzentrationen nahe Null oder zumindest unter der Nachweisgrenze der allgemein gebräuchlichen fortgeschrittensten Analysetechniken.</w:t>
            </w:r>
          </w:p>
        </w:tc>
        <w:tc>
          <w:tcPr>
            <w:tcW w:w="4178" w:type="dxa"/>
          </w:tcPr>
          <w:p>
            <w:pPr>
              <w:pStyle w:val="GesAbsatz"/>
              <w:rPr>
                <w:rFonts w:cs="Arial"/>
                <w:sz w:val="18"/>
                <w:szCs w:val="18"/>
              </w:rPr>
            </w:pPr>
            <w:r>
              <w:rPr>
                <w:rFonts w:cs="Arial"/>
                <w:sz w:val="18"/>
                <w:szCs w:val="18"/>
              </w:rPr>
              <w:t>Konzentrationen nicht höher als die Umweltqualitätsnormen, die nach dem Verfahren gemäß Randnummer 1.2.6 festgelegt werden, unbeschadet der Richtlinie 91/414/ EWG und der Richtlinie 98/8/EG (&lt; eqs).</w:t>
            </w:r>
          </w:p>
        </w:tc>
        <w:tc>
          <w:tcPr>
            <w:tcW w:w="4180" w:type="dxa"/>
          </w:tcPr>
          <w:p>
            <w:pPr>
              <w:pStyle w:val="GesAbsatz"/>
              <w:rPr>
                <w:rFonts w:cs="Arial"/>
                <w:sz w:val="18"/>
                <w:szCs w:val="18"/>
              </w:rPr>
            </w:pPr>
            <w:r>
              <w:rPr>
                <w:rFonts w:cs="Arial"/>
                <w:sz w:val="18"/>
                <w:szCs w:val="18"/>
              </w:rPr>
              <w:t>Bedingungen, unter denen die oben für die biologischen Qualitätskomponenten beschriebenen Werte erreicht werden können.</w:t>
            </w:r>
          </w:p>
        </w:tc>
      </w:tr>
      <w:tr>
        <w:trPr>
          <w:trHeight w:val="993"/>
        </w:trPr>
        <w:tc>
          <w:tcPr>
            <w:tcW w:w="1795" w:type="dxa"/>
          </w:tcPr>
          <w:p>
            <w:pPr>
              <w:pStyle w:val="GesAbsatz"/>
              <w:rPr>
                <w:rFonts w:cs="Arial"/>
                <w:sz w:val="18"/>
                <w:szCs w:val="18"/>
              </w:rPr>
            </w:pPr>
            <w:r>
              <w:rPr>
                <w:rFonts w:cs="Arial"/>
                <w:sz w:val="18"/>
                <w:szCs w:val="18"/>
              </w:rPr>
              <w:t>Spezifische nichtsynthetische Schadstoffe</w:t>
            </w:r>
          </w:p>
        </w:tc>
        <w:tc>
          <w:tcPr>
            <w:tcW w:w="4180" w:type="dxa"/>
          </w:tcPr>
          <w:p>
            <w:pPr>
              <w:pStyle w:val="GesAbsatz"/>
              <w:rPr>
                <w:rFonts w:cs="Arial"/>
                <w:sz w:val="18"/>
                <w:szCs w:val="18"/>
              </w:rPr>
            </w:pPr>
            <w:r>
              <w:rPr>
                <w:rFonts w:cs="Arial"/>
                <w:sz w:val="18"/>
                <w:szCs w:val="18"/>
              </w:rPr>
              <w:t>Die Konzentrationen bleiben in dem Bereich, der normalerweise bei Abwesenheit störender Einflüsse festzustellen ist (Hintergrundwerte = bgl).</w:t>
            </w:r>
          </w:p>
        </w:tc>
        <w:tc>
          <w:tcPr>
            <w:tcW w:w="4178" w:type="dxa"/>
          </w:tcPr>
          <w:p>
            <w:pPr>
              <w:pStyle w:val="GesAbsatz"/>
              <w:rPr>
                <w:rFonts w:cs="Arial"/>
                <w:sz w:val="18"/>
                <w:szCs w:val="18"/>
              </w:rPr>
            </w:pPr>
            <w:r>
              <w:rPr>
                <w:rFonts w:cs="Arial"/>
                <w:sz w:val="18"/>
                <w:szCs w:val="18"/>
              </w:rPr>
              <w:t xml:space="preserve">Konzentrationen nicht höher als die Umweltqualitätsnormen, die nach dem Verfahren gemäß Randnummer 1.2.6 festgelegt werden </w:t>
            </w:r>
            <w:r>
              <w:rPr>
                <w:rFonts w:cs="Arial"/>
                <w:sz w:val="18"/>
                <w:szCs w:val="18"/>
                <w:vertAlign w:val="superscript"/>
              </w:rPr>
              <w:t>2)</w:t>
            </w:r>
            <w:r>
              <w:rPr>
                <w:rFonts w:cs="Arial"/>
                <w:sz w:val="18"/>
                <w:szCs w:val="18"/>
              </w:rPr>
              <w:t>, unbeschadet der Richtlinie 91/414/EWG und der Richtlinie 98/8/EG (&lt; eqs).</w:t>
            </w:r>
          </w:p>
        </w:tc>
        <w:tc>
          <w:tcPr>
            <w:tcW w:w="4180" w:type="dxa"/>
          </w:tcPr>
          <w:p>
            <w:pPr>
              <w:pStyle w:val="GesAbsatz"/>
              <w:rPr>
                <w:rFonts w:cs="Arial"/>
                <w:sz w:val="18"/>
                <w:szCs w:val="18"/>
              </w:rPr>
            </w:pPr>
            <w:r>
              <w:rPr>
                <w:rFonts w:cs="Arial"/>
                <w:sz w:val="18"/>
                <w:szCs w:val="18"/>
              </w:rPr>
              <w:t xml:space="preserve">Bedingungen, unter denen die oben für die biologischen Qualitätskomponenten beschriebenen Werte erreicht werden können. </w:t>
            </w:r>
          </w:p>
        </w:tc>
      </w:tr>
      <w:tr>
        <w:trPr>
          <w:trHeight w:val="835"/>
        </w:trPr>
        <w:tc>
          <w:tcPr>
            <w:tcW w:w="14333" w:type="dxa"/>
            <w:gridSpan w:val="4"/>
          </w:tcPr>
          <w:p>
            <w:pPr>
              <w:pStyle w:val="GesAbsatz"/>
              <w:rPr>
                <w:sz w:val="18"/>
                <w:szCs w:val="18"/>
              </w:rPr>
            </w:pPr>
            <w:r>
              <w:rPr>
                <w:sz w:val="18"/>
                <w:szCs w:val="18"/>
                <w:vertAlign w:val="superscript"/>
              </w:rPr>
              <w:t>1)</w:t>
            </w:r>
            <w:r>
              <w:rPr>
                <w:sz w:val="18"/>
                <w:szCs w:val="18"/>
              </w:rPr>
              <w:t xml:space="preserve"> Es werden folgende Abkürzungen verwendet: bgl = Hintergrundwert; eqs = Umweltqualitätsstandard</w:t>
            </w:r>
          </w:p>
          <w:p>
            <w:pPr>
              <w:pStyle w:val="GesAbsatz"/>
              <w:rPr>
                <w:rFonts w:cs="Arial"/>
                <w:sz w:val="18"/>
                <w:szCs w:val="18"/>
              </w:rPr>
            </w:pPr>
            <w:r>
              <w:rPr>
                <w:sz w:val="18"/>
                <w:szCs w:val="18"/>
                <w:vertAlign w:val="superscript"/>
              </w:rPr>
              <w:t>2)</w:t>
            </w:r>
            <w:r>
              <w:rPr>
                <w:sz w:val="18"/>
                <w:szCs w:val="18"/>
              </w:rPr>
              <w:t xml:space="preserve"> Die Anwendung der Umweltqualitätsnormen, die sich aus diesem Protokoll ergeben, bedeutet nicht, dass die Schadstoffkonzentrationen so weit verringert werden müssen, dass sie unter den Hintergrundwerten liegen.</w:t>
            </w:r>
          </w:p>
        </w:tc>
      </w:tr>
    </w:tbl>
    <w:p>
      <w:pPr>
        <w:pStyle w:val="GesAbsatz"/>
      </w:pPr>
    </w:p>
    <w:p>
      <w:pPr>
        <w:rPr>
          <w:color w:val="000000"/>
        </w:rPr>
      </w:pPr>
      <w:r>
        <w:br w:type="page"/>
      </w:r>
    </w:p>
    <w:p>
      <w:pPr>
        <w:pStyle w:val="GesAbsatz"/>
        <w:rPr>
          <w:rFonts w:cs="Adve 0661 3w"/>
        </w:rPr>
      </w:pPr>
      <w:r>
        <w:rPr>
          <w:rFonts w:cs="Adve 0661 3w"/>
        </w:rPr>
        <w:lastRenderedPageBreak/>
        <w:t>1.2.4 Begriffsbestimmungen für den sehr guten, guten und mäßigen ökologischen Zustand von Küstengewässern</w:t>
      </w:r>
    </w:p>
    <w:p>
      <w:pPr>
        <w:pStyle w:val="GesAbsatz"/>
        <w:rPr>
          <w:rFonts w:cs="Adve 0661 3w"/>
        </w:rPr>
      </w:pPr>
      <w:r>
        <w:rPr>
          <w:rFonts w:cs="Adve 0661 3w"/>
        </w:rPr>
        <w:t>Biologische Qualitätskomponenten</w:t>
      </w:r>
    </w:p>
    <w:tbl>
      <w:tblPr>
        <w:tblW w:w="143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48"/>
        <w:gridCol w:w="4495"/>
        <w:gridCol w:w="11"/>
        <w:gridCol w:w="4126"/>
        <w:gridCol w:w="3955"/>
      </w:tblGrid>
      <w:tr>
        <w:trPr>
          <w:trHeight w:val="348"/>
          <w:tblHeader/>
        </w:trPr>
        <w:tc>
          <w:tcPr>
            <w:tcW w:w="1748" w:type="dxa"/>
          </w:tcPr>
          <w:p>
            <w:pPr>
              <w:pStyle w:val="GesAbsatz"/>
              <w:jc w:val="left"/>
              <w:rPr>
                <w:rFonts w:cs="Arial"/>
                <w:sz w:val="18"/>
                <w:szCs w:val="18"/>
              </w:rPr>
            </w:pPr>
            <w:r>
              <w:rPr>
                <w:rFonts w:cs="Arial"/>
                <w:sz w:val="18"/>
                <w:szCs w:val="18"/>
              </w:rPr>
              <w:t xml:space="preserve">Komponente </w:t>
            </w:r>
          </w:p>
        </w:tc>
        <w:tc>
          <w:tcPr>
            <w:tcW w:w="4506" w:type="dxa"/>
            <w:gridSpan w:val="2"/>
          </w:tcPr>
          <w:p>
            <w:pPr>
              <w:pStyle w:val="GesAbsatz"/>
              <w:jc w:val="left"/>
              <w:rPr>
                <w:rFonts w:cs="Arial"/>
                <w:sz w:val="18"/>
                <w:szCs w:val="18"/>
              </w:rPr>
            </w:pPr>
            <w:r>
              <w:rPr>
                <w:rFonts w:cs="Arial"/>
                <w:sz w:val="18"/>
                <w:szCs w:val="18"/>
              </w:rPr>
              <w:t xml:space="preserve">Sehr guter Zustand </w:t>
            </w:r>
          </w:p>
        </w:tc>
        <w:tc>
          <w:tcPr>
            <w:tcW w:w="4126" w:type="dxa"/>
          </w:tcPr>
          <w:p>
            <w:pPr>
              <w:pStyle w:val="GesAbsatz"/>
              <w:jc w:val="left"/>
              <w:rPr>
                <w:rFonts w:cs="Arial"/>
                <w:sz w:val="18"/>
                <w:szCs w:val="18"/>
              </w:rPr>
            </w:pPr>
            <w:r>
              <w:rPr>
                <w:rFonts w:cs="Arial"/>
                <w:sz w:val="18"/>
                <w:szCs w:val="18"/>
              </w:rPr>
              <w:t xml:space="preserve">Guter Zustand </w:t>
            </w:r>
          </w:p>
        </w:tc>
        <w:tc>
          <w:tcPr>
            <w:tcW w:w="3955" w:type="dxa"/>
          </w:tcPr>
          <w:p>
            <w:pPr>
              <w:pStyle w:val="GesAbsatz"/>
              <w:jc w:val="left"/>
              <w:rPr>
                <w:rFonts w:cs="Arial"/>
                <w:sz w:val="18"/>
                <w:szCs w:val="18"/>
              </w:rPr>
            </w:pPr>
            <w:r>
              <w:rPr>
                <w:rFonts w:cs="Arial"/>
                <w:sz w:val="18"/>
                <w:szCs w:val="18"/>
              </w:rPr>
              <w:t xml:space="preserve">Mäßiger Zustand </w:t>
            </w:r>
          </w:p>
        </w:tc>
      </w:tr>
      <w:tr>
        <w:trPr>
          <w:trHeight w:val="2811"/>
        </w:trPr>
        <w:tc>
          <w:tcPr>
            <w:tcW w:w="1748" w:type="dxa"/>
          </w:tcPr>
          <w:p>
            <w:pPr>
              <w:pStyle w:val="GesAbsatz"/>
              <w:jc w:val="left"/>
              <w:rPr>
                <w:rFonts w:cs="Arial"/>
                <w:sz w:val="18"/>
                <w:szCs w:val="18"/>
              </w:rPr>
            </w:pPr>
            <w:r>
              <w:rPr>
                <w:rFonts w:cs="Arial"/>
                <w:sz w:val="18"/>
                <w:szCs w:val="18"/>
              </w:rPr>
              <w:t xml:space="preserve">Phytoplankton </w:t>
            </w:r>
          </w:p>
        </w:tc>
        <w:tc>
          <w:tcPr>
            <w:tcW w:w="4495" w:type="dxa"/>
          </w:tcPr>
          <w:p>
            <w:pPr>
              <w:pStyle w:val="GesAbsatz"/>
              <w:jc w:val="left"/>
              <w:rPr>
                <w:rFonts w:cs="Arial"/>
                <w:sz w:val="18"/>
                <w:szCs w:val="18"/>
              </w:rPr>
            </w:pPr>
            <w:r>
              <w:rPr>
                <w:rFonts w:cs="Arial"/>
                <w:sz w:val="18"/>
                <w:szCs w:val="18"/>
              </w:rPr>
              <w:t>Zusammensetzung und Abundanz des Phytoplanktons entsprechen den Bedingungen bei Abwesenheit störender Einflüsse.</w:t>
            </w:r>
          </w:p>
          <w:p>
            <w:pPr>
              <w:pStyle w:val="GesAbsatz"/>
              <w:jc w:val="left"/>
              <w:rPr>
                <w:rFonts w:cs="Arial"/>
                <w:sz w:val="18"/>
                <w:szCs w:val="18"/>
              </w:rPr>
            </w:pPr>
            <w:r>
              <w:rPr>
                <w:rFonts w:cs="Arial"/>
                <w:sz w:val="18"/>
                <w:szCs w:val="18"/>
              </w:rPr>
              <w:t>Die durchschnittliche Biomasse des Phytoplanktons entspricht den typspezifischen physikalisch-chemischen Bedingungen und ist nicht so beschaffen, dass dadurch die typspezifischen Transparenzbedingungen signifikant verändert werden.</w:t>
            </w:r>
          </w:p>
          <w:p>
            <w:pPr>
              <w:pStyle w:val="GesAbsatz"/>
              <w:jc w:val="left"/>
              <w:rPr>
                <w:rFonts w:cs="Arial"/>
                <w:sz w:val="18"/>
                <w:szCs w:val="18"/>
              </w:rPr>
            </w:pPr>
            <w:r>
              <w:rPr>
                <w:rFonts w:cs="Arial"/>
                <w:sz w:val="18"/>
                <w:szCs w:val="18"/>
              </w:rPr>
              <w:t>Planktonblüten treten mit einer Häufigkeit und Intensität auf, die den typspezifischen physikalisch-chemischen Bedingungen entspricht.</w:t>
            </w:r>
          </w:p>
        </w:tc>
        <w:tc>
          <w:tcPr>
            <w:tcW w:w="4137" w:type="dxa"/>
            <w:gridSpan w:val="2"/>
          </w:tcPr>
          <w:p>
            <w:pPr>
              <w:pStyle w:val="GesAbsatz"/>
              <w:jc w:val="left"/>
              <w:rPr>
                <w:rFonts w:cs="Arial"/>
                <w:sz w:val="18"/>
                <w:szCs w:val="18"/>
              </w:rPr>
            </w:pPr>
            <w:r>
              <w:rPr>
                <w:rFonts w:cs="Arial"/>
                <w:sz w:val="18"/>
                <w:szCs w:val="18"/>
              </w:rPr>
              <w:t>Zusammensetzung und Abundanz der phytoplanktonischen Taxa zeigen geringfügige Störungsanzeichen.</w:t>
            </w:r>
          </w:p>
          <w:p>
            <w:pPr>
              <w:pStyle w:val="GesAbsatz"/>
              <w:jc w:val="left"/>
              <w:rPr>
                <w:rFonts w:cs="Arial"/>
                <w:sz w:val="18"/>
                <w:szCs w:val="18"/>
              </w:rPr>
            </w:pPr>
            <w:r>
              <w:rPr>
                <w:rFonts w:cs="Arial"/>
                <w:sz w:val="18"/>
                <w:szCs w:val="18"/>
              </w:rPr>
              <w:t>Die Biomasse weicht geringfügig von den typspezifischen Bedingungen ab. Diese Abweichungen deuten nicht auf ein beschleunigtes Wachstum von Algen hin, das das Gleichgewicht der in dem Gewässer vorhandenen Organismen oder die physikalisch-chemische Qualität des Wassers in unerwünschter Weise stören würde.</w:t>
            </w:r>
          </w:p>
          <w:p>
            <w:pPr>
              <w:pStyle w:val="GesAbsatz"/>
              <w:jc w:val="left"/>
              <w:rPr>
                <w:rFonts w:cs="Arial"/>
                <w:sz w:val="18"/>
                <w:szCs w:val="18"/>
              </w:rPr>
            </w:pPr>
            <w:r>
              <w:rPr>
                <w:rFonts w:cs="Arial"/>
                <w:sz w:val="18"/>
                <w:szCs w:val="18"/>
              </w:rPr>
              <w:t>Es kann zu einem leichten Anstieg der Häufigkeit und Intensität der typspezifischen Planktonblüten kommen.</w:t>
            </w:r>
          </w:p>
        </w:tc>
        <w:tc>
          <w:tcPr>
            <w:tcW w:w="3955" w:type="dxa"/>
          </w:tcPr>
          <w:p>
            <w:pPr>
              <w:pStyle w:val="GesAbsatz"/>
              <w:jc w:val="left"/>
              <w:rPr>
                <w:rFonts w:cs="Arial"/>
                <w:sz w:val="18"/>
                <w:szCs w:val="18"/>
              </w:rPr>
            </w:pPr>
            <w:r>
              <w:rPr>
                <w:rFonts w:cs="Arial"/>
                <w:sz w:val="18"/>
                <w:szCs w:val="18"/>
              </w:rPr>
              <w:t>Zusammensetzung und Abundanz der planktonischen Taxa zeigen Anzeichen für mäßige Störungen.</w:t>
            </w:r>
          </w:p>
          <w:p>
            <w:pPr>
              <w:pStyle w:val="GesAbsatz"/>
              <w:jc w:val="left"/>
              <w:rPr>
                <w:rFonts w:cs="Arial"/>
                <w:sz w:val="18"/>
                <w:szCs w:val="18"/>
              </w:rPr>
            </w:pPr>
            <w:r>
              <w:rPr>
                <w:rFonts w:cs="Arial"/>
                <w:sz w:val="18"/>
                <w:szCs w:val="18"/>
              </w:rPr>
              <w:t>Die Algenbiomasse liegt deutlich außerhalb des Bereichs, der typspezifischen Bedingungen entspricht, was Auswirkungen auf die anderen biologischen Qualitätskomponenten hat.</w:t>
            </w:r>
          </w:p>
          <w:p>
            <w:pPr>
              <w:pStyle w:val="GesAbsatz"/>
              <w:jc w:val="left"/>
              <w:rPr>
                <w:rFonts w:cs="Arial"/>
                <w:sz w:val="18"/>
                <w:szCs w:val="18"/>
              </w:rPr>
            </w:pPr>
            <w:r>
              <w:rPr>
                <w:rFonts w:cs="Arial"/>
                <w:sz w:val="18"/>
                <w:szCs w:val="18"/>
              </w:rPr>
              <w:t>Es kann zu einem mäßigen Anstieg der Häufigkeit und Intensität der Planktonblüten kommen. In den Sommermonaten können anhaltende Blüten auftreten.</w:t>
            </w:r>
          </w:p>
        </w:tc>
      </w:tr>
      <w:tr>
        <w:trPr>
          <w:trHeight w:val="2130"/>
        </w:trPr>
        <w:tc>
          <w:tcPr>
            <w:tcW w:w="1748" w:type="dxa"/>
          </w:tcPr>
          <w:p>
            <w:pPr>
              <w:pStyle w:val="GesAbsatz"/>
              <w:jc w:val="left"/>
              <w:rPr>
                <w:rFonts w:cs="Arial"/>
                <w:sz w:val="18"/>
                <w:szCs w:val="18"/>
              </w:rPr>
            </w:pPr>
            <w:r>
              <w:rPr>
                <w:rFonts w:cs="Arial"/>
                <w:sz w:val="18"/>
                <w:szCs w:val="18"/>
              </w:rPr>
              <w:t xml:space="preserve">Großalgen und Angiospermen </w:t>
            </w:r>
          </w:p>
        </w:tc>
        <w:tc>
          <w:tcPr>
            <w:tcW w:w="4495" w:type="dxa"/>
          </w:tcPr>
          <w:p>
            <w:pPr>
              <w:pStyle w:val="GesAbsatz"/>
              <w:jc w:val="left"/>
              <w:rPr>
                <w:rFonts w:cs="Arial"/>
                <w:sz w:val="18"/>
                <w:szCs w:val="18"/>
              </w:rPr>
            </w:pPr>
            <w:r>
              <w:rPr>
                <w:rFonts w:cs="Arial"/>
                <w:sz w:val="18"/>
                <w:szCs w:val="18"/>
              </w:rPr>
              <w:t>Alle störungsempfindlichen Großalgen- und Angiospermentaxa, die bei Abwesenheit störender Einflüsse vorzufinden sind, sind vorhanden.</w:t>
            </w:r>
          </w:p>
          <w:p>
            <w:pPr>
              <w:pStyle w:val="GesAbsatz"/>
              <w:jc w:val="left"/>
              <w:rPr>
                <w:rFonts w:cs="Arial"/>
                <w:sz w:val="18"/>
                <w:szCs w:val="18"/>
              </w:rPr>
            </w:pPr>
            <w:r>
              <w:rPr>
                <w:rFonts w:cs="Arial"/>
                <w:sz w:val="18"/>
                <w:szCs w:val="18"/>
              </w:rPr>
              <w:t>Die Werte für die Großalgenmächtigkeit und für die Abundanz der Angiospermen entsprechen den Bedingungen bei Abwesenheit störender Einflüsse.</w:t>
            </w:r>
          </w:p>
        </w:tc>
        <w:tc>
          <w:tcPr>
            <w:tcW w:w="4137" w:type="dxa"/>
            <w:gridSpan w:val="2"/>
          </w:tcPr>
          <w:p>
            <w:pPr>
              <w:pStyle w:val="GesAbsatz"/>
              <w:jc w:val="left"/>
              <w:rPr>
                <w:rFonts w:cs="Arial"/>
                <w:sz w:val="18"/>
                <w:szCs w:val="18"/>
              </w:rPr>
            </w:pPr>
            <w:r>
              <w:rPr>
                <w:rFonts w:cs="Arial"/>
                <w:sz w:val="18"/>
                <w:szCs w:val="18"/>
              </w:rPr>
              <w:t>Die meisten störungsempfindlichen Großalgen- und Angiospermentaxa, die bei Abwesenheit störender Einflüsse vorzufinden sind, sind vorhanden.</w:t>
            </w:r>
          </w:p>
          <w:p>
            <w:pPr>
              <w:pStyle w:val="GesAbsatz"/>
              <w:jc w:val="left"/>
              <w:rPr>
                <w:rFonts w:cs="Arial"/>
                <w:sz w:val="18"/>
                <w:szCs w:val="18"/>
              </w:rPr>
            </w:pPr>
            <w:r>
              <w:rPr>
                <w:rFonts w:cs="Arial"/>
                <w:sz w:val="18"/>
                <w:szCs w:val="18"/>
              </w:rPr>
              <w:t>Die Werte für die Großalgenmächtigkeit und für die Abundanz der Angiospermen zeigen Störungsanzeichen.</w:t>
            </w:r>
          </w:p>
        </w:tc>
        <w:tc>
          <w:tcPr>
            <w:tcW w:w="3955" w:type="dxa"/>
          </w:tcPr>
          <w:p>
            <w:pPr>
              <w:pStyle w:val="GesAbsatz"/>
              <w:jc w:val="left"/>
              <w:rPr>
                <w:rFonts w:cs="Arial"/>
                <w:sz w:val="18"/>
                <w:szCs w:val="18"/>
              </w:rPr>
            </w:pPr>
            <w:r>
              <w:rPr>
                <w:rFonts w:cs="Arial"/>
                <w:sz w:val="18"/>
                <w:szCs w:val="18"/>
              </w:rPr>
              <w:t>Es fehlt eine mäßige Zahl störungsempfindlicher Großalgen- und Angiospermentaxa, die bei Abwesenheit störender Einflüsse vorzufinden sind.</w:t>
            </w:r>
          </w:p>
          <w:p>
            <w:pPr>
              <w:pStyle w:val="GesAbsatz"/>
              <w:jc w:val="left"/>
              <w:rPr>
                <w:rFonts w:cs="Arial"/>
                <w:sz w:val="18"/>
                <w:szCs w:val="18"/>
              </w:rPr>
            </w:pPr>
            <w:r>
              <w:rPr>
                <w:rFonts w:cs="Arial"/>
                <w:sz w:val="18"/>
                <w:szCs w:val="18"/>
              </w:rPr>
              <w:t>Die Mächtigkeit der Großalgen und die Abundanz der Angiospermen sind mäßig gestört, was dazu führen kann, dass das Gleichgewicht der in dem Gewässer vorhandenen Organismen in unerwünschter Weise gestört wird.</w:t>
            </w:r>
          </w:p>
        </w:tc>
      </w:tr>
      <w:tr>
        <w:trPr>
          <w:trHeight w:val="1709"/>
        </w:trPr>
        <w:tc>
          <w:tcPr>
            <w:tcW w:w="1748" w:type="dxa"/>
          </w:tcPr>
          <w:p>
            <w:pPr>
              <w:pStyle w:val="GesAbsatz"/>
              <w:jc w:val="left"/>
              <w:rPr>
                <w:rFonts w:cs="Arial"/>
                <w:sz w:val="18"/>
                <w:szCs w:val="18"/>
              </w:rPr>
            </w:pPr>
            <w:r>
              <w:rPr>
                <w:rFonts w:cs="Arial"/>
                <w:sz w:val="18"/>
                <w:szCs w:val="18"/>
              </w:rPr>
              <w:t>Benthische wirbellose Fauna</w:t>
            </w:r>
          </w:p>
        </w:tc>
        <w:tc>
          <w:tcPr>
            <w:tcW w:w="4495" w:type="dxa"/>
          </w:tcPr>
          <w:p>
            <w:pPr>
              <w:pStyle w:val="GesAbsatz"/>
              <w:jc w:val="left"/>
              <w:rPr>
                <w:rFonts w:cs="Arial"/>
                <w:sz w:val="18"/>
                <w:szCs w:val="18"/>
              </w:rPr>
            </w:pPr>
            <w:r>
              <w:rPr>
                <w:rFonts w:cs="Arial"/>
                <w:sz w:val="18"/>
                <w:szCs w:val="18"/>
              </w:rPr>
              <w:t xml:space="preserve">Der Grad der Vielfalt und Abundanz der wirbellosen Taxa liegt in dem Bereich, der normalerweise bei Abwesenheit störender Einflüsse festzustellen ist. </w:t>
            </w:r>
          </w:p>
          <w:p>
            <w:pPr>
              <w:pStyle w:val="GesAbsatz"/>
              <w:jc w:val="left"/>
              <w:rPr>
                <w:rFonts w:cs="Arial"/>
                <w:sz w:val="18"/>
                <w:szCs w:val="18"/>
              </w:rPr>
            </w:pPr>
            <w:r>
              <w:rPr>
                <w:rFonts w:cs="Arial"/>
                <w:sz w:val="18"/>
                <w:szCs w:val="18"/>
              </w:rPr>
              <w:t>Alle störungsempfindlichen Taxa, die bei Abwesenheit störender Einflüsse gegeben sind, sind vorhanden.</w:t>
            </w:r>
          </w:p>
        </w:tc>
        <w:tc>
          <w:tcPr>
            <w:tcW w:w="4137" w:type="dxa"/>
            <w:gridSpan w:val="2"/>
          </w:tcPr>
          <w:p>
            <w:pPr>
              <w:pStyle w:val="GesAbsatz"/>
              <w:jc w:val="left"/>
              <w:rPr>
                <w:rFonts w:cs="Arial"/>
                <w:sz w:val="18"/>
                <w:szCs w:val="18"/>
              </w:rPr>
            </w:pPr>
            <w:r>
              <w:rPr>
                <w:rFonts w:cs="Arial"/>
                <w:sz w:val="18"/>
                <w:szCs w:val="18"/>
              </w:rPr>
              <w:t xml:space="preserve">Der Grad der Vielfalt und der Abundanz der wirbellosen Taxa liegt geringfügig außerhalb des Bereichs, der typspezifischen Bedingungen entspricht. </w:t>
            </w:r>
          </w:p>
          <w:p>
            <w:pPr>
              <w:pStyle w:val="GesAbsatz"/>
              <w:jc w:val="left"/>
              <w:rPr>
                <w:rFonts w:cs="Arial"/>
                <w:sz w:val="18"/>
                <w:szCs w:val="18"/>
              </w:rPr>
            </w:pPr>
            <w:r>
              <w:rPr>
                <w:rFonts w:cs="Arial"/>
                <w:sz w:val="18"/>
                <w:szCs w:val="18"/>
              </w:rPr>
              <w:t>Die meisten empfindlichen Taxa der typspezifischen Gemeinschaften sind vorhanden.</w:t>
            </w:r>
          </w:p>
        </w:tc>
        <w:tc>
          <w:tcPr>
            <w:tcW w:w="3955" w:type="dxa"/>
          </w:tcPr>
          <w:p>
            <w:pPr>
              <w:pStyle w:val="GesAbsatz"/>
              <w:jc w:val="left"/>
              <w:rPr>
                <w:rFonts w:cs="Arial"/>
                <w:sz w:val="18"/>
                <w:szCs w:val="18"/>
              </w:rPr>
            </w:pPr>
            <w:r>
              <w:rPr>
                <w:rFonts w:cs="Arial"/>
                <w:sz w:val="18"/>
                <w:szCs w:val="18"/>
              </w:rPr>
              <w:t>Der Grad der Vielfalt und der Abundanz der wirbellosen Taxa liegt mäßig außerhalb des Bereichs, der typspezi- fischen Bedingungen entspricht.</w:t>
            </w:r>
          </w:p>
          <w:p>
            <w:pPr>
              <w:pStyle w:val="GesAbsatz"/>
              <w:jc w:val="left"/>
              <w:rPr>
                <w:rFonts w:cs="Arial"/>
                <w:sz w:val="18"/>
                <w:szCs w:val="18"/>
              </w:rPr>
            </w:pPr>
            <w:r>
              <w:rPr>
                <w:rFonts w:cs="Arial"/>
                <w:sz w:val="18"/>
                <w:szCs w:val="18"/>
              </w:rPr>
              <w:t>Es sind Taxa vorhanden, die auf Verschmutzung hindeuten.</w:t>
            </w:r>
          </w:p>
          <w:p>
            <w:pPr>
              <w:pStyle w:val="GesAbsatz"/>
              <w:jc w:val="left"/>
              <w:rPr>
                <w:rFonts w:cs="Arial"/>
                <w:sz w:val="18"/>
                <w:szCs w:val="18"/>
              </w:rPr>
            </w:pPr>
            <w:r>
              <w:rPr>
                <w:rFonts w:cs="Arial"/>
                <w:sz w:val="18"/>
                <w:szCs w:val="18"/>
              </w:rPr>
              <w:t>Viele empfindliche Taxa der typspezifischen Gemeinschaften fehlen.</w:t>
            </w:r>
          </w:p>
        </w:tc>
      </w:tr>
    </w:tbl>
    <w:p>
      <w:pPr>
        <w:pStyle w:val="GesAbsatz"/>
      </w:pPr>
    </w:p>
    <w:p>
      <w:pPr>
        <w:rPr>
          <w:color w:val="000000"/>
        </w:rPr>
      </w:pPr>
      <w:r>
        <w:br w:type="page"/>
      </w:r>
    </w:p>
    <w:p>
      <w:pPr>
        <w:pStyle w:val="GesAbsatz"/>
        <w:rPr>
          <w:rFonts w:ascii="Adve 0663 3w" w:hAnsi="Adve 0663 3w" w:cs="Adve 0663 3w"/>
        </w:rPr>
      </w:pPr>
      <w:r>
        <w:rPr>
          <w:rFonts w:ascii="Adve 0663 3w" w:hAnsi="Adve 0663 3w" w:cs="Adve 0663 3w"/>
        </w:rPr>
        <w:lastRenderedPageBreak/>
        <w:t>Hydromorphologische Qualitätskomponenten</w:t>
      </w:r>
    </w:p>
    <w:tbl>
      <w:tblPr>
        <w:tblW w:w="14335" w:type="dxa"/>
        <w:tblBorders>
          <w:top w:val="nil"/>
          <w:left w:val="nil"/>
          <w:bottom w:val="nil"/>
          <w:right w:val="nil"/>
        </w:tblBorders>
        <w:tblLayout w:type="fixed"/>
        <w:tblLook w:val="0000" w:firstRow="0" w:lastRow="0" w:firstColumn="0" w:lastColumn="0" w:noHBand="0" w:noVBand="0"/>
      </w:tblPr>
      <w:tblGrid>
        <w:gridCol w:w="1795"/>
        <w:gridCol w:w="4180"/>
        <w:gridCol w:w="4178"/>
        <w:gridCol w:w="4182"/>
      </w:tblGrid>
      <w:tr>
        <w:trPr>
          <w:trHeight w:val="350"/>
        </w:trPr>
        <w:tc>
          <w:tcPr>
            <w:tcW w:w="1795" w:type="dxa"/>
            <w:tcBorders>
              <w:top w:val="single" w:sz="6" w:space="0" w:color="000000"/>
              <w:left w:val="single" w:sz="6" w:space="0" w:color="000000"/>
              <w:bottom w:val="single" w:sz="6" w:space="0" w:color="000000"/>
              <w:right w:val="single" w:sz="6" w:space="0" w:color="000000"/>
            </w:tcBorders>
          </w:tcPr>
          <w:p>
            <w:pPr>
              <w:pStyle w:val="GesAbsatz"/>
              <w:rPr>
                <w:rFonts w:cs="Arial"/>
                <w:sz w:val="18"/>
                <w:szCs w:val="18"/>
              </w:rPr>
            </w:pPr>
            <w:r>
              <w:rPr>
                <w:rFonts w:cs="Arial"/>
                <w:sz w:val="18"/>
                <w:szCs w:val="18"/>
              </w:rPr>
              <w:t xml:space="preserve">Komponente </w:t>
            </w:r>
          </w:p>
        </w:tc>
        <w:tc>
          <w:tcPr>
            <w:tcW w:w="4180" w:type="dxa"/>
            <w:tcBorders>
              <w:top w:val="single" w:sz="6" w:space="0" w:color="000000"/>
              <w:left w:val="single" w:sz="6" w:space="0" w:color="000000"/>
              <w:bottom w:val="single" w:sz="6" w:space="0" w:color="000000"/>
              <w:right w:val="single" w:sz="6" w:space="0" w:color="000000"/>
            </w:tcBorders>
          </w:tcPr>
          <w:p>
            <w:pPr>
              <w:pStyle w:val="GesAbsatz"/>
              <w:rPr>
                <w:rFonts w:cs="Arial"/>
                <w:sz w:val="18"/>
                <w:szCs w:val="18"/>
              </w:rPr>
            </w:pPr>
            <w:r>
              <w:rPr>
                <w:rFonts w:cs="Arial"/>
                <w:sz w:val="18"/>
                <w:szCs w:val="18"/>
              </w:rPr>
              <w:t xml:space="preserve">Sehr guter Zustand </w:t>
            </w:r>
          </w:p>
        </w:tc>
        <w:tc>
          <w:tcPr>
            <w:tcW w:w="4178" w:type="dxa"/>
            <w:tcBorders>
              <w:top w:val="single" w:sz="6" w:space="0" w:color="000000"/>
              <w:left w:val="single" w:sz="6" w:space="0" w:color="000000"/>
              <w:bottom w:val="single" w:sz="6" w:space="0" w:color="000000"/>
              <w:right w:val="single" w:sz="6" w:space="0" w:color="000000"/>
            </w:tcBorders>
          </w:tcPr>
          <w:p>
            <w:pPr>
              <w:pStyle w:val="GesAbsatz"/>
              <w:rPr>
                <w:rFonts w:cs="Arial"/>
                <w:sz w:val="18"/>
                <w:szCs w:val="18"/>
              </w:rPr>
            </w:pPr>
            <w:r>
              <w:rPr>
                <w:rFonts w:cs="Arial"/>
                <w:sz w:val="18"/>
                <w:szCs w:val="18"/>
              </w:rPr>
              <w:t xml:space="preserve">Guter Zustand </w:t>
            </w:r>
          </w:p>
        </w:tc>
        <w:tc>
          <w:tcPr>
            <w:tcW w:w="4182" w:type="dxa"/>
            <w:tcBorders>
              <w:top w:val="single" w:sz="6" w:space="0" w:color="000000"/>
              <w:left w:val="single" w:sz="6" w:space="0" w:color="000000"/>
              <w:bottom w:val="single" w:sz="6" w:space="0" w:color="000000"/>
              <w:right w:val="single" w:sz="6" w:space="0" w:color="000000"/>
            </w:tcBorders>
          </w:tcPr>
          <w:p>
            <w:pPr>
              <w:pStyle w:val="GesAbsatz"/>
              <w:rPr>
                <w:rFonts w:cs="Arial"/>
                <w:sz w:val="18"/>
                <w:szCs w:val="18"/>
              </w:rPr>
            </w:pPr>
            <w:r>
              <w:rPr>
                <w:rFonts w:cs="Arial"/>
                <w:sz w:val="18"/>
                <w:szCs w:val="18"/>
              </w:rPr>
              <w:t xml:space="preserve">Mäßiger Zustand </w:t>
            </w:r>
          </w:p>
        </w:tc>
      </w:tr>
      <w:tr>
        <w:trPr>
          <w:trHeight w:val="1213"/>
        </w:trPr>
        <w:tc>
          <w:tcPr>
            <w:tcW w:w="1795" w:type="dxa"/>
            <w:tcBorders>
              <w:top w:val="single" w:sz="6" w:space="0" w:color="000000"/>
              <w:left w:val="single" w:sz="6" w:space="0" w:color="000000"/>
              <w:bottom w:val="single" w:sz="6" w:space="0" w:color="000000"/>
              <w:right w:val="single" w:sz="6" w:space="0" w:color="000000"/>
            </w:tcBorders>
          </w:tcPr>
          <w:p>
            <w:pPr>
              <w:pStyle w:val="GesAbsatz"/>
              <w:rPr>
                <w:rFonts w:cs="Arial"/>
                <w:sz w:val="18"/>
                <w:szCs w:val="18"/>
              </w:rPr>
            </w:pPr>
            <w:r>
              <w:rPr>
                <w:rFonts w:cs="Arial"/>
                <w:sz w:val="18"/>
                <w:szCs w:val="18"/>
              </w:rPr>
              <w:t xml:space="preserve">Gezeiten </w:t>
            </w:r>
          </w:p>
        </w:tc>
        <w:tc>
          <w:tcPr>
            <w:tcW w:w="4180" w:type="dxa"/>
            <w:tcBorders>
              <w:top w:val="single" w:sz="6" w:space="0" w:color="000000"/>
              <w:left w:val="single" w:sz="6" w:space="0" w:color="000000"/>
              <w:bottom w:val="single" w:sz="6" w:space="0" w:color="000000"/>
              <w:right w:val="single" w:sz="6" w:space="0" w:color="000000"/>
            </w:tcBorders>
          </w:tcPr>
          <w:p>
            <w:pPr>
              <w:pStyle w:val="GesAbsatz"/>
              <w:rPr>
                <w:rFonts w:cs="Arial"/>
                <w:sz w:val="18"/>
                <w:szCs w:val="18"/>
              </w:rPr>
            </w:pPr>
            <w:r>
              <w:rPr>
                <w:rFonts w:cs="Arial"/>
                <w:sz w:val="18"/>
                <w:szCs w:val="18"/>
              </w:rPr>
              <w:t>Der Süßwasserzustrom sowie Richtung und Geschwindigkeit der vorherrschenden Strömungen entsprechen vollständig oder nahezu vollständig den Bedingungen bei Abwesenheit störender Einflüsse.</w:t>
            </w:r>
          </w:p>
        </w:tc>
        <w:tc>
          <w:tcPr>
            <w:tcW w:w="4178" w:type="dxa"/>
            <w:tcBorders>
              <w:top w:val="single" w:sz="6" w:space="0" w:color="000000"/>
              <w:left w:val="single" w:sz="6" w:space="0" w:color="000000"/>
              <w:bottom w:val="single" w:sz="6" w:space="0" w:color="000000"/>
              <w:right w:val="single" w:sz="6" w:space="0" w:color="000000"/>
            </w:tcBorders>
          </w:tcPr>
          <w:p>
            <w:pPr>
              <w:pStyle w:val="GesAbsatz"/>
              <w:rPr>
                <w:rFonts w:cs="Arial"/>
                <w:sz w:val="18"/>
                <w:szCs w:val="18"/>
              </w:rPr>
            </w:pPr>
            <w:r>
              <w:rPr>
                <w:rFonts w:cs="Arial"/>
                <w:sz w:val="18"/>
                <w:szCs w:val="18"/>
              </w:rPr>
              <w:t>Bedingungen, unter denen die oben für die biologischen Qualitätskomponenten beschriebenen Werte erreicht werden können.</w:t>
            </w:r>
          </w:p>
        </w:tc>
        <w:tc>
          <w:tcPr>
            <w:tcW w:w="4182" w:type="dxa"/>
            <w:tcBorders>
              <w:top w:val="single" w:sz="6" w:space="0" w:color="000000"/>
              <w:left w:val="single" w:sz="6" w:space="0" w:color="000000"/>
              <w:bottom w:val="single" w:sz="6" w:space="0" w:color="000000"/>
              <w:right w:val="single" w:sz="6" w:space="0" w:color="000000"/>
            </w:tcBorders>
          </w:tcPr>
          <w:p>
            <w:pPr>
              <w:pStyle w:val="GesAbsatz"/>
              <w:rPr>
                <w:rFonts w:cs="Arial"/>
                <w:sz w:val="18"/>
                <w:szCs w:val="18"/>
              </w:rPr>
            </w:pPr>
            <w:r>
              <w:rPr>
                <w:rFonts w:cs="Arial"/>
                <w:sz w:val="18"/>
                <w:szCs w:val="18"/>
              </w:rPr>
              <w:t>Bedingungen, unter denen die oben für die biologischen Qualitätskomponenten beschriebenen Werte erreicht werden können.</w:t>
            </w:r>
          </w:p>
        </w:tc>
      </w:tr>
      <w:tr>
        <w:trPr>
          <w:trHeight w:val="1025"/>
        </w:trPr>
        <w:tc>
          <w:tcPr>
            <w:tcW w:w="1795" w:type="dxa"/>
            <w:tcBorders>
              <w:top w:val="single" w:sz="6" w:space="0" w:color="000000"/>
              <w:left w:val="single" w:sz="6" w:space="0" w:color="000000"/>
              <w:bottom w:val="single" w:sz="6" w:space="0" w:color="000000"/>
              <w:right w:val="single" w:sz="6" w:space="0" w:color="000000"/>
            </w:tcBorders>
          </w:tcPr>
          <w:p>
            <w:pPr>
              <w:pStyle w:val="GesAbsatz"/>
              <w:rPr>
                <w:rFonts w:cs="Arial"/>
                <w:sz w:val="18"/>
                <w:szCs w:val="18"/>
              </w:rPr>
            </w:pPr>
            <w:r>
              <w:rPr>
                <w:rFonts w:cs="Arial"/>
                <w:sz w:val="18"/>
                <w:szCs w:val="18"/>
              </w:rPr>
              <w:t>Morphologie</w:t>
            </w:r>
          </w:p>
        </w:tc>
        <w:tc>
          <w:tcPr>
            <w:tcW w:w="4180" w:type="dxa"/>
            <w:tcBorders>
              <w:top w:val="single" w:sz="6" w:space="0" w:color="000000"/>
              <w:left w:val="single" w:sz="6" w:space="0" w:color="000000"/>
              <w:bottom w:val="single" w:sz="6" w:space="0" w:color="000000"/>
              <w:right w:val="single" w:sz="6" w:space="0" w:color="000000"/>
            </w:tcBorders>
          </w:tcPr>
          <w:p>
            <w:pPr>
              <w:pStyle w:val="GesAbsatz"/>
              <w:rPr>
                <w:rFonts w:cs="Arial"/>
                <w:sz w:val="18"/>
                <w:szCs w:val="18"/>
              </w:rPr>
            </w:pPr>
            <w:r>
              <w:rPr>
                <w:rFonts w:cs="Arial"/>
                <w:sz w:val="18"/>
                <w:szCs w:val="18"/>
              </w:rPr>
              <w:t>Tiefenvariation, Struktur und Substrat des Sediments der Küstengewässer sowie Struktur und Bedingungen der Gezeitenzonen entsprechen vollständig oder nahezu voll- ständig den Bedingungen bei Abwesenheit störender Einflüsse.</w:t>
            </w:r>
          </w:p>
        </w:tc>
        <w:tc>
          <w:tcPr>
            <w:tcW w:w="4178" w:type="dxa"/>
            <w:tcBorders>
              <w:top w:val="single" w:sz="6" w:space="0" w:color="000000"/>
              <w:left w:val="single" w:sz="6" w:space="0" w:color="000000"/>
              <w:bottom w:val="single" w:sz="6" w:space="0" w:color="000000"/>
              <w:right w:val="single" w:sz="6" w:space="0" w:color="000000"/>
            </w:tcBorders>
          </w:tcPr>
          <w:p>
            <w:pPr>
              <w:pStyle w:val="GesAbsatz"/>
              <w:rPr>
                <w:rFonts w:cs="Arial"/>
                <w:sz w:val="18"/>
                <w:szCs w:val="18"/>
              </w:rPr>
            </w:pPr>
            <w:r>
              <w:rPr>
                <w:rFonts w:cs="Arial"/>
                <w:sz w:val="18"/>
                <w:szCs w:val="18"/>
              </w:rPr>
              <w:t xml:space="preserve">Bedingungen, unter denen die oben für die biologischen Qualitätskomponenten beschriebenen Werte erreicht werden können. </w:t>
            </w:r>
          </w:p>
        </w:tc>
        <w:tc>
          <w:tcPr>
            <w:tcW w:w="4182" w:type="dxa"/>
            <w:tcBorders>
              <w:top w:val="single" w:sz="6" w:space="0" w:color="000000"/>
              <w:left w:val="single" w:sz="6" w:space="0" w:color="000000"/>
              <w:bottom w:val="single" w:sz="6" w:space="0" w:color="000000"/>
              <w:right w:val="single" w:sz="6" w:space="0" w:color="000000"/>
            </w:tcBorders>
          </w:tcPr>
          <w:p>
            <w:pPr>
              <w:pStyle w:val="GesAbsatz"/>
              <w:rPr>
                <w:rFonts w:cs="Arial"/>
                <w:sz w:val="18"/>
                <w:szCs w:val="18"/>
              </w:rPr>
            </w:pPr>
            <w:r>
              <w:rPr>
                <w:rFonts w:cs="Arial"/>
                <w:sz w:val="18"/>
                <w:szCs w:val="18"/>
              </w:rPr>
              <w:t>Bedingungen, unter denen die oben für die biologischen Qualitätskomponenten beschriebenen Werte erreicht werden können.</w:t>
            </w:r>
          </w:p>
        </w:tc>
      </w:tr>
    </w:tbl>
    <w:p/>
    <w:p>
      <w:r>
        <w:t xml:space="preserve">Physikalisch-chemische Qualitätskomponenten </w:t>
      </w:r>
      <w:r>
        <w:rPr>
          <w:vertAlign w:val="superscript"/>
        </w:rPr>
        <w:t>1)</w:t>
      </w:r>
    </w:p>
    <w:tbl>
      <w:tblPr>
        <w:tblW w:w="14335" w:type="dxa"/>
        <w:tblBorders>
          <w:top w:val="nil"/>
          <w:left w:val="nil"/>
          <w:bottom w:val="nil"/>
          <w:right w:val="nil"/>
        </w:tblBorders>
        <w:tblLayout w:type="fixed"/>
        <w:tblLook w:val="0000" w:firstRow="0" w:lastRow="0" w:firstColumn="0" w:lastColumn="0" w:noHBand="0" w:noVBand="0"/>
      </w:tblPr>
      <w:tblGrid>
        <w:gridCol w:w="1795"/>
        <w:gridCol w:w="4180"/>
        <w:gridCol w:w="4178"/>
        <w:gridCol w:w="4182"/>
      </w:tblGrid>
      <w:tr>
        <w:trPr>
          <w:trHeight w:val="348"/>
        </w:trPr>
        <w:tc>
          <w:tcPr>
            <w:tcW w:w="1795" w:type="dxa"/>
            <w:tcBorders>
              <w:top w:val="single" w:sz="6" w:space="0" w:color="000000"/>
              <w:left w:val="single" w:sz="6" w:space="0" w:color="000000"/>
              <w:bottom w:val="single" w:sz="6" w:space="0" w:color="000000"/>
              <w:right w:val="single" w:sz="6" w:space="0" w:color="000000"/>
            </w:tcBorders>
          </w:tcPr>
          <w:p>
            <w:pPr>
              <w:pStyle w:val="GesAbsatz"/>
              <w:rPr>
                <w:rFonts w:cs="Arial"/>
                <w:sz w:val="18"/>
                <w:szCs w:val="18"/>
              </w:rPr>
            </w:pPr>
            <w:r>
              <w:rPr>
                <w:rFonts w:cs="Arial"/>
                <w:sz w:val="18"/>
                <w:szCs w:val="18"/>
              </w:rPr>
              <w:t xml:space="preserve">Komponente </w:t>
            </w:r>
          </w:p>
        </w:tc>
        <w:tc>
          <w:tcPr>
            <w:tcW w:w="4180" w:type="dxa"/>
            <w:tcBorders>
              <w:top w:val="single" w:sz="6" w:space="0" w:color="000000"/>
              <w:left w:val="single" w:sz="6" w:space="0" w:color="000000"/>
              <w:bottom w:val="single" w:sz="6" w:space="0" w:color="000000"/>
              <w:right w:val="single" w:sz="6" w:space="0" w:color="000000"/>
            </w:tcBorders>
          </w:tcPr>
          <w:p>
            <w:pPr>
              <w:pStyle w:val="GesAbsatz"/>
              <w:rPr>
                <w:rFonts w:cs="Arial"/>
                <w:sz w:val="18"/>
                <w:szCs w:val="18"/>
              </w:rPr>
            </w:pPr>
            <w:r>
              <w:rPr>
                <w:rFonts w:cs="Arial"/>
                <w:sz w:val="18"/>
                <w:szCs w:val="18"/>
              </w:rPr>
              <w:t xml:space="preserve">Sehr guter Zustand </w:t>
            </w:r>
          </w:p>
        </w:tc>
        <w:tc>
          <w:tcPr>
            <w:tcW w:w="4178" w:type="dxa"/>
            <w:tcBorders>
              <w:top w:val="single" w:sz="6" w:space="0" w:color="000000"/>
              <w:left w:val="single" w:sz="6" w:space="0" w:color="000000"/>
              <w:bottom w:val="single" w:sz="6" w:space="0" w:color="000000"/>
              <w:right w:val="single" w:sz="6" w:space="0" w:color="000000"/>
            </w:tcBorders>
          </w:tcPr>
          <w:p>
            <w:pPr>
              <w:pStyle w:val="GesAbsatz"/>
              <w:rPr>
                <w:rFonts w:cs="Arial"/>
                <w:sz w:val="18"/>
                <w:szCs w:val="18"/>
              </w:rPr>
            </w:pPr>
            <w:r>
              <w:rPr>
                <w:rFonts w:cs="Arial"/>
                <w:sz w:val="18"/>
                <w:szCs w:val="18"/>
              </w:rPr>
              <w:t xml:space="preserve">Guter Zustand </w:t>
            </w:r>
          </w:p>
        </w:tc>
        <w:tc>
          <w:tcPr>
            <w:tcW w:w="4182" w:type="dxa"/>
            <w:tcBorders>
              <w:top w:val="single" w:sz="6" w:space="0" w:color="000000"/>
              <w:left w:val="single" w:sz="6" w:space="0" w:color="000000"/>
              <w:bottom w:val="single" w:sz="6" w:space="0" w:color="000000"/>
              <w:right w:val="single" w:sz="6" w:space="0" w:color="000000"/>
            </w:tcBorders>
          </w:tcPr>
          <w:p>
            <w:pPr>
              <w:pStyle w:val="GesAbsatz"/>
              <w:rPr>
                <w:rFonts w:cs="Arial"/>
                <w:sz w:val="18"/>
                <w:szCs w:val="18"/>
              </w:rPr>
            </w:pPr>
            <w:r>
              <w:rPr>
                <w:rFonts w:cs="Arial"/>
                <w:sz w:val="18"/>
                <w:szCs w:val="18"/>
              </w:rPr>
              <w:t xml:space="preserve">Mäßiger Zustand </w:t>
            </w:r>
          </w:p>
        </w:tc>
      </w:tr>
      <w:tr>
        <w:trPr>
          <w:trHeight w:val="2233"/>
        </w:trPr>
        <w:tc>
          <w:tcPr>
            <w:tcW w:w="1795" w:type="dxa"/>
            <w:tcBorders>
              <w:top w:val="single" w:sz="6" w:space="0" w:color="000000"/>
              <w:left w:val="single" w:sz="6" w:space="0" w:color="000000"/>
              <w:bottom w:val="single" w:sz="6" w:space="0" w:color="000000"/>
              <w:right w:val="single" w:sz="6" w:space="0" w:color="000000"/>
            </w:tcBorders>
          </w:tcPr>
          <w:p>
            <w:pPr>
              <w:pStyle w:val="GesAbsatz"/>
              <w:rPr>
                <w:rFonts w:cs="Arial"/>
                <w:sz w:val="18"/>
                <w:szCs w:val="18"/>
              </w:rPr>
            </w:pPr>
            <w:r>
              <w:rPr>
                <w:rFonts w:cs="Arial"/>
                <w:sz w:val="18"/>
                <w:szCs w:val="18"/>
              </w:rPr>
              <w:t>Allgemeine Bedingungen</w:t>
            </w:r>
          </w:p>
        </w:tc>
        <w:tc>
          <w:tcPr>
            <w:tcW w:w="4180" w:type="dxa"/>
            <w:tcBorders>
              <w:top w:val="single" w:sz="6" w:space="0" w:color="000000"/>
              <w:left w:val="single" w:sz="6" w:space="0" w:color="000000"/>
              <w:bottom w:val="single" w:sz="6" w:space="0" w:color="000000"/>
              <w:right w:val="single" w:sz="6" w:space="0" w:color="000000"/>
            </w:tcBorders>
          </w:tcPr>
          <w:p>
            <w:pPr>
              <w:pStyle w:val="GesAbsatz"/>
              <w:rPr>
                <w:rFonts w:cs="Arial"/>
                <w:sz w:val="18"/>
                <w:szCs w:val="18"/>
              </w:rPr>
            </w:pPr>
            <w:r>
              <w:rPr>
                <w:rFonts w:cs="Arial"/>
                <w:sz w:val="18"/>
                <w:szCs w:val="18"/>
              </w:rPr>
              <w:t>Die physikalisch-chemischen Komponenten entsprechen vollständig oder nahezu vollständig den Werten, die bei Abwesenheit störender Einflüsse zu verzeichnen sind. Die Nährstoffkonzentrationen bleiben in dem Bereich, der normalerweise bei Abwesenheit störender Einflüsse festzustellen ist. Temperatur, Sauerstoffbilanz und Sichttiefe zeigen keine Anzeichen anthropogener Störungen und bleiben in dem Bereich, der normalerweise bei Abwesenheit störender Einflüsse festzustellen ist.</w:t>
            </w:r>
          </w:p>
        </w:tc>
        <w:tc>
          <w:tcPr>
            <w:tcW w:w="4178" w:type="dxa"/>
            <w:tcBorders>
              <w:top w:val="single" w:sz="6" w:space="0" w:color="000000"/>
              <w:left w:val="single" w:sz="6" w:space="0" w:color="000000"/>
              <w:bottom w:val="single" w:sz="6" w:space="0" w:color="000000"/>
              <w:right w:val="single" w:sz="6" w:space="0" w:color="000000"/>
            </w:tcBorders>
          </w:tcPr>
          <w:p>
            <w:pPr>
              <w:pStyle w:val="GesAbsatz"/>
              <w:rPr>
                <w:rFonts w:cs="Arial"/>
                <w:sz w:val="18"/>
                <w:szCs w:val="18"/>
              </w:rPr>
            </w:pPr>
            <w:r>
              <w:rPr>
                <w:rFonts w:cs="Arial"/>
                <w:sz w:val="18"/>
                <w:szCs w:val="18"/>
              </w:rPr>
              <w:t xml:space="preserve">Die Werte für die Temperatur, den Sauerstoffhaushalt und die Sichttiefe gehen nicht über den Bereich hinaus, innerhalb dessen die Funktionsfähigkeit des Ökosystems und die Einhaltung der oben beschriebenen Werte für die biologischen Qualitätskomponenten gewährleistet sind. Die Nährstoffkonzentrationen liegen nicht über den Werten, bei denen die Funktionsfähigkeit des Ökosystems und die Einhaltung der oben beschriebenen Werte für die biologischen Qualitätskomponenten gewährleistet sind. </w:t>
            </w:r>
          </w:p>
        </w:tc>
        <w:tc>
          <w:tcPr>
            <w:tcW w:w="4182" w:type="dxa"/>
            <w:tcBorders>
              <w:top w:val="single" w:sz="6" w:space="0" w:color="000000"/>
              <w:left w:val="single" w:sz="6" w:space="0" w:color="000000"/>
              <w:bottom w:val="single" w:sz="6" w:space="0" w:color="000000"/>
              <w:right w:val="single" w:sz="6" w:space="0" w:color="000000"/>
            </w:tcBorders>
          </w:tcPr>
          <w:p>
            <w:pPr>
              <w:pStyle w:val="GesAbsatz"/>
              <w:rPr>
                <w:rFonts w:cs="Arial"/>
                <w:sz w:val="18"/>
                <w:szCs w:val="18"/>
              </w:rPr>
            </w:pPr>
            <w:r>
              <w:rPr>
                <w:rFonts w:cs="Arial"/>
                <w:sz w:val="18"/>
                <w:szCs w:val="18"/>
              </w:rPr>
              <w:t>Bedingungen, unter denen die oben für die biologischen Qualitätskomponenten beschriebenen Werte erreicht werden können.</w:t>
            </w:r>
          </w:p>
        </w:tc>
      </w:tr>
      <w:tr>
        <w:trPr>
          <w:trHeight w:val="1091"/>
        </w:trPr>
        <w:tc>
          <w:tcPr>
            <w:tcW w:w="1795" w:type="dxa"/>
            <w:tcBorders>
              <w:top w:val="single" w:sz="6" w:space="0" w:color="000000"/>
              <w:left w:val="single" w:sz="6" w:space="0" w:color="000000"/>
              <w:bottom w:val="single" w:sz="6" w:space="0" w:color="000000"/>
              <w:right w:val="single" w:sz="6" w:space="0" w:color="000000"/>
            </w:tcBorders>
          </w:tcPr>
          <w:p>
            <w:pPr>
              <w:pStyle w:val="GesAbsatz"/>
              <w:rPr>
                <w:rFonts w:cs="Arial"/>
                <w:sz w:val="18"/>
                <w:szCs w:val="18"/>
              </w:rPr>
            </w:pPr>
            <w:r>
              <w:rPr>
                <w:rFonts w:cs="Arial"/>
                <w:sz w:val="18"/>
                <w:szCs w:val="18"/>
              </w:rPr>
              <w:t>Spezifische synthetische Schadstoffe</w:t>
            </w:r>
          </w:p>
        </w:tc>
        <w:tc>
          <w:tcPr>
            <w:tcW w:w="4180" w:type="dxa"/>
            <w:tcBorders>
              <w:top w:val="single" w:sz="6" w:space="0" w:color="000000"/>
              <w:left w:val="single" w:sz="6" w:space="0" w:color="000000"/>
              <w:bottom w:val="single" w:sz="6" w:space="0" w:color="000000"/>
              <w:right w:val="single" w:sz="6" w:space="0" w:color="000000"/>
            </w:tcBorders>
          </w:tcPr>
          <w:p>
            <w:pPr>
              <w:pStyle w:val="GesAbsatz"/>
              <w:rPr>
                <w:rFonts w:cs="Arial"/>
                <w:sz w:val="18"/>
                <w:szCs w:val="18"/>
              </w:rPr>
            </w:pPr>
            <w:r>
              <w:rPr>
                <w:rFonts w:cs="Arial"/>
                <w:sz w:val="18"/>
                <w:szCs w:val="18"/>
              </w:rPr>
              <w:t>Konzentrationen nahe Null oder zumindest unter der Nachweisgrenze der allgemein gebräuchlichen fortgeschrittensten Analysetechniken.</w:t>
            </w:r>
          </w:p>
        </w:tc>
        <w:tc>
          <w:tcPr>
            <w:tcW w:w="4178" w:type="dxa"/>
            <w:tcBorders>
              <w:top w:val="single" w:sz="6" w:space="0" w:color="000000"/>
              <w:left w:val="single" w:sz="6" w:space="0" w:color="000000"/>
              <w:bottom w:val="single" w:sz="6" w:space="0" w:color="000000"/>
              <w:right w:val="single" w:sz="6" w:space="0" w:color="000000"/>
            </w:tcBorders>
          </w:tcPr>
          <w:p>
            <w:pPr>
              <w:pStyle w:val="GesAbsatz"/>
              <w:rPr>
                <w:rFonts w:cs="Arial"/>
                <w:sz w:val="18"/>
                <w:szCs w:val="18"/>
              </w:rPr>
            </w:pPr>
            <w:r>
              <w:rPr>
                <w:rFonts w:cs="Arial"/>
                <w:sz w:val="18"/>
                <w:szCs w:val="18"/>
              </w:rPr>
              <w:t xml:space="preserve">Konzentrationen nicht höher als die Umweltqualitätsnormen, die nach dem Verfahren gemäß Randnummer 1.2.6 festgelegt werden, unbeschadet der Richtlinie 91/414/EWG und der Richtlinie 98/8/EG (&lt; eqs). </w:t>
            </w:r>
          </w:p>
        </w:tc>
        <w:tc>
          <w:tcPr>
            <w:tcW w:w="4182" w:type="dxa"/>
            <w:tcBorders>
              <w:top w:val="single" w:sz="6" w:space="0" w:color="000000"/>
              <w:left w:val="single" w:sz="6" w:space="0" w:color="000000"/>
              <w:bottom w:val="single" w:sz="6" w:space="0" w:color="000000"/>
              <w:right w:val="single" w:sz="6" w:space="0" w:color="000000"/>
            </w:tcBorders>
          </w:tcPr>
          <w:p>
            <w:pPr>
              <w:pStyle w:val="GesAbsatz"/>
              <w:rPr>
                <w:rFonts w:cs="Arial"/>
                <w:sz w:val="18"/>
                <w:szCs w:val="18"/>
              </w:rPr>
            </w:pPr>
            <w:r>
              <w:rPr>
                <w:rFonts w:cs="Arial"/>
                <w:sz w:val="18"/>
                <w:szCs w:val="18"/>
              </w:rPr>
              <w:t>Bedingungen, unter denen die oben für die biologischen Qualitätskomponenten beschriebenen Werte erreicht werden können.</w:t>
            </w:r>
          </w:p>
        </w:tc>
      </w:tr>
      <w:tr>
        <w:trPr>
          <w:trHeight w:val="1065"/>
        </w:trPr>
        <w:tc>
          <w:tcPr>
            <w:tcW w:w="1795" w:type="dxa"/>
            <w:tcBorders>
              <w:top w:val="single" w:sz="6" w:space="0" w:color="000000"/>
              <w:left w:val="single" w:sz="6" w:space="0" w:color="000000"/>
              <w:bottom w:val="single" w:sz="6" w:space="0" w:color="000000"/>
              <w:right w:val="single" w:sz="6" w:space="0" w:color="000000"/>
            </w:tcBorders>
          </w:tcPr>
          <w:p>
            <w:pPr>
              <w:pStyle w:val="GesAbsatz"/>
              <w:rPr>
                <w:rFonts w:cs="Arial"/>
                <w:sz w:val="18"/>
                <w:szCs w:val="18"/>
              </w:rPr>
            </w:pPr>
            <w:r>
              <w:rPr>
                <w:rFonts w:cs="Arial"/>
                <w:sz w:val="18"/>
                <w:szCs w:val="18"/>
              </w:rPr>
              <w:t>Spezifische nichtsynthetische Schadstoffe</w:t>
            </w:r>
          </w:p>
        </w:tc>
        <w:tc>
          <w:tcPr>
            <w:tcW w:w="4180" w:type="dxa"/>
            <w:tcBorders>
              <w:top w:val="single" w:sz="6" w:space="0" w:color="000000"/>
              <w:left w:val="single" w:sz="6" w:space="0" w:color="000000"/>
              <w:bottom w:val="single" w:sz="6" w:space="0" w:color="000000"/>
              <w:right w:val="single" w:sz="6" w:space="0" w:color="000000"/>
            </w:tcBorders>
          </w:tcPr>
          <w:p>
            <w:pPr>
              <w:pStyle w:val="GesAbsatz"/>
              <w:rPr>
                <w:rFonts w:cs="Arial"/>
                <w:sz w:val="18"/>
                <w:szCs w:val="18"/>
              </w:rPr>
            </w:pPr>
            <w:r>
              <w:rPr>
                <w:rFonts w:cs="Arial"/>
                <w:sz w:val="18"/>
                <w:szCs w:val="18"/>
              </w:rPr>
              <w:t>Die Konzentrationen bleiben in dem Bereich, der normalerweise bei Abwesenheit störender Einflüsse festzustellen ist (Hintergrundwerte = bgl).</w:t>
            </w:r>
          </w:p>
        </w:tc>
        <w:tc>
          <w:tcPr>
            <w:tcW w:w="4178" w:type="dxa"/>
            <w:tcBorders>
              <w:top w:val="single" w:sz="6" w:space="0" w:color="000000"/>
              <w:left w:val="single" w:sz="6" w:space="0" w:color="000000"/>
              <w:bottom w:val="single" w:sz="6" w:space="0" w:color="000000"/>
              <w:right w:val="single" w:sz="6" w:space="0" w:color="000000"/>
            </w:tcBorders>
          </w:tcPr>
          <w:p>
            <w:pPr>
              <w:pStyle w:val="GesAbsatz"/>
              <w:rPr>
                <w:rFonts w:cs="Arial"/>
                <w:sz w:val="18"/>
                <w:szCs w:val="18"/>
              </w:rPr>
            </w:pPr>
            <w:r>
              <w:rPr>
                <w:rFonts w:cs="Arial"/>
                <w:sz w:val="18"/>
                <w:szCs w:val="18"/>
              </w:rPr>
              <w:t xml:space="preserve">Konzentrationen nicht höher als die Umweltqualitätsnormen, die nach dem Verfahren gemäß Randnummer 1.2.6 festgelegt werden </w:t>
            </w:r>
            <w:r>
              <w:rPr>
                <w:rFonts w:cs="Arial"/>
                <w:sz w:val="18"/>
                <w:szCs w:val="18"/>
                <w:vertAlign w:val="superscript"/>
              </w:rPr>
              <w:t>2)</w:t>
            </w:r>
            <w:r>
              <w:rPr>
                <w:rFonts w:cs="Arial"/>
                <w:sz w:val="18"/>
                <w:szCs w:val="18"/>
              </w:rPr>
              <w:t>, unbeschadet der Richtlinie 91/414/EWG und der Richtlinie 98/8/EG (&lt; eqs).</w:t>
            </w:r>
          </w:p>
        </w:tc>
        <w:tc>
          <w:tcPr>
            <w:tcW w:w="4182" w:type="dxa"/>
            <w:tcBorders>
              <w:top w:val="single" w:sz="6" w:space="0" w:color="000000"/>
              <w:left w:val="single" w:sz="6" w:space="0" w:color="000000"/>
              <w:bottom w:val="single" w:sz="6" w:space="0" w:color="000000"/>
              <w:right w:val="single" w:sz="6" w:space="0" w:color="000000"/>
            </w:tcBorders>
          </w:tcPr>
          <w:p>
            <w:pPr>
              <w:pStyle w:val="GesAbsatz"/>
              <w:rPr>
                <w:rFonts w:cs="Arial"/>
                <w:sz w:val="18"/>
                <w:szCs w:val="18"/>
              </w:rPr>
            </w:pPr>
            <w:r>
              <w:rPr>
                <w:rFonts w:cs="Arial"/>
                <w:sz w:val="18"/>
                <w:szCs w:val="18"/>
              </w:rPr>
              <w:t>Bedingungen, unter denen die oben für die biologischen Qualitätskomponenten beschriebenen Werte erreicht werden können.</w:t>
            </w:r>
          </w:p>
        </w:tc>
      </w:tr>
      <w:tr>
        <w:trPr>
          <w:trHeight w:val="500"/>
        </w:trPr>
        <w:tc>
          <w:tcPr>
            <w:tcW w:w="14335" w:type="dxa"/>
            <w:gridSpan w:val="4"/>
            <w:tcBorders>
              <w:top w:val="single" w:sz="6" w:space="0" w:color="000000"/>
              <w:left w:val="single" w:sz="6" w:space="0" w:color="000000"/>
              <w:bottom w:val="single" w:sz="6" w:space="0" w:color="000000"/>
              <w:right w:val="single" w:sz="6" w:space="0" w:color="000000"/>
            </w:tcBorders>
          </w:tcPr>
          <w:p>
            <w:pPr>
              <w:pStyle w:val="GesAbsatz"/>
              <w:rPr>
                <w:rFonts w:cs="Arial"/>
                <w:sz w:val="18"/>
                <w:szCs w:val="18"/>
              </w:rPr>
            </w:pPr>
            <w:r>
              <w:rPr>
                <w:rFonts w:cs="Arial"/>
                <w:sz w:val="18"/>
                <w:szCs w:val="18"/>
                <w:vertAlign w:val="superscript"/>
              </w:rPr>
              <w:lastRenderedPageBreak/>
              <w:t>1)</w:t>
            </w:r>
            <w:r>
              <w:rPr>
                <w:rFonts w:cs="Arial"/>
                <w:sz w:val="18"/>
                <w:szCs w:val="18"/>
              </w:rPr>
              <w:t xml:space="preserve"> Es werden folgende Abkürzungen verwendet: bgl = Hintergrundwert; eqs = Umweltqualitätsstandard.</w:t>
            </w:r>
          </w:p>
          <w:p>
            <w:pPr>
              <w:pStyle w:val="GesAbsatz"/>
              <w:rPr>
                <w:rFonts w:cs="Arial"/>
                <w:sz w:val="18"/>
                <w:szCs w:val="18"/>
              </w:rPr>
            </w:pPr>
            <w:r>
              <w:rPr>
                <w:rFonts w:cs="Arial"/>
                <w:sz w:val="18"/>
                <w:szCs w:val="18"/>
                <w:vertAlign w:val="superscript"/>
              </w:rPr>
              <w:t>2)</w:t>
            </w:r>
            <w:r>
              <w:rPr>
                <w:rFonts w:cs="Arial"/>
                <w:sz w:val="18"/>
                <w:szCs w:val="18"/>
              </w:rPr>
              <w:t xml:space="preserve"> Die Anwendung der Umweltqualitätsnormen, die sich aus diesem Protokoll ergeben, bedeutet nicht, dass die Schadstoffkonzentrationen so weit verringert werden müssen, dass sie unter den Hintergrundwerten liegen.</w:t>
            </w:r>
          </w:p>
        </w:tc>
      </w:tr>
    </w:tbl>
    <w:p>
      <w:pPr>
        <w:pStyle w:val="GesAbsatz"/>
      </w:pPr>
    </w:p>
    <w:p>
      <w:pPr>
        <w:pStyle w:val="GesAbsatz"/>
        <w:rPr>
          <w:rFonts w:ascii="Adve 0661 3w" w:hAnsi="Adve 0661 3w" w:cs="Adve 0661 3w"/>
        </w:rPr>
      </w:pPr>
      <w:r>
        <w:rPr>
          <w:rFonts w:ascii="Adve 0661 3w" w:hAnsi="Adve 0661 3w" w:cs="Adve 0661 3w"/>
        </w:rPr>
        <w:t>1.2.5 Begriffsbestimmungen für das höchste, das gute und das mäßige ökologische Potential von erheblich veränderten oder künstlichen Wasserkörpern</w:t>
      </w:r>
    </w:p>
    <w:tbl>
      <w:tblPr>
        <w:tblW w:w="143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95"/>
        <w:gridCol w:w="4180"/>
        <w:gridCol w:w="4178"/>
        <w:gridCol w:w="4180"/>
      </w:tblGrid>
      <w:tr>
        <w:trPr>
          <w:trHeight w:val="363"/>
        </w:trPr>
        <w:tc>
          <w:tcPr>
            <w:tcW w:w="1795" w:type="dxa"/>
          </w:tcPr>
          <w:p>
            <w:pPr>
              <w:pStyle w:val="GesAbsatz"/>
              <w:rPr>
                <w:rFonts w:cs="Arial"/>
                <w:sz w:val="18"/>
                <w:szCs w:val="18"/>
              </w:rPr>
            </w:pPr>
            <w:r>
              <w:rPr>
                <w:rFonts w:cs="Arial"/>
                <w:sz w:val="18"/>
                <w:szCs w:val="18"/>
              </w:rPr>
              <w:t xml:space="preserve">Komponente </w:t>
            </w:r>
          </w:p>
        </w:tc>
        <w:tc>
          <w:tcPr>
            <w:tcW w:w="4180" w:type="dxa"/>
          </w:tcPr>
          <w:p>
            <w:pPr>
              <w:pStyle w:val="GesAbsatz"/>
              <w:rPr>
                <w:rFonts w:cs="Arial"/>
                <w:sz w:val="18"/>
                <w:szCs w:val="18"/>
              </w:rPr>
            </w:pPr>
            <w:r>
              <w:rPr>
                <w:rFonts w:cs="Arial"/>
                <w:sz w:val="18"/>
                <w:szCs w:val="18"/>
              </w:rPr>
              <w:t xml:space="preserve">Höchstes ökologisches Potential </w:t>
            </w:r>
          </w:p>
        </w:tc>
        <w:tc>
          <w:tcPr>
            <w:tcW w:w="4178" w:type="dxa"/>
          </w:tcPr>
          <w:p>
            <w:pPr>
              <w:pStyle w:val="GesAbsatz"/>
              <w:rPr>
                <w:rFonts w:cs="Arial"/>
                <w:sz w:val="18"/>
                <w:szCs w:val="18"/>
              </w:rPr>
            </w:pPr>
            <w:r>
              <w:rPr>
                <w:rFonts w:cs="Arial"/>
                <w:sz w:val="18"/>
                <w:szCs w:val="18"/>
              </w:rPr>
              <w:t xml:space="preserve">Gutes ökologisches Potential </w:t>
            </w:r>
          </w:p>
        </w:tc>
        <w:tc>
          <w:tcPr>
            <w:tcW w:w="4180" w:type="dxa"/>
          </w:tcPr>
          <w:p>
            <w:pPr>
              <w:pStyle w:val="GesAbsatz"/>
              <w:rPr>
                <w:rFonts w:cs="Arial"/>
                <w:sz w:val="18"/>
                <w:szCs w:val="18"/>
              </w:rPr>
            </w:pPr>
            <w:r>
              <w:rPr>
                <w:rFonts w:cs="Arial"/>
                <w:sz w:val="18"/>
                <w:szCs w:val="18"/>
              </w:rPr>
              <w:t xml:space="preserve">Mäßiges ökologisches Potential </w:t>
            </w:r>
          </w:p>
        </w:tc>
      </w:tr>
      <w:tr>
        <w:trPr>
          <w:trHeight w:val="1620"/>
        </w:trPr>
        <w:tc>
          <w:tcPr>
            <w:tcW w:w="1795" w:type="dxa"/>
          </w:tcPr>
          <w:p>
            <w:pPr>
              <w:pStyle w:val="GesAbsatz"/>
              <w:rPr>
                <w:rFonts w:cs="Arial"/>
                <w:sz w:val="18"/>
                <w:szCs w:val="18"/>
              </w:rPr>
            </w:pPr>
            <w:r>
              <w:rPr>
                <w:rFonts w:cs="Arial"/>
                <w:sz w:val="18"/>
                <w:szCs w:val="18"/>
              </w:rPr>
              <w:t>Biologische Qualitätskomponenten</w:t>
            </w:r>
          </w:p>
        </w:tc>
        <w:tc>
          <w:tcPr>
            <w:tcW w:w="4180" w:type="dxa"/>
          </w:tcPr>
          <w:p>
            <w:pPr>
              <w:pStyle w:val="GesAbsatz"/>
              <w:rPr>
                <w:rFonts w:cs="Arial"/>
                <w:sz w:val="18"/>
                <w:szCs w:val="18"/>
              </w:rPr>
            </w:pPr>
            <w:r>
              <w:rPr>
                <w:rFonts w:cs="Arial"/>
                <w:sz w:val="18"/>
                <w:szCs w:val="18"/>
              </w:rPr>
              <w:t>Die Werte für die einschlägigen biologischen Qualitätskomponenten entsprechen unter Berücksichtigung der physikalischen Bedingungen, die sich aus den künstlichen oder erheblich veränderten Eigenschaften des Wasserkörpers ergeben, soweit wie möglich den Werten für den Oberflächengewässertyp, der am ehesten mit dem betreffenden Wasserkörper vergleichbar ist.</w:t>
            </w:r>
          </w:p>
        </w:tc>
        <w:tc>
          <w:tcPr>
            <w:tcW w:w="4178" w:type="dxa"/>
          </w:tcPr>
          <w:p>
            <w:pPr>
              <w:pStyle w:val="GesAbsatz"/>
              <w:rPr>
                <w:rFonts w:cs="Arial"/>
                <w:sz w:val="18"/>
                <w:szCs w:val="18"/>
              </w:rPr>
            </w:pPr>
            <w:r>
              <w:rPr>
                <w:rFonts w:cs="Arial"/>
                <w:sz w:val="18"/>
                <w:szCs w:val="18"/>
              </w:rPr>
              <w:t>Die Werte für die einschlägigen biologischen Qualitätskomponenten weichen geringfügig von den Werten ab, die für das höchste ökologische Potential gelten.</w:t>
            </w:r>
          </w:p>
        </w:tc>
        <w:tc>
          <w:tcPr>
            <w:tcW w:w="4180" w:type="dxa"/>
          </w:tcPr>
          <w:p>
            <w:pPr>
              <w:pStyle w:val="GesAbsatz"/>
              <w:rPr>
                <w:rFonts w:cs="Arial"/>
                <w:sz w:val="18"/>
                <w:szCs w:val="18"/>
              </w:rPr>
            </w:pPr>
            <w:r>
              <w:rPr>
                <w:rFonts w:cs="Arial"/>
                <w:sz w:val="18"/>
                <w:szCs w:val="18"/>
              </w:rPr>
              <w:t>Die Werte für die einschlägigen biologischen Qualitätskomponenten weichen mäßig von den Werten ab, die für das höchste ökologische Potential gelten.</w:t>
            </w:r>
          </w:p>
          <w:p>
            <w:pPr>
              <w:pStyle w:val="GesAbsatz"/>
              <w:rPr>
                <w:rFonts w:cs="Arial"/>
                <w:sz w:val="18"/>
                <w:szCs w:val="18"/>
              </w:rPr>
            </w:pPr>
            <w:r>
              <w:rPr>
                <w:rFonts w:cs="Arial"/>
                <w:sz w:val="18"/>
                <w:szCs w:val="18"/>
              </w:rPr>
              <w:t>Diese Werte sind in signifikanter Weise stärker gestört, als dies bei einem guten ökologischen Potential der Fall ist.</w:t>
            </w:r>
          </w:p>
        </w:tc>
      </w:tr>
      <w:tr>
        <w:trPr>
          <w:trHeight w:val="2240"/>
        </w:trPr>
        <w:tc>
          <w:tcPr>
            <w:tcW w:w="1795" w:type="dxa"/>
          </w:tcPr>
          <w:p>
            <w:pPr>
              <w:pStyle w:val="GesAbsatz"/>
              <w:rPr>
                <w:rFonts w:cs="Arial"/>
                <w:sz w:val="18"/>
                <w:szCs w:val="18"/>
              </w:rPr>
            </w:pPr>
            <w:r>
              <w:rPr>
                <w:rFonts w:cs="Arial"/>
                <w:sz w:val="18"/>
                <w:szCs w:val="18"/>
              </w:rPr>
              <w:t xml:space="preserve">Hydromorphologische Komponenten </w:t>
            </w:r>
          </w:p>
        </w:tc>
        <w:tc>
          <w:tcPr>
            <w:tcW w:w="4180" w:type="dxa"/>
          </w:tcPr>
          <w:p>
            <w:pPr>
              <w:pStyle w:val="GesAbsatz"/>
              <w:rPr>
                <w:rFonts w:cs="Arial"/>
                <w:sz w:val="18"/>
                <w:szCs w:val="18"/>
              </w:rPr>
            </w:pPr>
            <w:r>
              <w:rPr>
                <w:rFonts w:cs="Arial"/>
                <w:sz w:val="18"/>
                <w:szCs w:val="18"/>
              </w:rPr>
              <w:t>Die hydromorphologischen Bedingungen sind so beschaffen, dass sich die Einwirkungen auf den Oberflächenwasserkörper auf die Einwirkungen beschränken, die von den künstlichen oder erheblich veränderten Eigenschaften des Wasserkörpers herrühren, nachdem alle Gegenmaßnahmen getroffen worden sind, um die beste Annäherung an die ökologische Durchgängigkeit, insbesondere hinsichtlich der Wanderungsbewegungen der Fauna und angemessener Laich- und Aufzuchtgründe, sicherzustellen.</w:t>
            </w:r>
          </w:p>
        </w:tc>
        <w:tc>
          <w:tcPr>
            <w:tcW w:w="4178" w:type="dxa"/>
          </w:tcPr>
          <w:p>
            <w:pPr>
              <w:pStyle w:val="GesAbsatz"/>
              <w:rPr>
                <w:rFonts w:cs="Arial"/>
                <w:sz w:val="18"/>
                <w:szCs w:val="18"/>
              </w:rPr>
            </w:pPr>
            <w:r>
              <w:rPr>
                <w:rFonts w:cs="Arial"/>
                <w:sz w:val="18"/>
                <w:szCs w:val="18"/>
              </w:rPr>
              <w:t>Bedingungen, unter denen die oben für die biologischen Qualitätskomponenten beschriebenen Werte erreicht werden können.</w:t>
            </w:r>
          </w:p>
        </w:tc>
        <w:tc>
          <w:tcPr>
            <w:tcW w:w="4180" w:type="dxa"/>
          </w:tcPr>
          <w:p>
            <w:pPr>
              <w:pStyle w:val="GesAbsatz"/>
              <w:rPr>
                <w:rFonts w:cs="Arial"/>
                <w:sz w:val="18"/>
                <w:szCs w:val="18"/>
              </w:rPr>
            </w:pPr>
            <w:r>
              <w:rPr>
                <w:rFonts w:cs="Arial"/>
                <w:sz w:val="18"/>
                <w:szCs w:val="18"/>
              </w:rPr>
              <w:t>Bedingungen, unter denen die oben für die biologischen Qualitätskomponenten beschriebenen Werte erreicht werden können.</w:t>
            </w:r>
          </w:p>
        </w:tc>
      </w:tr>
      <w:tr>
        <w:trPr>
          <w:trHeight w:val="531"/>
        </w:trPr>
        <w:tc>
          <w:tcPr>
            <w:tcW w:w="1795" w:type="dxa"/>
          </w:tcPr>
          <w:p>
            <w:pPr>
              <w:pStyle w:val="GesAbsatz"/>
              <w:rPr>
                <w:rFonts w:cs="Arial"/>
                <w:sz w:val="18"/>
                <w:szCs w:val="18"/>
              </w:rPr>
            </w:pPr>
            <w:r>
              <w:rPr>
                <w:rFonts w:cs="Arial"/>
                <w:sz w:val="18"/>
                <w:szCs w:val="18"/>
              </w:rPr>
              <w:t>Physikalisch-chemische Komponenten</w:t>
            </w:r>
          </w:p>
        </w:tc>
        <w:tc>
          <w:tcPr>
            <w:tcW w:w="4180" w:type="dxa"/>
          </w:tcPr>
          <w:p>
            <w:pPr>
              <w:pStyle w:val="GesAbsatz"/>
              <w:rPr>
                <w:rFonts w:cs="Arial"/>
                <w:sz w:val="18"/>
                <w:szCs w:val="18"/>
              </w:rPr>
            </w:pPr>
          </w:p>
        </w:tc>
        <w:tc>
          <w:tcPr>
            <w:tcW w:w="4178" w:type="dxa"/>
          </w:tcPr>
          <w:p>
            <w:pPr>
              <w:pStyle w:val="GesAbsatz"/>
              <w:rPr>
                <w:rFonts w:cs="Arial"/>
                <w:sz w:val="18"/>
                <w:szCs w:val="18"/>
              </w:rPr>
            </w:pPr>
          </w:p>
        </w:tc>
        <w:tc>
          <w:tcPr>
            <w:tcW w:w="4180" w:type="dxa"/>
          </w:tcPr>
          <w:p>
            <w:pPr>
              <w:pStyle w:val="GesAbsatz"/>
              <w:rPr>
                <w:rFonts w:cs="Arial"/>
                <w:sz w:val="18"/>
                <w:szCs w:val="18"/>
              </w:rPr>
            </w:pPr>
          </w:p>
        </w:tc>
      </w:tr>
      <w:tr>
        <w:trPr>
          <w:trHeight w:val="3608"/>
        </w:trPr>
        <w:tc>
          <w:tcPr>
            <w:tcW w:w="1795" w:type="dxa"/>
          </w:tcPr>
          <w:p>
            <w:pPr>
              <w:pStyle w:val="GesAbsatz"/>
              <w:rPr>
                <w:rFonts w:cs="Arial"/>
                <w:sz w:val="18"/>
                <w:szCs w:val="18"/>
              </w:rPr>
            </w:pPr>
            <w:r>
              <w:rPr>
                <w:rFonts w:cs="Arial"/>
                <w:sz w:val="18"/>
                <w:szCs w:val="18"/>
              </w:rPr>
              <w:lastRenderedPageBreak/>
              <w:t>Allgemeine Bedingungen</w:t>
            </w:r>
          </w:p>
        </w:tc>
        <w:tc>
          <w:tcPr>
            <w:tcW w:w="4180" w:type="dxa"/>
          </w:tcPr>
          <w:p>
            <w:pPr>
              <w:pStyle w:val="GesAbsatz"/>
              <w:rPr>
                <w:rFonts w:cs="Arial"/>
                <w:sz w:val="18"/>
                <w:szCs w:val="18"/>
              </w:rPr>
            </w:pPr>
            <w:r>
              <w:rPr>
                <w:rFonts w:cs="Arial"/>
                <w:sz w:val="18"/>
                <w:szCs w:val="18"/>
              </w:rPr>
              <w:t>Die physikalisch-chemischen Komponenten entsprechen vollständig oder nahezu vollständig den Bedingungen, die bei Abwesenheit störender Einflüsse mit dem Oberflächengewässertyp einhergehen, der mit dem betreffenden künstlichen oder erheblich veränderten Wasserkörper am ehesten vergleichbar ist.</w:t>
            </w:r>
          </w:p>
          <w:p>
            <w:pPr>
              <w:pStyle w:val="GesAbsatz"/>
              <w:rPr>
                <w:rFonts w:cs="Arial"/>
                <w:sz w:val="18"/>
                <w:szCs w:val="18"/>
              </w:rPr>
            </w:pPr>
            <w:r>
              <w:rPr>
                <w:rFonts w:cs="Arial"/>
                <w:sz w:val="18"/>
                <w:szCs w:val="18"/>
              </w:rPr>
              <w:t>Die Nährstoffkonzentrationen bleiben in dem Bereich, der normalerweise bei Abwesenheit störender Einflüsse festzustellen ist.</w:t>
            </w:r>
          </w:p>
          <w:p>
            <w:pPr>
              <w:pStyle w:val="GesAbsatz"/>
              <w:rPr>
                <w:rFonts w:cs="Arial"/>
                <w:sz w:val="18"/>
                <w:szCs w:val="18"/>
              </w:rPr>
            </w:pPr>
            <w:r>
              <w:rPr>
                <w:rFonts w:cs="Arial"/>
                <w:sz w:val="18"/>
                <w:szCs w:val="18"/>
              </w:rPr>
              <w:t>Die Werte für die Temperatur und die Sauerstoffbilanz sowie der pH-Wert entsprechen den Werten, die bei Abwesenheit störender Einflüsse in den Oberflächengewässertypen vorzufinden sind, die dem betreffenden Wasserkörper am ehesten vergleichbar sind.</w:t>
            </w:r>
          </w:p>
        </w:tc>
        <w:tc>
          <w:tcPr>
            <w:tcW w:w="4178" w:type="dxa"/>
          </w:tcPr>
          <w:p>
            <w:pPr>
              <w:pStyle w:val="GesAbsatz"/>
              <w:rPr>
                <w:rFonts w:cs="Arial"/>
                <w:sz w:val="18"/>
                <w:szCs w:val="18"/>
              </w:rPr>
            </w:pPr>
            <w:r>
              <w:rPr>
                <w:rFonts w:cs="Arial"/>
                <w:sz w:val="18"/>
                <w:szCs w:val="18"/>
              </w:rPr>
              <w:t>Die Werte für die physikalisch-chemischen Komponenten liegen in dem Bereich, innerhalb dessen die Funktionsfähigkeit des Ökosystems und die Einhaltung der oben beschriebenen Werte für die biologischen Qualitätskomponenten gewährleistet sind.</w:t>
            </w:r>
          </w:p>
          <w:p>
            <w:pPr>
              <w:pStyle w:val="GesAbsatz"/>
              <w:rPr>
                <w:rFonts w:cs="Arial"/>
                <w:sz w:val="18"/>
                <w:szCs w:val="18"/>
              </w:rPr>
            </w:pPr>
            <w:r>
              <w:rPr>
                <w:rFonts w:cs="Arial"/>
                <w:sz w:val="18"/>
                <w:szCs w:val="18"/>
              </w:rPr>
              <w:t>Die Werte für die Temperatur und der pH-Wert gehen nicht über den Bereich hinaus, innerhalb dessen die Funktionsfähigkeit des Ökosystems und die Einhaltung der oben beschriebenen Werte für die biologischen Qualitätskomponenten gewährleistet sind.</w:t>
            </w:r>
          </w:p>
          <w:p>
            <w:pPr>
              <w:pStyle w:val="GesAbsatz"/>
              <w:rPr>
                <w:rFonts w:cs="Arial"/>
                <w:sz w:val="18"/>
                <w:szCs w:val="18"/>
              </w:rPr>
            </w:pPr>
            <w:r>
              <w:rPr>
                <w:rFonts w:cs="Arial"/>
                <w:sz w:val="18"/>
                <w:szCs w:val="18"/>
              </w:rPr>
              <w:t>Die Nährstoffkonzentrationen gehen nicht über die Werte hinaus, bei denen die Funktionsfähigkeit des Ökosystems und die Einhaltung der oben beschriebenen Werte für die biologischen Qualitätskomponenten gewährleistet sind.</w:t>
            </w:r>
          </w:p>
        </w:tc>
        <w:tc>
          <w:tcPr>
            <w:tcW w:w="4180" w:type="dxa"/>
          </w:tcPr>
          <w:p>
            <w:pPr>
              <w:pStyle w:val="GesAbsatz"/>
              <w:rPr>
                <w:rFonts w:cs="Arial"/>
                <w:sz w:val="18"/>
                <w:szCs w:val="18"/>
              </w:rPr>
            </w:pPr>
            <w:r>
              <w:rPr>
                <w:rFonts w:cs="Arial"/>
                <w:sz w:val="18"/>
                <w:szCs w:val="18"/>
              </w:rPr>
              <w:t>Bedingungen, unter denen die oben für die biologischen Qualitätskomponenten beschriebenen Werte erreicht werden können.</w:t>
            </w:r>
          </w:p>
        </w:tc>
      </w:tr>
      <w:tr>
        <w:trPr>
          <w:trHeight w:val="966"/>
        </w:trPr>
        <w:tc>
          <w:tcPr>
            <w:tcW w:w="1795" w:type="dxa"/>
          </w:tcPr>
          <w:p>
            <w:pPr>
              <w:pStyle w:val="GesAbsatz"/>
              <w:jc w:val="left"/>
              <w:rPr>
                <w:sz w:val="18"/>
                <w:szCs w:val="18"/>
              </w:rPr>
            </w:pPr>
            <w:r>
              <w:rPr>
                <w:sz w:val="18"/>
                <w:szCs w:val="18"/>
              </w:rPr>
              <w:t>Spezifische synthetische Schadstoffe</w:t>
            </w:r>
          </w:p>
        </w:tc>
        <w:tc>
          <w:tcPr>
            <w:tcW w:w="4180" w:type="dxa"/>
          </w:tcPr>
          <w:p>
            <w:pPr>
              <w:pStyle w:val="GesAbsatz"/>
              <w:jc w:val="left"/>
              <w:rPr>
                <w:sz w:val="18"/>
                <w:szCs w:val="18"/>
              </w:rPr>
            </w:pPr>
            <w:r>
              <w:rPr>
                <w:sz w:val="18"/>
                <w:szCs w:val="18"/>
              </w:rPr>
              <w:t>Konzentrationen nahe Null oder zumindest unter der Nachweisgrenze der allgemein gebräuchlichen fortgeschrittensten Analysetechniken (Hintergrundwerte = bgl).</w:t>
            </w:r>
          </w:p>
        </w:tc>
        <w:tc>
          <w:tcPr>
            <w:tcW w:w="4178" w:type="dxa"/>
          </w:tcPr>
          <w:p>
            <w:pPr>
              <w:pStyle w:val="GesAbsatz"/>
              <w:jc w:val="left"/>
              <w:rPr>
                <w:sz w:val="18"/>
                <w:szCs w:val="18"/>
              </w:rPr>
            </w:pPr>
            <w:r>
              <w:rPr>
                <w:sz w:val="18"/>
                <w:szCs w:val="18"/>
              </w:rPr>
              <w:t>Konzentrationen nicht höher als die Umweltqualitätsnormen, die nach dem Verfahren gemäß Randnummer 1.2.6 festgelegt werden, unbeschadet der Richtlinie 91/414/ EWG und der Richtlinie 98/8/EG (&lt; eqs).</w:t>
            </w:r>
          </w:p>
        </w:tc>
        <w:tc>
          <w:tcPr>
            <w:tcW w:w="4180" w:type="dxa"/>
          </w:tcPr>
          <w:p>
            <w:pPr>
              <w:pStyle w:val="GesAbsatz"/>
              <w:jc w:val="left"/>
              <w:rPr>
                <w:sz w:val="18"/>
                <w:szCs w:val="18"/>
              </w:rPr>
            </w:pPr>
            <w:r>
              <w:rPr>
                <w:sz w:val="18"/>
                <w:szCs w:val="18"/>
              </w:rPr>
              <w:t>Bedingungen, unter denen die oben für die biologischen Qualitätskomponenten beschriebenen Werte erreicht werden können.</w:t>
            </w:r>
          </w:p>
        </w:tc>
      </w:tr>
      <w:tr>
        <w:trPr>
          <w:trHeight w:val="1210"/>
        </w:trPr>
        <w:tc>
          <w:tcPr>
            <w:tcW w:w="1795" w:type="dxa"/>
          </w:tcPr>
          <w:p>
            <w:pPr>
              <w:pStyle w:val="GesAbsatz"/>
              <w:jc w:val="left"/>
              <w:rPr>
                <w:sz w:val="18"/>
                <w:szCs w:val="18"/>
              </w:rPr>
            </w:pPr>
            <w:r>
              <w:rPr>
                <w:sz w:val="18"/>
                <w:szCs w:val="18"/>
              </w:rPr>
              <w:t xml:space="preserve">Spezifische nichtsynthetische Schadstoffe </w:t>
            </w:r>
          </w:p>
        </w:tc>
        <w:tc>
          <w:tcPr>
            <w:tcW w:w="4180" w:type="dxa"/>
          </w:tcPr>
          <w:p>
            <w:pPr>
              <w:pStyle w:val="GesAbsatz"/>
              <w:jc w:val="left"/>
              <w:rPr>
                <w:sz w:val="18"/>
                <w:szCs w:val="18"/>
              </w:rPr>
            </w:pPr>
            <w:r>
              <w:rPr>
                <w:sz w:val="18"/>
                <w:szCs w:val="18"/>
              </w:rPr>
              <w:t>Die Konzentrationen bleiben in dem Bereich, der normalerweise bei Abwesenheit störender Einflüsse mit dem Oberflächengewässertyp einhergeht, der am ehesten mit dem betreffenden künstlichen oder erheblich veränderten Wasserkörper vergleichbar ist.</w:t>
            </w:r>
          </w:p>
        </w:tc>
        <w:tc>
          <w:tcPr>
            <w:tcW w:w="4178" w:type="dxa"/>
          </w:tcPr>
          <w:p>
            <w:pPr>
              <w:pStyle w:val="GesAbsatz"/>
              <w:jc w:val="left"/>
              <w:rPr>
                <w:sz w:val="18"/>
                <w:szCs w:val="18"/>
              </w:rPr>
            </w:pPr>
            <w:r>
              <w:rPr>
                <w:sz w:val="18"/>
                <w:szCs w:val="18"/>
              </w:rPr>
              <w:t xml:space="preserve">Konzentrationen nicht höher als die Umweltqualitätsnormen, die nach dem Verfahren </w:t>
            </w:r>
            <w:r>
              <w:rPr>
                <w:sz w:val="18"/>
                <w:szCs w:val="18"/>
                <w:vertAlign w:val="superscript"/>
              </w:rPr>
              <w:t>1)</w:t>
            </w:r>
            <w:r>
              <w:rPr>
                <w:sz w:val="18"/>
                <w:szCs w:val="18"/>
              </w:rPr>
              <w:t xml:space="preserve"> gemäß Randnummer 1.2.6 festgelegt werden, unbeschadet der Richtlinie 91/414/EWG und der Richtlinie 98/8/EG (&lt; eqs).</w:t>
            </w:r>
          </w:p>
        </w:tc>
        <w:tc>
          <w:tcPr>
            <w:tcW w:w="4180" w:type="dxa"/>
          </w:tcPr>
          <w:p>
            <w:pPr>
              <w:pStyle w:val="GesAbsatz"/>
              <w:jc w:val="left"/>
              <w:rPr>
                <w:sz w:val="18"/>
                <w:szCs w:val="18"/>
              </w:rPr>
            </w:pPr>
            <w:r>
              <w:rPr>
                <w:sz w:val="18"/>
                <w:szCs w:val="18"/>
              </w:rPr>
              <w:t>Bedingungen, unter denen die oben für die biologischen Qualitätskomponenten beschriebenen Werte erreicht werden können.</w:t>
            </w:r>
          </w:p>
        </w:tc>
      </w:tr>
      <w:tr>
        <w:trPr>
          <w:trHeight w:val="463"/>
        </w:trPr>
        <w:tc>
          <w:tcPr>
            <w:tcW w:w="14333" w:type="dxa"/>
            <w:gridSpan w:val="4"/>
          </w:tcPr>
          <w:p>
            <w:pPr>
              <w:pStyle w:val="GesAbsatz"/>
              <w:jc w:val="left"/>
              <w:rPr>
                <w:sz w:val="18"/>
                <w:szCs w:val="18"/>
              </w:rPr>
            </w:pPr>
            <w:r>
              <w:rPr>
                <w:sz w:val="18"/>
                <w:szCs w:val="18"/>
                <w:vertAlign w:val="superscript"/>
              </w:rPr>
              <w:t>1)</w:t>
            </w:r>
            <w:r>
              <w:rPr>
                <w:sz w:val="18"/>
                <w:szCs w:val="18"/>
              </w:rPr>
              <w:t xml:space="preserve"> Die Anwendung der Umweltqualitätsnormen, die sich aus diesem Protokoll ergeben, bedeutet nicht, dass die Schadstoffkonzentrationen so weit verringert werden müssen, dass sie unter den Hintergrundwerten liegen.</w:t>
            </w:r>
          </w:p>
        </w:tc>
      </w:tr>
    </w:tbl>
    <w:p>
      <w:pPr>
        <w:tabs>
          <w:tab w:val="clear" w:pos="425"/>
        </w:tabs>
        <w:overflowPunct/>
        <w:spacing w:before="0" w:after="0"/>
        <w:jc w:val="left"/>
        <w:textAlignment w:val="auto"/>
        <w:rPr>
          <w:rFonts w:ascii="Adve 0661 3w" w:hAnsi="Adve 0661 3w"/>
          <w:sz w:val="24"/>
          <w:szCs w:val="24"/>
        </w:rPr>
      </w:pPr>
    </w:p>
    <w:p>
      <w:pPr>
        <w:pStyle w:val="GesAbsatz"/>
        <w:sectPr>
          <w:pgSz w:w="16840" w:h="11907" w:orient="landscape" w:code="9"/>
          <w:pgMar w:top="851" w:right="1134" w:bottom="1418" w:left="1134" w:header="567" w:footer="851" w:gutter="0"/>
          <w:cols w:space="720"/>
        </w:sectPr>
      </w:pPr>
    </w:p>
    <w:p>
      <w:pPr>
        <w:pStyle w:val="GesAbsatz"/>
      </w:pPr>
      <w:r>
        <w:lastRenderedPageBreak/>
        <w:t>1.2.6 Verfahren zur Festlegung chemischer Qualitätsnormen durch die Mitgliedstaaten</w:t>
      </w:r>
    </w:p>
    <w:p>
      <w:pPr>
        <w:pStyle w:val="GesAbsatz"/>
      </w:pPr>
      <w:r>
        <w:t>Bei der Herleitung von Umweltqualitätsnormen für die in den Nummern 1 bis 9 des Anhangs VIII betreffenden Schutz von aquatischen Biota aufgeführten Schadstoffe gehen die Mitgliedstaaten entsprechend den nachstehenden Bestimmungen vor. Es können Normen für Wasser, Sedimente oder Biota festgelegt werden.</w:t>
      </w:r>
    </w:p>
    <w:p>
      <w:pPr>
        <w:pStyle w:val="GesAbsatz"/>
      </w:pPr>
      <w:r>
        <w:t>Wenn dies möglich ist, sollten für die unten genannten Taxa, die für den betreffenden Wasserkörpertyp von Belang sind, wie auch für alle anderen aquatischen Taxa, für die Daten verfügbar sind, sowohl akute als auch chronische Daten beschafft werden. Der Grundbestand an Taxa umfasst</w:t>
      </w:r>
    </w:p>
    <w:p>
      <w:pPr>
        <w:pStyle w:val="GesAbsatz"/>
        <w:rPr>
          <w:rFonts w:cs="Arial"/>
        </w:rPr>
      </w:pPr>
      <w:r>
        <w:rPr>
          <w:rFonts w:cs="Arial"/>
        </w:rPr>
        <w:t>-</w:t>
      </w:r>
      <w:r>
        <w:rPr>
          <w:rFonts w:cs="Arial"/>
        </w:rPr>
        <w:tab/>
        <w:t>Algen und/oder Makrophyten,</w:t>
      </w:r>
    </w:p>
    <w:p>
      <w:pPr>
        <w:pStyle w:val="GesAbsatz"/>
        <w:rPr>
          <w:rFonts w:cs="Arial"/>
        </w:rPr>
      </w:pPr>
      <w:r>
        <w:rPr>
          <w:rFonts w:cs="Arial"/>
        </w:rPr>
        <w:t>-</w:t>
      </w:r>
      <w:r>
        <w:rPr>
          <w:rFonts w:cs="Arial"/>
        </w:rPr>
        <w:tab/>
        <w:t>Daphnien oder Organismen, die für salzhaltiges Wasser repräsentativ sind,</w:t>
      </w:r>
    </w:p>
    <w:p>
      <w:pPr>
        <w:pStyle w:val="GesAbsatz"/>
        <w:rPr>
          <w:rFonts w:cs="Arial"/>
        </w:rPr>
      </w:pPr>
      <w:r>
        <w:rPr>
          <w:rFonts w:cs="Arial"/>
        </w:rPr>
        <w:t>-</w:t>
      </w:r>
      <w:r>
        <w:rPr>
          <w:rFonts w:cs="Arial"/>
        </w:rPr>
        <w:tab/>
        <w:t>Fische.</w:t>
      </w:r>
    </w:p>
    <w:p>
      <w:pPr>
        <w:pStyle w:val="GesAbsatz"/>
        <w:rPr>
          <w:b/>
        </w:rPr>
      </w:pPr>
      <w:r>
        <w:rPr>
          <w:b/>
        </w:rPr>
        <w:t>Festlegung der Umweltqualitätsnorm</w:t>
      </w:r>
    </w:p>
    <w:p>
      <w:pPr>
        <w:pStyle w:val="GesAbsatz"/>
      </w:pPr>
      <w:r>
        <w:t>Die maximale jahresbezogene Durchschnittskonzentration wird nach folgendem Verfahren festgelegt:</w:t>
      </w:r>
    </w:p>
    <w:p>
      <w:pPr>
        <w:pStyle w:val="GesAbsatz"/>
        <w:ind w:left="426" w:hanging="426"/>
      </w:pPr>
      <w:r>
        <w:t>i)</w:t>
      </w:r>
      <w:r>
        <w:tab/>
        <w:t>Die Mitgliedstaaten legen geeignete Sicherheitsfaktoren fest, die in jedem Einzelfall mit der Art und Qualität der verfügbaren Daten und den Leitlinien in Teil II Abschnitt 3.3.1 des Technischen Leitfadens zu der Richtlinie der Kommission 93/67/EWG über die Bewertung des Risikos von neuen notifizierten Stoffen und der Verordnung der Kommission (EG) Nr. 1488/94 über die Bewertung des von Altstoffen ausgehenden Risikos und den Sicherheitsfaktoren in der folgenden Tabelle kohärent sind.</w:t>
      </w:r>
    </w:p>
    <w:p>
      <w:pPr>
        <w:pStyle w:val="GesAbsatz"/>
      </w:pPr>
    </w:p>
    <w:tbl>
      <w:tblPr>
        <w:tblW w:w="7298" w:type="dxa"/>
        <w:jc w:val="center"/>
        <w:tblBorders>
          <w:top w:val="nil"/>
          <w:left w:val="nil"/>
          <w:bottom w:val="nil"/>
          <w:right w:val="nil"/>
        </w:tblBorders>
        <w:tblLook w:val="0000" w:firstRow="0" w:lastRow="0" w:firstColumn="0" w:lastColumn="0" w:noHBand="0" w:noVBand="0"/>
      </w:tblPr>
      <w:tblGrid>
        <w:gridCol w:w="5505"/>
        <w:gridCol w:w="1793"/>
      </w:tblGrid>
      <w:tr>
        <w:trPr>
          <w:trHeight w:val="450"/>
          <w:jc w:val="center"/>
        </w:trPr>
        <w:tc>
          <w:tcPr>
            <w:tcW w:w="5505" w:type="dxa"/>
            <w:tcBorders>
              <w:top w:val="single" w:sz="6" w:space="0" w:color="000000"/>
              <w:bottom w:val="single" w:sz="5" w:space="0" w:color="000000"/>
              <w:right w:val="single" w:sz="5" w:space="0" w:color="000000"/>
            </w:tcBorders>
          </w:tcPr>
          <w:p>
            <w:pPr>
              <w:pStyle w:val="GesAbsatz"/>
              <w:jc w:val="left"/>
            </w:pPr>
          </w:p>
        </w:tc>
        <w:tc>
          <w:tcPr>
            <w:tcW w:w="1793" w:type="dxa"/>
            <w:tcBorders>
              <w:top w:val="single" w:sz="6" w:space="0" w:color="000000"/>
              <w:left w:val="single" w:sz="5" w:space="0" w:color="000000"/>
              <w:bottom w:val="single" w:sz="5" w:space="0" w:color="000000"/>
            </w:tcBorders>
          </w:tcPr>
          <w:p>
            <w:pPr>
              <w:pStyle w:val="GesAbsatz"/>
              <w:jc w:val="left"/>
              <w:rPr>
                <w:rFonts w:cs="Adve 0661 3w"/>
              </w:rPr>
            </w:pPr>
            <w:r>
              <w:rPr>
                <w:rFonts w:cs="Adve 0661 3w"/>
              </w:rPr>
              <w:t xml:space="preserve">Sicherheitsfaktor </w:t>
            </w:r>
          </w:p>
        </w:tc>
      </w:tr>
      <w:tr>
        <w:trPr>
          <w:trHeight w:val="441"/>
          <w:jc w:val="center"/>
        </w:trPr>
        <w:tc>
          <w:tcPr>
            <w:tcW w:w="5505" w:type="dxa"/>
            <w:tcBorders>
              <w:top w:val="single" w:sz="5" w:space="0" w:color="000000"/>
              <w:bottom w:val="single" w:sz="5" w:space="0" w:color="000000"/>
              <w:right w:val="single" w:sz="5" w:space="0" w:color="000000"/>
            </w:tcBorders>
          </w:tcPr>
          <w:p>
            <w:pPr>
              <w:pStyle w:val="GesAbsatz"/>
              <w:jc w:val="left"/>
              <w:rPr>
                <w:rFonts w:cs="Adve 0661 3w"/>
              </w:rPr>
            </w:pPr>
            <w:r>
              <w:rPr>
                <w:rFonts w:cs="Adve 0661 3w"/>
              </w:rPr>
              <w:t>Zumindest jeweils eine akute L(E)C</w:t>
            </w:r>
            <w:r>
              <w:rPr>
                <w:rFonts w:cs="Adve 0661 3w"/>
                <w:vertAlign w:val="subscript"/>
              </w:rPr>
              <w:t>50</w:t>
            </w:r>
            <w:r>
              <w:rPr>
                <w:rFonts w:cs="Adve 0661 3w"/>
              </w:rPr>
              <w:t xml:space="preserve"> von drei trophischen Ebenen des Grundbestands</w:t>
            </w:r>
          </w:p>
        </w:tc>
        <w:tc>
          <w:tcPr>
            <w:tcW w:w="1793" w:type="dxa"/>
            <w:tcBorders>
              <w:top w:val="single" w:sz="5" w:space="0" w:color="000000"/>
              <w:left w:val="single" w:sz="5" w:space="0" w:color="000000"/>
              <w:bottom w:val="single" w:sz="5" w:space="0" w:color="000000"/>
            </w:tcBorders>
          </w:tcPr>
          <w:p>
            <w:pPr>
              <w:pStyle w:val="GesAbsatz"/>
              <w:jc w:val="left"/>
              <w:rPr>
                <w:rFonts w:cs="Adve 0661 3w"/>
              </w:rPr>
            </w:pPr>
            <w:r>
              <w:rPr>
                <w:rFonts w:cs="Adve 0661 3w"/>
              </w:rPr>
              <w:t>1 000</w:t>
            </w:r>
          </w:p>
        </w:tc>
      </w:tr>
      <w:tr>
        <w:trPr>
          <w:trHeight w:val="778"/>
          <w:jc w:val="center"/>
        </w:trPr>
        <w:tc>
          <w:tcPr>
            <w:tcW w:w="5505" w:type="dxa"/>
            <w:tcBorders>
              <w:top w:val="single" w:sz="5" w:space="0" w:color="000000"/>
              <w:bottom w:val="single" w:sz="6" w:space="0" w:color="000000"/>
              <w:right w:val="single" w:sz="5" w:space="0" w:color="000000"/>
            </w:tcBorders>
          </w:tcPr>
          <w:p>
            <w:pPr>
              <w:pStyle w:val="GesAbsatz"/>
              <w:jc w:val="left"/>
              <w:rPr>
                <w:rFonts w:cs="Adve 0661 3w"/>
              </w:rPr>
            </w:pPr>
            <w:r>
              <w:rPr>
                <w:rFonts w:cs="Adve 0661 3w"/>
              </w:rPr>
              <w:t>Eine chronische NOEC (von Fischen oder Daphnien oder einen Organismus, der für salzhaltiges Wasser repräsentativ ist)</w:t>
            </w:r>
          </w:p>
        </w:tc>
        <w:tc>
          <w:tcPr>
            <w:tcW w:w="1793" w:type="dxa"/>
            <w:tcBorders>
              <w:top w:val="single" w:sz="5" w:space="0" w:color="000000"/>
              <w:left w:val="single" w:sz="5" w:space="0" w:color="000000"/>
              <w:bottom w:val="single" w:sz="6" w:space="0" w:color="000000"/>
            </w:tcBorders>
          </w:tcPr>
          <w:p>
            <w:pPr>
              <w:pStyle w:val="GesAbsatz"/>
              <w:jc w:val="left"/>
              <w:rPr>
                <w:rFonts w:cs="Adve 0661 3w"/>
              </w:rPr>
            </w:pPr>
            <w:r>
              <w:rPr>
                <w:rFonts w:cs="Adve 0661 3w"/>
              </w:rPr>
              <w:t>100</w:t>
            </w:r>
          </w:p>
        </w:tc>
      </w:tr>
      <w:tr>
        <w:trPr>
          <w:trHeight w:val="968"/>
          <w:jc w:val="center"/>
        </w:trPr>
        <w:tc>
          <w:tcPr>
            <w:tcW w:w="5505" w:type="dxa"/>
            <w:tcBorders>
              <w:top w:val="single" w:sz="6" w:space="0" w:color="000000"/>
              <w:bottom w:val="single" w:sz="5" w:space="0" w:color="000000"/>
              <w:right w:val="single" w:sz="5" w:space="0" w:color="000000"/>
            </w:tcBorders>
          </w:tcPr>
          <w:p>
            <w:pPr>
              <w:pStyle w:val="GesAbsatz"/>
              <w:jc w:val="left"/>
              <w:rPr>
                <w:rFonts w:cs="Adve 0661 3w"/>
              </w:rPr>
            </w:pPr>
            <w:r>
              <w:rPr>
                <w:rFonts w:cs="Adve 0661 3w"/>
              </w:rPr>
              <w:t>Zwei chronische NOECs von Arten, die zwei trophische Ebenen darstellen (Fische und/oder Daphnien oder ein Organismus, der für salzhaltiges Wasser repräsentativ ist, und/oder Algen)</w:t>
            </w:r>
          </w:p>
        </w:tc>
        <w:tc>
          <w:tcPr>
            <w:tcW w:w="1793" w:type="dxa"/>
            <w:tcBorders>
              <w:top w:val="single" w:sz="6" w:space="0" w:color="000000"/>
              <w:left w:val="single" w:sz="5" w:space="0" w:color="000000"/>
              <w:bottom w:val="single" w:sz="5" w:space="0" w:color="000000"/>
            </w:tcBorders>
          </w:tcPr>
          <w:p>
            <w:pPr>
              <w:pStyle w:val="GesAbsatz"/>
              <w:jc w:val="left"/>
              <w:rPr>
                <w:rFonts w:cs="Adve 0661 3w"/>
              </w:rPr>
            </w:pPr>
            <w:r>
              <w:rPr>
                <w:rFonts w:cs="Adve 0661 3w"/>
              </w:rPr>
              <w:t>50</w:t>
            </w:r>
          </w:p>
        </w:tc>
      </w:tr>
      <w:tr>
        <w:trPr>
          <w:trHeight w:val="970"/>
          <w:jc w:val="center"/>
        </w:trPr>
        <w:tc>
          <w:tcPr>
            <w:tcW w:w="5505" w:type="dxa"/>
            <w:tcBorders>
              <w:top w:val="single" w:sz="5" w:space="0" w:color="000000"/>
              <w:bottom w:val="single" w:sz="6" w:space="0" w:color="000000"/>
              <w:right w:val="single" w:sz="5" w:space="0" w:color="000000"/>
            </w:tcBorders>
          </w:tcPr>
          <w:p>
            <w:pPr>
              <w:pStyle w:val="GesAbsatz"/>
              <w:jc w:val="left"/>
              <w:rPr>
                <w:rFonts w:cs="Adve 0661 3w"/>
              </w:rPr>
            </w:pPr>
            <w:r>
              <w:rPr>
                <w:rFonts w:cs="Adve 0661 3w"/>
              </w:rPr>
              <w:t xml:space="preserve">Chronische NOECs von mindestens drei Arten (in der Regel Fische, Daphnien oder ein Organismus, der für salzhaltiges Wasser repräsentativ ist, und Algen), die drei trophische Ebenen darstellen </w:t>
            </w:r>
          </w:p>
        </w:tc>
        <w:tc>
          <w:tcPr>
            <w:tcW w:w="1793" w:type="dxa"/>
            <w:tcBorders>
              <w:top w:val="single" w:sz="5" w:space="0" w:color="000000"/>
              <w:left w:val="single" w:sz="5" w:space="0" w:color="000000"/>
              <w:bottom w:val="single" w:sz="6" w:space="0" w:color="000000"/>
            </w:tcBorders>
          </w:tcPr>
          <w:p>
            <w:pPr>
              <w:pStyle w:val="GesAbsatz"/>
              <w:jc w:val="left"/>
              <w:rPr>
                <w:rFonts w:cs="Adve 0661 3w"/>
              </w:rPr>
            </w:pPr>
            <w:r>
              <w:rPr>
                <w:rFonts w:cs="Adve 0661 3w"/>
              </w:rPr>
              <w:t>10</w:t>
            </w:r>
          </w:p>
        </w:tc>
      </w:tr>
      <w:tr>
        <w:trPr>
          <w:trHeight w:val="775"/>
          <w:jc w:val="center"/>
        </w:trPr>
        <w:tc>
          <w:tcPr>
            <w:tcW w:w="5505" w:type="dxa"/>
            <w:tcBorders>
              <w:top w:val="single" w:sz="6" w:space="0" w:color="000000"/>
              <w:bottom w:val="single" w:sz="6" w:space="0" w:color="000000"/>
              <w:right w:val="single" w:sz="5" w:space="0" w:color="000000"/>
            </w:tcBorders>
          </w:tcPr>
          <w:p>
            <w:pPr>
              <w:pStyle w:val="GesAbsatz"/>
              <w:jc w:val="left"/>
              <w:rPr>
                <w:rFonts w:cs="Adve 0661 3w"/>
              </w:rPr>
            </w:pPr>
            <w:r>
              <w:rPr>
                <w:rFonts w:cs="Adve 0661 3w"/>
              </w:rPr>
              <w:t xml:space="preserve">Andere Fälle, einschließlich von Felddaten oder Modell-Ökosystemen, die es erlauben, präzisere Sicherheitsfaktoren zu berechnen und zugrunde zu legen </w:t>
            </w:r>
          </w:p>
        </w:tc>
        <w:tc>
          <w:tcPr>
            <w:tcW w:w="1793" w:type="dxa"/>
            <w:tcBorders>
              <w:top w:val="single" w:sz="6" w:space="0" w:color="000000"/>
              <w:left w:val="single" w:sz="5" w:space="0" w:color="000000"/>
              <w:bottom w:val="single" w:sz="6" w:space="0" w:color="000000"/>
            </w:tcBorders>
          </w:tcPr>
          <w:p>
            <w:pPr>
              <w:pStyle w:val="GesAbsatz"/>
              <w:jc w:val="left"/>
              <w:rPr>
                <w:rFonts w:cs="Adve 0661 3w"/>
              </w:rPr>
            </w:pPr>
            <w:r>
              <w:rPr>
                <w:rFonts w:cs="Adve 0661 3w"/>
              </w:rPr>
              <w:t>Einzelfallbewertung</w:t>
            </w:r>
          </w:p>
        </w:tc>
      </w:tr>
    </w:tbl>
    <w:p>
      <w:pPr>
        <w:pStyle w:val="GesAbsatz"/>
      </w:pPr>
    </w:p>
    <w:p>
      <w:pPr>
        <w:pStyle w:val="GesAbsatz"/>
        <w:ind w:left="426" w:hanging="426"/>
      </w:pPr>
      <w:r>
        <w:t>ii)</w:t>
      </w:r>
      <w:r>
        <w:tab/>
        <w:t>Falls Daten zur Persistenz und Bioakkumulation vorliegen, sollten diese bei der Ableitung des endgültigen Wertes für die Umweltqualitätsnorm herangezogen werden.</w:t>
      </w:r>
    </w:p>
    <w:p>
      <w:pPr>
        <w:pStyle w:val="GesAbsatz"/>
        <w:ind w:left="426" w:hanging="426"/>
      </w:pPr>
      <w:r>
        <w:t>iii)</w:t>
      </w:r>
      <w:r>
        <w:tab/>
        <w:t>Die derart abgeleitete Norm sollte mit allen aus Felduntersuchungen vorliegenden Ergebnissen verglichen werden. Falls Anomalien festgestellt werden, sollte die Ableitung überprüft werden, damit ein präziserer Sicherheitsfaktor berechnet werden kann.</w:t>
      </w:r>
    </w:p>
    <w:p>
      <w:pPr>
        <w:pStyle w:val="GesAbsatz"/>
        <w:ind w:left="426" w:hanging="426"/>
      </w:pPr>
      <w:r>
        <w:t>iv)</w:t>
      </w:r>
      <w:r>
        <w:tab/>
        <w:t>Die abgeleitete Norm sollte einer Evaluierung durch Gutachter und einer öffentlichen Anhörung unterworfen werden, damit unter anderem ein präziserer Sicherheitsfaktor berechnet werden kann.</w:t>
      </w:r>
    </w:p>
    <w:p>
      <w:pPr>
        <w:pStyle w:val="GesAbsatz"/>
      </w:pPr>
      <w:r>
        <w:t>1.3 Überwachung des ökologischen und des chemischen Zustands der Oberflächengewässer</w:t>
      </w:r>
    </w:p>
    <w:p>
      <w:pPr>
        <w:pStyle w:val="GesAbsatz"/>
      </w:pPr>
      <w:r>
        <w:t>Das Netz zur Überwachung der Oberflächengewässer wird im Einklang mit den Anforderungen des Artikels 8 errichtet. Das Überwachungsnetz muss so ausgelegt sein, dass sich daraus ein kohärenter und umfassender Überblick über den ökologischen und chemischen Zustand in jedem Einzugsgebiet gewinnen lässt und sich die Wasserkörper im Einklang mit den normativen Begriffsbestimmungen der Randnummer 1.2 in fünf Klassen einteilen lassen. Die Mitgliedstaaten erstellen eine oder mehrere Karten, die das Netz zur Überwachung des ökologischen und des chemischen Zustands im Rahmen des Bewirtschaftungsplans für das Einzugsgebiet darstellen.</w:t>
      </w:r>
    </w:p>
    <w:p>
      <w:pPr>
        <w:pStyle w:val="GesAbsatz"/>
      </w:pPr>
      <w:r>
        <w:t xml:space="preserve">Auf der Grundlage der Analyse der Eigenschaften und der Überprüfung der Auswirkungen, die gemäß Artikel 5 und Anhang II durchgeführt werden, erstellen die Mitgliedstaaten für jeden Zeitraum, für den ein Bewirtschaftungsplan für das Einzugsgebiet gilt, ein Programm für die überblicksweise Überwachung und ein operatives </w:t>
      </w:r>
      <w:r>
        <w:lastRenderedPageBreak/>
        <w:t>Überwachungsprogramm. In einigen Fällen müssen die Mitgliedstaaten möglicherweise Überwachungsprogramme zu Ermittlungszwecken erstellen.</w:t>
      </w:r>
    </w:p>
    <w:p>
      <w:pPr>
        <w:pStyle w:val="GesAbsatz"/>
      </w:pPr>
      <w:r>
        <w:t>Die Mitgliedstaaten überwachen die Parameter, die für den Zustand jeder relevanten Qualitätskomponente kennzeichnend sind. Bei der Auswahl der Parameter für die biologischen Qualitätskomponenten ermitteln die Mitgliedstaaten das geeignete Klassifizierungsniveau, das für das Erreichen einer angemessenen Zuverlässigkeit und Genauigkeit bei der Klassifizierung der Qualitätskomponenten erforderlich ist. Im Plan werden Schätzungen hinsichtlich des in den Überwachungsprogrammen vorgesehenen Grads der Zuverlässigkeit und Genauigkeit gegeben.</w:t>
      </w:r>
    </w:p>
    <w:p>
      <w:pPr>
        <w:pStyle w:val="GesAbsatz"/>
      </w:pPr>
      <w:r>
        <w:t>1.3.1 Gestaltung der überblicksweisen Überwachung</w:t>
      </w:r>
    </w:p>
    <w:p>
      <w:pPr>
        <w:pStyle w:val="GesAbsatz"/>
      </w:pPr>
      <w:r>
        <w:t>Ziel</w:t>
      </w:r>
    </w:p>
    <w:p>
      <w:pPr>
        <w:pStyle w:val="GesAbsatz"/>
      </w:pPr>
      <w:r>
        <w:t>Die Mitgliedstaaten stellen Programme zur überblicksweisen Überwachung auf, um für Folgendes Informationen bereitzustellen:</w:t>
      </w:r>
    </w:p>
    <w:p>
      <w:pPr>
        <w:pStyle w:val="GesAbsatz"/>
        <w:ind w:left="426" w:hanging="426"/>
        <w:rPr>
          <w:rFonts w:cs="Arial"/>
        </w:rPr>
      </w:pPr>
      <w:r>
        <w:rPr>
          <w:rFonts w:cs="Arial"/>
        </w:rPr>
        <w:t>-</w:t>
      </w:r>
      <w:r>
        <w:rPr>
          <w:rFonts w:cs="Arial"/>
        </w:rPr>
        <w:tab/>
        <w:t>Ergänzung und Validierung des in Anhang II beschriebenen Verfahrens zur Beurteilung der Auswirkungen;</w:t>
      </w:r>
    </w:p>
    <w:p>
      <w:pPr>
        <w:pStyle w:val="GesAbsatz"/>
      </w:pPr>
      <w:r>
        <w:rPr>
          <w:rFonts w:cs="Arial"/>
        </w:rPr>
        <w:t>-</w:t>
      </w:r>
      <w:r>
        <w:rPr>
          <w:rFonts w:cs="Arial"/>
        </w:rPr>
        <w:tab/>
        <w:t>wirksame und effiziente Gestalt</w:t>
      </w:r>
      <w:r>
        <w:t>ung künftiger Überwachungsprogramme;</w:t>
      </w:r>
    </w:p>
    <w:p>
      <w:pPr>
        <w:pStyle w:val="GesAbsatz"/>
        <w:rPr>
          <w:rFonts w:cs="Arial"/>
        </w:rPr>
      </w:pPr>
      <w:r>
        <w:rPr>
          <w:rFonts w:cs="Arial"/>
        </w:rPr>
        <w:t>-</w:t>
      </w:r>
      <w:r>
        <w:rPr>
          <w:rFonts w:cs="Arial"/>
        </w:rPr>
        <w:tab/>
        <w:t>Bewertung der langfristigen Veränderungen der natürlichen Gegebenheiten und</w:t>
      </w:r>
    </w:p>
    <w:p>
      <w:pPr>
        <w:pStyle w:val="GesAbsatz"/>
        <w:rPr>
          <w:rFonts w:cs="Arial"/>
        </w:rPr>
      </w:pPr>
      <w:r>
        <w:rPr>
          <w:rFonts w:cs="Arial"/>
        </w:rPr>
        <w:t>-</w:t>
      </w:r>
      <w:r>
        <w:rPr>
          <w:rFonts w:cs="Arial"/>
        </w:rPr>
        <w:tab/>
        <w:t>Bewertung der langfristigen Veränderungen aufgrund ausgedehnter menschlicher Tätigkeiten.</w:t>
      </w:r>
    </w:p>
    <w:p>
      <w:pPr>
        <w:pStyle w:val="GesAbsatz"/>
      </w:pPr>
      <w:r>
        <w:t>Die Ergebnisse einer derartigen Überwachung werden in Verbindung mit dem in Anhang II beschriebenen Verfahren zur Beurteilung der Auswirkungen überprüft und verwendet, um die Programme im laufenden Bewirtschaftungsplan für das Einzugsgebiet und in dessen Nachfolgeplänen zu überwachen.</w:t>
      </w:r>
    </w:p>
    <w:p>
      <w:pPr>
        <w:pStyle w:val="GesAbsatz"/>
      </w:pPr>
      <w:r>
        <w:t>Auswahl der Überwachungsstellen</w:t>
      </w:r>
    </w:p>
    <w:p>
      <w:pPr>
        <w:pStyle w:val="GesAbsatz"/>
      </w:pPr>
      <w:r>
        <w:t>Die überblicksweise Überwachung wird an einer ausreichenden Zahl von Oberflächenwasserkörpern durchgeführt, um eine Bewertung des Gesamtzustands der Oberflächengewässer in jedem Einzugsgebiet oder Teileinzugsgebiet der Flussgebietseinheit zu gewährleisten. Bei der Auswahl der betreffenden Wasserkörper sorgen die Mitgliedstaaten dafür, dass die Überwachung gegebenenfalls an Stellen durchgeführt wird, an denen</w:t>
      </w:r>
    </w:p>
    <w:p>
      <w:pPr>
        <w:pStyle w:val="GesAbsatz"/>
        <w:ind w:left="426" w:hanging="426"/>
      </w:pPr>
      <w:r>
        <w:rPr>
          <w:rFonts w:cs="Arial"/>
        </w:rPr>
        <w:t>-</w:t>
      </w:r>
      <w:r>
        <w:rPr>
          <w:rFonts w:cs="Arial"/>
        </w:rPr>
        <w:tab/>
        <w:t>der Abfluss bezogen auf die gesamte Flussgebietseinheit bedeutend ist; dies schließt</w:t>
      </w:r>
      <w:r>
        <w:t xml:space="preserve"> Stellen an großen Flüssen ein, an denen das Einzugsgebiet größer als 2 500 km² ist;</w:t>
      </w:r>
    </w:p>
    <w:p>
      <w:pPr>
        <w:pStyle w:val="GesAbsatz"/>
        <w:ind w:left="426" w:hanging="426"/>
      </w:pPr>
      <w:r>
        <w:rPr>
          <w:rFonts w:cs="Arial"/>
        </w:rPr>
        <w:t>-</w:t>
      </w:r>
      <w:r>
        <w:rPr>
          <w:rFonts w:cs="Arial"/>
        </w:rPr>
        <w:tab/>
        <w:t xml:space="preserve">das Volumen des vorhandenen Wassers für die Flussgebietseinheit, einschließlich größerer Seen und Sammelbecken, </w:t>
      </w:r>
      <w:r>
        <w:t>kennzeichnend ist;</w:t>
      </w:r>
    </w:p>
    <w:p>
      <w:pPr>
        <w:pStyle w:val="GesAbsatz"/>
        <w:ind w:left="426" w:hanging="426"/>
        <w:rPr>
          <w:rFonts w:cs="Arial"/>
        </w:rPr>
      </w:pPr>
      <w:r>
        <w:rPr>
          <w:rFonts w:cs="Arial"/>
        </w:rPr>
        <w:t>-</w:t>
      </w:r>
      <w:r>
        <w:rPr>
          <w:rFonts w:cs="Arial"/>
        </w:rPr>
        <w:tab/>
        <w:t>bedeutende Wasserkörper sich über die Grenzen eines Mitgliedstaats hinaus erstrecken;</w:t>
      </w:r>
    </w:p>
    <w:p>
      <w:pPr>
        <w:pStyle w:val="GesAbsatz"/>
        <w:ind w:left="426" w:hanging="426"/>
        <w:rPr>
          <w:rFonts w:cs="Arial"/>
        </w:rPr>
      </w:pPr>
      <w:r>
        <w:rPr>
          <w:rFonts w:cs="Arial"/>
        </w:rPr>
        <w:t>-</w:t>
      </w:r>
      <w:r>
        <w:rPr>
          <w:rFonts w:cs="Arial"/>
        </w:rPr>
        <w:tab/>
        <w:t>Stellen entsprechend der Entscheidung 77/795/EWG über den Informationsaustausch ausgewiesen werden,</w:t>
      </w:r>
    </w:p>
    <w:p>
      <w:pPr>
        <w:pStyle w:val="GesAbsatz"/>
      </w:pPr>
      <w:r>
        <w:t>und an anderen Stellen, die zur Schätzung der die Grenzen der Mitgliedstaaten überschreitenden und in die Meeresumwelt gelangenden Schadstoffbelastung benötigt werden.</w:t>
      </w:r>
    </w:p>
    <w:p>
      <w:pPr>
        <w:pStyle w:val="GesAbsatz"/>
      </w:pPr>
      <w:r>
        <w:t>Auswahl der Qualitätskomponenten</w:t>
      </w:r>
    </w:p>
    <w:p>
      <w:pPr>
        <w:pStyle w:val="GesAbsatz"/>
      </w:pPr>
      <w:r>
        <w:t>Während der Geltungsdauer des Bewirtschaftungsplans für das Einzugsgebiet werden an jeder Überwachungsstelle für einen Zeitraum von einem Jahr folgende Parameter überblicksweise überwacht:</w:t>
      </w:r>
    </w:p>
    <w:p>
      <w:pPr>
        <w:pStyle w:val="GesAbsatz"/>
        <w:rPr>
          <w:rFonts w:cs="Arial"/>
        </w:rPr>
      </w:pPr>
      <w:r>
        <w:rPr>
          <w:rFonts w:cs="Arial"/>
        </w:rPr>
        <w:t>-</w:t>
      </w:r>
      <w:r>
        <w:rPr>
          <w:rFonts w:cs="Arial"/>
        </w:rPr>
        <w:tab/>
        <w:t>Parameter, die für alle biologischen Qualitätskomponenten kennzeichnend sind,</w:t>
      </w:r>
    </w:p>
    <w:p>
      <w:pPr>
        <w:pStyle w:val="GesAbsatz"/>
      </w:pPr>
      <w:r>
        <w:rPr>
          <w:rFonts w:cs="Arial"/>
        </w:rPr>
        <w:t>-</w:t>
      </w:r>
      <w:r>
        <w:rPr>
          <w:rFonts w:cs="Arial"/>
        </w:rPr>
        <w:tab/>
        <w:t>Parameter, die für alle hydromorphologisc</w:t>
      </w:r>
      <w:r>
        <w:t>hen Qualitätskomponenten kennzeichnend sind,</w:t>
      </w:r>
    </w:p>
    <w:p>
      <w:pPr>
        <w:pStyle w:val="GesAbsatz"/>
        <w:ind w:left="426" w:hanging="426"/>
        <w:rPr>
          <w:rFonts w:cs="Arial"/>
        </w:rPr>
      </w:pPr>
      <w:r>
        <w:rPr>
          <w:rFonts w:cs="Arial"/>
        </w:rPr>
        <w:t>-</w:t>
      </w:r>
      <w:r>
        <w:rPr>
          <w:rFonts w:cs="Arial"/>
        </w:rPr>
        <w:tab/>
        <w:t>Parameter, die für alle allgemeinen physikalisch-chemischen Qualitätskomponenten kennzeichnend sind,</w:t>
      </w:r>
    </w:p>
    <w:p>
      <w:pPr>
        <w:pStyle w:val="GesAbsatz"/>
        <w:ind w:left="426" w:hanging="426"/>
      </w:pPr>
      <w:r>
        <w:rPr>
          <w:rFonts w:cs="Arial"/>
        </w:rPr>
        <w:t>-</w:t>
      </w:r>
      <w:r>
        <w:rPr>
          <w:rFonts w:cs="Arial"/>
        </w:rPr>
        <w:tab/>
        <w:t>Schadstoffe der Liste prioritärer Stoffe, die in das Einzugsgebiet oder in das Teileinzugsgebiet eingeleit</w:t>
      </w:r>
      <w:r>
        <w:t>et werden, und</w:t>
      </w:r>
    </w:p>
    <w:p>
      <w:pPr>
        <w:pStyle w:val="GesAbsatz"/>
        <w:ind w:left="426" w:hanging="426"/>
      </w:pPr>
      <w:r>
        <w:rPr>
          <w:rFonts w:cs="Arial"/>
        </w:rPr>
        <w:t>-</w:t>
      </w:r>
      <w:r>
        <w:rPr>
          <w:rFonts w:cs="Arial"/>
        </w:rPr>
        <w:tab/>
        <w:t xml:space="preserve">andere Schadstoffe, die in signifikanten Mengen in das Einzugsgebiet oder in das Teileinzugsgebiet eingeleitet </w:t>
      </w:r>
      <w:r>
        <w:t>werden;</w:t>
      </w:r>
    </w:p>
    <w:p>
      <w:pPr>
        <w:pStyle w:val="GesAbsatz"/>
      </w:pPr>
      <w:r>
        <w:t>dies gilt nicht, wenn die vorangegangene überblicksweise Überwachung ergeben hat, dass der betreffende Wasserkörper einen guten Zustand erreicht hat, und bei der Überprüfung der Auswirkungen menschlicher Tätigkeiten nach Anhang II keine Änderungen der Auswirkungen auf den Wasserkörper nachgewiesen worden sind. In diesen Fällen wird im Rahmen jedes dritten Bewirtschaftungsplans für das Einzugsgebiet eine überblicksweise Überwachung durchgeführt.</w:t>
      </w:r>
    </w:p>
    <w:p>
      <w:pPr>
        <w:pStyle w:val="GesAbsatz"/>
      </w:pPr>
      <w:r>
        <w:t>1.3.2 Gestaltung der operativen Überwachung</w:t>
      </w:r>
    </w:p>
    <w:p>
      <w:pPr>
        <w:pStyle w:val="GesAbsatz"/>
      </w:pPr>
      <w:r>
        <w:t>Die operative Überwachung wird mit dem Ziel durchgeführt,</w:t>
      </w:r>
    </w:p>
    <w:p>
      <w:pPr>
        <w:pStyle w:val="GesAbsatz"/>
        <w:ind w:left="426" w:hanging="426"/>
      </w:pPr>
      <w:r>
        <w:rPr>
          <w:rFonts w:cs="Arial"/>
        </w:rPr>
        <w:t>-</w:t>
      </w:r>
      <w:r>
        <w:rPr>
          <w:rFonts w:cs="Arial"/>
        </w:rPr>
        <w:tab/>
        <w:t xml:space="preserve">den Zustand der Wasserkörper zu bestimmen, bei denen </w:t>
      </w:r>
      <w:r>
        <w:t>festgestellt wird, dass sie die für sie geltenden Umweltziele möglicherweise nicht erreichen und</w:t>
      </w:r>
    </w:p>
    <w:p>
      <w:pPr>
        <w:pStyle w:val="GesAbsatz"/>
        <w:ind w:left="426" w:hanging="426"/>
      </w:pPr>
      <w:r>
        <w:rPr>
          <w:rFonts w:cs="Arial"/>
        </w:rPr>
        <w:t>-</w:t>
      </w:r>
      <w:r>
        <w:rPr>
          <w:rFonts w:cs="Arial"/>
        </w:rPr>
        <w:tab/>
        <w:t xml:space="preserve">alle auf die Maßnahmenprogramme zurückgehenden Veränderungen am Zustand derartiger Wasserkörper </w:t>
      </w:r>
      <w:r>
        <w:t>zu bewerten.</w:t>
      </w:r>
    </w:p>
    <w:p>
      <w:pPr>
        <w:pStyle w:val="GesAbsatz"/>
      </w:pPr>
      <w:r>
        <w:lastRenderedPageBreak/>
        <w:t>Das Programm kann während der Geltungsdauer des Bewirtschaftungsplans für das Einzugsgebiet im Lichte der als Teil der Anforderungen des Anhangs II oder als Teil des vorliegenden Anhangs erhaltenen Informationen geändert werden, um insbesondere eine geringere Überwachungsfrequenz festzulegen, falls festgestellt wird, dass es sich um eine nicht signifikante Auswirkung handelt oder die relevante Belastung aufgehört hat.</w:t>
      </w:r>
    </w:p>
    <w:p>
      <w:pPr>
        <w:pStyle w:val="GesAbsatz"/>
      </w:pPr>
      <w:r>
        <w:t>Auswahl der Überwachungsstellen</w:t>
      </w:r>
    </w:p>
    <w:p>
      <w:pPr>
        <w:pStyle w:val="GesAbsatz"/>
      </w:pPr>
      <w:r>
        <w:t>Die operative Überwachung wird an allen Wasserkörpern durchgeführt, bei denen auf der Grundlage des gemäß Anhang II durchgeführten Verfahrens zur Überprüfung der Auswirkungen oder aber der überblicksweisen Überwachung festgestellt wird, dass sie möglicherweise die für sie gemäß Artikel 4 geltenden Umweltziele nicht erfüllen, sowie an allen Wasserkörpern, in die Stoffe der Liste prioritärer Stoffe eingeleitet werden. Die Überwachungsstellen für Stoffe der Liste prioritärer Stoffe werden entsprechend den Rechtsvorschriften ausgewählt, in denen die einschlägige Umweltqualitätsnorm festgelegt ist. In allen anderen Fällen, in denen in den betreffenden Rechtsvorschriften keine spezifischen Vorgaben gemacht werden -</w:t>
      </w:r>
      <w:r>
        <w:rPr>
          <w:rFonts w:cs="Arial"/>
        </w:rPr>
        <w:t xml:space="preserve"> dies gilt auch für die Stoffe </w:t>
      </w:r>
      <w:r>
        <w:t>der Liste prioritärer Stoffe -</w:t>
      </w:r>
      <w:r>
        <w:rPr>
          <w:rFonts w:cs="Arial"/>
        </w:rPr>
        <w:t xml:space="preserve">, </w:t>
      </w:r>
      <w:r>
        <w:t>werden die Überwachungsstellen folgendermaßen ausgewählt:</w:t>
      </w:r>
    </w:p>
    <w:p>
      <w:pPr>
        <w:pStyle w:val="GesAbsatz"/>
        <w:ind w:left="426" w:hanging="426"/>
      </w:pPr>
      <w:r>
        <w:rPr>
          <w:rFonts w:cs="Arial"/>
        </w:rPr>
        <w:t>-</w:t>
      </w:r>
      <w:r>
        <w:rPr>
          <w:rFonts w:cs="Arial"/>
        </w:rPr>
        <w:tab/>
        <w:t xml:space="preserve">Bei Wasserkörpern, die durch eine signifikante Belastung aus Punktquellen gefährdet sind, wird für jeden </w:t>
      </w:r>
      <w:r>
        <w:t>Wasserkörper eine ausreichende Zahl von Überwachungsstellen gewählt, um das Ausmaß und die Auswirkungen der Belastung aus Punktquellen bewerten zu können. Unterliegt ein Wasserkörper einer Reihe von Belastungen aus Punktquellen, so können die Überwachungsstellen so gewählt werden, dass das Ausmaß und die Auswirkungen der Belastungen aus Punktquellen insgesamt bewertet werden können.</w:t>
      </w:r>
    </w:p>
    <w:p>
      <w:pPr>
        <w:pStyle w:val="GesAbsatz"/>
        <w:ind w:left="426" w:hanging="426"/>
      </w:pPr>
      <w:r>
        <w:rPr>
          <w:rFonts w:cs="Arial"/>
        </w:rPr>
        <w:t>-</w:t>
      </w:r>
      <w:r>
        <w:rPr>
          <w:rFonts w:cs="Arial"/>
        </w:rPr>
        <w:tab/>
        <w:t xml:space="preserve">Bei Wasserkörpern, die durch eine signifikante Belastung aus diffusen Quellen gefährdet sind, wird für eine </w:t>
      </w:r>
      <w:r>
        <w:t>Auswahl aus den betreffenden Wasserkörpern eine ausreichende Zahl von Überwachungsstellen gewählt, um das Ausmaß und die Auswirkungen der Belastung aus diffusen Quellen beurteilen zu können. Diese Wasserkörper sind so auszuwählen, dass sie für die relative Gefahr von Belastungen aus diffusen Quellen und für die relative Gefahr des Nichterreichens eines guten Zustands des Oberflächengewässers repräsentativ sind.</w:t>
      </w:r>
    </w:p>
    <w:p>
      <w:pPr>
        <w:pStyle w:val="GesAbsatz"/>
        <w:ind w:left="426" w:hanging="426"/>
      </w:pPr>
      <w:r>
        <w:rPr>
          <w:rFonts w:cs="Arial"/>
        </w:rPr>
        <w:t>-</w:t>
      </w:r>
      <w:r>
        <w:rPr>
          <w:rFonts w:cs="Arial"/>
        </w:rPr>
        <w:tab/>
        <w:t xml:space="preserve">Bei Wasserkörpern, die durch eine signifikante hydromorphologische Belastung gefährdet sind, wird für </w:t>
      </w:r>
      <w:r>
        <w:t>eine Auswahl aus den betreffenden Wasserkörpern eine ausreichende Zahl von Überwachungsstellen gewählt, um das Ausmaß und die Auswirkungen der hydromorphologischen Belastung bewerten zu können. Die Auswahl dieser Wasserkörper muss für die Gesamtauswirkungen der hydromorphologischen Belastung auf alle betreffenden Wasserkörper kennzeichnend sein.</w:t>
      </w:r>
    </w:p>
    <w:p>
      <w:pPr>
        <w:pStyle w:val="GesAbsatz"/>
      </w:pPr>
      <w:r>
        <w:t>Auswahl der Qualitätskomponenten</w:t>
      </w:r>
    </w:p>
    <w:p>
      <w:pPr>
        <w:pStyle w:val="GesAbsatz"/>
      </w:pPr>
      <w:r>
        <w:t>Um das Ausmaß der Belastungen der Oberflächenwasserkörper zu beurteilen, führen die Mitgliedstaaten die Überwachung der Qualitätskomponenten durch, die für die Belastungen des Wasserkörpers bzw. der Wasserkörper kennzeichnend sind. Zwecks Beurteilung der Auswirkungen dieser Belastungen überwachen die Mitgliedstaaten als relevant</w:t>
      </w:r>
    </w:p>
    <w:p>
      <w:pPr>
        <w:pStyle w:val="GesAbsatz"/>
        <w:ind w:left="426" w:hanging="426"/>
      </w:pPr>
      <w:r>
        <w:rPr>
          <w:rFonts w:cs="Arial"/>
        </w:rPr>
        <w:t>-</w:t>
      </w:r>
      <w:r>
        <w:rPr>
          <w:rFonts w:cs="Arial"/>
        </w:rPr>
        <w:tab/>
        <w:t>die Parameter, die Indikat</w:t>
      </w:r>
      <w:r>
        <w:t>oren für die biologischen Qualitätskomponenten sind, die auf die Belastungen der Wasserkörper am empfindlichsten reagieren;</w:t>
      </w:r>
    </w:p>
    <w:p>
      <w:pPr>
        <w:pStyle w:val="GesAbsatz"/>
        <w:ind w:left="426" w:hanging="426"/>
      </w:pPr>
      <w:r>
        <w:rPr>
          <w:rFonts w:cs="Arial"/>
        </w:rPr>
        <w:t>-</w:t>
      </w:r>
      <w:r>
        <w:rPr>
          <w:rFonts w:cs="Arial"/>
        </w:rPr>
        <w:tab/>
        <w:t xml:space="preserve">alle eingeleiteten prioritären Stoffe und alle anderen Schadstoffe, die in signifikanten Mengen eingeleitet </w:t>
      </w:r>
      <w:r>
        <w:t>werden;</w:t>
      </w:r>
    </w:p>
    <w:p>
      <w:pPr>
        <w:pStyle w:val="GesAbsatz"/>
        <w:ind w:left="426" w:hanging="426"/>
      </w:pPr>
      <w:r>
        <w:rPr>
          <w:rFonts w:cs="Arial"/>
        </w:rPr>
        <w:t>-</w:t>
      </w:r>
      <w:r>
        <w:rPr>
          <w:rFonts w:cs="Arial"/>
        </w:rPr>
        <w:tab/>
        <w:t>die Paramete</w:t>
      </w:r>
      <w:r>
        <w:t>r, die Indikatoren für die hydromorphologische Qualitätskomponente sind, die auf die ermittelten Belastungen am empfindlichsten reagiert.</w:t>
      </w:r>
    </w:p>
    <w:p>
      <w:pPr>
        <w:pStyle w:val="GesAbsatz"/>
      </w:pPr>
      <w:r>
        <w:t>1.3.3 Überwachung zu Ermittlungszwecken</w:t>
      </w:r>
    </w:p>
    <w:p>
      <w:pPr>
        <w:pStyle w:val="GesAbsatz"/>
      </w:pPr>
      <w:r>
        <w:t>Ziel</w:t>
      </w:r>
    </w:p>
    <w:p>
      <w:pPr>
        <w:pStyle w:val="GesAbsatz"/>
      </w:pPr>
      <w:r>
        <w:t>Die Überwachung zu Ermittlungszwecken wird durchgeführt,</w:t>
      </w:r>
    </w:p>
    <w:p>
      <w:pPr>
        <w:pStyle w:val="GesAbsatz"/>
        <w:rPr>
          <w:rFonts w:cs="Arial"/>
        </w:rPr>
      </w:pPr>
      <w:r>
        <w:rPr>
          <w:rFonts w:cs="Arial"/>
        </w:rPr>
        <w:t>-</w:t>
      </w:r>
      <w:r>
        <w:rPr>
          <w:rFonts w:cs="Arial"/>
        </w:rPr>
        <w:tab/>
        <w:t>falls die Gründe für Überschreitungen unbekannt sind;</w:t>
      </w:r>
    </w:p>
    <w:p>
      <w:pPr>
        <w:pStyle w:val="GesAbsatz"/>
        <w:ind w:left="426" w:hanging="426"/>
      </w:pPr>
      <w:r>
        <w:rPr>
          <w:rFonts w:cs="Arial"/>
        </w:rPr>
        <w:t>-</w:t>
      </w:r>
      <w:r>
        <w:rPr>
          <w:rFonts w:cs="Arial"/>
        </w:rPr>
        <w:tab/>
        <w:t xml:space="preserve">falls aus der überblicksweisen Überwachung hervorgeht, dass die gemäß Artikel 4 für einen Wasserkörper </w:t>
      </w:r>
      <w:r>
        <w:t>festgesetzten Ziele voraussichtlich nicht erfüllt werden und noch keine operative Überwachung festgelegt worden ist, wobei das Ziel verfolgt wird, die Gründe für das Nichterreichen der Umweltziele durch einen oder mehrere Wasserkörper festzustellen, oder</w:t>
      </w:r>
    </w:p>
    <w:p>
      <w:pPr>
        <w:pStyle w:val="GesAbsatz"/>
        <w:rPr>
          <w:rFonts w:cs="Arial"/>
        </w:rPr>
      </w:pPr>
      <w:r>
        <w:rPr>
          <w:rFonts w:cs="Arial"/>
        </w:rPr>
        <w:t>-</w:t>
      </w:r>
      <w:r>
        <w:rPr>
          <w:rFonts w:cs="Arial"/>
        </w:rPr>
        <w:tab/>
        <w:t>um das Ausmaß und die Auswirkungen unbeabsichtigter Verschmutzungen festzustellen;</w:t>
      </w:r>
    </w:p>
    <w:p>
      <w:pPr>
        <w:pStyle w:val="GesAbsatz"/>
      </w:pPr>
      <w:r>
        <w:t>ferner sollen für die Erstellung eines Maßnahmenprogramms im Hinblick auf das Erreichen der Umweltziele und für spezifische Maßnahmen, die zur Beseitigung der Auswirkungen unbeabsichtigter Verschmutzungen erforderlich sind, Informationen beschafft werden.</w:t>
      </w:r>
    </w:p>
    <w:p>
      <w:pPr>
        <w:pStyle w:val="GesAbsatz"/>
        <w:rPr>
          <w:lang w:val="it-IT"/>
        </w:rPr>
      </w:pPr>
      <w:r>
        <w:rPr>
          <w:lang w:val="it-IT"/>
        </w:rPr>
        <w:t>1.3.4 Überwachungsfrequenz</w:t>
      </w:r>
    </w:p>
    <w:p>
      <w:pPr>
        <w:pStyle w:val="GesAbsatz"/>
      </w:pPr>
      <w:r>
        <w:t>Für den Zeitraum der überblicksweisen Überwachung sollten die unten aufgeführten Frequenzen zur Überwachung der Parameter, die Indikatoren für die physikalisch-chemischen Qualitätskomponenten sind, eingehalten werden, es sei denn, dass nach dem aktuellen Wissensstand und dem Urteil von Sachverständigen grö</w:t>
      </w:r>
      <w:r>
        <w:lastRenderedPageBreak/>
        <w:t>ßere Überwachungsintervalle gerechtfertigt sind. Die Überwachung in Bezug auf biologische oder hydromorphologische Qualitätskomponenten sollte während des Zeitraums der überblicksweisen Überwachung mindestens einmal durchgeführt werden.</w:t>
      </w:r>
    </w:p>
    <w:p>
      <w:pPr>
        <w:pStyle w:val="GesAbsatz"/>
      </w:pPr>
      <w:r>
        <w:t>Für die operative Überwachung gilt Folgendes: Die für jeden Parameter erforderliche Überwachungsfrequenz wird von den Mitgliedstaaten so festgelegt, dass für eine zuverlässige Bewertung des Zustands der relevanten Qualitätskomponente ausreichende Daten beschafft werden. In der Regel sollten bei der Überwachung die in der nachstehenden Tabelle enthaltenen Intervalle nicht überschritten werden, es sei denn, dass nach dem aktuellen Wissensstand und dem Urteil von Sachverständigen größere Überwachungsintervalle gerechtfertigt sind.</w:t>
      </w:r>
    </w:p>
    <w:p>
      <w:pPr>
        <w:pStyle w:val="GesAbsatz"/>
      </w:pPr>
      <w:r>
        <w:t>Die Frequenzen sollten so gewählt werden, dass ein annehmbarer Grad der Zuverlässigkeit und Genauigkeit erreicht wird. Im Bewirtschaftungsplan für Einzugsgebiete werden Schätzungen in Bezug auf den von dem Überwachungssystem erreichten Grad der Zuverlässigkeit und Genauigkeit gegeben.</w:t>
      </w:r>
    </w:p>
    <w:p>
      <w:pPr>
        <w:pStyle w:val="GesAbsatz"/>
      </w:pPr>
      <w:r>
        <w:t>Mit den gewählten Überwachungsfrequenzen muss der Schwankungsbreite bei den Parametern, die sowohl auf natürliche als auch auf anthropogene Ursachen zurückgehen, Rechnung getragen werden. Die Zeitpunkte, zu denen die Überwachung durchgeführt wird, sind so zu wählen, dass die Auswirkungen jahreszeitlich bedingter Schwankungen auf die Ergebnisse so gering wie möglich sind und somit gesichert wird, dass Veränderungen des Wasserkörpers als Veränderungen infolge anthropogener Belastungen in den Ergebnissen ausgewiesen werden. Erforderlichenfalls sind in verschiedenen Jahreszeiten des gleichen Jahres zusätzliche Überwachungen durchzuführen, um dieses Ziel zu erreichen.</w:t>
      </w:r>
    </w:p>
    <w:p>
      <w:pPr>
        <w:pStyle w:val="GesAbsatz"/>
      </w:pPr>
    </w:p>
    <w:tbl>
      <w:tblPr>
        <w:tblW w:w="8931"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523"/>
        <w:gridCol w:w="1384"/>
        <w:gridCol w:w="1221"/>
        <w:gridCol w:w="1960"/>
        <w:gridCol w:w="1843"/>
      </w:tblGrid>
      <w:tr>
        <w:trPr>
          <w:trHeight w:val="385"/>
        </w:trPr>
        <w:tc>
          <w:tcPr>
            <w:tcW w:w="2523" w:type="dxa"/>
          </w:tcPr>
          <w:p>
            <w:pPr>
              <w:pStyle w:val="GesAbsatz"/>
              <w:rPr>
                <w:rFonts w:cs="Arial"/>
              </w:rPr>
            </w:pPr>
            <w:r>
              <w:rPr>
                <w:rFonts w:cs="Arial"/>
              </w:rPr>
              <w:t>Qualitätskomponente</w:t>
            </w:r>
          </w:p>
        </w:tc>
        <w:tc>
          <w:tcPr>
            <w:tcW w:w="1384" w:type="dxa"/>
          </w:tcPr>
          <w:p>
            <w:pPr>
              <w:pStyle w:val="GesAbsatz"/>
              <w:rPr>
                <w:rFonts w:cs="Arial"/>
              </w:rPr>
            </w:pPr>
            <w:r>
              <w:rPr>
                <w:rFonts w:cs="Arial"/>
              </w:rPr>
              <w:t>Flüsse</w:t>
            </w:r>
          </w:p>
        </w:tc>
        <w:tc>
          <w:tcPr>
            <w:tcW w:w="1221" w:type="dxa"/>
          </w:tcPr>
          <w:p>
            <w:pPr>
              <w:pStyle w:val="GesAbsatz"/>
              <w:rPr>
                <w:rFonts w:cs="Arial"/>
              </w:rPr>
            </w:pPr>
            <w:r>
              <w:rPr>
                <w:rFonts w:cs="Arial"/>
              </w:rPr>
              <w:t>Seen</w:t>
            </w:r>
          </w:p>
        </w:tc>
        <w:tc>
          <w:tcPr>
            <w:tcW w:w="1960" w:type="dxa"/>
          </w:tcPr>
          <w:p>
            <w:pPr>
              <w:pStyle w:val="GesAbsatz"/>
              <w:rPr>
                <w:rFonts w:cs="Arial"/>
              </w:rPr>
            </w:pPr>
            <w:r>
              <w:rPr>
                <w:rFonts w:cs="Arial"/>
              </w:rPr>
              <w:t>Übergangswasser</w:t>
            </w:r>
          </w:p>
        </w:tc>
        <w:tc>
          <w:tcPr>
            <w:tcW w:w="1843" w:type="dxa"/>
          </w:tcPr>
          <w:p>
            <w:pPr>
              <w:pStyle w:val="GesAbsatz"/>
              <w:rPr>
                <w:rFonts w:cs="Arial"/>
              </w:rPr>
            </w:pPr>
            <w:r>
              <w:rPr>
                <w:rFonts w:cs="Arial"/>
              </w:rPr>
              <w:t>Küsten</w:t>
            </w:r>
          </w:p>
        </w:tc>
      </w:tr>
      <w:tr>
        <w:trPr>
          <w:trHeight w:val="237"/>
        </w:trPr>
        <w:tc>
          <w:tcPr>
            <w:tcW w:w="8931" w:type="dxa"/>
            <w:gridSpan w:val="5"/>
          </w:tcPr>
          <w:p>
            <w:pPr>
              <w:pStyle w:val="GesAbsatz"/>
              <w:rPr>
                <w:rFonts w:cs="Arial"/>
                <w:b/>
              </w:rPr>
            </w:pPr>
            <w:r>
              <w:rPr>
                <w:rFonts w:cs="Arial"/>
                <w:b/>
              </w:rPr>
              <w:t>Biologisch</w:t>
            </w:r>
          </w:p>
        </w:tc>
      </w:tr>
      <w:tr>
        <w:trPr>
          <w:trHeight w:val="284"/>
        </w:trPr>
        <w:tc>
          <w:tcPr>
            <w:tcW w:w="2523" w:type="dxa"/>
          </w:tcPr>
          <w:p>
            <w:pPr>
              <w:pStyle w:val="GesAbsatz"/>
              <w:rPr>
                <w:rFonts w:cs="Arial"/>
              </w:rPr>
            </w:pPr>
            <w:r>
              <w:rPr>
                <w:rFonts w:cs="Arial"/>
              </w:rPr>
              <w:t>Phytoplankton</w:t>
            </w:r>
          </w:p>
        </w:tc>
        <w:tc>
          <w:tcPr>
            <w:tcW w:w="1384" w:type="dxa"/>
          </w:tcPr>
          <w:p>
            <w:pPr>
              <w:pStyle w:val="GesAbsatz"/>
              <w:rPr>
                <w:rFonts w:cs="Arial"/>
              </w:rPr>
            </w:pPr>
            <w:r>
              <w:rPr>
                <w:rFonts w:cs="Arial"/>
              </w:rPr>
              <w:t>6 Monate</w:t>
            </w:r>
          </w:p>
        </w:tc>
        <w:tc>
          <w:tcPr>
            <w:tcW w:w="1221" w:type="dxa"/>
          </w:tcPr>
          <w:p>
            <w:pPr>
              <w:pStyle w:val="GesAbsatz"/>
              <w:rPr>
                <w:rFonts w:cs="Arial"/>
              </w:rPr>
            </w:pPr>
            <w:r>
              <w:rPr>
                <w:rFonts w:cs="Arial"/>
              </w:rPr>
              <w:t>6 Monate</w:t>
            </w:r>
          </w:p>
        </w:tc>
        <w:tc>
          <w:tcPr>
            <w:tcW w:w="1960" w:type="dxa"/>
          </w:tcPr>
          <w:p>
            <w:pPr>
              <w:pStyle w:val="GesAbsatz"/>
              <w:rPr>
                <w:rFonts w:cs="Arial"/>
              </w:rPr>
            </w:pPr>
            <w:r>
              <w:rPr>
                <w:rFonts w:cs="Arial"/>
              </w:rPr>
              <w:t>6 Monate</w:t>
            </w:r>
          </w:p>
        </w:tc>
        <w:tc>
          <w:tcPr>
            <w:tcW w:w="1843" w:type="dxa"/>
          </w:tcPr>
          <w:p>
            <w:pPr>
              <w:pStyle w:val="GesAbsatz"/>
              <w:rPr>
                <w:rFonts w:cs="Arial"/>
              </w:rPr>
            </w:pPr>
            <w:r>
              <w:rPr>
                <w:rFonts w:cs="Arial"/>
              </w:rPr>
              <w:t>6 Monate</w:t>
            </w:r>
          </w:p>
        </w:tc>
      </w:tr>
      <w:tr>
        <w:trPr>
          <w:trHeight w:val="204"/>
        </w:trPr>
        <w:tc>
          <w:tcPr>
            <w:tcW w:w="2523" w:type="dxa"/>
          </w:tcPr>
          <w:p>
            <w:pPr>
              <w:pStyle w:val="GesAbsatz"/>
              <w:rPr>
                <w:rFonts w:cs="Arial"/>
              </w:rPr>
            </w:pPr>
            <w:r>
              <w:rPr>
                <w:rFonts w:cs="Arial"/>
              </w:rPr>
              <w:t>Andere aquatische Flora</w:t>
            </w:r>
          </w:p>
        </w:tc>
        <w:tc>
          <w:tcPr>
            <w:tcW w:w="1384" w:type="dxa"/>
          </w:tcPr>
          <w:p>
            <w:pPr>
              <w:pStyle w:val="GesAbsatz"/>
              <w:rPr>
                <w:rFonts w:cs="Arial"/>
              </w:rPr>
            </w:pPr>
            <w:r>
              <w:rPr>
                <w:rFonts w:cs="Arial"/>
              </w:rPr>
              <w:t>3 Jahre</w:t>
            </w:r>
          </w:p>
        </w:tc>
        <w:tc>
          <w:tcPr>
            <w:tcW w:w="1221" w:type="dxa"/>
          </w:tcPr>
          <w:p>
            <w:pPr>
              <w:pStyle w:val="GesAbsatz"/>
              <w:rPr>
                <w:rFonts w:cs="Arial"/>
              </w:rPr>
            </w:pPr>
            <w:r>
              <w:rPr>
                <w:rFonts w:cs="Arial"/>
              </w:rPr>
              <w:t>3 Jahre</w:t>
            </w:r>
          </w:p>
        </w:tc>
        <w:tc>
          <w:tcPr>
            <w:tcW w:w="1960" w:type="dxa"/>
          </w:tcPr>
          <w:p>
            <w:pPr>
              <w:pStyle w:val="GesAbsatz"/>
              <w:rPr>
                <w:rFonts w:cs="Arial"/>
              </w:rPr>
            </w:pPr>
            <w:r>
              <w:rPr>
                <w:rFonts w:cs="Arial"/>
              </w:rPr>
              <w:t>3 Jahre</w:t>
            </w:r>
          </w:p>
        </w:tc>
        <w:tc>
          <w:tcPr>
            <w:tcW w:w="1843" w:type="dxa"/>
          </w:tcPr>
          <w:p>
            <w:pPr>
              <w:pStyle w:val="GesAbsatz"/>
              <w:rPr>
                <w:rFonts w:cs="Arial"/>
              </w:rPr>
            </w:pPr>
            <w:r>
              <w:rPr>
                <w:rFonts w:cs="Arial"/>
              </w:rPr>
              <w:t>3 Jahre</w:t>
            </w:r>
          </w:p>
        </w:tc>
      </w:tr>
      <w:tr>
        <w:trPr>
          <w:trHeight w:val="253"/>
        </w:trPr>
        <w:tc>
          <w:tcPr>
            <w:tcW w:w="2523" w:type="dxa"/>
          </w:tcPr>
          <w:p>
            <w:pPr>
              <w:pStyle w:val="GesAbsatz"/>
              <w:rPr>
                <w:rFonts w:cs="Arial"/>
              </w:rPr>
            </w:pPr>
            <w:r>
              <w:rPr>
                <w:rFonts w:cs="Arial"/>
              </w:rPr>
              <w:t>Makroinvertebraten</w:t>
            </w:r>
          </w:p>
        </w:tc>
        <w:tc>
          <w:tcPr>
            <w:tcW w:w="1384" w:type="dxa"/>
          </w:tcPr>
          <w:p>
            <w:pPr>
              <w:pStyle w:val="GesAbsatz"/>
              <w:rPr>
                <w:rFonts w:cs="Arial"/>
              </w:rPr>
            </w:pPr>
            <w:r>
              <w:rPr>
                <w:rFonts w:cs="Arial"/>
              </w:rPr>
              <w:t>3 Jahre</w:t>
            </w:r>
          </w:p>
        </w:tc>
        <w:tc>
          <w:tcPr>
            <w:tcW w:w="1221" w:type="dxa"/>
          </w:tcPr>
          <w:p>
            <w:pPr>
              <w:pStyle w:val="GesAbsatz"/>
              <w:rPr>
                <w:rFonts w:cs="Arial"/>
              </w:rPr>
            </w:pPr>
            <w:r>
              <w:rPr>
                <w:rFonts w:cs="Arial"/>
              </w:rPr>
              <w:t>3 Jahre</w:t>
            </w:r>
          </w:p>
        </w:tc>
        <w:tc>
          <w:tcPr>
            <w:tcW w:w="1960" w:type="dxa"/>
          </w:tcPr>
          <w:p>
            <w:pPr>
              <w:pStyle w:val="GesAbsatz"/>
              <w:rPr>
                <w:rFonts w:cs="Arial"/>
              </w:rPr>
            </w:pPr>
            <w:r>
              <w:rPr>
                <w:rFonts w:cs="Arial"/>
              </w:rPr>
              <w:t>3 Jahre</w:t>
            </w:r>
          </w:p>
        </w:tc>
        <w:tc>
          <w:tcPr>
            <w:tcW w:w="1843" w:type="dxa"/>
          </w:tcPr>
          <w:p>
            <w:pPr>
              <w:pStyle w:val="GesAbsatz"/>
              <w:rPr>
                <w:rFonts w:cs="Arial"/>
              </w:rPr>
            </w:pPr>
            <w:r>
              <w:rPr>
                <w:rFonts w:cs="Arial"/>
              </w:rPr>
              <w:t>3 Jahre</w:t>
            </w:r>
          </w:p>
        </w:tc>
      </w:tr>
      <w:tr>
        <w:trPr>
          <w:trHeight w:val="186"/>
        </w:trPr>
        <w:tc>
          <w:tcPr>
            <w:tcW w:w="2523" w:type="dxa"/>
          </w:tcPr>
          <w:p>
            <w:pPr>
              <w:pStyle w:val="GesAbsatz"/>
              <w:rPr>
                <w:rFonts w:cs="Arial"/>
              </w:rPr>
            </w:pPr>
            <w:r>
              <w:rPr>
                <w:rFonts w:cs="Arial"/>
              </w:rPr>
              <w:t>Fische</w:t>
            </w:r>
          </w:p>
        </w:tc>
        <w:tc>
          <w:tcPr>
            <w:tcW w:w="1384" w:type="dxa"/>
          </w:tcPr>
          <w:p>
            <w:pPr>
              <w:pStyle w:val="GesAbsatz"/>
              <w:rPr>
                <w:rFonts w:cs="Arial"/>
              </w:rPr>
            </w:pPr>
            <w:r>
              <w:rPr>
                <w:rFonts w:cs="Arial"/>
              </w:rPr>
              <w:t>3 Jahre</w:t>
            </w:r>
          </w:p>
        </w:tc>
        <w:tc>
          <w:tcPr>
            <w:tcW w:w="1221" w:type="dxa"/>
          </w:tcPr>
          <w:p>
            <w:pPr>
              <w:pStyle w:val="GesAbsatz"/>
              <w:rPr>
                <w:rFonts w:cs="Arial"/>
              </w:rPr>
            </w:pPr>
            <w:r>
              <w:rPr>
                <w:rFonts w:cs="Arial"/>
              </w:rPr>
              <w:t>3 Jahre</w:t>
            </w:r>
          </w:p>
        </w:tc>
        <w:tc>
          <w:tcPr>
            <w:tcW w:w="1960" w:type="dxa"/>
          </w:tcPr>
          <w:p>
            <w:pPr>
              <w:pStyle w:val="GesAbsatz"/>
              <w:rPr>
                <w:rFonts w:cs="Arial"/>
              </w:rPr>
            </w:pPr>
            <w:r>
              <w:rPr>
                <w:rFonts w:cs="Arial"/>
              </w:rPr>
              <w:t>3 Jahre</w:t>
            </w:r>
          </w:p>
        </w:tc>
        <w:tc>
          <w:tcPr>
            <w:tcW w:w="1843" w:type="dxa"/>
          </w:tcPr>
          <w:p>
            <w:pPr>
              <w:pStyle w:val="GesAbsatz"/>
              <w:rPr>
                <w:rFonts w:cs="Arial"/>
              </w:rPr>
            </w:pPr>
          </w:p>
        </w:tc>
      </w:tr>
      <w:tr>
        <w:trPr>
          <w:trHeight w:val="249"/>
        </w:trPr>
        <w:tc>
          <w:tcPr>
            <w:tcW w:w="8931" w:type="dxa"/>
            <w:gridSpan w:val="5"/>
          </w:tcPr>
          <w:p>
            <w:pPr>
              <w:pStyle w:val="GesAbsatz"/>
              <w:rPr>
                <w:rFonts w:cs="Arial"/>
                <w:b/>
              </w:rPr>
            </w:pPr>
            <w:r>
              <w:rPr>
                <w:rFonts w:cs="Arial"/>
                <w:b/>
              </w:rPr>
              <w:t>Hydromorphologisch</w:t>
            </w:r>
          </w:p>
        </w:tc>
      </w:tr>
      <w:tr>
        <w:trPr>
          <w:trHeight w:val="297"/>
        </w:trPr>
        <w:tc>
          <w:tcPr>
            <w:tcW w:w="2523" w:type="dxa"/>
          </w:tcPr>
          <w:p>
            <w:pPr>
              <w:pStyle w:val="GesAbsatz"/>
              <w:rPr>
                <w:rFonts w:cs="Arial"/>
              </w:rPr>
            </w:pPr>
            <w:r>
              <w:rPr>
                <w:rFonts w:cs="Arial"/>
              </w:rPr>
              <w:t>Kontinuität</w:t>
            </w:r>
          </w:p>
        </w:tc>
        <w:tc>
          <w:tcPr>
            <w:tcW w:w="1384" w:type="dxa"/>
          </w:tcPr>
          <w:p>
            <w:pPr>
              <w:pStyle w:val="GesAbsatz"/>
              <w:rPr>
                <w:rFonts w:cs="Arial"/>
              </w:rPr>
            </w:pPr>
            <w:r>
              <w:rPr>
                <w:rFonts w:cs="Arial"/>
              </w:rPr>
              <w:t>6 Jahre</w:t>
            </w:r>
          </w:p>
        </w:tc>
        <w:tc>
          <w:tcPr>
            <w:tcW w:w="1221" w:type="dxa"/>
          </w:tcPr>
          <w:p>
            <w:pPr>
              <w:pStyle w:val="GesAbsatz"/>
              <w:rPr>
                <w:rFonts w:cs="Arial"/>
              </w:rPr>
            </w:pPr>
          </w:p>
        </w:tc>
        <w:tc>
          <w:tcPr>
            <w:tcW w:w="1960" w:type="dxa"/>
          </w:tcPr>
          <w:p>
            <w:pPr>
              <w:pStyle w:val="GesAbsatz"/>
              <w:rPr>
                <w:rFonts w:cs="Arial"/>
              </w:rPr>
            </w:pPr>
          </w:p>
        </w:tc>
        <w:tc>
          <w:tcPr>
            <w:tcW w:w="1843" w:type="dxa"/>
          </w:tcPr>
          <w:p>
            <w:pPr>
              <w:pStyle w:val="GesAbsatz"/>
              <w:rPr>
                <w:rFonts w:cs="Arial"/>
              </w:rPr>
            </w:pPr>
          </w:p>
        </w:tc>
      </w:tr>
      <w:tr>
        <w:trPr>
          <w:trHeight w:val="216"/>
        </w:trPr>
        <w:tc>
          <w:tcPr>
            <w:tcW w:w="2523" w:type="dxa"/>
          </w:tcPr>
          <w:p>
            <w:pPr>
              <w:pStyle w:val="GesAbsatz"/>
              <w:rPr>
                <w:rFonts w:cs="Arial"/>
              </w:rPr>
            </w:pPr>
            <w:r>
              <w:rPr>
                <w:rFonts w:cs="Arial"/>
              </w:rPr>
              <w:t>Hydrologie</w:t>
            </w:r>
          </w:p>
        </w:tc>
        <w:tc>
          <w:tcPr>
            <w:tcW w:w="1384" w:type="dxa"/>
          </w:tcPr>
          <w:p>
            <w:pPr>
              <w:pStyle w:val="GesAbsatz"/>
              <w:rPr>
                <w:rFonts w:cs="Arial"/>
              </w:rPr>
            </w:pPr>
            <w:r>
              <w:rPr>
                <w:rFonts w:cs="Arial"/>
              </w:rPr>
              <w:t>kontinuierlich</w:t>
            </w:r>
          </w:p>
        </w:tc>
        <w:tc>
          <w:tcPr>
            <w:tcW w:w="1221" w:type="dxa"/>
          </w:tcPr>
          <w:p>
            <w:pPr>
              <w:pStyle w:val="GesAbsatz"/>
              <w:rPr>
                <w:rFonts w:cs="Arial"/>
              </w:rPr>
            </w:pPr>
            <w:r>
              <w:rPr>
                <w:rFonts w:cs="Arial"/>
              </w:rPr>
              <w:t>1 Monat</w:t>
            </w:r>
          </w:p>
        </w:tc>
        <w:tc>
          <w:tcPr>
            <w:tcW w:w="1960" w:type="dxa"/>
          </w:tcPr>
          <w:p>
            <w:pPr>
              <w:pStyle w:val="GesAbsatz"/>
              <w:rPr>
                <w:rFonts w:cs="Arial"/>
              </w:rPr>
            </w:pPr>
          </w:p>
        </w:tc>
        <w:tc>
          <w:tcPr>
            <w:tcW w:w="1843" w:type="dxa"/>
          </w:tcPr>
          <w:p>
            <w:pPr>
              <w:pStyle w:val="GesAbsatz"/>
              <w:rPr>
                <w:rFonts w:cs="Arial"/>
              </w:rPr>
            </w:pPr>
          </w:p>
        </w:tc>
      </w:tr>
      <w:tr>
        <w:trPr>
          <w:trHeight w:val="279"/>
        </w:trPr>
        <w:tc>
          <w:tcPr>
            <w:tcW w:w="2523" w:type="dxa"/>
          </w:tcPr>
          <w:p>
            <w:pPr>
              <w:pStyle w:val="GesAbsatz"/>
              <w:rPr>
                <w:rFonts w:cs="Arial"/>
              </w:rPr>
            </w:pPr>
            <w:r>
              <w:rPr>
                <w:rFonts w:cs="Arial"/>
              </w:rPr>
              <w:t>Morphologie</w:t>
            </w:r>
          </w:p>
        </w:tc>
        <w:tc>
          <w:tcPr>
            <w:tcW w:w="1384" w:type="dxa"/>
          </w:tcPr>
          <w:p>
            <w:pPr>
              <w:pStyle w:val="GesAbsatz"/>
              <w:rPr>
                <w:rFonts w:cs="Arial"/>
              </w:rPr>
            </w:pPr>
            <w:r>
              <w:rPr>
                <w:rFonts w:cs="Arial"/>
              </w:rPr>
              <w:t>6 Jahre</w:t>
            </w:r>
          </w:p>
        </w:tc>
        <w:tc>
          <w:tcPr>
            <w:tcW w:w="1221" w:type="dxa"/>
          </w:tcPr>
          <w:p>
            <w:pPr>
              <w:pStyle w:val="GesAbsatz"/>
              <w:rPr>
                <w:rFonts w:cs="Arial"/>
              </w:rPr>
            </w:pPr>
            <w:r>
              <w:rPr>
                <w:rFonts w:cs="Arial"/>
              </w:rPr>
              <w:t>6 Jahre</w:t>
            </w:r>
          </w:p>
        </w:tc>
        <w:tc>
          <w:tcPr>
            <w:tcW w:w="1960" w:type="dxa"/>
          </w:tcPr>
          <w:p>
            <w:pPr>
              <w:pStyle w:val="GesAbsatz"/>
              <w:rPr>
                <w:rFonts w:cs="Arial"/>
              </w:rPr>
            </w:pPr>
            <w:r>
              <w:rPr>
                <w:rFonts w:cs="Arial"/>
              </w:rPr>
              <w:t>6 Jahre</w:t>
            </w:r>
          </w:p>
        </w:tc>
        <w:tc>
          <w:tcPr>
            <w:tcW w:w="1843" w:type="dxa"/>
          </w:tcPr>
          <w:p>
            <w:pPr>
              <w:pStyle w:val="GesAbsatz"/>
              <w:rPr>
                <w:rFonts w:cs="Arial"/>
              </w:rPr>
            </w:pPr>
            <w:r>
              <w:rPr>
                <w:rFonts w:cs="Arial"/>
              </w:rPr>
              <w:t>6 Jahre</w:t>
            </w:r>
          </w:p>
        </w:tc>
      </w:tr>
      <w:tr>
        <w:trPr>
          <w:trHeight w:val="355"/>
        </w:trPr>
        <w:tc>
          <w:tcPr>
            <w:tcW w:w="8931" w:type="dxa"/>
            <w:gridSpan w:val="5"/>
          </w:tcPr>
          <w:p>
            <w:pPr>
              <w:pStyle w:val="GesAbsatz"/>
              <w:rPr>
                <w:rFonts w:cs="Arial"/>
                <w:b/>
              </w:rPr>
            </w:pPr>
            <w:r>
              <w:rPr>
                <w:rFonts w:cs="Arial"/>
                <w:b/>
              </w:rPr>
              <w:t>Physikalisch-chemisch</w:t>
            </w:r>
          </w:p>
        </w:tc>
      </w:tr>
      <w:tr>
        <w:trPr>
          <w:trHeight w:val="260"/>
        </w:trPr>
        <w:tc>
          <w:tcPr>
            <w:tcW w:w="2523" w:type="dxa"/>
          </w:tcPr>
          <w:p>
            <w:pPr>
              <w:pStyle w:val="GesAbsatz"/>
              <w:rPr>
                <w:rFonts w:cs="Arial"/>
              </w:rPr>
            </w:pPr>
            <w:r>
              <w:rPr>
                <w:rFonts w:cs="Arial"/>
              </w:rPr>
              <w:t>Wärmehaushalt</w:t>
            </w:r>
          </w:p>
        </w:tc>
        <w:tc>
          <w:tcPr>
            <w:tcW w:w="1384" w:type="dxa"/>
          </w:tcPr>
          <w:p>
            <w:pPr>
              <w:pStyle w:val="GesAbsatz"/>
              <w:rPr>
                <w:rFonts w:cs="Arial"/>
              </w:rPr>
            </w:pPr>
            <w:r>
              <w:rPr>
                <w:rFonts w:cs="Arial"/>
              </w:rPr>
              <w:t>3 Monate</w:t>
            </w:r>
          </w:p>
        </w:tc>
        <w:tc>
          <w:tcPr>
            <w:tcW w:w="1221" w:type="dxa"/>
          </w:tcPr>
          <w:p>
            <w:pPr>
              <w:pStyle w:val="GesAbsatz"/>
              <w:rPr>
                <w:rFonts w:cs="Arial"/>
              </w:rPr>
            </w:pPr>
            <w:r>
              <w:rPr>
                <w:rFonts w:cs="Arial"/>
              </w:rPr>
              <w:t>3 Monate</w:t>
            </w:r>
          </w:p>
        </w:tc>
        <w:tc>
          <w:tcPr>
            <w:tcW w:w="1960" w:type="dxa"/>
          </w:tcPr>
          <w:p>
            <w:pPr>
              <w:pStyle w:val="GesAbsatz"/>
              <w:rPr>
                <w:rFonts w:cs="Arial"/>
              </w:rPr>
            </w:pPr>
            <w:r>
              <w:rPr>
                <w:rFonts w:cs="Arial"/>
              </w:rPr>
              <w:t>3 Monate</w:t>
            </w:r>
          </w:p>
        </w:tc>
        <w:tc>
          <w:tcPr>
            <w:tcW w:w="1843" w:type="dxa"/>
          </w:tcPr>
          <w:p>
            <w:pPr>
              <w:pStyle w:val="GesAbsatz"/>
              <w:rPr>
                <w:rFonts w:cs="Arial"/>
              </w:rPr>
            </w:pPr>
            <w:r>
              <w:rPr>
                <w:rFonts w:cs="Arial"/>
              </w:rPr>
              <w:t>3 Monate</w:t>
            </w:r>
          </w:p>
        </w:tc>
      </w:tr>
      <w:tr>
        <w:trPr>
          <w:trHeight w:val="181"/>
        </w:trPr>
        <w:tc>
          <w:tcPr>
            <w:tcW w:w="2523" w:type="dxa"/>
          </w:tcPr>
          <w:p>
            <w:pPr>
              <w:pStyle w:val="GesAbsatz"/>
              <w:rPr>
                <w:rFonts w:cs="Arial"/>
              </w:rPr>
            </w:pPr>
            <w:r>
              <w:rPr>
                <w:rFonts w:cs="Arial"/>
              </w:rPr>
              <w:t>Sauerstoffgehalt</w:t>
            </w:r>
          </w:p>
        </w:tc>
        <w:tc>
          <w:tcPr>
            <w:tcW w:w="1384" w:type="dxa"/>
          </w:tcPr>
          <w:p>
            <w:pPr>
              <w:pStyle w:val="GesAbsatz"/>
              <w:rPr>
                <w:rFonts w:cs="Arial"/>
              </w:rPr>
            </w:pPr>
            <w:r>
              <w:rPr>
                <w:rFonts w:cs="Arial"/>
              </w:rPr>
              <w:t>3 Monate</w:t>
            </w:r>
          </w:p>
        </w:tc>
        <w:tc>
          <w:tcPr>
            <w:tcW w:w="1221" w:type="dxa"/>
          </w:tcPr>
          <w:p>
            <w:pPr>
              <w:pStyle w:val="GesAbsatz"/>
              <w:rPr>
                <w:rFonts w:cs="Arial"/>
              </w:rPr>
            </w:pPr>
            <w:r>
              <w:rPr>
                <w:rFonts w:cs="Arial"/>
              </w:rPr>
              <w:t>3 Monate</w:t>
            </w:r>
          </w:p>
        </w:tc>
        <w:tc>
          <w:tcPr>
            <w:tcW w:w="1960" w:type="dxa"/>
          </w:tcPr>
          <w:p>
            <w:pPr>
              <w:pStyle w:val="GesAbsatz"/>
              <w:rPr>
                <w:rFonts w:cs="Arial"/>
              </w:rPr>
            </w:pPr>
            <w:r>
              <w:rPr>
                <w:rFonts w:cs="Arial"/>
              </w:rPr>
              <w:t>3 Monate</w:t>
            </w:r>
          </w:p>
        </w:tc>
        <w:tc>
          <w:tcPr>
            <w:tcW w:w="1843" w:type="dxa"/>
          </w:tcPr>
          <w:p>
            <w:pPr>
              <w:pStyle w:val="GesAbsatz"/>
              <w:rPr>
                <w:rFonts w:cs="Arial"/>
              </w:rPr>
            </w:pPr>
            <w:r>
              <w:rPr>
                <w:rFonts w:cs="Arial"/>
              </w:rPr>
              <w:t>3 Monate</w:t>
            </w:r>
          </w:p>
        </w:tc>
      </w:tr>
      <w:tr>
        <w:trPr>
          <w:trHeight w:val="198"/>
        </w:trPr>
        <w:tc>
          <w:tcPr>
            <w:tcW w:w="2523" w:type="dxa"/>
          </w:tcPr>
          <w:p>
            <w:pPr>
              <w:pStyle w:val="GesAbsatz"/>
              <w:rPr>
                <w:rFonts w:cs="Arial"/>
              </w:rPr>
            </w:pPr>
            <w:r>
              <w:rPr>
                <w:rFonts w:cs="Arial"/>
              </w:rPr>
              <w:t>Salzgehalt</w:t>
            </w:r>
          </w:p>
        </w:tc>
        <w:tc>
          <w:tcPr>
            <w:tcW w:w="1384" w:type="dxa"/>
          </w:tcPr>
          <w:p>
            <w:pPr>
              <w:pStyle w:val="GesAbsatz"/>
              <w:rPr>
                <w:rFonts w:cs="Arial"/>
              </w:rPr>
            </w:pPr>
            <w:r>
              <w:rPr>
                <w:rFonts w:cs="Arial"/>
              </w:rPr>
              <w:t>3 Monate</w:t>
            </w:r>
          </w:p>
        </w:tc>
        <w:tc>
          <w:tcPr>
            <w:tcW w:w="1221" w:type="dxa"/>
          </w:tcPr>
          <w:p>
            <w:pPr>
              <w:pStyle w:val="GesAbsatz"/>
              <w:rPr>
                <w:rFonts w:cs="Arial"/>
              </w:rPr>
            </w:pPr>
            <w:r>
              <w:rPr>
                <w:rFonts w:cs="Arial"/>
              </w:rPr>
              <w:t>3 Monate</w:t>
            </w:r>
          </w:p>
        </w:tc>
        <w:tc>
          <w:tcPr>
            <w:tcW w:w="1960" w:type="dxa"/>
          </w:tcPr>
          <w:p>
            <w:pPr>
              <w:pStyle w:val="GesAbsatz"/>
              <w:rPr>
                <w:rFonts w:cs="Arial"/>
              </w:rPr>
            </w:pPr>
            <w:r>
              <w:rPr>
                <w:rFonts w:cs="Arial"/>
              </w:rPr>
              <w:t>3 Monate</w:t>
            </w:r>
          </w:p>
        </w:tc>
        <w:tc>
          <w:tcPr>
            <w:tcW w:w="1843" w:type="dxa"/>
          </w:tcPr>
          <w:p>
            <w:pPr>
              <w:pStyle w:val="GesAbsatz"/>
              <w:rPr>
                <w:rFonts w:cs="Arial"/>
              </w:rPr>
            </w:pPr>
          </w:p>
        </w:tc>
      </w:tr>
      <w:tr>
        <w:trPr>
          <w:trHeight w:val="273"/>
        </w:trPr>
        <w:tc>
          <w:tcPr>
            <w:tcW w:w="2523" w:type="dxa"/>
          </w:tcPr>
          <w:p>
            <w:pPr>
              <w:pStyle w:val="GesAbsatz"/>
              <w:rPr>
                <w:rFonts w:cs="Arial"/>
              </w:rPr>
            </w:pPr>
            <w:r>
              <w:rPr>
                <w:rFonts w:cs="Arial"/>
              </w:rPr>
              <w:t>Nährstoffzustand</w:t>
            </w:r>
          </w:p>
        </w:tc>
        <w:tc>
          <w:tcPr>
            <w:tcW w:w="1384" w:type="dxa"/>
          </w:tcPr>
          <w:p>
            <w:pPr>
              <w:pStyle w:val="GesAbsatz"/>
              <w:rPr>
                <w:rFonts w:cs="Arial"/>
              </w:rPr>
            </w:pPr>
            <w:r>
              <w:rPr>
                <w:rFonts w:cs="Arial"/>
              </w:rPr>
              <w:t>3 Monate</w:t>
            </w:r>
          </w:p>
        </w:tc>
        <w:tc>
          <w:tcPr>
            <w:tcW w:w="1221" w:type="dxa"/>
          </w:tcPr>
          <w:p>
            <w:pPr>
              <w:pStyle w:val="GesAbsatz"/>
              <w:rPr>
                <w:rFonts w:cs="Arial"/>
              </w:rPr>
            </w:pPr>
            <w:r>
              <w:rPr>
                <w:rFonts w:cs="Arial"/>
              </w:rPr>
              <w:t>3 Monate</w:t>
            </w:r>
          </w:p>
        </w:tc>
        <w:tc>
          <w:tcPr>
            <w:tcW w:w="1960" w:type="dxa"/>
          </w:tcPr>
          <w:p>
            <w:pPr>
              <w:pStyle w:val="GesAbsatz"/>
              <w:rPr>
                <w:rFonts w:cs="Arial"/>
              </w:rPr>
            </w:pPr>
            <w:r>
              <w:rPr>
                <w:rFonts w:cs="Arial"/>
              </w:rPr>
              <w:t>3 Monate</w:t>
            </w:r>
          </w:p>
        </w:tc>
        <w:tc>
          <w:tcPr>
            <w:tcW w:w="1843" w:type="dxa"/>
          </w:tcPr>
          <w:p>
            <w:pPr>
              <w:pStyle w:val="GesAbsatz"/>
              <w:rPr>
                <w:rFonts w:cs="Arial"/>
              </w:rPr>
            </w:pPr>
            <w:r>
              <w:rPr>
                <w:rFonts w:cs="Arial"/>
              </w:rPr>
              <w:t>3 Monate</w:t>
            </w:r>
          </w:p>
        </w:tc>
      </w:tr>
      <w:tr>
        <w:trPr>
          <w:trHeight w:val="194"/>
        </w:trPr>
        <w:tc>
          <w:tcPr>
            <w:tcW w:w="2523" w:type="dxa"/>
          </w:tcPr>
          <w:p>
            <w:pPr>
              <w:pStyle w:val="GesAbsatz"/>
              <w:rPr>
                <w:rFonts w:cs="Arial"/>
              </w:rPr>
            </w:pPr>
            <w:r>
              <w:rPr>
                <w:rFonts w:cs="Arial"/>
              </w:rPr>
              <w:t>Versauerungszustand</w:t>
            </w:r>
          </w:p>
        </w:tc>
        <w:tc>
          <w:tcPr>
            <w:tcW w:w="1384" w:type="dxa"/>
          </w:tcPr>
          <w:p>
            <w:pPr>
              <w:pStyle w:val="GesAbsatz"/>
              <w:rPr>
                <w:rFonts w:cs="Arial"/>
              </w:rPr>
            </w:pPr>
            <w:r>
              <w:rPr>
                <w:rFonts w:cs="Arial"/>
              </w:rPr>
              <w:t>3 Monate</w:t>
            </w:r>
          </w:p>
        </w:tc>
        <w:tc>
          <w:tcPr>
            <w:tcW w:w="1221" w:type="dxa"/>
          </w:tcPr>
          <w:p>
            <w:pPr>
              <w:pStyle w:val="GesAbsatz"/>
              <w:rPr>
                <w:rFonts w:cs="Arial"/>
              </w:rPr>
            </w:pPr>
            <w:r>
              <w:rPr>
                <w:rFonts w:cs="Arial"/>
              </w:rPr>
              <w:t>3 Monate</w:t>
            </w:r>
          </w:p>
        </w:tc>
        <w:tc>
          <w:tcPr>
            <w:tcW w:w="1960" w:type="dxa"/>
          </w:tcPr>
          <w:p>
            <w:pPr>
              <w:pStyle w:val="GesAbsatz"/>
              <w:rPr>
                <w:rFonts w:cs="Arial"/>
              </w:rPr>
            </w:pPr>
          </w:p>
        </w:tc>
        <w:tc>
          <w:tcPr>
            <w:tcW w:w="1843" w:type="dxa"/>
          </w:tcPr>
          <w:p>
            <w:pPr>
              <w:pStyle w:val="GesAbsatz"/>
              <w:rPr>
                <w:rFonts w:cs="Arial"/>
              </w:rPr>
            </w:pPr>
          </w:p>
        </w:tc>
      </w:tr>
      <w:tr>
        <w:trPr>
          <w:trHeight w:val="255"/>
        </w:trPr>
        <w:tc>
          <w:tcPr>
            <w:tcW w:w="2523" w:type="dxa"/>
          </w:tcPr>
          <w:p>
            <w:pPr>
              <w:pStyle w:val="GesAbsatz"/>
              <w:rPr>
                <w:rFonts w:cs="Arial"/>
              </w:rPr>
            </w:pPr>
            <w:r>
              <w:rPr>
                <w:rFonts w:cs="Arial"/>
              </w:rPr>
              <w:t>Sonstige Schadstoffe</w:t>
            </w:r>
          </w:p>
        </w:tc>
        <w:tc>
          <w:tcPr>
            <w:tcW w:w="1384" w:type="dxa"/>
          </w:tcPr>
          <w:p>
            <w:pPr>
              <w:pStyle w:val="GesAbsatz"/>
              <w:rPr>
                <w:rFonts w:cs="Arial"/>
              </w:rPr>
            </w:pPr>
            <w:r>
              <w:rPr>
                <w:rFonts w:cs="Arial"/>
              </w:rPr>
              <w:t>3 Monate</w:t>
            </w:r>
          </w:p>
        </w:tc>
        <w:tc>
          <w:tcPr>
            <w:tcW w:w="1221" w:type="dxa"/>
          </w:tcPr>
          <w:p>
            <w:pPr>
              <w:pStyle w:val="GesAbsatz"/>
              <w:rPr>
                <w:rFonts w:cs="Arial"/>
              </w:rPr>
            </w:pPr>
            <w:r>
              <w:rPr>
                <w:rFonts w:cs="Arial"/>
              </w:rPr>
              <w:t>3 Monate</w:t>
            </w:r>
          </w:p>
        </w:tc>
        <w:tc>
          <w:tcPr>
            <w:tcW w:w="1960" w:type="dxa"/>
          </w:tcPr>
          <w:p>
            <w:pPr>
              <w:pStyle w:val="GesAbsatz"/>
              <w:rPr>
                <w:rFonts w:cs="Arial"/>
              </w:rPr>
            </w:pPr>
            <w:r>
              <w:rPr>
                <w:rFonts w:cs="Arial"/>
              </w:rPr>
              <w:t>3 Monate</w:t>
            </w:r>
          </w:p>
        </w:tc>
        <w:tc>
          <w:tcPr>
            <w:tcW w:w="1843" w:type="dxa"/>
          </w:tcPr>
          <w:p>
            <w:pPr>
              <w:pStyle w:val="GesAbsatz"/>
              <w:rPr>
                <w:rFonts w:cs="Arial"/>
              </w:rPr>
            </w:pPr>
            <w:r>
              <w:rPr>
                <w:rFonts w:cs="Arial"/>
              </w:rPr>
              <w:t>3 Monate</w:t>
            </w:r>
          </w:p>
        </w:tc>
      </w:tr>
      <w:tr>
        <w:trPr>
          <w:trHeight w:val="174"/>
        </w:trPr>
        <w:tc>
          <w:tcPr>
            <w:tcW w:w="2523" w:type="dxa"/>
          </w:tcPr>
          <w:p>
            <w:pPr>
              <w:pStyle w:val="GesAbsatz"/>
              <w:rPr>
                <w:rFonts w:cs="Arial"/>
              </w:rPr>
            </w:pPr>
            <w:r>
              <w:rPr>
                <w:rFonts w:cs="Arial"/>
              </w:rPr>
              <w:t>Prioritäre Stoffe</w:t>
            </w:r>
          </w:p>
        </w:tc>
        <w:tc>
          <w:tcPr>
            <w:tcW w:w="1384" w:type="dxa"/>
          </w:tcPr>
          <w:p>
            <w:pPr>
              <w:pStyle w:val="GesAbsatz"/>
              <w:rPr>
                <w:rFonts w:cs="Arial"/>
              </w:rPr>
            </w:pPr>
            <w:r>
              <w:rPr>
                <w:rFonts w:cs="Arial"/>
              </w:rPr>
              <w:t>1 Monat</w:t>
            </w:r>
          </w:p>
        </w:tc>
        <w:tc>
          <w:tcPr>
            <w:tcW w:w="1221" w:type="dxa"/>
          </w:tcPr>
          <w:p>
            <w:pPr>
              <w:pStyle w:val="GesAbsatz"/>
              <w:rPr>
                <w:rFonts w:cs="Arial"/>
              </w:rPr>
            </w:pPr>
            <w:r>
              <w:rPr>
                <w:rFonts w:cs="Arial"/>
              </w:rPr>
              <w:t>1 Monat</w:t>
            </w:r>
          </w:p>
        </w:tc>
        <w:tc>
          <w:tcPr>
            <w:tcW w:w="1960" w:type="dxa"/>
          </w:tcPr>
          <w:p>
            <w:pPr>
              <w:pStyle w:val="GesAbsatz"/>
              <w:rPr>
                <w:rFonts w:cs="Arial"/>
              </w:rPr>
            </w:pPr>
            <w:r>
              <w:rPr>
                <w:rFonts w:cs="Arial"/>
              </w:rPr>
              <w:t>1 Monat</w:t>
            </w:r>
          </w:p>
        </w:tc>
        <w:tc>
          <w:tcPr>
            <w:tcW w:w="1843" w:type="dxa"/>
          </w:tcPr>
          <w:p>
            <w:pPr>
              <w:pStyle w:val="GesAbsatz"/>
              <w:rPr>
                <w:rFonts w:cs="Arial"/>
              </w:rPr>
            </w:pPr>
            <w:r>
              <w:rPr>
                <w:rFonts w:cs="Arial"/>
              </w:rPr>
              <w:t>1 Monat</w:t>
            </w:r>
          </w:p>
        </w:tc>
      </w:tr>
    </w:tbl>
    <w:p>
      <w:pPr>
        <w:pStyle w:val="GesAbsatz"/>
      </w:pPr>
    </w:p>
    <w:p>
      <w:pPr>
        <w:pStyle w:val="GesAbsatz"/>
        <w:rPr>
          <w:lang w:val="it-IT"/>
        </w:rPr>
      </w:pPr>
      <w:r>
        <w:rPr>
          <w:lang w:val="it-IT"/>
        </w:rPr>
        <w:t xml:space="preserve">1.3.5 </w:t>
      </w:r>
      <w:r>
        <w:t>Zusätzliche Überwachungsanforderungen für Schutzgebiete</w:t>
      </w:r>
    </w:p>
    <w:p>
      <w:pPr>
        <w:pStyle w:val="GesAbsatz"/>
      </w:pPr>
      <w:r>
        <w:t>Die nach dem Vortext erforderlichen Überwachungsprogramme werden im Hinblick auf die nachstehenden Anforderungen ergänzt:</w:t>
      </w:r>
    </w:p>
    <w:p>
      <w:pPr>
        <w:pStyle w:val="GesAbsatz"/>
      </w:pPr>
      <w:r>
        <w:t>Trinkwasserentnahmestellen</w:t>
      </w:r>
    </w:p>
    <w:p>
      <w:pPr>
        <w:pStyle w:val="GesAbsatz"/>
      </w:pPr>
      <w:r>
        <w:t>Oberflächenwasserkörper nach Artikel 7 mit einer durchschnittlichen täglichen Entnahme von mehr als 100 m³ werden als Überwachungsstellen ausgewiesen und insoweit zusätzlich überwacht, als dies für die Erfüllung der Anforderungen des Artikels 7 möglicherweise erforderlich ist. Diese Wasserkörper werden in Bezug auf alle eingeleiteten prioritären Stoffe sowie auf alle anderen in signifikanten Mengen eingeleiteten Stoffe, die sich auf den Zustand des Wasserkörpers auswirken könnten und gemäß der Trinkwasserrichtlinie überwacht werden, überwacht. Die Überwachung erfolgt gemäß der nachfolgend angegebenen Frequenz.</w:t>
      </w:r>
    </w:p>
    <w:p>
      <w:pPr>
        <w:pStyle w:val="GesAbsatz"/>
      </w:pPr>
    </w:p>
    <w:tbl>
      <w:tblPr>
        <w:tblW w:w="5035" w:type="dxa"/>
        <w:jc w:val="center"/>
        <w:tblBorders>
          <w:top w:val="nil"/>
          <w:left w:val="nil"/>
          <w:bottom w:val="nil"/>
          <w:right w:val="nil"/>
        </w:tblBorders>
        <w:tblLook w:val="0000" w:firstRow="0" w:lastRow="0" w:firstColumn="0" w:lastColumn="0" w:noHBand="0" w:noVBand="0"/>
      </w:tblPr>
      <w:tblGrid>
        <w:gridCol w:w="2520"/>
        <w:gridCol w:w="2515"/>
      </w:tblGrid>
      <w:tr>
        <w:trPr>
          <w:trHeight w:val="385"/>
          <w:jc w:val="center"/>
        </w:trPr>
        <w:tc>
          <w:tcPr>
            <w:tcW w:w="2520" w:type="dxa"/>
            <w:tcBorders>
              <w:top w:val="single" w:sz="6" w:space="0" w:color="000000"/>
              <w:bottom w:val="single" w:sz="5" w:space="0" w:color="000000"/>
              <w:right w:val="single" w:sz="5" w:space="0" w:color="000000"/>
            </w:tcBorders>
            <w:vAlign w:val="center"/>
          </w:tcPr>
          <w:p>
            <w:pPr>
              <w:pStyle w:val="GesAbsatz"/>
            </w:pPr>
            <w:r>
              <w:t>Versorgte Bevölkerung</w:t>
            </w:r>
          </w:p>
        </w:tc>
        <w:tc>
          <w:tcPr>
            <w:tcW w:w="2515" w:type="dxa"/>
            <w:tcBorders>
              <w:top w:val="single" w:sz="6" w:space="0" w:color="000000"/>
              <w:left w:val="single" w:sz="5" w:space="0" w:color="000000"/>
              <w:bottom w:val="single" w:sz="5" w:space="0" w:color="000000"/>
            </w:tcBorders>
            <w:vAlign w:val="center"/>
          </w:tcPr>
          <w:p>
            <w:pPr>
              <w:pStyle w:val="GesAbsatz"/>
            </w:pPr>
            <w:r>
              <w:t>Frequenz</w:t>
            </w:r>
          </w:p>
        </w:tc>
      </w:tr>
      <w:tr>
        <w:trPr>
          <w:trHeight w:val="413"/>
          <w:jc w:val="center"/>
        </w:trPr>
        <w:tc>
          <w:tcPr>
            <w:tcW w:w="2520" w:type="dxa"/>
            <w:tcBorders>
              <w:top w:val="single" w:sz="5" w:space="0" w:color="000000"/>
              <w:bottom w:val="single" w:sz="5" w:space="0" w:color="000000"/>
              <w:right w:val="single" w:sz="5" w:space="0" w:color="000000"/>
            </w:tcBorders>
            <w:vAlign w:val="center"/>
          </w:tcPr>
          <w:p>
            <w:pPr>
              <w:pStyle w:val="GesAbsatz"/>
            </w:pPr>
            <w:r>
              <w:t>&lt; 10 000</w:t>
            </w:r>
          </w:p>
        </w:tc>
        <w:tc>
          <w:tcPr>
            <w:tcW w:w="2515" w:type="dxa"/>
            <w:tcBorders>
              <w:top w:val="single" w:sz="5" w:space="0" w:color="000000"/>
              <w:left w:val="single" w:sz="5" w:space="0" w:color="000000"/>
              <w:bottom w:val="single" w:sz="5" w:space="0" w:color="000000"/>
            </w:tcBorders>
            <w:vAlign w:val="center"/>
          </w:tcPr>
          <w:p>
            <w:pPr>
              <w:pStyle w:val="GesAbsatz"/>
            </w:pPr>
            <w:r>
              <w:t>viermal jährlich</w:t>
            </w:r>
          </w:p>
        </w:tc>
      </w:tr>
      <w:tr>
        <w:trPr>
          <w:trHeight w:val="415"/>
          <w:jc w:val="center"/>
        </w:trPr>
        <w:tc>
          <w:tcPr>
            <w:tcW w:w="2520" w:type="dxa"/>
            <w:tcBorders>
              <w:top w:val="single" w:sz="5" w:space="0" w:color="000000"/>
              <w:bottom w:val="single" w:sz="5" w:space="0" w:color="000000"/>
              <w:right w:val="single" w:sz="5" w:space="0" w:color="000000"/>
            </w:tcBorders>
            <w:vAlign w:val="center"/>
          </w:tcPr>
          <w:p>
            <w:pPr>
              <w:pStyle w:val="GesAbsatz"/>
            </w:pPr>
            <w:r>
              <w:t>10 000 bis 30 000</w:t>
            </w:r>
          </w:p>
        </w:tc>
        <w:tc>
          <w:tcPr>
            <w:tcW w:w="2515" w:type="dxa"/>
            <w:tcBorders>
              <w:top w:val="single" w:sz="5" w:space="0" w:color="000000"/>
              <w:left w:val="single" w:sz="5" w:space="0" w:color="000000"/>
              <w:bottom w:val="single" w:sz="5" w:space="0" w:color="000000"/>
            </w:tcBorders>
            <w:vAlign w:val="center"/>
          </w:tcPr>
          <w:p>
            <w:pPr>
              <w:pStyle w:val="GesAbsatz"/>
            </w:pPr>
            <w:r>
              <w:t>achtmal jährlich</w:t>
            </w:r>
          </w:p>
        </w:tc>
      </w:tr>
      <w:tr>
        <w:trPr>
          <w:trHeight w:val="413"/>
          <w:jc w:val="center"/>
        </w:trPr>
        <w:tc>
          <w:tcPr>
            <w:tcW w:w="2520" w:type="dxa"/>
            <w:tcBorders>
              <w:top w:val="single" w:sz="5" w:space="0" w:color="000000"/>
              <w:bottom w:val="single" w:sz="5" w:space="0" w:color="000000"/>
              <w:right w:val="single" w:sz="5" w:space="0" w:color="000000"/>
            </w:tcBorders>
            <w:vAlign w:val="center"/>
          </w:tcPr>
          <w:p>
            <w:pPr>
              <w:pStyle w:val="GesAbsatz"/>
            </w:pPr>
            <w:r>
              <w:t>&gt; 30 000</w:t>
            </w:r>
          </w:p>
        </w:tc>
        <w:tc>
          <w:tcPr>
            <w:tcW w:w="2515" w:type="dxa"/>
            <w:tcBorders>
              <w:top w:val="single" w:sz="5" w:space="0" w:color="000000"/>
              <w:left w:val="single" w:sz="5" w:space="0" w:color="000000"/>
              <w:bottom w:val="single" w:sz="5" w:space="0" w:color="000000"/>
            </w:tcBorders>
            <w:vAlign w:val="center"/>
          </w:tcPr>
          <w:p>
            <w:pPr>
              <w:pStyle w:val="GesAbsatz"/>
            </w:pPr>
            <w:r>
              <w:t>zwölfmal jährlich</w:t>
            </w:r>
          </w:p>
        </w:tc>
      </w:tr>
    </w:tbl>
    <w:p>
      <w:pPr>
        <w:pStyle w:val="GesAbsatz"/>
      </w:pPr>
    </w:p>
    <w:p>
      <w:pPr>
        <w:pStyle w:val="GesAbsatz"/>
      </w:pPr>
      <w:r>
        <w:t>Habitat- und Artenschutzgebiete</w:t>
      </w:r>
    </w:p>
    <w:p>
      <w:pPr>
        <w:pStyle w:val="GesAbsatz"/>
      </w:pPr>
      <w:r>
        <w:t>Wasserkörper, die diese Gebiete bilden, sind in das obengenannte operative Überwachungsprogramm einzubeziehen, sofern aufgrund der Abschätzung der Auswirkungen und der überblicksweisen Überwachung festgestellt wird, dass sie möglicherweise die nach Artikel 4 festgelegten Umweltziele nicht erreichen. Die Überwachung wird durchgeführt, um das Ausmaß und die Auswirkungen aller relevanten signifikanten Belastungen dieser Wasserkörper und erforderlichenfalls die Veränderungen des Zustands infolge der Maßnahmenprogramme zu beurteilen. Die Überwachung wird so lange fortgeführt, bis die Gebiete die wasserbezogenen Anforderungen der Rechtsvorschriften erfüllen, nach denen sie ausgewiesen worden sind, und die für sie nach Artikel 4 geltenden Ziele erreichen.</w:t>
      </w:r>
    </w:p>
    <w:p>
      <w:pPr>
        <w:pStyle w:val="GesAbsatz"/>
        <w:rPr>
          <w:color w:val="auto"/>
        </w:rPr>
      </w:pPr>
      <w:r>
        <w:rPr>
          <w:color w:val="auto"/>
        </w:rPr>
        <w:t>1.3.6 Normen für die Überwachung der Qualitätskomponenten</w:t>
      </w:r>
    </w:p>
    <w:p>
      <w:pPr>
        <w:pStyle w:val="GesAbsatz"/>
      </w:pPr>
      <w:r>
        <w:t>Die zur Überwachung der Typparameter verwendeten Methoden müssen den nachstehenden internationalen Normen, soweit diese die Überwachung betreffen, oder anderen nationalen oder internationalen Normen entsprechen, die gewährleisten, dass Daten von gleichwertiger wissenschaftlicher Qualität und Vergleichbarkeit ermittelt werden.</w:t>
      </w:r>
    </w:p>
    <w:p>
      <w:pPr>
        <w:pStyle w:val="GesAbsatz"/>
        <w:rPr>
          <w:i/>
        </w:rPr>
      </w:pPr>
      <w:r>
        <w:rPr>
          <w:i/>
        </w:rPr>
        <w:t>Normen für Probenahmen zur Bestimmung biologischer Qualitätskomponenten</w:t>
      </w:r>
    </w:p>
    <w:p>
      <w:pPr>
        <w:pStyle w:val="GesAbsatz"/>
      </w:pPr>
      <w:r>
        <w:t>Generische Methoden, die mit den in den Normen angegebenen spezifischen Methoden zu den folgenden biologischen Qualitätskomponenten anzuwenden sind:</w:t>
      </w:r>
    </w:p>
    <w:p>
      <w:pPr>
        <w:pStyle w:val="GesAbsatz"/>
        <w:tabs>
          <w:tab w:val="clear" w:pos="425"/>
          <w:tab w:val="left" w:pos="2410"/>
        </w:tabs>
        <w:ind w:left="2410" w:hanging="2410"/>
      </w:pPr>
      <w:r>
        <w:t>EN ISO 5667-3:2012</w:t>
      </w:r>
      <w:r>
        <w:tab/>
        <w:t>Wasserbeschaffenheit - Probenahme - Teil 3: Konservierung und Handhabung von Wasserproben</w:t>
      </w:r>
    </w:p>
    <w:p>
      <w:pPr>
        <w:pStyle w:val="GesAbsatz"/>
        <w:rPr>
          <w:i/>
        </w:rPr>
      </w:pPr>
      <w:r>
        <w:rPr>
          <w:i/>
        </w:rPr>
        <w:t>Normen für Phytoplankton</w:t>
      </w:r>
    </w:p>
    <w:p>
      <w:pPr>
        <w:pStyle w:val="GesAbsatz"/>
        <w:tabs>
          <w:tab w:val="clear" w:pos="425"/>
          <w:tab w:val="left" w:pos="2410"/>
        </w:tabs>
        <w:ind w:left="2410" w:hanging="2410"/>
      </w:pPr>
      <w:r>
        <w:t>EN 15204:2006</w:t>
      </w:r>
      <w:r>
        <w:tab/>
        <w:t>Wasserbeschaffenheit - Anleitung für die Zählung von Phytoplankton mittels der Umkehrmikroskopie (Utermöhl-Technik)</w:t>
      </w:r>
    </w:p>
    <w:p>
      <w:pPr>
        <w:pStyle w:val="GesAbsatz"/>
        <w:tabs>
          <w:tab w:val="clear" w:pos="425"/>
          <w:tab w:val="left" w:pos="2410"/>
        </w:tabs>
        <w:ind w:left="2410" w:hanging="2410"/>
      </w:pPr>
      <w:r>
        <w:t>EN 15972:2011</w:t>
      </w:r>
      <w:r>
        <w:tab/>
        <w:t>Wasserbeschaffenheit - Anleitung für die quantitative und qualitative Untersuchung von marinem Phytoplankton</w:t>
      </w:r>
    </w:p>
    <w:p>
      <w:pPr>
        <w:pStyle w:val="GesAbsatz"/>
        <w:tabs>
          <w:tab w:val="clear" w:pos="425"/>
          <w:tab w:val="left" w:pos="2410"/>
        </w:tabs>
        <w:ind w:left="2410" w:hanging="2410"/>
      </w:pPr>
      <w:r>
        <w:t>ISO 10260:1992</w:t>
      </w:r>
      <w:r>
        <w:tab/>
        <w:t>Wasserbeschaffenheit - Bestimmung von biochemischen Parametern; photometrische Bestimmung der Chlorophyll-a-Konzentration</w:t>
      </w:r>
    </w:p>
    <w:p>
      <w:pPr>
        <w:pStyle w:val="GesAbsatz"/>
        <w:rPr>
          <w:i/>
        </w:rPr>
      </w:pPr>
      <w:r>
        <w:rPr>
          <w:i/>
        </w:rPr>
        <w:t>Normen für Makrophyten und Phytobenthos</w:t>
      </w:r>
    </w:p>
    <w:p>
      <w:pPr>
        <w:pStyle w:val="GesAbsatz"/>
        <w:tabs>
          <w:tab w:val="clear" w:pos="425"/>
          <w:tab w:val="left" w:pos="2410"/>
        </w:tabs>
        <w:ind w:left="2410" w:hanging="2410"/>
      </w:pPr>
      <w:r>
        <w:t>EN 15460:2007</w:t>
      </w:r>
      <w:r>
        <w:tab/>
        <w:t>Wasserbeschaffenheit - Anleitung zur Erfassung von Makrophyten in Seen</w:t>
      </w:r>
    </w:p>
    <w:p>
      <w:pPr>
        <w:pStyle w:val="GesAbsatz"/>
        <w:tabs>
          <w:tab w:val="clear" w:pos="425"/>
          <w:tab w:val="left" w:pos="2410"/>
        </w:tabs>
        <w:ind w:left="2410" w:hanging="2410"/>
      </w:pPr>
      <w:r>
        <w:t>EN 14184:2014</w:t>
      </w:r>
      <w:r>
        <w:tab/>
        <w:t>Wasserbeschaffenheit - Anleitung für die Untersuchung aquatischer Makrophyten in Fließgewässern</w:t>
      </w:r>
    </w:p>
    <w:p>
      <w:pPr>
        <w:pStyle w:val="GesAbsatz"/>
        <w:tabs>
          <w:tab w:val="clear" w:pos="425"/>
          <w:tab w:val="left" w:pos="2410"/>
        </w:tabs>
        <w:ind w:left="2410" w:hanging="2410"/>
      </w:pPr>
      <w:r>
        <w:t>EN 15708:2009</w:t>
      </w:r>
      <w:r>
        <w:tab/>
        <w:t>Wasserbeschaffenheit - Anleitung zur Beobachtung, Probenahme und Laboranalyse von Phytobenthos in flachen Fließgewässern</w:t>
      </w:r>
    </w:p>
    <w:p>
      <w:pPr>
        <w:pStyle w:val="GesAbsatz"/>
        <w:tabs>
          <w:tab w:val="clear" w:pos="425"/>
          <w:tab w:val="left" w:pos="2410"/>
        </w:tabs>
        <w:ind w:left="2410" w:hanging="2410"/>
      </w:pPr>
      <w:r>
        <w:t>EN 13946:2014</w:t>
      </w:r>
      <w:r>
        <w:tab/>
        <w:t>Wasserbeschaffenheit - Anleitung zur Probenahme und Probenaufbereitung von benthischen Kieselalgen aus Fließgewässern und Seen</w:t>
      </w:r>
    </w:p>
    <w:p>
      <w:pPr>
        <w:pStyle w:val="GesAbsatz"/>
        <w:tabs>
          <w:tab w:val="clear" w:pos="425"/>
          <w:tab w:val="left" w:pos="2410"/>
        </w:tabs>
        <w:ind w:left="2410" w:hanging="2410"/>
      </w:pPr>
      <w:r>
        <w:t>EN 14407:2014</w:t>
      </w:r>
      <w:r>
        <w:tab/>
        <w:t>Wasserbeschaffenheit - Anleitung zur Bestimmung und Zählung von benthischen Kieselalgen in Fließgewässern und Seen</w:t>
      </w:r>
    </w:p>
    <w:p>
      <w:pPr>
        <w:pStyle w:val="GesAbsatz"/>
        <w:rPr>
          <w:i/>
        </w:rPr>
      </w:pPr>
      <w:r>
        <w:rPr>
          <w:i/>
        </w:rPr>
        <w:t>Normen für benthische Invertebraten</w:t>
      </w:r>
    </w:p>
    <w:p>
      <w:pPr>
        <w:pStyle w:val="GesAbsatz"/>
        <w:tabs>
          <w:tab w:val="clear" w:pos="425"/>
          <w:tab w:val="left" w:pos="2410"/>
        </w:tabs>
        <w:ind w:left="2410" w:hanging="2410"/>
      </w:pPr>
      <w:r>
        <w:t>EN ISO 10870:2012</w:t>
      </w:r>
      <w:r>
        <w:tab/>
        <w:t>Wasserbeschaffenheit - Anleitung zur Auswahl von Probenahmeverfahren und -geräten für benthische Makro-Invertebraten in Binnengewässern</w:t>
      </w:r>
    </w:p>
    <w:p>
      <w:pPr>
        <w:pStyle w:val="GesAbsatz"/>
        <w:tabs>
          <w:tab w:val="clear" w:pos="425"/>
          <w:tab w:val="left" w:pos="2410"/>
        </w:tabs>
        <w:ind w:left="2410" w:hanging="2410"/>
      </w:pPr>
      <w:r>
        <w:t>EN 15196:2006</w:t>
      </w:r>
      <w:r>
        <w:tab/>
        <w:t>Wasserbeschaffenheit - Anleitung zur Probenahme und Behandlung von Exuvien von Chironomidae-Larven (Diptera) zur ökologischen Untersuchung</w:t>
      </w:r>
    </w:p>
    <w:p>
      <w:pPr>
        <w:pStyle w:val="GesAbsatz"/>
        <w:tabs>
          <w:tab w:val="clear" w:pos="425"/>
          <w:tab w:val="left" w:pos="2410"/>
        </w:tabs>
        <w:ind w:left="2410" w:hanging="2410"/>
      </w:pPr>
      <w:r>
        <w:t>EN 16150:2012</w:t>
      </w:r>
      <w:r>
        <w:tab/>
        <w:t>Wasserbeschaffenheit - Anleitung für die pro-rata Multi-Habitat-Probenahme benthischer Makroinvertebraten in Flüssen geringer Tiefe (watbar)</w:t>
      </w:r>
    </w:p>
    <w:p>
      <w:pPr>
        <w:pStyle w:val="GesAbsatz"/>
        <w:tabs>
          <w:tab w:val="clear" w:pos="425"/>
          <w:tab w:val="left" w:pos="2410"/>
        </w:tabs>
        <w:ind w:left="2410" w:hanging="2410"/>
      </w:pPr>
      <w:r>
        <w:t>EN ISO 19493:2007</w:t>
      </w:r>
      <w:r>
        <w:tab/>
        <w:t>Wasserbeschaffenheit - Anleitung für meeresbiologische Untersuchungen von Hartsubstratgemeinschaften</w:t>
      </w:r>
    </w:p>
    <w:p>
      <w:pPr>
        <w:pStyle w:val="GesAbsatz"/>
        <w:tabs>
          <w:tab w:val="clear" w:pos="425"/>
          <w:tab w:val="left" w:pos="2410"/>
        </w:tabs>
        <w:ind w:left="2410" w:hanging="2410"/>
      </w:pPr>
      <w:r>
        <w:lastRenderedPageBreak/>
        <w:t>EN ISO 16665:2013</w:t>
      </w:r>
      <w:r>
        <w:tab/>
        <w:t>Wasserbeschaffenheit - Anleitung für die quantitative Probenahme und Probenbearbeitung mariner Weichboden-Makrofauna</w:t>
      </w:r>
    </w:p>
    <w:p>
      <w:pPr>
        <w:pStyle w:val="GesAbsatz"/>
        <w:tabs>
          <w:tab w:val="clear" w:pos="425"/>
          <w:tab w:val="left" w:pos="2410"/>
        </w:tabs>
        <w:ind w:left="2410" w:hanging="2410"/>
        <w:rPr>
          <w:i/>
        </w:rPr>
      </w:pPr>
      <w:r>
        <w:rPr>
          <w:i/>
        </w:rPr>
        <w:t>Normen für Fische</w:t>
      </w:r>
    </w:p>
    <w:p>
      <w:pPr>
        <w:pStyle w:val="GesAbsatz"/>
        <w:tabs>
          <w:tab w:val="clear" w:pos="425"/>
          <w:tab w:val="left" w:pos="2410"/>
        </w:tabs>
        <w:ind w:left="2410" w:hanging="2410"/>
      </w:pPr>
      <w:r>
        <w:t>EN 14962:2006</w:t>
      </w:r>
      <w:r>
        <w:tab/>
        <w:t>Wasserbeschaffenheit - Anleitung zur Anwendung und Auswahl von Verfahren zur Probenahme von Fischen</w:t>
      </w:r>
    </w:p>
    <w:p>
      <w:pPr>
        <w:pStyle w:val="GesAbsatz"/>
        <w:tabs>
          <w:tab w:val="clear" w:pos="425"/>
          <w:tab w:val="left" w:pos="2410"/>
        </w:tabs>
        <w:ind w:left="2410" w:hanging="2410"/>
      </w:pPr>
      <w:r>
        <w:t>EN 14011:2003</w:t>
      </w:r>
      <w:r>
        <w:tab/>
        <w:t>Wasserbeschaffenheit - Probenahme von Fisch mittels Elektrizität</w:t>
      </w:r>
    </w:p>
    <w:p>
      <w:pPr>
        <w:pStyle w:val="GesAbsatz"/>
        <w:tabs>
          <w:tab w:val="clear" w:pos="425"/>
          <w:tab w:val="left" w:pos="2410"/>
        </w:tabs>
        <w:ind w:left="2410" w:hanging="2410"/>
      </w:pPr>
      <w:r>
        <w:t>EN 15910:2014</w:t>
      </w:r>
      <w:r>
        <w:tab/>
        <w:t>Wasserbeschaffenheit - Anleitung zur Abschätzung der Fischabundanz mit mobilen hydroakustischen Verfahren</w:t>
      </w:r>
    </w:p>
    <w:p>
      <w:pPr>
        <w:pStyle w:val="GesAbsatz"/>
        <w:tabs>
          <w:tab w:val="clear" w:pos="425"/>
          <w:tab w:val="left" w:pos="2410"/>
        </w:tabs>
        <w:ind w:left="2410" w:hanging="2410"/>
      </w:pPr>
      <w:r>
        <w:t>EN 14757:2005</w:t>
      </w:r>
      <w:r>
        <w:tab/>
        <w:t>Wasserbeschaffenheit - Probenahme von Fisch mittels Multi-Maschen-Kiemen</w:t>
      </w:r>
      <w:r>
        <w:softHyphen/>
        <w:t>netzen</w:t>
      </w:r>
    </w:p>
    <w:p>
      <w:pPr>
        <w:pStyle w:val="GesAbsatz"/>
        <w:tabs>
          <w:tab w:val="clear" w:pos="425"/>
          <w:tab w:val="left" w:pos="2410"/>
        </w:tabs>
        <w:ind w:left="2410" w:hanging="2410"/>
        <w:rPr>
          <w:i/>
        </w:rPr>
      </w:pPr>
      <w:r>
        <w:rPr>
          <w:i/>
        </w:rPr>
        <w:t>Normen für hydromorphologische Parameter</w:t>
      </w:r>
    </w:p>
    <w:p>
      <w:pPr>
        <w:pStyle w:val="GesAbsatz"/>
        <w:tabs>
          <w:tab w:val="clear" w:pos="425"/>
          <w:tab w:val="left" w:pos="2410"/>
        </w:tabs>
        <w:ind w:left="2410" w:hanging="2410"/>
      </w:pPr>
      <w:r>
        <w:t>EN 14614:2004</w:t>
      </w:r>
      <w:r>
        <w:tab/>
        <w:t>Wasserbeschaffenheit - Anleitung zur Beurteilung hydromorphologischer Eigenschaften von Fließgewässern</w:t>
      </w:r>
    </w:p>
    <w:p>
      <w:pPr>
        <w:pStyle w:val="GesAbsatz"/>
        <w:tabs>
          <w:tab w:val="clear" w:pos="425"/>
          <w:tab w:val="left" w:pos="2410"/>
        </w:tabs>
        <w:ind w:left="2410" w:hanging="2410"/>
      </w:pPr>
      <w:r>
        <w:t>EN 16039:2011</w:t>
      </w:r>
      <w:r>
        <w:tab/>
        <w:t>Wasserbeschaffenheit - Anleitung zur Beurteilung hydromorphologischer Eigenschaften von Standgewässern</w:t>
      </w:r>
    </w:p>
    <w:p>
      <w:pPr>
        <w:pStyle w:val="GesAbsatz"/>
        <w:tabs>
          <w:tab w:val="clear" w:pos="425"/>
          <w:tab w:val="left" w:pos="2410"/>
        </w:tabs>
        <w:ind w:left="2410" w:hanging="2410"/>
        <w:rPr>
          <w:i/>
        </w:rPr>
      </w:pPr>
      <w:r>
        <w:rPr>
          <w:i/>
        </w:rPr>
        <w:t>Normen für physikalisch-chemische Parameter</w:t>
      </w:r>
    </w:p>
    <w:p>
      <w:pPr>
        <w:pStyle w:val="GesAbsatz"/>
      </w:pPr>
      <w:r>
        <w:t>Alle einschlägigen CEN/ISO-Normen</w:t>
      </w:r>
    </w:p>
    <w:p>
      <w:pPr>
        <w:pStyle w:val="GesAbsatz"/>
      </w:pPr>
    </w:p>
    <w:p>
      <w:pPr>
        <w:pStyle w:val="GesAbsatz"/>
      </w:pPr>
      <w:r>
        <w:t>1.4 Einstufung und Darstellung des ökologischen Zustands</w:t>
      </w:r>
    </w:p>
    <w:p>
      <w:pPr>
        <w:pStyle w:val="GesAbsatz"/>
      </w:pPr>
      <w:r>
        <w:t>1.4.1 Vergleichbarkeit der Ergebnisse der biologischen Überwachung</w:t>
      </w:r>
    </w:p>
    <w:p>
      <w:pPr>
        <w:pStyle w:val="GesAbsatz"/>
        <w:ind w:left="426" w:hanging="426"/>
      </w:pPr>
      <w:r>
        <w:t>i)</w:t>
      </w:r>
      <w:r>
        <w:tab/>
        <w:t>Die Mitgliedstaaten richten Überwachungssysteme ein, um die für jede Kategorie von Oberflächengewässern oder für erheblich veränderte und künstliche Oberflächenwasserkörper spezifizierten Werte der biologischen Qualitätskomponenten abzuschätzen. Bei der Anwendung des unten dargelegten Verfahrens auf erheblich veränderte oder künstliche Oberflächenwasserkörper sollten Bezugnahmen auf den ökologischen Zustand als Bezugnahmen auf das ökologische Potential erfolgen. Bei diesen Systemen kann auf besondere Arten oder Artengruppen, die für die Qualitätskomponente insgesamt repräsentativ sind, zurückgegriffen werden.</w:t>
      </w:r>
    </w:p>
    <w:p>
      <w:pPr>
        <w:pStyle w:val="GesAbsatz"/>
        <w:ind w:left="426" w:hanging="426"/>
      </w:pPr>
      <w:r>
        <w:t>ii)</w:t>
      </w:r>
      <w:r>
        <w:tab/>
        <w:t>Um die Vergleichbarkeit dieser Überwachungssysteme zu gewährleisten, werden für die Zwecke der Einstufung des ökologischen Zustands die Ergebnisse der von den einzelnen Mitgliedstaaten verwendeten Systeme als ökologische Qualitätsquotienten ausgedrückt. Diese Quotienten sind eine Darstellung des Verhältnisses zwischen den Werten der bei einem bestimmten Oberflächenwasserkörper beobachteten Parameter und den Werten für diese Parameter in den für den betreffenden Wasserkörper geltenden Bezugsbedingungen. Der Quotient wird als numerischer Wert zwischen 0 und 1 ausgedrückt, wobei ein sehr guter ökologischer Zustand mit Werten nahe dem Wert 1 und ein schlechter ökologischer Zustand mit Werten nahe dem Wert 0 ausgedrückt wird.</w:t>
      </w:r>
    </w:p>
    <w:p>
      <w:pPr>
        <w:pStyle w:val="GesAbsatz"/>
        <w:ind w:left="426" w:hanging="426"/>
      </w:pPr>
      <w:r>
        <w:t>iii)</w:t>
      </w:r>
      <w:r>
        <w:tab/>
        <w:t xml:space="preserve">Jeder Mitgliedstaat verwendet für sein Überwachungssystem für jede Kategorie von Oberflächengewässern eine fünfstufige Skala der ökologischen Qualitätsquotienten, die entsprechend der Einstufung unter Randnummer 1.2 von einem sehr guten bis zu einem schlechten ökologischen Zustand reicht, wobei die die Stufen trennenden Grenzwerte als numerische Werte ausgedrückt werden. Der Wert, der die Stufen </w:t>
      </w:r>
      <w:r>
        <w:rPr>
          <w:rFonts w:cs="Arial"/>
        </w:rPr>
        <w:t xml:space="preserve">„sehr </w:t>
      </w:r>
      <w:r>
        <w:t>guter Zustand</w:t>
      </w:r>
      <w:r>
        <w:rPr>
          <w:rFonts w:cs="Arial"/>
        </w:rPr>
        <w:t xml:space="preserve">“ und „guter Zustand“ trennt, und der Wert, der die Stufen „guter Zustand“ und „mäßiger </w:t>
      </w:r>
      <w:r>
        <w:t>Zustand</w:t>
      </w:r>
      <w:r>
        <w:rPr>
          <w:rFonts w:cs="Arial"/>
        </w:rPr>
        <w:t>“ trennt, werden im Wege der nachstehend beschriebenen Interkalibrie</w:t>
      </w:r>
      <w:r>
        <w:t>rung bestimmt.</w:t>
      </w:r>
    </w:p>
    <w:p>
      <w:pPr>
        <w:pStyle w:val="GesAbsatz"/>
        <w:ind w:left="426" w:hanging="426"/>
      </w:pPr>
      <w:r>
        <w:t>iv)</w:t>
      </w:r>
      <w:r>
        <w:tab/>
        <w:t>Die Kommission fördert diese Interkalibrierung, damit diese Stufengrenzwerte im Einklang mit den normativen Begriffsbestimmungen der Randnummer 1.2 bestimmt werden und zwischen den Mitgliedstaaten vergleichbar sind.</w:t>
      </w:r>
    </w:p>
    <w:p>
      <w:pPr>
        <w:pStyle w:val="GesAbsatz"/>
        <w:ind w:left="426" w:hanging="426"/>
      </w:pPr>
      <w:r>
        <w:t>v)</w:t>
      </w:r>
      <w:r>
        <w:tab/>
        <w:t xml:space="preserve">In diesem Rahmen fördert die Kommission den Informationsaustausch zwischen den Mitgliedstaaten mit dem Ziel, für jede Ökoregion in der Gemeinschaft eine Reihe von Orten zu ermitteln; diese Orte bilden dann ein Interkalibrierungsnetz. Dieses Netz besteht aus Orten, die aus einer Bandbreite von in jeder Ökoregion vorkommenden Typen von Oberflächenwasserkörpern ausgewählt werden. Für jeden ausgewählten Oberflächenwasserkörpertyp besteht das Netz aus mindestens zwei Orten, deren Wert zwischen den normativen Bestimmungen der Begriffe </w:t>
      </w:r>
      <w:r>
        <w:rPr>
          <w:rFonts w:cs="Arial"/>
        </w:rPr>
        <w:t xml:space="preserve">„sehr guter Zustand“ und „guter Zustand“ liegt, und </w:t>
      </w:r>
      <w:r>
        <w:t xml:space="preserve">mindestens zwei Orten, deren Wert zwischen den normativen Bestimmungen der Begriffe </w:t>
      </w:r>
      <w:r>
        <w:rPr>
          <w:rFonts w:cs="Arial"/>
        </w:rPr>
        <w:t xml:space="preserve">„guter Zustand“ </w:t>
      </w:r>
      <w:r>
        <w:t xml:space="preserve">und </w:t>
      </w:r>
      <w:r>
        <w:rPr>
          <w:rFonts w:cs="Arial"/>
        </w:rPr>
        <w:t xml:space="preserve">„mäßiger Zustand“ liegt. Die Orte werden auf der Grundlage gemeinsamer Inspektionen und aller </w:t>
      </w:r>
      <w:r>
        <w:t>anderen verfügbaren Informationen durch Sachverständige ausgewählt.</w:t>
      </w:r>
    </w:p>
    <w:p>
      <w:pPr>
        <w:pStyle w:val="GesAbsatz"/>
        <w:ind w:left="426" w:hanging="426"/>
      </w:pPr>
      <w:r>
        <w:t>vi)</w:t>
      </w:r>
      <w:r>
        <w:tab/>
        <w:t xml:space="preserve">Die Überwachungssysteme der Mitgliedstaaten werden auf die Orte des Interkalibrierungsnetzes angewendet, die sich in der Ökoregion befinden und auch zu dem Oberflächenwasserkörpertyp gehören, auf die das System gemäß dieser Richtlinie angewendet wird. Die Ergebnisse werden verwendet, um die </w:t>
      </w:r>
      <w:r>
        <w:lastRenderedPageBreak/>
        <w:t>numerischen Werte für die relevanten Grenzen zwischen den Stufen in den Überwachungssystemen der Mitgliedstaaten festzulegen.</w:t>
      </w:r>
    </w:p>
    <w:p>
      <w:pPr>
        <w:pStyle w:val="GesAbsatz"/>
        <w:ind w:left="426" w:hanging="426"/>
      </w:pPr>
      <w:r>
        <w:t>vii)</w:t>
      </w:r>
      <w:r>
        <w:tab/>
        <w:t>Die Kommission erstellt den Entwurf eines Verzeichnisses der Orte, die das Interkalibrierungsnetz bilden sollen. Das endgültige Verzeichnis der Orte wird nach dem in Artikel 21 Absatz 2 genannten Regelungsverfahren erstellt.</w:t>
      </w:r>
    </w:p>
    <w:p>
      <w:pPr>
        <w:pStyle w:val="GesAbsatz"/>
        <w:ind w:left="426" w:hanging="426"/>
      </w:pPr>
      <w:r>
        <w:t>viii)</w:t>
      </w:r>
      <w:r>
        <w:tab/>
        <w:t>Die Kommission und die Mitgliedstaaten schließen die Interkalibrierung binnen 18 Monaten ab dem Zeitpunkt der Veröffentlichung des endgültigen Verzeichnisses ab.</w:t>
      </w:r>
    </w:p>
    <w:p>
      <w:pPr>
        <w:pStyle w:val="GesAbsatz"/>
        <w:ind w:left="426" w:hanging="426"/>
      </w:pPr>
      <w:r>
        <w:t>ix)</w:t>
      </w:r>
      <w:r>
        <w:tab/>
        <w:t>Die Ergebnisse der Interkalibrierung und die Werte für die Einstufungen des Überwachungssystems des jeweiligen Mitgliedstaats, die gemäß den Ziffern i bis viii festgelegt werden und die eine Änderung nicht wesentlicher Bestimmungen dieser Richtlinie durch Ergänzung bewirken, werden nach dem in Artikel 21 Absatz 3 genannten Regelungsverfahren mit Kontrolle erlassen und binnen sechs Monaten nach Abschluss der Interkalibrierung veröffentlicht.</w:t>
      </w:r>
    </w:p>
    <w:p>
      <w:pPr>
        <w:pStyle w:val="GesAbsatz"/>
        <w:rPr>
          <w:lang w:val="it-IT"/>
        </w:rPr>
      </w:pPr>
      <w:r>
        <w:t xml:space="preserve">1.4.2 Darstellung der Überwachungsergebnisse und Einstufung des ökologischen Zustands </w:t>
      </w:r>
      <w:r>
        <w:rPr>
          <w:lang w:val="it-IT"/>
        </w:rPr>
        <w:t xml:space="preserve">und des </w:t>
      </w:r>
      <w:r>
        <w:t>ökologischen Potentials</w:t>
      </w:r>
    </w:p>
    <w:p>
      <w:pPr>
        <w:pStyle w:val="GesAbsatz"/>
        <w:ind w:left="426" w:hanging="426"/>
      </w:pPr>
      <w:r>
        <w:t>i)</w:t>
      </w:r>
      <w:r>
        <w:tab/>
        <w:t>Für die Kategorien von Oberflächengewässern wird die Einstufung des ökologischen Zustands für den jeweiligen Wasserkörper durch die jeweils niedrigeren Werte für die Ergebnisse der biologischen und der physikalisch-chemischen Überwachung für die entsprechend der ersten Spalte der nachstehenden Tabelle eingestuften relevanten Qualitätskomponenten dargestellt. Die Mitgliedstaaten erstellen für jede Flussgebietseinheit eine Karte, auf der die Einstufung des ökologischen Zustands für jeden Wasserkörper gemäß der Farbkennung in der zweiten Spalte der nachstehenden Tabelle dargestellt wird, um die Einstufung des ökologischen Zustands des Wasserkörpers wiederzugeben:</w:t>
      </w:r>
    </w:p>
    <w:p>
      <w:pPr>
        <w:pStyle w:val="GesAbsatz"/>
      </w:pPr>
    </w:p>
    <w:tbl>
      <w:tblPr>
        <w:tblW w:w="5248" w:type="dxa"/>
        <w:jc w:val="center"/>
        <w:tblBorders>
          <w:top w:val="nil"/>
          <w:left w:val="nil"/>
          <w:bottom w:val="nil"/>
          <w:right w:val="nil"/>
        </w:tblBorders>
        <w:tblLook w:val="0000" w:firstRow="0" w:lastRow="0" w:firstColumn="0" w:lastColumn="0" w:noHBand="0" w:noVBand="0"/>
      </w:tblPr>
      <w:tblGrid>
        <w:gridCol w:w="3794"/>
        <w:gridCol w:w="1454"/>
      </w:tblGrid>
      <w:tr>
        <w:trPr>
          <w:trHeight w:val="223"/>
          <w:jc w:val="center"/>
        </w:trPr>
        <w:tc>
          <w:tcPr>
            <w:tcW w:w="3794" w:type="dxa"/>
            <w:tcBorders>
              <w:top w:val="single" w:sz="6" w:space="0" w:color="000000"/>
              <w:bottom w:val="single" w:sz="6" w:space="0" w:color="000000"/>
              <w:right w:val="single" w:sz="6" w:space="0" w:color="000000"/>
            </w:tcBorders>
          </w:tcPr>
          <w:p>
            <w:pPr>
              <w:pStyle w:val="GesAbsatz"/>
              <w:jc w:val="left"/>
            </w:pPr>
            <w:r>
              <w:t xml:space="preserve">Einstufung des ökologischen Zustands </w:t>
            </w:r>
          </w:p>
        </w:tc>
        <w:tc>
          <w:tcPr>
            <w:tcW w:w="1454" w:type="dxa"/>
            <w:tcBorders>
              <w:top w:val="single" w:sz="6" w:space="0" w:color="000000"/>
              <w:left w:val="single" w:sz="6" w:space="0" w:color="000000"/>
              <w:bottom w:val="single" w:sz="6" w:space="0" w:color="000000"/>
            </w:tcBorders>
          </w:tcPr>
          <w:p>
            <w:pPr>
              <w:pStyle w:val="GesAbsatz"/>
              <w:jc w:val="left"/>
            </w:pPr>
            <w:r>
              <w:t xml:space="preserve">Farbkennung </w:t>
            </w:r>
          </w:p>
        </w:tc>
      </w:tr>
      <w:tr>
        <w:trPr>
          <w:trHeight w:val="187"/>
          <w:jc w:val="center"/>
        </w:trPr>
        <w:tc>
          <w:tcPr>
            <w:tcW w:w="3794" w:type="dxa"/>
            <w:tcBorders>
              <w:top w:val="single" w:sz="6" w:space="0" w:color="000000"/>
              <w:bottom w:val="single" w:sz="5" w:space="0" w:color="000000"/>
              <w:right w:val="single" w:sz="6" w:space="0" w:color="000000"/>
            </w:tcBorders>
          </w:tcPr>
          <w:p>
            <w:pPr>
              <w:pStyle w:val="GesAbsatz"/>
              <w:jc w:val="left"/>
            </w:pPr>
            <w:r>
              <w:t xml:space="preserve">sehr gut </w:t>
            </w:r>
          </w:p>
        </w:tc>
        <w:tc>
          <w:tcPr>
            <w:tcW w:w="1454" w:type="dxa"/>
            <w:tcBorders>
              <w:top w:val="single" w:sz="6" w:space="0" w:color="000000"/>
              <w:left w:val="single" w:sz="6" w:space="0" w:color="000000"/>
              <w:bottom w:val="single" w:sz="5" w:space="0" w:color="000000"/>
            </w:tcBorders>
          </w:tcPr>
          <w:p>
            <w:pPr>
              <w:pStyle w:val="GesAbsatz"/>
              <w:jc w:val="left"/>
            </w:pPr>
            <w:r>
              <w:t xml:space="preserve">blau </w:t>
            </w:r>
          </w:p>
        </w:tc>
      </w:tr>
      <w:tr>
        <w:trPr>
          <w:trHeight w:val="207"/>
          <w:jc w:val="center"/>
        </w:trPr>
        <w:tc>
          <w:tcPr>
            <w:tcW w:w="3794" w:type="dxa"/>
            <w:tcBorders>
              <w:top w:val="single" w:sz="5" w:space="0" w:color="000000"/>
              <w:bottom w:val="single" w:sz="5" w:space="0" w:color="000000"/>
              <w:right w:val="single" w:sz="6" w:space="0" w:color="000000"/>
            </w:tcBorders>
          </w:tcPr>
          <w:p>
            <w:pPr>
              <w:pStyle w:val="GesAbsatz"/>
              <w:jc w:val="left"/>
            </w:pPr>
            <w:r>
              <w:t xml:space="preserve">gut </w:t>
            </w:r>
          </w:p>
        </w:tc>
        <w:tc>
          <w:tcPr>
            <w:tcW w:w="1454" w:type="dxa"/>
            <w:tcBorders>
              <w:top w:val="single" w:sz="5" w:space="0" w:color="000000"/>
              <w:left w:val="single" w:sz="6" w:space="0" w:color="000000"/>
              <w:bottom w:val="single" w:sz="5" w:space="0" w:color="000000"/>
            </w:tcBorders>
          </w:tcPr>
          <w:p>
            <w:pPr>
              <w:pStyle w:val="GesAbsatz"/>
              <w:jc w:val="left"/>
            </w:pPr>
            <w:r>
              <w:t xml:space="preserve">grün </w:t>
            </w:r>
          </w:p>
        </w:tc>
      </w:tr>
      <w:tr>
        <w:trPr>
          <w:trHeight w:val="270"/>
          <w:jc w:val="center"/>
        </w:trPr>
        <w:tc>
          <w:tcPr>
            <w:tcW w:w="3794" w:type="dxa"/>
            <w:tcBorders>
              <w:top w:val="single" w:sz="5" w:space="0" w:color="000000"/>
              <w:bottom w:val="single" w:sz="5" w:space="0" w:color="000000"/>
              <w:right w:val="single" w:sz="6" w:space="0" w:color="000000"/>
            </w:tcBorders>
          </w:tcPr>
          <w:p>
            <w:pPr>
              <w:pStyle w:val="GesAbsatz"/>
              <w:jc w:val="left"/>
            </w:pPr>
            <w:r>
              <w:t xml:space="preserve">mäßig </w:t>
            </w:r>
          </w:p>
        </w:tc>
        <w:tc>
          <w:tcPr>
            <w:tcW w:w="1454" w:type="dxa"/>
            <w:tcBorders>
              <w:top w:val="single" w:sz="5" w:space="0" w:color="000000"/>
              <w:left w:val="single" w:sz="6" w:space="0" w:color="000000"/>
              <w:bottom w:val="single" w:sz="5" w:space="0" w:color="000000"/>
            </w:tcBorders>
          </w:tcPr>
          <w:p>
            <w:pPr>
              <w:pStyle w:val="GesAbsatz"/>
              <w:jc w:val="left"/>
            </w:pPr>
            <w:r>
              <w:t xml:space="preserve">gelb </w:t>
            </w:r>
          </w:p>
        </w:tc>
      </w:tr>
      <w:tr>
        <w:trPr>
          <w:trHeight w:val="331"/>
          <w:jc w:val="center"/>
        </w:trPr>
        <w:tc>
          <w:tcPr>
            <w:tcW w:w="3794" w:type="dxa"/>
            <w:tcBorders>
              <w:top w:val="single" w:sz="5" w:space="0" w:color="000000"/>
              <w:bottom w:val="single" w:sz="5" w:space="0" w:color="000000"/>
              <w:right w:val="single" w:sz="6" w:space="0" w:color="000000"/>
            </w:tcBorders>
          </w:tcPr>
          <w:p>
            <w:pPr>
              <w:pStyle w:val="GesAbsatz"/>
              <w:jc w:val="left"/>
            </w:pPr>
            <w:r>
              <w:t xml:space="preserve">unbefriedigend </w:t>
            </w:r>
          </w:p>
        </w:tc>
        <w:tc>
          <w:tcPr>
            <w:tcW w:w="1454" w:type="dxa"/>
            <w:tcBorders>
              <w:top w:val="single" w:sz="5" w:space="0" w:color="000000"/>
              <w:left w:val="single" w:sz="6" w:space="0" w:color="000000"/>
              <w:bottom w:val="single" w:sz="5" w:space="0" w:color="000000"/>
            </w:tcBorders>
          </w:tcPr>
          <w:p>
            <w:pPr>
              <w:pStyle w:val="GesAbsatz"/>
              <w:jc w:val="left"/>
            </w:pPr>
            <w:r>
              <w:t xml:space="preserve">orange </w:t>
            </w:r>
          </w:p>
        </w:tc>
      </w:tr>
      <w:tr>
        <w:trPr>
          <w:trHeight w:val="252"/>
          <w:jc w:val="center"/>
        </w:trPr>
        <w:tc>
          <w:tcPr>
            <w:tcW w:w="3794" w:type="dxa"/>
            <w:tcBorders>
              <w:top w:val="single" w:sz="5" w:space="0" w:color="000000"/>
              <w:bottom w:val="single" w:sz="6" w:space="0" w:color="000000"/>
              <w:right w:val="single" w:sz="6" w:space="0" w:color="000000"/>
            </w:tcBorders>
          </w:tcPr>
          <w:p>
            <w:pPr>
              <w:pStyle w:val="GesAbsatz"/>
              <w:jc w:val="left"/>
            </w:pPr>
            <w:r>
              <w:t xml:space="preserve">schlecht </w:t>
            </w:r>
          </w:p>
        </w:tc>
        <w:tc>
          <w:tcPr>
            <w:tcW w:w="1454" w:type="dxa"/>
            <w:tcBorders>
              <w:top w:val="single" w:sz="5" w:space="0" w:color="000000"/>
              <w:left w:val="single" w:sz="6" w:space="0" w:color="000000"/>
              <w:bottom w:val="single" w:sz="6" w:space="0" w:color="000000"/>
            </w:tcBorders>
          </w:tcPr>
          <w:p>
            <w:pPr>
              <w:pStyle w:val="GesAbsatz"/>
              <w:jc w:val="left"/>
            </w:pPr>
            <w:r>
              <w:t xml:space="preserve">rot </w:t>
            </w:r>
          </w:p>
        </w:tc>
      </w:tr>
    </w:tbl>
    <w:p>
      <w:pPr>
        <w:pStyle w:val="GesAbsatz"/>
      </w:pPr>
    </w:p>
    <w:p>
      <w:pPr>
        <w:pStyle w:val="GesAbsatz"/>
        <w:ind w:left="426" w:hanging="426"/>
      </w:pPr>
      <w:r>
        <w:t>ii)</w:t>
      </w:r>
      <w:r>
        <w:tab/>
        <w:t>Für erheblich veränderte und künstliche Wasserkörper wird die Einstufung des ökologischen Potentials für den jeweiligen Wasserkörper durch die jeweils niedrigeren Werte für die Ergebnisse der biologischen und der physikalisch-chemischen Überwachung für die entsprechend der ersten Spalte der nachstehenden Tabelle eingestuften relevanten Qualitätskomponenten dargestellt. Die Mitgliedstaaten erstellen für jede Flussgebietseinheit eine Karte, auf der die Einstufung des ökologischen Potentials für jeden Wasserkörper mit einer Farbkennung dargestellt wird, und zwar für künstliche Wasserkörper gemäß der zweiten Spalte der nachstehenden Tabelle und für erheblich veränderte Wasserkörper gemäß der dritten Spalte der nachstehenden Tabelle:</w:t>
      </w:r>
    </w:p>
    <w:p>
      <w:pPr>
        <w:pStyle w:val="GesAbsatz"/>
      </w:pPr>
    </w:p>
    <w:tbl>
      <w:tblPr>
        <w:tblW w:w="8755" w:type="dxa"/>
        <w:tblBorders>
          <w:top w:val="nil"/>
          <w:left w:val="nil"/>
          <w:bottom w:val="nil"/>
          <w:right w:val="nil"/>
        </w:tblBorders>
        <w:tblLook w:val="0000" w:firstRow="0" w:lastRow="0" w:firstColumn="0" w:lastColumn="0" w:noHBand="0" w:noVBand="0"/>
      </w:tblPr>
      <w:tblGrid>
        <w:gridCol w:w="2802"/>
        <w:gridCol w:w="2551"/>
        <w:gridCol w:w="3402"/>
      </w:tblGrid>
      <w:tr>
        <w:trPr>
          <w:trHeight w:val="223"/>
        </w:trPr>
        <w:tc>
          <w:tcPr>
            <w:tcW w:w="2802" w:type="dxa"/>
            <w:vMerge w:val="restart"/>
            <w:tcBorders>
              <w:top w:val="single" w:sz="6" w:space="0" w:color="000000"/>
              <w:left w:val="single" w:sz="6" w:space="0" w:color="000000"/>
              <w:bottom w:val="single" w:sz="6" w:space="0" w:color="000000"/>
              <w:right w:val="single" w:sz="6" w:space="0" w:color="000000"/>
            </w:tcBorders>
          </w:tcPr>
          <w:p>
            <w:pPr>
              <w:pStyle w:val="GesAbsatz"/>
              <w:jc w:val="center"/>
            </w:pPr>
            <w:r>
              <w:t>Einstufung des ökologischen Potentials</w:t>
            </w:r>
          </w:p>
        </w:tc>
        <w:tc>
          <w:tcPr>
            <w:tcW w:w="5953" w:type="dxa"/>
            <w:gridSpan w:val="2"/>
            <w:tcBorders>
              <w:top w:val="single" w:sz="6" w:space="0" w:color="000000"/>
              <w:left w:val="single" w:sz="6" w:space="0" w:color="000000"/>
              <w:bottom w:val="single" w:sz="6" w:space="0" w:color="000000"/>
              <w:right w:val="single" w:sz="6" w:space="0" w:color="000000"/>
            </w:tcBorders>
          </w:tcPr>
          <w:p>
            <w:pPr>
              <w:pStyle w:val="GesAbsatz"/>
              <w:jc w:val="center"/>
            </w:pPr>
            <w:r>
              <w:t>Farbkennung</w:t>
            </w:r>
          </w:p>
        </w:tc>
      </w:tr>
      <w:tr>
        <w:trPr>
          <w:trHeight w:val="478"/>
        </w:trPr>
        <w:tc>
          <w:tcPr>
            <w:tcW w:w="2802" w:type="dxa"/>
            <w:vMerge/>
            <w:tcBorders>
              <w:top w:val="single" w:sz="6" w:space="0" w:color="000000"/>
              <w:left w:val="single" w:sz="6" w:space="0" w:color="000000"/>
              <w:bottom w:val="single" w:sz="6" w:space="0" w:color="000000"/>
              <w:right w:val="single" w:sz="6" w:space="0" w:color="000000"/>
            </w:tcBorders>
          </w:tcPr>
          <w:p>
            <w:pPr>
              <w:pStyle w:val="GesAbsatz"/>
              <w:jc w:val="left"/>
            </w:pPr>
          </w:p>
        </w:tc>
        <w:tc>
          <w:tcPr>
            <w:tcW w:w="2551" w:type="dxa"/>
            <w:tcBorders>
              <w:top w:val="single" w:sz="6" w:space="0" w:color="000000"/>
              <w:left w:val="single" w:sz="6" w:space="0" w:color="000000"/>
              <w:bottom w:val="single" w:sz="6" w:space="0" w:color="000000"/>
              <w:right w:val="single" w:sz="6" w:space="0" w:color="000000"/>
            </w:tcBorders>
          </w:tcPr>
          <w:p>
            <w:pPr>
              <w:pStyle w:val="GesAbsatz"/>
              <w:jc w:val="left"/>
            </w:pPr>
            <w:r>
              <w:t xml:space="preserve">Künstliche Wasserkörper </w:t>
            </w:r>
          </w:p>
        </w:tc>
        <w:tc>
          <w:tcPr>
            <w:tcW w:w="3402" w:type="dxa"/>
            <w:tcBorders>
              <w:top w:val="single" w:sz="6" w:space="0" w:color="000000"/>
              <w:left w:val="single" w:sz="6" w:space="0" w:color="000000"/>
              <w:bottom w:val="single" w:sz="6" w:space="0" w:color="000000"/>
              <w:right w:val="single" w:sz="6" w:space="0" w:color="000000"/>
            </w:tcBorders>
          </w:tcPr>
          <w:p>
            <w:pPr>
              <w:pStyle w:val="GesAbsatz"/>
              <w:jc w:val="left"/>
            </w:pPr>
            <w:r>
              <w:t xml:space="preserve">Erheblich veränderte Wasserkörper </w:t>
            </w:r>
          </w:p>
        </w:tc>
      </w:tr>
      <w:tr>
        <w:trPr>
          <w:trHeight w:val="360"/>
        </w:trPr>
        <w:tc>
          <w:tcPr>
            <w:tcW w:w="2802" w:type="dxa"/>
            <w:tcBorders>
              <w:top w:val="single" w:sz="6" w:space="0" w:color="000000"/>
              <w:left w:val="single" w:sz="6" w:space="0" w:color="000000"/>
              <w:bottom w:val="single" w:sz="6" w:space="0" w:color="000000"/>
              <w:right w:val="single" w:sz="6" w:space="0" w:color="000000"/>
            </w:tcBorders>
          </w:tcPr>
          <w:p>
            <w:pPr>
              <w:pStyle w:val="GesAbsatz"/>
              <w:jc w:val="left"/>
            </w:pPr>
            <w:r>
              <w:t xml:space="preserve">gut und besser </w:t>
            </w:r>
          </w:p>
        </w:tc>
        <w:tc>
          <w:tcPr>
            <w:tcW w:w="2551" w:type="dxa"/>
            <w:tcBorders>
              <w:top w:val="single" w:sz="6" w:space="0" w:color="000000"/>
              <w:left w:val="single" w:sz="6" w:space="0" w:color="000000"/>
              <w:bottom w:val="single" w:sz="6" w:space="0" w:color="000000"/>
              <w:right w:val="single" w:sz="6" w:space="0" w:color="000000"/>
            </w:tcBorders>
          </w:tcPr>
          <w:p>
            <w:pPr>
              <w:pStyle w:val="GesAbsatz"/>
              <w:jc w:val="left"/>
            </w:pPr>
            <w:r>
              <w:t>gleich große grüne und hellgraue Streifen</w:t>
            </w:r>
          </w:p>
        </w:tc>
        <w:tc>
          <w:tcPr>
            <w:tcW w:w="3402" w:type="dxa"/>
            <w:tcBorders>
              <w:top w:val="single" w:sz="6" w:space="0" w:color="000000"/>
              <w:left w:val="single" w:sz="6" w:space="0" w:color="000000"/>
              <w:bottom w:val="single" w:sz="6" w:space="0" w:color="000000"/>
              <w:right w:val="single" w:sz="6" w:space="0" w:color="000000"/>
            </w:tcBorders>
          </w:tcPr>
          <w:p>
            <w:pPr>
              <w:pStyle w:val="GesAbsatz"/>
              <w:jc w:val="left"/>
            </w:pPr>
            <w:r>
              <w:t xml:space="preserve">gleich große grüne und dunkelgraue Streifen </w:t>
            </w:r>
          </w:p>
        </w:tc>
      </w:tr>
      <w:tr>
        <w:trPr>
          <w:trHeight w:val="468"/>
        </w:trPr>
        <w:tc>
          <w:tcPr>
            <w:tcW w:w="2802" w:type="dxa"/>
            <w:tcBorders>
              <w:top w:val="single" w:sz="6" w:space="0" w:color="000000"/>
              <w:left w:val="single" w:sz="6" w:space="0" w:color="000000"/>
              <w:bottom w:val="single" w:sz="6" w:space="0" w:color="000000"/>
              <w:right w:val="single" w:sz="6" w:space="0" w:color="000000"/>
            </w:tcBorders>
          </w:tcPr>
          <w:p>
            <w:pPr>
              <w:pStyle w:val="GesAbsatz"/>
              <w:jc w:val="left"/>
            </w:pPr>
            <w:r>
              <w:t xml:space="preserve">mäßig </w:t>
            </w:r>
          </w:p>
        </w:tc>
        <w:tc>
          <w:tcPr>
            <w:tcW w:w="2551" w:type="dxa"/>
            <w:tcBorders>
              <w:top w:val="single" w:sz="6" w:space="0" w:color="000000"/>
              <w:left w:val="single" w:sz="6" w:space="0" w:color="000000"/>
              <w:bottom w:val="single" w:sz="6" w:space="0" w:color="000000"/>
              <w:right w:val="single" w:sz="6" w:space="0" w:color="000000"/>
            </w:tcBorders>
          </w:tcPr>
          <w:p>
            <w:pPr>
              <w:pStyle w:val="GesAbsatz"/>
              <w:jc w:val="left"/>
            </w:pPr>
            <w:r>
              <w:t>gleich große gelbe und hellgraue Streifen</w:t>
            </w:r>
          </w:p>
        </w:tc>
        <w:tc>
          <w:tcPr>
            <w:tcW w:w="3402" w:type="dxa"/>
            <w:tcBorders>
              <w:top w:val="single" w:sz="6" w:space="0" w:color="000000"/>
              <w:left w:val="single" w:sz="6" w:space="0" w:color="000000"/>
              <w:bottom w:val="single" w:sz="6" w:space="0" w:color="000000"/>
              <w:right w:val="single" w:sz="6" w:space="0" w:color="000000"/>
            </w:tcBorders>
          </w:tcPr>
          <w:p>
            <w:pPr>
              <w:pStyle w:val="GesAbsatz"/>
              <w:jc w:val="left"/>
            </w:pPr>
            <w:r>
              <w:t xml:space="preserve">gleich große gelbe und dunkelgraue Streifen </w:t>
            </w:r>
          </w:p>
        </w:tc>
      </w:tr>
      <w:tr>
        <w:trPr>
          <w:trHeight w:val="462"/>
        </w:trPr>
        <w:tc>
          <w:tcPr>
            <w:tcW w:w="2802" w:type="dxa"/>
            <w:tcBorders>
              <w:top w:val="single" w:sz="6" w:space="0" w:color="000000"/>
              <w:left w:val="single" w:sz="6" w:space="0" w:color="000000"/>
              <w:bottom w:val="single" w:sz="6" w:space="0" w:color="000000"/>
              <w:right w:val="single" w:sz="6" w:space="0" w:color="000000"/>
            </w:tcBorders>
          </w:tcPr>
          <w:p>
            <w:pPr>
              <w:pStyle w:val="GesAbsatz"/>
              <w:jc w:val="left"/>
            </w:pPr>
            <w:r>
              <w:t xml:space="preserve">unbefriedigend </w:t>
            </w:r>
          </w:p>
        </w:tc>
        <w:tc>
          <w:tcPr>
            <w:tcW w:w="2551" w:type="dxa"/>
            <w:tcBorders>
              <w:top w:val="single" w:sz="6" w:space="0" w:color="000000"/>
              <w:left w:val="single" w:sz="6" w:space="0" w:color="000000"/>
              <w:bottom w:val="single" w:sz="6" w:space="0" w:color="000000"/>
              <w:right w:val="single" w:sz="6" w:space="0" w:color="000000"/>
            </w:tcBorders>
          </w:tcPr>
          <w:p>
            <w:pPr>
              <w:pStyle w:val="GesAbsatz"/>
              <w:jc w:val="left"/>
            </w:pPr>
            <w:r>
              <w:t xml:space="preserve">gleich große orangefarbene und hellgraue Streifen </w:t>
            </w:r>
          </w:p>
        </w:tc>
        <w:tc>
          <w:tcPr>
            <w:tcW w:w="3402" w:type="dxa"/>
            <w:tcBorders>
              <w:top w:val="single" w:sz="6" w:space="0" w:color="000000"/>
              <w:left w:val="single" w:sz="6" w:space="0" w:color="000000"/>
              <w:bottom w:val="single" w:sz="6" w:space="0" w:color="000000"/>
              <w:right w:val="single" w:sz="6" w:space="0" w:color="000000"/>
            </w:tcBorders>
          </w:tcPr>
          <w:p>
            <w:pPr>
              <w:pStyle w:val="GesAbsatz"/>
              <w:jc w:val="left"/>
            </w:pPr>
            <w:r>
              <w:t xml:space="preserve">gleich große orangefarbene und dunkelgraue Streifen </w:t>
            </w:r>
          </w:p>
        </w:tc>
      </w:tr>
      <w:tr>
        <w:trPr>
          <w:trHeight w:val="481"/>
        </w:trPr>
        <w:tc>
          <w:tcPr>
            <w:tcW w:w="2802" w:type="dxa"/>
            <w:tcBorders>
              <w:top w:val="single" w:sz="6" w:space="0" w:color="000000"/>
              <w:left w:val="single" w:sz="6" w:space="0" w:color="000000"/>
              <w:bottom w:val="single" w:sz="6" w:space="0" w:color="000000"/>
              <w:right w:val="single" w:sz="6" w:space="0" w:color="000000"/>
            </w:tcBorders>
          </w:tcPr>
          <w:p>
            <w:pPr>
              <w:pStyle w:val="GesAbsatz"/>
              <w:jc w:val="left"/>
            </w:pPr>
            <w:r>
              <w:t xml:space="preserve">schlecht </w:t>
            </w:r>
          </w:p>
        </w:tc>
        <w:tc>
          <w:tcPr>
            <w:tcW w:w="2551" w:type="dxa"/>
            <w:tcBorders>
              <w:top w:val="single" w:sz="6" w:space="0" w:color="000000"/>
              <w:left w:val="single" w:sz="6" w:space="0" w:color="000000"/>
              <w:bottom w:val="single" w:sz="6" w:space="0" w:color="000000"/>
              <w:right w:val="single" w:sz="6" w:space="0" w:color="000000"/>
            </w:tcBorders>
          </w:tcPr>
          <w:p>
            <w:pPr>
              <w:pStyle w:val="GesAbsatz"/>
              <w:jc w:val="left"/>
            </w:pPr>
            <w:r>
              <w:t xml:space="preserve">gleich große rote und hellgraue Streifen </w:t>
            </w:r>
          </w:p>
        </w:tc>
        <w:tc>
          <w:tcPr>
            <w:tcW w:w="3402" w:type="dxa"/>
            <w:tcBorders>
              <w:top w:val="single" w:sz="6" w:space="0" w:color="000000"/>
              <w:left w:val="single" w:sz="6" w:space="0" w:color="000000"/>
              <w:bottom w:val="single" w:sz="6" w:space="0" w:color="000000"/>
              <w:right w:val="single" w:sz="6" w:space="0" w:color="000000"/>
            </w:tcBorders>
          </w:tcPr>
          <w:p>
            <w:pPr>
              <w:pStyle w:val="GesAbsatz"/>
              <w:jc w:val="left"/>
            </w:pPr>
            <w:r>
              <w:t xml:space="preserve">gleich große rote und dunkelgraue Streifen </w:t>
            </w:r>
          </w:p>
        </w:tc>
      </w:tr>
    </w:tbl>
    <w:p>
      <w:pPr>
        <w:pStyle w:val="GesAbsatz"/>
      </w:pPr>
    </w:p>
    <w:p>
      <w:pPr>
        <w:pStyle w:val="GesAbsatz"/>
        <w:ind w:left="426" w:hanging="426"/>
      </w:pPr>
      <w:r>
        <w:lastRenderedPageBreak/>
        <w:t>iii)</w:t>
      </w:r>
      <w:r>
        <w:tab/>
        <w:t>Die Mitgliedstaaten zeigen ferner durch schwarze Punkte auf der Karte die Wasserkörper an, bei denen das Nichterreichen eines guten Zustands oder eines guten ökologischen Potentials darauf zurückzuführen ist, dass eine oder mehrere der für den betreffenden Wasserkörper festgelegten Umweltqualitätsnormen hinsichtlich der spezifischen synthetischen und nichtsynthetischen Schadstoffe (entsprechend der von dem betreffenden Mitgliedstaat festgelegten Regelung der Einhaltung) nicht eingehalten worden sind.</w:t>
      </w:r>
    </w:p>
    <w:p>
      <w:pPr>
        <w:pStyle w:val="GesAbsatz"/>
      </w:pPr>
      <w:r>
        <w:t>1.4.3 Darstellung der Überwachungsergebnisse und Einstufung des chemischen Zustands</w:t>
      </w:r>
    </w:p>
    <w:p>
      <w:pPr>
        <w:pStyle w:val="GesAbsatz"/>
        <w:rPr>
          <w:rFonts w:cs="Arial"/>
        </w:rPr>
      </w:pPr>
      <w:r>
        <w:t xml:space="preserve">Wenn ein Wasserkörper alle Umweltqualitätsnormen des Anhangs IX, des Artikels 16 und aller anderen einschlägigen Rechtsvorschriften der Gemeinschaft, in denen Umweltqualitätsnormen festgelegt sind, erfüllt, wird sein chemischer Zustand als </w:t>
      </w:r>
      <w:r>
        <w:rPr>
          <w:rFonts w:cs="Arial"/>
        </w:rPr>
        <w:t>„gut“ eingestuft. Anderenfalls wird er a</w:t>
      </w:r>
      <w:r>
        <w:t xml:space="preserve">ls </w:t>
      </w:r>
      <w:r>
        <w:rPr>
          <w:rFonts w:cs="Arial"/>
        </w:rPr>
        <w:t>„nicht gut“ eingestuft.</w:t>
      </w:r>
    </w:p>
    <w:p>
      <w:pPr>
        <w:pStyle w:val="GesAbsatz"/>
      </w:pPr>
      <w:r>
        <w:t>Die Mitgliedstaaten erstellen für jede Flussgebietseinheit eine Karte, auf der der chemische Zustand für jeden Wasserkörper gemäß der Farbkennung in der nachstehenden Tabelle ausgewiesen wird, um die Einstufung des chemischen Zustands des Wasserkörpers wiederzugeben:</w:t>
      </w:r>
    </w:p>
    <w:p>
      <w:pPr>
        <w:pStyle w:val="GesAbsatz"/>
      </w:pPr>
    </w:p>
    <w:tbl>
      <w:tblPr>
        <w:tblW w:w="5035" w:type="dxa"/>
        <w:jc w:val="center"/>
        <w:tblBorders>
          <w:top w:val="nil"/>
          <w:left w:val="nil"/>
          <w:bottom w:val="nil"/>
          <w:right w:val="nil"/>
        </w:tblBorders>
        <w:tblLook w:val="0000" w:firstRow="0" w:lastRow="0" w:firstColumn="0" w:lastColumn="0" w:noHBand="0" w:noVBand="0"/>
      </w:tblPr>
      <w:tblGrid>
        <w:gridCol w:w="3640"/>
        <w:gridCol w:w="1395"/>
      </w:tblGrid>
      <w:tr>
        <w:trPr>
          <w:trHeight w:val="450"/>
          <w:jc w:val="center"/>
        </w:trPr>
        <w:tc>
          <w:tcPr>
            <w:tcW w:w="3640" w:type="dxa"/>
            <w:tcBorders>
              <w:top w:val="single" w:sz="6" w:space="0" w:color="000000"/>
              <w:bottom w:val="single" w:sz="5" w:space="0" w:color="000000"/>
              <w:right w:val="single" w:sz="5" w:space="0" w:color="000000"/>
            </w:tcBorders>
            <w:vAlign w:val="center"/>
          </w:tcPr>
          <w:p>
            <w:pPr>
              <w:pStyle w:val="GesAbsatz"/>
            </w:pPr>
            <w:r>
              <w:t xml:space="preserve">Einstufung des chemischen Zustands </w:t>
            </w:r>
          </w:p>
        </w:tc>
        <w:tc>
          <w:tcPr>
            <w:tcW w:w="1395" w:type="dxa"/>
            <w:tcBorders>
              <w:top w:val="single" w:sz="6" w:space="0" w:color="000000"/>
              <w:left w:val="single" w:sz="5" w:space="0" w:color="000000"/>
              <w:bottom w:val="single" w:sz="5" w:space="0" w:color="000000"/>
            </w:tcBorders>
            <w:vAlign w:val="center"/>
          </w:tcPr>
          <w:p>
            <w:pPr>
              <w:pStyle w:val="GesAbsatz"/>
            </w:pPr>
            <w:r>
              <w:t xml:space="preserve">Farbkennung </w:t>
            </w:r>
          </w:p>
        </w:tc>
      </w:tr>
      <w:tr>
        <w:trPr>
          <w:trHeight w:val="373"/>
          <w:jc w:val="center"/>
        </w:trPr>
        <w:tc>
          <w:tcPr>
            <w:tcW w:w="3640" w:type="dxa"/>
            <w:tcBorders>
              <w:top w:val="single" w:sz="5" w:space="0" w:color="000000"/>
              <w:bottom w:val="single" w:sz="6" w:space="0" w:color="000000"/>
              <w:right w:val="single" w:sz="5" w:space="0" w:color="000000"/>
            </w:tcBorders>
            <w:vAlign w:val="center"/>
          </w:tcPr>
          <w:p>
            <w:pPr>
              <w:pStyle w:val="GesAbsatz"/>
            </w:pPr>
            <w:r>
              <w:t xml:space="preserve">gut </w:t>
            </w:r>
          </w:p>
        </w:tc>
        <w:tc>
          <w:tcPr>
            <w:tcW w:w="1395" w:type="dxa"/>
            <w:tcBorders>
              <w:top w:val="single" w:sz="5" w:space="0" w:color="000000"/>
              <w:left w:val="single" w:sz="5" w:space="0" w:color="000000"/>
              <w:bottom w:val="single" w:sz="6" w:space="0" w:color="000000"/>
            </w:tcBorders>
            <w:vAlign w:val="center"/>
          </w:tcPr>
          <w:p>
            <w:pPr>
              <w:pStyle w:val="GesAbsatz"/>
            </w:pPr>
            <w:r>
              <w:t xml:space="preserve">blau </w:t>
            </w:r>
          </w:p>
        </w:tc>
      </w:tr>
      <w:tr>
        <w:trPr>
          <w:trHeight w:val="370"/>
          <w:jc w:val="center"/>
        </w:trPr>
        <w:tc>
          <w:tcPr>
            <w:tcW w:w="3640" w:type="dxa"/>
            <w:tcBorders>
              <w:top w:val="single" w:sz="6" w:space="0" w:color="000000"/>
              <w:bottom w:val="single" w:sz="5" w:space="0" w:color="000000"/>
              <w:right w:val="single" w:sz="5" w:space="0" w:color="000000"/>
            </w:tcBorders>
            <w:vAlign w:val="center"/>
          </w:tcPr>
          <w:p>
            <w:pPr>
              <w:pStyle w:val="GesAbsatz"/>
            </w:pPr>
            <w:r>
              <w:t xml:space="preserve">nicht gut </w:t>
            </w:r>
          </w:p>
        </w:tc>
        <w:tc>
          <w:tcPr>
            <w:tcW w:w="1395" w:type="dxa"/>
            <w:tcBorders>
              <w:top w:val="single" w:sz="6" w:space="0" w:color="000000"/>
              <w:left w:val="single" w:sz="5" w:space="0" w:color="000000"/>
              <w:bottom w:val="single" w:sz="5" w:space="0" w:color="000000"/>
            </w:tcBorders>
            <w:vAlign w:val="center"/>
          </w:tcPr>
          <w:p>
            <w:pPr>
              <w:pStyle w:val="GesAbsatz"/>
            </w:pPr>
            <w:r>
              <w:t xml:space="preserve">rot </w:t>
            </w:r>
          </w:p>
        </w:tc>
      </w:tr>
    </w:tbl>
    <w:p>
      <w:pPr>
        <w:pStyle w:val="GesAbsatz"/>
      </w:pPr>
    </w:p>
    <w:p>
      <w:pPr>
        <w:pStyle w:val="GesAbsatz"/>
        <w:rPr>
          <w:b/>
        </w:rPr>
      </w:pPr>
      <w:r>
        <w:rPr>
          <w:b/>
        </w:rPr>
        <w:t>2 GRUNDWASSER</w:t>
      </w:r>
    </w:p>
    <w:p>
      <w:pPr>
        <w:pStyle w:val="GesAbsatz"/>
      </w:pPr>
      <w:r>
        <w:t>2.1 Mengenmäßiger Zustand des Grundwassers</w:t>
      </w:r>
    </w:p>
    <w:p>
      <w:pPr>
        <w:pStyle w:val="GesAbsatz"/>
      </w:pPr>
      <w:r>
        <w:t>2.1.1 Parameter für die Einstufung des mengenmäßigen Zustands des Grundwassers</w:t>
      </w:r>
    </w:p>
    <w:p>
      <w:pPr>
        <w:pStyle w:val="GesAbsatz"/>
      </w:pPr>
      <w:r>
        <w:t>Grundwasserspiegel</w:t>
      </w:r>
    </w:p>
    <w:p>
      <w:pPr>
        <w:pStyle w:val="GesAbsatz"/>
      </w:pPr>
      <w:r>
        <w:t>2.1.2 Bestimmung des mengenmäßigen Zustands</w:t>
      </w:r>
    </w:p>
    <w:p>
      <w:pPr>
        <w:pStyle w:val="GesAbsatz"/>
      </w:pPr>
    </w:p>
    <w:tbl>
      <w:tblPr>
        <w:tblW w:w="75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053"/>
        <w:gridCol w:w="5545"/>
      </w:tblGrid>
      <w:tr>
        <w:trPr>
          <w:trHeight w:val="310"/>
        </w:trPr>
        <w:tc>
          <w:tcPr>
            <w:tcW w:w="2053" w:type="dxa"/>
          </w:tcPr>
          <w:p>
            <w:pPr>
              <w:pStyle w:val="GesAbsatz"/>
            </w:pPr>
            <w:r>
              <w:t xml:space="preserve">Komponenten </w:t>
            </w:r>
          </w:p>
        </w:tc>
        <w:tc>
          <w:tcPr>
            <w:tcW w:w="5545" w:type="dxa"/>
          </w:tcPr>
          <w:p>
            <w:pPr>
              <w:pStyle w:val="GesAbsatz"/>
            </w:pPr>
            <w:r>
              <w:t xml:space="preserve">Guter Zustand </w:t>
            </w:r>
          </w:p>
        </w:tc>
      </w:tr>
      <w:tr>
        <w:trPr>
          <w:trHeight w:val="5364"/>
        </w:trPr>
        <w:tc>
          <w:tcPr>
            <w:tcW w:w="2053" w:type="dxa"/>
          </w:tcPr>
          <w:p>
            <w:pPr>
              <w:pStyle w:val="GesAbsatz"/>
            </w:pPr>
            <w:r>
              <w:t xml:space="preserve">Grundwasserspiegel </w:t>
            </w:r>
          </w:p>
        </w:tc>
        <w:tc>
          <w:tcPr>
            <w:tcW w:w="5545" w:type="dxa"/>
          </w:tcPr>
          <w:p>
            <w:pPr>
              <w:pStyle w:val="GesAbsatz"/>
            </w:pPr>
            <w:r>
              <w:t>Der Grundwasserspiegel im Grundwasserkörper ist so beschaffen, dass die verfügbare Grundwasserressource nicht von der langfristigen mittleren jährlichen Entnahme überschritten wird.</w:t>
            </w:r>
          </w:p>
          <w:p>
            <w:pPr>
              <w:pStyle w:val="GesAbsatz"/>
            </w:pPr>
            <w:r>
              <w:t>Dementsprechend unterliegt der Grundwasserspiegel keinen anthropogenen Veränderungen, die</w:t>
            </w:r>
          </w:p>
          <w:p>
            <w:pPr>
              <w:pStyle w:val="GesAbsatz"/>
              <w:ind w:left="215" w:hanging="215"/>
            </w:pPr>
            <w:r>
              <w:t>-</w:t>
            </w:r>
            <w:r>
              <w:tab/>
              <w:t>zu einem Verfehlen der ökologischen Qualitätsziele gemäß Artikel 4 für in Verbindung stehende Oberflächengewässer,</w:t>
            </w:r>
          </w:p>
          <w:p>
            <w:pPr>
              <w:pStyle w:val="GesAbsatz"/>
              <w:ind w:left="215" w:hanging="215"/>
            </w:pPr>
            <w:r>
              <w:t>-</w:t>
            </w:r>
            <w:r>
              <w:tab/>
              <w:t>zu einer signifikanten Verringerung der Qualität dieser Gewässer,</w:t>
            </w:r>
          </w:p>
          <w:p>
            <w:pPr>
              <w:pStyle w:val="GesAbsatz"/>
              <w:ind w:left="215" w:hanging="215"/>
            </w:pPr>
            <w:r>
              <w:t>-</w:t>
            </w:r>
            <w:r>
              <w:tab/>
              <w:t>zu einer signifikanten Schädigung von Landökosystemen führen würden, die unmittelbar von dem Grundwasserkörper abhängen,</w:t>
            </w:r>
          </w:p>
          <w:p>
            <w:pPr>
              <w:pStyle w:val="GesAbsatz"/>
            </w:pPr>
            <w:r>
              <w:t>und Änderungen der Strömungsrichtung, die sich aus Änderungen des Grundwasserspiegels ergeben, können zeitweise oder kontinuierlich in einem räumlich begrenzten Gebiet auftreten; solche Richtungsänderungen verursachen jedoch keinen Zustrom von Salzwasser oder sonstige Zuströme und lassen keine nachhaltige, eindeutig feststellbare anthropogene Tendenz zu einer Strömungsrichtung erkennen, die zu einem solchen Zustrom führen könnte.</w:t>
            </w:r>
          </w:p>
        </w:tc>
      </w:tr>
    </w:tbl>
    <w:p>
      <w:pPr>
        <w:pStyle w:val="GesAbsatz"/>
      </w:pPr>
    </w:p>
    <w:p>
      <w:pPr>
        <w:pStyle w:val="GesAbsatz"/>
      </w:pPr>
      <w:r>
        <w:t>2.2 Überwachung des mengenmäßigen Zustands des Grundwassers</w:t>
      </w:r>
    </w:p>
    <w:p>
      <w:pPr>
        <w:pStyle w:val="GesAbsatz"/>
      </w:pPr>
      <w:r>
        <w:t>2.2.1 Grundwasserspiegel-Überwachungsnetz</w:t>
      </w:r>
    </w:p>
    <w:p>
      <w:pPr>
        <w:pStyle w:val="GesAbsatz"/>
      </w:pPr>
      <w:r>
        <w:t>Das Grundwasserüberwachungsnetz wird gemäß den Anforderungen der Artikel 7 und 8 errichtet. Das Überwachungsnetz wird so ausgewiesen, dass eine zuverlässige Beurteilung des mengenmäßigen Zustands sämt</w:t>
      </w:r>
      <w:r>
        <w:lastRenderedPageBreak/>
        <w:t>licher Grundwasserkörper oder Gruppen von Grundwasserkörpern einschließlich der Beurteilung der verfügbaren Grundwasserressource möglich ist. Die Mitgliedstaaten erstellen eine Karte oder Karten mit dem Grundwasserüberwachungsnetz im Bewirtschaftungsplan für die Einzugsgebiete.</w:t>
      </w:r>
    </w:p>
    <w:p>
      <w:pPr>
        <w:pStyle w:val="GesAbsatz"/>
        <w:rPr>
          <w:lang w:val="it-IT"/>
        </w:rPr>
      </w:pPr>
      <w:r>
        <w:rPr>
          <w:lang w:val="it-IT"/>
        </w:rPr>
        <w:t xml:space="preserve">2.2.2 </w:t>
      </w:r>
      <w:r>
        <w:t>Dichte der Überwachungsstellen</w:t>
      </w:r>
    </w:p>
    <w:p>
      <w:pPr>
        <w:pStyle w:val="GesAbsatz"/>
      </w:pPr>
      <w:r>
        <w:t>Das Netz umfasst ausreichend repräsentative Überwachungsstellen für die Abschätzung des Grundwasserspiegels in jedem Grundwasserkörper oder in jeder Gruppe von Grundwasserkörpern unter Berücksichtigung kurz- und langfristiger Schwankungen der Anreicherung; insbesondere ist</w:t>
      </w:r>
    </w:p>
    <w:p>
      <w:pPr>
        <w:pStyle w:val="GesAbsatz"/>
        <w:ind w:left="426" w:hanging="426"/>
      </w:pPr>
      <w:r>
        <w:rPr>
          <w:rFonts w:cs="Arial"/>
        </w:rPr>
        <w:t>-</w:t>
      </w:r>
      <w:r>
        <w:rPr>
          <w:rFonts w:cs="Arial"/>
        </w:rPr>
        <w:tab/>
        <w:t xml:space="preserve">bei Grundwasserkörpern, bei denen den Untersuchungen zufolge die Gefahr besteht, dass sie die in </w:t>
      </w:r>
      <w:r>
        <w:t>Artikel 4 genannten Umweltziele nicht erreichen, eine ausreichende Dichte der Überwachungsstellen zu gewährleisten, um die Auswirkung von Entnahmen und Einleitungen auf den Grundwasserspiegel beurteilen zu können;</w:t>
      </w:r>
    </w:p>
    <w:p>
      <w:pPr>
        <w:pStyle w:val="GesAbsatz"/>
        <w:ind w:left="426" w:hanging="426"/>
      </w:pPr>
      <w:r>
        <w:rPr>
          <w:rFonts w:cs="Arial"/>
        </w:rPr>
        <w:t>-</w:t>
      </w:r>
      <w:r>
        <w:rPr>
          <w:rFonts w:cs="Arial"/>
        </w:rPr>
        <w:tab/>
        <w:t xml:space="preserve">bei Grundwasserkörpern, bei denen das Grundwasser über die Grenze eines Mitgliedstaats hinausreicht, </w:t>
      </w:r>
      <w:r>
        <w:t>eine ausreichende Zahl von Überwachungsstellen zur Verfügung zu stellen, um Fließrichtung und -rate des über die Grenze des Mitgliedstaats hinausreichenden Grundwassers beurteilen zu können.</w:t>
      </w:r>
    </w:p>
    <w:p>
      <w:pPr>
        <w:pStyle w:val="GesAbsatz"/>
        <w:rPr>
          <w:lang w:val="it-IT"/>
        </w:rPr>
      </w:pPr>
      <w:r>
        <w:rPr>
          <w:lang w:val="it-IT"/>
        </w:rPr>
        <w:t>2.2.3 Überwachungsfrequenz</w:t>
      </w:r>
    </w:p>
    <w:p>
      <w:pPr>
        <w:pStyle w:val="GesAbsatz"/>
      </w:pPr>
      <w:r>
        <w:t>Die Häufigkeit der Beobachtungen muss die Abschätzung des mengenmäßigen Zustands jedes Grundwasserkörpers oder jeder Gruppe von Grundwasserkörpern unter Berücksichtigung kurz- und langfristiger Schwankungen der Anreicherung ermöglichen. Insbesondere ist</w:t>
      </w:r>
    </w:p>
    <w:p>
      <w:pPr>
        <w:pStyle w:val="GesAbsatz"/>
        <w:ind w:left="426" w:hanging="426"/>
      </w:pPr>
      <w:r>
        <w:rPr>
          <w:rFonts w:cs="Arial"/>
        </w:rPr>
        <w:t>-</w:t>
      </w:r>
      <w:r>
        <w:rPr>
          <w:rFonts w:cs="Arial"/>
        </w:rPr>
        <w:tab/>
        <w:t xml:space="preserve">bei Grundwasserkörpern, bei denen den Untersuchungen zufolge die Gefahr besteht, dass sie die in </w:t>
      </w:r>
      <w:r>
        <w:t>Artikel 4 genannten Umweltziele nicht erreichen, eine ausreichende Häufigkeit der Messungen zu gewährleisten, um die Auswirkung von Entnahmen und Einleitungen auf den Grundwasserspiegel beurteilen zu können;</w:t>
      </w:r>
    </w:p>
    <w:p>
      <w:pPr>
        <w:pStyle w:val="GesAbsatz"/>
        <w:ind w:left="426" w:hanging="426"/>
      </w:pPr>
      <w:r>
        <w:rPr>
          <w:rFonts w:cs="Arial"/>
        </w:rPr>
        <w:t>-</w:t>
      </w:r>
      <w:r>
        <w:rPr>
          <w:rFonts w:cs="Arial"/>
        </w:rPr>
        <w:tab/>
        <w:t xml:space="preserve">bei Grundwasserkörpern, bei denen das Grundwasser über die Grenze eines Mitgliedstaats hinaus fließt, </w:t>
      </w:r>
      <w:r>
        <w:t>eine ausreichende Häufigkeit der Messungen zu gewährleisten, um Fließrichtung und -rate des über die Grenze des Mitgliedstaats hinausreichenden Grundwassers abschätzen zu können.</w:t>
      </w:r>
    </w:p>
    <w:p>
      <w:pPr>
        <w:pStyle w:val="GesAbsatz"/>
      </w:pPr>
      <w:r>
        <w:t>2.2.4 Interpretation und Darstellung des mengenmäßigen Zustands des Grundwassers</w:t>
      </w:r>
    </w:p>
    <w:p>
      <w:pPr>
        <w:pStyle w:val="GesAbsatz"/>
      </w:pPr>
      <w:r>
        <w:t>Die für einen Grundwasserkörper oder eine Gruppe von Grundwasserkörpern erhaltenen Ergebnisse des Überwachungsnetzes werden zur Beurteilung des mengenmäßigen Zustands dieses Grundwasserkörpers oder dieser Grundwasserkörper verwendet. Vorbehaltlich der Randnummer 2.5 erstellen die Mitgliedstaaten eine Karte der sich ergebenden Beurteilung des mengenmäßigen Zustands des Grundwassers mit folgender Farbkennung:</w:t>
      </w:r>
    </w:p>
    <w:p>
      <w:pPr>
        <w:pStyle w:val="GesAbsatz"/>
        <w:tabs>
          <w:tab w:val="left" w:pos="1134"/>
        </w:tabs>
      </w:pPr>
      <w:r>
        <w:t>Gut:</w:t>
      </w:r>
      <w:r>
        <w:tab/>
      </w:r>
      <w:r>
        <w:tab/>
        <w:t>grün</w:t>
      </w:r>
    </w:p>
    <w:p>
      <w:pPr>
        <w:pStyle w:val="GesAbsatz"/>
        <w:tabs>
          <w:tab w:val="left" w:pos="1134"/>
        </w:tabs>
      </w:pPr>
      <w:r>
        <w:t>Schlecht:</w:t>
      </w:r>
      <w:r>
        <w:tab/>
        <w:t>rot.</w:t>
      </w:r>
    </w:p>
    <w:p>
      <w:pPr>
        <w:pStyle w:val="GesAbsatz"/>
      </w:pPr>
      <w:r>
        <w:t>2.3 Chemischer Zustand des Grundwassers</w:t>
      </w:r>
    </w:p>
    <w:p>
      <w:pPr>
        <w:pStyle w:val="GesAbsatz"/>
      </w:pPr>
      <w:r>
        <w:t>2.3.1 Parameter für die Bestimmung des chemischen Zustands</w:t>
      </w:r>
    </w:p>
    <w:p>
      <w:pPr>
        <w:pStyle w:val="GesAbsatz"/>
      </w:pPr>
      <w:r>
        <w:t>Leitfähigkeit</w:t>
      </w:r>
    </w:p>
    <w:p>
      <w:pPr>
        <w:pStyle w:val="GesAbsatz"/>
      </w:pPr>
      <w:r>
        <w:t>Konzentrationen an Schadstoffen</w:t>
      </w:r>
    </w:p>
    <w:p>
      <w:pPr>
        <w:pStyle w:val="GesAbsatz"/>
      </w:pPr>
      <w:r>
        <w:t>2.3.2 Bestimmung des guten chemischen Zustands</w:t>
      </w:r>
    </w:p>
    <w:p>
      <w:pPr>
        <w:pStyle w:val="GesAbsatz"/>
      </w:pPr>
    </w:p>
    <w:tbl>
      <w:tblPr>
        <w:tblW w:w="7595" w:type="dxa"/>
        <w:tblBorders>
          <w:top w:val="nil"/>
          <w:left w:val="nil"/>
          <w:bottom w:val="nil"/>
          <w:right w:val="nil"/>
        </w:tblBorders>
        <w:tblLook w:val="0000" w:firstRow="0" w:lastRow="0" w:firstColumn="0" w:lastColumn="0" w:noHBand="0" w:noVBand="0"/>
      </w:tblPr>
      <w:tblGrid>
        <w:gridCol w:w="2050"/>
        <w:gridCol w:w="5545"/>
      </w:tblGrid>
      <w:tr>
        <w:trPr>
          <w:trHeight w:val="197"/>
        </w:trPr>
        <w:tc>
          <w:tcPr>
            <w:tcW w:w="2050" w:type="dxa"/>
            <w:tcBorders>
              <w:top w:val="single" w:sz="6" w:space="0" w:color="000000"/>
              <w:bottom w:val="single" w:sz="4" w:space="0" w:color="auto"/>
              <w:right w:val="single" w:sz="4" w:space="0" w:color="auto"/>
            </w:tcBorders>
          </w:tcPr>
          <w:p>
            <w:pPr>
              <w:pStyle w:val="GesAbsatz"/>
              <w:keepNext/>
            </w:pPr>
            <w:r>
              <w:lastRenderedPageBreak/>
              <w:t xml:space="preserve">Komponenten </w:t>
            </w:r>
          </w:p>
        </w:tc>
        <w:tc>
          <w:tcPr>
            <w:tcW w:w="5545" w:type="dxa"/>
            <w:tcBorders>
              <w:top w:val="single" w:sz="6" w:space="0" w:color="000000"/>
              <w:left w:val="single" w:sz="4" w:space="0" w:color="auto"/>
              <w:bottom w:val="single" w:sz="4" w:space="0" w:color="auto"/>
            </w:tcBorders>
          </w:tcPr>
          <w:p>
            <w:pPr>
              <w:pStyle w:val="GesAbsatz"/>
              <w:keepNext/>
            </w:pPr>
            <w:r>
              <w:t xml:space="preserve">Guter Zustand </w:t>
            </w:r>
          </w:p>
        </w:tc>
      </w:tr>
      <w:tr>
        <w:trPr>
          <w:trHeight w:val="3316"/>
        </w:trPr>
        <w:tc>
          <w:tcPr>
            <w:tcW w:w="2050" w:type="dxa"/>
            <w:tcBorders>
              <w:top w:val="single" w:sz="4" w:space="0" w:color="auto"/>
              <w:bottom w:val="single" w:sz="4" w:space="0" w:color="auto"/>
              <w:right w:val="single" w:sz="4" w:space="0" w:color="auto"/>
            </w:tcBorders>
          </w:tcPr>
          <w:p>
            <w:pPr>
              <w:pStyle w:val="GesAbsatz"/>
              <w:keepNext/>
            </w:pPr>
            <w:r>
              <w:t xml:space="preserve">Allgemein </w:t>
            </w:r>
          </w:p>
        </w:tc>
        <w:tc>
          <w:tcPr>
            <w:tcW w:w="5545" w:type="dxa"/>
            <w:tcBorders>
              <w:top w:val="single" w:sz="4" w:space="0" w:color="auto"/>
              <w:left w:val="single" w:sz="4" w:space="0" w:color="auto"/>
              <w:bottom w:val="single" w:sz="4" w:space="0" w:color="auto"/>
            </w:tcBorders>
          </w:tcPr>
          <w:p>
            <w:pPr>
              <w:pStyle w:val="GesAbsatz"/>
              <w:keepNext/>
            </w:pPr>
            <w:r>
              <w:t xml:space="preserve">Die chemische Zusammensetzung des Grundwasserkörpers ist so beschaffen, dass die Schadstoffkonzentrationen </w:t>
            </w:r>
          </w:p>
          <w:p>
            <w:pPr>
              <w:pStyle w:val="GesAbsatz"/>
              <w:keepNext/>
              <w:ind w:left="218" w:hanging="218"/>
            </w:pPr>
            <w:r>
              <w:t>-</w:t>
            </w:r>
            <w:r>
              <w:tab/>
              <w:t xml:space="preserve">wie unten angegeben keine Anzeichen für Salz- oder andere Intrusionen erkennen lassen; </w:t>
            </w:r>
          </w:p>
          <w:p>
            <w:pPr>
              <w:pStyle w:val="GesAbsatz"/>
              <w:keepNext/>
              <w:ind w:left="218" w:hanging="218"/>
            </w:pPr>
            <w:r>
              <w:t>-</w:t>
            </w:r>
            <w:r>
              <w:tab/>
              <w:t xml:space="preserve">die nach anderen einschlägigen Rechtsvorschriften der Gemeinschaft gemäß Artikel 17 geltenden Qualitätsnormen nicht überschreiten; </w:t>
            </w:r>
          </w:p>
          <w:p>
            <w:pPr>
              <w:pStyle w:val="GesAbsatz"/>
              <w:keepNext/>
              <w:ind w:left="218" w:hanging="218"/>
            </w:pPr>
            <w:r>
              <w:t>-</w:t>
            </w:r>
            <w:r>
              <w:tab/>
              <w:t xml:space="preserve">nicht derart hoch sind, dass die in Artikel 4 spezifizierten Umweltziele für in Verbindung stehende Oberflächengewässer nicht erreicht, die ökologische oder chemische Qualität derartiger Gewässer signifikant verringert oder die Landökosysteme, die unmittelbar von dem Grundwasserkörper abhängen, signifikant geschädigt werden. </w:t>
            </w:r>
          </w:p>
        </w:tc>
      </w:tr>
      <w:tr>
        <w:trPr>
          <w:trHeight w:val="447"/>
        </w:trPr>
        <w:tc>
          <w:tcPr>
            <w:tcW w:w="2050" w:type="dxa"/>
            <w:tcBorders>
              <w:top w:val="single" w:sz="4" w:space="0" w:color="auto"/>
              <w:right w:val="single" w:sz="4" w:space="0" w:color="auto"/>
            </w:tcBorders>
          </w:tcPr>
          <w:p>
            <w:pPr>
              <w:pStyle w:val="GesAbsatz"/>
              <w:keepNext/>
            </w:pPr>
            <w:r>
              <w:t xml:space="preserve">Leitfähigkeit </w:t>
            </w:r>
          </w:p>
        </w:tc>
        <w:tc>
          <w:tcPr>
            <w:tcW w:w="5545" w:type="dxa"/>
            <w:tcBorders>
              <w:top w:val="single" w:sz="4" w:space="0" w:color="auto"/>
              <w:left w:val="single" w:sz="4" w:space="0" w:color="auto"/>
              <w:bottom w:val="nil"/>
              <w:right w:val="nil"/>
            </w:tcBorders>
          </w:tcPr>
          <w:p>
            <w:pPr>
              <w:pStyle w:val="GesAbsatz"/>
              <w:keepNext/>
            </w:pPr>
            <w:r>
              <w:t xml:space="preserve">Änderungen der Leitfähigkeit sind kein Hinweis auf Salz- oder andere Intrusionen in den Grundwasserkörper. </w:t>
            </w:r>
          </w:p>
        </w:tc>
      </w:tr>
    </w:tbl>
    <w:p>
      <w:pPr>
        <w:pStyle w:val="GesAbsatz"/>
      </w:pPr>
    </w:p>
    <w:p>
      <w:pPr>
        <w:pStyle w:val="GesAbsatz"/>
      </w:pPr>
      <w:r>
        <w:t>2.4 Überwachung des chemischen Zustands des Grundwassers</w:t>
      </w:r>
    </w:p>
    <w:p>
      <w:pPr>
        <w:pStyle w:val="GesAbsatz"/>
      </w:pPr>
      <w:r>
        <w:t>2.4.1 Grundwasserüberwachungsnetz</w:t>
      </w:r>
    </w:p>
    <w:p>
      <w:pPr>
        <w:pStyle w:val="GesAbsatz"/>
      </w:pPr>
      <w:r>
        <w:t>Das Grundwasserüberwachungsnetz wird gemäß den Anforderungen der Artikel 7 und 8 errichtet. Das Überwachungsnetz wird so ausgewiesen, dass eine kohärente und umfassende Übersicht über den chemischen Zustand des Grundwassers in jedem Einzugsgebiet gegeben werden und das Vorhandensein langfristiger anthropogener Trends zur Zunahme von Schadstoffen festgestellt werden kann.</w:t>
      </w:r>
    </w:p>
    <w:p>
      <w:pPr>
        <w:pStyle w:val="GesAbsatz"/>
      </w:pPr>
      <w:r>
        <w:t>Auf der Grundlage der Beschreibung und der Beurteilung der Auswirkungen gemäß Artikel 5 und Anhang II erstellen die Mitgliedstaaten für jeden Zeitraum, für den ein Bewirtschaftungsplan für Einzugsgebiete gilt, ein Programm für die überblicksweise Überwachung. Die Ergebnisse dieses Programms werden zur Erstellung eines operativen Überwachungsprogramms verwendet, das für die verbleibende Laufzeit des Plans anzuwenden ist.</w:t>
      </w:r>
    </w:p>
    <w:p>
      <w:pPr>
        <w:pStyle w:val="GesAbsatz"/>
      </w:pPr>
      <w:r>
        <w:t>Schätzungen des Zuverlässigkeits- und Genauigkeitsgrades der von den Überwachungsprogrammen gelieferten Ergebnisse werden im Plan festgehalten.</w:t>
      </w:r>
    </w:p>
    <w:p>
      <w:pPr>
        <w:pStyle w:val="GesAbsatz"/>
        <w:rPr>
          <w:lang w:val="it-IT"/>
        </w:rPr>
      </w:pPr>
      <w:r>
        <w:rPr>
          <w:lang w:val="it-IT"/>
        </w:rPr>
        <w:t xml:space="preserve">2.4.2 </w:t>
      </w:r>
      <w:r>
        <w:t>Überblicksweise Überwachung</w:t>
      </w:r>
    </w:p>
    <w:p>
      <w:pPr>
        <w:pStyle w:val="GesAbsatz"/>
      </w:pPr>
      <w:r>
        <w:t>Ziel</w:t>
      </w:r>
    </w:p>
    <w:p>
      <w:pPr>
        <w:pStyle w:val="GesAbsatz"/>
      </w:pPr>
      <w:r>
        <w:t>Die überblicksweise Überwachung wird zu folgenden Zwecken durchgeführt:</w:t>
      </w:r>
    </w:p>
    <w:p>
      <w:pPr>
        <w:pStyle w:val="GesAbsatz"/>
        <w:rPr>
          <w:rFonts w:cs="Arial"/>
        </w:rPr>
      </w:pPr>
      <w:r>
        <w:rPr>
          <w:rFonts w:cs="Arial"/>
        </w:rPr>
        <w:t>-</w:t>
      </w:r>
      <w:r>
        <w:rPr>
          <w:rFonts w:cs="Arial"/>
        </w:rPr>
        <w:tab/>
        <w:t>Ergänzung und Validierung der Verfahren für die Beurteilung der Auswirkungen;</w:t>
      </w:r>
    </w:p>
    <w:p>
      <w:pPr>
        <w:pStyle w:val="GesAbsatz"/>
        <w:ind w:left="426" w:hanging="426"/>
      </w:pPr>
      <w:r>
        <w:rPr>
          <w:rFonts w:cs="Arial"/>
        </w:rPr>
        <w:t>-</w:t>
      </w:r>
      <w:r>
        <w:rPr>
          <w:rFonts w:cs="Arial"/>
        </w:rPr>
        <w:tab/>
        <w:t xml:space="preserve">Bereitstellung von Informationen zur Verwendung in der Beurteilung langfristiger Trends als Ergebnis </w:t>
      </w:r>
      <w:r>
        <w:t>sowohl der Veränderungen der natürlichen Bedingungen als auch anthropogener Einwirkungen.</w:t>
      </w:r>
    </w:p>
    <w:p>
      <w:pPr>
        <w:pStyle w:val="GesAbsatz"/>
      </w:pPr>
      <w:r>
        <w:t>Auswahl der Überwachungsstellen</w:t>
      </w:r>
    </w:p>
    <w:p>
      <w:pPr>
        <w:pStyle w:val="GesAbsatz"/>
      </w:pPr>
      <w:r>
        <w:t>Für jeden der folgenden Wasserkörper sind ausreichende Überwachungsstellen auszuwählen:</w:t>
      </w:r>
    </w:p>
    <w:p>
      <w:pPr>
        <w:pStyle w:val="GesAbsatz"/>
        <w:rPr>
          <w:rFonts w:cs="Arial"/>
        </w:rPr>
      </w:pPr>
      <w:r>
        <w:rPr>
          <w:rFonts w:cs="Arial"/>
        </w:rPr>
        <w:t>-</w:t>
      </w:r>
      <w:r>
        <w:rPr>
          <w:rFonts w:cs="Arial"/>
        </w:rPr>
        <w:tab/>
        <w:t>Wasserkörper, bei denen nach der Beschreibung gemäß Anhang II ein Risiko besteht,</w:t>
      </w:r>
    </w:p>
    <w:p>
      <w:pPr>
        <w:pStyle w:val="GesAbsatz"/>
        <w:rPr>
          <w:rFonts w:cs="Arial"/>
        </w:rPr>
      </w:pPr>
      <w:r>
        <w:rPr>
          <w:rFonts w:cs="Arial"/>
        </w:rPr>
        <w:t>-</w:t>
      </w:r>
      <w:r>
        <w:rPr>
          <w:rFonts w:cs="Arial"/>
        </w:rPr>
        <w:tab/>
        <w:t>Wasserkörper, die über die Grenze eines Mitgliedstaats hinausreichen.</w:t>
      </w:r>
    </w:p>
    <w:p>
      <w:pPr>
        <w:pStyle w:val="GesAbsatz"/>
      </w:pPr>
      <w:r>
        <w:t>Auswahl der Parameter</w:t>
      </w:r>
    </w:p>
    <w:p>
      <w:pPr>
        <w:pStyle w:val="GesAbsatz"/>
      </w:pPr>
      <w:r>
        <w:t>Die folgenden Leitparameter werden bei allen ausgewählten Grundwasserkörpern überwacht:</w:t>
      </w:r>
    </w:p>
    <w:p>
      <w:pPr>
        <w:pStyle w:val="GesAbsatz"/>
        <w:rPr>
          <w:rFonts w:cs="Arial"/>
        </w:rPr>
      </w:pPr>
      <w:r>
        <w:rPr>
          <w:rFonts w:cs="Arial"/>
        </w:rPr>
        <w:t>-</w:t>
      </w:r>
      <w:r>
        <w:rPr>
          <w:rFonts w:cs="Arial"/>
        </w:rPr>
        <w:tab/>
        <w:t>Sauerstoffgehalt,</w:t>
      </w:r>
    </w:p>
    <w:p>
      <w:pPr>
        <w:pStyle w:val="GesAbsatz"/>
        <w:rPr>
          <w:rFonts w:cs="Arial"/>
        </w:rPr>
      </w:pPr>
      <w:r>
        <w:rPr>
          <w:rFonts w:cs="Arial"/>
        </w:rPr>
        <w:t>-</w:t>
      </w:r>
      <w:r>
        <w:rPr>
          <w:rFonts w:cs="Arial"/>
        </w:rPr>
        <w:tab/>
        <w:t>pH-Wert,</w:t>
      </w:r>
    </w:p>
    <w:p>
      <w:pPr>
        <w:pStyle w:val="GesAbsatz"/>
        <w:rPr>
          <w:rFonts w:cs="Arial"/>
        </w:rPr>
      </w:pPr>
      <w:r>
        <w:rPr>
          <w:rFonts w:cs="Arial"/>
        </w:rPr>
        <w:t>-</w:t>
      </w:r>
      <w:r>
        <w:rPr>
          <w:rFonts w:cs="Arial"/>
        </w:rPr>
        <w:tab/>
        <w:t>Leitfähigkeit,</w:t>
      </w:r>
    </w:p>
    <w:p>
      <w:pPr>
        <w:pStyle w:val="GesAbsatz"/>
        <w:rPr>
          <w:rFonts w:cs="Arial"/>
        </w:rPr>
      </w:pPr>
      <w:r>
        <w:rPr>
          <w:rFonts w:cs="Arial"/>
        </w:rPr>
        <w:t>-</w:t>
      </w:r>
      <w:r>
        <w:rPr>
          <w:rFonts w:cs="Arial"/>
        </w:rPr>
        <w:tab/>
        <w:t>Nitrat,</w:t>
      </w:r>
    </w:p>
    <w:p>
      <w:pPr>
        <w:pStyle w:val="GesAbsatz"/>
        <w:rPr>
          <w:rFonts w:cs="Arial"/>
        </w:rPr>
      </w:pPr>
      <w:r>
        <w:rPr>
          <w:rFonts w:cs="Arial"/>
        </w:rPr>
        <w:t>-</w:t>
      </w:r>
      <w:r>
        <w:rPr>
          <w:rFonts w:cs="Arial"/>
        </w:rPr>
        <w:tab/>
        <w:t>Ammonium.</w:t>
      </w:r>
    </w:p>
    <w:p>
      <w:pPr>
        <w:pStyle w:val="GesAbsatz"/>
      </w:pPr>
      <w:r>
        <w:t>Grundwasserkörper, bei denen den Untersuchungen gemäß Anhang II zufolge das signifikante Risiko besteht, dass sie einen guten Zustand nicht erreichen, werden auch im Hinblick auf die Parameter überwacht, die die Einwirkungen dieser Belastungen anzeigen.</w:t>
      </w:r>
    </w:p>
    <w:p>
      <w:pPr>
        <w:pStyle w:val="GesAbsatz"/>
      </w:pPr>
      <w:r>
        <w:t>Grenzüberschreitende Wasserkörper sind auch auf diejenigen Parameter hin zu überwachen, die für den Schutz aller mit dem Grundwasserfluss verknüpften Verwendungszwecke von Bedeutung sind.</w:t>
      </w:r>
    </w:p>
    <w:p>
      <w:pPr>
        <w:pStyle w:val="GesAbsatz"/>
        <w:rPr>
          <w:lang w:val="it-IT"/>
        </w:rPr>
      </w:pPr>
      <w:r>
        <w:rPr>
          <w:lang w:val="it-IT"/>
        </w:rPr>
        <w:t xml:space="preserve">2.4.3 Operative </w:t>
      </w:r>
      <w:r>
        <w:t>Überwachung</w:t>
      </w:r>
    </w:p>
    <w:p>
      <w:pPr>
        <w:pStyle w:val="GesAbsatz"/>
      </w:pPr>
      <w:r>
        <w:lastRenderedPageBreak/>
        <w:t>Ziel</w:t>
      </w:r>
    </w:p>
    <w:p>
      <w:pPr>
        <w:pStyle w:val="GesAbsatz"/>
      </w:pPr>
      <w:r>
        <w:t>Die operative Überwachung wird in den Zeiträumen zwischen den Programmen für die überblicksweise Überwachung durchgeführt, um Folgendes festzustellen:</w:t>
      </w:r>
    </w:p>
    <w:p>
      <w:pPr>
        <w:pStyle w:val="GesAbsatz"/>
        <w:ind w:left="426" w:hanging="426"/>
      </w:pPr>
      <w:r>
        <w:rPr>
          <w:rFonts w:cs="Arial"/>
        </w:rPr>
        <w:t>-</w:t>
      </w:r>
      <w:r>
        <w:rPr>
          <w:rFonts w:cs="Arial"/>
        </w:rPr>
        <w:tab/>
        <w:t xml:space="preserve">den chemischen Zustand aller Grundwasserkörper oder Gruppen von Grundwasserkörpern, die als gefährdet </w:t>
      </w:r>
      <w:r>
        <w:t>bestimmt wurden;</w:t>
      </w:r>
    </w:p>
    <w:p>
      <w:pPr>
        <w:pStyle w:val="GesAbsatz"/>
        <w:rPr>
          <w:rFonts w:cs="Arial"/>
        </w:rPr>
      </w:pPr>
      <w:r>
        <w:rPr>
          <w:rFonts w:cs="Arial"/>
        </w:rPr>
        <w:t>-</w:t>
      </w:r>
      <w:r>
        <w:rPr>
          <w:rFonts w:cs="Arial"/>
        </w:rPr>
        <w:tab/>
        <w:t>das Vorhandensein langfristiger anthropogener Trends zur Zunahme der Schadstoffkonzentration.</w:t>
      </w:r>
    </w:p>
    <w:p>
      <w:pPr>
        <w:pStyle w:val="GesAbsatz"/>
      </w:pPr>
      <w:r>
        <w:t>Auswahl der Überwachungsstellen</w:t>
      </w:r>
    </w:p>
    <w:p>
      <w:pPr>
        <w:pStyle w:val="GesAbsatz"/>
      </w:pPr>
      <w:r>
        <w:t>Die operative Überwachung wird bei allen Grundwasserkörpern oder Gruppen von Grundwasserkörpern durchgeführt, bei denen sowohl der Beurteilung der Auswirkungen gemäß Anhang II als auch der überblicksweisen Überwachung zufolge das Risiko besteht, dass sie die in Artikel 4 genannten Umweltziele nicht erreichen. Maßgebend für die Auswahl der Überwachungsstellen ist auch die Repräsentativität der an dieser Stelle gewonnenen Überwachungsdaten für die Qualität des jeweiligen Grundwasserkörpers oder der jeweiligen Grundwasserkörper.</w:t>
      </w:r>
    </w:p>
    <w:p>
      <w:pPr>
        <w:pStyle w:val="GesAbsatz"/>
      </w:pPr>
      <w:r>
        <w:t>Überwachungsfrequenz</w:t>
      </w:r>
    </w:p>
    <w:p>
      <w:pPr>
        <w:pStyle w:val="GesAbsatz"/>
      </w:pPr>
      <w:r>
        <w:t>Die operative Überwachung wird für die Zeit zwischen den Programmen für die überblicksweise Überwachung in Intervallen, die für die Feststellung der Auswirkungen der einschlägigen Belastungen ausreichen, mindestens jedoch einmal jährlich durchgeführt.</w:t>
      </w:r>
    </w:p>
    <w:p>
      <w:pPr>
        <w:pStyle w:val="GesAbsatz"/>
      </w:pPr>
      <w:r>
        <w:t>2.4.4 Ermittlung der Trends bei Schadstoffen</w:t>
      </w:r>
    </w:p>
    <w:p>
      <w:pPr>
        <w:pStyle w:val="GesAbsatz"/>
      </w:pPr>
      <w:r>
        <w:t>Die Mitgliedstaaten verwenden die Daten sowohl der laufenden Überwachung als auch der operativen Überwachung bei der Ermittlung der langfristigen anthropogenen Trends zur Zunahme der Schadstoffkonzentrationen und der Umkehrung dieser Trends. Das Ausgangsjahr oder der Ausgangszeitraum für die Trendberechnung ist festzulegen. Die Trendberechnung wird für einen Grundwasserkörper oder gegebenenfalls eine Gruppe von Grundwasserkörpern durchgeführt. Eine Trendumkehr wird statistisch nachgewiesen, wobei der entsprechende Grad der Genauigkeit festgestellt wird.</w:t>
      </w:r>
    </w:p>
    <w:p>
      <w:pPr>
        <w:pStyle w:val="GesAbsatz"/>
      </w:pPr>
      <w:r>
        <w:t>2.4.5 Interpretation und Darstellung des chemischen Zustands des Grundwassers</w:t>
      </w:r>
    </w:p>
    <w:p>
      <w:pPr>
        <w:pStyle w:val="GesAbsatz"/>
      </w:pPr>
      <w:r>
        <w:t>Bei der Beurteilung des Zustands werden die Ergebnisse der einzelnen Überwachungsstellen eines Grundwasserkörpers für diesen Grundwasserkörper als Ganzes zusammengerechnet. Unbeschadet der einschlägigen Richtlinien setzt ein guter Zustand eines Grundwasserkörpers im Hinblick auf diejenigen chemischen Parameter, für die im Gemeinschaftsrecht Umweltqualitätsnormen festgelegt sind, voraus, dass</w:t>
      </w:r>
    </w:p>
    <w:p>
      <w:pPr>
        <w:pStyle w:val="GesAbsatz"/>
        <w:ind w:left="426" w:hanging="426"/>
      </w:pPr>
      <w:r>
        <w:rPr>
          <w:rFonts w:cs="Arial"/>
        </w:rPr>
        <w:t>-</w:t>
      </w:r>
      <w:r>
        <w:rPr>
          <w:rFonts w:cs="Arial"/>
        </w:rPr>
        <w:tab/>
        <w:t xml:space="preserve">der Durchschnittswert der Ergebnisse der Überwachung an jeder Stelle des Grundwasserkörpers oder der </w:t>
      </w:r>
      <w:r>
        <w:t>Gruppe von Grundwasserkörpern berechnet wird und</w:t>
      </w:r>
    </w:p>
    <w:p>
      <w:pPr>
        <w:pStyle w:val="GesAbsatz"/>
        <w:ind w:left="426" w:hanging="426"/>
      </w:pPr>
      <w:r>
        <w:rPr>
          <w:rFonts w:cs="Arial"/>
        </w:rPr>
        <w:t>-</w:t>
      </w:r>
      <w:r>
        <w:rPr>
          <w:rFonts w:cs="Arial"/>
        </w:rPr>
        <w:tab/>
        <w:t>diese Durchschnittswerte gemäß Arti</w:t>
      </w:r>
      <w:r>
        <w:t>kel 17 verwendet werden, um die Einhaltung eines guten chemischen Zustands des Grundwassers nachzuweisen.</w:t>
      </w:r>
    </w:p>
    <w:p>
      <w:pPr>
        <w:pStyle w:val="GesAbsatz"/>
      </w:pPr>
      <w:r>
        <w:t>Vorbehaltlich der Randnummer 2.5 erstellen die Mitgliedstaaten eine Karte des chemischen Zustands des Grundwassers mit folgender Farbkennung:</w:t>
      </w:r>
    </w:p>
    <w:p>
      <w:pPr>
        <w:pStyle w:val="GesAbsatz"/>
        <w:tabs>
          <w:tab w:val="left" w:pos="1134"/>
        </w:tabs>
      </w:pPr>
      <w:r>
        <w:t>Gut:</w:t>
      </w:r>
      <w:r>
        <w:tab/>
      </w:r>
      <w:r>
        <w:tab/>
        <w:t>grün.</w:t>
      </w:r>
    </w:p>
    <w:p>
      <w:pPr>
        <w:pStyle w:val="GesAbsatz"/>
        <w:tabs>
          <w:tab w:val="left" w:pos="1134"/>
        </w:tabs>
      </w:pPr>
      <w:r>
        <w:t>Schlecht:</w:t>
      </w:r>
      <w:r>
        <w:tab/>
        <w:t>rot.</w:t>
      </w:r>
    </w:p>
    <w:p>
      <w:pPr>
        <w:pStyle w:val="GesAbsatz"/>
      </w:pPr>
      <w:r>
        <w:t>Die Mitgliedstaaten kennzeichnen ferner mit einem schwarzen Punkt auf der Karte diejenigen Grundwasserkörper, bei denen ein signifikanter und anhaltender Trend zur Zunahme der Schadstoffkonzentrationen aufgrund anthropogener Einwirkungen festzustellen ist. Eine Trendumkehr wird durch einen blauen Punkt auf der Karte gekennzeichnet.</w:t>
      </w:r>
    </w:p>
    <w:p>
      <w:pPr>
        <w:pStyle w:val="GesAbsatz"/>
      </w:pPr>
      <w:r>
        <w:t>Die Karten werden in den Bewirtschaftungsplan für die Einzugsgebiete aufgenommen.</w:t>
      </w:r>
    </w:p>
    <w:p>
      <w:pPr>
        <w:pStyle w:val="GesAbsatz"/>
      </w:pPr>
      <w:r>
        <w:t>2.5 Darstellung des Grundwasserzustands</w:t>
      </w:r>
    </w:p>
    <w:p>
      <w:pPr>
        <w:pStyle w:val="GesAbsatz"/>
      </w:pPr>
      <w:r>
        <w:t>Die Mitgliedstaaten erstellen im Rahmen des Bewirtschaftungsplans für die Einzugsgebiete eine Karte, aus der für jeden Grundwasserkörper oder jede Gruppe von Grundwasserkörpern sowohl der mengenmäßige Zustand als auch der chemische Zustand des jeweiligen Grundwasserkörpers oder der Gruppe der Grundwasserkörper in der Farbkennung gemäß den Randnummern 2.2.4 und 2.4.5 hervorgeht. Es steht den Mitgliedstaaten frei, keine gesonderten Karten gemäß den Randnummern 2.2.4 und 2.4.5 zu erstellen; in diesem Fall geben sie gemäß Randnummer 2.4.5 auf der nach dieser Randnummer vorgesehenen Karte diejenigen Grundwasserkörper an, bei denen ein signifikanter und anhaltender Trend zur Zunahme der Schadstoffkonzentration oder die Umkehr eines solchen Trends vorliegt.</w:t>
      </w:r>
    </w:p>
    <w:p>
      <w:pPr>
        <w:pStyle w:val="berschrift2"/>
        <w:jc w:val="left"/>
      </w:pPr>
      <w:bookmarkStart w:id="33" w:name="_Toc143862493"/>
      <w:r>
        <w:t>Anhang VI</w:t>
      </w:r>
      <w:bookmarkEnd w:id="33"/>
    </w:p>
    <w:p>
      <w:pPr>
        <w:pStyle w:val="GesAbsatz"/>
        <w:jc w:val="center"/>
        <w:rPr>
          <w:b/>
        </w:rPr>
      </w:pPr>
      <w:r>
        <w:rPr>
          <w:b/>
        </w:rPr>
        <w:t>LISTE VON MASSNAHMEN, DIE IN DIE MASSNAHMENPROGRAMME AUFZUNEHMEN SIND</w:t>
      </w:r>
    </w:p>
    <w:p>
      <w:pPr>
        <w:pStyle w:val="GesAbsatz"/>
      </w:pPr>
      <w:r>
        <w:t>TEIL A</w:t>
      </w:r>
    </w:p>
    <w:p>
      <w:pPr>
        <w:pStyle w:val="GesAbsatz"/>
      </w:pPr>
      <w:r>
        <w:lastRenderedPageBreak/>
        <w:t>Die nachstehende Liste enthält die Richtlinien, die die Grundlage für Maßnahmen bilden, die in die Maßnahmenprogramme nach Artikel 11 Absatz 3 Buchstabe a) aufzunehmen sind:</w:t>
      </w:r>
    </w:p>
    <w:p>
      <w:pPr>
        <w:pStyle w:val="GesAbsatz"/>
      </w:pPr>
      <w:r>
        <w:t>i)</w:t>
      </w:r>
      <w:r>
        <w:tab/>
        <w:t>Richtlinie über Badegewässer (76/160/EWG),</w:t>
      </w:r>
    </w:p>
    <w:p>
      <w:pPr>
        <w:pStyle w:val="GesAbsatz"/>
      </w:pPr>
      <w:r>
        <w:t>ii)</w:t>
      </w:r>
      <w:r>
        <w:tab/>
        <w:t>Vogelschutzrichtlinie (79/409/EWG)</w:t>
      </w:r>
      <w:r>
        <w:rPr>
          <w:rStyle w:val="Funotenzeichen"/>
        </w:rPr>
        <w:footnoteReference w:id="37"/>
      </w:r>
      <w:r>
        <w:t>,</w:t>
      </w:r>
    </w:p>
    <w:p>
      <w:pPr>
        <w:pStyle w:val="GesAbsatz"/>
      </w:pPr>
      <w:r>
        <w:t>iii)</w:t>
      </w:r>
      <w:r>
        <w:tab/>
        <w:t>Trinkwasserrichtlinie (80/778/EWG) in der durch die Richtlinie 98/83/EG geänderten Fassung,</w:t>
      </w:r>
    </w:p>
    <w:p>
      <w:pPr>
        <w:pStyle w:val="GesAbsatz"/>
      </w:pPr>
      <w:r>
        <w:t>iv)</w:t>
      </w:r>
      <w:r>
        <w:tab/>
        <w:t>Richtlinie über schwere Unfälle (Sevesorichtlinie) (96/82/EG)</w:t>
      </w:r>
      <w:r>
        <w:rPr>
          <w:rStyle w:val="Funotenzeichen"/>
        </w:rPr>
        <w:footnoteReference w:id="38"/>
      </w:r>
      <w:r>
        <w:t>,</w:t>
      </w:r>
    </w:p>
    <w:p>
      <w:pPr>
        <w:pStyle w:val="GesAbsatz"/>
      </w:pPr>
      <w:r>
        <w:t>v)</w:t>
      </w:r>
      <w:r>
        <w:tab/>
        <w:t>Richtlinie über die Umweltverträglichkeitsprüfung (85/337/EWG)</w:t>
      </w:r>
      <w:r>
        <w:rPr>
          <w:rStyle w:val="Funotenzeichen"/>
        </w:rPr>
        <w:footnoteReference w:id="39"/>
      </w:r>
      <w:r>
        <w:t>,</w:t>
      </w:r>
    </w:p>
    <w:p>
      <w:pPr>
        <w:pStyle w:val="GesAbsatz"/>
      </w:pPr>
      <w:r>
        <w:t>vi)</w:t>
      </w:r>
      <w:r>
        <w:tab/>
        <w:t>Richtlinie über Klärschlamm (86/278/EWG)</w:t>
      </w:r>
      <w:r>
        <w:rPr>
          <w:rStyle w:val="Funotenzeichen"/>
        </w:rPr>
        <w:footnoteReference w:id="40"/>
      </w:r>
      <w:r>
        <w:t>,</w:t>
      </w:r>
    </w:p>
    <w:p>
      <w:pPr>
        <w:pStyle w:val="GesAbsatz"/>
      </w:pPr>
      <w:r>
        <w:t>vii)</w:t>
      </w:r>
      <w:r>
        <w:tab/>
        <w:t>Richtlinie über die Behandlung von kommunalem Abwasser (91/271/EWG),</w:t>
      </w:r>
    </w:p>
    <w:p>
      <w:pPr>
        <w:pStyle w:val="GesAbsatz"/>
      </w:pPr>
      <w:r>
        <w:t>viii)</w:t>
      </w:r>
      <w:r>
        <w:tab/>
        <w:t>Richtlinie über Pflanzenschutzmittel (91/414/EWG),</w:t>
      </w:r>
    </w:p>
    <w:p>
      <w:pPr>
        <w:pStyle w:val="GesAbsatz"/>
      </w:pPr>
      <w:r>
        <w:t>ix)</w:t>
      </w:r>
      <w:r>
        <w:tab/>
        <w:t>Nitratrichtlinie (91/676/EWG),</w:t>
      </w:r>
    </w:p>
    <w:p>
      <w:pPr>
        <w:pStyle w:val="GesAbsatz"/>
      </w:pPr>
      <w:r>
        <w:t>x)</w:t>
      </w:r>
      <w:r>
        <w:tab/>
        <w:t>Habitatrichtlinie (92/43/EWG)</w:t>
      </w:r>
      <w:r>
        <w:rPr>
          <w:rStyle w:val="Funotenzeichen"/>
        </w:rPr>
        <w:footnoteReference w:id="41"/>
      </w:r>
      <w:r>
        <w:t>,</w:t>
      </w:r>
    </w:p>
    <w:p>
      <w:pPr>
        <w:pStyle w:val="GesAbsatz"/>
      </w:pPr>
      <w:r>
        <w:t>xi)</w:t>
      </w:r>
      <w:r>
        <w:tab/>
        <w:t>Richtlinie über die integrierte Vermeidung und Verminderung der Umweltverschmutzung (96/61/EG).</w:t>
      </w:r>
    </w:p>
    <w:p>
      <w:pPr>
        <w:pStyle w:val="GesAbsatz"/>
      </w:pPr>
      <w:r>
        <w:t>TEIL B</w:t>
      </w:r>
    </w:p>
    <w:p>
      <w:pPr>
        <w:pStyle w:val="GesAbsatz"/>
      </w:pPr>
      <w:r>
        <w:t>Die nachstehende, nicht erschöpfende Liste enthält ergänzende Maßnahmen, die die Mitgliedstaaten innerhalb jeder Flussgebietseinheit als Teil der Maßnahmenprogramme nach Artikel 11 Absatz 4 verabschieden können:</w:t>
      </w:r>
    </w:p>
    <w:p>
      <w:pPr>
        <w:pStyle w:val="GesAbsatz"/>
      </w:pPr>
      <w:r>
        <w:t>i)</w:t>
      </w:r>
      <w:r>
        <w:tab/>
        <w:t>Rechtsinstrumente,</w:t>
      </w:r>
    </w:p>
    <w:p>
      <w:pPr>
        <w:pStyle w:val="GesAbsatz"/>
      </w:pPr>
      <w:r>
        <w:t>ii)</w:t>
      </w:r>
      <w:r>
        <w:tab/>
        <w:t>administrative Instrumente,</w:t>
      </w:r>
    </w:p>
    <w:p>
      <w:pPr>
        <w:pStyle w:val="GesAbsatz"/>
      </w:pPr>
      <w:r>
        <w:t>iii)</w:t>
      </w:r>
      <w:r>
        <w:tab/>
        <w:t>wirtschaftliche oder steuerliche Instrumente,</w:t>
      </w:r>
    </w:p>
    <w:p>
      <w:pPr>
        <w:pStyle w:val="GesAbsatz"/>
      </w:pPr>
      <w:r>
        <w:t>iv)</w:t>
      </w:r>
      <w:r>
        <w:tab/>
        <w:t>Aushandlung von Umweltübereinkommen,</w:t>
      </w:r>
    </w:p>
    <w:p>
      <w:pPr>
        <w:pStyle w:val="GesAbsatz"/>
      </w:pPr>
      <w:r>
        <w:t>v)</w:t>
      </w:r>
      <w:r>
        <w:tab/>
        <w:t>Emissionsbegrenzungen,</w:t>
      </w:r>
    </w:p>
    <w:p>
      <w:pPr>
        <w:pStyle w:val="GesAbsatz"/>
      </w:pPr>
      <w:r>
        <w:t>vi)</w:t>
      </w:r>
      <w:r>
        <w:tab/>
        <w:t>Verhaltenskodizes für die gute Praxis,</w:t>
      </w:r>
    </w:p>
    <w:p>
      <w:pPr>
        <w:pStyle w:val="GesAbsatz"/>
      </w:pPr>
      <w:r>
        <w:t>vii)</w:t>
      </w:r>
      <w:r>
        <w:tab/>
        <w:t>Neuschaffung und Wiederherstellung von Feuchtgebieten,</w:t>
      </w:r>
    </w:p>
    <w:p>
      <w:pPr>
        <w:pStyle w:val="GesAbsatz"/>
      </w:pPr>
      <w:r>
        <w:t>viii)</w:t>
      </w:r>
      <w:r>
        <w:tab/>
        <w:t>Entnahmebegrenzungen,</w:t>
      </w:r>
    </w:p>
    <w:p>
      <w:pPr>
        <w:pStyle w:val="GesAbsatz"/>
        <w:ind w:left="426" w:hanging="426"/>
      </w:pPr>
      <w:r>
        <w:t>ix)</w:t>
      </w:r>
      <w:r>
        <w:tab/>
        <w:t>Maßnahmen zur Begrenzung der Nachfrage, unter anderem Förderung einer angepassten landwirtschaftlichen Produktion wie z. B. Anbau von Früchten mit niedrigem Wasserbedarf in Dürregebieten,</w:t>
      </w:r>
    </w:p>
    <w:p>
      <w:pPr>
        <w:pStyle w:val="GesAbsatz"/>
        <w:ind w:left="426" w:hanging="426"/>
      </w:pPr>
      <w:r>
        <w:t>x)</w:t>
      </w:r>
      <w:r>
        <w:tab/>
        <w:t>Maßnahmen zur Verbesserung der Effizienz und zur Förderung der Wiederverwendung, unter anderem Förderung von Technologien mit hohem Wassernutzungsgrad in der Industrie und wassersparende Bewässerungstechniken,</w:t>
      </w:r>
    </w:p>
    <w:p>
      <w:pPr>
        <w:pStyle w:val="GesAbsatz"/>
      </w:pPr>
      <w:r>
        <w:t>xi)</w:t>
      </w:r>
      <w:r>
        <w:tab/>
        <w:t>Bauvorhaben,</w:t>
      </w:r>
    </w:p>
    <w:p>
      <w:pPr>
        <w:pStyle w:val="GesAbsatz"/>
      </w:pPr>
      <w:r>
        <w:t>xii)</w:t>
      </w:r>
      <w:r>
        <w:tab/>
        <w:t>Entsalzungsanlagen,</w:t>
      </w:r>
    </w:p>
    <w:p>
      <w:pPr>
        <w:pStyle w:val="GesAbsatz"/>
      </w:pPr>
      <w:r>
        <w:t>xiii)</w:t>
      </w:r>
      <w:r>
        <w:tab/>
        <w:t>Sanierungsvorhaben,</w:t>
      </w:r>
    </w:p>
    <w:p>
      <w:pPr>
        <w:pStyle w:val="GesAbsatz"/>
      </w:pPr>
      <w:r>
        <w:t>xiv)</w:t>
      </w:r>
      <w:r>
        <w:tab/>
        <w:t>künstliche Anreicherung von Grundwasserleitern,</w:t>
      </w:r>
    </w:p>
    <w:p>
      <w:pPr>
        <w:pStyle w:val="GesAbsatz"/>
      </w:pPr>
      <w:r>
        <w:t>xv)</w:t>
      </w:r>
      <w:r>
        <w:tab/>
        <w:t>Fortbildungsmaßnahmen,</w:t>
      </w:r>
    </w:p>
    <w:p>
      <w:pPr>
        <w:pStyle w:val="GesAbsatz"/>
      </w:pPr>
      <w:r>
        <w:t>xvi)</w:t>
      </w:r>
      <w:r>
        <w:tab/>
        <w:t>Forschungs-, Entwicklungs- und Demonstrationsvorhaben,</w:t>
      </w:r>
    </w:p>
    <w:p>
      <w:pPr>
        <w:pStyle w:val="GesAbsatz"/>
      </w:pPr>
      <w:r>
        <w:t>xvii)</w:t>
      </w:r>
      <w:r>
        <w:tab/>
        <w:t>andere relevante Maßnahmen.</w:t>
      </w:r>
    </w:p>
    <w:p>
      <w:pPr>
        <w:pStyle w:val="berschrift2"/>
        <w:jc w:val="left"/>
      </w:pPr>
      <w:bookmarkStart w:id="34" w:name="_Toc143862494"/>
      <w:r>
        <w:t>Anhang VII</w:t>
      </w:r>
      <w:bookmarkEnd w:id="34"/>
    </w:p>
    <w:p>
      <w:pPr>
        <w:pStyle w:val="GesAbsatz"/>
        <w:jc w:val="center"/>
        <w:rPr>
          <w:b/>
        </w:rPr>
      </w:pPr>
      <w:r>
        <w:rPr>
          <w:b/>
        </w:rPr>
        <w:t>BEWIRTSCHAFTUNGSPLÄNE FÜR DIE EINZUGSGEBIETE</w:t>
      </w:r>
    </w:p>
    <w:p>
      <w:pPr>
        <w:pStyle w:val="GesAbsatz"/>
      </w:pPr>
      <w:r>
        <w:t>A. Die Bewirtschaftungspläne für die Einzugsgebiete enthalten folgende Angaben:</w:t>
      </w:r>
    </w:p>
    <w:p>
      <w:pPr>
        <w:pStyle w:val="GesAbsatz"/>
        <w:tabs>
          <w:tab w:val="clear" w:pos="425"/>
        </w:tabs>
        <w:ind w:left="567" w:hanging="567"/>
      </w:pPr>
      <w:r>
        <w:t>1.</w:t>
      </w:r>
      <w:r>
        <w:tab/>
        <w:t>Allgemeine Beschreibung der Merkmale der Flussgebietseinheit gemäß Artikel 5 und Anhang II. Dies schließt Folgendes ein:</w:t>
      </w:r>
    </w:p>
    <w:p>
      <w:pPr>
        <w:pStyle w:val="GesAbsatz"/>
        <w:tabs>
          <w:tab w:val="clear" w:pos="425"/>
          <w:tab w:val="left" w:pos="567"/>
        </w:tabs>
      </w:pPr>
      <w:r>
        <w:t>1.1.</w:t>
      </w:r>
      <w:r>
        <w:tab/>
        <w:t>Oberflächengewässer:</w:t>
      </w:r>
    </w:p>
    <w:p>
      <w:pPr>
        <w:pStyle w:val="GesAbsatz"/>
        <w:ind w:left="993" w:hanging="426"/>
        <w:rPr>
          <w:rFonts w:cs="Arial"/>
        </w:rPr>
      </w:pPr>
      <w:r>
        <w:rPr>
          <w:rFonts w:cs="Arial"/>
        </w:rPr>
        <w:t>-</w:t>
      </w:r>
      <w:r>
        <w:rPr>
          <w:rFonts w:cs="Arial"/>
        </w:rPr>
        <w:tab/>
        <w:t>Kartierung der Lage und Grenzen der Wasserkörper;</w:t>
      </w:r>
    </w:p>
    <w:p>
      <w:pPr>
        <w:pStyle w:val="GesAbsatz"/>
        <w:ind w:left="993" w:hanging="426"/>
        <w:rPr>
          <w:rFonts w:cs="Arial"/>
        </w:rPr>
      </w:pPr>
      <w:r>
        <w:rPr>
          <w:rFonts w:cs="Arial"/>
        </w:rPr>
        <w:t>-</w:t>
      </w:r>
      <w:r>
        <w:rPr>
          <w:rFonts w:cs="Arial"/>
        </w:rPr>
        <w:tab/>
        <w:t>Kartierung der Ökoregionen und Oberflächenwasserkörpertypen im Einzugsgebiet;</w:t>
      </w:r>
    </w:p>
    <w:p>
      <w:pPr>
        <w:pStyle w:val="GesAbsatz"/>
        <w:ind w:left="993" w:hanging="426"/>
        <w:rPr>
          <w:rFonts w:cs="Arial"/>
        </w:rPr>
      </w:pPr>
      <w:r>
        <w:rPr>
          <w:rFonts w:cs="Arial"/>
        </w:rPr>
        <w:lastRenderedPageBreak/>
        <w:t>-</w:t>
      </w:r>
      <w:r>
        <w:rPr>
          <w:rFonts w:cs="Arial"/>
        </w:rPr>
        <w:tab/>
        <w:t>Ermittlung von Bezugsbedingungen für die Oberflächenwasserkörpertypen;</w:t>
      </w:r>
    </w:p>
    <w:p>
      <w:pPr>
        <w:pStyle w:val="GesAbsatz"/>
        <w:tabs>
          <w:tab w:val="clear" w:pos="425"/>
          <w:tab w:val="left" w:pos="567"/>
        </w:tabs>
      </w:pPr>
      <w:r>
        <w:t>1.2.</w:t>
      </w:r>
      <w:r>
        <w:tab/>
        <w:t>Grundwasser:</w:t>
      </w:r>
    </w:p>
    <w:p>
      <w:pPr>
        <w:pStyle w:val="GesAbsatz"/>
        <w:ind w:left="993" w:hanging="426"/>
      </w:pPr>
      <w:r>
        <w:rPr>
          <w:rFonts w:cs="Arial"/>
        </w:rPr>
        <w:t>-</w:t>
      </w:r>
      <w:r>
        <w:rPr>
          <w:rFonts w:cs="Arial"/>
        </w:rPr>
        <w:tab/>
        <w:t>K</w:t>
      </w:r>
      <w:r>
        <w:t>artierung der Lage und Grenzen der Grundwasserkörper;</w:t>
      </w:r>
    </w:p>
    <w:p>
      <w:pPr>
        <w:pStyle w:val="GesAbsatz"/>
        <w:tabs>
          <w:tab w:val="clear" w:pos="425"/>
        </w:tabs>
        <w:ind w:left="567" w:hanging="567"/>
      </w:pPr>
      <w:r>
        <w:t>2.</w:t>
      </w:r>
      <w:r>
        <w:tab/>
        <w:t>Zusammenfassung der signifikanten Belastungen und anthropogenen Einwirkungen auf den Zustand von Oberflächengewässer und Grundwasser, einschließlich</w:t>
      </w:r>
    </w:p>
    <w:p>
      <w:pPr>
        <w:pStyle w:val="GesAbsatz"/>
        <w:ind w:left="993" w:hanging="426"/>
      </w:pPr>
      <w:r>
        <w:rPr>
          <w:rFonts w:cs="Arial"/>
        </w:rPr>
        <w:t>-</w:t>
      </w:r>
      <w:r>
        <w:rPr>
          <w:rFonts w:cs="Arial"/>
        </w:rPr>
        <w:tab/>
        <w:t>Einschätzung der Verschmutzung durch Punktquelle</w:t>
      </w:r>
      <w:r>
        <w:t>n;</w:t>
      </w:r>
    </w:p>
    <w:p>
      <w:pPr>
        <w:pStyle w:val="GesAbsatz"/>
        <w:ind w:left="993" w:hanging="426"/>
      </w:pPr>
      <w:r>
        <w:rPr>
          <w:rFonts w:cs="Arial"/>
        </w:rPr>
        <w:t>-</w:t>
      </w:r>
      <w:r>
        <w:rPr>
          <w:rFonts w:cs="Arial"/>
        </w:rPr>
        <w:tab/>
        <w:t xml:space="preserve">Einschätzung der Verschmutzung durch diffuse Quellen, einschließlich einer zusammenfassenden Darstellung </w:t>
      </w:r>
      <w:r>
        <w:t>der Landnutzung;</w:t>
      </w:r>
    </w:p>
    <w:p>
      <w:pPr>
        <w:pStyle w:val="GesAbsatz"/>
        <w:ind w:left="993" w:hanging="426"/>
        <w:rPr>
          <w:rFonts w:cs="Arial"/>
        </w:rPr>
      </w:pPr>
      <w:r>
        <w:rPr>
          <w:rFonts w:cs="Arial"/>
        </w:rPr>
        <w:t>-</w:t>
      </w:r>
      <w:r>
        <w:rPr>
          <w:rFonts w:cs="Arial"/>
        </w:rPr>
        <w:tab/>
        <w:t>Einschätzung der Belastung für den mengenmäßigen Zustand des Wassers, einschließlich Entnahmen;</w:t>
      </w:r>
    </w:p>
    <w:p>
      <w:pPr>
        <w:pStyle w:val="GesAbsatz"/>
        <w:ind w:left="993" w:hanging="426"/>
      </w:pPr>
      <w:r>
        <w:rPr>
          <w:rFonts w:cs="Arial"/>
        </w:rPr>
        <w:t>-</w:t>
      </w:r>
      <w:r>
        <w:rPr>
          <w:rFonts w:cs="Arial"/>
        </w:rPr>
        <w:tab/>
        <w:t>Analyse sonstiger anthropogen</w:t>
      </w:r>
      <w:r>
        <w:t>er Einwirkungen auf den Zustand des Wassers;</w:t>
      </w:r>
    </w:p>
    <w:p>
      <w:pPr>
        <w:pStyle w:val="GesAbsatz"/>
        <w:tabs>
          <w:tab w:val="clear" w:pos="425"/>
          <w:tab w:val="left" w:pos="567"/>
        </w:tabs>
        <w:ind w:left="567" w:hanging="567"/>
      </w:pPr>
      <w:r>
        <w:t>3.</w:t>
      </w:r>
      <w:r>
        <w:tab/>
        <w:t>Ermittlung und Kartierung der Schutzgebiete gemäß Artikel 6 und Anhang IV;</w:t>
      </w:r>
    </w:p>
    <w:p>
      <w:pPr>
        <w:pStyle w:val="GesAbsatz"/>
        <w:tabs>
          <w:tab w:val="clear" w:pos="425"/>
          <w:tab w:val="left" w:pos="567"/>
        </w:tabs>
        <w:ind w:left="567" w:hanging="567"/>
      </w:pPr>
      <w:r>
        <w:t>4.</w:t>
      </w:r>
      <w:r>
        <w:tab/>
        <w:t>Karte der Überwachungsnetze gemäß Artikel 8 und Anhang V und Darstellung der Ergebnisse der Überwachungsprogramme gemäß Artikel 8 und Anhang V in Form einer Karte für den Zustand;</w:t>
      </w:r>
    </w:p>
    <w:p>
      <w:pPr>
        <w:pStyle w:val="GesAbsatz"/>
        <w:tabs>
          <w:tab w:val="clear" w:pos="425"/>
          <w:tab w:val="left" w:pos="567"/>
        </w:tabs>
        <w:ind w:left="567" w:hanging="567"/>
      </w:pPr>
      <w:r>
        <w:t>4.1.</w:t>
      </w:r>
      <w:r>
        <w:tab/>
        <w:t>der Oberflächengewässer (ökologisch und chemisch);</w:t>
      </w:r>
    </w:p>
    <w:p>
      <w:pPr>
        <w:pStyle w:val="GesAbsatz"/>
        <w:tabs>
          <w:tab w:val="clear" w:pos="425"/>
          <w:tab w:val="left" w:pos="567"/>
        </w:tabs>
        <w:ind w:left="567" w:hanging="567"/>
      </w:pPr>
      <w:r>
        <w:t>4.2.</w:t>
      </w:r>
      <w:r>
        <w:tab/>
        <w:t>des Grundwassers (chemisch und mengenmäßig);</w:t>
      </w:r>
    </w:p>
    <w:p>
      <w:pPr>
        <w:pStyle w:val="GesAbsatz"/>
        <w:tabs>
          <w:tab w:val="clear" w:pos="425"/>
          <w:tab w:val="left" w:pos="567"/>
        </w:tabs>
        <w:ind w:left="567" w:hanging="567"/>
      </w:pPr>
      <w:r>
        <w:t>4.3.</w:t>
      </w:r>
      <w:r>
        <w:tab/>
        <w:t>der Schutzgebiete;</w:t>
      </w:r>
    </w:p>
    <w:p>
      <w:pPr>
        <w:pStyle w:val="GesAbsatz"/>
        <w:tabs>
          <w:tab w:val="clear" w:pos="425"/>
          <w:tab w:val="left" w:pos="567"/>
        </w:tabs>
        <w:ind w:left="567" w:hanging="567"/>
      </w:pPr>
      <w:r>
        <w:t>5.</w:t>
      </w:r>
      <w:r>
        <w:tab/>
        <w:t>Liste der Umweltziele gemäß Artikel 4 für Oberflächengewässer, Grundwasser und Schutzgebiete, insbesondere einschließlich Ermittlung der Fälle, in denen Artikel 4 Absätze 4, 5, 6 und 7 in Anspruch genommen wurden, sowie der diesbezüglichen Angaben gemäß diesem Artikel;</w:t>
      </w:r>
    </w:p>
    <w:p>
      <w:pPr>
        <w:pStyle w:val="GesAbsatz"/>
        <w:tabs>
          <w:tab w:val="clear" w:pos="425"/>
          <w:tab w:val="left" w:pos="567"/>
        </w:tabs>
        <w:ind w:left="567" w:hanging="567"/>
      </w:pPr>
      <w:r>
        <w:t>6.</w:t>
      </w:r>
      <w:r>
        <w:tab/>
        <w:t>Zusammenfassung der wirtschaftlichen Analyse des Wassergebrauchs gemäß Artikel 5 und Anhang III;</w:t>
      </w:r>
    </w:p>
    <w:p>
      <w:pPr>
        <w:pStyle w:val="GesAbsatz"/>
        <w:tabs>
          <w:tab w:val="clear" w:pos="425"/>
          <w:tab w:val="left" w:pos="567"/>
        </w:tabs>
        <w:ind w:left="567" w:hanging="567"/>
      </w:pPr>
      <w:r>
        <w:t>7.</w:t>
      </w:r>
      <w:r>
        <w:tab/>
        <w:t>Zusammenfassung des Maßnahmenprogramms oder der Maßnahmenprogramme gemäß Artikel 11, einschließlich Angaben dazu, wie die Ziele gemäß Artikel 4 dadurch zu erreichen sind;</w:t>
      </w:r>
    </w:p>
    <w:p>
      <w:pPr>
        <w:pStyle w:val="GesAbsatz"/>
        <w:tabs>
          <w:tab w:val="clear" w:pos="425"/>
          <w:tab w:val="left" w:pos="567"/>
        </w:tabs>
        <w:ind w:left="567" w:hanging="567"/>
      </w:pPr>
      <w:r>
        <w:t>7.1.</w:t>
      </w:r>
      <w:r>
        <w:tab/>
        <w:t>Zusammenfassung der Maßnahmen zur Umsetzung gemeinschaftlicher Wasserschutzvorschriften;</w:t>
      </w:r>
    </w:p>
    <w:p>
      <w:pPr>
        <w:pStyle w:val="GesAbsatz"/>
        <w:tabs>
          <w:tab w:val="clear" w:pos="425"/>
          <w:tab w:val="left" w:pos="567"/>
        </w:tabs>
        <w:ind w:left="567" w:hanging="567"/>
      </w:pPr>
      <w:r>
        <w:t>7.2.</w:t>
      </w:r>
      <w:r>
        <w:tab/>
        <w:t>Bericht über die praktischen Schritte und Maßnahmen zur Anwendung des Grundsatzes der Deckung der Kosten der Wassernutzung gemäß Artikel 9;</w:t>
      </w:r>
    </w:p>
    <w:p>
      <w:pPr>
        <w:pStyle w:val="GesAbsatz"/>
        <w:tabs>
          <w:tab w:val="clear" w:pos="425"/>
          <w:tab w:val="left" w:pos="567"/>
        </w:tabs>
        <w:ind w:left="567" w:hanging="567"/>
      </w:pPr>
      <w:r>
        <w:t>7.3.</w:t>
      </w:r>
      <w:r>
        <w:tab/>
        <w:t>Zusammenfassung der Maßnahmen zur Erfüllung des Artikels 7;</w:t>
      </w:r>
    </w:p>
    <w:p>
      <w:pPr>
        <w:pStyle w:val="GesAbsatz"/>
        <w:tabs>
          <w:tab w:val="clear" w:pos="425"/>
          <w:tab w:val="left" w:pos="567"/>
        </w:tabs>
        <w:ind w:left="567" w:hanging="567"/>
      </w:pPr>
      <w:r>
        <w:t>7.4.</w:t>
      </w:r>
      <w:r>
        <w:tab/>
        <w:t>Zusammenfassung der Begrenzungen in Bezug auf die Entnahme oder Aufstauung von Wasser einschließlich Bezugnahme auf die Register und die Feststellung der Fälle, in denen Ausnahmen gemäß Artikel 11 Absatz 3 Buchstabe e) gemacht worden sind;</w:t>
      </w:r>
    </w:p>
    <w:p>
      <w:pPr>
        <w:pStyle w:val="GesAbsatz"/>
        <w:tabs>
          <w:tab w:val="clear" w:pos="425"/>
          <w:tab w:val="left" w:pos="567"/>
        </w:tabs>
        <w:ind w:left="567" w:hanging="567"/>
      </w:pPr>
      <w:r>
        <w:t>7.5.</w:t>
      </w:r>
      <w:r>
        <w:tab/>
        <w:t>Zusammenfassung der Begrenzungen für Einleitungen über Punktquellen und sonstige Tätigkeiten mit Auswirkungen auf den Zustand des Grundwassers gemäß Artikel 11 Absatz 3 Buchstaben g) und i);</w:t>
      </w:r>
    </w:p>
    <w:p>
      <w:pPr>
        <w:pStyle w:val="GesAbsatz"/>
        <w:tabs>
          <w:tab w:val="clear" w:pos="425"/>
          <w:tab w:val="left" w:pos="567"/>
        </w:tabs>
        <w:ind w:left="567" w:hanging="567"/>
      </w:pPr>
      <w:r>
        <w:t>7.6.</w:t>
      </w:r>
      <w:r>
        <w:tab/>
        <w:t>Angabe der Fälle, in denen direkte Einleitungen in das Grundwasser nach Artikel 11 Absatz 3 Buchstabe j) genehmigt worden sind;</w:t>
      </w:r>
    </w:p>
    <w:p>
      <w:pPr>
        <w:pStyle w:val="GesAbsatz"/>
        <w:tabs>
          <w:tab w:val="clear" w:pos="425"/>
          <w:tab w:val="left" w:pos="567"/>
        </w:tabs>
        <w:ind w:left="567" w:hanging="567"/>
      </w:pPr>
      <w:r>
        <w:t>7.7.</w:t>
      </w:r>
      <w:r>
        <w:tab/>
        <w:t>Zusammenfassung der Maßnahmen, die gemäß Artikel 16 im Hinblick auf prioritäre Stoffe ergriffen worden sind;</w:t>
      </w:r>
    </w:p>
    <w:p>
      <w:pPr>
        <w:pStyle w:val="GesAbsatz"/>
        <w:tabs>
          <w:tab w:val="clear" w:pos="425"/>
          <w:tab w:val="left" w:pos="567"/>
        </w:tabs>
        <w:ind w:left="567" w:hanging="567"/>
      </w:pPr>
      <w:r>
        <w:t>7.8.</w:t>
      </w:r>
      <w:r>
        <w:tab/>
        <w:t>Zusammenfassung der Maßnahmen zur Verhinderung oder Verringerung der Folgen unbeabsichtigter Verschmutzungen;</w:t>
      </w:r>
    </w:p>
    <w:p>
      <w:pPr>
        <w:pStyle w:val="GesAbsatz"/>
        <w:tabs>
          <w:tab w:val="clear" w:pos="425"/>
          <w:tab w:val="left" w:pos="567"/>
        </w:tabs>
        <w:ind w:left="567" w:hanging="567"/>
      </w:pPr>
      <w:r>
        <w:t>7.9.</w:t>
      </w:r>
      <w:r>
        <w:tab/>
        <w:t>Zusammenfassung der gemäß Artikel 11 Absatz 5 ergriffenen Maßnahmen für Wasserkörper, die die in Artikel 4 festgelegten Ziele nicht erreichen dürften;</w:t>
      </w:r>
    </w:p>
    <w:p>
      <w:pPr>
        <w:pStyle w:val="GesAbsatz"/>
        <w:tabs>
          <w:tab w:val="left" w:pos="567"/>
        </w:tabs>
        <w:ind w:left="567" w:hanging="567"/>
      </w:pPr>
      <w:smartTag w:uri="urn:schemas-microsoft-com:office:smarttags" w:element="time">
        <w:smartTagPr>
          <w:attr w:name="Minute" w:val="10"/>
          <w:attr w:name="Hour" w:val="7"/>
        </w:smartTagPr>
        <w:r>
          <w:t>7.10.</w:t>
        </w:r>
      </w:smartTag>
      <w:r>
        <w:tab/>
        <w:t>Einzelheiten der ergänzenden Maßnahmen, die als notwendig gelten, um die festgelegten Umweltziele zu erreichen;</w:t>
      </w:r>
    </w:p>
    <w:p>
      <w:pPr>
        <w:pStyle w:val="GesAbsatz"/>
        <w:tabs>
          <w:tab w:val="left" w:pos="567"/>
        </w:tabs>
        <w:ind w:left="567" w:hanging="567"/>
      </w:pPr>
      <w:smartTag w:uri="urn:schemas-microsoft-com:office:smarttags" w:element="time">
        <w:smartTagPr>
          <w:attr w:name="Minute" w:val="11"/>
          <w:attr w:name="Hour" w:val="7"/>
        </w:smartTagPr>
        <w:r>
          <w:t>7.11.</w:t>
        </w:r>
      </w:smartTag>
      <w:r>
        <w:tab/>
        <w:t>Einzelheiten der Maßnahmen zur Vermeidung einer Zunahme der Verschmutzung der Meeresgewässer gemäß Artikel 11 Absatz 6;</w:t>
      </w:r>
    </w:p>
    <w:p>
      <w:pPr>
        <w:pStyle w:val="GesAbsatz"/>
        <w:tabs>
          <w:tab w:val="clear" w:pos="425"/>
          <w:tab w:val="left" w:pos="567"/>
        </w:tabs>
        <w:ind w:left="567" w:hanging="567"/>
      </w:pPr>
      <w:r>
        <w:t>8.</w:t>
      </w:r>
      <w:r>
        <w:tab/>
        <w:t>Verzeichnis etwaiger detaillierterer Programme und Bewirtschaftungspläne für Flussgebietseinheiten, in denen besondere Teileinzugsgebiete, Sektoren, Problembereiche oder Gewässertypen behandelt werden, sowie eine Zusammenfassung ihrer Inhalte;</w:t>
      </w:r>
    </w:p>
    <w:p>
      <w:pPr>
        <w:pStyle w:val="GesAbsatz"/>
        <w:tabs>
          <w:tab w:val="clear" w:pos="425"/>
          <w:tab w:val="left" w:pos="567"/>
        </w:tabs>
        <w:ind w:left="567" w:hanging="567"/>
      </w:pPr>
      <w:r>
        <w:t>9.</w:t>
      </w:r>
      <w:r>
        <w:tab/>
        <w:t>Zusammenfassung der Maßnahmen zur Information und Anhörung der Öffentlichkeit, deren Ergebnisse und der darauf zurückgehenden Änderungen des Plans;</w:t>
      </w:r>
    </w:p>
    <w:p>
      <w:pPr>
        <w:pStyle w:val="GesAbsatz"/>
        <w:tabs>
          <w:tab w:val="clear" w:pos="425"/>
          <w:tab w:val="left" w:pos="567"/>
        </w:tabs>
        <w:ind w:left="567" w:hanging="567"/>
      </w:pPr>
      <w:r>
        <w:t>10.</w:t>
      </w:r>
      <w:r>
        <w:tab/>
        <w:t>Liste der zuständigen Behörden gemäß Anhang I;</w:t>
      </w:r>
    </w:p>
    <w:p>
      <w:pPr>
        <w:pStyle w:val="GesAbsatz"/>
        <w:tabs>
          <w:tab w:val="clear" w:pos="425"/>
          <w:tab w:val="left" w:pos="567"/>
        </w:tabs>
        <w:ind w:left="567" w:hanging="567"/>
      </w:pPr>
      <w:r>
        <w:t>11.</w:t>
      </w:r>
      <w:r>
        <w:tab/>
        <w:t>Anlaufstellen und Verfahren für die Beschaffung der Hintergrunddokumente und -informationen gemäß Artikel 14 Absatz 1, insbesondere Einzelheiten der Kontrollmaßnahmen gemäß Artikel 11 Absatz 3 Buchstaben g) und i) der aktuellen Überwachungsdaten, die gemäß Artikel 8 und Anhang V erhoben worden sind.</w:t>
      </w:r>
    </w:p>
    <w:p>
      <w:pPr>
        <w:pStyle w:val="GesAbsatz"/>
      </w:pPr>
      <w:r>
        <w:lastRenderedPageBreak/>
        <w:t>B. Die erste und alle folgenden aktualisierten Fassungen des Bewirtschaftungsplans für Einzugsgebiete enthalten folgende Angaben:</w:t>
      </w:r>
    </w:p>
    <w:p>
      <w:pPr>
        <w:pStyle w:val="GesAbsatz"/>
        <w:ind w:left="426" w:hanging="426"/>
      </w:pPr>
      <w:r>
        <w:t>1.</w:t>
      </w:r>
      <w:r>
        <w:tab/>
        <w:t>Zusammenfassung jeglicher Änderungen oder Aktualisierungen seit Veröffentlichung der vorangegangenen Fassung des Bewirtschaftungsplans einschließlich einer Zusammenfassung der Überprüfungen gemäß Artikel 4 Absätze 4, 5, 6 und 7;</w:t>
      </w:r>
    </w:p>
    <w:p>
      <w:pPr>
        <w:pStyle w:val="GesAbsatz"/>
        <w:ind w:left="426" w:hanging="426"/>
      </w:pPr>
      <w:r>
        <w:t>2.</w:t>
      </w:r>
      <w:r>
        <w:tab/>
        <w:t>Bewertung der Fortschritte zur Erfüllung der Umweltziele, einschließlich einer Darstellung der Überwachungsergebnisse für den Zeitraum des vorangegangenen Plans in Kartenform, und eine Begründung für das Nichterreichen eines Umweltziels;</w:t>
      </w:r>
    </w:p>
    <w:p>
      <w:pPr>
        <w:pStyle w:val="GesAbsatz"/>
        <w:ind w:left="426" w:hanging="426"/>
      </w:pPr>
      <w:r>
        <w:t>3.</w:t>
      </w:r>
      <w:r>
        <w:tab/>
        <w:t>Zusammenfassung und Begründung von Maßnahmen, die in einer früheren Fassung des Bewirtschaftungsplans vorgesehen waren, aber nicht in die Praxis umgesetzt wurden;</w:t>
      </w:r>
    </w:p>
    <w:p>
      <w:pPr>
        <w:pStyle w:val="GesAbsatz"/>
        <w:ind w:left="426" w:hanging="426"/>
      </w:pPr>
      <w:r>
        <w:t>4.</w:t>
      </w:r>
      <w:r>
        <w:tab/>
        <w:t>Zusammenfassung zusätzlicher einstweiliger Maßnahmen, die seit Veröffentlichung der vorherigen Fassung des Bewirtschaftungsplans gemäß Artikel 11 Absatz 5 verabschiedet wurden.</w:t>
      </w:r>
    </w:p>
    <w:p>
      <w:pPr>
        <w:pStyle w:val="berschrift2"/>
        <w:jc w:val="left"/>
      </w:pPr>
      <w:bookmarkStart w:id="35" w:name="_Toc143862495"/>
      <w:r>
        <w:t>Anhang VIII</w:t>
      </w:r>
      <w:bookmarkEnd w:id="35"/>
    </w:p>
    <w:p>
      <w:pPr>
        <w:pStyle w:val="GesAbsatz"/>
        <w:jc w:val="center"/>
        <w:rPr>
          <w:b/>
        </w:rPr>
      </w:pPr>
      <w:r>
        <w:rPr>
          <w:b/>
        </w:rPr>
        <w:t>NICHTERSCHÖPFENDES VERZEICHNIS DER WICHTIGSTEN SCHADSTOFFE</w:t>
      </w:r>
    </w:p>
    <w:p>
      <w:pPr>
        <w:pStyle w:val="GesAbsatz"/>
      </w:pPr>
      <w:r>
        <w:t>1.</w:t>
      </w:r>
      <w:r>
        <w:tab/>
        <w:t>Organohalogene Verbindungen und Stoffe, die im Wasser derartige Verbindungen bilden können</w:t>
      </w:r>
    </w:p>
    <w:p>
      <w:pPr>
        <w:pStyle w:val="GesAbsatz"/>
      </w:pPr>
      <w:r>
        <w:t>2.</w:t>
      </w:r>
      <w:r>
        <w:tab/>
        <w:t>Organische Phosphorverbindungen</w:t>
      </w:r>
    </w:p>
    <w:p>
      <w:pPr>
        <w:pStyle w:val="GesAbsatz"/>
      </w:pPr>
      <w:r>
        <w:t>3.</w:t>
      </w:r>
      <w:r>
        <w:tab/>
        <w:t>Organische Zinnverbindungen</w:t>
      </w:r>
    </w:p>
    <w:p>
      <w:pPr>
        <w:pStyle w:val="GesAbsatz"/>
        <w:ind w:left="426" w:hanging="426"/>
      </w:pPr>
      <w:r>
        <w:t>4.</w:t>
      </w:r>
      <w:r>
        <w:tab/>
        <w:t>Stoffe und Zubereitungen oder deren Abbauprodukte, deren karzinogene oder mutagene Eigenschaften bzw. steroidogene, thyreoide, reproduktive oder andere Funktionen des endokrinen Systems beeinträchtigenden Eigenschaften im oder durch das Wasser erwiesen sind</w:t>
      </w:r>
    </w:p>
    <w:p>
      <w:pPr>
        <w:pStyle w:val="GesAbsatz"/>
      </w:pPr>
      <w:r>
        <w:t>5.</w:t>
      </w:r>
      <w:r>
        <w:tab/>
        <w:t>Persistente Kohlenwasserstoffe sowie persistente und bioakkumulierende organische toxische Stoffe</w:t>
      </w:r>
    </w:p>
    <w:p>
      <w:pPr>
        <w:pStyle w:val="GesAbsatz"/>
      </w:pPr>
      <w:r>
        <w:t>6.</w:t>
      </w:r>
      <w:r>
        <w:tab/>
        <w:t>Zyanide</w:t>
      </w:r>
    </w:p>
    <w:p>
      <w:pPr>
        <w:pStyle w:val="GesAbsatz"/>
      </w:pPr>
      <w:r>
        <w:t>7.</w:t>
      </w:r>
      <w:r>
        <w:tab/>
        <w:t>Metalle und Metallverbindungen</w:t>
      </w:r>
    </w:p>
    <w:p>
      <w:pPr>
        <w:pStyle w:val="GesAbsatz"/>
      </w:pPr>
      <w:r>
        <w:t>8.</w:t>
      </w:r>
      <w:r>
        <w:tab/>
        <w:t>Arsen und Arsenverbindungen</w:t>
      </w:r>
    </w:p>
    <w:p>
      <w:pPr>
        <w:pStyle w:val="GesAbsatz"/>
      </w:pPr>
      <w:r>
        <w:t>9.</w:t>
      </w:r>
      <w:r>
        <w:tab/>
        <w:t>Biozide und Pflanzenschutzmittel</w:t>
      </w:r>
    </w:p>
    <w:p>
      <w:pPr>
        <w:pStyle w:val="GesAbsatz"/>
      </w:pPr>
      <w:r>
        <w:t>10.</w:t>
      </w:r>
      <w:r>
        <w:tab/>
        <w:t>Schwebstoffe</w:t>
      </w:r>
    </w:p>
    <w:p>
      <w:pPr>
        <w:pStyle w:val="GesAbsatz"/>
      </w:pPr>
      <w:r>
        <w:t>11.</w:t>
      </w:r>
      <w:r>
        <w:tab/>
        <w:t>Stoffe, die zur Eutrophierung beitragen (insbesondere Nitrate und Phosphate)</w:t>
      </w:r>
    </w:p>
    <w:p>
      <w:pPr>
        <w:pStyle w:val="GesAbsatz"/>
        <w:ind w:left="426" w:hanging="426"/>
      </w:pPr>
      <w:r>
        <w:t>12.</w:t>
      </w:r>
      <w:r>
        <w:tab/>
        <w:t>Stoffe mit nachhaltigem Einfluss auf die Sauerstoffbilanz (und die anhand von Parametern wie BSB, CSB usw. gemessen werden können).</w:t>
      </w:r>
    </w:p>
    <w:p>
      <w:pPr>
        <w:pStyle w:val="berschrift2"/>
        <w:jc w:val="left"/>
      </w:pPr>
      <w:bookmarkStart w:id="36" w:name="_Toc143862496"/>
      <w:r>
        <w:t>Anhang IX</w:t>
      </w:r>
      <w:bookmarkEnd w:id="36"/>
    </w:p>
    <w:p>
      <w:pPr>
        <w:pStyle w:val="GesAbsatz"/>
        <w:jc w:val="center"/>
        <w:rPr>
          <w:b/>
        </w:rPr>
      </w:pPr>
      <w:r>
        <w:rPr>
          <w:b/>
        </w:rPr>
        <w:t>EMISSIONSGRENZWERTE UND UMWELTQUALITÄTSNORMEN</w:t>
      </w:r>
    </w:p>
    <w:p>
      <w:pPr>
        <w:pStyle w:val="GesAbsatz"/>
      </w:pPr>
      <w:r>
        <w:t xml:space="preserve">Die in den Tochterrichtlinien der Richtlinie 76/464/EWG festgelegten </w:t>
      </w:r>
      <w:r>
        <w:rPr>
          <w:rFonts w:cs="Arial"/>
        </w:rPr>
        <w:t xml:space="preserve">„Emissionsgrenzwerte“ und „Qualitätsziele“ gelten </w:t>
      </w:r>
      <w:r>
        <w:t>als Emissionsgrenzwerte und Umweltqualitätsnormen im Sinne dieser Richtlinie. Sie sind in folgenden Richtlinien festgelegt:</w:t>
      </w:r>
    </w:p>
    <w:p>
      <w:pPr>
        <w:pStyle w:val="GesAbsatz"/>
      </w:pPr>
      <w:r>
        <w:t>i)</w:t>
      </w:r>
      <w:r>
        <w:tab/>
        <w:t>Richtlinie über Quecksilberableitungen (82/176/EWG)</w:t>
      </w:r>
      <w:r>
        <w:rPr>
          <w:rStyle w:val="Funotenzeichen"/>
        </w:rPr>
        <w:footnoteReference w:id="42"/>
      </w:r>
      <w:r>
        <w:t>;</w:t>
      </w:r>
    </w:p>
    <w:p>
      <w:pPr>
        <w:pStyle w:val="GesAbsatz"/>
      </w:pPr>
      <w:r>
        <w:t>ii)</w:t>
      </w:r>
      <w:r>
        <w:tab/>
        <w:t>Richtlinie über Cadmiumableitungen (83/513/EWG)</w:t>
      </w:r>
      <w:r>
        <w:rPr>
          <w:rStyle w:val="Funotenzeichen"/>
        </w:rPr>
        <w:footnoteReference w:id="43"/>
      </w:r>
      <w:r>
        <w:t>;</w:t>
      </w:r>
    </w:p>
    <w:p>
      <w:pPr>
        <w:pStyle w:val="GesAbsatz"/>
      </w:pPr>
      <w:r>
        <w:t>iii)</w:t>
      </w:r>
      <w:r>
        <w:tab/>
        <w:t>Quecksilberrichtlinie (84/156/EWG)</w:t>
      </w:r>
      <w:r>
        <w:rPr>
          <w:rStyle w:val="Funotenzeichen"/>
        </w:rPr>
        <w:footnoteReference w:id="44"/>
      </w:r>
      <w:r>
        <w:t>;</w:t>
      </w:r>
    </w:p>
    <w:p>
      <w:pPr>
        <w:pStyle w:val="GesAbsatz"/>
      </w:pPr>
      <w:r>
        <w:t>iv)</w:t>
      </w:r>
      <w:r>
        <w:tab/>
        <w:t>Richtlinie über Ableitungen von Hexachlorcyclohexan (84/491/EWG)</w:t>
      </w:r>
      <w:r>
        <w:rPr>
          <w:rStyle w:val="Funotenzeichen"/>
        </w:rPr>
        <w:footnoteReference w:id="45"/>
      </w:r>
      <w:r>
        <w:t>;</w:t>
      </w:r>
    </w:p>
    <w:p>
      <w:pPr>
        <w:pStyle w:val="GesAbsatz"/>
      </w:pPr>
      <w:r>
        <w:t>v)</w:t>
      </w:r>
      <w:r>
        <w:tab/>
        <w:t>Richtlinie über die Ableitung bestimmter gefährlicher Stoffe (86/280/EWG)</w:t>
      </w:r>
      <w:r>
        <w:rPr>
          <w:rStyle w:val="Funotenzeichen"/>
        </w:rPr>
        <w:footnoteReference w:id="46"/>
      </w:r>
      <w:r>
        <w:t>.</w:t>
      </w:r>
    </w:p>
    <w:p>
      <w:pPr>
        <w:pStyle w:val="berschrift2"/>
        <w:jc w:val="left"/>
      </w:pPr>
      <w:bookmarkStart w:id="37" w:name="_Toc143862497"/>
      <w:r>
        <w:t>Anhang X</w:t>
      </w:r>
      <w:bookmarkEnd w:id="37"/>
    </w:p>
    <w:p>
      <w:pPr>
        <w:pStyle w:val="GesAbsatz"/>
      </w:pPr>
      <w:r>
        <w:t>LISTE PRIORITÄRER STOFFE IM BEREICH DER WASSERPOLITIK</w:t>
      </w:r>
    </w:p>
    <w:tbl>
      <w:tblPr>
        <w:tblStyle w:val="Tabellenraster"/>
        <w:tblW w:w="0" w:type="auto"/>
        <w:tblLayout w:type="fixed"/>
        <w:tblLook w:val="04A0" w:firstRow="1" w:lastRow="0" w:firstColumn="1" w:lastColumn="0" w:noHBand="0" w:noVBand="1"/>
      </w:tblPr>
      <w:tblGrid>
        <w:gridCol w:w="817"/>
        <w:gridCol w:w="2338"/>
        <w:gridCol w:w="1740"/>
        <w:gridCol w:w="3152"/>
        <w:gridCol w:w="1631"/>
      </w:tblGrid>
      <w:tr>
        <w:tc>
          <w:tcPr>
            <w:tcW w:w="817" w:type="dxa"/>
          </w:tcPr>
          <w:p>
            <w:pPr>
              <w:pStyle w:val="GesAbsatz"/>
              <w:rPr>
                <w:sz w:val="18"/>
                <w:szCs w:val="18"/>
              </w:rPr>
            </w:pPr>
            <w:r>
              <w:rPr>
                <w:sz w:val="18"/>
                <w:szCs w:val="18"/>
              </w:rPr>
              <w:t>Nummer</w:t>
            </w:r>
          </w:p>
        </w:tc>
        <w:tc>
          <w:tcPr>
            <w:tcW w:w="2338" w:type="dxa"/>
          </w:tcPr>
          <w:p>
            <w:pPr>
              <w:pStyle w:val="GesAbsatz"/>
              <w:rPr>
                <w:sz w:val="18"/>
                <w:szCs w:val="18"/>
              </w:rPr>
            </w:pPr>
            <w:r>
              <w:rPr>
                <w:sz w:val="18"/>
                <w:szCs w:val="18"/>
              </w:rPr>
              <w:t>CAS-Nummer (</w:t>
            </w:r>
            <w:r>
              <w:rPr>
                <w:sz w:val="18"/>
                <w:szCs w:val="18"/>
                <w:vertAlign w:val="superscript"/>
              </w:rPr>
              <w:t>1</w:t>
            </w:r>
            <w:r>
              <w:rPr>
                <w:sz w:val="18"/>
                <w:szCs w:val="18"/>
              </w:rPr>
              <w:t>)</w:t>
            </w:r>
          </w:p>
        </w:tc>
        <w:tc>
          <w:tcPr>
            <w:tcW w:w="1740" w:type="dxa"/>
          </w:tcPr>
          <w:p>
            <w:pPr>
              <w:pStyle w:val="GesAbsatz"/>
              <w:rPr>
                <w:sz w:val="18"/>
                <w:szCs w:val="18"/>
              </w:rPr>
            </w:pPr>
            <w:r>
              <w:rPr>
                <w:sz w:val="18"/>
                <w:szCs w:val="18"/>
              </w:rPr>
              <w:t>EU-Nummer (</w:t>
            </w:r>
            <w:r>
              <w:rPr>
                <w:sz w:val="18"/>
                <w:szCs w:val="18"/>
                <w:vertAlign w:val="superscript"/>
              </w:rPr>
              <w:t>2</w:t>
            </w:r>
            <w:r>
              <w:rPr>
                <w:sz w:val="18"/>
                <w:szCs w:val="18"/>
              </w:rPr>
              <w:t>)</w:t>
            </w:r>
          </w:p>
        </w:tc>
        <w:tc>
          <w:tcPr>
            <w:tcW w:w="3152" w:type="dxa"/>
          </w:tcPr>
          <w:p>
            <w:pPr>
              <w:pStyle w:val="GesAbsatz"/>
              <w:rPr>
                <w:sz w:val="18"/>
                <w:szCs w:val="18"/>
              </w:rPr>
            </w:pPr>
            <w:r>
              <w:rPr>
                <w:sz w:val="18"/>
                <w:szCs w:val="18"/>
              </w:rPr>
              <w:t>Bezeichnung des prioritären Stoffes (</w:t>
            </w:r>
            <w:r>
              <w:rPr>
                <w:sz w:val="18"/>
                <w:szCs w:val="18"/>
                <w:vertAlign w:val="superscript"/>
              </w:rPr>
              <w:t>3</w:t>
            </w:r>
            <w:r>
              <w:rPr>
                <w:sz w:val="18"/>
                <w:szCs w:val="18"/>
              </w:rPr>
              <w:t>)</w:t>
            </w:r>
          </w:p>
        </w:tc>
        <w:tc>
          <w:tcPr>
            <w:tcW w:w="1631" w:type="dxa"/>
          </w:tcPr>
          <w:p>
            <w:pPr>
              <w:pStyle w:val="GesAbsatz"/>
              <w:rPr>
                <w:sz w:val="18"/>
                <w:szCs w:val="18"/>
              </w:rPr>
            </w:pPr>
            <w:r>
              <w:rPr>
                <w:sz w:val="18"/>
                <w:szCs w:val="18"/>
              </w:rPr>
              <w:t>Als prioritärer gefährlicher Stoff eingestuft</w:t>
            </w:r>
          </w:p>
        </w:tc>
      </w:tr>
      <w:tr>
        <w:tc>
          <w:tcPr>
            <w:tcW w:w="817" w:type="dxa"/>
          </w:tcPr>
          <w:p>
            <w:pPr>
              <w:pStyle w:val="GesAbsatz"/>
              <w:rPr>
                <w:sz w:val="18"/>
                <w:szCs w:val="18"/>
              </w:rPr>
            </w:pPr>
            <w:r>
              <w:rPr>
                <w:sz w:val="18"/>
                <w:szCs w:val="18"/>
              </w:rPr>
              <w:lastRenderedPageBreak/>
              <w:t>(1)</w:t>
            </w:r>
          </w:p>
        </w:tc>
        <w:tc>
          <w:tcPr>
            <w:tcW w:w="2338" w:type="dxa"/>
          </w:tcPr>
          <w:p>
            <w:pPr>
              <w:pStyle w:val="GesAbsatz"/>
              <w:rPr>
                <w:sz w:val="18"/>
                <w:szCs w:val="18"/>
              </w:rPr>
            </w:pPr>
            <w:r>
              <w:rPr>
                <w:sz w:val="18"/>
                <w:szCs w:val="18"/>
              </w:rPr>
              <w:t>15972-60-8</w:t>
            </w:r>
          </w:p>
        </w:tc>
        <w:tc>
          <w:tcPr>
            <w:tcW w:w="1740" w:type="dxa"/>
          </w:tcPr>
          <w:p>
            <w:pPr>
              <w:pStyle w:val="GesAbsatz"/>
              <w:rPr>
                <w:sz w:val="18"/>
                <w:szCs w:val="18"/>
              </w:rPr>
            </w:pPr>
            <w:r>
              <w:rPr>
                <w:sz w:val="18"/>
                <w:szCs w:val="18"/>
              </w:rPr>
              <w:t>240-110-8</w:t>
            </w:r>
          </w:p>
        </w:tc>
        <w:tc>
          <w:tcPr>
            <w:tcW w:w="3152" w:type="dxa"/>
          </w:tcPr>
          <w:p>
            <w:pPr>
              <w:pStyle w:val="GesAbsatz"/>
              <w:rPr>
                <w:sz w:val="18"/>
                <w:szCs w:val="18"/>
              </w:rPr>
            </w:pPr>
            <w:r>
              <w:rPr>
                <w:sz w:val="18"/>
                <w:szCs w:val="18"/>
              </w:rPr>
              <w:t>Alachlor</w:t>
            </w:r>
          </w:p>
        </w:tc>
        <w:tc>
          <w:tcPr>
            <w:tcW w:w="1631" w:type="dxa"/>
          </w:tcPr>
          <w:p>
            <w:pPr>
              <w:pStyle w:val="GesAbsatz"/>
              <w:rPr>
                <w:sz w:val="18"/>
                <w:szCs w:val="18"/>
              </w:rPr>
            </w:pPr>
          </w:p>
        </w:tc>
      </w:tr>
      <w:tr>
        <w:tc>
          <w:tcPr>
            <w:tcW w:w="817" w:type="dxa"/>
          </w:tcPr>
          <w:p>
            <w:pPr>
              <w:pStyle w:val="GesAbsatz"/>
              <w:rPr>
                <w:sz w:val="18"/>
                <w:szCs w:val="18"/>
              </w:rPr>
            </w:pPr>
            <w:r>
              <w:rPr>
                <w:sz w:val="18"/>
                <w:szCs w:val="18"/>
              </w:rPr>
              <w:t>(2)</w:t>
            </w:r>
          </w:p>
        </w:tc>
        <w:tc>
          <w:tcPr>
            <w:tcW w:w="2338" w:type="dxa"/>
          </w:tcPr>
          <w:p>
            <w:pPr>
              <w:pStyle w:val="GesAbsatz"/>
              <w:rPr>
                <w:sz w:val="18"/>
                <w:szCs w:val="18"/>
              </w:rPr>
            </w:pPr>
            <w:r>
              <w:rPr>
                <w:sz w:val="18"/>
                <w:szCs w:val="18"/>
              </w:rPr>
              <w:t>120-12-7</w:t>
            </w:r>
          </w:p>
        </w:tc>
        <w:tc>
          <w:tcPr>
            <w:tcW w:w="1740" w:type="dxa"/>
          </w:tcPr>
          <w:p>
            <w:pPr>
              <w:pStyle w:val="GesAbsatz"/>
              <w:rPr>
                <w:sz w:val="18"/>
                <w:szCs w:val="18"/>
              </w:rPr>
            </w:pPr>
            <w:r>
              <w:rPr>
                <w:sz w:val="18"/>
                <w:szCs w:val="18"/>
              </w:rPr>
              <w:t>204-371-1</w:t>
            </w:r>
          </w:p>
        </w:tc>
        <w:tc>
          <w:tcPr>
            <w:tcW w:w="3152" w:type="dxa"/>
          </w:tcPr>
          <w:p>
            <w:pPr>
              <w:pStyle w:val="GesAbsatz"/>
              <w:rPr>
                <w:sz w:val="18"/>
                <w:szCs w:val="18"/>
              </w:rPr>
            </w:pPr>
            <w:r>
              <w:rPr>
                <w:sz w:val="18"/>
                <w:szCs w:val="18"/>
              </w:rPr>
              <w:t>Anthracen</w:t>
            </w:r>
          </w:p>
        </w:tc>
        <w:tc>
          <w:tcPr>
            <w:tcW w:w="1631" w:type="dxa"/>
          </w:tcPr>
          <w:p>
            <w:pPr>
              <w:pStyle w:val="GesAbsatz"/>
              <w:rPr>
                <w:sz w:val="18"/>
                <w:szCs w:val="18"/>
              </w:rPr>
            </w:pPr>
            <w:r>
              <w:rPr>
                <w:sz w:val="18"/>
                <w:szCs w:val="18"/>
              </w:rPr>
              <w:t>X</w:t>
            </w:r>
          </w:p>
        </w:tc>
      </w:tr>
      <w:tr>
        <w:tc>
          <w:tcPr>
            <w:tcW w:w="817" w:type="dxa"/>
          </w:tcPr>
          <w:p>
            <w:pPr>
              <w:pStyle w:val="GesAbsatz"/>
              <w:rPr>
                <w:sz w:val="18"/>
                <w:szCs w:val="18"/>
              </w:rPr>
            </w:pPr>
            <w:r>
              <w:rPr>
                <w:sz w:val="18"/>
                <w:szCs w:val="18"/>
              </w:rPr>
              <w:t>(3)</w:t>
            </w:r>
          </w:p>
        </w:tc>
        <w:tc>
          <w:tcPr>
            <w:tcW w:w="2338" w:type="dxa"/>
          </w:tcPr>
          <w:p>
            <w:pPr>
              <w:pStyle w:val="GesAbsatz"/>
              <w:rPr>
                <w:sz w:val="18"/>
                <w:szCs w:val="18"/>
              </w:rPr>
            </w:pPr>
            <w:r>
              <w:rPr>
                <w:sz w:val="18"/>
                <w:szCs w:val="18"/>
              </w:rPr>
              <w:t>1912-24-9</w:t>
            </w:r>
          </w:p>
        </w:tc>
        <w:tc>
          <w:tcPr>
            <w:tcW w:w="1740" w:type="dxa"/>
          </w:tcPr>
          <w:p>
            <w:pPr>
              <w:pStyle w:val="GesAbsatz"/>
              <w:rPr>
                <w:sz w:val="18"/>
                <w:szCs w:val="18"/>
              </w:rPr>
            </w:pPr>
            <w:r>
              <w:rPr>
                <w:sz w:val="18"/>
                <w:szCs w:val="18"/>
              </w:rPr>
              <w:t>217-617-8</w:t>
            </w:r>
          </w:p>
        </w:tc>
        <w:tc>
          <w:tcPr>
            <w:tcW w:w="3152" w:type="dxa"/>
          </w:tcPr>
          <w:p>
            <w:pPr>
              <w:pStyle w:val="GesAbsatz"/>
              <w:rPr>
                <w:sz w:val="18"/>
                <w:szCs w:val="18"/>
              </w:rPr>
            </w:pPr>
            <w:r>
              <w:rPr>
                <w:sz w:val="18"/>
                <w:szCs w:val="18"/>
              </w:rPr>
              <w:t>Atrazin</w:t>
            </w:r>
          </w:p>
        </w:tc>
        <w:tc>
          <w:tcPr>
            <w:tcW w:w="1631" w:type="dxa"/>
          </w:tcPr>
          <w:p>
            <w:pPr>
              <w:pStyle w:val="GesAbsatz"/>
              <w:rPr>
                <w:sz w:val="18"/>
                <w:szCs w:val="18"/>
              </w:rPr>
            </w:pPr>
          </w:p>
        </w:tc>
      </w:tr>
      <w:tr>
        <w:tc>
          <w:tcPr>
            <w:tcW w:w="817" w:type="dxa"/>
          </w:tcPr>
          <w:p>
            <w:pPr>
              <w:pStyle w:val="GesAbsatz"/>
              <w:rPr>
                <w:sz w:val="18"/>
                <w:szCs w:val="18"/>
              </w:rPr>
            </w:pPr>
            <w:r>
              <w:rPr>
                <w:sz w:val="18"/>
                <w:szCs w:val="18"/>
              </w:rPr>
              <w:t>(4)</w:t>
            </w:r>
          </w:p>
        </w:tc>
        <w:tc>
          <w:tcPr>
            <w:tcW w:w="2338" w:type="dxa"/>
          </w:tcPr>
          <w:p>
            <w:pPr>
              <w:pStyle w:val="GesAbsatz"/>
              <w:rPr>
                <w:sz w:val="18"/>
                <w:szCs w:val="18"/>
              </w:rPr>
            </w:pPr>
            <w:r>
              <w:rPr>
                <w:sz w:val="18"/>
                <w:szCs w:val="18"/>
              </w:rPr>
              <w:t>71-43-2</w:t>
            </w:r>
          </w:p>
        </w:tc>
        <w:tc>
          <w:tcPr>
            <w:tcW w:w="1740" w:type="dxa"/>
          </w:tcPr>
          <w:p>
            <w:pPr>
              <w:pStyle w:val="GesAbsatz"/>
              <w:rPr>
                <w:sz w:val="18"/>
                <w:szCs w:val="18"/>
              </w:rPr>
            </w:pPr>
            <w:r>
              <w:rPr>
                <w:sz w:val="18"/>
                <w:szCs w:val="18"/>
              </w:rPr>
              <w:t>200-753-7</w:t>
            </w:r>
          </w:p>
        </w:tc>
        <w:tc>
          <w:tcPr>
            <w:tcW w:w="3152" w:type="dxa"/>
          </w:tcPr>
          <w:p>
            <w:pPr>
              <w:pStyle w:val="GesAbsatz"/>
              <w:rPr>
                <w:sz w:val="18"/>
                <w:szCs w:val="18"/>
              </w:rPr>
            </w:pPr>
            <w:r>
              <w:rPr>
                <w:sz w:val="18"/>
                <w:szCs w:val="18"/>
              </w:rPr>
              <w:t>Benzol</w:t>
            </w:r>
          </w:p>
        </w:tc>
        <w:tc>
          <w:tcPr>
            <w:tcW w:w="1631" w:type="dxa"/>
          </w:tcPr>
          <w:p>
            <w:pPr>
              <w:pStyle w:val="GesAbsatz"/>
              <w:rPr>
                <w:sz w:val="18"/>
                <w:szCs w:val="18"/>
              </w:rPr>
            </w:pPr>
          </w:p>
        </w:tc>
      </w:tr>
      <w:tr>
        <w:tc>
          <w:tcPr>
            <w:tcW w:w="817" w:type="dxa"/>
          </w:tcPr>
          <w:p>
            <w:pPr>
              <w:pStyle w:val="GesAbsatz"/>
              <w:rPr>
                <w:sz w:val="18"/>
                <w:szCs w:val="18"/>
              </w:rPr>
            </w:pPr>
            <w:r>
              <w:rPr>
                <w:sz w:val="18"/>
                <w:szCs w:val="18"/>
              </w:rPr>
              <w:t>(5)</w:t>
            </w:r>
          </w:p>
        </w:tc>
        <w:tc>
          <w:tcPr>
            <w:tcW w:w="2338" w:type="dxa"/>
          </w:tcPr>
          <w:p>
            <w:pPr>
              <w:pStyle w:val="GesAbsatz"/>
              <w:rPr>
                <w:sz w:val="18"/>
                <w:szCs w:val="18"/>
              </w:rPr>
            </w:pPr>
            <w:r>
              <w:rPr>
                <w:sz w:val="18"/>
                <w:szCs w:val="18"/>
              </w:rPr>
              <w:t>nicht anwendbar</w:t>
            </w:r>
          </w:p>
        </w:tc>
        <w:tc>
          <w:tcPr>
            <w:tcW w:w="1740" w:type="dxa"/>
          </w:tcPr>
          <w:p>
            <w:pPr>
              <w:pStyle w:val="GesAbsatz"/>
              <w:rPr>
                <w:sz w:val="18"/>
                <w:szCs w:val="18"/>
              </w:rPr>
            </w:pPr>
            <w:r>
              <w:rPr>
                <w:sz w:val="18"/>
                <w:szCs w:val="18"/>
              </w:rPr>
              <w:t>nicht anwendbar</w:t>
            </w:r>
          </w:p>
        </w:tc>
        <w:tc>
          <w:tcPr>
            <w:tcW w:w="3152" w:type="dxa"/>
          </w:tcPr>
          <w:p>
            <w:pPr>
              <w:pStyle w:val="GesAbsatz"/>
              <w:rPr>
                <w:sz w:val="18"/>
                <w:szCs w:val="18"/>
              </w:rPr>
            </w:pPr>
            <w:r>
              <w:rPr>
                <w:sz w:val="18"/>
                <w:szCs w:val="18"/>
              </w:rPr>
              <w:t>Bromierte Diphenylether</w:t>
            </w:r>
          </w:p>
        </w:tc>
        <w:tc>
          <w:tcPr>
            <w:tcW w:w="1631" w:type="dxa"/>
          </w:tcPr>
          <w:p>
            <w:pPr>
              <w:pStyle w:val="GesAbsatz"/>
              <w:rPr>
                <w:sz w:val="18"/>
                <w:szCs w:val="18"/>
              </w:rPr>
            </w:pPr>
            <w:r>
              <w:rPr>
                <w:sz w:val="18"/>
                <w:szCs w:val="18"/>
              </w:rPr>
              <w:t>X (</w:t>
            </w:r>
            <w:r>
              <w:rPr>
                <w:sz w:val="18"/>
                <w:szCs w:val="18"/>
                <w:vertAlign w:val="superscript"/>
              </w:rPr>
              <w:t>4</w:t>
            </w:r>
            <w:r>
              <w:rPr>
                <w:sz w:val="18"/>
                <w:szCs w:val="18"/>
              </w:rPr>
              <w:t>)</w:t>
            </w:r>
          </w:p>
        </w:tc>
      </w:tr>
      <w:tr>
        <w:tc>
          <w:tcPr>
            <w:tcW w:w="817" w:type="dxa"/>
          </w:tcPr>
          <w:p>
            <w:pPr>
              <w:pStyle w:val="GesAbsatz"/>
              <w:rPr>
                <w:sz w:val="18"/>
                <w:szCs w:val="18"/>
              </w:rPr>
            </w:pPr>
            <w:r>
              <w:rPr>
                <w:sz w:val="18"/>
                <w:szCs w:val="18"/>
              </w:rPr>
              <w:t>(6)</w:t>
            </w:r>
          </w:p>
        </w:tc>
        <w:tc>
          <w:tcPr>
            <w:tcW w:w="2338" w:type="dxa"/>
          </w:tcPr>
          <w:p>
            <w:pPr>
              <w:pStyle w:val="GesAbsatz"/>
              <w:rPr>
                <w:sz w:val="18"/>
                <w:szCs w:val="18"/>
              </w:rPr>
            </w:pPr>
            <w:r>
              <w:rPr>
                <w:sz w:val="18"/>
                <w:szCs w:val="18"/>
              </w:rPr>
              <w:t>7440-43-9</w:t>
            </w:r>
          </w:p>
        </w:tc>
        <w:tc>
          <w:tcPr>
            <w:tcW w:w="1740" w:type="dxa"/>
          </w:tcPr>
          <w:p>
            <w:pPr>
              <w:pStyle w:val="GesAbsatz"/>
              <w:rPr>
                <w:sz w:val="18"/>
                <w:szCs w:val="18"/>
              </w:rPr>
            </w:pPr>
            <w:r>
              <w:rPr>
                <w:sz w:val="18"/>
                <w:szCs w:val="18"/>
              </w:rPr>
              <w:t>231-152-8</w:t>
            </w:r>
          </w:p>
        </w:tc>
        <w:tc>
          <w:tcPr>
            <w:tcW w:w="3152" w:type="dxa"/>
          </w:tcPr>
          <w:p>
            <w:pPr>
              <w:pStyle w:val="GesAbsatz"/>
              <w:rPr>
                <w:sz w:val="18"/>
                <w:szCs w:val="18"/>
              </w:rPr>
            </w:pPr>
            <w:r>
              <w:rPr>
                <w:sz w:val="18"/>
                <w:szCs w:val="18"/>
              </w:rPr>
              <w:t>Cadmium und Cadmiumverbindungen</w:t>
            </w:r>
          </w:p>
        </w:tc>
        <w:tc>
          <w:tcPr>
            <w:tcW w:w="1631" w:type="dxa"/>
          </w:tcPr>
          <w:p>
            <w:pPr>
              <w:pStyle w:val="GesAbsatz"/>
              <w:rPr>
                <w:sz w:val="18"/>
                <w:szCs w:val="18"/>
              </w:rPr>
            </w:pPr>
            <w:r>
              <w:rPr>
                <w:sz w:val="18"/>
                <w:szCs w:val="18"/>
              </w:rPr>
              <w:t>X</w:t>
            </w:r>
          </w:p>
        </w:tc>
      </w:tr>
      <w:tr>
        <w:tc>
          <w:tcPr>
            <w:tcW w:w="817" w:type="dxa"/>
          </w:tcPr>
          <w:p>
            <w:pPr>
              <w:pStyle w:val="GesAbsatz"/>
              <w:rPr>
                <w:sz w:val="18"/>
                <w:szCs w:val="18"/>
              </w:rPr>
            </w:pPr>
            <w:r>
              <w:rPr>
                <w:sz w:val="18"/>
                <w:szCs w:val="18"/>
              </w:rPr>
              <w:t>(7)</w:t>
            </w:r>
          </w:p>
        </w:tc>
        <w:tc>
          <w:tcPr>
            <w:tcW w:w="2338" w:type="dxa"/>
          </w:tcPr>
          <w:p>
            <w:pPr>
              <w:pStyle w:val="GesAbsatz"/>
              <w:rPr>
                <w:sz w:val="18"/>
                <w:szCs w:val="18"/>
              </w:rPr>
            </w:pPr>
            <w:r>
              <w:rPr>
                <w:sz w:val="18"/>
                <w:szCs w:val="18"/>
              </w:rPr>
              <w:t>85535-84-8</w:t>
            </w:r>
          </w:p>
        </w:tc>
        <w:tc>
          <w:tcPr>
            <w:tcW w:w="1740" w:type="dxa"/>
          </w:tcPr>
          <w:p>
            <w:pPr>
              <w:pStyle w:val="GesAbsatz"/>
              <w:rPr>
                <w:sz w:val="18"/>
                <w:szCs w:val="18"/>
              </w:rPr>
            </w:pPr>
            <w:r>
              <w:rPr>
                <w:sz w:val="18"/>
                <w:szCs w:val="18"/>
              </w:rPr>
              <w:t>287-476-5</w:t>
            </w:r>
          </w:p>
        </w:tc>
        <w:tc>
          <w:tcPr>
            <w:tcW w:w="3152" w:type="dxa"/>
          </w:tcPr>
          <w:p>
            <w:pPr>
              <w:pStyle w:val="GesAbsatz"/>
              <w:rPr>
                <w:sz w:val="18"/>
                <w:szCs w:val="18"/>
              </w:rPr>
            </w:pPr>
            <w:r>
              <w:rPr>
                <w:sz w:val="18"/>
                <w:szCs w:val="18"/>
              </w:rPr>
              <w:t>C 10-13 –Chloralkane</w:t>
            </w:r>
          </w:p>
        </w:tc>
        <w:tc>
          <w:tcPr>
            <w:tcW w:w="1631" w:type="dxa"/>
          </w:tcPr>
          <w:p>
            <w:pPr>
              <w:pStyle w:val="GesAbsatz"/>
              <w:rPr>
                <w:sz w:val="18"/>
                <w:szCs w:val="18"/>
              </w:rPr>
            </w:pPr>
            <w:r>
              <w:rPr>
                <w:sz w:val="18"/>
                <w:szCs w:val="18"/>
              </w:rPr>
              <w:t>X</w:t>
            </w:r>
          </w:p>
        </w:tc>
      </w:tr>
      <w:tr>
        <w:tc>
          <w:tcPr>
            <w:tcW w:w="817" w:type="dxa"/>
          </w:tcPr>
          <w:p>
            <w:pPr>
              <w:pStyle w:val="GesAbsatz"/>
              <w:rPr>
                <w:sz w:val="18"/>
                <w:szCs w:val="18"/>
              </w:rPr>
            </w:pPr>
            <w:r>
              <w:rPr>
                <w:sz w:val="18"/>
                <w:szCs w:val="18"/>
              </w:rPr>
              <w:t>(8)</w:t>
            </w:r>
          </w:p>
        </w:tc>
        <w:tc>
          <w:tcPr>
            <w:tcW w:w="2338" w:type="dxa"/>
          </w:tcPr>
          <w:p>
            <w:pPr>
              <w:pStyle w:val="GesAbsatz"/>
              <w:rPr>
                <w:sz w:val="18"/>
                <w:szCs w:val="18"/>
              </w:rPr>
            </w:pPr>
            <w:r>
              <w:rPr>
                <w:sz w:val="18"/>
                <w:szCs w:val="18"/>
              </w:rPr>
              <w:t>470-90-6</w:t>
            </w:r>
          </w:p>
        </w:tc>
        <w:tc>
          <w:tcPr>
            <w:tcW w:w="1740" w:type="dxa"/>
          </w:tcPr>
          <w:p>
            <w:pPr>
              <w:pStyle w:val="GesAbsatz"/>
              <w:rPr>
                <w:sz w:val="18"/>
                <w:szCs w:val="18"/>
              </w:rPr>
            </w:pPr>
            <w:r>
              <w:rPr>
                <w:sz w:val="18"/>
                <w:szCs w:val="18"/>
              </w:rPr>
              <w:t>207-432-0</w:t>
            </w:r>
          </w:p>
        </w:tc>
        <w:tc>
          <w:tcPr>
            <w:tcW w:w="3152" w:type="dxa"/>
          </w:tcPr>
          <w:p>
            <w:pPr>
              <w:pStyle w:val="GesAbsatz"/>
              <w:rPr>
                <w:sz w:val="18"/>
                <w:szCs w:val="18"/>
              </w:rPr>
            </w:pPr>
            <w:r>
              <w:rPr>
                <w:sz w:val="18"/>
                <w:szCs w:val="18"/>
              </w:rPr>
              <w:t>Chlorfenvinphos</w:t>
            </w:r>
          </w:p>
        </w:tc>
        <w:tc>
          <w:tcPr>
            <w:tcW w:w="1631" w:type="dxa"/>
          </w:tcPr>
          <w:p>
            <w:pPr>
              <w:pStyle w:val="GesAbsatz"/>
              <w:rPr>
                <w:sz w:val="18"/>
                <w:szCs w:val="18"/>
              </w:rPr>
            </w:pPr>
          </w:p>
        </w:tc>
      </w:tr>
      <w:tr>
        <w:tc>
          <w:tcPr>
            <w:tcW w:w="817" w:type="dxa"/>
          </w:tcPr>
          <w:p>
            <w:pPr>
              <w:pStyle w:val="GesAbsatz"/>
              <w:rPr>
                <w:sz w:val="18"/>
                <w:szCs w:val="18"/>
              </w:rPr>
            </w:pPr>
            <w:r>
              <w:rPr>
                <w:sz w:val="18"/>
                <w:szCs w:val="18"/>
              </w:rPr>
              <w:t>(9)</w:t>
            </w:r>
          </w:p>
        </w:tc>
        <w:tc>
          <w:tcPr>
            <w:tcW w:w="2338" w:type="dxa"/>
          </w:tcPr>
          <w:p>
            <w:pPr>
              <w:pStyle w:val="GesAbsatz"/>
              <w:rPr>
                <w:sz w:val="18"/>
                <w:szCs w:val="18"/>
              </w:rPr>
            </w:pPr>
            <w:r>
              <w:rPr>
                <w:sz w:val="18"/>
                <w:szCs w:val="18"/>
              </w:rPr>
              <w:t>2921-88-2</w:t>
            </w:r>
          </w:p>
        </w:tc>
        <w:tc>
          <w:tcPr>
            <w:tcW w:w="1740" w:type="dxa"/>
          </w:tcPr>
          <w:p>
            <w:pPr>
              <w:pStyle w:val="GesAbsatz"/>
              <w:rPr>
                <w:sz w:val="18"/>
                <w:szCs w:val="18"/>
              </w:rPr>
            </w:pPr>
            <w:r>
              <w:rPr>
                <w:sz w:val="18"/>
                <w:szCs w:val="18"/>
              </w:rPr>
              <w:t>220-864-4</w:t>
            </w:r>
          </w:p>
        </w:tc>
        <w:tc>
          <w:tcPr>
            <w:tcW w:w="3152" w:type="dxa"/>
          </w:tcPr>
          <w:p>
            <w:pPr>
              <w:pStyle w:val="GesAbsatz"/>
              <w:rPr>
                <w:sz w:val="18"/>
                <w:szCs w:val="18"/>
              </w:rPr>
            </w:pPr>
            <w:r>
              <w:rPr>
                <w:sz w:val="18"/>
                <w:szCs w:val="18"/>
              </w:rPr>
              <w:t>Chlorpyrifos (Chlorpyrifos-Ethyl)</w:t>
            </w:r>
          </w:p>
        </w:tc>
        <w:tc>
          <w:tcPr>
            <w:tcW w:w="1631" w:type="dxa"/>
          </w:tcPr>
          <w:p>
            <w:pPr>
              <w:pStyle w:val="GesAbsatz"/>
              <w:rPr>
                <w:sz w:val="18"/>
                <w:szCs w:val="18"/>
              </w:rPr>
            </w:pPr>
          </w:p>
        </w:tc>
      </w:tr>
      <w:tr>
        <w:tc>
          <w:tcPr>
            <w:tcW w:w="817" w:type="dxa"/>
          </w:tcPr>
          <w:p>
            <w:pPr>
              <w:pStyle w:val="GesAbsatz"/>
              <w:rPr>
                <w:sz w:val="18"/>
                <w:szCs w:val="18"/>
              </w:rPr>
            </w:pPr>
            <w:r>
              <w:rPr>
                <w:sz w:val="18"/>
                <w:szCs w:val="18"/>
              </w:rPr>
              <w:t>(10)</w:t>
            </w:r>
          </w:p>
        </w:tc>
        <w:tc>
          <w:tcPr>
            <w:tcW w:w="2338" w:type="dxa"/>
          </w:tcPr>
          <w:p>
            <w:pPr>
              <w:pStyle w:val="GesAbsatz"/>
              <w:rPr>
                <w:sz w:val="18"/>
                <w:szCs w:val="18"/>
              </w:rPr>
            </w:pPr>
            <w:r>
              <w:rPr>
                <w:sz w:val="18"/>
                <w:szCs w:val="18"/>
              </w:rPr>
              <w:t>107-06-2</w:t>
            </w:r>
          </w:p>
        </w:tc>
        <w:tc>
          <w:tcPr>
            <w:tcW w:w="1740" w:type="dxa"/>
          </w:tcPr>
          <w:p>
            <w:pPr>
              <w:pStyle w:val="GesAbsatz"/>
              <w:rPr>
                <w:sz w:val="18"/>
                <w:szCs w:val="18"/>
              </w:rPr>
            </w:pPr>
            <w:r>
              <w:rPr>
                <w:sz w:val="18"/>
                <w:szCs w:val="18"/>
              </w:rPr>
              <w:t>203-458-1</w:t>
            </w:r>
          </w:p>
        </w:tc>
        <w:tc>
          <w:tcPr>
            <w:tcW w:w="3152" w:type="dxa"/>
          </w:tcPr>
          <w:p>
            <w:pPr>
              <w:pStyle w:val="GesAbsatz"/>
              <w:rPr>
                <w:sz w:val="18"/>
                <w:szCs w:val="18"/>
              </w:rPr>
            </w:pPr>
            <w:r>
              <w:rPr>
                <w:sz w:val="18"/>
                <w:szCs w:val="18"/>
              </w:rPr>
              <w:t>1,2-Dichlorethan</w:t>
            </w:r>
          </w:p>
        </w:tc>
        <w:tc>
          <w:tcPr>
            <w:tcW w:w="1631" w:type="dxa"/>
          </w:tcPr>
          <w:p>
            <w:pPr>
              <w:pStyle w:val="GesAbsatz"/>
              <w:rPr>
                <w:sz w:val="18"/>
                <w:szCs w:val="18"/>
              </w:rPr>
            </w:pPr>
          </w:p>
        </w:tc>
      </w:tr>
      <w:tr>
        <w:tc>
          <w:tcPr>
            <w:tcW w:w="817" w:type="dxa"/>
          </w:tcPr>
          <w:p>
            <w:pPr>
              <w:pStyle w:val="GesAbsatz"/>
              <w:rPr>
                <w:sz w:val="18"/>
                <w:szCs w:val="18"/>
              </w:rPr>
            </w:pPr>
            <w:r>
              <w:rPr>
                <w:sz w:val="18"/>
                <w:szCs w:val="18"/>
              </w:rPr>
              <w:t>(11)</w:t>
            </w:r>
          </w:p>
        </w:tc>
        <w:tc>
          <w:tcPr>
            <w:tcW w:w="2338" w:type="dxa"/>
          </w:tcPr>
          <w:p>
            <w:pPr>
              <w:pStyle w:val="GesAbsatz"/>
              <w:rPr>
                <w:sz w:val="18"/>
                <w:szCs w:val="18"/>
              </w:rPr>
            </w:pPr>
            <w:r>
              <w:rPr>
                <w:sz w:val="18"/>
                <w:szCs w:val="18"/>
              </w:rPr>
              <w:t>75-09-2</w:t>
            </w:r>
          </w:p>
        </w:tc>
        <w:tc>
          <w:tcPr>
            <w:tcW w:w="1740" w:type="dxa"/>
          </w:tcPr>
          <w:p>
            <w:pPr>
              <w:pStyle w:val="GesAbsatz"/>
              <w:rPr>
                <w:sz w:val="18"/>
                <w:szCs w:val="18"/>
              </w:rPr>
            </w:pPr>
            <w:r>
              <w:rPr>
                <w:sz w:val="18"/>
                <w:szCs w:val="18"/>
              </w:rPr>
              <w:t>200-838-9</w:t>
            </w:r>
          </w:p>
        </w:tc>
        <w:tc>
          <w:tcPr>
            <w:tcW w:w="3152" w:type="dxa"/>
          </w:tcPr>
          <w:p>
            <w:pPr>
              <w:pStyle w:val="GesAbsatz"/>
              <w:rPr>
                <w:sz w:val="18"/>
                <w:szCs w:val="18"/>
              </w:rPr>
            </w:pPr>
            <w:r>
              <w:rPr>
                <w:sz w:val="18"/>
                <w:szCs w:val="18"/>
              </w:rPr>
              <w:t>Dichlormethan</w:t>
            </w:r>
          </w:p>
        </w:tc>
        <w:tc>
          <w:tcPr>
            <w:tcW w:w="1631" w:type="dxa"/>
          </w:tcPr>
          <w:p>
            <w:pPr>
              <w:pStyle w:val="GesAbsatz"/>
              <w:rPr>
                <w:sz w:val="18"/>
                <w:szCs w:val="18"/>
              </w:rPr>
            </w:pPr>
          </w:p>
        </w:tc>
      </w:tr>
      <w:tr>
        <w:tc>
          <w:tcPr>
            <w:tcW w:w="817" w:type="dxa"/>
          </w:tcPr>
          <w:p>
            <w:pPr>
              <w:pStyle w:val="GesAbsatz"/>
              <w:rPr>
                <w:sz w:val="18"/>
                <w:szCs w:val="18"/>
              </w:rPr>
            </w:pPr>
            <w:r>
              <w:rPr>
                <w:sz w:val="18"/>
                <w:szCs w:val="18"/>
              </w:rPr>
              <w:t>(12)</w:t>
            </w:r>
          </w:p>
        </w:tc>
        <w:tc>
          <w:tcPr>
            <w:tcW w:w="2338" w:type="dxa"/>
          </w:tcPr>
          <w:p>
            <w:pPr>
              <w:pStyle w:val="GesAbsatz"/>
              <w:rPr>
                <w:sz w:val="18"/>
                <w:szCs w:val="18"/>
              </w:rPr>
            </w:pPr>
            <w:r>
              <w:rPr>
                <w:sz w:val="18"/>
                <w:szCs w:val="18"/>
              </w:rPr>
              <w:t>117-81-7</w:t>
            </w:r>
          </w:p>
        </w:tc>
        <w:tc>
          <w:tcPr>
            <w:tcW w:w="1740" w:type="dxa"/>
          </w:tcPr>
          <w:p>
            <w:pPr>
              <w:pStyle w:val="GesAbsatz"/>
              <w:rPr>
                <w:sz w:val="18"/>
                <w:szCs w:val="18"/>
              </w:rPr>
            </w:pPr>
            <w:r>
              <w:rPr>
                <w:sz w:val="18"/>
                <w:szCs w:val="18"/>
              </w:rPr>
              <w:t>204-211-0</w:t>
            </w:r>
          </w:p>
        </w:tc>
        <w:tc>
          <w:tcPr>
            <w:tcW w:w="3152" w:type="dxa"/>
          </w:tcPr>
          <w:p>
            <w:pPr>
              <w:pStyle w:val="GesAbsatz"/>
              <w:rPr>
                <w:sz w:val="18"/>
                <w:szCs w:val="18"/>
              </w:rPr>
            </w:pPr>
            <w:r>
              <w:rPr>
                <w:sz w:val="18"/>
                <w:szCs w:val="18"/>
              </w:rPr>
              <w:t>Bis(2-ethylhexyl)phthalat (DEHP)</w:t>
            </w:r>
          </w:p>
        </w:tc>
        <w:tc>
          <w:tcPr>
            <w:tcW w:w="1631" w:type="dxa"/>
          </w:tcPr>
          <w:p>
            <w:pPr>
              <w:pStyle w:val="GesAbsatz"/>
              <w:rPr>
                <w:sz w:val="18"/>
                <w:szCs w:val="18"/>
              </w:rPr>
            </w:pPr>
            <w:r>
              <w:rPr>
                <w:sz w:val="18"/>
                <w:szCs w:val="18"/>
              </w:rPr>
              <w:t>X</w:t>
            </w:r>
          </w:p>
        </w:tc>
      </w:tr>
      <w:tr>
        <w:tc>
          <w:tcPr>
            <w:tcW w:w="817" w:type="dxa"/>
          </w:tcPr>
          <w:p>
            <w:pPr>
              <w:pStyle w:val="GesAbsatz"/>
              <w:rPr>
                <w:sz w:val="18"/>
                <w:szCs w:val="18"/>
              </w:rPr>
            </w:pPr>
            <w:r>
              <w:rPr>
                <w:sz w:val="18"/>
                <w:szCs w:val="18"/>
              </w:rPr>
              <w:t>(13)</w:t>
            </w:r>
          </w:p>
        </w:tc>
        <w:tc>
          <w:tcPr>
            <w:tcW w:w="2338" w:type="dxa"/>
          </w:tcPr>
          <w:p>
            <w:pPr>
              <w:pStyle w:val="GesAbsatz"/>
              <w:rPr>
                <w:sz w:val="18"/>
                <w:szCs w:val="18"/>
              </w:rPr>
            </w:pPr>
            <w:r>
              <w:rPr>
                <w:sz w:val="18"/>
                <w:szCs w:val="18"/>
              </w:rPr>
              <w:t>330-54-1</w:t>
            </w:r>
          </w:p>
        </w:tc>
        <w:tc>
          <w:tcPr>
            <w:tcW w:w="1740" w:type="dxa"/>
          </w:tcPr>
          <w:p>
            <w:pPr>
              <w:pStyle w:val="GesAbsatz"/>
              <w:rPr>
                <w:sz w:val="18"/>
                <w:szCs w:val="18"/>
              </w:rPr>
            </w:pPr>
            <w:r>
              <w:rPr>
                <w:sz w:val="18"/>
                <w:szCs w:val="18"/>
              </w:rPr>
              <w:t>206-354-4</w:t>
            </w:r>
          </w:p>
        </w:tc>
        <w:tc>
          <w:tcPr>
            <w:tcW w:w="3152" w:type="dxa"/>
          </w:tcPr>
          <w:p>
            <w:pPr>
              <w:pStyle w:val="GesAbsatz"/>
              <w:rPr>
                <w:sz w:val="18"/>
                <w:szCs w:val="18"/>
              </w:rPr>
            </w:pPr>
            <w:r>
              <w:rPr>
                <w:sz w:val="18"/>
                <w:szCs w:val="18"/>
              </w:rPr>
              <w:t>Diuron</w:t>
            </w:r>
          </w:p>
        </w:tc>
        <w:tc>
          <w:tcPr>
            <w:tcW w:w="1631" w:type="dxa"/>
          </w:tcPr>
          <w:p>
            <w:pPr>
              <w:pStyle w:val="GesAbsatz"/>
              <w:rPr>
                <w:sz w:val="18"/>
                <w:szCs w:val="18"/>
              </w:rPr>
            </w:pPr>
          </w:p>
        </w:tc>
      </w:tr>
      <w:tr>
        <w:tc>
          <w:tcPr>
            <w:tcW w:w="817" w:type="dxa"/>
          </w:tcPr>
          <w:p>
            <w:pPr>
              <w:pStyle w:val="GesAbsatz"/>
              <w:rPr>
                <w:sz w:val="18"/>
                <w:szCs w:val="18"/>
              </w:rPr>
            </w:pPr>
            <w:r>
              <w:rPr>
                <w:sz w:val="18"/>
                <w:szCs w:val="18"/>
              </w:rPr>
              <w:t>(14)</w:t>
            </w:r>
          </w:p>
        </w:tc>
        <w:tc>
          <w:tcPr>
            <w:tcW w:w="2338" w:type="dxa"/>
          </w:tcPr>
          <w:p>
            <w:pPr>
              <w:pStyle w:val="GesAbsatz"/>
              <w:rPr>
                <w:sz w:val="18"/>
                <w:szCs w:val="18"/>
              </w:rPr>
            </w:pPr>
            <w:r>
              <w:rPr>
                <w:sz w:val="18"/>
                <w:szCs w:val="18"/>
              </w:rPr>
              <w:t>115-29-7</w:t>
            </w:r>
          </w:p>
        </w:tc>
        <w:tc>
          <w:tcPr>
            <w:tcW w:w="1740" w:type="dxa"/>
          </w:tcPr>
          <w:p>
            <w:pPr>
              <w:pStyle w:val="GesAbsatz"/>
              <w:rPr>
                <w:sz w:val="18"/>
                <w:szCs w:val="18"/>
              </w:rPr>
            </w:pPr>
            <w:r>
              <w:rPr>
                <w:sz w:val="18"/>
                <w:szCs w:val="18"/>
              </w:rPr>
              <w:t>204-079-4</w:t>
            </w:r>
          </w:p>
        </w:tc>
        <w:tc>
          <w:tcPr>
            <w:tcW w:w="3152" w:type="dxa"/>
          </w:tcPr>
          <w:p>
            <w:pPr>
              <w:pStyle w:val="GesAbsatz"/>
              <w:rPr>
                <w:sz w:val="18"/>
                <w:szCs w:val="18"/>
              </w:rPr>
            </w:pPr>
            <w:r>
              <w:rPr>
                <w:sz w:val="18"/>
                <w:szCs w:val="18"/>
              </w:rPr>
              <w:t>Endosulfan</w:t>
            </w:r>
          </w:p>
        </w:tc>
        <w:tc>
          <w:tcPr>
            <w:tcW w:w="1631" w:type="dxa"/>
          </w:tcPr>
          <w:p>
            <w:pPr>
              <w:pStyle w:val="GesAbsatz"/>
              <w:rPr>
                <w:sz w:val="18"/>
                <w:szCs w:val="18"/>
              </w:rPr>
            </w:pPr>
            <w:r>
              <w:rPr>
                <w:sz w:val="18"/>
                <w:szCs w:val="18"/>
              </w:rPr>
              <w:t>X</w:t>
            </w:r>
          </w:p>
        </w:tc>
      </w:tr>
      <w:tr>
        <w:tc>
          <w:tcPr>
            <w:tcW w:w="817" w:type="dxa"/>
          </w:tcPr>
          <w:p>
            <w:pPr>
              <w:pStyle w:val="GesAbsatz"/>
              <w:rPr>
                <w:sz w:val="18"/>
                <w:szCs w:val="18"/>
              </w:rPr>
            </w:pPr>
            <w:r>
              <w:rPr>
                <w:sz w:val="18"/>
                <w:szCs w:val="18"/>
              </w:rPr>
              <w:t>(15)</w:t>
            </w:r>
          </w:p>
        </w:tc>
        <w:tc>
          <w:tcPr>
            <w:tcW w:w="2338" w:type="dxa"/>
          </w:tcPr>
          <w:p>
            <w:pPr>
              <w:pStyle w:val="GesAbsatz"/>
              <w:rPr>
                <w:sz w:val="18"/>
                <w:szCs w:val="18"/>
              </w:rPr>
            </w:pPr>
            <w:r>
              <w:rPr>
                <w:sz w:val="18"/>
                <w:szCs w:val="18"/>
              </w:rPr>
              <w:t>206-44-0</w:t>
            </w:r>
          </w:p>
        </w:tc>
        <w:tc>
          <w:tcPr>
            <w:tcW w:w="1740" w:type="dxa"/>
          </w:tcPr>
          <w:p>
            <w:pPr>
              <w:pStyle w:val="GesAbsatz"/>
              <w:rPr>
                <w:sz w:val="18"/>
                <w:szCs w:val="18"/>
              </w:rPr>
            </w:pPr>
            <w:r>
              <w:rPr>
                <w:sz w:val="18"/>
                <w:szCs w:val="18"/>
              </w:rPr>
              <w:t>205-912-4</w:t>
            </w:r>
          </w:p>
        </w:tc>
        <w:tc>
          <w:tcPr>
            <w:tcW w:w="3152" w:type="dxa"/>
          </w:tcPr>
          <w:p>
            <w:pPr>
              <w:pStyle w:val="GesAbsatz"/>
              <w:rPr>
                <w:sz w:val="18"/>
                <w:szCs w:val="18"/>
              </w:rPr>
            </w:pPr>
            <w:r>
              <w:rPr>
                <w:sz w:val="18"/>
                <w:szCs w:val="18"/>
              </w:rPr>
              <w:t>Fluoranthen</w:t>
            </w:r>
          </w:p>
        </w:tc>
        <w:tc>
          <w:tcPr>
            <w:tcW w:w="1631" w:type="dxa"/>
          </w:tcPr>
          <w:p>
            <w:pPr>
              <w:pStyle w:val="GesAbsatz"/>
              <w:rPr>
                <w:sz w:val="18"/>
                <w:szCs w:val="18"/>
              </w:rPr>
            </w:pPr>
          </w:p>
        </w:tc>
      </w:tr>
      <w:tr>
        <w:tc>
          <w:tcPr>
            <w:tcW w:w="817" w:type="dxa"/>
          </w:tcPr>
          <w:p>
            <w:pPr>
              <w:pStyle w:val="GesAbsatz"/>
              <w:rPr>
                <w:sz w:val="18"/>
                <w:szCs w:val="18"/>
              </w:rPr>
            </w:pPr>
            <w:r>
              <w:rPr>
                <w:sz w:val="18"/>
                <w:szCs w:val="18"/>
              </w:rPr>
              <w:t>(16)</w:t>
            </w:r>
          </w:p>
        </w:tc>
        <w:tc>
          <w:tcPr>
            <w:tcW w:w="2338" w:type="dxa"/>
          </w:tcPr>
          <w:p>
            <w:pPr>
              <w:pStyle w:val="GesAbsatz"/>
              <w:rPr>
                <w:sz w:val="18"/>
                <w:szCs w:val="18"/>
              </w:rPr>
            </w:pPr>
            <w:r>
              <w:rPr>
                <w:sz w:val="18"/>
                <w:szCs w:val="18"/>
              </w:rPr>
              <w:t>118-74-1</w:t>
            </w:r>
          </w:p>
        </w:tc>
        <w:tc>
          <w:tcPr>
            <w:tcW w:w="1740" w:type="dxa"/>
          </w:tcPr>
          <w:p>
            <w:pPr>
              <w:pStyle w:val="GesAbsatz"/>
              <w:rPr>
                <w:sz w:val="18"/>
                <w:szCs w:val="18"/>
              </w:rPr>
            </w:pPr>
            <w:r>
              <w:rPr>
                <w:sz w:val="18"/>
                <w:szCs w:val="18"/>
              </w:rPr>
              <w:t>204-273-9</w:t>
            </w:r>
          </w:p>
        </w:tc>
        <w:tc>
          <w:tcPr>
            <w:tcW w:w="3152" w:type="dxa"/>
          </w:tcPr>
          <w:p>
            <w:pPr>
              <w:pStyle w:val="GesAbsatz"/>
              <w:rPr>
                <w:sz w:val="18"/>
                <w:szCs w:val="18"/>
              </w:rPr>
            </w:pPr>
            <w:r>
              <w:rPr>
                <w:sz w:val="18"/>
                <w:szCs w:val="18"/>
              </w:rPr>
              <w:t>Hexachlorbenzol</w:t>
            </w:r>
          </w:p>
        </w:tc>
        <w:tc>
          <w:tcPr>
            <w:tcW w:w="1631" w:type="dxa"/>
          </w:tcPr>
          <w:p>
            <w:pPr>
              <w:pStyle w:val="GesAbsatz"/>
              <w:rPr>
                <w:sz w:val="18"/>
                <w:szCs w:val="18"/>
              </w:rPr>
            </w:pPr>
            <w:r>
              <w:rPr>
                <w:sz w:val="18"/>
                <w:szCs w:val="18"/>
              </w:rPr>
              <w:t>X</w:t>
            </w:r>
          </w:p>
        </w:tc>
      </w:tr>
      <w:tr>
        <w:tc>
          <w:tcPr>
            <w:tcW w:w="817" w:type="dxa"/>
          </w:tcPr>
          <w:p>
            <w:pPr>
              <w:pStyle w:val="GesAbsatz"/>
              <w:rPr>
                <w:sz w:val="18"/>
                <w:szCs w:val="18"/>
              </w:rPr>
            </w:pPr>
            <w:r>
              <w:rPr>
                <w:sz w:val="18"/>
                <w:szCs w:val="18"/>
              </w:rPr>
              <w:t>(17)</w:t>
            </w:r>
          </w:p>
        </w:tc>
        <w:tc>
          <w:tcPr>
            <w:tcW w:w="2338" w:type="dxa"/>
          </w:tcPr>
          <w:p>
            <w:pPr>
              <w:pStyle w:val="GesAbsatz"/>
              <w:rPr>
                <w:sz w:val="18"/>
                <w:szCs w:val="18"/>
              </w:rPr>
            </w:pPr>
            <w:r>
              <w:rPr>
                <w:sz w:val="18"/>
                <w:szCs w:val="18"/>
              </w:rPr>
              <w:t>87-68-3</w:t>
            </w:r>
          </w:p>
        </w:tc>
        <w:tc>
          <w:tcPr>
            <w:tcW w:w="1740" w:type="dxa"/>
          </w:tcPr>
          <w:p>
            <w:pPr>
              <w:pStyle w:val="GesAbsatz"/>
              <w:rPr>
                <w:sz w:val="18"/>
                <w:szCs w:val="18"/>
              </w:rPr>
            </w:pPr>
            <w:r>
              <w:rPr>
                <w:sz w:val="18"/>
                <w:szCs w:val="18"/>
              </w:rPr>
              <w:t>201-765-5</w:t>
            </w:r>
          </w:p>
        </w:tc>
        <w:tc>
          <w:tcPr>
            <w:tcW w:w="3152" w:type="dxa"/>
          </w:tcPr>
          <w:p>
            <w:pPr>
              <w:pStyle w:val="GesAbsatz"/>
              <w:rPr>
                <w:sz w:val="18"/>
                <w:szCs w:val="18"/>
              </w:rPr>
            </w:pPr>
            <w:r>
              <w:rPr>
                <w:sz w:val="18"/>
                <w:szCs w:val="18"/>
              </w:rPr>
              <w:t>Hexachlorobutadien</w:t>
            </w:r>
          </w:p>
        </w:tc>
        <w:tc>
          <w:tcPr>
            <w:tcW w:w="1631" w:type="dxa"/>
          </w:tcPr>
          <w:p>
            <w:pPr>
              <w:pStyle w:val="GesAbsatz"/>
              <w:rPr>
                <w:sz w:val="18"/>
                <w:szCs w:val="18"/>
              </w:rPr>
            </w:pPr>
            <w:r>
              <w:rPr>
                <w:sz w:val="18"/>
                <w:szCs w:val="18"/>
              </w:rPr>
              <w:t>X</w:t>
            </w:r>
          </w:p>
        </w:tc>
      </w:tr>
      <w:tr>
        <w:tc>
          <w:tcPr>
            <w:tcW w:w="817" w:type="dxa"/>
          </w:tcPr>
          <w:p>
            <w:pPr>
              <w:pStyle w:val="GesAbsatz"/>
              <w:rPr>
                <w:sz w:val="18"/>
                <w:szCs w:val="18"/>
              </w:rPr>
            </w:pPr>
            <w:r>
              <w:rPr>
                <w:sz w:val="18"/>
                <w:szCs w:val="18"/>
              </w:rPr>
              <w:t>(18)</w:t>
            </w:r>
          </w:p>
        </w:tc>
        <w:tc>
          <w:tcPr>
            <w:tcW w:w="2338" w:type="dxa"/>
          </w:tcPr>
          <w:p>
            <w:pPr>
              <w:pStyle w:val="GesAbsatz"/>
              <w:rPr>
                <w:sz w:val="18"/>
                <w:szCs w:val="18"/>
              </w:rPr>
            </w:pPr>
            <w:r>
              <w:rPr>
                <w:sz w:val="18"/>
                <w:szCs w:val="18"/>
              </w:rPr>
              <w:t>608-73-1</w:t>
            </w:r>
          </w:p>
        </w:tc>
        <w:tc>
          <w:tcPr>
            <w:tcW w:w="1740" w:type="dxa"/>
          </w:tcPr>
          <w:p>
            <w:pPr>
              <w:pStyle w:val="GesAbsatz"/>
              <w:rPr>
                <w:sz w:val="18"/>
                <w:szCs w:val="18"/>
              </w:rPr>
            </w:pPr>
            <w:r>
              <w:rPr>
                <w:sz w:val="18"/>
                <w:szCs w:val="18"/>
              </w:rPr>
              <w:t>210-168-9</w:t>
            </w:r>
          </w:p>
        </w:tc>
        <w:tc>
          <w:tcPr>
            <w:tcW w:w="3152" w:type="dxa"/>
          </w:tcPr>
          <w:p>
            <w:pPr>
              <w:pStyle w:val="GesAbsatz"/>
              <w:rPr>
                <w:sz w:val="18"/>
                <w:szCs w:val="18"/>
              </w:rPr>
            </w:pPr>
            <w:r>
              <w:rPr>
                <w:sz w:val="18"/>
                <w:szCs w:val="18"/>
              </w:rPr>
              <w:t>Hexachlorocyclohexan</w:t>
            </w:r>
          </w:p>
        </w:tc>
        <w:tc>
          <w:tcPr>
            <w:tcW w:w="1631" w:type="dxa"/>
          </w:tcPr>
          <w:p>
            <w:pPr>
              <w:pStyle w:val="GesAbsatz"/>
              <w:rPr>
                <w:sz w:val="18"/>
                <w:szCs w:val="18"/>
              </w:rPr>
            </w:pPr>
            <w:r>
              <w:rPr>
                <w:sz w:val="18"/>
                <w:szCs w:val="18"/>
              </w:rPr>
              <w:t>X</w:t>
            </w:r>
          </w:p>
        </w:tc>
      </w:tr>
      <w:tr>
        <w:tc>
          <w:tcPr>
            <w:tcW w:w="817" w:type="dxa"/>
          </w:tcPr>
          <w:p>
            <w:pPr>
              <w:pStyle w:val="GesAbsatz"/>
              <w:rPr>
                <w:sz w:val="18"/>
                <w:szCs w:val="18"/>
              </w:rPr>
            </w:pPr>
            <w:r>
              <w:rPr>
                <w:sz w:val="18"/>
                <w:szCs w:val="18"/>
              </w:rPr>
              <w:t>(19)</w:t>
            </w:r>
          </w:p>
        </w:tc>
        <w:tc>
          <w:tcPr>
            <w:tcW w:w="2338" w:type="dxa"/>
          </w:tcPr>
          <w:p>
            <w:pPr>
              <w:pStyle w:val="GesAbsatz"/>
              <w:rPr>
                <w:sz w:val="18"/>
                <w:szCs w:val="18"/>
              </w:rPr>
            </w:pPr>
            <w:r>
              <w:rPr>
                <w:sz w:val="18"/>
                <w:szCs w:val="18"/>
              </w:rPr>
              <w:t>34123-59-6</w:t>
            </w:r>
          </w:p>
        </w:tc>
        <w:tc>
          <w:tcPr>
            <w:tcW w:w="1740" w:type="dxa"/>
          </w:tcPr>
          <w:p>
            <w:pPr>
              <w:pStyle w:val="GesAbsatz"/>
              <w:rPr>
                <w:sz w:val="18"/>
                <w:szCs w:val="18"/>
              </w:rPr>
            </w:pPr>
            <w:r>
              <w:rPr>
                <w:sz w:val="18"/>
                <w:szCs w:val="18"/>
              </w:rPr>
              <w:t>251-835-4</w:t>
            </w:r>
          </w:p>
        </w:tc>
        <w:tc>
          <w:tcPr>
            <w:tcW w:w="3152" w:type="dxa"/>
          </w:tcPr>
          <w:p>
            <w:pPr>
              <w:pStyle w:val="GesAbsatz"/>
              <w:rPr>
                <w:sz w:val="18"/>
                <w:szCs w:val="18"/>
              </w:rPr>
            </w:pPr>
            <w:r>
              <w:rPr>
                <w:sz w:val="18"/>
                <w:szCs w:val="18"/>
              </w:rPr>
              <w:t>Isoproturon</w:t>
            </w:r>
          </w:p>
        </w:tc>
        <w:tc>
          <w:tcPr>
            <w:tcW w:w="1631" w:type="dxa"/>
          </w:tcPr>
          <w:p>
            <w:pPr>
              <w:pStyle w:val="GesAbsatz"/>
              <w:rPr>
                <w:sz w:val="18"/>
                <w:szCs w:val="18"/>
              </w:rPr>
            </w:pPr>
          </w:p>
        </w:tc>
      </w:tr>
      <w:tr>
        <w:tc>
          <w:tcPr>
            <w:tcW w:w="817" w:type="dxa"/>
          </w:tcPr>
          <w:p>
            <w:pPr>
              <w:pStyle w:val="GesAbsatz"/>
              <w:rPr>
                <w:sz w:val="18"/>
                <w:szCs w:val="18"/>
              </w:rPr>
            </w:pPr>
            <w:r>
              <w:rPr>
                <w:sz w:val="18"/>
                <w:szCs w:val="18"/>
              </w:rPr>
              <w:t>(20)</w:t>
            </w:r>
          </w:p>
        </w:tc>
        <w:tc>
          <w:tcPr>
            <w:tcW w:w="2338" w:type="dxa"/>
          </w:tcPr>
          <w:p>
            <w:pPr>
              <w:pStyle w:val="GesAbsatz"/>
              <w:rPr>
                <w:sz w:val="18"/>
                <w:szCs w:val="18"/>
              </w:rPr>
            </w:pPr>
            <w:r>
              <w:rPr>
                <w:sz w:val="18"/>
                <w:szCs w:val="18"/>
              </w:rPr>
              <w:t>7439-92-1</w:t>
            </w:r>
          </w:p>
        </w:tc>
        <w:tc>
          <w:tcPr>
            <w:tcW w:w="1740" w:type="dxa"/>
          </w:tcPr>
          <w:p>
            <w:pPr>
              <w:pStyle w:val="GesAbsatz"/>
              <w:rPr>
                <w:sz w:val="18"/>
                <w:szCs w:val="18"/>
              </w:rPr>
            </w:pPr>
            <w:r>
              <w:rPr>
                <w:sz w:val="18"/>
                <w:szCs w:val="18"/>
              </w:rPr>
              <w:t>231-100-4</w:t>
            </w:r>
          </w:p>
        </w:tc>
        <w:tc>
          <w:tcPr>
            <w:tcW w:w="3152" w:type="dxa"/>
          </w:tcPr>
          <w:p>
            <w:pPr>
              <w:pStyle w:val="GesAbsatz"/>
              <w:rPr>
                <w:sz w:val="18"/>
                <w:szCs w:val="18"/>
              </w:rPr>
            </w:pPr>
            <w:r>
              <w:rPr>
                <w:sz w:val="18"/>
                <w:szCs w:val="18"/>
              </w:rPr>
              <w:t>Blei und Bleiverbindungen</w:t>
            </w:r>
          </w:p>
        </w:tc>
        <w:tc>
          <w:tcPr>
            <w:tcW w:w="1631" w:type="dxa"/>
          </w:tcPr>
          <w:p>
            <w:pPr>
              <w:pStyle w:val="GesAbsatz"/>
              <w:rPr>
                <w:sz w:val="18"/>
                <w:szCs w:val="18"/>
              </w:rPr>
            </w:pPr>
          </w:p>
        </w:tc>
      </w:tr>
      <w:tr>
        <w:tc>
          <w:tcPr>
            <w:tcW w:w="817" w:type="dxa"/>
          </w:tcPr>
          <w:p>
            <w:pPr>
              <w:pStyle w:val="GesAbsatz"/>
              <w:rPr>
                <w:sz w:val="18"/>
                <w:szCs w:val="18"/>
              </w:rPr>
            </w:pPr>
            <w:r>
              <w:rPr>
                <w:sz w:val="18"/>
                <w:szCs w:val="18"/>
              </w:rPr>
              <w:t>(21)</w:t>
            </w:r>
          </w:p>
        </w:tc>
        <w:tc>
          <w:tcPr>
            <w:tcW w:w="2338" w:type="dxa"/>
          </w:tcPr>
          <w:p>
            <w:pPr>
              <w:pStyle w:val="GesAbsatz"/>
              <w:rPr>
                <w:sz w:val="18"/>
                <w:szCs w:val="18"/>
              </w:rPr>
            </w:pPr>
            <w:r>
              <w:rPr>
                <w:sz w:val="18"/>
                <w:szCs w:val="18"/>
              </w:rPr>
              <w:t>7439-97-6</w:t>
            </w:r>
          </w:p>
        </w:tc>
        <w:tc>
          <w:tcPr>
            <w:tcW w:w="1740" w:type="dxa"/>
          </w:tcPr>
          <w:p>
            <w:pPr>
              <w:pStyle w:val="GesAbsatz"/>
              <w:rPr>
                <w:sz w:val="18"/>
                <w:szCs w:val="18"/>
              </w:rPr>
            </w:pPr>
            <w:r>
              <w:rPr>
                <w:sz w:val="18"/>
                <w:szCs w:val="18"/>
              </w:rPr>
              <w:t>231-106-7</w:t>
            </w:r>
          </w:p>
        </w:tc>
        <w:tc>
          <w:tcPr>
            <w:tcW w:w="3152" w:type="dxa"/>
          </w:tcPr>
          <w:p>
            <w:pPr>
              <w:pStyle w:val="GesAbsatz"/>
              <w:rPr>
                <w:sz w:val="18"/>
                <w:szCs w:val="18"/>
              </w:rPr>
            </w:pPr>
            <w:r>
              <w:rPr>
                <w:sz w:val="18"/>
                <w:szCs w:val="18"/>
              </w:rPr>
              <w:t>Quecksilber und Quecksilberverbindungen</w:t>
            </w:r>
          </w:p>
        </w:tc>
        <w:tc>
          <w:tcPr>
            <w:tcW w:w="1631" w:type="dxa"/>
          </w:tcPr>
          <w:p>
            <w:pPr>
              <w:pStyle w:val="GesAbsatz"/>
              <w:rPr>
                <w:sz w:val="18"/>
                <w:szCs w:val="18"/>
              </w:rPr>
            </w:pPr>
            <w:r>
              <w:rPr>
                <w:sz w:val="18"/>
                <w:szCs w:val="18"/>
              </w:rPr>
              <w:t>X</w:t>
            </w:r>
          </w:p>
        </w:tc>
      </w:tr>
      <w:tr>
        <w:tc>
          <w:tcPr>
            <w:tcW w:w="817" w:type="dxa"/>
          </w:tcPr>
          <w:p>
            <w:pPr>
              <w:pStyle w:val="GesAbsatz"/>
              <w:rPr>
                <w:sz w:val="18"/>
                <w:szCs w:val="18"/>
              </w:rPr>
            </w:pPr>
            <w:r>
              <w:rPr>
                <w:sz w:val="18"/>
                <w:szCs w:val="18"/>
              </w:rPr>
              <w:t>(22)</w:t>
            </w:r>
          </w:p>
        </w:tc>
        <w:tc>
          <w:tcPr>
            <w:tcW w:w="2338" w:type="dxa"/>
          </w:tcPr>
          <w:p>
            <w:pPr>
              <w:pStyle w:val="GesAbsatz"/>
              <w:rPr>
                <w:sz w:val="18"/>
                <w:szCs w:val="18"/>
              </w:rPr>
            </w:pPr>
            <w:r>
              <w:rPr>
                <w:sz w:val="18"/>
                <w:szCs w:val="18"/>
              </w:rPr>
              <w:t>91-20-3</w:t>
            </w:r>
          </w:p>
        </w:tc>
        <w:tc>
          <w:tcPr>
            <w:tcW w:w="1740" w:type="dxa"/>
          </w:tcPr>
          <w:p>
            <w:pPr>
              <w:pStyle w:val="GesAbsatz"/>
              <w:rPr>
                <w:sz w:val="18"/>
                <w:szCs w:val="18"/>
              </w:rPr>
            </w:pPr>
            <w:r>
              <w:rPr>
                <w:sz w:val="18"/>
                <w:szCs w:val="18"/>
              </w:rPr>
              <w:t>202-049-5</w:t>
            </w:r>
          </w:p>
        </w:tc>
        <w:tc>
          <w:tcPr>
            <w:tcW w:w="3152" w:type="dxa"/>
          </w:tcPr>
          <w:p>
            <w:pPr>
              <w:pStyle w:val="GesAbsatz"/>
              <w:rPr>
                <w:sz w:val="18"/>
                <w:szCs w:val="18"/>
              </w:rPr>
            </w:pPr>
            <w:r>
              <w:rPr>
                <w:sz w:val="18"/>
                <w:szCs w:val="18"/>
              </w:rPr>
              <w:t>Naphthalin</w:t>
            </w:r>
          </w:p>
        </w:tc>
        <w:tc>
          <w:tcPr>
            <w:tcW w:w="1631" w:type="dxa"/>
          </w:tcPr>
          <w:p>
            <w:pPr>
              <w:pStyle w:val="GesAbsatz"/>
              <w:rPr>
                <w:sz w:val="18"/>
                <w:szCs w:val="18"/>
              </w:rPr>
            </w:pPr>
          </w:p>
        </w:tc>
      </w:tr>
      <w:tr>
        <w:tc>
          <w:tcPr>
            <w:tcW w:w="817" w:type="dxa"/>
          </w:tcPr>
          <w:p>
            <w:pPr>
              <w:pStyle w:val="GesAbsatz"/>
              <w:rPr>
                <w:sz w:val="18"/>
                <w:szCs w:val="18"/>
              </w:rPr>
            </w:pPr>
            <w:r>
              <w:rPr>
                <w:sz w:val="18"/>
                <w:szCs w:val="18"/>
              </w:rPr>
              <w:t>(23)</w:t>
            </w:r>
          </w:p>
        </w:tc>
        <w:tc>
          <w:tcPr>
            <w:tcW w:w="2338" w:type="dxa"/>
          </w:tcPr>
          <w:p>
            <w:pPr>
              <w:pStyle w:val="GesAbsatz"/>
              <w:rPr>
                <w:sz w:val="18"/>
                <w:szCs w:val="18"/>
              </w:rPr>
            </w:pPr>
            <w:r>
              <w:rPr>
                <w:sz w:val="18"/>
                <w:szCs w:val="18"/>
              </w:rPr>
              <w:t>7440-02-0</w:t>
            </w:r>
          </w:p>
        </w:tc>
        <w:tc>
          <w:tcPr>
            <w:tcW w:w="1740" w:type="dxa"/>
          </w:tcPr>
          <w:p>
            <w:pPr>
              <w:pStyle w:val="GesAbsatz"/>
              <w:rPr>
                <w:sz w:val="18"/>
                <w:szCs w:val="18"/>
              </w:rPr>
            </w:pPr>
            <w:r>
              <w:rPr>
                <w:sz w:val="18"/>
                <w:szCs w:val="18"/>
              </w:rPr>
              <w:t>231-111-4</w:t>
            </w:r>
          </w:p>
        </w:tc>
        <w:tc>
          <w:tcPr>
            <w:tcW w:w="3152" w:type="dxa"/>
          </w:tcPr>
          <w:p>
            <w:pPr>
              <w:pStyle w:val="GesAbsatz"/>
              <w:rPr>
                <w:sz w:val="18"/>
                <w:szCs w:val="18"/>
              </w:rPr>
            </w:pPr>
            <w:r>
              <w:rPr>
                <w:sz w:val="18"/>
                <w:szCs w:val="18"/>
              </w:rPr>
              <w:t>Nickel und Nickelverbindungen</w:t>
            </w:r>
          </w:p>
        </w:tc>
        <w:tc>
          <w:tcPr>
            <w:tcW w:w="1631" w:type="dxa"/>
          </w:tcPr>
          <w:p>
            <w:pPr>
              <w:pStyle w:val="GesAbsatz"/>
              <w:rPr>
                <w:sz w:val="18"/>
                <w:szCs w:val="18"/>
              </w:rPr>
            </w:pPr>
          </w:p>
        </w:tc>
      </w:tr>
      <w:tr>
        <w:tc>
          <w:tcPr>
            <w:tcW w:w="817" w:type="dxa"/>
          </w:tcPr>
          <w:p>
            <w:pPr>
              <w:pStyle w:val="GesAbsatz"/>
              <w:rPr>
                <w:sz w:val="18"/>
                <w:szCs w:val="18"/>
              </w:rPr>
            </w:pPr>
            <w:r>
              <w:rPr>
                <w:sz w:val="18"/>
                <w:szCs w:val="18"/>
              </w:rPr>
              <w:t>(24)</w:t>
            </w:r>
          </w:p>
        </w:tc>
        <w:tc>
          <w:tcPr>
            <w:tcW w:w="2338" w:type="dxa"/>
          </w:tcPr>
          <w:p>
            <w:pPr>
              <w:pStyle w:val="GesAbsatz"/>
              <w:rPr>
                <w:sz w:val="18"/>
                <w:szCs w:val="18"/>
              </w:rPr>
            </w:pPr>
            <w:r>
              <w:rPr>
                <w:sz w:val="18"/>
                <w:szCs w:val="18"/>
              </w:rPr>
              <w:t>nicht anwendbar</w:t>
            </w:r>
          </w:p>
        </w:tc>
        <w:tc>
          <w:tcPr>
            <w:tcW w:w="1740" w:type="dxa"/>
          </w:tcPr>
          <w:p>
            <w:pPr>
              <w:pStyle w:val="GesAbsatz"/>
              <w:rPr>
                <w:sz w:val="18"/>
                <w:szCs w:val="18"/>
              </w:rPr>
            </w:pPr>
            <w:r>
              <w:rPr>
                <w:sz w:val="18"/>
                <w:szCs w:val="18"/>
              </w:rPr>
              <w:t>nicht anwendbar</w:t>
            </w:r>
          </w:p>
        </w:tc>
        <w:tc>
          <w:tcPr>
            <w:tcW w:w="3152" w:type="dxa"/>
          </w:tcPr>
          <w:p>
            <w:pPr>
              <w:pStyle w:val="GesAbsatz"/>
              <w:rPr>
                <w:sz w:val="18"/>
                <w:szCs w:val="18"/>
              </w:rPr>
            </w:pPr>
            <w:r>
              <w:rPr>
                <w:sz w:val="18"/>
                <w:szCs w:val="18"/>
              </w:rPr>
              <w:t>Nonylphenole</w:t>
            </w:r>
          </w:p>
        </w:tc>
        <w:tc>
          <w:tcPr>
            <w:tcW w:w="1631" w:type="dxa"/>
          </w:tcPr>
          <w:p>
            <w:pPr>
              <w:pStyle w:val="GesAbsatz"/>
              <w:rPr>
                <w:sz w:val="18"/>
                <w:szCs w:val="18"/>
              </w:rPr>
            </w:pPr>
            <w:r>
              <w:rPr>
                <w:sz w:val="18"/>
                <w:szCs w:val="18"/>
              </w:rPr>
              <w:t>X (</w:t>
            </w:r>
            <w:r>
              <w:rPr>
                <w:sz w:val="18"/>
                <w:szCs w:val="18"/>
                <w:vertAlign w:val="superscript"/>
              </w:rPr>
              <w:t>5</w:t>
            </w:r>
            <w:r>
              <w:rPr>
                <w:sz w:val="18"/>
                <w:szCs w:val="18"/>
              </w:rPr>
              <w:t>)</w:t>
            </w:r>
          </w:p>
        </w:tc>
      </w:tr>
      <w:tr>
        <w:tc>
          <w:tcPr>
            <w:tcW w:w="817" w:type="dxa"/>
          </w:tcPr>
          <w:p>
            <w:pPr>
              <w:pStyle w:val="GesAbsatz"/>
              <w:rPr>
                <w:sz w:val="18"/>
                <w:szCs w:val="18"/>
              </w:rPr>
            </w:pPr>
            <w:r>
              <w:rPr>
                <w:sz w:val="18"/>
                <w:szCs w:val="18"/>
              </w:rPr>
              <w:t>(25)</w:t>
            </w:r>
          </w:p>
        </w:tc>
        <w:tc>
          <w:tcPr>
            <w:tcW w:w="2338" w:type="dxa"/>
          </w:tcPr>
          <w:p>
            <w:pPr>
              <w:pStyle w:val="GesAbsatz"/>
              <w:rPr>
                <w:sz w:val="18"/>
                <w:szCs w:val="18"/>
              </w:rPr>
            </w:pPr>
            <w:r>
              <w:rPr>
                <w:sz w:val="18"/>
                <w:szCs w:val="18"/>
              </w:rPr>
              <w:t>nicht anwendbar</w:t>
            </w:r>
          </w:p>
        </w:tc>
        <w:tc>
          <w:tcPr>
            <w:tcW w:w="1740" w:type="dxa"/>
          </w:tcPr>
          <w:p>
            <w:pPr>
              <w:pStyle w:val="GesAbsatz"/>
              <w:rPr>
                <w:sz w:val="18"/>
                <w:szCs w:val="18"/>
              </w:rPr>
            </w:pPr>
            <w:r>
              <w:rPr>
                <w:sz w:val="18"/>
                <w:szCs w:val="18"/>
              </w:rPr>
              <w:t>nicht anwendbar</w:t>
            </w:r>
          </w:p>
        </w:tc>
        <w:tc>
          <w:tcPr>
            <w:tcW w:w="3152" w:type="dxa"/>
          </w:tcPr>
          <w:p>
            <w:pPr>
              <w:pStyle w:val="GesAbsatz"/>
              <w:rPr>
                <w:sz w:val="18"/>
                <w:szCs w:val="18"/>
              </w:rPr>
            </w:pPr>
            <w:r>
              <w:rPr>
                <w:sz w:val="18"/>
                <w:szCs w:val="18"/>
              </w:rPr>
              <w:t>Octylphenole (</w:t>
            </w:r>
            <w:r>
              <w:rPr>
                <w:sz w:val="18"/>
                <w:szCs w:val="18"/>
                <w:vertAlign w:val="superscript"/>
              </w:rPr>
              <w:t>6</w:t>
            </w:r>
            <w:r>
              <w:rPr>
                <w:sz w:val="18"/>
                <w:szCs w:val="18"/>
              </w:rPr>
              <w:t>)</w:t>
            </w:r>
          </w:p>
        </w:tc>
        <w:tc>
          <w:tcPr>
            <w:tcW w:w="1631" w:type="dxa"/>
          </w:tcPr>
          <w:p>
            <w:pPr>
              <w:pStyle w:val="GesAbsatz"/>
              <w:rPr>
                <w:sz w:val="18"/>
                <w:szCs w:val="18"/>
              </w:rPr>
            </w:pPr>
          </w:p>
        </w:tc>
      </w:tr>
      <w:tr>
        <w:tc>
          <w:tcPr>
            <w:tcW w:w="817" w:type="dxa"/>
          </w:tcPr>
          <w:p>
            <w:pPr>
              <w:pStyle w:val="GesAbsatz"/>
              <w:rPr>
                <w:sz w:val="18"/>
                <w:szCs w:val="18"/>
              </w:rPr>
            </w:pPr>
            <w:r>
              <w:rPr>
                <w:sz w:val="18"/>
                <w:szCs w:val="18"/>
              </w:rPr>
              <w:t>(26)</w:t>
            </w:r>
          </w:p>
        </w:tc>
        <w:tc>
          <w:tcPr>
            <w:tcW w:w="2338" w:type="dxa"/>
          </w:tcPr>
          <w:p>
            <w:pPr>
              <w:pStyle w:val="GesAbsatz"/>
              <w:rPr>
                <w:sz w:val="18"/>
                <w:szCs w:val="18"/>
              </w:rPr>
            </w:pPr>
            <w:r>
              <w:rPr>
                <w:sz w:val="18"/>
                <w:szCs w:val="18"/>
              </w:rPr>
              <w:t>608-93-5</w:t>
            </w:r>
          </w:p>
        </w:tc>
        <w:tc>
          <w:tcPr>
            <w:tcW w:w="1740" w:type="dxa"/>
          </w:tcPr>
          <w:p>
            <w:pPr>
              <w:pStyle w:val="GesAbsatz"/>
              <w:rPr>
                <w:sz w:val="18"/>
                <w:szCs w:val="18"/>
              </w:rPr>
            </w:pPr>
            <w:r>
              <w:rPr>
                <w:sz w:val="18"/>
                <w:szCs w:val="18"/>
              </w:rPr>
              <w:t>210-172-0</w:t>
            </w:r>
          </w:p>
        </w:tc>
        <w:tc>
          <w:tcPr>
            <w:tcW w:w="3152" w:type="dxa"/>
          </w:tcPr>
          <w:p>
            <w:pPr>
              <w:pStyle w:val="GesAbsatz"/>
              <w:rPr>
                <w:sz w:val="18"/>
                <w:szCs w:val="18"/>
              </w:rPr>
            </w:pPr>
            <w:r>
              <w:rPr>
                <w:sz w:val="18"/>
                <w:szCs w:val="18"/>
              </w:rPr>
              <w:t>Pentachlorbenzol</w:t>
            </w:r>
          </w:p>
        </w:tc>
        <w:tc>
          <w:tcPr>
            <w:tcW w:w="1631" w:type="dxa"/>
          </w:tcPr>
          <w:p>
            <w:pPr>
              <w:pStyle w:val="GesAbsatz"/>
              <w:rPr>
                <w:sz w:val="18"/>
                <w:szCs w:val="18"/>
              </w:rPr>
            </w:pPr>
            <w:r>
              <w:rPr>
                <w:sz w:val="18"/>
                <w:szCs w:val="18"/>
              </w:rPr>
              <w:t>X</w:t>
            </w:r>
          </w:p>
        </w:tc>
      </w:tr>
      <w:tr>
        <w:tc>
          <w:tcPr>
            <w:tcW w:w="817" w:type="dxa"/>
          </w:tcPr>
          <w:p>
            <w:pPr>
              <w:pStyle w:val="GesAbsatz"/>
              <w:rPr>
                <w:sz w:val="18"/>
                <w:szCs w:val="18"/>
              </w:rPr>
            </w:pPr>
            <w:r>
              <w:rPr>
                <w:sz w:val="18"/>
                <w:szCs w:val="18"/>
              </w:rPr>
              <w:t>(27)</w:t>
            </w:r>
          </w:p>
        </w:tc>
        <w:tc>
          <w:tcPr>
            <w:tcW w:w="2338" w:type="dxa"/>
          </w:tcPr>
          <w:p>
            <w:pPr>
              <w:pStyle w:val="GesAbsatz"/>
              <w:rPr>
                <w:sz w:val="18"/>
                <w:szCs w:val="18"/>
              </w:rPr>
            </w:pPr>
            <w:r>
              <w:rPr>
                <w:sz w:val="18"/>
                <w:szCs w:val="18"/>
              </w:rPr>
              <w:t>87-86-5</w:t>
            </w:r>
          </w:p>
        </w:tc>
        <w:tc>
          <w:tcPr>
            <w:tcW w:w="1740" w:type="dxa"/>
          </w:tcPr>
          <w:p>
            <w:pPr>
              <w:pStyle w:val="GesAbsatz"/>
              <w:rPr>
                <w:sz w:val="18"/>
                <w:szCs w:val="18"/>
              </w:rPr>
            </w:pPr>
            <w:r>
              <w:rPr>
                <w:sz w:val="18"/>
                <w:szCs w:val="18"/>
              </w:rPr>
              <w:t>201-778-6</w:t>
            </w:r>
          </w:p>
        </w:tc>
        <w:tc>
          <w:tcPr>
            <w:tcW w:w="3152" w:type="dxa"/>
          </w:tcPr>
          <w:p>
            <w:pPr>
              <w:pStyle w:val="GesAbsatz"/>
              <w:rPr>
                <w:sz w:val="18"/>
                <w:szCs w:val="18"/>
              </w:rPr>
            </w:pPr>
            <w:r>
              <w:rPr>
                <w:sz w:val="18"/>
                <w:szCs w:val="18"/>
              </w:rPr>
              <w:t>Pentachlorphenol</w:t>
            </w:r>
          </w:p>
        </w:tc>
        <w:tc>
          <w:tcPr>
            <w:tcW w:w="1631" w:type="dxa"/>
          </w:tcPr>
          <w:p>
            <w:pPr>
              <w:pStyle w:val="GesAbsatz"/>
              <w:rPr>
                <w:sz w:val="18"/>
                <w:szCs w:val="18"/>
              </w:rPr>
            </w:pPr>
          </w:p>
        </w:tc>
      </w:tr>
      <w:tr>
        <w:tc>
          <w:tcPr>
            <w:tcW w:w="817" w:type="dxa"/>
          </w:tcPr>
          <w:p>
            <w:pPr>
              <w:pStyle w:val="GesAbsatz"/>
              <w:rPr>
                <w:sz w:val="18"/>
                <w:szCs w:val="18"/>
              </w:rPr>
            </w:pPr>
            <w:r>
              <w:rPr>
                <w:sz w:val="18"/>
                <w:szCs w:val="18"/>
              </w:rPr>
              <w:t>(28)</w:t>
            </w:r>
          </w:p>
        </w:tc>
        <w:tc>
          <w:tcPr>
            <w:tcW w:w="2338" w:type="dxa"/>
          </w:tcPr>
          <w:p>
            <w:pPr>
              <w:pStyle w:val="GesAbsatz"/>
              <w:rPr>
                <w:sz w:val="18"/>
                <w:szCs w:val="18"/>
              </w:rPr>
            </w:pPr>
            <w:r>
              <w:rPr>
                <w:sz w:val="18"/>
                <w:szCs w:val="18"/>
              </w:rPr>
              <w:t>nicht anwendbar</w:t>
            </w:r>
          </w:p>
        </w:tc>
        <w:tc>
          <w:tcPr>
            <w:tcW w:w="1740" w:type="dxa"/>
          </w:tcPr>
          <w:p>
            <w:pPr>
              <w:pStyle w:val="GesAbsatz"/>
              <w:rPr>
                <w:sz w:val="18"/>
                <w:szCs w:val="18"/>
              </w:rPr>
            </w:pPr>
            <w:r>
              <w:rPr>
                <w:sz w:val="18"/>
                <w:szCs w:val="18"/>
              </w:rPr>
              <w:t>nicht anwendbar</w:t>
            </w:r>
          </w:p>
        </w:tc>
        <w:tc>
          <w:tcPr>
            <w:tcW w:w="3152" w:type="dxa"/>
          </w:tcPr>
          <w:p>
            <w:pPr>
              <w:pStyle w:val="GesAbsatz"/>
              <w:rPr>
                <w:sz w:val="18"/>
                <w:szCs w:val="18"/>
              </w:rPr>
            </w:pPr>
            <w:r>
              <w:rPr>
                <w:sz w:val="18"/>
                <w:szCs w:val="18"/>
              </w:rPr>
              <w:t>Polycyclische aromatische Kohlenwasserstoffe (PAK) (</w:t>
            </w:r>
            <w:r>
              <w:rPr>
                <w:sz w:val="18"/>
                <w:szCs w:val="18"/>
                <w:vertAlign w:val="superscript"/>
              </w:rPr>
              <w:t>7</w:t>
            </w:r>
            <w:r>
              <w:rPr>
                <w:sz w:val="18"/>
                <w:szCs w:val="18"/>
              </w:rPr>
              <w:t>)</w:t>
            </w:r>
          </w:p>
        </w:tc>
        <w:tc>
          <w:tcPr>
            <w:tcW w:w="1631" w:type="dxa"/>
          </w:tcPr>
          <w:p>
            <w:pPr>
              <w:pStyle w:val="GesAbsatz"/>
              <w:rPr>
                <w:sz w:val="18"/>
                <w:szCs w:val="18"/>
              </w:rPr>
            </w:pPr>
            <w:r>
              <w:rPr>
                <w:sz w:val="18"/>
                <w:szCs w:val="18"/>
              </w:rPr>
              <w:t>X</w:t>
            </w:r>
          </w:p>
        </w:tc>
      </w:tr>
      <w:tr>
        <w:tc>
          <w:tcPr>
            <w:tcW w:w="817" w:type="dxa"/>
          </w:tcPr>
          <w:p>
            <w:pPr>
              <w:pStyle w:val="GesAbsatz"/>
              <w:rPr>
                <w:sz w:val="18"/>
                <w:szCs w:val="18"/>
              </w:rPr>
            </w:pPr>
            <w:r>
              <w:rPr>
                <w:sz w:val="18"/>
                <w:szCs w:val="18"/>
              </w:rPr>
              <w:t>(29)</w:t>
            </w:r>
          </w:p>
        </w:tc>
        <w:tc>
          <w:tcPr>
            <w:tcW w:w="2338" w:type="dxa"/>
          </w:tcPr>
          <w:p>
            <w:pPr>
              <w:pStyle w:val="GesAbsatz"/>
              <w:rPr>
                <w:sz w:val="18"/>
                <w:szCs w:val="18"/>
              </w:rPr>
            </w:pPr>
            <w:r>
              <w:rPr>
                <w:sz w:val="18"/>
                <w:szCs w:val="18"/>
              </w:rPr>
              <w:t>122-34-9</w:t>
            </w:r>
          </w:p>
        </w:tc>
        <w:tc>
          <w:tcPr>
            <w:tcW w:w="1740" w:type="dxa"/>
          </w:tcPr>
          <w:p>
            <w:pPr>
              <w:pStyle w:val="GesAbsatz"/>
              <w:rPr>
                <w:sz w:val="18"/>
                <w:szCs w:val="18"/>
              </w:rPr>
            </w:pPr>
            <w:r>
              <w:rPr>
                <w:sz w:val="18"/>
                <w:szCs w:val="18"/>
              </w:rPr>
              <w:t>204-535-2</w:t>
            </w:r>
          </w:p>
        </w:tc>
        <w:tc>
          <w:tcPr>
            <w:tcW w:w="3152" w:type="dxa"/>
          </w:tcPr>
          <w:p>
            <w:pPr>
              <w:pStyle w:val="GesAbsatz"/>
              <w:rPr>
                <w:sz w:val="18"/>
                <w:szCs w:val="18"/>
              </w:rPr>
            </w:pPr>
            <w:r>
              <w:rPr>
                <w:sz w:val="18"/>
                <w:szCs w:val="18"/>
              </w:rPr>
              <w:t>Simazin</w:t>
            </w:r>
          </w:p>
        </w:tc>
        <w:tc>
          <w:tcPr>
            <w:tcW w:w="1631" w:type="dxa"/>
          </w:tcPr>
          <w:p>
            <w:pPr>
              <w:pStyle w:val="GesAbsatz"/>
              <w:rPr>
                <w:sz w:val="18"/>
                <w:szCs w:val="18"/>
              </w:rPr>
            </w:pPr>
          </w:p>
        </w:tc>
      </w:tr>
      <w:tr>
        <w:tc>
          <w:tcPr>
            <w:tcW w:w="817" w:type="dxa"/>
          </w:tcPr>
          <w:p>
            <w:pPr>
              <w:pStyle w:val="GesAbsatz"/>
              <w:rPr>
                <w:sz w:val="18"/>
                <w:szCs w:val="18"/>
              </w:rPr>
            </w:pPr>
            <w:r>
              <w:rPr>
                <w:sz w:val="18"/>
                <w:szCs w:val="18"/>
              </w:rPr>
              <w:t>(30)</w:t>
            </w:r>
          </w:p>
        </w:tc>
        <w:tc>
          <w:tcPr>
            <w:tcW w:w="2338" w:type="dxa"/>
          </w:tcPr>
          <w:p>
            <w:pPr>
              <w:pStyle w:val="GesAbsatz"/>
              <w:rPr>
                <w:sz w:val="18"/>
                <w:szCs w:val="18"/>
              </w:rPr>
            </w:pPr>
            <w:r>
              <w:rPr>
                <w:sz w:val="18"/>
                <w:szCs w:val="18"/>
              </w:rPr>
              <w:t>nicht anwendbar</w:t>
            </w:r>
          </w:p>
        </w:tc>
        <w:tc>
          <w:tcPr>
            <w:tcW w:w="1740" w:type="dxa"/>
          </w:tcPr>
          <w:p>
            <w:pPr>
              <w:pStyle w:val="GesAbsatz"/>
              <w:rPr>
                <w:sz w:val="18"/>
                <w:szCs w:val="18"/>
              </w:rPr>
            </w:pPr>
            <w:r>
              <w:rPr>
                <w:sz w:val="18"/>
                <w:szCs w:val="18"/>
              </w:rPr>
              <w:t>nicht anwendbar</w:t>
            </w:r>
          </w:p>
        </w:tc>
        <w:tc>
          <w:tcPr>
            <w:tcW w:w="3152" w:type="dxa"/>
          </w:tcPr>
          <w:p>
            <w:pPr>
              <w:pStyle w:val="GesAbsatz"/>
              <w:rPr>
                <w:sz w:val="18"/>
                <w:szCs w:val="18"/>
              </w:rPr>
            </w:pPr>
            <w:r>
              <w:rPr>
                <w:sz w:val="18"/>
                <w:szCs w:val="18"/>
              </w:rPr>
              <w:t>Tributylzinnverbindungen</w:t>
            </w:r>
          </w:p>
        </w:tc>
        <w:tc>
          <w:tcPr>
            <w:tcW w:w="1631" w:type="dxa"/>
          </w:tcPr>
          <w:p>
            <w:pPr>
              <w:pStyle w:val="GesAbsatz"/>
              <w:rPr>
                <w:sz w:val="18"/>
                <w:szCs w:val="18"/>
              </w:rPr>
            </w:pPr>
            <w:r>
              <w:rPr>
                <w:sz w:val="18"/>
                <w:szCs w:val="18"/>
              </w:rPr>
              <w:t>X (</w:t>
            </w:r>
            <w:r>
              <w:rPr>
                <w:sz w:val="18"/>
                <w:szCs w:val="18"/>
                <w:vertAlign w:val="superscript"/>
              </w:rPr>
              <w:t>8</w:t>
            </w:r>
            <w:r>
              <w:rPr>
                <w:sz w:val="18"/>
                <w:szCs w:val="18"/>
              </w:rPr>
              <w:t>)</w:t>
            </w:r>
          </w:p>
        </w:tc>
      </w:tr>
      <w:tr>
        <w:tc>
          <w:tcPr>
            <w:tcW w:w="817" w:type="dxa"/>
          </w:tcPr>
          <w:p>
            <w:pPr>
              <w:pStyle w:val="GesAbsatz"/>
              <w:rPr>
                <w:sz w:val="18"/>
                <w:szCs w:val="18"/>
              </w:rPr>
            </w:pPr>
            <w:r>
              <w:rPr>
                <w:sz w:val="18"/>
                <w:szCs w:val="18"/>
              </w:rPr>
              <w:t>(31)</w:t>
            </w:r>
          </w:p>
        </w:tc>
        <w:tc>
          <w:tcPr>
            <w:tcW w:w="2338" w:type="dxa"/>
          </w:tcPr>
          <w:p>
            <w:pPr>
              <w:pStyle w:val="GesAbsatz"/>
              <w:rPr>
                <w:sz w:val="18"/>
                <w:szCs w:val="18"/>
              </w:rPr>
            </w:pPr>
            <w:r>
              <w:rPr>
                <w:sz w:val="18"/>
                <w:szCs w:val="18"/>
              </w:rPr>
              <w:t>12002-48-1</w:t>
            </w:r>
          </w:p>
        </w:tc>
        <w:tc>
          <w:tcPr>
            <w:tcW w:w="1740" w:type="dxa"/>
          </w:tcPr>
          <w:p>
            <w:pPr>
              <w:pStyle w:val="GesAbsatz"/>
              <w:rPr>
                <w:sz w:val="18"/>
                <w:szCs w:val="18"/>
              </w:rPr>
            </w:pPr>
            <w:r>
              <w:rPr>
                <w:sz w:val="18"/>
                <w:szCs w:val="18"/>
              </w:rPr>
              <w:t>234-413-4</w:t>
            </w:r>
          </w:p>
        </w:tc>
        <w:tc>
          <w:tcPr>
            <w:tcW w:w="3152" w:type="dxa"/>
          </w:tcPr>
          <w:p>
            <w:pPr>
              <w:pStyle w:val="GesAbsatz"/>
              <w:rPr>
                <w:sz w:val="18"/>
                <w:szCs w:val="18"/>
              </w:rPr>
            </w:pPr>
            <w:r>
              <w:rPr>
                <w:sz w:val="18"/>
                <w:szCs w:val="18"/>
              </w:rPr>
              <w:t>Trichlorbenzole</w:t>
            </w:r>
          </w:p>
        </w:tc>
        <w:tc>
          <w:tcPr>
            <w:tcW w:w="1631" w:type="dxa"/>
          </w:tcPr>
          <w:p>
            <w:pPr>
              <w:pStyle w:val="GesAbsatz"/>
              <w:rPr>
                <w:sz w:val="18"/>
                <w:szCs w:val="18"/>
              </w:rPr>
            </w:pPr>
          </w:p>
        </w:tc>
      </w:tr>
      <w:tr>
        <w:tc>
          <w:tcPr>
            <w:tcW w:w="817" w:type="dxa"/>
          </w:tcPr>
          <w:p>
            <w:pPr>
              <w:pStyle w:val="GesAbsatz"/>
              <w:rPr>
                <w:sz w:val="18"/>
                <w:szCs w:val="18"/>
              </w:rPr>
            </w:pPr>
            <w:r>
              <w:rPr>
                <w:sz w:val="18"/>
                <w:szCs w:val="18"/>
              </w:rPr>
              <w:t>(32)</w:t>
            </w:r>
          </w:p>
        </w:tc>
        <w:tc>
          <w:tcPr>
            <w:tcW w:w="2338" w:type="dxa"/>
          </w:tcPr>
          <w:p>
            <w:pPr>
              <w:pStyle w:val="GesAbsatz"/>
              <w:rPr>
                <w:sz w:val="18"/>
                <w:szCs w:val="18"/>
              </w:rPr>
            </w:pPr>
            <w:r>
              <w:rPr>
                <w:sz w:val="18"/>
                <w:szCs w:val="18"/>
              </w:rPr>
              <w:t>67-66-3</w:t>
            </w:r>
          </w:p>
        </w:tc>
        <w:tc>
          <w:tcPr>
            <w:tcW w:w="1740" w:type="dxa"/>
          </w:tcPr>
          <w:p>
            <w:pPr>
              <w:pStyle w:val="GesAbsatz"/>
              <w:rPr>
                <w:sz w:val="18"/>
                <w:szCs w:val="18"/>
              </w:rPr>
            </w:pPr>
            <w:r>
              <w:rPr>
                <w:sz w:val="18"/>
                <w:szCs w:val="18"/>
              </w:rPr>
              <w:t>200-663-8</w:t>
            </w:r>
          </w:p>
        </w:tc>
        <w:tc>
          <w:tcPr>
            <w:tcW w:w="3152" w:type="dxa"/>
          </w:tcPr>
          <w:p>
            <w:pPr>
              <w:pStyle w:val="GesAbsatz"/>
              <w:rPr>
                <w:sz w:val="18"/>
                <w:szCs w:val="18"/>
              </w:rPr>
            </w:pPr>
            <w:r>
              <w:rPr>
                <w:sz w:val="18"/>
                <w:szCs w:val="18"/>
              </w:rPr>
              <w:t>Trichlormethan (Chloroform)</w:t>
            </w:r>
          </w:p>
        </w:tc>
        <w:tc>
          <w:tcPr>
            <w:tcW w:w="1631" w:type="dxa"/>
          </w:tcPr>
          <w:p>
            <w:pPr>
              <w:pStyle w:val="GesAbsatz"/>
              <w:rPr>
                <w:sz w:val="18"/>
                <w:szCs w:val="18"/>
              </w:rPr>
            </w:pPr>
          </w:p>
        </w:tc>
      </w:tr>
      <w:tr>
        <w:tc>
          <w:tcPr>
            <w:tcW w:w="817" w:type="dxa"/>
          </w:tcPr>
          <w:p>
            <w:pPr>
              <w:pStyle w:val="GesAbsatz"/>
              <w:rPr>
                <w:sz w:val="18"/>
                <w:szCs w:val="18"/>
              </w:rPr>
            </w:pPr>
            <w:r>
              <w:rPr>
                <w:sz w:val="18"/>
                <w:szCs w:val="18"/>
              </w:rPr>
              <w:t>(33)</w:t>
            </w:r>
          </w:p>
        </w:tc>
        <w:tc>
          <w:tcPr>
            <w:tcW w:w="2338" w:type="dxa"/>
          </w:tcPr>
          <w:p>
            <w:pPr>
              <w:pStyle w:val="GesAbsatz"/>
              <w:rPr>
                <w:sz w:val="18"/>
                <w:szCs w:val="18"/>
              </w:rPr>
            </w:pPr>
            <w:r>
              <w:rPr>
                <w:sz w:val="18"/>
                <w:szCs w:val="18"/>
              </w:rPr>
              <w:t>1582-09-8</w:t>
            </w:r>
          </w:p>
        </w:tc>
        <w:tc>
          <w:tcPr>
            <w:tcW w:w="1740" w:type="dxa"/>
          </w:tcPr>
          <w:p>
            <w:pPr>
              <w:pStyle w:val="GesAbsatz"/>
              <w:rPr>
                <w:sz w:val="18"/>
                <w:szCs w:val="18"/>
              </w:rPr>
            </w:pPr>
            <w:r>
              <w:rPr>
                <w:sz w:val="18"/>
                <w:szCs w:val="18"/>
              </w:rPr>
              <w:t>216-428-8</w:t>
            </w:r>
          </w:p>
        </w:tc>
        <w:tc>
          <w:tcPr>
            <w:tcW w:w="3152" w:type="dxa"/>
          </w:tcPr>
          <w:p>
            <w:pPr>
              <w:pStyle w:val="GesAbsatz"/>
              <w:rPr>
                <w:sz w:val="18"/>
                <w:szCs w:val="18"/>
              </w:rPr>
            </w:pPr>
            <w:r>
              <w:rPr>
                <w:sz w:val="18"/>
                <w:szCs w:val="18"/>
              </w:rPr>
              <w:t>Trifluralin</w:t>
            </w:r>
          </w:p>
        </w:tc>
        <w:tc>
          <w:tcPr>
            <w:tcW w:w="1631" w:type="dxa"/>
          </w:tcPr>
          <w:p>
            <w:pPr>
              <w:pStyle w:val="GesAbsatz"/>
              <w:rPr>
                <w:sz w:val="18"/>
                <w:szCs w:val="18"/>
              </w:rPr>
            </w:pPr>
            <w:r>
              <w:rPr>
                <w:sz w:val="18"/>
                <w:szCs w:val="18"/>
              </w:rPr>
              <w:t>X</w:t>
            </w:r>
          </w:p>
        </w:tc>
      </w:tr>
      <w:tr>
        <w:tc>
          <w:tcPr>
            <w:tcW w:w="817" w:type="dxa"/>
          </w:tcPr>
          <w:p>
            <w:pPr>
              <w:pStyle w:val="GesAbsatz"/>
              <w:rPr>
                <w:sz w:val="18"/>
                <w:szCs w:val="18"/>
              </w:rPr>
            </w:pPr>
            <w:r>
              <w:rPr>
                <w:sz w:val="18"/>
                <w:szCs w:val="18"/>
              </w:rPr>
              <w:t>(34)</w:t>
            </w:r>
          </w:p>
        </w:tc>
        <w:tc>
          <w:tcPr>
            <w:tcW w:w="2338" w:type="dxa"/>
          </w:tcPr>
          <w:p>
            <w:pPr>
              <w:pStyle w:val="GesAbsatz"/>
              <w:rPr>
                <w:sz w:val="18"/>
                <w:szCs w:val="18"/>
              </w:rPr>
            </w:pPr>
            <w:r>
              <w:rPr>
                <w:sz w:val="18"/>
                <w:szCs w:val="18"/>
              </w:rPr>
              <w:t>115-32-2</w:t>
            </w:r>
          </w:p>
        </w:tc>
        <w:tc>
          <w:tcPr>
            <w:tcW w:w="1740" w:type="dxa"/>
          </w:tcPr>
          <w:p>
            <w:pPr>
              <w:pStyle w:val="GesAbsatz"/>
              <w:rPr>
                <w:sz w:val="18"/>
                <w:szCs w:val="18"/>
              </w:rPr>
            </w:pPr>
            <w:r>
              <w:rPr>
                <w:sz w:val="18"/>
                <w:szCs w:val="18"/>
              </w:rPr>
              <w:t>204-082-0</w:t>
            </w:r>
          </w:p>
        </w:tc>
        <w:tc>
          <w:tcPr>
            <w:tcW w:w="3152" w:type="dxa"/>
          </w:tcPr>
          <w:p>
            <w:pPr>
              <w:pStyle w:val="GesAbsatz"/>
              <w:rPr>
                <w:sz w:val="18"/>
                <w:szCs w:val="18"/>
              </w:rPr>
            </w:pPr>
            <w:r>
              <w:rPr>
                <w:sz w:val="18"/>
                <w:szCs w:val="18"/>
              </w:rPr>
              <w:t>Dicofol</w:t>
            </w:r>
          </w:p>
        </w:tc>
        <w:tc>
          <w:tcPr>
            <w:tcW w:w="1631" w:type="dxa"/>
          </w:tcPr>
          <w:p>
            <w:pPr>
              <w:pStyle w:val="GesAbsatz"/>
              <w:rPr>
                <w:sz w:val="18"/>
                <w:szCs w:val="18"/>
              </w:rPr>
            </w:pPr>
            <w:r>
              <w:rPr>
                <w:sz w:val="18"/>
                <w:szCs w:val="18"/>
              </w:rPr>
              <w:t>X</w:t>
            </w:r>
          </w:p>
        </w:tc>
      </w:tr>
      <w:tr>
        <w:tc>
          <w:tcPr>
            <w:tcW w:w="817" w:type="dxa"/>
          </w:tcPr>
          <w:p>
            <w:pPr>
              <w:pStyle w:val="GesAbsatz"/>
              <w:rPr>
                <w:sz w:val="18"/>
                <w:szCs w:val="18"/>
              </w:rPr>
            </w:pPr>
            <w:r>
              <w:rPr>
                <w:sz w:val="18"/>
                <w:szCs w:val="18"/>
              </w:rPr>
              <w:t>(35)</w:t>
            </w:r>
          </w:p>
        </w:tc>
        <w:tc>
          <w:tcPr>
            <w:tcW w:w="2338" w:type="dxa"/>
          </w:tcPr>
          <w:p>
            <w:pPr>
              <w:pStyle w:val="GesAbsatz"/>
              <w:rPr>
                <w:sz w:val="18"/>
                <w:szCs w:val="18"/>
              </w:rPr>
            </w:pPr>
            <w:r>
              <w:rPr>
                <w:sz w:val="18"/>
                <w:szCs w:val="18"/>
              </w:rPr>
              <w:t>1763-23-1</w:t>
            </w:r>
          </w:p>
        </w:tc>
        <w:tc>
          <w:tcPr>
            <w:tcW w:w="1740" w:type="dxa"/>
          </w:tcPr>
          <w:p>
            <w:pPr>
              <w:pStyle w:val="GesAbsatz"/>
              <w:rPr>
                <w:sz w:val="18"/>
                <w:szCs w:val="18"/>
              </w:rPr>
            </w:pPr>
            <w:r>
              <w:rPr>
                <w:sz w:val="18"/>
                <w:szCs w:val="18"/>
              </w:rPr>
              <w:t>217-179-8</w:t>
            </w:r>
          </w:p>
        </w:tc>
        <w:tc>
          <w:tcPr>
            <w:tcW w:w="3152" w:type="dxa"/>
          </w:tcPr>
          <w:p>
            <w:pPr>
              <w:pStyle w:val="GesAbsatz"/>
              <w:rPr>
                <w:sz w:val="18"/>
                <w:szCs w:val="18"/>
              </w:rPr>
            </w:pPr>
            <w:r>
              <w:rPr>
                <w:sz w:val="18"/>
                <w:szCs w:val="18"/>
              </w:rPr>
              <w:t>Perfluoroktansulfonsäure und ihre Derivate (PFOS)</w:t>
            </w:r>
          </w:p>
        </w:tc>
        <w:tc>
          <w:tcPr>
            <w:tcW w:w="1631" w:type="dxa"/>
          </w:tcPr>
          <w:p>
            <w:pPr>
              <w:pStyle w:val="GesAbsatz"/>
              <w:rPr>
                <w:sz w:val="18"/>
                <w:szCs w:val="18"/>
              </w:rPr>
            </w:pPr>
            <w:r>
              <w:rPr>
                <w:sz w:val="18"/>
                <w:szCs w:val="18"/>
              </w:rPr>
              <w:t>X</w:t>
            </w:r>
          </w:p>
        </w:tc>
      </w:tr>
      <w:tr>
        <w:tc>
          <w:tcPr>
            <w:tcW w:w="817" w:type="dxa"/>
          </w:tcPr>
          <w:p>
            <w:pPr>
              <w:pStyle w:val="GesAbsatz"/>
              <w:rPr>
                <w:sz w:val="18"/>
                <w:szCs w:val="18"/>
              </w:rPr>
            </w:pPr>
            <w:r>
              <w:rPr>
                <w:sz w:val="18"/>
                <w:szCs w:val="18"/>
              </w:rPr>
              <w:t>(36)</w:t>
            </w:r>
          </w:p>
        </w:tc>
        <w:tc>
          <w:tcPr>
            <w:tcW w:w="2338" w:type="dxa"/>
          </w:tcPr>
          <w:p>
            <w:pPr>
              <w:pStyle w:val="GesAbsatz"/>
              <w:rPr>
                <w:sz w:val="18"/>
                <w:szCs w:val="18"/>
              </w:rPr>
            </w:pPr>
            <w:r>
              <w:rPr>
                <w:sz w:val="18"/>
                <w:szCs w:val="18"/>
              </w:rPr>
              <w:t>124495-18-7</w:t>
            </w:r>
          </w:p>
        </w:tc>
        <w:tc>
          <w:tcPr>
            <w:tcW w:w="1740" w:type="dxa"/>
          </w:tcPr>
          <w:p>
            <w:pPr>
              <w:pStyle w:val="GesAbsatz"/>
              <w:rPr>
                <w:sz w:val="18"/>
                <w:szCs w:val="18"/>
              </w:rPr>
            </w:pPr>
            <w:r>
              <w:rPr>
                <w:sz w:val="18"/>
                <w:szCs w:val="18"/>
              </w:rPr>
              <w:t>nicht anwendbar</w:t>
            </w:r>
          </w:p>
        </w:tc>
        <w:tc>
          <w:tcPr>
            <w:tcW w:w="3152" w:type="dxa"/>
          </w:tcPr>
          <w:p>
            <w:pPr>
              <w:pStyle w:val="GesAbsatz"/>
              <w:rPr>
                <w:sz w:val="18"/>
                <w:szCs w:val="18"/>
              </w:rPr>
            </w:pPr>
            <w:r>
              <w:rPr>
                <w:sz w:val="18"/>
                <w:szCs w:val="18"/>
              </w:rPr>
              <w:t>Quinoxyfen</w:t>
            </w:r>
          </w:p>
        </w:tc>
        <w:tc>
          <w:tcPr>
            <w:tcW w:w="1631" w:type="dxa"/>
          </w:tcPr>
          <w:p>
            <w:pPr>
              <w:pStyle w:val="GesAbsatz"/>
              <w:rPr>
                <w:sz w:val="18"/>
                <w:szCs w:val="18"/>
              </w:rPr>
            </w:pPr>
            <w:r>
              <w:rPr>
                <w:sz w:val="18"/>
                <w:szCs w:val="18"/>
              </w:rPr>
              <w:t>X</w:t>
            </w:r>
          </w:p>
        </w:tc>
      </w:tr>
      <w:tr>
        <w:tc>
          <w:tcPr>
            <w:tcW w:w="817" w:type="dxa"/>
          </w:tcPr>
          <w:p>
            <w:pPr>
              <w:pStyle w:val="GesAbsatz"/>
              <w:rPr>
                <w:sz w:val="18"/>
                <w:szCs w:val="18"/>
              </w:rPr>
            </w:pPr>
            <w:r>
              <w:rPr>
                <w:sz w:val="18"/>
                <w:szCs w:val="18"/>
              </w:rPr>
              <w:t>(37)</w:t>
            </w:r>
          </w:p>
        </w:tc>
        <w:tc>
          <w:tcPr>
            <w:tcW w:w="2338" w:type="dxa"/>
          </w:tcPr>
          <w:p>
            <w:pPr>
              <w:pStyle w:val="GesAbsatz"/>
              <w:rPr>
                <w:sz w:val="18"/>
                <w:szCs w:val="18"/>
              </w:rPr>
            </w:pPr>
            <w:r>
              <w:rPr>
                <w:sz w:val="18"/>
                <w:szCs w:val="18"/>
              </w:rPr>
              <w:t>nicht anwendbar</w:t>
            </w:r>
          </w:p>
        </w:tc>
        <w:tc>
          <w:tcPr>
            <w:tcW w:w="1740" w:type="dxa"/>
          </w:tcPr>
          <w:p>
            <w:pPr>
              <w:pStyle w:val="GesAbsatz"/>
              <w:rPr>
                <w:sz w:val="18"/>
                <w:szCs w:val="18"/>
              </w:rPr>
            </w:pPr>
            <w:r>
              <w:rPr>
                <w:sz w:val="18"/>
                <w:szCs w:val="18"/>
              </w:rPr>
              <w:t>nicht anwendbar</w:t>
            </w:r>
          </w:p>
        </w:tc>
        <w:tc>
          <w:tcPr>
            <w:tcW w:w="3152" w:type="dxa"/>
          </w:tcPr>
          <w:p>
            <w:pPr>
              <w:pStyle w:val="GesAbsatz"/>
              <w:rPr>
                <w:sz w:val="18"/>
                <w:szCs w:val="18"/>
              </w:rPr>
            </w:pPr>
            <w:r>
              <w:rPr>
                <w:sz w:val="18"/>
                <w:szCs w:val="18"/>
              </w:rPr>
              <w:t>Dioxine und dioxinähnliche Verbindungen</w:t>
            </w:r>
          </w:p>
        </w:tc>
        <w:tc>
          <w:tcPr>
            <w:tcW w:w="1631" w:type="dxa"/>
          </w:tcPr>
          <w:p>
            <w:pPr>
              <w:pStyle w:val="GesAbsatz"/>
              <w:rPr>
                <w:sz w:val="18"/>
                <w:szCs w:val="18"/>
              </w:rPr>
            </w:pPr>
            <w:r>
              <w:rPr>
                <w:sz w:val="18"/>
                <w:szCs w:val="18"/>
              </w:rPr>
              <w:t>X (</w:t>
            </w:r>
            <w:r>
              <w:rPr>
                <w:sz w:val="18"/>
                <w:szCs w:val="18"/>
                <w:vertAlign w:val="superscript"/>
              </w:rPr>
              <w:t>9</w:t>
            </w:r>
            <w:r>
              <w:rPr>
                <w:sz w:val="18"/>
                <w:szCs w:val="18"/>
              </w:rPr>
              <w:t>)</w:t>
            </w:r>
          </w:p>
        </w:tc>
      </w:tr>
      <w:tr>
        <w:tc>
          <w:tcPr>
            <w:tcW w:w="817" w:type="dxa"/>
          </w:tcPr>
          <w:p>
            <w:pPr>
              <w:pStyle w:val="GesAbsatz"/>
              <w:rPr>
                <w:sz w:val="18"/>
                <w:szCs w:val="18"/>
              </w:rPr>
            </w:pPr>
            <w:r>
              <w:rPr>
                <w:sz w:val="18"/>
                <w:szCs w:val="18"/>
              </w:rPr>
              <w:t>(38)</w:t>
            </w:r>
          </w:p>
        </w:tc>
        <w:tc>
          <w:tcPr>
            <w:tcW w:w="2338" w:type="dxa"/>
          </w:tcPr>
          <w:p>
            <w:pPr>
              <w:pStyle w:val="GesAbsatz"/>
              <w:rPr>
                <w:sz w:val="18"/>
                <w:szCs w:val="18"/>
              </w:rPr>
            </w:pPr>
            <w:r>
              <w:rPr>
                <w:sz w:val="18"/>
                <w:szCs w:val="18"/>
              </w:rPr>
              <w:t>74070-46-5</w:t>
            </w:r>
          </w:p>
        </w:tc>
        <w:tc>
          <w:tcPr>
            <w:tcW w:w="1740" w:type="dxa"/>
          </w:tcPr>
          <w:p>
            <w:pPr>
              <w:pStyle w:val="GesAbsatz"/>
              <w:rPr>
                <w:sz w:val="18"/>
                <w:szCs w:val="18"/>
              </w:rPr>
            </w:pPr>
            <w:r>
              <w:rPr>
                <w:sz w:val="18"/>
                <w:szCs w:val="18"/>
              </w:rPr>
              <w:t>277-704-1</w:t>
            </w:r>
          </w:p>
        </w:tc>
        <w:tc>
          <w:tcPr>
            <w:tcW w:w="3152" w:type="dxa"/>
          </w:tcPr>
          <w:p>
            <w:pPr>
              <w:pStyle w:val="GesAbsatz"/>
              <w:rPr>
                <w:sz w:val="18"/>
                <w:szCs w:val="18"/>
              </w:rPr>
            </w:pPr>
            <w:r>
              <w:rPr>
                <w:sz w:val="18"/>
                <w:szCs w:val="18"/>
              </w:rPr>
              <w:t>Aclonifen</w:t>
            </w:r>
          </w:p>
        </w:tc>
        <w:tc>
          <w:tcPr>
            <w:tcW w:w="1631" w:type="dxa"/>
          </w:tcPr>
          <w:p>
            <w:pPr>
              <w:pStyle w:val="GesAbsatz"/>
              <w:rPr>
                <w:sz w:val="18"/>
                <w:szCs w:val="18"/>
              </w:rPr>
            </w:pPr>
          </w:p>
        </w:tc>
      </w:tr>
      <w:tr>
        <w:tc>
          <w:tcPr>
            <w:tcW w:w="817" w:type="dxa"/>
          </w:tcPr>
          <w:p>
            <w:pPr>
              <w:pStyle w:val="GesAbsatz"/>
              <w:rPr>
                <w:sz w:val="18"/>
                <w:szCs w:val="18"/>
              </w:rPr>
            </w:pPr>
            <w:r>
              <w:rPr>
                <w:sz w:val="18"/>
                <w:szCs w:val="18"/>
              </w:rPr>
              <w:t>(39)</w:t>
            </w:r>
          </w:p>
        </w:tc>
        <w:tc>
          <w:tcPr>
            <w:tcW w:w="2338" w:type="dxa"/>
          </w:tcPr>
          <w:p>
            <w:pPr>
              <w:pStyle w:val="GesAbsatz"/>
              <w:rPr>
                <w:sz w:val="18"/>
                <w:szCs w:val="18"/>
              </w:rPr>
            </w:pPr>
            <w:r>
              <w:rPr>
                <w:sz w:val="18"/>
                <w:szCs w:val="18"/>
              </w:rPr>
              <w:t>42576-02-3</w:t>
            </w:r>
          </w:p>
        </w:tc>
        <w:tc>
          <w:tcPr>
            <w:tcW w:w="1740" w:type="dxa"/>
          </w:tcPr>
          <w:p>
            <w:pPr>
              <w:pStyle w:val="GesAbsatz"/>
              <w:rPr>
                <w:sz w:val="18"/>
                <w:szCs w:val="18"/>
              </w:rPr>
            </w:pPr>
            <w:r>
              <w:rPr>
                <w:sz w:val="18"/>
                <w:szCs w:val="18"/>
              </w:rPr>
              <w:t>255-894-7</w:t>
            </w:r>
          </w:p>
        </w:tc>
        <w:tc>
          <w:tcPr>
            <w:tcW w:w="3152" w:type="dxa"/>
          </w:tcPr>
          <w:p>
            <w:pPr>
              <w:pStyle w:val="GesAbsatz"/>
              <w:rPr>
                <w:sz w:val="18"/>
                <w:szCs w:val="18"/>
              </w:rPr>
            </w:pPr>
            <w:r>
              <w:rPr>
                <w:sz w:val="18"/>
                <w:szCs w:val="18"/>
              </w:rPr>
              <w:t>Bifenox</w:t>
            </w:r>
          </w:p>
        </w:tc>
        <w:tc>
          <w:tcPr>
            <w:tcW w:w="1631" w:type="dxa"/>
          </w:tcPr>
          <w:p>
            <w:pPr>
              <w:pStyle w:val="GesAbsatz"/>
              <w:rPr>
                <w:sz w:val="18"/>
                <w:szCs w:val="18"/>
              </w:rPr>
            </w:pPr>
          </w:p>
        </w:tc>
      </w:tr>
      <w:tr>
        <w:tc>
          <w:tcPr>
            <w:tcW w:w="817" w:type="dxa"/>
          </w:tcPr>
          <w:p>
            <w:pPr>
              <w:pStyle w:val="GesAbsatz"/>
              <w:rPr>
                <w:sz w:val="18"/>
                <w:szCs w:val="18"/>
              </w:rPr>
            </w:pPr>
            <w:r>
              <w:rPr>
                <w:sz w:val="18"/>
                <w:szCs w:val="18"/>
              </w:rPr>
              <w:lastRenderedPageBreak/>
              <w:t>(40)</w:t>
            </w:r>
          </w:p>
        </w:tc>
        <w:tc>
          <w:tcPr>
            <w:tcW w:w="2338" w:type="dxa"/>
          </w:tcPr>
          <w:p>
            <w:pPr>
              <w:pStyle w:val="GesAbsatz"/>
              <w:rPr>
                <w:sz w:val="18"/>
                <w:szCs w:val="18"/>
              </w:rPr>
            </w:pPr>
            <w:r>
              <w:rPr>
                <w:sz w:val="18"/>
                <w:szCs w:val="18"/>
              </w:rPr>
              <w:t>28159-98-0</w:t>
            </w:r>
          </w:p>
        </w:tc>
        <w:tc>
          <w:tcPr>
            <w:tcW w:w="1740" w:type="dxa"/>
          </w:tcPr>
          <w:p>
            <w:pPr>
              <w:pStyle w:val="GesAbsatz"/>
              <w:rPr>
                <w:sz w:val="18"/>
                <w:szCs w:val="18"/>
              </w:rPr>
            </w:pPr>
            <w:r>
              <w:rPr>
                <w:sz w:val="18"/>
                <w:szCs w:val="18"/>
              </w:rPr>
              <w:t>248-872-3</w:t>
            </w:r>
          </w:p>
        </w:tc>
        <w:tc>
          <w:tcPr>
            <w:tcW w:w="3152" w:type="dxa"/>
          </w:tcPr>
          <w:p>
            <w:pPr>
              <w:pStyle w:val="GesAbsatz"/>
              <w:rPr>
                <w:sz w:val="18"/>
                <w:szCs w:val="18"/>
              </w:rPr>
            </w:pPr>
            <w:r>
              <w:rPr>
                <w:sz w:val="18"/>
                <w:szCs w:val="18"/>
              </w:rPr>
              <w:t>Cybutryn</w:t>
            </w:r>
          </w:p>
        </w:tc>
        <w:tc>
          <w:tcPr>
            <w:tcW w:w="1631" w:type="dxa"/>
          </w:tcPr>
          <w:p>
            <w:pPr>
              <w:pStyle w:val="GesAbsatz"/>
              <w:rPr>
                <w:sz w:val="18"/>
                <w:szCs w:val="18"/>
              </w:rPr>
            </w:pPr>
          </w:p>
        </w:tc>
      </w:tr>
      <w:tr>
        <w:tc>
          <w:tcPr>
            <w:tcW w:w="817" w:type="dxa"/>
          </w:tcPr>
          <w:p>
            <w:pPr>
              <w:pStyle w:val="GesAbsatz"/>
              <w:rPr>
                <w:sz w:val="18"/>
                <w:szCs w:val="18"/>
              </w:rPr>
            </w:pPr>
            <w:r>
              <w:rPr>
                <w:sz w:val="18"/>
                <w:szCs w:val="18"/>
              </w:rPr>
              <w:t>(41)</w:t>
            </w:r>
          </w:p>
        </w:tc>
        <w:tc>
          <w:tcPr>
            <w:tcW w:w="2338" w:type="dxa"/>
          </w:tcPr>
          <w:p>
            <w:pPr>
              <w:pStyle w:val="GesAbsatz"/>
              <w:rPr>
                <w:sz w:val="18"/>
                <w:szCs w:val="18"/>
              </w:rPr>
            </w:pPr>
            <w:r>
              <w:rPr>
                <w:sz w:val="18"/>
                <w:szCs w:val="18"/>
              </w:rPr>
              <w:t>52315-07-8</w:t>
            </w:r>
          </w:p>
        </w:tc>
        <w:tc>
          <w:tcPr>
            <w:tcW w:w="1740" w:type="dxa"/>
          </w:tcPr>
          <w:p>
            <w:pPr>
              <w:pStyle w:val="GesAbsatz"/>
              <w:rPr>
                <w:sz w:val="18"/>
                <w:szCs w:val="18"/>
              </w:rPr>
            </w:pPr>
            <w:r>
              <w:rPr>
                <w:sz w:val="18"/>
                <w:szCs w:val="18"/>
              </w:rPr>
              <w:t>257-842-9</w:t>
            </w:r>
          </w:p>
        </w:tc>
        <w:tc>
          <w:tcPr>
            <w:tcW w:w="3152" w:type="dxa"/>
          </w:tcPr>
          <w:p>
            <w:pPr>
              <w:pStyle w:val="GesAbsatz"/>
              <w:rPr>
                <w:sz w:val="18"/>
                <w:szCs w:val="18"/>
              </w:rPr>
            </w:pPr>
            <w:r>
              <w:rPr>
                <w:sz w:val="18"/>
                <w:szCs w:val="18"/>
              </w:rPr>
              <w:t>Cypermethrin (</w:t>
            </w:r>
            <w:r>
              <w:rPr>
                <w:sz w:val="18"/>
                <w:szCs w:val="18"/>
                <w:vertAlign w:val="superscript"/>
              </w:rPr>
              <w:t>10</w:t>
            </w:r>
            <w:r>
              <w:rPr>
                <w:sz w:val="18"/>
                <w:szCs w:val="18"/>
              </w:rPr>
              <w:t>)</w:t>
            </w:r>
          </w:p>
        </w:tc>
        <w:tc>
          <w:tcPr>
            <w:tcW w:w="1631" w:type="dxa"/>
          </w:tcPr>
          <w:p>
            <w:pPr>
              <w:pStyle w:val="GesAbsatz"/>
              <w:rPr>
                <w:sz w:val="18"/>
                <w:szCs w:val="18"/>
              </w:rPr>
            </w:pPr>
          </w:p>
        </w:tc>
      </w:tr>
      <w:tr>
        <w:tc>
          <w:tcPr>
            <w:tcW w:w="817" w:type="dxa"/>
          </w:tcPr>
          <w:p>
            <w:pPr>
              <w:pStyle w:val="GesAbsatz"/>
              <w:rPr>
                <w:sz w:val="18"/>
                <w:szCs w:val="18"/>
              </w:rPr>
            </w:pPr>
            <w:r>
              <w:rPr>
                <w:sz w:val="18"/>
                <w:szCs w:val="18"/>
              </w:rPr>
              <w:t>(42)</w:t>
            </w:r>
          </w:p>
        </w:tc>
        <w:tc>
          <w:tcPr>
            <w:tcW w:w="2338" w:type="dxa"/>
          </w:tcPr>
          <w:p>
            <w:pPr>
              <w:pStyle w:val="GesAbsatz"/>
              <w:rPr>
                <w:sz w:val="18"/>
                <w:szCs w:val="18"/>
              </w:rPr>
            </w:pPr>
            <w:r>
              <w:rPr>
                <w:sz w:val="18"/>
                <w:szCs w:val="18"/>
              </w:rPr>
              <w:t>62-73-7</w:t>
            </w:r>
          </w:p>
        </w:tc>
        <w:tc>
          <w:tcPr>
            <w:tcW w:w="1740" w:type="dxa"/>
          </w:tcPr>
          <w:p>
            <w:pPr>
              <w:pStyle w:val="GesAbsatz"/>
              <w:rPr>
                <w:sz w:val="18"/>
                <w:szCs w:val="18"/>
              </w:rPr>
            </w:pPr>
            <w:r>
              <w:rPr>
                <w:sz w:val="18"/>
                <w:szCs w:val="18"/>
              </w:rPr>
              <w:t>200-547-7</w:t>
            </w:r>
          </w:p>
        </w:tc>
        <w:tc>
          <w:tcPr>
            <w:tcW w:w="3152" w:type="dxa"/>
          </w:tcPr>
          <w:p>
            <w:pPr>
              <w:pStyle w:val="GesAbsatz"/>
              <w:rPr>
                <w:sz w:val="18"/>
                <w:szCs w:val="18"/>
              </w:rPr>
            </w:pPr>
            <w:r>
              <w:rPr>
                <w:sz w:val="18"/>
                <w:szCs w:val="18"/>
              </w:rPr>
              <w:t>Dichlorvos</w:t>
            </w:r>
          </w:p>
        </w:tc>
        <w:tc>
          <w:tcPr>
            <w:tcW w:w="1631" w:type="dxa"/>
          </w:tcPr>
          <w:p>
            <w:pPr>
              <w:pStyle w:val="GesAbsatz"/>
              <w:rPr>
                <w:sz w:val="18"/>
                <w:szCs w:val="18"/>
              </w:rPr>
            </w:pPr>
          </w:p>
        </w:tc>
      </w:tr>
      <w:tr>
        <w:tc>
          <w:tcPr>
            <w:tcW w:w="817" w:type="dxa"/>
          </w:tcPr>
          <w:p>
            <w:pPr>
              <w:pStyle w:val="GesAbsatz"/>
              <w:rPr>
                <w:sz w:val="18"/>
                <w:szCs w:val="18"/>
              </w:rPr>
            </w:pPr>
            <w:r>
              <w:rPr>
                <w:sz w:val="18"/>
                <w:szCs w:val="18"/>
              </w:rPr>
              <w:t>(43)</w:t>
            </w:r>
          </w:p>
        </w:tc>
        <w:tc>
          <w:tcPr>
            <w:tcW w:w="2338" w:type="dxa"/>
          </w:tcPr>
          <w:p>
            <w:pPr>
              <w:pStyle w:val="GesAbsatz"/>
              <w:rPr>
                <w:sz w:val="18"/>
                <w:szCs w:val="18"/>
              </w:rPr>
            </w:pPr>
            <w:r>
              <w:rPr>
                <w:sz w:val="18"/>
                <w:szCs w:val="18"/>
              </w:rPr>
              <w:t>nicht anwendbar</w:t>
            </w:r>
          </w:p>
        </w:tc>
        <w:tc>
          <w:tcPr>
            <w:tcW w:w="1740" w:type="dxa"/>
          </w:tcPr>
          <w:p>
            <w:pPr>
              <w:pStyle w:val="GesAbsatz"/>
              <w:rPr>
                <w:sz w:val="18"/>
                <w:szCs w:val="18"/>
              </w:rPr>
            </w:pPr>
            <w:r>
              <w:rPr>
                <w:sz w:val="18"/>
                <w:szCs w:val="18"/>
              </w:rPr>
              <w:t>nicht anwendbar</w:t>
            </w:r>
          </w:p>
        </w:tc>
        <w:tc>
          <w:tcPr>
            <w:tcW w:w="3152" w:type="dxa"/>
          </w:tcPr>
          <w:p>
            <w:pPr>
              <w:pStyle w:val="GesAbsatz"/>
              <w:rPr>
                <w:sz w:val="18"/>
                <w:szCs w:val="18"/>
              </w:rPr>
            </w:pPr>
            <w:r>
              <w:rPr>
                <w:sz w:val="18"/>
                <w:szCs w:val="18"/>
              </w:rPr>
              <w:t>Hexabromcyclododecane (HBCDD)</w:t>
            </w:r>
          </w:p>
        </w:tc>
        <w:tc>
          <w:tcPr>
            <w:tcW w:w="1631" w:type="dxa"/>
          </w:tcPr>
          <w:p>
            <w:pPr>
              <w:pStyle w:val="GesAbsatz"/>
              <w:rPr>
                <w:sz w:val="18"/>
                <w:szCs w:val="18"/>
              </w:rPr>
            </w:pPr>
            <w:r>
              <w:rPr>
                <w:sz w:val="18"/>
                <w:szCs w:val="18"/>
              </w:rPr>
              <w:t>X (</w:t>
            </w:r>
            <w:r>
              <w:rPr>
                <w:sz w:val="18"/>
                <w:szCs w:val="18"/>
                <w:vertAlign w:val="superscript"/>
              </w:rPr>
              <w:t>11</w:t>
            </w:r>
            <w:r>
              <w:rPr>
                <w:sz w:val="18"/>
                <w:szCs w:val="18"/>
              </w:rPr>
              <w:t>)</w:t>
            </w:r>
          </w:p>
        </w:tc>
      </w:tr>
      <w:tr>
        <w:tc>
          <w:tcPr>
            <w:tcW w:w="817" w:type="dxa"/>
          </w:tcPr>
          <w:p>
            <w:pPr>
              <w:pStyle w:val="GesAbsatz"/>
              <w:rPr>
                <w:sz w:val="18"/>
                <w:szCs w:val="18"/>
              </w:rPr>
            </w:pPr>
            <w:r>
              <w:rPr>
                <w:sz w:val="18"/>
                <w:szCs w:val="18"/>
              </w:rPr>
              <w:t>(44)</w:t>
            </w:r>
          </w:p>
        </w:tc>
        <w:tc>
          <w:tcPr>
            <w:tcW w:w="2338" w:type="dxa"/>
          </w:tcPr>
          <w:p>
            <w:pPr>
              <w:pStyle w:val="GesAbsatz"/>
              <w:rPr>
                <w:sz w:val="18"/>
                <w:szCs w:val="18"/>
              </w:rPr>
            </w:pPr>
            <w:r>
              <w:rPr>
                <w:sz w:val="18"/>
                <w:szCs w:val="18"/>
              </w:rPr>
              <w:t>76-44-8/ 1024-57-3</w:t>
            </w:r>
          </w:p>
        </w:tc>
        <w:tc>
          <w:tcPr>
            <w:tcW w:w="1740" w:type="dxa"/>
          </w:tcPr>
          <w:p>
            <w:pPr>
              <w:pStyle w:val="GesAbsatz"/>
              <w:rPr>
                <w:sz w:val="18"/>
                <w:szCs w:val="18"/>
              </w:rPr>
            </w:pPr>
            <w:r>
              <w:rPr>
                <w:sz w:val="18"/>
                <w:szCs w:val="18"/>
              </w:rPr>
              <w:t>200-962-3/ 213-831-0</w:t>
            </w:r>
          </w:p>
        </w:tc>
        <w:tc>
          <w:tcPr>
            <w:tcW w:w="3152" w:type="dxa"/>
          </w:tcPr>
          <w:p>
            <w:pPr>
              <w:pStyle w:val="GesAbsatz"/>
              <w:rPr>
                <w:sz w:val="18"/>
                <w:szCs w:val="18"/>
              </w:rPr>
            </w:pPr>
            <w:r>
              <w:rPr>
                <w:sz w:val="18"/>
                <w:szCs w:val="18"/>
              </w:rPr>
              <w:t>Heptachlor und Heptachlorepoxid</w:t>
            </w:r>
          </w:p>
        </w:tc>
        <w:tc>
          <w:tcPr>
            <w:tcW w:w="1631" w:type="dxa"/>
          </w:tcPr>
          <w:p>
            <w:pPr>
              <w:pStyle w:val="GesAbsatz"/>
              <w:rPr>
                <w:sz w:val="18"/>
                <w:szCs w:val="18"/>
              </w:rPr>
            </w:pPr>
            <w:r>
              <w:rPr>
                <w:sz w:val="18"/>
                <w:szCs w:val="18"/>
              </w:rPr>
              <w:t>X</w:t>
            </w:r>
          </w:p>
        </w:tc>
      </w:tr>
      <w:tr>
        <w:tc>
          <w:tcPr>
            <w:tcW w:w="817" w:type="dxa"/>
          </w:tcPr>
          <w:p>
            <w:pPr>
              <w:pStyle w:val="GesAbsatz"/>
              <w:rPr>
                <w:sz w:val="18"/>
                <w:szCs w:val="18"/>
              </w:rPr>
            </w:pPr>
            <w:r>
              <w:rPr>
                <w:sz w:val="18"/>
                <w:szCs w:val="18"/>
              </w:rPr>
              <w:t>(45)</w:t>
            </w:r>
          </w:p>
        </w:tc>
        <w:tc>
          <w:tcPr>
            <w:tcW w:w="2338" w:type="dxa"/>
          </w:tcPr>
          <w:p>
            <w:pPr>
              <w:pStyle w:val="GesAbsatz"/>
              <w:rPr>
                <w:sz w:val="18"/>
                <w:szCs w:val="18"/>
              </w:rPr>
            </w:pPr>
            <w:r>
              <w:rPr>
                <w:sz w:val="18"/>
                <w:szCs w:val="18"/>
              </w:rPr>
              <w:t>886-50-0</w:t>
            </w:r>
          </w:p>
        </w:tc>
        <w:tc>
          <w:tcPr>
            <w:tcW w:w="1740" w:type="dxa"/>
          </w:tcPr>
          <w:p>
            <w:pPr>
              <w:pStyle w:val="GesAbsatz"/>
              <w:rPr>
                <w:sz w:val="18"/>
                <w:szCs w:val="18"/>
              </w:rPr>
            </w:pPr>
            <w:r>
              <w:rPr>
                <w:sz w:val="18"/>
                <w:szCs w:val="18"/>
              </w:rPr>
              <w:t>212-950-5</w:t>
            </w:r>
          </w:p>
        </w:tc>
        <w:tc>
          <w:tcPr>
            <w:tcW w:w="3152" w:type="dxa"/>
          </w:tcPr>
          <w:p>
            <w:pPr>
              <w:pStyle w:val="GesAbsatz"/>
              <w:rPr>
                <w:sz w:val="18"/>
                <w:szCs w:val="18"/>
              </w:rPr>
            </w:pPr>
            <w:r>
              <w:rPr>
                <w:sz w:val="18"/>
                <w:szCs w:val="18"/>
              </w:rPr>
              <w:t>Terbutryn</w:t>
            </w:r>
          </w:p>
        </w:tc>
        <w:tc>
          <w:tcPr>
            <w:tcW w:w="1631" w:type="dxa"/>
          </w:tcPr>
          <w:p>
            <w:pPr>
              <w:pStyle w:val="GesAbsatz"/>
              <w:rPr>
                <w:sz w:val="18"/>
                <w:szCs w:val="18"/>
              </w:rPr>
            </w:pPr>
          </w:p>
        </w:tc>
      </w:tr>
      <w:tr>
        <w:tc>
          <w:tcPr>
            <w:tcW w:w="9678" w:type="dxa"/>
            <w:gridSpan w:val="5"/>
          </w:tcPr>
          <w:p>
            <w:pPr>
              <w:pStyle w:val="GesAbsatz"/>
              <w:rPr>
                <w:sz w:val="18"/>
                <w:szCs w:val="18"/>
                <w:lang w:val="en-US"/>
              </w:rPr>
            </w:pPr>
            <w:r>
              <w:rPr>
                <w:sz w:val="18"/>
                <w:szCs w:val="18"/>
                <w:lang w:val="en-US"/>
              </w:rPr>
              <w:t>(</w:t>
            </w:r>
            <w:r>
              <w:rPr>
                <w:sz w:val="18"/>
                <w:szCs w:val="18"/>
                <w:vertAlign w:val="superscript"/>
                <w:lang w:val="en-US"/>
              </w:rPr>
              <w:t>1</w:t>
            </w:r>
            <w:r>
              <w:rPr>
                <w:sz w:val="18"/>
                <w:szCs w:val="18"/>
                <w:lang w:val="en-US"/>
              </w:rPr>
              <w:t>) CAS: Chemical Abstracts Service.</w:t>
            </w:r>
          </w:p>
          <w:p>
            <w:pPr>
              <w:pStyle w:val="GesAbsatz"/>
              <w:rPr>
                <w:sz w:val="18"/>
                <w:szCs w:val="18"/>
                <w:lang w:val="en-US"/>
              </w:rPr>
            </w:pPr>
            <w:r>
              <w:rPr>
                <w:sz w:val="18"/>
                <w:szCs w:val="18"/>
                <w:lang w:val="en-US"/>
              </w:rPr>
              <w:t>(</w:t>
            </w:r>
            <w:r>
              <w:rPr>
                <w:sz w:val="18"/>
                <w:szCs w:val="18"/>
                <w:vertAlign w:val="superscript"/>
                <w:lang w:val="en-US"/>
              </w:rPr>
              <w:t>2</w:t>
            </w:r>
            <w:r>
              <w:rPr>
                <w:sz w:val="18"/>
                <w:szCs w:val="18"/>
                <w:lang w:val="en-US"/>
              </w:rPr>
              <w:t>) EU-Nummer: European Inventory of Existing Commercial Substances (Einecs) oder European List of Notified Chemical Substances (ELINCS).</w:t>
            </w:r>
          </w:p>
          <w:p>
            <w:pPr>
              <w:pStyle w:val="GesAbsatz"/>
              <w:rPr>
                <w:sz w:val="18"/>
                <w:szCs w:val="18"/>
              </w:rPr>
            </w:pPr>
            <w:r>
              <w:rPr>
                <w:sz w:val="18"/>
                <w:szCs w:val="18"/>
              </w:rPr>
              <w:t>(</w:t>
            </w:r>
            <w:r>
              <w:rPr>
                <w:sz w:val="18"/>
                <w:szCs w:val="18"/>
                <w:vertAlign w:val="superscript"/>
              </w:rPr>
              <w:t>3</w:t>
            </w:r>
            <w:r>
              <w:rPr>
                <w:sz w:val="18"/>
                <w:szCs w:val="18"/>
              </w:rPr>
              <w:t>) Wenn Stoffgruppen ausgewählt wurden, werden, sofern nicht ausdrücklich anders vermerkt, typische Vertreter im Zusammenhang mit der Festlegung von Umweltqualitätsnormen definiert.</w:t>
            </w:r>
          </w:p>
          <w:p>
            <w:pPr>
              <w:pStyle w:val="GesAbsatz"/>
              <w:rPr>
                <w:sz w:val="18"/>
                <w:szCs w:val="18"/>
              </w:rPr>
            </w:pPr>
            <w:r>
              <w:rPr>
                <w:sz w:val="18"/>
                <w:szCs w:val="18"/>
              </w:rPr>
              <w:t>(</w:t>
            </w:r>
            <w:r>
              <w:rPr>
                <w:sz w:val="18"/>
                <w:szCs w:val="18"/>
                <w:vertAlign w:val="superscript"/>
              </w:rPr>
              <w:t>4</w:t>
            </w:r>
            <w:r>
              <w:rPr>
                <w:sz w:val="18"/>
                <w:szCs w:val="18"/>
              </w:rPr>
              <w:t>) Nur Tetra-, Penta-, Hexa- und Heptabromodiphenylether (CAS-Nummern 40088-47-9, 32534-81-9, 36483-60-0, 68928-80-3).</w:t>
            </w:r>
          </w:p>
          <w:p>
            <w:pPr>
              <w:pStyle w:val="GesAbsatz"/>
              <w:rPr>
                <w:sz w:val="18"/>
                <w:szCs w:val="18"/>
              </w:rPr>
            </w:pPr>
            <w:r>
              <w:rPr>
                <w:sz w:val="18"/>
                <w:szCs w:val="18"/>
              </w:rPr>
              <w:t>(</w:t>
            </w:r>
            <w:r>
              <w:rPr>
                <w:sz w:val="18"/>
                <w:szCs w:val="18"/>
                <w:vertAlign w:val="superscript"/>
              </w:rPr>
              <w:t>5</w:t>
            </w:r>
            <w:r>
              <w:rPr>
                <w:sz w:val="18"/>
                <w:szCs w:val="18"/>
              </w:rPr>
              <w:t>) Nonylphenol (CAS 25154-52-3, EU 246-672-0) einschließlich der Isomere 4-Nonylphenol (CAS 104-40-5, EU 203-199-4) und 4-Nonylphenol (verzweigt) (CAS 84852-15-3, EU 284-325-5).</w:t>
            </w:r>
          </w:p>
          <w:p>
            <w:pPr>
              <w:pStyle w:val="GesAbsatz"/>
              <w:rPr>
                <w:sz w:val="18"/>
                <w:szCs w:val="18"/>
              </w:rPr>
            </w:pPr>
            <w:r>
              <w:rPr>
                <w:sz w:val="18"/>
                <w:szCs w:val="18"/>
              </w:rPr>
              <w:t>(</w:t>
            </w:r>
            <w:r>
              <w:rPr>
                <w:sz w:val="18"/>
                <w:szCs w:val="18"/>
                <w:vertAlign w:val="superscript"/>
              </w:rPr>
              <w:t>6</w:t>
            </w:r>
            <w:r>
              <w:rPr>
                <w:sz w:val="18"/>
                <w:szCs w:val="18"/>
              </w:rPr>
              <w:t>) Octylphenol (CAS 1806-26-4, EU 217-302-5) einschließlich des Isomers (4-(1,1′,3,3′-Tetramethylbutyl)-phenol (CAS 140-66-9, EU 205-426-2).</w:t>
            </w:r>
          </w:p>
          <w:p>
            <w:pPr>
              <w:pStyle w:val="GesAbsatz"/>
              <w:rPr>
                <w:sz w:val="18"/>
                <w:szCs w:val="18"/>
              </w:rPr>
            </w:pPr>
            <w:r>
              <w:rPr>
                <w:sz w:val="18"/>
                <w:szCs w:val="18"/>
              </w:rPr>
              <w:t>(</w:t>
            </w:r>
            <w:r>
              <w:rPr>
                <w:sz w:val="18"/>
                <w:szCs w:val="18"/>
                <w:vertAlign w:val="superscript"/>
              </w:rPr>
              <w:t>7</w:t>
            </w:r>
            <w:r>
              <w:rPr>
                <w:sz w:val="18"/>
                <w:szCs w:val="18"/>
              </w:rPr>
              <w:t>) Einschließlich Benzo(a)pyren (CAS 50-32-8, EU 200-028-5), Benzo(b)fluoranthen (CAS 205-99-2, EU 205-911-9), Benzo(g,h,i)- perylen (CAS 191-24-2, EU 205-883-8), Benzo(k)fluoranthen (CAS 207-08-9, EU 205-916-6), Indeno(1,2,3-cd)-pyren (CAS 193- 39-5, EU 205-893-2), ohne Anthracen, Fluoranthen und Naphthalin, die separat aufgeführt sind.</w:t>
            </w:r>
          </w:p>
          <w:p>
            <w:pPr>
              <w:pStyle w:val="GesAbsatz"/>
              <w:rPr>
                <w:sz w:val="18"/>
                <w:szCs w:val="18"/>
              </w:rPr>
            </w:pPr>
            <w:r>
              <w:rPr>
                <w:sz w:val="18"/>
                <w:szCs w:val="18"/>
              </w:rPr>
              <w:t>(</w:t>
            </w:r>
            <w:r>
              <w:rPr>
                <w:sz w:val="18"/>
                <w:szCs w:val="18"/>
                <w:vertAlign w:val="superscript"/>
              </w:rPr>
              <w:t>8</w:t>
            </w:r>
            <w:r>
              <w:rPr>
                <w:sz w:val="18"/>
                <w:szCs w:val="18"/>
              </w:rPr>
              <w:t>) Einschließlich Tributylzinn-Kation (CAS 36643-28-4).</w:t>
            </w:r>
          </w:p>
          <w:p>
            <w:pPr>
              <w:pStyle w:val="GesAbsatz"/>
              <w:rPr>
                <w:sz w:val="18"/>
                <w:szCs w:val="18"/>
              </w:rPr>
            </w:pPr>
            <w:r>
              <w:rPr>
                <w:sz w:val="18"/>
                <w:szCs w:val="18"/>
              </w:rPr>
              <w:t>(</w:t>
            </w:r>
            <w:r>
              <w:rPr>
                <w:sz w:val="18"/>
                <w:szCs w:val="18"/>
                <w:vertAlign w:val="superscript"/>
              </w:rPr>
              <w:t>9</w:t>
            </w:r>
            <w:r>
              <w:rPr>
                <w:sz w:val="18"/>
                <w:szCs w:val="18"/>
              </w:rPr>
              <w:t>) Dies bezieht sich auf die folgenden Verbindungen: 7 polychlorierte Dibenzoparadioxine (PCDD) 2,3,7,8-T4CDD (CAS 1746-01-6), 1,2,3,7,8-P5CDD (CAS 40321-76-4), 1,2,3,4,7,8- H6CDD (CAS 39227-28-6), 1,2,3,6,7,8-H6CDD (CAS 57653-85-7), 1,2,3,7,8,9-H6CDD (CAS 19408-74-3), 1,2,3,4,6,7,8-H7CDD (CAS 35822-46-9), 1,2,3,4,6,7,8,9-O8CDD (CAS 3268-87-9) 10 polychlorierte Dibenzofurane (PCDF): 2,3,7,8-T4CDF (CAS 51207-31-9), 1,2,3,7,8-P5CDF (CAS 57117-41-6), 2,3,4,7,8-P5CDF (CAS 57117-31-4), 1,2,3,4,7,8-H6CDF (CAS 70648-26-9), 1,2,3,6,7,8-H6CDF (CAS 57117-44-9), 1,2,3,7,8,9-H6CDF (CAS 72918- 21-9), 2,3,4,6,7,8-H6CDF (CAS 60851-34-5), 1,2,3,4,6,7,8-H7CDF (CAS 67562-39-4), 1,2,3,4,7,8,9-H7CDF (CAS 55673-89-7), 1,2,3,4,6,7,8,9-O8CDF (CAS 39001-02-0) 12 dioxinähnliche polychlorierte Biphenyle (PCB-DL): 3,3‘,4,4’-T4CB (PCB 77, CAS 32598-13-3), 3,3‘,4‘,5-T4CB (PCB 81, CAS 70362-50-4), 2,3,3‘,4,4’-P5CB (PCB 105, CAS 32598-14-4), 2,3,4,4‘,5-P5CB (PCB 114, CAS 74472-37-0), 2,3‘,4,4‘,5-P5CB (PCB 118, CAS 31508-00-6), 2,3‘,4,4’,5’-P5CB (PCB 123, CAS 65510-44-3), 3,3‘,4,4‘,5-P5CB (PCB 126, CAS 57465-28-8), 2,3,3‘,4,4‘,5- H6CB (PCB 156, CAS 38380-08-4), 2,3,3‘,4,4’,5’-H6CB (PCB 157, CAS 69782-90-7), 2,3‘,4,4‘,5,5’-H6CB (PCB 167, CAS 52663-72- 6), 3,3‘,4,4‘,5,5’-H6CB (PCB 169, CAS 32774-16-6), 2,3,3‘,4,4‘,5,5’-H7CB (PCB 189, CAS 39635-31-9).</w:t>
            </w:r>
          </w:p>
          <w:p>
            <w:pPr>
              <w:pStyle w:val="GesAbsatz"/>
              <w:rPr>
                <w:sz w:val="18"/>
                <w:szCs w:val="18"/>
              </w:rPr>
            </w:pPr>
            <w:r>
              <w:rPr>
                <w:sz w:val="18"/>
                <w:szCs w:val="18"/>
              </w:rPr>
              <w:t>(</w:t>
            </w:r>
            <w:r>
              <w:rPr>
                <w:sz w:val="18"/>
                <w:szCs w:val="18"/>
                <w:vertAlign w:val="superscript"/>
              </w:rPr>
              <w:t>10</w:t>
            </w:r>
            <w:r>
              <w:rPr>
                <w:sz w:val="18"/>
                <w:szCs w:val="18"/>
              </w:rPr>
              <w:t>) CAS 52315-07-8 bezieht sich auf eine Isomermischung von Cypermethrin, Alpha-Cypermethrin (CAS 67375-30-8), Beta-Cypermethrin (CAS 65731-84-2), Theta-Cypermethrin (CAS 71697-59-1) und Zeta-Cypermethrin (52315-07-8).</w:t>
            </w:r>
          </w:p>
          <w:p>
            <w:pPr>
              <w:pStyle w:val="GesAbsatz"/>
              <w:rPr>
                <w:sz w:val="18"/>
                <w:szCs w:val="18"/>
              </w:rPr>
            </w:pPr>
            <w:r>
              <w:rPr>
                <w:sz w:val="18"/>
                <w:szCs w:val="18"/>
              </w:rPr>
              <w:t>(</w:t>
            </w:r>
            <w:r>
              <w:rPr>
                <w:sz w:val="18"/>
                <w:szCs w:val="18"/>
                <w:vertAlign w:val="superscript"/>
              </w:rPr>
              <w:t>11</w:t>
            </w:r>
            <w:r>
              <w:rPr>
                <w:sz w:val="18"/>
                <w:szCs w:val="18"/>
              </w:rPr>
              <w:t>) Dies bezieht sich auf 1,3,5,7,9,11-Hexabromcyclododecan (CAS 25637-99-4), 1,2,5,6,9,10-Hexabromocyclododecan (CAS 3194-55- 6), α-α-Hexabromocyclododecan (CAS 134237-50-6), β-β-Hexabromocyclododecan (CAS 134237-51-7) und γ-Hexabromocyclododecan (CAS 134237-52-8).</w:t>
            </w:r>
          </w:p>
        </w:tc>
      </w:tr>
    </w:tbl>
    <w:p>
      <w:pPr>
        <w:pStyle w:val="GesAbsatz"/>
      </w:pPr>
    </w:p>
    <w:p>
      <w:pPr>
        <w:pStyle w:val="berschrift2"/>
        <w:jc w:val="left"/>
      </w:pPr>
      <w:bookmarkStart w:id="38" w:name="_Toc143862498"/>
      <w:r>
        <w:t>Anhang XI</w:t>
      </w:r>
      <w:bookmarkEnd w:id="38"/>
    </w:p>
    <w:p>
      <w:pPr>
        <w:pStyle w:val="GesAbsatz"/>
        <w:jc w:val="center"/>
        <w:rPr>
          <w:b/>
        </w:rPr>
      </w:pPr>
      <w:r>
        <w:rPr>
          <w:b/>
        </w:rPr>
        <w:t>KARTE A</w:t>
      </w:r>
    </w:p>
    <w:p>
      <w:pPr>
        <w:pStyle w:val="GesAbsatz"/>
        <w:jc w:val="center"/>
        <w:rPr>
          <w:b/>
        </w:rPr>
      </w:pPr>
      <w:r>
        <w:rPr>
          <w:b/>
        </w:rPr>
        <w:t>System A: Ökoregionen für Flüsse und Seen</w:t>
      </w:r>
    </w:p>
    <w:p>
      <w:pPr>
        <w:pStyle w:val="GesAbsatz"/>
      </w:pPr>
      <w:r>
        <w:t>1.</w:t>
      </w:r>
      <w:r>
        <w:tab/>
        <w:t>Iberisch-makaronesische Region</w:t>
      </w:r>
    </w:p>
    <w:p>
      <w:pPr>
        <w:pStyle w:val="GesAbsatz"/>
      </w:pPr>
      <w:r>
        <w:t>2.</w:t>
      </w:r>
      <w:r>
        <w:tab/>
        <w:t>Pyrenäen</w:t>
      </w:r>
    </w:p>
    <w:p>
      <w:pPr>
        <w:pStyle w:val="GesAbsatz"/>
      </w:pPr>
      <w:r>
        <w:t>3.</w:t>
      </w:r>
      <w:r>
        <w:tab/>
        <w:t>Italien, Korsika und Malta</w:t>
      </w:r>
    </w:p>
    <w:p>
      <w:pPr>
        <w:pStyle w:val="GesAbsatz"/>
      </w:pPr>
      <w:r>
        <w:t>4.</w:t>
      </w:r>
      <w:r>
        <w:tab/>
        <w:t>Alpen</w:t>
      </w:r>
    </w:p>
    <w:p>
      <w:pPr>
        <w:pStyle w:val="GesAbsatz"/>
      </w:pPr>
      <w:r>
        <w:t>5.</w:t>
      </w:r>
      <w:r>
        <w:tab/>
        <w:t>Dinarischer Westbalkan</w:t>
      </w:r>
    </w:p>
    <w:p>
      <w:pPr>
        <w:pStyle w:val="GesAbsatz"/>
      </w:pPr>
      <w:r>
        <w:t>6.</w:t>
      </w:r>
      <w:r>
        <w:tab/>
        <w:t>Hellenischer Westbalkan</w:t>
      </w:r>
    </w:p>
    <w:p>
      <w:pPr>
        <w:pStyle w:val="GesAbsatz"/>
      </w:pPr>
      <w:r>
        <w:t>7.</w:t>
      </w:r>
      <w:r>
        <w:tab/>
        <w:t>Ostbalkan</w:t>
      </w:r>
    </w:p>
    <w:p>
      <w:pPr>
        <w:pStyle w:val="GesAbsatz"/>
      </w:pPr>
      <w:r>
        <w:t>8.</w:t>
      </w:r>
      <w:r>
        <w:tab/>
        <w:t>Westliche Mittelgebirge</w:t>
      </w:r>
    </w:p>
    <w:p>
      <w:pPr>
        <w:pStyle w:val="GesAbsatz"/>
      </w:pPr>
      <w:r>
        <w:t>9.</w:t>
      </w:r>
      <w:r>
        <w:tab/>
        <w:t>Zentrales Mittelgebirge</w:t>
      </w:r>
    </w:p>
    <w:p>
      <w:pPr>
        <w:pStyle w:val="GesAbsatz"/>
      </w:pPr>
      <w:r>
        <w:t>10.</w:t>
      </w:r>
      <w:r>
        <w:tab/>
        <w:t>Karpaten</w:t>
      </w:r>
    </w:p>
    <w:p>
      <w:pPr>
        <w:pStyle w:val="GesAbsatz"/>
      </w:pPr>
      <w:r>
        <w:lastRenderedPageBreak/>
        <w:t>11.</w:t>
      </w:r>
      <w:r>
        <w:tab/>
        <w:t>Ungarische Tiefebene</w:t>
      </w:r>
    </w:p>
    <w:p>
      <w:pPr>
        <w:pStyle w:val="GesAbsatz"/>
      </w:pPr>
      <w:r>
        <w:t>12.</w:t>
      </w:r>
      <w:r>
        <w:tab/>
        <w:t>Pontisches Gebiet</w:t>
      </w:r>
    </w:p>
    <w:p>
      <w:pPr>
        <w:pStyle w:val="GesAbsatz"/>
      </w:pPr>
      <w:r>
        <w:t>13.</w:t>
      </w:r>
      <w:r>
        <w:tab/>
        <w:t>Westliches Flachland</w:t>
      </w:r>
    </w:p>
    <w:p>
      <w:pPr>
        <w:pStyle w:val="GesAbsatz"/>
      </w:pPr>
      <w:r>
        <w:t>14.</w:t>
      </w:r>
      <w:r>
        <w:tab/>
        <w:t>Zentrales Flachland</w:t>
      </w:r>
    </w:p>
    <w:p>
      <w:pPr>
        <w:pStyle w:val="GesAbsatz"/>
      </w:pPr>
      <w:r>
        <w:t>15.</w:t>
      </w:r>
      <w:r>
        <w:tab/>
        <w:t>Baltikum</w:t>
      </w:r>
    </w:p>
    <w:p>
      <w:pPr>
        <w:pStyle w:val="GesAbsatz"/>
      </w:pPr>
      <w:r>
        <w:t>16.</w:t>
      </w:r>
      <w:r>
        <w:tab/>
        <w:t>Östliches Flachland</w:t>
      </w:r>
    </w:p>
    <w:p>
      <w:pPr>
        <w:pStyle w:val="GesAbsatz"/>
      </w:pPr>
      <w:r>
        <w:t>17.</w:t>
      </w:r>
      <w:r>
        <w:tab/>
        <w:t>Irland und Nordirland</w:t>
      </w:r>
    </w:p>
    <w:p>
      <w:pPr>
        <w:pStyle w:val="GesAbsatz"/>
      </w:pPr>
      <w:r>
        <w:t>18.</w:t>
      </w:r>
      <w:r>
        <w:tab/>
        <w:t>Großbritannien</w:t>
      </w:r>
    </w:p>
    <w:p>
      <w:pPr>
        <w:pStyle w:val="GesAbsatz"/>
      </w:pPr>
      <w:r>
        <w:t>19.</w:t>
      </w:r>
      <w:r>
        <w:tab/>
        <w:t>Island</w:t>
      </w:r>
    </w:p>
    <w:p>
      <w:pPr>
        <w:pStyle w:val="GesAbsatz"/>
      </w:pPr>
      <w:r>
        <w:t>20.</w:t>
      </w:r>
      <w:r>
        <w:tab/>
        <w:t>Boreales Hochland</w:t>
      </w:r>
    </w:p>
    <w:p>
      <w:pPr>
        <w:pStyle w:val="GesAbsatz"/>
      </w:pPr>
      <w:r>
        <w:t>21.</w:t>
      </w:r>
      <w:r>
        <w:tab/>
        <w:t>Tundra</w:t>
      </w:r>
    </w:p>
    <w:p>
      <w:pPr>
        <w:pStyle w:val="GesAbsatz"/>
      </w:pPr>
      <w:r>
        <w:t>22.</w:t>
      </w:r>
      <w:r>
        <w:tab/>
        <w:t>Fennoskandia</w:t>
      </w:r>
    </w:p>
    <w:p>
      <w:pPr>
        <w:pStyle w:val="GesAbsatz"/>
      </w:pPr>
      <w:r>
        <w:t>23.</w:t>
      </w:r>
      <w:r>
        <w:tab/>
        <w:t>Taiga</w:t>
      </w:r>
    </w:p>
    <w:p>
      <w:pPr>
        <w:pStyle w:val="GesAbsatz"/>
      </w:pPr>
      <w:r>
        <w:t>24.</w:t>
      </w:r>
      <w:r>
        <w:tab/>
        <w:t>Kaukasus</w:t>
      </w:r>
    </w:p>
    <w:p>
      <w:pPr>
        <w:pStyle w:val="GesAbsatz"/>
      </w:pPr>
      <w:r>
        <w:t>25.</w:t>
      </w:r>
      <w:r>
        <w:tab/>
        <w:t>Kaspische Senke</w:t>
      </w:r>
    </w:p>
    <w:p>
      <w:pPr>
        <w:pStyle w:val="GesAbsatz"/>
      </w:pPr>
      <w:r>
        <w:rPr>
          <w:noProof/>
        </w:rPr>
        <w:drawing>
          <wp:inline distT="0" distB="0" distL="0" distR="0">
            <wp:extent cx="6116320" cy="617664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6320" cy="6176645"/>
                    </a:xfrm>
                    <a:prstGeom prst="rect">
                      <a:avLst/>
                    </a:prstGeom>
                    <a:noFill/>
                    <a:ln>
                      <a:noFill/>
                    </a:ln>
                  </pic:spPr>
                </pic:pic>
              </a:graphicData>
            </a:graphic>
          </wp:inline>
        </w:drawing>
      </w:r>
    </w:p>
    <w:p>
      <w:pPr>
        <w:pStyle w:val="GesAbsatz"/>
        <w:jc w:val="center"/>
        <w:rPr>
          <w:b/>
        </w:rPr>
      </w:pPr>
      <w:r>
        <w:br w:type="page"/>
      </w:r>
      <w:r>
        <w:rPr>
          <w:b/>
        </w:rPr>
        <w:lastRenderedPageBreak/>
        <w:t>KARTE B</w:t>
      </w:r>
    </w:p>
    <w:p>
      <w:pPr>
        <w:pStyle w:val="GesAbsatz"/>
        <w:jc w:val="center"/>
        <w:rPr>
          <w:b/>
        </w:rPr>
      </w:pPr>
      <w:r>
        <w:rPr>
          <w:b/>
        </w:rPr>
        <w:t>System A: Ökoregionen für Übergangsgewässer und Küstengewässer</w:t>
      </w:r>
    </w:p>
    <w:p>
      <w:pPr>
        <w:pStyle w:val="GesAbsatz"/>
      </w:pPr>
      <w:r>
        <w:rPr>
          <w:noProof/>
        </w:rPr>
        <w:drawing>
          <wp:inline distT="0" distB="0" distL="0" distR="0">
            <wp:extent cx="6116320" cy="7038975"/>
            <wp:effectExtent l="0" t="0" r="0" b="9525"/>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6320" cy="7038975"/>
                    </a:xfrm>
                    <a:prstGeom prst="rect">
                      <a:avLst/>
                    </a:prstGeom>
                    <a:noFill/>
                    <a:ln>
                      <a:noFill/>
                    </a:ln>
                  </pic:spPr>
                </pic:pic>
              </a:graphicData>
            </a:graphic>
          </wp:inline>
        </w:drawing>
      </w:r>
    </w:p>
    <w:p>
      <w:pPr>
        <w:pStyle w:val="GesAbsatz"/>
      </w:pPr>
      <w:r>
        <w:t>1.</w:t>
      </w:r>
      <w:r>
        <w:tab/>
        <w:t>Atlantik</w:t>
      </w:r>
    </w:p>
    <w:p>
      <w:pPr>
        <w:pStyle w:val="GesAbsatz"/>
      </w:pPr>
      <w:r>
        <w:t>2.</w:t>
      </w:r>
      <w:r>
        <w:tab/>
        <w:t>Norwegische See</w:t>
      </w:r>
    </w:p>
    <w:p>
      <w:pPr>
        <w:pStyle w:val="GesAbsatz"/>
      </w:pPr>
      <w:r>
        <w:t>3.</w:t>
      </w:r>
      <w:r>
        <w:tab/>
        <w:t>Barentssee</w:t>
      </w:r>
    </w:p>
    <w:p>
      <w:pPr>
        <w:pStyle w:val="GesAbsatz"/>
      </w:pPr>
      <w:r>
        <w:t>4.</w:t>
      </w:r>
      <w:r>
        <w:tab/>
        <w:t>Nordsee</w:t>
      </w:r>
    </w:p>
    <w:p>
      <w:pPr>
        <w:pStyle w:val="GesAbsatz"/>
      </w:pPr>
      <w:r>
        <w:t>5.</w:t>
      </w:r>
      <w:r>
        <w:tab/>
        <w:t>Ostsee</w:t>
      </w:r>
    </w:p>
    <w:p>
      <w:pPr>
        <w:pStyle w:val="GesAbsatz"/>
      </w:pPr>
      <w:r>
        <w:t>6.</w:t>
      </w:r>
      <w:r>
        <w:tab/>
        <w:t>Mittelmeer</w:t>
      </w:r>
    </w:p>
    <w:p>
      <w:pPr>
        <w:pStyle w:val="GesAbsatz"/>
      </w:pPr>
    </w:p>
    <w:sectPr>
      <w:pgSz w:w="11907" w:h="16840" w:code="9"/>
      <w:pgMar w:top="1134" w:right="851" w:bottom="1134" w:left="1418" w:header="56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dve 0663 3w">
    <w:altName w:val="Adve 0663 3w"/>
    <w:panose1 w:val="00000000000000000000"/>
    <w:charset w:val="00"/>
    <w:family w:val="auto"/>
    <w:notTrueType/>
    <w:pitch w:val="default"/>
    <w:sig w:usb0="00000003" w:usb1="00000000" w:usb2="00000000" w:usb3="00000000" w:csb0="00000001" w:csb1="00000000"/>
  </w:font>
  <w:font w:name="Adve 0661 3w">
    <w:altName w:val="Adve 0661 3w"/>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ind w:right="-1"/>
    </w:pPr>
    <w:r>
      <w:tab/>
      <w:t>23.10.2000 (ABl. L 327 v. 22.12.2000 S. 1)</w:t>
    </w:r>
    <w:r>
      <w:tab/>
      <w:t xml:space="preserve">Seite </w:t>
    </w:r>
    <w:r>
      <w:fldChar w:fldCharType="begin"/>
    </w:r>
    <w:r>
      <w:instrText xml:space="preserve"> PAGE  \* MERGEFORMAT </w:instrText>
    </w:r>
    <w:r>
      <w:fldChar w:fldCharType="separate"/>
    </w:r>
    <w:r>
      <w:rPr>
        <w:noProof/>
      </w:rPr>
      <w:t>1</w:t>
    </w:r>
    <w:r>
      <w:fldChar w:fldCharType="end"/>
    </w:r>
  </w:p>
  <w:p>
    <w:pPr>
      <w:pStyle w:val="Fuzeile"/>
      <w:ind w:right="-1"/>
    </w:pPr>
    <w:r>
      <w:tab/>
      <w:t>Stand 30.10.2014 (ABl. L 311 v. 31.10.2014 S. 32)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 w:id="1">
    <w:p>
      <w:pPr>
        <w:pStyle w:val="Funotentext"/>
      </w:pPr>
      <w:r>
        <w:rPr>
          <w:rStyle w:val="Funotenzeichen"/>
        </w:rPr>
        <w:footnoteRef/>
      </w:r>
      <w:r>
        <w:t xml:space="preserve"> ABl. C 184 vom 17.6.1997, S. 20, ABl. C 16 vom 20.1.1998, S. 14 und ABl. C 108 vom 7.4.1998, S. 94.</w:t>
      </w:r>
    </w:p>
  </w:footnote>
  <w:footnote w:id="2">
    <w:p>
      <w:pPr>
        <w:pStyle w:val="Funotentext"/>
      </w:pPr>
      <w:r>
        <w:rPr>
          <w:rStyle w:val="Funotenzeichen"/>
        </w:rPr>
        <w:footnoteRef/>
      </w:r>
      <w:r>
        <w:t xml:space="preserve"> ABl. C 355 vom 21.11.1997, S. 83.</w:t>
      </w:r>
    </w:p>
  </w:footnote>
  <w:footnote w:id="3">
    <w:p>
      <w:pPr>
        <w:pStyle w:val="Funotentext"/>
      </w:pPr>
      <w:r>
        <w:rPr>
          <w:rStyle w:val="Funotenzeichen"/>
        </w:rPr>
        <w:footnoteRef/>
      </w:r>
      <w:r>
        <w:t xml:space="preserve"> ABl. C 180 vom 11.6.1998, S. 38.</w:t>
      </w:r>
    </w:p>
  </w:footnote>
  <w:footnote w:id="4">
    <w:p>
      <w:pPr>
        <w:pStyle w:val="Funotentext"/>
      </w:pPr>
      <w:r>
        <w:rPr>
          <w:rStyle w:val="Funotenzeichen"/>
        </w:rPr>
        <w:footnoteRef/>
      </w:r>
      <w:r>
        <w:t xml:space="preserve"> Stellungnahme des Europäischen Parlaments vom 11. Februar 1999 (ABl. C 150 vom 28.5.1999, S. 419), bestätigt am 16. September 1999. Gemeinsamer Standpunkt des Rates vom 22. Oktober 1999 (ABl. C 343 vom 30.11.1999, S. 1) und Beschluss des Europäischen Parlaments vom 16. Februar 2000 (noch nicht im Amtsblatt veröffentlicht). Beschluss des Europäischen Parlaments vom 7. September 2000 und Beschluss des Rates vom 14. September 2000.</w:t>
      </w:r>
    </w:p>
  </w:footnote>
  <w:footnote w:id="5">
    <w:p>
      <w:pPr>
        <w:pStyle w:val="Funotentext"/>
      </w:pPr>
      <w:r>
        <w:rPr>
          <w:rStyle w:val="Funotenzeichen"/>
        </w:rPr>
        <w:footnoteRef/>
      </w:r>
      <w:r>
        <w:t xml:space="preserve"> ABl. C 209 vom 9.8.1988, S. 3.</w:t>
      </w:r>
    </w:p>
  </w:footnote>
  <w:footnote w:id="6">
    <w:p>
      <w:pPr>
        <w:pStyle w:val="Funotentext"/>
      </w:pPr>
      <w:r>
        <w:rPr>
          <w:rStyle w:val="Funotenzeichen"/>
        </w:rPr>
        <w:footnoteRef/>
      </w:r>
      <w:r>
        <w:t xml:space="preserve"> ABl. C 59 vom 6.3.1992, S. 2.</w:t>
      </w:r>
    </w:p>
  </w:footnote>
  <w:footnote w:id="7">
    <w:p>
      <w:pPr>
        <w:pStyle w:val="Funotentext"/>
      </w:pPr>
      <w:r>
        <w:rPr>
          <w:rStyle w:val="Funotenzeichen"/>
        </w:rPr>
        <w:footnoteRef/>
      </w:r>
      <w:r>
        <w:t xml:space="preserve"> ABl. C 49 vom 28.2.1995, S. 1.</w:t>
      </w:r>
    </w:p>
  </w:footnote>
  <w:footnote w:id="8">
    <w:p>
      <w:pPr>
        <w:pStyle w:val="Funotentext"/>
      </w:pPr>
      <w:r>
        <w:rPr>
          <w:rStyle w:val="Funotenzeichen"/>
        </w:rPr>
        <w:footnoteRef/>
      </w:r>
      <w:r>
        <w:t xml:space="preserve"> ABl. L 20 vom 26.1.1980, S. 43. Richtlinie geändert durch die Richtlinie 91/692/EWG (ABl. L 377 vom 31.12.1991, S. 48).</w:t>
      </w:r>
    </w:p>
  </w:footnote>
  <w:footnote w:id="9">
    <w:p>
      <w:pPr>
        <w:pStyle w:val="Funotentext"/>
      </w:pPr>
      <w:r>
        <w:rPr>
          <w:rStyle w:val="Funotenzeichen"/>
        </w:rPr>
        <w:footnoteRef/>
      </w:r>
      <w:r>
        <w:t xml:space="preserve"> ABl. C 355 vom 25.11.1996, S. 1.</w:t>
      </w:r>
    </w:p>
  </w:footnote>
  <w:footnote w:id="10">
    <w:p>
      <w:pPr>
        <w:pStyle w:val="Funotentext"/>
      </w:pPr>
      <w:r>
        <w:rPr>
          <w:rStyle w:val="Funotenzeichen"/>
        </w:rPr>
        <w:footnoteRef/>
      </w:r>
      <w:r>
        <w:t xml:space="preserve"> ABl. C 281 vom 26.9.1996, S. 3.</w:t>
      </w:r>
    </w:p>
  </w:footnote>
  <w:footnote w:id="11">
    <w:p>
      <w:pPr>
        <w:pStyle w:val="Funotentext"/>
      </w:pPr>
      <w:r>
        <w:rPr>
          <w:rStyle w:val="Funotenzeichen"/>
        </w:rPr>
        <w:footnoteRef/>
      </w:r>
      <w:r>
        <w:t xml:space="preserve"> ABl. L 73 vom 16.3.1994, S. 19.</w:t>
      </w:r>
    </w:p>
  </w:footnote>
  <w:footnote w:id="12">
    <w:p>
      <w:pPr>
        <w:pStyle w:val="Funotentext"/>
      </w:pPr>
      <w:r>
        <w:rPr>
          <w:rStyle w:val="Funotenzeichen"/>
        </w:rPr>
        <w:footnoteRef/>
      </w:r>
      <w:r>
        <w:t xml:space="preserve"> ABl. L 104 vom 3.4.1998, S. 1.</w:t>
      </w:r>
    </w:p>
  </w:footnote>
  <w:footnote w:id="13">
    <w:p>
      <w:pPr>
        <w:pStyle w:val="Funotentext"/>
      </w:pPr>
      <w:r>
        <w:rPr>
          <w:rStyle w:val="Funotenzeichen"/>
        </w:rPr>
        <w:footnoteRef/>
      </w:r>
      <w:r>
        <w:t xml:space="preserve"> ABl. L 240 vom 19.9.1977, S. 1.</w:t>
      </w:r>
    </w:p>
  </w:footnote>
  <w:footnote w:id="14">
    <w:p>
      <w:pPr>
        <w:pStyle w:val="Funotentext"/>
      </w:pPr>
      <w:r>
        <w:rPr>
          <w:rStyle w:val="Funotenzeichen"/>
        </w:rPr>
        <w:footnoteRef/>
      </w:r>
      <w:r>
        <w:t xml:space="preserve"> ABl. L 67 vom 12.3.1983, S. 1.</w:t>
      </w:r>
    </w:p>
  </w:footnote>
  <w:footnote w:id="15">
    <w:p>
      <w:pPr>
        <w:pStyle w:val="Funotentext"/>
      </w:pPr>
      <w:r>
        <w:rPr>
          <w:rStyle w:val="Funotenzeichen"/>
        </w:rPr>
        <w:footnoteRef/>
      </w:r>
      <w:r>
        <w:t xml:space="preserve"> ABl. L 186 vom 5.8.1995, S. 42.</w:t>
      </w:r>
    </w:p>
  </w:footnote>
  <w:footnote w:id="16">
    <w:p>
      <w:pPr>
        <w:pStyle w:val="Funotentext"/>
      </w:pPr>
      <w:r>
        <w:rPr>
          <w:rStyle w:val="Funotenzeichen"/>
        </w:rPr>
        <w:footnoteRef/>
      </w:r>
      <w:r>
        <w:t xml:space="preserve"> ABl. L 229 vom 30.8.1980, S. 11. Richtlinie zuletzt geändert durch die Richtlinie 98/83/EG (ABl. L 330 vom 5.12.1998, S. 32).</w:t>
      </w:r>
    </w:p>
  </w:footnote>
  <w:footnote w:id="17">
    <w:p>
      <w:pPr>
        <w:pStyle w:val="Funotentext"/>
      </w:pPr>
      <w:r>
        <w:rPr>
          <w:rStyle w:val="Funotenzeichen"/>
        </w:rPr>
        <w:footnoteRef/>
      </w:r>
      <w:r>
        <w:t xml:space="preserve"> ABl. L 184 vom 17.7.1999, S. 23.</w:t>
      </w:r>
    </w:p>
  </w:footnote>
  <w:footnote w:id="18">
    <w:p>
      <w:pPr>
        <w:pStyle w:val="Funotentext"/>
      </w:pPr>
      <w:r>
        <w:rPr>
          <w:rStyle w:val="Funotenzeichen"/>
        </w:rPr>
        <w:footnoteRef/>
      </w:r>
      <w:r>
        <w:t xml:space="preserve"> ABl. L 129 vom 18.5.1976, S. 23. Richtlinie geändert durch die Richtlinie 91/692/EWG (ABl. L 377 vom 31.12.1991, S. 48).</w:t>
      </w:r>
    </w:p>
  </w:footnote>
  <w:footnote w:id="19">
    <w:p>
      <w:pPr>
        <w:pStyle w:val="Funotentext"/>
      </w:pPr>
      <w:r>
        <w:rPr>
          <w:rStyle w:val="Funotenzeichen"/>
        </w:rPr>
        <w:footnoteRef/>
      </w:r>
      <w:r>
        <w:t xml:space="preserve"> ABl. L 257 vom 10.10.1996, S. 26.</w:t>
      </w:r>
    </w:p>
  </w:footnote>
  <w:footnote w:id="20">
    <w:p>
      <w:pPr>
        <w:pStyle w:val="Funotentext"/>
      </w:pPr>
      <w:r>
        <w:rPr>
          <w:rStyle w:val="Funotenzeichen"/>
        </w:rPr>
        <w:footnoteRef/>
      </w:r>
      <w:r>
        <w:t xml:space="preserve"> ABl. L 135 vom 30.5.1991, S. 40. Richtlinie geändert durch die Richtlinie 98/15/EG der Kommission (ABl. L 67 vom 7.3.1998, S. 29).</w:t>
      </w:r>
    </w:p>
  </w:footnote>
  <w:footnote w:id="21">
    <w:p>
      <w:pPr>
        <w:pStyle w:val="Funotentext"/>
      </w:pPr>
      <w:r>
        <w:rPr>
          <w:rStyle w:val="Funotenzeichen"/>
        </w:rPr>
        <w:footnoteRef/>
      </w:r>
      <w:r>
        <w:t xml:space="preserve"> ABl. L 375 vom 31.12.1991, S. 1.</w:t>
      </w:r>
    </w:p>
  </w:footnote>
  <w:footnote w:id="22">
    <w:p>
      <w:pPr>
        <w:pStyle w:val="Funotentext"/>
      </w:pPr>
      <w:r>
        <w:rPr>
          <w:rStyle w:val="Funotenzeichen"/>
        </w:rPr>
        <w:footnoteRef/>
      </w:r>
      <w:r>
        <w:t xml:space="preserve"> ABl. L 140 vom 5.6.2009, S. 114.</w:t>
      </w:r>
    </w:p>
  </w:footnote>
  <w:footnote w:id="23">
    <w:p>
      <w:pPr>
        <w:pStyle w:val="Funotentext"/>
      </w:pPr>
      <w:r>
        <w:rPr>
          <w:rStyle w:val="Funotenzeichen"/>
        </w:rPr>
        <w:footnoteRef/>
      </w:r>
      <w:r>
        <w:t xml:space="preserve"> ABl. L 84 vom 5.4.1993, S. 1.</w:t>
      </w:r>
    </w:p>
  </w:footnote>
  <w:footnote w:id="24">
    <w:p>
      <w:pPr>
        <w:pStyle w:val="Funotentext"/>
      </w:pPr>
      <w:r>
        <w:rPr>
          <w:rStyle w:val="Funotenzeichen"/>
        </w:rPr>
        <w:footnoteRef/>
      </w:r>
      <w:r>
        <w:t xml:space="preserve"> ABl. L 230 vom 19.8.1991, S. 1. Richtlinie zuletzt geändert durch die Richtlinie 98/47/EG (ABl. L 191 vom 7.7.1998, S. 50).</w:t>
      </w:r>
    </w:p>
  </w:footnote>
  <w:footnote w:id="25">
    <w:p>
      <w:pPr>
        <w:pStyle w:val="Funotentext"/>
      </w:pPr>
      <w:r>
        <w:rPr>
          <w:rStyle w:val="Funotenzeichen"/>
        </w:rPr>
        <w:footnoteRef/>
      </w:r>
      <w:r>
        <w:t xml:space="preserve"> ABl. L 123 vom 24.4.1998, S. 1.</w:t>
      </w:r>
    </w:p>
  </w:footnote>
  <w:footnote w:id="26">
    <w:p>
      <w:pPr>
        <w:pStyle w:val="Funotentext"/>
      </w:pPr>
      <w:r>
        <w:rPr>
          <w:rStyle w:val="Funotenzeichen"/>
        </w:rPr>
        <w:footnoteRef/>
      </w:r>
      <w:r>
        <w:t xml:space="preserve"> ABl. L 194 vom 25.7.1975, S. 26. Richtlinie zuletzt geändert durch die Richtlinie 91/692/EWG.</w:t>
      </w:r>
    </w:p>
  </w:footnote>
  <w:footnote w:id="27">
    <w:p>
      <w:pPr>
        <w:pStyle w:val="Funotentext"/>
      </w:pPr>
      <w:r>
        <w:rPr>
          <w:rStyle w:val="Funotenzeichen"/>
        </w:rPr>
        <w:footnoteRef/>
      </w:r>
      <w:r>
        <w:t xml:space="preserve"> ABl. L 334 vom 24.12.1977, S. 29. Entscheidung zuletzt geändert durch die Beitrittsakte von 1994.</w:t>
      </w:r>
    </w:p>
  </w:footnote>
  <w:footnote w:id="28">
    <w:p>
      <w:pPr>
        <w:pStyle w:val="Funotentext"/>
      </w:pPr>
      <w:r>
        <w:rPr>
          <w:rStyle w:val="Funotenzeichen"/>
        </w:rPr>
        <w:footnoteRef/>
      </w:r>
      <w:r>
        <w:t xml:space="preserve"> ABl. L 271 vom 29.10.1979, S. 44. Richtlinie zuletzt geändert durch die Beitrittsakte von 1994.</w:t>
      </w:r>
    </w:p>
  </w:footnote>
  <w:footnote w:id="29">
    <w:p>
      <w:pPr>
        <w:pStyle w:val="Funotentext"/>
      </w:pPr>
      <w:r>
        <w:rPr>
          <w:rStyle w:val="Funotenzeichen"/>
        </w:rPr>
        <w:footnoteRef/>
      </w:r>
      <w:r>
        <w:t xml:space="preserve"> ABl. L 222 vom 14.8.1978, S. 1. Richtlinie zuletzt geändert durch die Beitrittsakte von 1994.</w:t>
      </w:r>
    </w:p>
  </w:footnote>
  <w:footnote w:id="30">
    <w:p>
      <w:pPr>
        <w:pStyle w:val="Funotentext"/>
      </w:pPr>
      <w:r>
        <w:rPr>
          <w:rStyle w:val="Funotenzeichen"/>
        </w:rPr>
        <w:footnoteRef/>
      </w:r>
      <w:r>
        <w:t xml:space="preserve"> ABl. L 281 vom 10.11.1979, S. 47. Richtlinie geändert durch die Richtlinie 91/692/EWG.</w:t>
      </w:r>
    </w:p>
  </w:footnote>
  <w:footnote w:id="31">
    <w:p>
      <w:pPr>
        <w:pStyle w:val="Funotentext"/>
      </w:pPr>
      <w:r>
        <w:rPr>
          <w:rStyle w:val="Funotenzeichen"/>
        </w:rPr>
        <w:footnoteRef/>
      </w:r>
      <w:r>
        <w:t xml:space="preserve"> ABl. L 135 vom 30.5.1991, S. 40. Richtlinie zuletzt geändert durch die Richtlinie 98/15/EG (ABl. L 67 vom 7.3.1998, S. 29).</w:t>
      </w:r>
    </w:p>
  </w:footnote>
  <w:footnote w:id="32">
    <w:p>
      <w:pPr>
        <w:pStyle w:val="Funotentext"/>
      </w:pPr>
      <w:r>
        <w:rPr>
          <w:rStyle w:val="Funotenzeichen"/>
        </w:rPr>
        <w:footnoteRef/>
      </w:r>
      <w:r>
        <w:t xml:space="preserve"> ABl. L 31 vom 5.2.1976, S. 1. Richtlinie zuletzt geändert durch die Beitrittsakte von 1994.</w:t>
      </w:r>
    </w:p>
  </w:footnote>
  <w:footnote w:id="33">
    <w:p>
      <w:pPr>
        <w:pStyle w:val="Funotentext"/>
      </w:pPr>
      <w:r>
        <w:rPr>
          <w:rStyle w:val="Funotenzeichen"/>
        </w:rPr>
        <w:footnoteRef/>
      </w:r>
      <w:r>
        <w:t xml:space="preserve"> ABl. L 281 vom 10.11.1979, S. 47. Richtlinie geändert durch die Richtlinie 91/692/EWG (ABl. L 377 vom 31.12.1991, S. 48).</w:t>
      </w:r>
    </w:p>
  </w:footnote>
  <w:footnote w:id="34">
    <w:p>
      <w:pPr>
        <w:pStyle w:val="Funotentext"/>
      </w:pPr>
      <w:r>
        <w:rPr>
          <w:rStyle w:val="Funotenzeichen"/>
        </w:rPr>
        <w:footnoteRef/>
      </w:r>
      <w:r>
        <w:t xml:space="preserve"> ABl. L 375 vom 31.12.1991, S. 1.</w:t>
      </w:r>
    </w:p>
  </w:footnote>
  <w:footnote w:id="35">
    <w:p>
      <w:pPr>
        <w:pStyle w:val="Funotentext"/>
      </w:pPr>
      <w:r>
        <w:rPr>
          <w:rStyle w:val="Funotenzeichen"/>
        </w:rPr>
        <w:footnoteRef/>
      </w:r>
      <w:r>
        <w:t xml:space="preserve"> ABl. L 206 vom 22.7.1992, S. 7. Richtlinie zuletzt geändert durch die Richtlinie 97/62/EG (ABl. L 305 vom 8.11.1997, S. 42).</w:t>
      </w:r>
    </w:p>
  </w:footnote>
  <w:footnote w:id="36">
    <w:p>
      <w:pPr>
        <w:pStyle w:val="Funotentext"/>
      </w:pPr>
      <w:r>
        <w:rPr>
          <w:rStyle w:val="Funotenzeichen"/>
        </w:rPr>
        <w:footnoteRef/>
      </w:r>
      <w:r>
        <w:t xml:space="preserve"> ABl. L 103 vom 25.4.1979, S. 1. Richtlinie zuletzt geändert durch die Richtlinie 97/49/EG (ABl. L 223 vom 13.8.1997, S. 9).</w:t>
      </w:r>
    </w:p>
  </w:footnote>
  <w:footnote w:id="37">
    <w:p>
      <w:pPr>
        <w:pStyle w:val="Funotentext"/>
      </w:pPr>
      <w:r>
        <w:rPr>
          <w:rStyle w:val="Funotenzeichen"/>
        </w:rPr>
        <w:footnoteRef/>
      </w:r>
      <w:r>
        <w:t xml:space="preserve"> ABl. L 103 vom 25.4.1979, S. 1.</w:t>
      </w:r>
    </w:p>
  </w:footnote>
  <w:footnote w:id="38">
    <w:p>
      <w:pPr>
        <w:pStyle w:val="Funotentext"/>
      </w:pPr>
      <w:r>
        <w:rPr>
          <w:rStyle w:val="Funotenzeichen"/>
        </w:rPr>
        <w:footnoteRef/>
      </w:r>
      <w:r>
        <w:t xml:space="preserve"> ABl. L 10 vom 14.1.1997, S. 13.</w:t>
      </w:r>
    </w:p>
  </w:footnote>
  <w:footnote w:id="39">
    <w:p>
      <w:pPr>
        <w:pStyle w:val="Funotentext"/>
      </w:pPr>
      <w:r>
        <w:rPr>
          <w:rStyle w:val="Funotenzeichen"/>
        </w:rPr>
        <w:footnoteRef/>
      </w:r>
      <w:r>
        <w:t xml:space="preserve"> ABl. L 175 vom 5.7.1985, S. 40. Richtlinie geändert durch die Richtlinie 97/11/EG (ABl. L 73 vom 14.3.1997, S. 5).</w:t>
      </w:r>
    </w:p>
  </w:footnote>
  <w:footnote w:id="40">
    <w:p>
      <w:pPr>
        <w:pStyle w:val="Funotentext"/>
      </w:pPr>
      <w:r>
        <w:rPr>
          <w:rStyle w:val="Funotenzeichen"/>
        </w:rPr>
        <w:footnoteRef/>
      </w:r>
      <w:r>
        <w:t xml:space="preserve"> ABl. L 181 vom 8.7.1986, S. 6.</w:t>
      </w:r>
    </w:p>
  </w:footnote>
  <w:footnote w:id="41">
    <w:p>
      <w:pPr>
        <w:pStyle w:val="Funotentext"/>
      </w:pPr>
      <w:r>
        <w:rPr>
          <w:rStyle w:val="Funotenzeichen"/>
        </w:rPr>
        <w:footnoteRef/>
      </w:r>
      <w:r>
        <w:t xml:space="preserve"> ABl. L 206 vom 22.7.1992, S. 7.</w:t>
      </w:r>
    </w:p>
  </w:footnote>
  <w:footnote w:id="42">
    <w:p>
      <w:pPr>
        <w:pStyle w:val="Funotentext"/>
      </w:pPr>
      <w:r>
        <w:rPr>
          <w:rStyle w:val="Funotenzeichen"/>
        </w:rPr>
        <w:footnoteRef/>
      </w:r>
      <w:r>
        <w:t xml:space="preserve"> ABl. L 81 vom 27.3.1982, S. 29.</w:t>
      </w:r>
    </w:p>
  </w:footnote>
  <w:footnote w:id="43">
    <w:p>
      <w:pPr>
        <w:pStyle w:val="Funotentext"/>
      </w:pPr>
      <w:r>
        <w:rPr>
          <w:rStyle w:val="Funotenzeichen"/>
        </w:rPr>
        <w:footnoteRef/>
      </w:r>
      <w:r>
        <w:t xml:space="preserve"> ABl. L 291 vom 24.10.1983, S. 1.</w:t>
      </w:r>
    </w:p>
  </w:footnote>
  <w:footnote w:id="44">
    <w:p>
      <w:pPr>
        <w:pStyle w:val="Funotentext"/>
      </w:pPr>
      <w:r>
        <w:rPr>
          <w:rStyle w:val="Funotenzeichen"/>
        </w:rPr>
        <w:footnoteRef/>
      </w:r>
      <w:r>
        <w:t xml:space="preserve"> ABl. L 74 vom 17.3.1984, S. 49.</w:t>
      </w:r>
    </w:p>
  </w:footnote>
  <w:footnote w:id="45">
    <w:p>
      <w:pPr>
        <w:pStyle w:val="Funotentext"/>
      </w:pPr>
      <w:r>
        <w:rPr>
          <w:rStyle w:val="Funotenzeichen"/>
        </w:rPr>
        <w:footnoteRef/>
      </w:r>
      <w:r>
        <w:t xml:space="preserve"> ABl. L 274 vom 17.10.1984, S. 11.</w:t>
      </w:r>
    </w:p>
  </w:footnote>
  <w:footnote w:id="46">
    <w:p>
      <w:pPr>
        <w:pStyle w:val="Funotentext"/>
      </w:pPr>
      <w:r>
        <w:rPr>
          <w:rStyle w:val="Funotenzeichen"/>
        </w:rPr>
        <w:footnoteRef/>
      </w:r>
      <w:r>
        <w:t xml:space="preserve"> ABl. L 181 vom 4.7.1986, S. 16.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spacing w:before="0"/>
      <w:rPr>
        <w:b/>
        <w:sz w:val="24"/>
      </w:rPr>
    </w:pPr>
    <w:r>
      <w:rPr>
        <w:b/>
        <w:sz w:val="24"/>
      </w:rPr>
      <w:t>70.0-03</w:t>
    </w:r>
  </w:p>
  <w:p>
    <w:pPr>
      <w:pStyle w:val="Kopfzeile"/>
      <w:spacing w:before="0" w:after="120"/>
    </w:pPr>
    <w:r>
      <w:t>EU-Wasserrahmen-RL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it-IT"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15361"/>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hapeDefaults>
    <o:shapedefaults v:ext="edit" spidmax="15361"/>
    <o:shapelayout v:ext="edit">
      <o:idmap v:ext="edit" data="1"/>
    </o:shapelayout>
  </w:shapeDefaults>
  <w:decimalSymbol w:val=","/>
  <w:listSeparator w:val=";"/>
  <w15:docId w15:val="{A96AC378-1E99-424B-ACF2-DE18AA12A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tabs>
        <w:tab w:val="left" w:pos="425"/>
      </w:tabs>
      <w:overflowPunct w:val="0"/>
      <w:autoSpaceDE w:val="0"/>
      <w:autoSpaceDN w:val="0"/>
      <w:adjustRightInd w:val="0"/>
      <w:spacing w:before="60" w:after="60"/>
      <w:jc w:val="both"/>
      <w:textAlignment w:val="baseline"/>
    </w:pPr>
    <w:rPr>
      <w:rFonts w:ascii="Arial" w:hAnsi="Arial"/>
    </w:rPr>
  </w:style>
  <w:style w:type="paragraph" w:styleId="berschrift1">
    <w:name w:val="heading 1"/>
    <w:basedOn w:val="Standard"/>
    <w:next w:val="Standard"/>
    <w:qFormat/>
    <w:pPr>
      <w:keepNext/>
      <w:spacing w:before="0"/>
      <w:jc w:val="center"/>
      <w:outlineLvl w:val="0"/>
    </w:pPr>
    <w:rPr>
      <w:b/>
      <w:kern w:val="28"/>
      <w:sz w:val="28"/>
    </w:rPr>
  </w:style>
  <w:style w:type="paragraph" w:styleId="berschrift2">
    <w:name w:val="heading 2"/>
    <w:basedOn w:val="Standard"/>
    <w:next w:val="Standard"/>
    <w:qFormat/>
    <w:pPr>
      <w:keepNext/>
      <w:spacing w:before="240"/>
      <w:jc w:val="center"/>
      <w:outlineLvl w:val="1"/>
    </w:pPr>
    <w:rPr>
      <w:b/>
      <w:sz w:val="24"/>
    </w:rPr>
  </w:style>
  <w:style w:type="paragraph" w:styleId="berschrift3">
    <w:name w:val="heading 3"/>
    <w:basedOn w:val="Standard"/>
    <w:next w:val="Standard"/>
    <w:qFormat/>
    <w:pPr>
      <w:keepNext/>
      <w:spacing w:before="240" w:after="180"/>
      <w:jc w:val="center"/>
      <w:outlineLvl w:val="2"/>
    </w:pPr>
    <w:rPr>
      <w:b/>
    </w:rPr>
  </w:style>
  <w:style w:type="paragraph" w:styleId="berschrift4">
    <w:name w:val="heading 4"/>
    <w:basedOn w:val="Standard"/>
    <w:next w:val="Standard"/>
    <w:qFormat/>
    <w:pPr>
      <w:keepNext/>
      <w:spacing w:before="240"/>
      <w:outlineLvl w:val="3"/>
    </w:pPr>
  </w:style>
  <w:style w:type="paragraph" w:styleId="berschrift5">
    <w:name w:val="heading 5"/>
    <w:basedOn w:val="Standard"/>
    <w:next w:val="Standard"/>
    <w:qFormat/>
    <w:pPr>
      <w:spacing w:before="120"/>
      <w:ind w:left="709" w:hanging="709"/>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qFormat/>
    <w:pPr>
      <w:tabs>
        <w:tab w:val="center" w:pos="4536"/>
        <w:tab w:val="right" w:pos="9072"/>
      </w:tabs>
      <w:spacing w:after="0"/>
      <w:jc w:val="right"/>
    </w:pPr>
  </w:style>
  <w:style w:type="paragraph" w:styleId="Fuzeile">
    <w:name w:val="footer"/>
    <w:basedOn w:val="Standard"/>
    <w:qFormat/>
    <w:pPr>
      <w:tabs>
        <w:tab w:val="clear" w:pos="425"/>
        <w:tab w:val="right" w:pos="8505"/>
        <w:tab w:val="right" w:pos="9639"/>
      </w:tabs>
      <w:spacing w:before="0" w:after="0"/>
      <w:jc w:val="left"/>
    </w:pPr>
    <w:rPr>
      <w:sz w:val="16"/>
    </w:rPr>
  </w:style>
  <w:style w:type="character" w:styleId="Seitenzahl">
    <w:name w:val="page number"/>
    <w:semiHidden/>
    <w:rPr>
      <w:rFonts w:ascii="Arial" w:hAnsi="Arial"/>
      <w:sz w:val="16"/>
    </w:rPr>
  </w:style>
  <w:style w:type="paragraph" w:styleId="Verzeichnis2">
    <w:name w:val="toc 2"/>
    <w:basedOn w:val="Standard"/>
    <w:next w:val="Standard"/>
    <w:uiPriority w:val="39"/>
    <w:pPr>
      <w:tabs>
        <w:tab w:val="clear" w:pos="425"/>
      </w:tabs>
      <w:spacing w:before="0" w:after="0"/>
      <w:ind w:left="200"/>
      <w:jc w:val="left"/>
    </w:pPr>
    <w:rPr>
      <w:rFonts w:ascii="Times New Roman" w:hAnsi="Times New Roman"/>
      <w:smallCaps/>
    </w:rPr>
  </w:style>
  <w:style w:type="paragraph" w:styleId="Verzeichnis3">
    <w:name w:val="toc 3"/>
    <w:basedOn w:val="Standard"/>
    <w:next w:val="Standard"/>
    <w:semiHidden/>
    <w:pPr>
      <w:tabs>
        <w:tab w:val="clear" w:pos="425"/>
      </w:tabs>
      <w:spacing w:before="0" w:after="0"/>
      <w:ind w:left="400"/>
      <w:jc w:val="left"/>
    </w:pPr>
    <w:rPr>
      <w:rFonts w:ascii="Times New Roman" w:hAnsi="Times New Roman"/>
      <w:i/>
      <w:iCs/>
    </w:rPr>
  </w:style>
  <w:style w:type="paragraph" w:styleId="Funotentext">
    <w:name w:val="footnote text"/>
    <w:basedOn w:val="Standard"/>
    <w:qFormat/>
    <w:pPr>
      <w:spacing w:before="0" w:after="0"/>
    </w:pPr>
    <w:rPr>
      <w:sz w:val="16"/>
    </w:rPr>
  </w:style>
  <w:style w:type="paragraph" w:styleId="Verzeichnis1">
    <w:name w:val="toc 1"/>
    <w:basedOn w:val="Verzeichnis3"/>
    <w:next w:val="Standard"/>
    <w:uiPriority w:val="39"/>
    <w:pPr>
      <w:spacing w:before="120" w:after="120"/>
      <w:ind w:left="0"/>
    </w:pPr>
    <w:rPr>
      <w:b/>
      <w:bCs/>
      <w:i w:val="0"/>
      <w:iCs w:val="0"/>
      <w:caps/>
    </w:rPr>
  </w:style>
  <w:style w:type="paragraph" w:customStyle="1" w:styleId="GesAbsatz">
    <w:name w:val="GesAbsatz"/>
    <w:basedOn w:val="Standard"/>
    <w:qFormat/>
    <w:rPr>
      <w:color w:val="000000"/>
    </w:rPr>
  </w:style>
  <w:style w:type="paragraph" w:styleId="Verzeichnis4">
    <w:name w:val="toc 4"/>
    <w:basedOn w:val="Standard"/>
    <w:next w:val="Standard"/>
    <w:semiHidden/>
    <w:pPr>
      <w:tabs>
        <w:tab w:val="clear" w:pos="425"/>
      </w:tabs>
      <w:spacing w:before="0" w:after="0"/>
      <w:ind w:left="600"/>
      <w:jc w:val="left"/>
    </w:pPr>
    <w:rPr>
      <w:rFonts w:ascii="Times New Roman" w:hAnsi="Times New Roman"/>
      <w:sz w:val="18"/>
      <w:szCs w:val="18"/>
    </w:rPr>
  </w:style>
  <w:style w:type="character" w:styleId="Funotenzeichen">
    <w:name w:val="footnote reference"/>
    <w:qFormat/>
    <w:rPr>
      <w:sz w:val="20"/>
      <w:szCs w:val="20"/>
      <w:vertAlign w:val="superscript"/>
    </w:rPr>
  </w:style>
  <w:style w:type="paragraph" w:styleId="Verzeichnis5">
    <w:name w:val="toc 5"/>
    <w:basedOn w:val="Standard"/>
    <w:next w:val="Standard"/>
    <w:semiHidden/>
    <w:pPr>
      <w:tabs>
        <w:tab w:val="clear" w:pos="425"/>
      </w:tabs>
      <w:spacing w:before="0" w:after="0"/>
      <w:ind w:left="800"/>
      <w:jc w:val="left"/>
    </w:pPr>
    <w:rPr>
      <w:rFonts w:ascii="Times New Roman" w:hAnsi="Times New Roman"/>
      <w:sz w:val="18"/>
      <w:szCs w:val="18"/>
    </w:rPr>
  </w:style>
  <w:style w:type="paragraph" w:styleId="Verzeichnis6">
    <w:name w:val="toc 6"/>
    <w:basedOn w:val="Standard"/>
    <w:next w:val="Standard"/>
    <w:semiHidden/>
    <w:pPr>
      <w:tabs>
        <w:tab w:val="clear" w:pos="425"/>
      </w:tabs>
      <w:spacing w:before="0" w:after="0"/>
      <w:ind w:left="1000"/>
      <w:jc w:val="left"/>
    </w:pPr>
    <w:rPr>
      <w:rFonts w:ascii="Times New Roman" w:hAnsi="Times New Roman"/>
      <w:sz w:val="18"/>
      <w:szCs w:val="18"/>
    </w:rPr>
  </w:style>
  <w:style w:type="paragraph" w:styleId="Verzeichnis7">
    <w:name w:val="toc 7"/>
    <w:basedOn w:val="Standard"/>
    <w:next w:val="Standard"/>
    <w:semiHidden/>
    <w:pPr>
      <w:tabs>
        <w:tab w:val="clear" w:pos="425"/>
      </w:tabs>
      <w:spacing w:before="0" w:after="0"/>
      <w:ind w:left="1200"/>
      <w:jc w:val="left"/>
    </w:pPr>
    <w:rPr>
      <w:rFonts w:ascii="Times New Roman" w:hAnsi="Times New Roman"/>
      <w:sz w:val="18"/>
      <w:szCs w:val="18"/>
    </w:rPr>
  </w:style>
  <w:style w:type="paragraph" w:styleId="Verzeichnis8">
    <w:name w:val="toc 8"/>
    <w:basedOn w:val="Standard"/>
    <w:next w:val="Standard"/>
    <w:semiHidden/>
    <w:pPr>
      <w:tabs>
        <w:tab w:val="clear" w:pos="425"/>
      </w:tabs>
      <w:spacing w:before="0" w:after="0"/>
      <w:ind w:left="1400"/>
      <w:jc w:val="left"/>
    </w:pPr>
    <w:rPr>
      <w:rFonts w:ascii="Times New Roman" w:hAnsi="Times New Roman"/>
      <w:sz w:val="18"/>
      <w:szCs w:val="18"/>
    </w:rPr>
  </w:style>
  <w:style w:type="paragraph" w:styleId="Verzeichnis9">
    <w:name w:val="toc 9"/>
    <w:basedOn w:val="Standard"/>
    <w:next w:val="Standard"/>
    <w:semiHidden/>
    <w:pPr>
      <w:tabs>
        <w:tab w:val="clear" w:pos="425"/>
      </w:tabs>
      <w:spacing w:before="0" w:after="0"/>
      <w:ind w:left="1600"/>
      <w:jc w:val="left"/>
    </w:pPr>
    <w:rPr>
      <w:rFonts w:ascii="Times New Roman" w:hAnsi="Times New Roman"/>
      <w:sz w:val="18"/>
      <w:szCs w:val="18"/>
    </w:rPr>
  </w:style>
  <w:style w:type="character" w:styleId="Hyperlink">
    <w:name w:val="Hyperlink"/>
    <w:basedOn w:val="Absatz-Standardschriftart"/>
    <w:uiPriority w:val="99"/>
    <w:rPr>
      <w:color w:val="0000FF"/>
      <w:u w:val="single"/>
    </w:rPr>
  </w:style>
  <w:style w:type="character" w:styleId="BesuchterLink">
    <w:name w:val="FollowedHyperlink"/>
    <w:basedOn w:val="Absatz-Standardschriftart"/>
    <w:rPr>
      <w:color w:val="800080"/>
      <w:u w:val="single"/>
    </w:rPr>
  </w:style>
  <w:style w:type="paragraph" w:styleId="berarbeitung">
    <w:name w:val="Revision"/>
    <w:hidden/>
    <w:uiPriority w:val="99"/>
    <w:semiHidden/>
    <w:rPr>
      <w:rFonts w:ascii="Arial" w:hAnsi="Arial"/>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ata.europa.eu/eli/dec/2001/2455/oj" TargetMode="External"/><Relationship Id="rId13" Type="http://schemas.openxmlformats.org/officeDocument/2006/relationships/hyperlink" Target="http://data.europa.eu/eli/dir/2013/64/oj" TargetMode="External"/><Relationship Id="rId18" Type="http://schemas.openxmlformats.org/officeDocument/2006/relationships/image" Target="media/image1.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data.europa.eu/eli/dir/2000/60/oj" TargetMode="External"/><Relationship Id="rId12" Type="http://schemas.openxmlformats.org/officeDocument/2006/relationships/hyperlink" Target="http://data.europa.eu/eli/dir/2013/39/oj"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data.europa.eu/eli/dir/2009/31/oj"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data.europa.eu/eli/dir/2008/105/oj" TargetMode="External"/><Relationship Id="rId19"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data.europa.eu/eli/dir/2008/32/oj" TargetMode="External"/><Relationship Id="rId14" Type="http://schemas.openxmlformats.org/officeDocument/2006/relationships/hyperlink" Target="http://data.europa.eu/eli/dir/2014/101/oj"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natrop\Anwendungsdaten\Microsoft\Vorlagen\VTU.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17F5BD-121E-4635-B876-2A9A764DD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VTU.DOT</Template>
  <TotalTime>0</TotalTime>
  <Pages>66</Pages>
  <Words>27126</Words>
  <Characters>197440</Characters>
  <Application>Microsoft Office Word</Application>
  <DocSecurity>0</DocSecurity>
  <Lines>1645</Lines>
  <Paragraphs>448</Paragraphs>
  <ScaleCrop>false</ScaleCrop>
  <HeadingPairs>
    <vt:vector size="2" baseType="variant">
      <vt:variant>
        <vt:lpstr>Titel</vt:lpstr>
      </vt:variant>
      <vt:variant>
        <vt:i4>1</vt:i4>
      </vt:variant>
    </vt:vector>
  </HeadingPairs>
  <TitlesOfParts>
    <vt:vector size="1" baseType="lpstr">
      <vt:lpstr>EU-Wasserrahmen-Richtlinie</vt:lpstr>
    </vt:vector>
  </TitlesOfParts>
  <Manager/>
  <Company>LANUV NRW</Company>
  <LinksUpToDate>false</LinksUpToDate>
  <CharactersWithSpaces>224118</CharactersWithSpaces>
  <SharedDoc>false</SharedDoc>
  <HLinks>
    <vt:vector size="252" baseType="variant">
      <vt:variant>
        <vt:i4>1441844</vt:i4>
      </vt:variant>
      <vt:variant>
        <vt:i4>236</vt:i4>
      </vt:variant>
      <vt:variant>
        <vt:i4>0</vt:i4>
      </vt:variant>
      <vt:variant>
        <vt:i4>5</vt:i4>
      </vt:variant>
      <vt:variant>
        <vt:lpwstr/>
      </vt:variant>
      <vt:variant>
        <vt:lpwstr>_Toc219171802</vt:lpwstr>
      </vt:variant>
      <vt:variant>
        <vt:i4>1441844</vt:i4>
      </vt:variant>
      <vt:variant>
        <vt:i4>230</vt:i4>
      </vt:variant>
      <vt:variant>
        <vt:i4>0</vt:i4>
      </vt:variant>
      <vt:variant>
        <vt:i4>5</vt:i4>
      </vt:variant>
      <vt:variant>
        <vt:lpwstr/>
      </vt:variant>
      <vt:variant>
        <vt:lpwstr>_Toc219171801</vt:lpwstr>
      </vt:variant>
      <vt:variant>
        <vt:i4>1441844</vt:i4>
      </vt:variant>
      <vt:variant>
        <vt:i4>224</vt:i4>
      </vt:variant>
      <vt:variant>
        <vt:i4>0</vt:i4>
      </vt:variant>
      <vt:variant>
        <vt:i4>5</vt:i4>
      </vt:variant>
      <vt:variant>
        <vt:lpwstr/>
      </vt:variant>
      <vt:variant>
        <vt:lpwstr>_Toc219171800</vt:lpwstr>
      </vt:variant>
      <vt:variant>
        <vt:i4>2031675</vt:i4>
      </vt:variant>
      <vt:variant>
        <vt:i4>218</vt:i4>
      </vt:variant>
      <vt:variant>
        <vt:i4>0</vt:i4>
      </vt:variant>
      <vt:variant>
        <vt:i4>5</vt:i4>
      </vt:variant>
      <vt:variant>
        <vt:lpwstr/>
      </vt:variant>
      <vt:variant>
        <vt:lpwstr>_Toc219171799</vt:lpwstr>
      </vt:variant>
      <vt:variant>
        <vt:i4>2031675</vt:i4>
      </vt:variant>
      <vt:variant>
        <vt:i4>212</vt:i4>
      </vt:variant>
      <vt:variant>
        <vt:i4>0</vt:i4>
      </vt:variant>
      <vt:variant>
        <vt:i4>5</vt:i4>
      </vt:variant>
      <vt:variant>
        <vt:lpwstr/>
      </vt:variant>
      <vt:variant>
        <vt:lpwstr>_Toc219171798</vt:lpwstr>
      </vt:variant>
      <vt:variant>
        <vt:i4>2031675</vt:i4>
      </vt:variant>
      <vt:variant>
        <vt:i4>206</vt:i4>
      </vt:variant>
      <vt:variant>
        <vt:i4>0</vt:i4>
      </vt:variant>
      <vt:variant>
        <vt:i4>5</vt:i4>
      </vt:variant>
      <vt:variant>
        <vt:lpwstr/>
      </vt:variant>
      <vt:variant>
        <vt:lpwstr>_Toc219171797</vt:lpwstr>
      </vt:variant>
      <vt:variant>
        <vt:i4>2031675</vt:i4>
      </vt:variant>
      <vt:variant>
        <vt:i4>200</vt:i4>
      </vt:variant>
      <vt:variant>
        <vt:i4>0</vt:i4>
      </vt:variant>
      <vt:variant>
        <vt:i4>5</vt:i4>
      </vt:variant>
      <vt:variant>
        <vt:lpwstr/>
      </vt:variant>
      <vt:variant>
        <vt:lpwstr>_Toc219171796</vt:lpwstr>
      </vt:variant>
      <vt:variant>
        <vt:i4>2031675</vt:i4>
      </vt:variant>
      <vt:variant>
        <vt:i4>194</vt:i4>
      </vt:variant>
      <vt:variant>
        <vt:i4>0</vt:i4>
      </vt:variant>
      <vt:variant>
        <vt:i4>5</vt:i4>
      </vt:variant>
      <vt:variant>
        <vt:lpwstr/>
      </vt:variant>
      <vt:variant>
        <vt:lpwstr>_Toc219171795</vt:lpwstr>
      </vt:variant>
      <vt:variant>
        <vt:i4>2031675</vt:i4>
      </vt:variant>
      <vt:variant>
        <vt:i4>188</vt:i4>
      </vt:variant>
      <vt:variant>
        <vt:i4>0</vt:i4>
      </vt:variant>
      <vt:variant>
        <vt:i4>5</vt:i4>
      </vt:variant>
      <vt:variant>
        <vt:lpwstr/>
      </vt:variant>
      <vt:variant>
        <vt:lpwstr>_Toc219171794</vt:lpwstr>
      </vt:variant>
      <vt:variant>
        <vt:i4>2031675</vt:i4>
      </vt:variant>
      <vt:variant>
        <vt:i4>182</vt:i4>
      </vt:variant>
      <vt:variant>
        <vt:i4>0</vt:i4>
      </vt:variant>
      <vt:variant>
        <vt:i4>5</vt:i4>
      </vt:variant>
      <vt:variant>
        <vt:lpwstr/>
      </vt:variant>
      <vt:variant>
        <vt:lpwstr>_Toc219171793</vt:lpwstr>
      </vt:variant>
      <vt:variant>
        <vt:i4>2031675</vt:i4>
      </vt:variant>
      <vt:variant>
        <vt:i4>176</vt:i4>
      </vt:variant>
      <vt:variant>
        <vt:i4>0</vt:i4>
      </vt:variant>
      <vt:variant>
        <vt:i4>5</vt:i4>
      </vt:variant>
      <vt:variant>
        <vt:lpwstr/>
      </vt:variant>
      <vt:variant>
        <vt:lpwstr>_Toc219171792</vt:lpwstr>
      </vt:variant>
      <vt:variant>
        <vt:i4>2031675</vt:i4>
      </vt:variant>
      <vt:variant>
        <vt:i4>170</vt:i4>
      </vt:variant>
      <vt:variant>
        <vt:i4>0</vt:i4>
      </vt:variant>
      <vt:variant>
        <vt:i4>5</vt:i4>
      </vt:variant>
      <vt:variant>
        <vt:lpwstr/>
      </vt:variant>
      <vt:variant>
        <vt:lpwstr>_Toc219171791</vt:lpwstr>
      </vt:variant>
      <vt:variant>
        <vt:i4>2031675</vt:i4>
      </vt:variant>
      <vt:variant>
        <vt:i4>164</vt:i4>
      </vt:variant>
      <vt:variant>
        <vt:i4>0</vt:i4>
      </vt:variant>
      <vt:variant>
        <vt:i4>5</vt:i4>
      </vt:variant>
      <vt:variant>
        <vt:lpwstr/>
      </vt:variant>
      <vt:variant>
        <vt:lpwstr>_Toc219171790</vt:lpwstr>
      </vt:variant>
      <vt:variant>
        <vt:i4>1966139</vt:i4>
      </vt:variant>
      <vt:variant>
        <vt:i4>158</vt:i4>
      </vt:variant>
      <vt:variant>
        <vt:i4>0</vt:i4>
      </vt:variant>
      <vt:variant>
        <vt:i4>5</vt:i4>
      </vt:variant>
      <vt:variant>
        <vt:lpwstr/>
      </vt:variant>
      <vt:variant>
        <vt:lpwstr>_Toc219171789</vt:lpwstr>
      </vt:variant>
      <vt:variant>
        <vt:i4>1966139</vt:i4>
      </vt:variant>
      <vt:variant>
        <vt:i4>152</vt:i4>
      </vt:variant>
      <vt:variant>
        <vt:i4>0</vt:i4>
      </vt:variant>
      <vt:variant>
        <vt:i4>5</vt:i4>
      </vt:variant>
      <vt:variant>
        <vt:lpwstr/>
      </vt:variant>
      <vt:variant>
        <vt:lpwstr>_Toc219171788</vt:lpwstr>
      </vt:variant>
      <vt:variant>
        <vt:i4>1966139</vt:i4>
      </vt:variant>
      <vt:variant>
        <vt:i4>146</vt:i4>
      </vt:variant>
      <vt:variant>
        <vt:i4>0</vt:i4>
      </vt:variant>
      <vt:variant>
        <vt:i4>5</vt:i4>
      </vt:variant>
      <vt:variant>
        <vt:lpwstr/>
      </vt:variant>
      <vt:variant>
        <vt:lpwstr>_Toc219171787</vt:lpwstr>
      </vt:variant>
      <vt:variant>
        <vt:i4>1966139</vt:i4>
      </vt:variant>
      <vt:variant>
        <vt:i4>140</vt:i4>
      </vt:variant>
      <vt:variant>
        <vt:i4>0</vt:i4>
      </vt:variant>
      <vt:variant>
        <vt:i4>5</vt:i4>
      </vt:variant>
      <vt:variant>
        <vt:lpwstr/>
      </vt:variant>
      <vt:variant>
        <vt:lpwstr>_Toc219171786</vt:lpwstr>
      </vt:variant>
      <vt:variant>
        <vt:i4>1966139</vt:i4>
      </vt:variant>
      <vt:variant>
        <vt:i4>134</vt:i4>
      </vt:variant>
      <vt:variant>
        <vt:i4>0</vt:i4>
      </vt:variant>
      <vt:variant>
        <vt:i4>5</vt:i4>
      </vt:variant>
      <vt:variant>
        <vt:lpwstr/>
      </vt:variant>
      <vt:variant>
        <vt:lpwstr>_Toc219171785</vt:lpwstr>
      </vt:variant>
      <vt:variant>
        <vt:i4>1966139</vt:i4>
      </vt:variant>
      <vt:variant>
        <vt:i4>128</vt:i4>
      </vt:variant>
      <vt:variant>
        <vt:i4>0</vt:i4>
      </vt:variant>
      <vt:variant>
        <vt:i4>5</vt:i4>
      </vt:variant>
      <vt:variant>
        <vt:lpwstr/>
      </vt:variant>
      <vt:variant>
        <vt:lpwstr>_Toc219171784</vt:lpwstr>
      </vt:variant>
      <vt:variant>
        <vt:i4>1966139</vt:i4>
      </vt:variant>
      <vt:variant>
        <vt:i4>122</vt:i4>
      </vt:variant>
      <vt:variant>
        <vt:i4>0</vt:i4>
      </vt:variant>
      <vt:variant>
        <vt:i4>5</vt:i4>
      </vt:variant>
      <vt:variant>
        <vt:lpwstr/>
      </vt:variant>
      <vt:variant>
        <vt:lpwstr>_Toc219171783</vt:lpwstr>
      </vt:variant>
      <vt:variant>
        <vt:i4>1966139</vt:i4>
      </vt:variant>
      <vt:variant>
        <vt:i4>116</vt:i4>
      </vt:variant>
      <vt:variant>
        <vt:i4>0</vt:i4>
      </vt:variant>
      <vt:variant>
        <vt:i4>5</vt:i4>
      </vt:variant>
      <vt:variant>
        <vt:lpwstr/>
      </vt:variant>
      <vt:variant>
        <vt:lpwstr>_Toc219171782</vt:lpwstr>
      </vt:variant>
      <vt:variant>
        <vt:i4>1966139</vt:i4>
      </vt:variant>
      <vt:variant>
        <vt:i4>110</vt:i4>
      </vt:variant>
      <vt:variant>
        <vt:i4>0</vt:i4>
      </vt:variant>
      <vt:variant>
        <vt:i4>5</vt:i4>
      </vt:variant>
      <vt:variant>
        <vt:lpwstr/>
      </vt:variant>
      <vt:variant>
        <vt:lpwstr>_Toc219171781</vt:lpwstr>
      </vt:variant>
      <vt:variant>
        <vt:i4>1966139</vt:i4>
      </vt:variant>
      <vt:variant>
        <vt:i4>104</vt:i4>
      </vt:variant>
      <vt:variant>
        <vt:i4>0</vt:i4>
      </vt:variant>
      <vt:variant>
        <vt:i4>5</vt:i4>
      </vt:variant>
      <vt:variant>
        <vt:lpwstr/>
      </vt:variant>
      <vt:variant>
        <vt:lpwstr>_Toc219171780</vt:lpwstr>
      </vt:variant>
      <vt:variant>
        <vt:i4>1114171</vt:i4>
      </vt:variant>
      <vt:variant>
        <vt:i4>98</vt:i4>
      </vt:variant>
      <vt:variant>
        <vt:i4>0</vt:i4>
      </vt:variant>
      <vt:variant>
        <vt:i4>5</vt:i4>
      </vt:variant>
      <vt:variant>
        <vt:lpwstr/>
      </vt:variant>
      <vt:variant>
        <vt:lpwstr>_Toc219171779</vt:lpwstr>
      </vt:variant>
      <vt:variant>
        <vt:i4>1114171</vt:i4>
      </vt:variant>
      <vt:variant>
        <vt:i4>92</vt:i4>
      </vt:variant>
      <vt:variant>
        <vt:i4>0</vt:i4>
      </vt:variant>
      <vt:variant>
        <vt:i4>5</vt:i4>
      </vt:variant>
      <vt:variant>
        <vt:lpwstr/>
      </vt:variant>
      <vt:variant>
        <vt:lpwstr>_Toc219171778</vt:lpwstr>
      </vt:variant>
      <vt:variant>
        <vt:i4>1114171</vt:i4>
      </vt:variant>
      <vt:variant>
        <vt:i4>86</vt:i4>
      </vt:variant>
      <vt:variant>
        <vt:i4>0</vt:i4>
      </vt:variant>
      <vt:variant>
        <vt:i4>5</vt:i4>
      </vt:variant>
      <vt:variant>
        <vt:lpwstr/>
      </vt:variant>
      <vt:variant>
        <vt:lpwstr>_Toc219171777</vt:lpwstr>
      </vt:variant>
      <vt:variant>
        <vt:i4>1114171</vt:i4>
      </vt:variant>
      <vt:variant>
        <vt:i4>80</vt:i4>
      </vt:variant>
      <vt:variant>
        <vt:i4>0</vt:i4>
      </vt:variant>
      <vt:variant>
        <vt:i4>5</vt:i4>
      </vt:variant>
      <vt:variant>
        <vt:lpwstr/>
      </vt:variant>
      <vt:variant>
        <vt:lpwstr>_Toc219171776</vt:lpwstr>
      </vt:variant>
      <vt:variant>
        <vt:i4>1114171</vt:i4>
      </vt:variant>
      <vt:variant>
        <vt:i4>74</vt:i4>
      </vt:variant>
      <vt:variant>
        <vt:i4>0</vt:i4>
      </vt:variant>
      <vt:variant>
        <vt:i4>5</vt:i4>
      </vt:variant>
      <vt:variant>
        <vt:lpwstr/>
      </vt:variant>
      <vt:variant>
        <vt:lpwstr>_Toc219171775</vt:lpwstr>
      </vt:variant>
      <vt:variant>
        <vt:i4>1114171</vt:i4>
      </vt:variant>
      <vt:variant>
        <vt:i4>68</vt:i4>
      </vt:variant>
      <vt:variant>
        <vt:i4>0</vt:i4>
      </vt:variant>
      <vt:variant>
        <vt:i4>5</vt:i4>
      </vt:variant>
      <vt:variant>
        <vt:lpwstr/>
      </vt:variant>
      <vt:variant>
        <vt:lpwstr>_Toc219171774</vt:lpwstr>
      </vt:variant>
      <vt:variant>
        <vt:i4>1114171</vt:i4>
      </vt:variant>
      <vt:variant>
        <vt:i4>62</vt:i4>
      </vt:variant>
      <vt:variant>
        <vt:i4>0</vt:i4>
      </vt:variant>
      <vt:variant>
        <vt:i4>5</vt:i4>
      </vt:variant>
      <vt:variant>
        <vt:lpwstr/>
      </vt:variant>
      <vt:variant>
        <vt:lpwstr>_Toc219171773</vt:lpwstr>
      </vt:variant>
      <vt:variant>
        <vt:i4>1114171</vt:i4>
      </vt:variant>
      <vt:variant>
        <vt:i4>56</vt:i4>
      </vt:variant>
      <vt:variant>
        <vt:i4>0</vt:i4>
      </vt:variant>
      <vt:variant>
        <vt:i4>5</vt:i4>
      </vt:variant>
      <vt:variant>
        <vt:lpwstr/>
      </vt:variant>
      <vt:variant>
        <vt:lpwstr>_Toc219171772</vt:lpwstr>
      </vt:variant>
      <vt:variant>
        <vt:i4>1114171</vt:i4>
      </vt:variant>
      <vt:variant>
        <vt:i4>50</vt:i4>
      </vt:variant>
      <vt:variant>
        <vt:i4>0</vt:i4>
      </vt:variant>
      <vt:variant>
        <vt:i4>5</vt:i4>
      </vt:variant>
      <vt:variant>
        <vt:lpwstr/>
      </vt:variant>
      <vt:variant>
        <vt:lpwstr>_Toc219171771</vt:lpwstr>
      </vt:variant>
      <vt:variant>
        <vt:i4>1114171</vt:i4>
      </vt:variant>
      <vt:variant>
        <vt:i4>44</vt:i4>
      </vt:variant>
      <vt:variant>
        <vt:i4>0</vt:i4>
      </vt:variant>
      <vt:variant>
        <vt:i4>5</vt:i4>
      </vt:variant>
      <vt:variant>
        <vt:lpwstr/>
      </vt:variant>
      <vt:variant>
        <vt:lpwstr>_Toc219171770</vt:lpwstr>
      </vt:variant>
      <vt:variant>
        <vt:i4>1048635</vt:i4>
      </vt:variant>
      <vt:variant>
        <vt:i4>38</vt:i4>
      </vt:variant>
      <vt:variant>
        <vt:i4>0</vt:i4>
      </vt:variant>
      <vt:variant>
        <vt:i4>5</vt:i4>
      </vt:variant>
      <vt:variant>
        <vt:lpwstr/>
      </vt:variant>
      <vt:variant>
        <vt:lpwstr>_Toc219171769</vt:lpwstr>
      </vt:variant>
      <vt:variant>
        <vt:i4>1048635</vt:i4>
      </vt:variant>
      <vt:variant>
        <vt:i4>32</vt:i4>
      </vt:variant>
      <vt:variant>
        <vt:i4>0</vt:i4>
      </vt:variant>
      <vt:variant>
        <vt:i4>5</vt:i4>
      </vt:variant>
      <vt:variant>
        <vt:lpwstr/>
      </vt:variant>
      <vt:variant>
        <vt:lpwstr>_Toc219171768</vt:lpwstr>
      </vt:variant>
      <vt:variant>
        <vt:i4>1048635</vt:i4>
      </vt:variant>
      <vt:variant>
        <vt:i4>26</vt:i4>
      </vt:variant>
      <vt:variant>
        <vt:i4>0</vt:i4>
      </vt:variant>
      <vt:variant>
        <vt:i4>5</vt:i4>
      </vt:variant>
      <vt:variant>
        <vt:lpwstr/>
      </vt:variant>
      <vt:variant>
        <vt:lpwstr>_Toc219171767</vt:lpwstr>
      </vt:variant>
      <vt:variant>
        <vt:i4>1048635</vt:i4>
      </vt:variant>
      <vt:variant>
        <vt:i4>20</vt:i4>
      </vt:variant>
      <vt:variant>
        <vt:i4>0</vt:i4>
      </vt:variant>
      <vt:variant>
        <vt:i4>5</vt:i4>
      </vt:variant>
      <vt:variant>
        <vt:lpwstr/>
      </vt:variant>
      <vt:variant>
        <vt:lpwstr>_Toc219171766</vt:lpwstr>
      </vt:variant>
      <vt:variant>
        <vt:i4>1048635</vt:i4>
      </vt:variant>
      <vt:variant>
        <vt:i4>14</vt:i4>
      </vt:variant>
      <vt:variant>
        <vt:i4>0</vt:i4>
      </vt:variant>
      <vt:variant>
        <vt:i4>5</vt:i4>
      </vt:variant>
      <vt:variant>
        <vt:lpwstr/>
      </vt:variant>
      <vt:variant>
        <vt:lpwstr>_Toc219171765</vt:lpwstr>
      </vt:variant>
      <vt:variant>
        <vt:i4>6094873</vt:i4>
      </vt:variant>
      <vt:variant>
        <vt:i4>9</vt:i4>
      </vt:variant>
      <vt:variant>
        <vt:i4>0</vt:i4>
      </vt:variant>
      <vt:variant>
        <vt:i4>5</vt:i4>
      </vt:variant>
      <vt:variant>
        <vt:lpwstr>http://eur-lex.europa.eu/LexUriServ/LexUriServ.do?uri=OJ:L:2009:140:0114:0135:DE:PDF</vt:lpwstr>
      </vt:variant>
      <vt:variant>
        <vt:lpwstr/>
      </vt:variant>
      <vt:variant>
        <vt:i4>5636120</vt:i4>
      </vt:variant>
      <vt:variant>
        <vt:i4>6</vt:i4>
      </vt:variant>
      <vt:variant>
        <vt:i4>0</vt:i4>
      </vt:variant>
      <vt:variant>
        <vt:i4>5</vt:i4>
      </vt:variant>
      <vt:variant>
        <vt:lpwstr>http://eur-lex.europa.eu/LexUriServ/LexUriServ.do?uri=OJ:L:2008:348:0084:0097:DE:PDF</vt:lpwstr>
      </vt:variant>
      <vt:variant>
        <vt:lpwstr/>
      </vt:variant>
      <vt:variant>
        <vt:i4>6094866</vt:i4>
      </vt:variant>
      <vt:variant>
        <vt:i4>3</vt:i4>
      </vt:variant>
      <vt:variant>
        <vt:i4>0</vt:i4>
      </vt:variant>
      <vt:variant>
        <vt:i4>5</vt:i4>
      </vt:variant>
      <vt:variant>
        <vt:lpwstr>http://eur-lex.europa.eu/LexUriServ/LexUriServ.do?uri=OJ:L:2001:331:0001:0005:DE:PDF</vt:lpwstr>
      </vt:variant>
      <vt:variant>
        <vt:lpwstr/>
      </vt:variant>
      <vt:variant>
        <vt:i4>5963794</vt:i4>
      </vt:variant>
      <vt:variant>
        <vt:i4>0</vt:i4>
      </vt:variant>
      <vt:variant>
        <vt:i4>0</vt:i4>
      </vt:variant>
      <vt:variant>
        <vt:i4>5</vt:i4>
      </vt:variant>
      <vt:variant>
        <vt:lpwstr>http://eur-lex.europa.eu/LexUriServ/LexUriServ.do?uri=OJ:L:2000:327:0001:0072:DE:PDF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EU-Wasserrahmen-Richtlinie</dc:title>
  <dc:subject/>
  <dc:creator>Natrop</dc:creator>
  <cp:keywords/>
  <dc:description/>
  <cp:lastModifiedBy>Rüter, Dr., Ingo</cp:lastModifiedBy>
  <cp:revision>26</cp:revision>
  <cp:lastPrinted>2004-12-14T12:08:00Z</cp:lastPrinted>
  <dcterms:created xsi:type="dcterms:W3CDTF">2013-11-14T10:38:00Z</dcterms:created>
  <dcterms:modified xsi:type="dcterms:W3CDTF">2024-08-22T13:15:00Z</dcterms:modified>
</cp:coreProperties>
</file>