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0742070"/>
      <w:r>
        <w:t>Gesetz zur Vermind</w:t>
      </w:r>
      <w:bookmarkStart w:id="1" w:name="_GoBack"/>
      <w:bookmarkEnd w:id="1"/>
      <w:r>
        <w:t>erung von Luftverunreinigungen durch</w:t>
      </w:r>
      <w:r>
        <w:br/>
        <w:t>Bleiverbindungen in Ottokraftstoffen für Kraftfahrzeugmotoren -</w:t>
      </w:r>
      <w:r>
        <w:br/>
        <w:t>Benzinbleigesetz - BzBlG</w:t>
      </w:r>
      <w:bookmarkEnd w:id="0"/>
    </w:p>
    <w:p>
      <w:pPr>
        <w:pStyle w:val="GesAbsatz"/>
        <w:jc w:val="center"/>
      </w:pPr>
      <w:r>
        <w:t>vom 5. August 1971</w:t>
      </w:r>
    </w:p>
    <w:p>
      <w:pPr>
        <w:pStyle w:val="GesAbsatz"/>
      </w:pPr>
    </w:p>
    <w:p>
      <w:pPr>
        <w:pStyle w:val="GesAbsatz"/>
        <w:jc w:val="left"/>
        <w:rPr>
          <w:color w:val="auto"/>
        </w:rPr>
      </w:pPr>
      <w:hyperlink w:anchor="Änderungen" w:history="1">
        <w:r>
          <w:rPr>
            <w:rStyle w:val="Hyperlink"/>
          </w:rPr>
          <w:t>Gesetzeshistorie</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bCs/>
        </w:rPr>
        <w:fldChar w:fldCharType="begin"/>
      </w:r>
      <w:r>
        <w:rPr>
          <w:bCs/>
        </w:rPr>
        <w:instrText xml:space="preserve"> TOC \o "1-3" </w:instrText>
      </w:r>
      <w:r>
        <w:rPr>
          <w:bCs/>
        </w:rPr>
        <w:fldChar w:fldCharType="separate"/>
      </w:r>
      <w:r>
        <w:rPr>
          <w:noProof/>
        </w:rPr>
        <w:t>Benzinbleigesetz - BzBlG</w:t>
      </w:r>
      <w:r>
        <w:rPr>
          <w:noProof/>
        </w:rPr>
        <w:tab/>
      </w:r>
      <w:r>
        <w:rPr>
          <w:noProof/>
        </w:rPr>
        <w:fldChar w:fldCharType="begin"/>
      </w:r>
      <w:r>
        <w:rPr>
          <w:noProof/>
        </w:rPr>
        <w:instrText xml:space="preserve"> PAGEREF _Toc150742070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1 Zweck und Anwendungsbereich des Gesetzes</w:t>
      </w:r>
      <w:r>
        <w:rPr>
          <w:noProof/>
        </w:rPr>
        <w:tab/>
      </w:r>
      <w:r>
        <w:rPr>
          <w:noProof/>
        </w:rPr>
        <w:fldChar w:fldCharType="begin"/>
      </w:r>
      <w:r>
        <w:rPr>
          <w:noProof/>
        </w:rPr>
        <w:instrText xml:space="preserve"> PAGEREF _Toc150742071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2 Begrenzung und Verbot von Zusätzen mit Metallverbindungen</w:t>
      </w:r>
      <w:r>
        <w:rPr>
          <w:noProof/>
        </w:rPr>
        <w:tab/>
      </w:r>
      <w:r>
        <w:rPr>
          <w:noProof/>
        </w:rPr>
        <w:fldChar w:fldCharType="begin"/>
      </w:r>
      <w:r>
        <w:rPr>
          <w:noProof/>
        </w:rPr>
        <w:instrText xml:space="preserve"> PAGEREF _Toc150742072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 2a Verbraucherschutz</w:t>
      </w:r>
      <w:r>
        <w:rPr>
          <w:noProof/>
        </w:rPr>
        <w:tab/>
      </w:r>
      <w:r>
        <w:rPr>
          <w:noProof/>
        </w:rPr>
        <w:fldChar w:fldCharType="begin"/>
      </w:r>
      <w:r>
        <w:rPr>
          <w:noProof/>
        </w:rPr>
        <w:instrText xml:space="preserve"> PAGEREF _Toc150742073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3 Ausnahmen</w:t>
      </w:r>
      <w:r>
        <w:rPr>
          <w:noProof/>
        </w:rPr>
        <w:tab/>
      </w:r>
      <w:r>
        <w:rPr>
          <w:noProof/>
        </w:rPr>
        <w:fldChar w:fldCharType="begin"/>
      </w:r>
      <w:r>
        <w:rPr>
          <w:noProof/>
        </w:rPr>
        <w:instrText xml:space="preserve"> PAGEREF _Toc150742074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3a Abgabe zum Ausgleich von Wettbewerbsvorteilen bei Ausnahmebewilligung</w:t>
      </w:r>
      <w:r>
        <w:rPr>
          <w:noProof/>
        </w:rPr>
        <w:tab/>
      </w:r>
      <w:r>
        <w:rPr>
          <w:noProof/>
        </w:rPr>
        <w:fldChar w:fldCharType="begin"/>
      </w:r>
      <w:r>
        <w:rPr>
          <w:noProof/>
        </w:rPr>
        <w:instrText xml:space="preserve"> PAGEREF _Toc150742075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4 Erklärung über die Beschaffenheit einzuführender Ottokraftstoffe</w:t>
      </w:r>
      <w:r>
        <w:rPr>
          <w:noProof/>
        </w:rPr>
        <w:tab/>
      </w:r>
      <w:r>
        <w:rPr>
          <w:noProof/>
        </w:rPr>
        <w:fldChar w:fldCharType="begin"/>
      </w:r>
      <w:r>
        <w:rPr>
          <w:noProof/>
        </w:rPr>
        <w:instrText xml:space="preserve"> PAGEREF _Toc150742076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5 Überwachung</w:t>
      </w:r>
      <w:r>
        <w:rPr>
          <w:noProof/>
        </w:rPr>
        <w:tab/>
      </w:r>
      <w:r>
        <w:rPr>
          <w:noProof/>
        </w:rPr>
        <w:fldChar w:fldCharType="begin"/>
      </w:r>
      <w:r>
        <w:rPr>
          <w:noProof/>
        </w:rPr>
        <w:instrText xml:space="preserve"> PAGEREF _Toc150742077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6 (aufgehoben)</w:t>
      </w:r>
      <w:r>
        <w:rPr>
          <w:noProof/>
        </w:rPr>
        <w:tab/>
      </w:r>
      <w:r>
        <w:rPr>
          <w:noProof/>
        </w:rPr>
        <w:fldChar w:fldCharType="begin"/>
      </w:r>
      <w:r>
        <w:rPr>
          <w:noProof/>
        </w:rPr>
        <w:instrText xml:space="preserve"> PAGEREF _Toc150742078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7 Ordnungswidrigkeiten</w:t>
      </w:r>
      <w:r>
        <w:rPr>
          <w:noProof/>
        </w:rPr>
        <w:tab/>
      </w:r>
      <w:r>
        <w:rPr>
          <w:noProof/>
        </w:rPr>
        <w:fldChar w:fldCharType="begin"/>
      </w:r>
      <w:r>
        <w:rPr>
          <w:noProof/>
        </w:rPr>
        <w:instrText xml:space="preserve"> PAGEREF _Toc150742079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8 Einfuhr von Ottokraftstoffen zu Verteidigungszwecken</w:t>
      </w:r>
      <w:r>
        <w:rPr>
          <w:noProof/>
        </w:rPr>
        <w:tab/>
      </w:r>
      <w:r>
        <w:rPr>
          <w:noProof/>
        </w:rPr>
        <w:fldChar w:fldCharType="begin"/>
      </w:r>
      <w:r>
        <w:rPr>
          <w:noProof/>
        </w:rPr>
        <w:instrText xml:space="preserve"> PAGEREF _Toc150742080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9 Berlin-Klausel</w:t>
      </w:r>
      <w:r>
        <w:rPr>
          <w:noProof/>
        </w:rPr>
        <w:tab/>
      </w:r>
      <w:r>
        <w:rPr>
          <w:noProof/>
        </w:rPr>
        <w:fldChar w:fldCharType="begin"/>
      </w:r>
      <w:r>
        <w:rPr>
          <w:noProof/>
        </w:rPr>
        <w:instrText xml:space="preserve"> PAGEREF _Toc150742081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10 Inkrafttreten</w:t>
      </w:r>
      <w:r>
        <w:rPr>
          <w:noProof/>
        </w:rPr>
        <w:tab/>
      </w:r>
      <w:r>
        <w:rPr>
          <w:noProof/>
        </w:rPr>
        <w:fldChar w:fldCharType="begin"/>
      </w:r>
      <w:r>
        <w:rPr>
          <w:noProof/>
        </w:rPr>
        <w:instrText xml:space="preserve"> PAGEREF _Toc150742082 \h </w:instrText>
      </w:r>
      <w:r>
        <w:rPr>
          <w:noProof/>
        </w:rPr>
      </w:r>
      <w:r>
        <w:rPr>
          <w:noProof/>
        </w:rPr>
        <w:fldChar w:fldCharType="separate"/>
      </w:r>
      <w:r>
        <w:rPr>
          <w:noProof/>
        </w:rPr>
        <w:t>4</w:t>
      </w:r>
      <w:r>
        <w:rPr>
          <w:noProof/>
        </w:rPr>
        <w:fldChar w:fldCharType="end"/>
      </w:r>
    </w:p>
    <w:p>
      <w:pPr>
        <w:pStyle w:val="GesAbsatz"/>
      </w:pPr>
      <w:r>
        <w:rPr>
          <w:rFonts w:ascii="Times New Roman" w:hAnsi="Times New Roman"/>
          <w:bCs/>
          <w:color w:val="auto"/>
        </w:rPr>
        <w:fldChar w:fldCharType="end"/>
      </w:r>
    </w:p>
    <w:p>
      <w:pPr>
        <w:pStyle w:val="GesAbsatz"/>
      </w:pPr>
      <w:r>
        <w:t>Der Bundestag hat mit Zustimmung des Bundesrates folgendes Gesetz beschlossen:</w:t>
      </w:r>
    </w:p>
    <w:p>
      <w:pPr>
        <w:pStyle w:val="berschrift3"/>
      </w:pPr>
      <w:bookmarkStart w:id="2" w:name="_Toc150742071"/>
      <w:r>
        <w:t>§ 1</w:t>
      </w:r>
      <w:r>
        <w:br/>
        <w:t>Zweck und Anwendungsbereich des Gesetzes</w:t>
      </w:r>
      <w:bookmarkEnd w:id="2"/>
    </w:p>
    <w:p>
      <w:pPr>
        <w:pStyle w:val="GesAbsatz"/>
      </w:pPr>
      <w:r>
        <w:t>(1) Zweck dieses Gesetzes ist es, zum Schutz der Gesundheit den Gehalt an Bleiverbindungen und anderen an Stelle von Blei zugesetzten Metallverbindungen in Ottokraftstoffen zu beschränken. Soweit es mit dem Schutz der Gesundheit vereinbar ist, sollen dabei Versorgungsstörungen, Wettbewerbsverzerrungen oder Nachteile hinsichtlich der Verwendbarkeit der Ottokraftstoffe vermieden werden.</w:t>
      </w:r>
    </w:p>
    <w:p>
      <w:pPr>
        <w:pStyle w:val="GesAbsatz"/>
      </w:pPr>
      <w:r>
        <w:t>(2) Dieses Gesetz ist anzuwenden auf Ottokraftstoffe, die für Kraftfahrzeugmotore bestimmt sind.</w:t>
      </w:r>
    </w:p>
    <w:p>
      <w:pPr>
        <w:pStyle w:val="berschrift3"/>
      </w:pPr>
      <w:bookmarkStart w:id="3" w:name="_Toc150742072"/>
      <w:r>
        <w:t>§ 2</w:t>
      </w:r>
      <w:r>
        <w:br/>
        <w:t>Begrenzung und Verbot von Zusätzen mit Metallverbindungen</w:t>
      </w:r>
      <w:bookmarkEnd w:id="3"/>
    </w:p>
    <w:p>
      <w:pPr>
        <w:pStyle w:val="GesAbsatz"/>
      </w:pPr>
      <w:r>
        <w:t>(1) Ottokraftstoffe, deren Gehalt an Bleiverbindungen, berechnet als Blei, mehr als 0,15 Gramm im Liter (gemessen bei +15 °C) beträgt, dürfen gewerbsmäßig oder im Rahmen wirtschaftlicher Unternehmungen nicht hergestellt, eingeführt oder sonst in den Geltungsbereich dieses Gesetzes verbracht werden. Ottokraftstoffe, deren Motoroktanzahl den Wert 85 und deren Researchoktanzahl den Wert 95 unterschreitet, dürfen ab 1. Februar 1988 nur in den Verkehr gebracht werden, wenn ihr Gehalt an Bleiverbindungen, berechnet als Blei, nicht mehr als 0,013 Gramm im Liter (gemessen bei +15 °C) beträgt. Die Oktanzahlen nach Satz 2 sind nach dem hierfür in der Verordnung nach § 2a Abs. 3 vorgeschriebenen Prüfverfahren zu bestimmen. Dem Herstellen im Sinne dieses Gesetzes steht das Zusetzen von Bleiverbindungen gleich.</w:t>
      </w:r>
    </w:p>
    <w:p>
      <w:pPr>
        <w:pStyle w:val="GesAbsatz"/>
      </w:pPr>
      <w:r>
        <w:t>(2) Ottokraftstoffe, die nicht zugelassene Zusätze mit anderen Metallverbindungen enthalten, dürfen gewerbsmäßig oder im Rahmen wirtschaftlicher Unternehmungen nicht hergestellt, eingeführt oder sonst in den Geltungsbereich dieses Gesetzes verbracht werden. Absatz 1 Satz 4 gilt für diese Zusätze entsprechend. Das Bundesamt für Wirtschaft und Ausfuhrkontrolle (BAFA) kann auf Antrag im Einvernehmen mit dem Umweltbundesamt Zusätze nach Satz 1 bis zu einem bestimmten zulässigen Höchstgehalt im Ottokraftstoff zulassen, soweit dies mit dem Schutz der Allgemeinheit, insbesondere dem Schutz vor schädlichen Umwelteinwirkungen vereinbar ist. Die Zulassung kann unter Bedingungen erteilt, mit Auflagen verbunden und befristet werden. Sie kann widerrufen werden, wenn die Voraussetzungen für die Zulassung nicht mehr vorliegen. Das Bundesministerium für Umwelt, Naturschutz und nukleare Sicherheit erlässt im Einvernehmen mit dem Bundesministerium für Wirtschaft und Energie Verwaltungsvorschriften über die Grundsätze der Zulassung der Zusätze nach Satz 1.</w:t>
      </w:r>
    </w:p>
    <w:p>
      <w:pPr>
        <w:pStyle w:val="berschrift3"/>
      </w:pPr>
      <w:bookmarkStart w:id="4" w:name="_Toc150742073"/>
      <w:r>
        <w:lastRenderedPageBreak/>
        <w:t>§ 2a</w:t>
      </w:r>
      <w:r>
        <w:br/>
        <w:t>Verbraucherschutz</w:t>
      </w:r>
      <w:bookmarkEnd w:id="4"/>
    </w:p>
    <w:p>
      <w:pPr>
        <w:pStyle w:val="GesAbsatz"/>
      </w:pPr>
      <w:r>
        <w:t>(1) Wer im geschäftlichen Verkehr Ottokraftstoffe an den Verbraucher veräußert, hat die vom Hersteller mindestens gewährleistete Qualität der angebotenen Ottokraftstoffe hinsichtlich der Auswirkungen auf das motorische Verhalten gemäß der Rechtsverordnung nach Absatz 3 durch Auszeichnung an den Zapfsäulen oder sonst an der Tankstelle deutlich sichtbar kenntlich zu machen. Der Lieferer hat den Auszeichnungspflichtigen über die Qualität des angelieferten Ottokraftstoffes zu unterrichten.</w:t>
      </w:r>
    </w:p>
    <w:p>
      <w:pPr>
        <w:pStyle w:val="GesAbsatz"/>
      </w:pPr>
      <w:r>
        <w:t>(2) Die Hersteller und gewerblichen Einführer von Kraftfahrzeugen haben die für ihre Ottomotoren empfohlenen Kraftstoffqualitäten gemäß der Rechtsverordnung nach Absatz 3 öffentlich bekanntzugeben.</w:t>
      </w:r>
    </w:p>
    <w:p>
      <w:pPr>
        <w:pStyle w:val="GesAbsatz"/>
      </w:pPr>
      <w:r>
        <w:t>(3) Die Bundesregierung wird ermächtigt, durch Rechtsverordnung, die nicht der Zustimmung des Bundesrates bedarf, Näheres über Form und Inhalt der Auszeichnung nach Absatz 1 Satz 1, der Unterrichtung nach Absatz 1 Satz 2 und der Bekanntgabe nach Absatz 2 zu bestimmen und festzulegen, auf welche noch im Betrieb befindlichen Kraftfahrzeuge sich die Verpflichtung nach Absatz 2 erstreckt.</w:t>
      </w:r>
    </w:p>
    <w:p>
      <w:pPr>
        <w:pStyle w:val="berschrift3"/>
      </w:pPr>
      <w:bookmarkStart w:id="5" w:name="_Toc150742074"/>
      <w:r>
        <w:t>§ 3</w:t>
      </w:r>
      <w:r>
        <w:br/>
        <w:t>Ausnahmen</w:t>
      </w:r>
      <w:bookmarkEnd w:id="5"/>
    </w:p>
    <w:p>
      <w:pPr>
        <w:pStyle w:val="GesAbsatz"/>
      </w:pPr>
      <w:r>
        <w:t>(1) Das Bundesamt für Wirtschaft und Ausfuhrkontrolle (BAFA) kann auf Antrag Ausnahmen von dem Verbot des § 2 Abs. 1 bewilligen, soweit die Einhaltung des zulässigen Höchstgehalts an Bleiverbindungen zu einer erheblichen Gefährdung der Versorgung führen würde.</w:t>
      </w:r>
    </w:p>
    <w:p>
      <w:pPr>
        <w:pStyle w:val="GesAbsatz"/>
      </w:pPr>
      <w:r>
        <w:t>(2) Das Bundesamt für Wirtschaft und Ausfuhrkontrolle (BAFA) kann auf Antrag Ausnahmen von dem Verbot des § 2 Abs. 1 bewilligen, soweit die Einhaltung des zulässigen Höchstgehalts an Bleiverbindungen für den Antragsteller eine unzumutbare Härte bedeuten würde und die Ausnahmen dem Zweck des Gesetzes nicht zuwiderlaufen.</w:t>
      </w:r>
    </w:p>
    <w:p>
      <w:pPr>
        <w:pStyle w:val="GesAbsatz"/>
      </w:pPr>
      <w:r>
        <w:t xml:space="preserve">(2a) Das Bundesamt für Wirtschaft und Ausfuhrkontrolle (BAFA) kann auf Antrag Ausnahmen von dem Verbot des § 2 Abs. 1 </w:t>
      </w:r>
      <w:proofErr w:type="spellStart"/>
      <w:r>
        <w:t>ferner</w:t>
      </w:r>
      <w:proofErr w:type="spellEnd"/>
      <w:r>
        <w:t xml:space="preserve"> bewilligen</w:t>
      </w:r>
    </w:p>
    <w:p>
      <w:pPr>
        <w:pStyle w:val="GesAbsatz"/>
        <w:ind w:left="426" w:hanging="426"/>
      </w:pPr>
      <w:r>
        <w:t>1.</w:t>
      </w:r>
      <w:r>
        <w:tab/>
        <w:t>dem Hersteller für zur Ausfuhr bestimmte Ottokraftstoffe, soweit dadurch keine Gefährdung der Versorgung zu besorgen ist und das Recht des betreffenden Staates nicht entgegensteht,</w:t>
      </w:r>
    </w:p>
    <w:p>
      <w:pPr>
        <w:pStyle w:val="GesAbsatz"/>
        <w:ind w:left="426" w:hanging="426"/>
      </w:pPr>
      <w:r>
        <w:t>2.</w:t>
      </w:r>
      <w:r>
        <w:tab/>
        <w:t>dem Einführer oder Verbringer für zur Vermischung bestimmte Ottokraftstoffe, soweit der Gehalt der Mischung an Bleiverbindungen unter die Begrenzung des § 2 Abs. 1 abgesenkt wird.</w:t>
      </w:r>
    </w:p>
    <w:p>
      <w:pPr>
        <w:pStyle w:val="GesAbsatz"/>
      </w:pPr>
      <w:r>
        <w:t xml:space="preserve">(3) </w:t>
      </w:r>
      <w:r>
        <w:rPr>
          <w:rStyle w:val="Funotenzeichen"/>
        </w:rPr>
        <w:footnoteReference w:id="1"/>
      </w:r>
      <w:r>
        <w:t xml:space="preserve"> Die Bewilligung kann unter Bedingungen erteilt und mit Auflagen verbunden werden; sie kann widerrufen werden. Die Bewilligung ist zu befristen, im Falle des Absatzes 2 bei einer Ausnahme von der Begrenzung auf 0,40 Gramm Blei im Liter längstens bis zum 31. Dezember 1973 und bei einer Ausnahme von der Begrenzung auf 0,15 Gramm Blei im Liter längstens bis zum 31. Dezember 1977.</w:t>
      </w:r>
    </w:p>
    <w:p>
      <w:pPr>
        <w:pStyle w:val="GesAbsatz"/>
      </w:pPr>
      <w:r>
        <w:t>(4) Das Bundesministerium für Umwelt, Naturschutz und nukleare Sicherheit erlä</w:t>
      </w:r>
      <w:r>
        <w:t>ss</w:t>
      </w:r>
      <w:r>
        <w:t>t im Einvernehmen mit dem Bundesministerium der Finanzen und dem Bundesministerium für Wirtschaft und Energie Verwaltungsvorschriften über die Grundsätze, die bei der Bewilligung der Ausnahmen zu beachten sind</w:t>
      </w:r>
    </w:p>
    <w:p>
      <w:pPr>
        <w:pStyle w:val="berschrift3"/>
      </w:pPr>
      <w:bookmarkStart w:id="6" w:name="_Toc150742075"/>
      <w:r>
        <w:t>§ 3a</w:t>
      </w:r>
      <w:r>
        <w:br/>
        <w:t>Abgabe zum Ausgleich von Wettbewerbsvorteilen bei Ausnahmebewilligung</w:t>
      </w:r>
      <w:bookmarkEnd w:id="6"/>
    </w:p>
    <w:p>
      <w:pPr>
        <w:pStyle w:val="GesAbsatz"/>
      </w:pPr>
      <w:r>
        <w:t>(1) Für eine Ausnahmebewilligung, die für einen Zeitraum zwischen dem 1. Januar 1976 und dem 31. Dezember 1977 nach § 3 Abs. 1 oder 2 erteilt wird, hat derjenige, dem die Ausnahme bewilligt wird, an den Bund eine Abgabe von 0,5 Cent je Liter Ottokraftstoff mit einem Bleigehalt bis 0,25 Gramm und eine Abgabe von einem Cent je Liter Ottokraftstoff mit einem höheren Bleigehalt zu entrichten. Die abgabenpflichtige Menge ist das Volumen bei +12°C. Die Abgabe entsteht, wenn Ottokraftstoff im Rahmen der Ausnahmebewilligung in Herstellungsbetrieben oder Lagern hergestellt, eingeführt oder sonst in den Geltungsbereich dieses Gesetzes verbracht wird. Sie wird jeweils mit Ablauf des zweiten auf diesen Zeitpunkt folgenden Monats fällig.</w:t>
      </w:r>
    </w:p>
    <w:p>
      <w:pPr>
        <w:pStyle w:val="GesAbsatz"/>
      </w:pPr>
      <w:r>
        <w:t xml:space="preserve">(2) Der Schuldner hat für jeden Monat des Zeitraums, auf den die Ausnahmebewilligung befristet worden ist, dem zuständigen Hauptzollamt bis zum Ende des folgenden Monats anzumelden, ob und in welcher Höhe eine Abgabe entstanden ist. Geht die Anmeldung nicht oder nicht rechtzeitig ein, so wird vermutet, </w:t>
      </w:r>
      <w:proofErr w:type="spellStart"/>
      <w:r>
        <w:t>daß</w:t>
      </w:r>
      <w:proofErr w:type="spellEnd"/>
      <w:r>
        <w:t xml:space="preserve"> die Ausnahmebewilligung voll ausgenutzt worden und die Abgabe nach Absatz 1 entstanden ist. Die Abgabe ist unaufgefordert bis zum Fälligkeitstag an das zuständige Hauptzollamt zu entrichten. Soweit dieses Gesetz nichts anderes bestimmt, finden für die Festsetzung, Erhebung, Vollstreckung und das außergerichtliche </w:t>
      </w:r>
      <w:r>
        <w:lastRenderedPageBreak/>
        <w:t>Rechtsbehelfsverfahren die Vorschriften des Ersten bis Siebenten Teils der Abgabenordnung mit Ausnahme ihrer §§ 30, 76, 172 Abs. 1 Nr. 2, §§ 215 und 221 entsprechende Anwendung. Die Festsetzungsfrist beträgt ein Jahr. Sie beginnt mit Ablauf des Kalenderjahres, in dem die Abgabe entstanden ist. Für die Zahlungsverjährung gelten die §§ 228 bis 232 der Abgabenordnung entsprechend.</w:t>
      </w:r>
    </w:p>
    <w:p>
      <w:pPr>
        <w:pStyle w:val="GesAbsatz"/>
      </w:pPr>
      <w:r>
        <w:t>(3) Das Bundesministerium der Finanzen erlässt im Einvernehmen mit dem Bundesministerium für Umwelt, Naturschutz und nukleare Sicherheit und dem Bundesministerium für Wirtschaft und Energie Verwaltungsvorschriften über das bei der Festsetzung, Erhebung und Beitreibung der Abgabe anzuwendende Verfahren.</w:t>
      </w:r>
    </w:p>
    <w:p>
      <w:pPr>
        <w:pStyle w:val="berschrift3"/>
      </w:pPr>
      <w:bookmarkStart w:id="7" w:name="_Toc150742076"/>
      <w:r>
        <w:t>§ 4</w:t>
      </w:r>
      <w:r>
        <w:br/>
        <w:t>Erklärung über die Beschaffenheit einzuführender Ottokraftstoffe</w:t>
      </w:r>
      <w:bookmarkEnd w:id="7"/>
    </w:p>
    <w:p>
      <w:pPr>
        <w:pStyle w:val="GesAbsatz"/>
      </w:pPr>
      <w:r>
        <w:t>(1) Bei der Einfuhr oder dem sonstigen Verbringen von Ottokraftstoffen in den Geltungsbereich dieses Gesetzes ist eine schriftliche Erklärung über die Beschaffenheit des Ottokraftstoffes mitzuführen und den Zolldienststellen vorzulegen. Der Einführer oder derjenige, der sonst Ottokraftstoffe in den Geltungsbereich dieses Gesetzes verbringt hat diese Erklärung als Teil seiner geschäftlichen Unterlagen aufzubewahren.</w:t>
      </w:r>
    </w:p>
    <w:p>
      <w:pPr>
        <w:pStyle w:val="GesAbsatz"/>
      </w:pPr>
      <w:r>
        <w:t>(2) Die Bundesregierung wird ermächtigt, durch Rechtsverordnung mit Zustimmung des Bundesrates vorzuschreiben, welche Angaben über die Beschaffenheit des Ottokraftstoffs die schriftliche Erklärung nach Absatz 1 enthalten muss.</w:t>
      </w:r>
    </w:p>
    <w:p>
      <w:pPr>
        <w:pStyle w:val="berschrift3"/>
      </w:pPr>
      <w:bookmarkStart w:id="8" w:name="_Toc150742077"/>
      <w:r>
        <w:t>§ 5</w:t>
      </w:r>
      <w:r>
        <w:br/>
        <w:t>Überwachung</w:t>
      </w:r>
      <w:bookmarkEnd w:id="8"/>
    </w:p>
    <w:p>
      <w:pPr>
        <w:pStyle w:val="GesAbsatz"/>
      </w:pPr>
      <w:r>
        <w:t>(1) Eigentümer oder Betreiber von Anlagen, in denen Ottokraftstoffe gewerbsmäßig oder im Rahmen wirtschaftlicher Unternehmungen hergestellt werden, Eigentümer und Besitzer von Grundstücken, auf denen Ottokraftstoffe gewerbsmäßig oder im Rahmen wirtschaftlicher Unternehmungen gelagert werden, sowie diejenigen, die Ottokraftstoffe gewerbsmäßig oder im Rahmen wirtschaftlicher Unternehmungen einführen oder sonst in den Geltungsbereich dieses Gesetzes verbringen, haben der nach Landesrecht zuständigen Behörde auf Verlangen die Auskünfte zu erteilen, die zur Durchführung dieses Gesetzes oder einer auf Grund dieses Gesetzes erlassenen Rechtsverordnung erforderlich sind.</w:t>
      </w:r>
    </w:p>
    <w:p>
      <w:pPr>
        <w:pStyle w:val="GesAbsatz"/>
      </w:pPr>
      <w:r>
        <w:t>(2) Der zur Auskunft Verpflichtete kann die Auskunft auf solche Fragen verweigern, deren Beantwortung ihn selbst oder einen der in § 383 Abs. 1 Nr. 1 bis 3 der Zivilproze</w:t>
      </w:r>
      <w:r>
        <w:t>ss</w:t>
      </w:r>
      <w:r>
        <w:t>ordnung bezeichneten Angehörigen der Gefahr strafgerichtlicher Verfolgung oder eines Verfahrens nach dem Gesetz über Ordnungswidrigkeiten aussetzen würde.</w:t>
      </w:r>
    </w:p>
    <w:p>
      <w:pPr>
        <w:pStyle w:val="GesAbsatz"/>
      </w:pPr>
      <w:r>
        <w:t>(3) Die von der zuständigen Behörde mit der Einholung von Auskünften beauftragten Personen sind im Rahmen des Absatzes 1 befugt, Grundstücke, Anlagen und Geschäftsräume des Auskunftspflichtigen zu betreten, dort Prüfungen und Besichtigungen vorzunehmen, Stichproben zu entnehmen und in die geschäftlichen Unterlagen des Auskunftspflichtigen Einsicht zu nehmen. Die Kosten, die bei der Entnahme der Proben und deren Untersuchung entstehen, trägt der Auskunftspflichtige.</w:t>
      </w:r>
    </w:p>
    <w:p>
      <w:pPr>
        <w:pStyle w:val="GesAbsatz"/>
      </w:pPr>
      <w:r>
        <w:t>(4) Auf die nach den Absätzen 1 und 3 erlangten Kenntnisse und Unterlagen sind §§ 93, 97, 105 Abs. 1, § 111 Abs. 5 in Verbindung mit § 105 Abs. 1 sowie § 116 Abs. 1 der Abgabenordnung nicht anzuwenden. Dies gilt nicht, soweit die Finanzbehörden die Kenntnisse für die Durchführung eines Verfahrens wegen einer Steuerstraftat sowie eines damit zusammenhängenden Besteuerungsverfahren benötigen, an deren Verfolgung ein zwingendes öffentliches Interesse besteht, oder soweit es sich um vorsätzlich falsche Angaben des Auskunftspflichtigen oder der für ihn tätigen Personen handelt.</w:t>
      </w:r>
    </w:p>
    <w:p>
      <w:pPr>
        <w:pStyle w:val="berschrift3"/>
      </w:pPr>
      <w:bookmarkStart w:id="9" w:name="_Toc150742078"/>
      <w:r>
        <w:t>§ 6</w:t>
      </w:r>
      <w:r>
        <w:br/>
        <w:t>(aufgehoben)</w:t>
      </w:r>
      <w:bookmarkEnd w:id="9"/>
    </w:p>
    <w:p>
      <w:pPr>
        <w:pStyle w:val="berschrift3"/>
      </w:pPr>
      <w:bookmarkStart w:id="10" w:name="_Toc150742079"/>
      <w:r>
        <w:t>§ 7</w:t>
      </w:r>
      <w:r>
        <w:br/>
        <w:t>Ordnungswidrigkeiten</w:t>
      </w:r>
      <w:bookmarkEnd w:id="10"/>
    </w:p>
    <w:p>
      <w:pPr>
        <w:pStyle w:val="GesAbsatz"/>
      </w:pPr>
      <w:r>
        <w:t>(1) Ordnungswidrig handelt, wer vorsätzlich oder fahrlässig</w:t>
      </w:r>
    </w:p>
    <w:p>
      <w:pPr>
        <w:pStyle w:val="GesAbsatz"/>
      </w:pPr>
      <w:r>
        <w:t>1.</w:t>
      </w:r>
      <w:r>
        <w:tab/>
        <w:t>Ottokraftstoffe,</w:t>
      </w:r>
    </w:p>
    <w:p>
      <w:pPr>
        <w:pStyle w:val="GesAbsatz"/>
        <w:tabs>
          <w:tab w:val="clear" w:pos="425"/>
          <w:tab w:val="left" w:pos="851"/>
        </w:tabs>
        <w:ind w:left="426"/>
      </w:pPr>
      <w:r>
        <w:t>a)</w:t>
      </w:r>
      <w:r>
        <w:tab/>
        <w:t>die einen höheren als den nach § 2 Abs. 1 zulässigen Gehalt an Bleiverbindungen enthalten,</w:t>
      </w:r>
    </w:p>
    <w:p>
      <w:pPr>
        <w:pStyle w:val="GesAbsatz"/>
        <w:tabs>
          <w:tab w:val="clear" w:pos="425"/>
          <w:tab w:val="left" w:pos="851"/>
        </w:tabs>
        <w:ind w:left="426"/>
      </w:pPr>
      <w:r>
        <w:t>b)</w:t>
      </w:r>
      <w:r>
        <w:tab/>
        <w:t>die nicht zugelassene Zusätze mit anderen Metallverbindungen enthalten,</w:t>
      </w:r>
    </w:p>
    <w:p>
      <w:pPr>
        <w:pStyle w:val="GesAbsatz"/>
        <w:tabs>
          <w:tab w:val="clear" w:pos="425"/>
        </w:tabs>
      </w:pPr>
      <w:r>
        <w:t>gewerbsmäßig oder im Rahmen einer wirtschaftlichen Unternehmung herstellt, einführt, sonst in den Geltungsbereich dieses Gesetzes verbringt oder in den Verkehr bringt,</w:t>
      </w:r>
    </w:p>
    <w:p>
      <w:pPr>
        <w:pStyle w:val="GesAbsatz"/>
        <w:tabs>
          <w:tab w:val="clear" w:pos="425"/>
          <w:tab w:val="left" w:pos="426"/>
        </w:tabs>
        <w:ind w:left="851" w:hanging="851"/>
      </w:pPr>
      <w:r>
        <w:lastRenderedPageBreak/>
        <w:t>2.</w:t>
      </w:r>
      <w:r>
        <w:tab/>
        <w:t>a)</w:t>
      </w:r>
      <w:r>
        <w:tab/>
        <w:t>entgegen § 2a Abs. 1 Satz 1 die mindestens gewährleistete Qualität der angebotenen Ottokraftstoffe nicht oder nicht richtig kenntlich macht,</w:t>
      </w:r>
    </w:p>
    <w:p>
      <w:pPr>
        <w:pStyle w:val="GesAbsatz"/>
        <w:tabs>
          <w:tab w:val="clear" w:pos="425"/>
          <w:tab w:val="left" w:pos="851"/>
        </w:tabs>
        <w:ind w:left="426"/>
      </w:pPr>
      <w:r>
        <w:t>b)</w:t>
      </w:r>
      <w:r>
        <w:tab/>
        <w:t>entgegen § 2a Abs. 1 Satz 2 den Kennzeichnungspflichtigen nicht oder nicht richtig unterrichtet,</w:t>
      </w:r>
    </w:p>
    <w:p>
      <w:pPr>
        <w:pStyle w:val="GesAbsatz"/>
        <w:tabs>
          <w:tab w:val="clear" w:pos="425"/>
          <w:tab w:val="left" w:pos="851"/>
        </w:tabs>
        <w:ind w:left="426"/>
      </w:pPr>
      <w:r>
        <w:t>c)</w:t>
      </w:r>
      <w:r>
        <w:tab/>
        <w:t>entgegen § 2a Abs. 2 die empfohlenen Kraftstoffqualitäten nicht bekannt gibt.</w:t>
      </w:r>
    </w:p>
    <w:p>
      <w:pPr>
        <w:pStyle w:val="GesAbsatz"/>
      </w:pPr>
      <w:r>
        <w:t>3.</w:t>
      </w:r>
      <w:r>
        <w:tab/>
        <w:t>entgegen § 4 Abs. 1 Satz 2 die schriftliche Erklärung des Herstellers nicht aufbewahrt,</w:t>
      </w:r>
    </w:p>
    <w:p>
      <w:pPr>
        <w:pStyle w:val="GesAbsatz"/>
      </w:pPr>
      <w:r>
        <w:t>4.</w:t>
      </w:r>
      <w:r>
        <w:tab/>
        <w:t>entgegen § 5 Abs. 1 eine Auskunft nicht, nicht richtig, nicht vollständig oder nicht rechtzeitig erteilt oder</w:t>
      </w:r>
    </w:p>
    <w:p>
      <w:pPr>
        <w:pStyle w:val="GesAbsatz"/>
        <w:ind w:left="426" w:hanging="426"/>
      </w:pPr>
      <w:r>
        <w:t>5.</w:t>
      </w:r>
      <w:r>
        <w:tab/>
        <w:t>entgegen § 5 Abs. 3 eine Prüfung oder Besichtigung, die Entnahme von Stichproben oder die Einsicht in geschäftliche Unterlagen nicht gestattet.</w:t>
      </w:r>
    </w:p>
    <w:p>
      <w:pPr>
        <w:pStyle w:val="GesAbsatz"/>
      </w:pPr>
      <w:r>
        <w:t>(2) Die Ordnungswidrigkeit kann mit einer Geldbuße bis zu fünfundzwanzigtausend Euro geahndet werden.</w:t>
      </w:r>
    </w:p>
    <w:p>
      <w:pPr>
        <w:pStyle w:val="GesAbsatz"/>
      </w:pPr>
      <w:r>
        <w:t>(3) Ottokraftstoffe, auf die sich eine Ordnungswidrigkeit nach Absatz 1 Nr. 1 bezieht, können eingezogen werden. § 23 des Gesetzes über Ordnungswidrigkeiten ist anzuwenden.</w:t>
      </w:r>
    </w:p>
    <w:p>
      <w:pPr>
        <w:pStyle w:val="berschrift3"/>
      </w:pPr>
      <w:bookmarkStart w:id="11" w:name="_Toc150742080"/>
      <w:r>
        <w:t>§ 8</w:t>
      </w:r>
      <w:r>
        <w:br/>
        <w:t>Einfuhr von Ottokraftstoffen zu Verteidigungszwecken</w:t>
      </w:r>
      <w:bookmarkEnd w:id="11"/>
    </w:p>
    <w:p>
      <w:pPr>
        <w:pStyle w:val="GesAbsatz"/>
      </w:pPr>
      <w:r>
        <w:t>Dieses Gesetz findet keine Anwendung auf die Einfuhr von Ottokraftstoffen mit einem höheren als dem in § 2 Abs. 1 festgelegten Gehalt an Bleiverbindungen, wenn die Einfuhr auf Grund entsprechender internationaler Vereinbarungen der Bundesrepublik Deutschland zu Verteidigungszwecken erforderlich ist.</w:t>
      </w:r>
    </w:p>
    <w:p>
      <w:pPr>
        <w:pStyle w:val="berschrift3"/>
      </w:pPr>
      <w:bookmarkStart w:id="12" w:name="_Toc150742081"/>
      <w:r>
        <w:t>§ 9</w:t>
      </w:r>
      <w:r>
        <w:br/>
        <w:t>Berlin-Klausel</w:t>
      </w:r>
      <w:bookmarkEnd w:id="12"/>
    </w:p>
    <w:p>
      <w:pPr>
        <w:pStyle w:val="GesAbsatz"/>
      </w:pPr>
      <w:r>
        <w:t>Dieses Gesetz gilt nach Maßgabe des § 13 Abs. 1 des Dritten Überleitungsgesetzes vom 4. Januar 1952 (Bundesgesetzbl. I S. 1) auch im Land Berlin. Rechtsverordnungen, die auf Grund dieses Gesetzes erlassen werden, gelten im Land Berlin nach § 14 des Dritten Überleitungsgesetzes.</w:t>
      </w:r>
    </w:p>
    <w:p>
      <w:pPr>
        <w:pStyle w:val="berschrift3"/>
      </w:pPr>
      <w:bookmarkStart w:id="13" w:name="_Toc150742082"/>
      <w:r>
        <w:t>§ 10</w:t>
      </w:r>
      <w:r>
        <w:br/>
        <w:t>Inkrafttreten</w:t>
      </w:r>
      <w:bookmarkEnd w:id="13"/>
    </w:p>
    <w:p>
      <w:pPr>
        <w:pStyle w:val="GesAbsatz"/>
      </w:pPr>
      <w:r>
        <w:t>Dieses Gesetz tritt am Tage nach seiner Verkündung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14" w:name="Änderungen"/>
      <w:bookmarkEnd w:id="14"/>
      <w:r>
        <w:rPr>
          <w:b/>
        </w:rPr>
        <w:t>Änderungen:</w:t>
      </w:r>
    </w:p>
    <w:p>
      <w:pPr>
        <w:pStyle w:val="GesAbsatz"/>
        <w:tabs>
          <w:tab w:val="left" w:pos="2835"/>
        </w:tabs>
        <w:rPr>
          <w:rFonts w:cs="Arial"/>
        </w:rPr>
      </w:pPr>
      <w:r>
        <w:rPr>
          <w:rFonts w:cs="Arial"/>
        </w:rPr>
        <w:t>21.12.2000</w:t>
      </w:r>
      <w:r>
        <w:rPr>
          <w:rFonts w:cs="Arial"/>
        </w:rPr>
        <w:tab/>
      </w:r>
      <w:hyperlink r:id="rId7" w:history="1">
        <w:r>
          <w:rPr>
            <w:rStyle w:val="Hyperlink"/>
            <w:rFonts w:cs="Arial"/>
          </w:rPr>
          <w:t>BGBl. I Nr. 59 S. 1956, 1958</w:t>
        </w:r>
      </w:hyperlink>
    </w:p>
    <w:p>
      <w:pPr>
        <w:pStyle w:val="GesAbsatz"/>
        <w:tabs>
          <w:tab w:val="left" w:pos="2835"/>
        </w:tabs>
        <w:rPr>
          <w:rFonts w:cs="Arial"/>
          <w:lang w:val="en-US"/>
        </w:rPr>
      </w:pPr>
      <w:r>
        <w:rPr>
          <w:rFonts w:cs="Arial"/>
          <w:lang w:val="en-US"/>
        </w:rPr>
        <w:t>09.09.2001</w:t>
      </w:r>
      <w:r>
        <w:rPr>
          <w:rFonts w:cs="Arial"/>
          <w:lang w:val="en-US"/>
        </w:rPr>
        <w:tab/>
      </w:r>
      <w:hyperlink r:id="rId8" w:history="1">
        <w:r>
          <w:rPr>
            <w:rStyle w:val="Hyperlink"/>
            <w:rFonts w:cs="Arial"/>
            <w:lang w:val="en-US"/>
          </w:rPr>
          <w:t xml:space="preserve">BGBl. I </w:t>
        </w:r>
        <w:proofErr w:type="spellStart"/>
        <w:r>
          <w:rPr>
            <w:rStyle w:val="Hyperlink"/>
            <w:rFonts w:cs="Arial"/>
            <w:lang w:val="en-US"/>
          </w:rPr>
          <w:t>Nr</w:t>
        </w:r>
        <w:proofErr w:type="spellEnd"/>
        <w:r>
          <w:rPr>
            <w:rStyle w:val="Hyperlink"/>
            <w:rFonts w:cs="Arial"/>
            <w:lang w:val="en-US"/>
          </w:rPr>
          <w:t>. 47 S. 2331, 2334</w:t>
        </w:r>
      </w:hyperlink>
    </w:p>
    <w:p>
      <w:pPr>
        <w:pStyle w:val="GesAbsatz"/>
        <w:tabs>
          <w:tab w:val="left" w:pos="2835"/>
        </w:tabs>
        <w:rPr>
          <w:rFonts w:cs="Arial"/>
          <w:lang w:val="en-US"/>
        </w:rPr>
      </w:pPr>
      <w:r>
        <w:rPr>
          <w:rFonts w:cs="Arial"/>
          <w:lang w:val="en-US"/>
        </w:rPr>
        <w:t>29.10.2001</w:t>
      </w:r>
      <w:r>
        <w:rPr>
          <w:rFonts w:cs="Arial"/>
          <w:lang w:val="en-US"/>
        </w:rPr>
        <w:tab/>
      </w:r>
      <w:hyperlink r:id="rId9" w:history="1">
        <w:r>
          <w:rPr>
            <w:rStyle w:val="Hyperlink"/>
            <w:rFonts w:cs="Arial"/>
            <w:lang w:val="en-US"/>
          </w:rPr>
          <w:t xml:space="preserve">BGBl. I </w:t>
        </w:r>
        <w:proofErr w:type="spellStart"/>
        <w:r>
          <w:rPr>
            <w:rStyle w:val="Hyperlink"/>
            <w:rFonts w:cs="Arial"/>
            <w:lang w:val="en-US"/>
          </w:rPr>
          <w:t>Nr</w:t>
        </w:r>
        <w:proofErr w:type="spellEnd"/>
        <w:r>
          <w:rPr>
            <w:rStyle w:val="Hyperlink"/>
            <w:rFonts w:cs="Arial"/>
            <w:lang w:val="en-US"/>
          </w:rPr>
          <w:t>. 55 S. 2785, 2795</w:t>
        </w:r>
      </w:hyperlink>
    </w:p>
    <w:p>
      <w:pPr>
        <w:pStyle w:val="GesAbsatz"/>
        <w:tabs>
          <w:tab w:val="left" w:pos="2835"/>
        </w:tabs>
        <w:rPr>
          <w:rFonts w:cs="Arial"/>
          <w:lang w:val="en-US"/>
        </w:rPr>
      </w:pPr>
      <w:r>
        <w:rPr>
          <w:rFonts w:cs="Arial"/>
          <w:lang w:val="en-US"/>
        </w:rPr>
        <w:t>25.11.2003</w:t>
      </w:r>
      <w:r>
        <w:rPr>
          <w:rFonts w:cs="Arial"/>
          <w:lang w:val="en-US"/>
        </w:rPr>
        <w:tab/>
      </w:r>
      <w:hyperlink r:id="rId10" w:history="1">
        <w:r>
          <w:rPr>
            <w:rStyle w:val="Hyperlink"/>
            <w:rFonts w:cs="Arial"/>
            <w:lang w:val="en-US"/>
          </w:rPr>
          <w:t xml:space="preserve">BGBl. I </w:t>
        </w:r>
        <w:proofErr w:type="spellStart"/>
        <w:r>
          <w:rPr>
            <w:rStyle w:val="Hyperlink"/>
            <w:rFonts w:cs="Arial"/>
            <w:lang w:val="en-US"/>
          </w:rPr>
          <w:t>Nr</w:t>
        </w:r>
        <w:proofErr w:type="spellEnd"/>
        <w:r>
          <w:rPr>
            <w:rStyle w:val="Hyperlink"/>
            <w:rFonts w:cs="Arial"/>
            <w:lang w:val="en-US"/>
          </w:rPr>
          <w:t>. 56 S. 2304, 2308</w:t>
        </w:r>
      </w:hyperlink>
    </w:p>
    <w:p>
      <w:pPr>
        <w:pStyle w:val="GesAbsatz"/>
        <w:tabs>
          <w:tab w:val="left" w:pos="2835"/>
        </w:tabs>
        <w:rPr>
          <w:rFonts w:cs="Arial"/>
          <w:lang w:val="en-US"/>
        </w:rPr>
      </w:pPr>
      <w:r>
        <w:rPr>
          <w:rFonts w:cs="Arial"/>
          <w:lang w:val="en-US"/>
        </w:rPr>
        <w:t>31.10.2006</w:t>
      </w:r>
      <w:r>
        <w:rPr>
          <w:rFonts w:cs="Arial"/>
          <w:lang w:val="en-US"/>
        </w:rPr>
        <w:tab/>
      </w:r>
      <w:hyperlink r:id="rId11" w:history="1">
        <w:r>
          <w:rPr>
            <w:rStyle w:val="Hyperlink"/>
            <w:rFonts w:cs="Arial"/>
            <w:lang w:val="en-US"/>
          </w:rPr>
          <w:t xml:space="preserve">BGBl. I </w:t>
        </w:r>
        <w:proofErr w:type="spellStart"/>
        <w:r>
          <w:rPr>
            <w:rStyle w:val="Hyperlink"/>
            <w:rFonts w:cs="Arial"/>
            <w:lang w:val="en-US"/>
          </w:rPr>
          <w:t>Nr</w:t>
        </w:r>
        <w:proofErr w:type="spellEnd"/>
        <w:r>
          <w:rPr>
            <w:rStyle w:val="Hyperlink"/>
            <w:rFonts w:cs="Arial"/>
            <w:lang w:val="en-US"/>
          </w:rPr>
          <w:t>. 50 S. 2407, 2413</w:t>
        </w:r>
      </w:hyperlink>
      <w:r>
        <w:rPr>
          <w:rFonts w:cs="Arial"/>
          <w:lang w:val="en-US"/>
        </w:rPr>
        <w:t xml:space="preserve"> Inkrafttreten 08.11.2006</w:t>
      </w:r>
    </w:p>
    <w:p>
      <w:pPr>
        <w:pStyle w:val="GesAbsatz"/>
        <w:tabs>
          <w:tab w:val="left" w:pos="2835"/>
        </w:tabs>
        <w:rPr>
          <w:rFonts w:cs="Arial"/>
        </w:rPr>
      </w:pPr>
      <w:r>
        <w:rPr>
          <w:rFonts w:cs="Arial"/>
        </w:rPr>
        <w:t>31.08.2015</w:t>
      </w:r>
      <w:r>
        <w:rPr>
          <w:rFonts w:cs="Arial"/>
        </w:rPr>
        <w:tab/>
      </w:r>
      <w:hyperlink r:id="rId12" w:history="1">
        <w:r>
          <w:rPr>
            <w:rStyle w:val="Hyperlink"/>
            <w:rFonts w:cs="Arial"/>
          </w:rPr>
          <w:t>BGBl. I Nr. 35 S. 1474, 1487</w:t>
        </w:r>
      </w:hyperlink>
      <w:r>
        <w:rPr>
          <w:rFonts w:cs="Arial"/>
        </w:rPr>
        <w:t xml:space="preserve"> Inkrafttreten 08.09.2015</w:t>
      </w:r>
    </w:p>
    <w:p>
      <w:pPr>
        <w:pStyle w:val="GesAbsatz"/>
        <w:ind w:left="2835" w:hanging="2835"/>
        <w:jc w:val="left"/>
      </w:pPr>
      <w:r>
        <w:t>19.06.2020</w:t>
      </w:r>
      <w:r>
        <w:tab/>
      </w:r>
      <w:hyperlink r:id="rId13" w:history="1">
        <w:r>
          <w:rPr>
            <w:rStyle w:val="Hyperlink"/>
          </w:rPr>
          <w:t>BGBl. I Nr. 29 S. 1328, 1340</w:t>
        </w:r>
      </w:hyperlink>
      <w:r>
        <w:t xml:space="preserve"> Inkrafttreten 27.06.2020</w:t>
      </w:r>
      <w:r>
        <w:br/>
        <w:t>Artikel 102 Elfte Zuständigkeitsanpassungsverordnung</w:t>
      </w:r>
    </w:p>
    <w:p>
      <w:pPr>
        <w:pStyle w:val="GesAbsatz"/>
      </w:pPr>
    </w:p>
    <w:sectPr>
      <w:headerReference w:type="default" r:id="rId14"/>
      <w:footerReference w:type="even" r:id="rId15"/>
      <w:footerReference w:type="default" r:id="rId16"/>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05.08.1971 (BGBl. I S. 1234 / FNA 2129-5)</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19.06.2020</w:t>
    </w:r>
    <w:r>
      <w:rPr>
        <w:lang w:val="en-GB"/>
      </w:rPr>
      <w:t xml:space="preserve"> (BGBl. I S. 1328, 1340)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Nach dem </w:t>
      </w:r>
      <w:proofErr w:type="spellStart"/>
      <w:r>
        <w:t>EVertr</w:t>
      </w:r>
      <w:proofErr w:type="spellEnd"/>
      <w:r>
        <w:t>. v. 31. 1. 1990 (BGBl. II S. 1115) finden im Gebiet der ehem. DDR die Worte "im Falle des Absatzes 2 bei einer Ausnahme von der Begrenzung auf 0,40 g Blei im Liter längstens bis zum 31. Dezember 1973 und bei einer Ausnahme von der Begrenzung auf 0,15 g Blei im Liter längstens bis zum 31. Dezember 1977" in § 3 Abs. 3 Satz 2 keine Anwendung.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69.9-01</w:t>
    </w:r>
  </w:p>
  <w:p>
    <w:pPr>
      <w:pStyle w:val="Kopfzeile"/>
    </w:pPr>
    <w:r>
      <w:t>BzBlG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4680C-CB8D-4847-BC9C-A034B05C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5626">
      <w:bodyDiv w:val="1"/>
      <w:marLeft w:val="0"/>
      <w:marRight w:val="0"/>
      <w:marTop w:val="0"/>
      <w:marBottom w:val="0"/>
      <w:divBdr>
        <w:top w:val="none" w:sz="0" w:space="0" w:color="auto"/>
        <w:left w:val="none" w:sz="0" w:space="0" w:color="auto"/>
        <w:bottom w:val="none" w:sz="0" w:space="0" w:color="auto"/>
        <w:right w:val="none" w:sz="0" w:space="0" w:color="auto"/>
      </w:divBdr>
      <w:divsChild>
        <w:div w:id="41560101">
          <w:marLeft w:val="0"/>
          <w:marRight w:val="0"/>
          <w:marTop w:val="0"/>
          <w:marBottom w:val="0"/>
          <w:divBdr>
            <w:top w:val="none" w:sz="0" w:space="0" w:color="auto"/>
            <w:left w:val="none" w:sz="0" w:space="0" w:color="auto"/>
            <w:bottom w:val="none" w:sz="0" w:space="0" w:color="auto"/>
            <w:right w:val="none" w:sz="0" w:space="0" w:color="auto"/>
          </w:divBdr>
          <w:divsChild>
            <w:div w:id="23676839">
              <w:marLeft w:val="0"/>
              <w:marRight w:val="0"/>
              <w:marTop w:val="120"/>
              <w:marBottom w:val="120"/>
              <w:divBdr>
                <w:top w:val="none" w:sz="0" w:space="0" w:color="auto"/>
                <w:left w:val="none" w:sz="0" w:space="0" w:color="auto"/>
                <w:bottom w:val="none" w:sz="0" w:space="0" w:color="auto"/>
                <w:right w:val="none" w:sz="0" w:space="0" w:color="auto"/>
              </w:divBdr>
            </w:div>
            <w:div w:id="89089799">
              <w:marLeft w:val="0"/>
              <w:marRight w:val="0"/>
              <w:marTop w:val="120"/>
              <w:marBottom w:val="120"/>
              <w:divBdr>
                <w:top w:val="none" w:sz="0" w:space="0" w:color="auto"/>
                <w:left w:val="none" w:sz="0" w:space="0" w:color="auto"/>
                <w:bottom w:val="none" w:sz="0" w:space="0" w:color="auto"/>
                <w:right w:val="none" w:sz="0" w:space="0" w:color="auto"/>
              </w:divBdr>
            </w:div>
            <w:div w:id="285085193">
              <w:marLeft w:val="0"/>
              <w:marRight w:val="0"/>
              <w:marTop w:val="120"/>
              <w:marBottom w:val="120"/>
              <w:divBdr>
                <w:top w:val="none" w:sz="0" w:space="0" w:color="auto"/>
                <w:left w:val="none" w:sz="0" w:space="0" w:color="auto"/>
                <w:bottom w:val="none" w:sz="0" w:space="0" w:color="auto"/>
                <w:right w:val="none" w:sz="0" w:space="0" w:color="auto"/>
              </w:divBdr>
            </w:div>
            <w:div w:id="323321475">
              <w:marLeft w:val="0"/>
              <w:marRight w:val="0"/>
              <w:marTop w:val="120"/>
              <w:marBottom w:val="120"/>
              <w:divBdr>
                <w:top w:val="none" w:sz="0" w:space="0" w:color="auto"/>
                <w:left w:val="none" w:sz="0" w:space="0" w:color="auto"/>
                <w:bottom w:val="none" w:sz="0" w:space="0" w:color="auto"/>
                <w:right w:val="none" w:sz="0" w:space="0" w:color="auto"/>
              </w:divBdr>
            </w:div>
            <w:div w:id="429543828">
              <w:marLeft w:val="0"/>
              <w:marRight w:val="0"/>
              <w:marTop w:val="120"/>
              <w:marBottom w:val="120"/>
              <w:divBdr>
                <w:top w:val="none" w:sz="0" w:space="0" w:color="auto"/>
                <w:left w:val="none" w:sz="0" w:space="0" w:color="auto"/>
                <w:bottom w:val="none" w:sz="0" w:space="0" w:color="auto"/>
                <w:right w:val="none" w:sz="0" w:space="0" w:color="auto"/>
              </w:divBdr>
            </w:div>
            <w:div w:id="456149187">
              <w:marLeft w:val="0"/>
              <w:marRight w:val="0"/>
              <w:marTop w:val="120"/>
              <w:marBottom w:val="120"/>
              <w:divBdr>
                <w:top w:val="none" w:sz="0" w:space="0" w:color="auto"/>
                <w:left w:val="none" w:sz="0" w:space="0" w:color="auto"/>
                <w:bottom w:val="none" w:sz="0" w:space="0" w:color="auto"/>
                <w:right w:val="none" w:sz="0" w:space="0" w:color="auto"/>
              </w:divBdr>
            </w:div>
            <w:div w:id="459807724">
              <w:marLeft w:val="0"/>
              <w:marRight w:val="0"/>
              <w:marTop w:val="120"/>
              <w:marBottom w:val="120"/>
              <w:divBdr>
                <w:top w:val="none" w:sz="0" w:space="0" w:color="auto"/>
                <w:left w:val="none" w:sz="0" w:space="0" w:color="auto"/>
                <w:bottom w:val="none" w:sz="0" w:space="0" w:color="auto"/>
                <w:right w:val="none" w:sz="0" w:space="0" w:color="auto"/>
              </w:divBdr>
            </w:div>
            <w:div w:id="945431315">
              <w:marLeft w:val="0"/>
              <w:marRight w:val="0"/>
              <w:marTop w:val="120"/>
              <w:marBottom w:val="120"/>
              <w:divBdr>
                <w:top w:val="none" w:sz="0" w:space="0" w:color="auto"/>
                <w:left w:val="none" w:sz="0" w:space="0" w:color="auto"/>
                <w:bottom w:val="none" w:sz="0" w:space="0" w:color="auto"/>
                <w:right w:val="none" w:sz="0" w:space="0" w:color="auto"/>
              </w:divBdr>
            </w:div>
            <w:div w:id="946741118">
              <w:marLeft w:val="0"/>
              <w:marRight w:val="0"/>
              <w:marTop w:val="120"/>
              <w:marBottom w:val="120"/>
              <w:divBdr>
                <w:top w:val="none" w:sz="0" w:space="0" w:color="auto"/>
                <w:left w:val="none" w:sz="0" w:space="0" w:color="auto"/>
                <w:bottom w:val="none" w:sz="0" w:space="0" w:color="auto"/>
                <w:right w:val="none" w:sz="0" w:space="0" w:color="auto"/>
              </w:divBdr>
            </w:div>
            <w:div w:id="1111708500">
              <w:marLeft w:val="0"/>
              <w:marRight w:val="0"/>
              <w:marTop w:val="120"/>
              <w:marBottom w:val="120"/>
              <w:divBdr>
                <w:top w:val="none" w:sz="0" w:space="0" w:color="auto"/>
                <w:left w:val="none" w:sz="0" w:space="0" w:color="auto"/>
                <w:bottom w:val="none" w:sz="0" w:space="0" w:color="auto"/>
                <w:right w:val="none" w:sz="0" w:space="0" w:color="auto"/>
              </w:divBdr>
            </w:div>
            <w:div w:id="1124353451">
              <w:marLeft w:val="0"/>
              <w:marRight w:val="0"/>
              <w:marTop w:val="120"/>
              <w:marBottom w:val="120"/>
              <w:divBdr>
                <w:top w:val="none" w:sz="0" w:space="0" w:color="auto"/>
                <w:left w:val="none" w:sz="0" w:space="0" w:color="auto"/>
                <w:bottom w:val="none" w:sz="0" w:space="0" w:color="auto"/>
                <w:right w:val="none" w:sz="0" w:space="0" w:color="auto"/>
              </w:divBdr>
            </w:div>
            <w:div w:id="1386485828">
              <w:marLeft w:val="0"/>
              <w:marRight w:val="0"/>
              <w:marTop w:val="120"/>
              <w:marBottom w:val="120"/>
              <w:divBdr>
                <w:top w:val="none" w:sz="0" w:space="0" w:color="auto"/>
                <w:left w:val="none" w:sz="0" w:space="0" w:color="auto"/>
                <w:bottom w:val="none" w:sz="0" w:space="0" w:color="auto"/>
                <w:right w:val="none" w:sz="0" w:space="0" w:color="auto"/>
              </w:divBdr>
            </w:div>
            <w:div w:id="1419205309">
              <w:marLeft w:val="0"/>
              <w:marRight w:val="0"/>
              <w:marTop w:val="120"/>
              <w:marBottom w:val="120"/>
              <w:divBdr>
                <w:top w:val="none" w:sz="0" w:space="0" w:color="auto"/>
                <w:left w:val="none" w:sz="0" w:space="0" w:color="auto"/>
                <w:bottom w:val="none" w:sz="0" w:space="0" w:color="auto"/>
                <w:right w:val="none" w:sz="0" w:space="0" w:color="auto"/>
              </w:divBdr>
            </w:div>
            <w:div w:id="1508206982">
              <w:marLeft w:val="0"/>
              <w:marRight w:val="0"/>
              <w:marTop w:val="120"/>
              <w:marBottom w:val="120"/>
              <w:divBdr>
                <w:top w:val="none" w:sz="0" w:space="0" w:color="auto"/>
                <w:left w:val="none" w:sz="0" w:space="0" w:color="auto"/>
                <w:bottom w:val="none" w:sz="0" w:space="0" w:color="auto"/>
                <w:right w:val="none" w:sz="0" w:space="0" w:color="auto"/>
              </w:divBdr>
            </w:div>
            <w:div w:id="1539588910">
              <w:marLeft w:val="0"/>
              <w:marRight w:val="0"/>
              <w:marTop w:val="120"/>
              <w:marBottom w:val="120"/>
              <w:divBdr>
                <w:top w:val="none" w:sz="0" w:space="0" w:color="auto"/>
                <w:left w:val="none" w:sz="0" w:space="0" w:color="auto"/>
                <w:bottom w:val="none" w:sz="0" w:space="0" w:color="auto"/>
                <w:right w:val="none" w:sz="0" w:space="0" w:color="auto"/>
              </w:divBdr>
            </w:div>
            <w:div w:id="1723602915">
              <w:marLeft w:val="0"/>
              <w:marRight w:val="0"/>
              <w:marTop w:val="120"/>
              <w:marBottom w:val="120"/>
              <w:divBdr>
                <w:top w:val="none" w:sz="0" w:space="0" w:color="auto"/>
                <w:left w:val="none" w:sz="0" w:space="0" w:color="auto"/>
                <w:bottom w:val="none" w:sz="0" w:space="0" w:color="auto"/>
                <w:right w:val="none" w:sz="0" w:space="0" w:color="auto"/>
              </w:divBdr>
            </w:div>
            <w:div w:id="1826311326">
              <w:marLeft w:val="0"/>
              <w:marRight w:val="0"/>
              <w:marTop w:val="120"/>
              <w:marBottom w:val="120"/>
              <w:divBdr>
                <w:top w:val="none" w:sz="0" w:space="0" w:color="auto"/>
                <w:left w:val="none" w:sz="0" w:space="0" w:color="auto"/>
                <w:bottom w:val="none" w:sz="0" w:space="0" w:color="auto"/>
                <w:right w:val="none" w:sz="0" w:space="0" w:color="auto"/>
              </w:divBdr>
            </w:div>
            <w:div w:id="1843354634">
              <w:marLeft w:val="0"/>
              <w:marRight w:val="0"/>
              <w:marTop w:val="120"/>
              <w:marBottom w:val="120"/>
              <w:divBdr>
                <w:top w:val="none" w:sz="0" w:space="0" w:color="auto"/>
                <w:left w:val="none" w:sz="0" w:space="0" w:color="auto"/>
                <w:bottom w:val="none" w:sz="0" w:space="0" w:color="auto"/>
                <w:right w:val="none" w:sz="0" w:space="0" w:color="auto"/>
              </w:divBdr>
            </w:div>
            <w:div w:id="1878395665">
              <w:marLeft w:val="0"/>
              <w:marRight w:val="0"/>
              <w:marTop w:val="120"/>
              <w:marBottom w:val="120"/>
              <w:divBdr>
                <w:top w:val="none" w:sz="0" w:space="0" w:color="auto"/>
                <w:left w:val="none" w:sz="0" w:space="0" w:color="auto"/>
                <w:bottom w:val="none" w:sz="0" w:space="0" w:color="auto"/>
                <w:right w:val="none" w:sz="0" w:space="0" w:color="auto"/>
              </w:divBdr>
            </w:div>
            <w:div w:id="19101935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331.pdf'%5d" TargetMode="External"/><Relationship Id="rId13" Type="http://schemas.openxmlformats.org/officeDocument/2006/relationships/hyperlink" Target="http://www.bgbl.de/Xaver/start.xav?startbk=Bundesanzeiger_BGBl&amp;start=//*%5b@attr_id='bgbl120s1328.pdf'%5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0s1956.pdf'%5d"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6s2407.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03s230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1s2785.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4F07-FA85-47F9-914C-ABB4243F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1876</Words>
  <Characters>12983</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Beinzinbleigesetz</vt:lpstr>
    </vt:vector>
  </TitlesOfParts>
  <Company>LUA</Company>
  <LinksUpToDate>false</LinksUpToDate>
  <CharactersWithSpaces>14830</CharactersWithSpaces>
  <SharedDoc>false</SharedDoc>
  <HLinks>
    <vt:vector size="36" baseType="variant">
      <vt:variant>
        <vt:i4>4849772</vt:i4>
      </vt:variant>
      <vt:variant>
        <vt:i4>57</vt:i4>
      </vt:variant>
      <vt:variant>
        <vt:i4>0</vt:i4>
      </vt:variant>
      <vt:variant>
        <vt:i4>5</vt:i4>
      </vt:variant>
      <vt:variant>
        <vt:lpwstr>http://www.bgbl.de/Xaver/start.xav?startbk=Bundesanzeiger_BGBl&amp;start=//*%5b@attr_id='bgbl106s2407.pdf'%5d</vt:lpwstr>
      </vt:variant>
      <vt:variant>
        <vt:lpwstr/>
      </vt:variant>
      <vt:variant>
        <vt:i4>5177448</vt:i4>
      </vt:variant>
      <vt:variant>
        <vt:i4>54</vt:i4>
      </vt:variant>
      <vt:variant>
        <vt:i4>0</vt:i4>
      </vt:variant>
      <vt:variant>
        <vt:i4>5</vt:i4>
      </vt:variant>
      <vt:variant>
        <vt:lpwstr>http://www.bgbl.de/Xaver/start.xav?startbk=Bundesanzeiger_BGBl&amp;start=//*%5b@attr_id='bgbl103s2304.pdf'%5d</vt:lpwstr>
      </vt:variant>
      <vt:variant>
        <vt:lpwstr/>
      </vt:variant>
      <vt:variant>
        <vt:i4>4522093</vt:i4>
      </vt:variant>
      <vt:variant>
        <vt:i4>51</vt:i4>
      </vt:variant>
      <vt:variant>
        <vt:i4>0</vt:i4>
      </vt:variant>
      <vt:variant>
        <vt:i4>5</vt:i4>
      </vt:variant>
      <vt:variant>
        <vt:lpwstr>http://www.bgbl.de/Xaver/start.xav?startbk=Bundesanzeiger_BGBl&amp;start=//*%5b@attr_id='bgbl101s2785.pdf'%5d</vt:lpwstr>
      </vt:variant>
      <vt:variant>
        <vt:lpwstr/>
      </vt:variant>
      <vt:variant>
        <vt:i4>5111917</vt:i4>
      </vt:variant>
      <vt:variant>
        <vt:i4>48</vt:i4>
      </vt:variant>
      <vt:variant>
        <vt:i4>0</vt:i4>
      </vt:variant>
      <vt:variant>
        <vt:i4>5</vt:i4>
      </vt:variant>
      <vt:variant>
        <vt:lpwstr>http://www.bgbl.de/Xaver/start.xav?startbk=Bundesanzeiger_BGBl&amp;start=//*%5b@attr_id='bgbl101s2331.pdf'%5d</vt:lpwstr>
      </vt:variant>
      <vt:variant>
        <vt:lpwstr/>
      </vt:variant>
      <vt:variant>
        <vt:i4>4849760</vt:i4>
      </vt:variant>
      <vt:variant>
        <vt:i4>45</vt:i4>
      </vt:variant>
      <vt:variant>
        <vt:i4>0</vt:i4>
      </vt:variant>
      <vt:variant>
        <vt:i4>5</vt:i4>
      </vt:variant>
      <vt:variant>
        <vt:lpwstr>http://www.bgbl.de/Xaver/start.xav?startbk=Bundesanzeiger_BGBl&amp;start=//*%5b@attr_id='bgbl100s1956.pdf'%5d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Beinzinbleigesetz</dc:title>
  <dc:creator>Natrop</dc:creator>
  <dc:description>durchgesehen 02.2005</dc:description>
  <cp:lastModifiedBy>Rüter, Dr., Ingo</cp:lastModifiedBy>
  <cp:revision>9</cp:revision>
  <cp:lastPrinted>2006-08-15T06:39:00Z</cp:lastPrinted>
  <dcterms:created xsi:type="dcterms:W3CDTF">2015-09-09T06:32:00Z</dcterms:created>
  <dcterms:modified xsi:type="dcterms:W3CDTF">2024-12-18T11:45:00Z</dcterms:modified>
</cp:coreProperties>
</file>