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6147659"/>
      <w:r>
        <w:t>Bekanntmachung von Empfehlungen zur Bekanntmachung über die bundeseinheitliche Praxis bei der Überwachung der Emissionen aus Kleinfeuerungsanlagen</w:t>
      </w:r>
      <w:bookmarkEnd w:id="0"/>
    </w:p>
    <w:p>
      <w:pPr>
        <w:pStyle w:val="GesAbsatz"/>
        <w:jc w:val="center"/>
      </w:pPr>
      <w:r>
        <w:t>vom 27. Mai 2020</w:t>
      </w:r>
    </w:p>
    <w:p>
      <w:pPr>
        <w:pStyle w:val="GesAbsatz"/>
      </w:pP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6147659" w:history="1">
        <w:r>
          <w:rPr>
            <w:rStyle w:val="Hyperlink"/>
            <w:noProof/>
          </w:rPr>
          <w:t>Bekanntmachung von Empfehlungen zur Bekanntmachung über die bundesein</w:t>
        </w:r>
        <w:r>
          <w:rPr>
            <w:rStyle w:val="Hyperlink"/>
            <w:noProof/>
          </w:rPr>
          <w:softHyphen/>
          <w:t>heitliche Praxis bei der Überwachung der Emissionen aus Kleinfeuerungs</w:t>
        </w:r>
        <w:r>
          <w:rPr>
            <w:rStyle w:val="Hyperlink"/>
            <w:noProof/>
          </w:rPr>
          <w:softHyphen/>
        </w:r>
        <w:bookmarkStart w:id="1" w:name="_GoBack"/>
        <w:bookmarkEnd w:id="1"/>
        <w:r>
          <w:rPr>
            <w:rStyle w:val="Hyperlink"/>
            <w:noProof/>
          </w:rPr>
          <w:t>anlagen</w:t>
        </w:r>
        <w:r>
          <w:rPr>
            <w:noProof/>
            <w:webHidden/>
          </w:rPr>
          <w:tab/>
        </w:r>
        <w:r>
          <w:rPr>
            <w:noProof/>
            <w:webHidden/>
          </w:rPr>
          <w:fldChar w:fldCharType="begin"/>
        </w:r>
        <w:r>
          <w:rPr>
            <w:noProof/>
            <w:webHidden/>
          </w:rPr>
          <w:instrText xml:space="preserve"> PAGEREF _Toc56147659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147660" w:history="1">
        <w:r>
          <w:rPr>
            <w:rStyle w:val="Hyperlink"/>
            <w:noProof/>
          </w:rPr>
          <w:t>I. Eignung von Messeinrichtungen</w:t>
        </w:r>
        <w:r>
          <w:rPr>
            <w:noProof/>
            <w:webHidden/>
          </w:rPr>
          <w:tab/>
        </w:r>
        <w:r>
          <w:rPr>
            <w:noProof/>
            <w:webHidden/>
          </w:rPr>
          <w:fldChar w:fldCharType="begin"/>
        </w:r>
        <w:r>
          <w:rPr>
            <w:noProof/>
            <w:webHidden/>
          </w:rPr>
          <w:instrText xml:space="preserve"> PAGEREF _Toc56147660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147661" w:history="1">
        <w:r>
          <w:rPr>
            <w:rStyle w:val="Hyperlink"/>
            <w:noProof/>
          </w:rPr>
          <w:t>II. Empfehlungen zu Mitteilungen zu eignungsgeprüften Messeinrichtungen, die gemäß der bundeseinheitlichen Praxis bei der Überwachung der Emissionen aus Kleinfeuerungsanlagen bekanntgegeben wurden</w:t>
        </w:r>
        <w:r>
          <w:rPr>
            <w:noProof/>
            <w:webHidden/>
          </w:rPr>
          <w:tab/>
        </w:r>
        <w:r>
          <w:rPr>
            <w:noProof/>
            <w:webHidden/>
          </w:rPr>
          <w:fldChar w:fldCharType="begin"/>
        </w:r>
        <w:r>
          <w:rPr>
            <w:noProof/>
            <w:webHidden/>
          </w:rPr>
          <w:instrText xml:space="preserve"> PAGEREF _Toc56147661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berschrift2"/>
      </w:pPr>
      <w:bookmarkStart w:id="2" w:name="_Toc56147660"/>
      <w:r>
        <w:t>I.</w:t>
      </w:r>
      <w:r>
        <w:br/>
        <w:t>Eignung von Messeinrichtungen</w:t>
      </w:r>
      <w:bookmarkEnd w:id="2"/>
    </w:p>
    <w:p>
      <w:pPr>
        <w:pStyle w:val="GesAbsatz"/>
      </w:pPr>
      <w:r>
        <w:t>Gemäß Rundschreiben des Bundesministeriums für Umwelt, Naturschutz und Reaktorsicherheit (BMU) vom 12. Dezember 2011 – IG I 2 – 51134/0 – (GMBl 2012 S. 11) haben die obersten Immissionsschutzbehörden der Länder die Ergebnisse der Eignungsprüfungen begutachtet und sind zu einem positiven Gesamturteil gelangt. Den zuständigen Behörden der Länder wird daher empfohlen, folgende Bekanntmachungen durchzuführen:</w:t>
      </w:r>
    </w:p>
    <w:p>
      <w:pPr>
        <w:pStyle w:val="GesAbsatz"/>
        <w:ind w:left="426" w:hanging="426"/>
        <w:rPr>
          <w:b/>
        </w:rPr>
      </w:pPr>
      <w:r>
        <w:rPr>
          <w:b/>
        </w:rPr>
        <w:t>1</w:t>
      </w:r>
      <w:r>
        <w:rPr>
          <w:b/>
        </w:rPr>
        <w:tab/>
        <w:t>Messgeräte zur Überwachung des Abgasverlustes und der Emissionsgrenzwerte an Öl- und Gasfeuerungsanlagen sowie zur Überwachung des CO-Grenzwertes und zur Ermittlung der Abgaskomponente O</w:t>
      </w:r>
      <w:r>
        <w:rPr>
          <w:b/>
          <w:vertAlign w:val="subscript"/>
        </w:rPr>
        <w:t>2</w:t>
      </w:r>
      <w:r>
        <w:rPr>
          <w:b/>
        </w:rPr>
        <w:t xml:space="preserve"> und der Abgastemperatur an Feuerungsanlagen für feste Brennstoffe</w:t>
      </w:r>
    </w:p>
    <w:p>
      <w:pPr>
        <w:pStyle w:val="GesAbsatz"/>
        <w:ind w:left="426" w:hanging="426"/>
        <w:rPr>
          <w:b/>
        </w:rPr>
      </w:pPr>
      <w:r>
        <w:rPr>
          <w:b/>
        </w:rPr>
        <w:t>1.1</w:t>
      </w:r>
      <w:r>
        <w:rPr>
          <w:b/>
        </w:rPr>
        <w:tab/>
        <w:t>Kombinationsmessgerät Typ Kane 975</w:t>
      </w:r>
    </w:p>
    <w:p>
      <w:pPr>
        <w:pStyle w:val="GesAbsatz"/>
      </w:pPr>
      <w:r>
        <w:t>Hersteller:</w:t>
      </w:r>
    </w:p>
    <w:p>
      <w:pPr>
        <w:pStyle w:val="GesAbsatz"/>
      </w:pPr>
      <w:r>
        <w:t>Kane International Ltd, Welwyn Garden City, United Kingdom</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Einsatzbereich:</w:t>
      </w:r>
    </w:p>
    <w:p>
      <w:pPr>
        <w:pStyle w:val="GesAbsatz"/>
      </w:pPr>
      <w:r>
        <w:t>Messgerät zur Abgasverlustbestimmung und zur Überwachung der Emissionsgrenzwerte an Gas- und Ölfeuerungsanlagen sowie zur Überwachung des CO-Grenzwertes und zur Ermittlung der Abgaskomponente O</w:t>
      </w:r>
      <w:r>
        <w:rPr>
          <w:vertAlign w:val="subscript"/>
        </w:rPr>
        <w:t>2</w:t>
      </w:r>
      <w:r>
        <w:t xml:space="preserve"> und der Abgastemperatur von Feuerungsanlagen für feste Brennstoffe</w:t>
      </w:r>
    </w:p>
    <w:p>
      <w:pPr>
        <w:pStyle w:val="GesAbsatz"/>
      </w:pPr>
      <w:r>
        <w:t>Messbereiche in der Eignungsprüfung:</w:t>
      </w:r>
    </w:p>
    <w:p>
      <w:pPr>
        <w:pStyle w:val="GesAbsatz"/>
        <w:tabs>
          <w:tab w:val="clear" w:pos="425"/>
          <w:tab w:val="left" w:pos="3828"/>
        </w:tabs>
      </w:pPr>
      <w:r>
        <w:t>O</w:t>
      </w:r>
      <w:r>
        <w:rPr>
          <w:vertAlign w:val="subscript"/>
        </w:rPr>
        <w:t>2</w:t>
      </w:r>
      <w:r>
        <w:tab/>
        <w:t>0 bis 21,0 Vol. %</w:t>
      </w:r>
    </w:p>
    <w:p>
      <w:pPr>
        <w:pStyle w:val="GesAbsatz"/>
        <w:tabs>
          <w:tab w:val="clear" w:pos="425"/>
          <w:tab w:val="left" w:pos="3828"/>
        </w:tabs>
      </w:pPr>
      <w:r>
        <w:t>CO</w:t>
      </w:r>
      <w:r>
        <w:tab/>
        <w:t>0 bis 25 000 mg/m³</w:t>
      </w:r>
    </w:p>
    <w:p>
      <w:pPr>
        <w:pStyle w:val="GesAbsatz"/>
        <w:tabs>
          <w:tab w:val="clear" w:pos="425"/>
          <w:tab w:val="left" w:pos="3828"/>
        </w:tabs>
      </w:pPr>
      <w:r>
        <w:t>Abgastemperatur T</w:t>
      </w:r>
      <w:r>
        <w:rPr>
          <w:vertAlign w:val="subscript"/>
        </w:rPr>
        <w:t>A</w:t>
      </w:r>
      <w:r>
        <w:tab/>
        <w:t>0 bis 400 °C</w:t>
      </w:r>
    </w:p>
    <w:p>
      <w:pPr>
        <w:pStyle w:val="GesAbsatz"/>
        <w:tabs>
          <w:tab w:val="clear" w:pos="425"/>
          <w:tab w:val="left" w:pos="3828"/>
        </w:tabs>
      </w:pPr>
      <w:r>
        <w:t>Verbrennungslufttemperatur T</w:t>
      </w:r>
      <w:r>
        <w:rPr>
          <w:vertAlign w:val="subscript"/>
        </w:rPr>
        <w:t>L</w:t>
      </w:r>
      <w:r>
        <w:tab/>
        <w:t>0 bis 50 °C</w:t>
      </w:r>
    </w:p>
    <w:p>
      <w:pPr>
        <w:pStyle w:val="GesAbsatz"/>
        <w:tabs>
          <w:tab w:val="clear" w:pos="425"/>
          <w:tab w:val="left" w:pos="3828"/>
        </w:tabs>
      </w:pPr>
      <w:r>
        <w:t>Druck (Zug-)</w:t>
      </w:r>
      <w:r>
        <w:tab/>
        <w:t>–40 bis 200 Pa</w:t>
      </w:r>
    </w:p>
    <w:p>
      <w:pPr>
        <w:pStyle w:val="GesAbsatz"/>
        <w:tabs>
          <w:tab w:val="clear" w:pos="425"/>
          <w:tab w:val="left" w:pos="3828"/>
        </w:tabs>
      </w:pPr>
      <w:r>
        <w:t>Druck (Differenz-)</w:t>
      </w:r>
      <w:r>
        <w:tab/>
        <w:t>0 Pa bis 10 000 Pa</w:t>
      </w:r>
    </w:p>
    <w:p>
      <w:pPr>
        <w:pStyle w:val="GesAbsatz"/>
      </w:pPr>
      <w:r>
        <w:t>Softwareversion:</w:t>
      </w:r>
    </w:p>
    <w:p>
      <w:pPr>
        <w:pStyle w:val="GesAbsatz"/>
      </w:pPr>
      <w:r>
        <w:lastRenderedPageBreak/>
        <w:t>Firmware Version 1.06.00</w:t>
      </w:r>
    </w:p>
    <w:p>
      <w:pPr>
        <w:pStyle w:val="GesAbsatz"/>
      </w:pPr>
      <w:r>
        <w:t>Einschränkungen:</w:t>
      </w:r>
    </w:p>
    <w:p>
      <w:pPr>
        <w:pStyle w:val="GesAbsatz"/>
      </w:pPr>
      <w:r>
        <w:t>Keine</w:t>
      </w:r>
    </w:p>
    <w:p>
      <w:pPr>
        <w:pStyle w:val="GesAbsatz"/>
      </w:pPr>
      <w:r>
        <w:t>Hinweise:</w:t>
      </w:r>
    </w:p>
    <w:p>
      <w:pPr>
        <w:pStyle w:val="GesAbsatz"/>
      </w:pPr>
      <w:r>
        <w:t>1.</w:t>
      </w:r>
      <w:r>
        <w:tab/>
        <w:t>Die Funktion „WLAN“ darf für Messungen im Rahmen der 1.BImSchV nicht verwendet werden.</w:t>
      </w:r>
    </w:p>
    <w:p>
      <w:pPr>
        <w:pStyle w:val="GesAbsatz"/>
        <w:ind w:left="425" w:hanging="425"/>
      </w:pPr>
      <w:r>
        <w:t>2.</w:t>
      </w:r>
      <w:r>
        <w:tab/>
        <w:t>Das Kombinationsmessgerät ist mit dem O</w:t>
      </w:r>
      <w:r>
        <w:rPr>
          <w:vertAlign w:val="subscript"/>
        </w:rPr>
        <w:t>2</w:t>
      </w:r>
      <w:r>
        <w:t>-Sensor Typ 7OX und dem CO-Sensor Typ A5F+ ausgestattet.</w:t>
      </w:r>
    </w:p>
    <w:p>
      <w:pPr>
        <w:pStyle w:val="GesAbsatz"/>
      </w:pPr>
      <w:r>
        <w:t>3.</w:t>
      </w:r>
      <w:r>
        <w:tab/>
        <w:t>Das Kombinationsmessgerät ist nicht für den Außeneinsatz geeignet.</w:t>
      </w:r>
    </w:p>
    <w:p>
      <w:pPr>
        <w:pStyle w:val="GesAbsatz"/>
        <w:ind w:left="425" w:hanging="425"/>
      </w:pPr>
      <w:r>
        <w:t>4.</w:t>
      </w:r>
      <w:r>
        <w:tab/>
        <w:t>Ein Sensoraustausch ist nur durch den Hersteller bzw. durch eine vom Hersteller autorisierte Fachkraft zulässig.</w:t>
      </w:r>
    </w:p>
    <w:p>
      <w:pPr>
        <w:pStyle w:val="GesAbsatz"/>
      </w:pPr>
      <w:r>
        <w:t>Prüfinstitut:</w:t>
      </w:r>
    </w:p>
    <w:p>
      <w:pPr>
        <w:pStyle w:val="GesAbsatz"/>
      </w:pPr>
      <w:r>
        <w:t>TÜV SÜD Industrie Service GmbH</w:t>
      </w:r>
    </w:p>
    <w:p>
      <w:pPr>
        <w:pStyle w:val="GesAbsatz"/>
      </w:pPr>
      <w:r>
        <w:t>Prüfkennzeichen: TÜV By RgG 319</w:t>
      </w:r>
    </w:p>
    <w:p>
      <w:pPr>
        <w:pStyle w:val="GesAbsatz"/>
      </w:pPr>
      <w:r>
        <w:t>Prüfbericht: Bericht Nr. M-BI 1223-00/19_V1 vom 2020-05-05</w:t>
      </w:r>
    </w:p>
    <w:p>
      <w:pPr>
        <w:pStyle w:val="berschrift2"/>
      </w:pPr>
      <w:bookmarkStart w:id="3" w:name="_Toc56147661"/>
      <w:r>
        <w:t>II.</w:t>
      </w:r>
      <w:r>
        <w:br/>
        <w:t>Empfehlungen zu Mitteilungen zu eignungsgeprüften Messeinrichtungen,</w:t>
      </w:r>
      <w:r>
        <w:br/>
        <w:t>die gemäß der bundeseinheitlichen Praxis bei der Überwachung der Emissionen</w:t>
      </w:r>
      <w:r>
        <w:br/>
        <w:t>aus Kleinfeuerungsanlagen bekanntgegeben wurden</w:t>
      </w:r>
      <w:bookmarkEnd w:id="3"/>
    </w:p>
    <w:p>
      <w:pPr>
        <w:pStyle w:val="GesAbsatz"/>
        <w:rPr>
          <w:b/>
        </w:rPr>
      </w:pPr>
      <w:r>
        <w:rPr>
          <w:b/>
        </w:rPr>
        <w:t>1 Mitteilung zu der Bekanntmachung des Umweltbundesamtes vom 27. Februar 2019 (BAnz AT 26.03.2019 B8, Kapitel I Nummer 1.1) und zu der Bekanntmachung des Umweltbundesamtes vom 24. Februar 2020 (BAnz AT 24.03.2020 B8, Kapitel 1 Nummer 1.1):</w:t>
      </w:r>
    </w:p>
    <w:p>
      <w:pPr>
        <w:pStyle w:val="GesAbsatz"/>
      </w:pPr>
      <w:r>
        <w:t>Die aktuelle Firmwareversion für das Abgasanalysemessgerät Typ testo 300 der Firma Testo SE &amp; Co.KGaA lautet V1.07.</w:t>
      </w:r>
    </w:p>
    <w:p>
      <w:pPr>
        <w:pStyle w:val="GesAbsatz"/>
      </w:pPr>
      <w:r>
        <w:t>Die aktuelle Version der App-Software Smart-Device lautet V 10.1.0.</w:t>
      </w:r>
    </w:p>
    <w:p>
      <w:pPr>
        <w:pStyle w:val="GesAbsatz"/>
      </w:pPr>
      <w:r>
        <w:t>Stellungnahme der TÜV SÜD Industrie Service GmbH vom 10. März 2020.</w:t>
      </w:r>
    </w:p>
    <w:p>
      <w:pPr>
        <w:pStyle w:val="GesAbsatz"/>
        <w:rPr>
          <w:b/>
        </w:rPr>
      </w:pPr>
      <w:r>
        <w:rPr>
          <w:b/>
        </w:rPr>
        <w:t>2 Mitteilung zu der Bekanntmachung des Umweltbundesamtes vom 21. Februar 2018 (BAnz AT 26.03.2018 B9, Kapitel I Nummer 7.3):</w:t>
      </w:r>
    </w:p>
    <w:p>
      <w:pPr>
        <w:pStyle w:val="GesAbsatz"/>
      </w:pPr>
      <w:r>
        <w:t>Im Staubmessgerät Typ testo 380 der Firma Testo SE &amp; Co.KGaA kann zur Überwachung des CO-Grenzwertes und zur Ermittlung der Abgaskomponente O2 und der Abgastemperatur neben den Abgasanalysemessgeräten Typ testo 330-2 LL V2010 und Typ testo 330-2 LL/F auch das Abgasanalysemessgerät Typ testo 300 verwendet werden.</w:t>
      </w:r>
    </w:p>
    <w:p>
      <w:pPr>
        <w:pStyle w:val="GesAbsatz"/>
      </w:pPr>
      <w:r>
        <w:t>Die aktuellen Firmwareversionen für das Staubmessgerät Typ testo 380 lauten:</w:t>
      </w:r>
    </w:p>
    <w:p>
      <w:pPr>
        <w:pStyle w:val="GesAbsatz"/>
        <w:tabs>
          <w:tab w:val="left" w:pos="2268"/>
        </w:tabs>
      </w:pPr>
      <w:r>
        <w:t>Messbox t380</w:t>
      </w:r>
      <w:r>
        <w:tab/>
        <w:t>Firmware Version V1.18</w:t>
      </w:r>
    </w:p>
    <w:p>
      <w:pPr>
        <w:pStyle w:val="GesAbsatz"/>
        <w:tabs>
          <w:tab w:val="left" w:pos="2268"/>
        </w:tabs>
      </w:pPr>
      <w:r>
        <w:t>Sonde</w:t>
      </w:r>
      <w:r>
        <w:tab/>
        <w:t>Firmware Version V1.05</w:t>
      </w:r>
    </w:p>
    <w:p>
      <w:pPr>
        <w:pStyle w:val="GesAbsatz"/>
      </w:pPr>
      <w:r>
        <w:t>Stellungnahme der TÜV SÜD Industrie Service GmbH vom 10. März 2020.</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27.05.2020 (BAnz. AT vom 31.07.2020 B9)</w:t>
    </w:r>
    <w:r>
      <w:tab/>
      <w:t xml:space="preserve">Seite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61.8-50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50C27A-1BCC-43F5-B77F-2A16C965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0EC27-14C2-4928-95A6-6B553A31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538</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4</cp:revision>
  <cp:lastPrinted>2004-12-14T12:08:00Z</cp:lastPrinted>
  <dcterms:created xsi:type="dcterms:W3CDTF">2020-11-13T07:18:00Z</dcterms:created>
  <dcterms:modified xsi:type="dcterms:W3CDTF">2024-07-18T08:29:00Z</dcterms:modified>
</cp:coreProperties>
</file>