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497146"/>
      <w:bookmarkStart w:id="1" w:name="_GoBack"/>
      <w:bookmarkEnd w:id="1"/>
      <w:r>
        <w:t>Bekanntmachung</w:t>
      </w:r>
      <w:r>
        <w:br/>
        <w:t>über die bundeseinheitliche Praxis</w:t>
      </w:r>
      <w:r>
        <w:br/>
        <w:t>bei der Überwachung der Emissionen aus Kleinfeuerungsanlagen</w:t>
      </w:r>
      <w:bookmarkEnd w:id="0"/>
    </w:p>
    <w:p>
      <w:pPr>
        <w:pStyle w:val="GesAbsatz"/>
        <w:jc w:val="center"/>
      </w:pPr>
      <w:r>
        <w:t>vom 18. Februar 2016</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6497146" w:history="1">
        <w:r>
          <w:rPr>
            <w:rStyle w:val="Hyperlink"/>
            <w:noProof/>
          </w:rPr>
          <w:t>Bekanntmachung über die bundeseinheitliche Praxis bei der Überwachung der Emissionen aus Kleinfeuerungsanlagen</w:t>
        </w:r>
        <w:r>
          <w:rPr>
            <w:noProof/>
            <w:webHidden/>
          </w:rPr>
          <w:tab/>
        </w:r>
        <w:r>
          <w:rPr>
            <w:noProof/>
            <w:webHidden/>
          </w:rPr>
          <w:fldChar w:fldCharType="begin"/>
        </w:r>
        <w:r>
          <w:rPr>
            <w:noProof/>
            <w:webHidden/>
          </w:rPr>
          <w:instrText xml:space="preserve"> PAGEREF _Toc446497146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7147" w:history="1">
        <w:r>
          <w:rPr>
            <w:rStyle w:val="Hyperlink"/>
            <w:noProof/>
          </w:rPr>
          <w:t>I. Eignung von Messeinrichtungen</w:t>
        </w:r>
        <w:r>
          <w:rPr>
            <w:noProof/>
            <w:webHidden/>
          </w:rPr>
          <w:tab/>
        </w:r>
        <w:r>
          <w:rPr>
            <w:noProof/>
            <w:webHidden/>
          </w:rPr>
          <w:fldChar w:fldCharType="begin"/>
        </w:r>
        <w:r>
          <w:rPr>
            <w:noProof/>
            <w:webHidden/>
          </w:rPr>
          <w:instrText xml:space="preserve"> PAGEREF _Toc446497147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6497148" w:history="1">
        <w:r>
          <w:rPr>
            <w:rStyle w:val="Hyperlink"/>
            <w:noProof/>
          </w:rPr>
          <w:t>II. Mitteilungen zur Bekanntmachung über die bundeseinheitliche Praxis bei der Überwachung der Emissionen aus Kleinfeuerungsanlagen</w:t>
        </w:r>
        <w:r>
          <w:rPr>
            <w:noProof/>
            <w:webHidden/>
          </w:rPr>
          <w:tab/>
        </w:r>
        <w:r>
          <w:rPr>
            <w:noProof/>
            <w:webHidden/>
          </w:rPr>
          <w:fldChar w:fldCharType="begin"/>
        </w:r>
        <w:r>
          <w:rPr>
            <w:noProof/>
            <w:webHidden/>
          </w:rPr>
          <w:instrText xml:space="preserve"> PAGEREF _Toc446497148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pPr>
      <w:bookmarkStart w:id="2" w:name="_Toc446497147"/>
      <w:r>
        <w:t>I.</w:t>
      </w:r>
      <w:r>
        <w:br/>
        <w:t>Eignung von Messeinrichtungen</w:t>
      </w:r>
      <w:bookmarkEnd w:id="2"/>
    </w:p>
    <w:p>
      <w:pPr>
        <w:pStyle w:val="GesAbsatz"/>
      </w:pPr>
      <w:r>
        <w:t>Gemäß Rundschreiben des Bundesministeriums für Umwelt, Naturschutz und Reaktorsicherheit (BMU) vom 12. Dezember 2011 – IG I 2 - 51134/0 – (GMBl 2012 S. 11) haben die obersten Immissionsschutzbehörden der Länder die Ergebnisse der Eingangsprüfungen begutachtet und sind zu einem positiven Gesamturteil gelangt. Den zuständigen Behörden der Länder wird daher empfohlen, folgende Bekanntgaben durchzuführen:</w:t>
      </w:r>
    </w:p>
    <w:p>
      <w:pPr>
        <w:pStyle w:val="GesAbsatz"/>
        <w:ind w:left="426" w:hanging="426"/>
        <w:rPr>
          <w:b/>
        </w:rPr>
      </w:pPr>
      <w:r>
        <w:rPr>
          <w:b/>
        </w:rPr>
        <w:t>1</w:t>
      </w:r>
      <w:r>
        <w:rPr>
          <w:b/>
        </w:rPr>
        <w:tab/>
        <w:t>Messgeräte zur Überwachung des CO-Emissionsgrenzwertes und des Abgasverlustes an Öl- und Gasfeuerungsanlagen</w:t>
      </w:r>
    </w:p>
    <w:p>
      <w:pPr>
        <w:pStyle w:val="GesAbsatz"/>
        <w:rPr>
          <w:b/>
        </w:rPr>
      </w:pPr>
      <w:r>
        <w:rPr>
          <w:b/>
        </w:rPr>
        <w:t>1.1</w:t>
      </w:r>
      <w:r>
        <w:rPr>
          <w:b/>
        </w:rPr>
        <w:tab/>
        <w:t xml:space="preserve">Kombinationsmessgerät Typ </w:t>
      </w:r>
      <w:proofErr w:type="spellStart"/>
      <w:r>
        <w:rPr>
          <w:b/>
        </w:rPr>
        <w:t>DELTAsmart</w:t>
      </w:r>
      <w:proofErr w:type="spellEnd"/>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4678"/>
        </w:tabs>
      </w:pPr>
      <w:r>
        <w:t>O</w:t>
      </w:r>
      <w:r>
        <w:rPr>
          <w:vertAlign w:val="subscript"/>
        </w:rPr>
        <w:t>2</w:t>
      </w:r>
      <w:r>
        <w:tab/>
        <w:t>0 bis 21,0 Vol.-%</w:t>
      </w:r>
    </w:p>
    <w:p>
      <w:pPr>
        <w:pStyle w:val="GesAbsatz"/>
        <w:tabs>
          <w:tab w:val="clear" w:pos="425"/>
          <w:tab w:val="left" w:pos="4678"/>
        </w:tabs>
      </w:pPr>
      <w:r>
        <w:t>CO</w:t>
      </w:r>
      <w:r>
        <w:tab/>
        <w:t>0 bis 2 500 mg/m³</w:t>
      </w:r>
    </w:p>
    <w:p>
      <w:pPr>
        <w:pStyle w:val="GesAbsatz"/>
        <w:tabs>
          <w:tab w:val="left" w:pos="4678"/>
        </w:tabs>
      </w:pPr>
      <w:r>
        <w:t>Abgastemperatur T</w:t>
      </w:r>
      <w:r>
        <w:rPr>
          <w:vertAlign w:val="subscript"/>
        </w:rPr>
        <w:t>A</w:t>
      </w:r>
      <w:r>
        <w:tab/>
        <w:t>0 bis 400 °C</w:t>
      </w:r>
    </w:p>
    <w:p>
      <w:pPr>
        <w:pStyle w:val="GesAbsatz"/>
        <w:tabs>
          <w:tab w:val="left" w:pos="4678"/>
        </w:tabs>
      </w:pPr>
      <w:r>
        <w:t>Verbrennungslufttemperatur T</w:t>
      </w:r>
      <w:r>
        <w:rPr>
          <w:vertAlign w:val="subscript"/>
        </w:rPr>
        <w:t>L</w:t>
      </w:r>
      <w:r>
        <w:tab/>
        <w:t>0 bis 50 °C</w:t>
      </w:r>
    </w:p>
    <w:p>
      <w:pPr>
        <w:pStyle w:val="GesAbsatz"/>
        <w:tabs>
          <w:tab w:val="left" w:pos="4678"/>
        </w:tabs>
      </w:pPr>
      <w:r>
        <w:t>Druck (Zug-)</w:t>
      </w:r>
      <w:r>
        <w:tab/>
        <w:t>– 40 bis 190 Pa</w:t>
      </w:r>
    </w:p>
    <w:p>
      <w:pPr>
        <w:pStyle w:val="GesAbsatz"/>
        <w:tabs>
          <w:tab w:val="left" w:pos="4678"/>
        </w:tabs>
      </w:pPr>
      <w:r>
        <w:t>Druck (Differenz-)</w:t>
      </w:r>
      <w:r>
        <w:tab/>
        <w:t>0 Pa bis 10 000 Pa</w:t>
      </w:r>
    </w:p>
    <w:p>
      <w:pPr>
        <w:pStyle w:val="GesAbsatz"/>
        <w:tabs>
          <w:tab w:val="left" w:pos="2408"/>
          <w:tab w:val="left" w:pos="4678"/>
        </w:tabs>
      </w:pPr>
      <w:r>
        <w:t>Softwareversionen:</w:t>
      </w:r>
      <w:r>
        <w:tab/>
        <w:t xml:space="preserve">Modul </w:t>
      </w:r>
      <w:proofErr w:type="spellStart"/>
      <w:r>
        <w:t>Messkernel</w:t>
      </w:r>
      <w:proofErr w:type="spellEnd"/>
      <w:r>
        <w:tab/>
        <w:t>Version 1.00 vom 28. März 2015</w:t>
      </w:r>
    </w:p>
    <w:p>
      <w:pPr>
        <w:pStyle w:val="GesAbsatz"/>
        <w:tabs>
          <w:tab w:val="left" w:pos="4678"/>
        </w:tabs>
        <w:ind w:left="2410"/>
      </w:pPr>
      <w:r>
        <w:t>Firmware</w:t>
      </w:r>
      <w:r>
        <w:tab/>
        <w:t>Version 1.02.00 vom 24. Juni 2015</w:t>
      </w:r>
    </w:p>
    <w:p>
      <w:pPr>
        <w:pStyle w:val="GesAbsatz"/>
      </w:pPr>
      <w:r>
        <w:t>Einschränkungen:</w:t>
      </w:r>
    </w:p>
    <w:p>
      <w:pPr>
        <w:pStyle w:val="GesAbsatz"/>
      </w:pPr>
      <w:r>
        <w:t>Keine</w:t>
      </w:r>
    </w:p>
    <w:p>
      <w:pPr>
        <w:pStyle w:val="GesAbsatz"/>
      </w:pPr>
      <w:r>
        <w:t>Hinweise:</w:t>
      </w:r>
    </w:p>
    <w:p>
      <w:pPr>
        <w:pStyle w:val="GesAbsatz"/>
        <w:ind w:left="426" w:hanging="426"/>
      </w:pPr>
      <w:r>
        <w:lastRenderedPageBreak/>
        <w:t>1.</w:t>
      </w:r>
      <w:r>
        <w:tab/>
        <w:t>Das Kombinationsmessgerät kann im Funktionsmodul zur O</w:t>
      </w:r>
      <w:r>
        <w:rPr>
          <w:vertAlign w:val="subscript"/>
        </w:rPr>
        <w:t>2</w:t>
      </w:r>
      <w:r>
        <w:t>-Bestimmung mit den O</w:t>
      </w:r>
      <w:r>
        <w:rPr>
          <w:vertAlign w:val="subscript"/>
        </w:rPr>
        <w:t>2</w:t>
      </w:r>
      <w:r>
        <w:t>-Sensoren Typ #65910 der Firma City Technology und Typ #63296 der Firma Alphasense betrieben werden.</w:t>
      </w:r>
    </w:p>
    <w:p>
      <w:pPr>
        <w:pStyle w:val="GesAbsatz"/>
        <w:ind w:left="426" w:hanging="426"/>
      </w:pPr>
      <w:r>
        <w:t>2.</w:t>
      </w:r>
      <w:r>
        <w:tab/>
        <w:t>Ein Sensorwechsel ist nur durch den Hersteller oder durch vom Hersteller autorisiertes Fachpersonal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309</w:t>
      </w:r>
    </w:p>
    <w:p>
      <w:pPr>
        <w:pStyle w:val="GesAbsatz"/>
      </w:pPr>
      <w:r>
        <w:t>Prüfbericht-Nr.: M-BI 1184-00/15 vom 5. Oktober 2015</w:t>
      </w:r>
    </w:p>
    <w:p>
      <w:pPr>
        <w:pStyle w:val="GesAbsatz"/>
        <w:ind w:left="426" w:hanging="426"/>
        <w:rPr>
          <w:b/>
        </w:rPr>
      </w:pPr>
      <w:r>
        <w:rPr>
          <w:b/>
        </w:rPr>
        <w:t>2</w:t>
      </w:r>
      <w:r>
        <w:rPr>
          <w:b/>
        </w:rPr>
        <w:tab/>
        <w:t>Messgeräte zur Überwachung der Staub- und CO-Grenzwerte sowie zur Ermittlung der Abgaskomponenten an Feuerungsanlagen für feste Brennstoffe</w:t>
      </w:r>
    </w:p>
    <w:p>
      <w:pPr>
        <w:pStyle w:val="GesAbsatz"/>
        <w:ind w:left="426" w:hanging="426"/>
        <w:rPr>
          <w:b/>
        </w:rPr>
      </w:pPr>
      <w:r>
        <w:rPr>
          <w:b/>
        </w:rPr>
        <w:t>2.1</w:t>
      </w:r>
      <w:r>
        <w:rPr>
          <w:b/>
        </w:rPr>
        <w:tab/>
        <w:t xml:space="preserve">Kombinationsmessgerät Typ STM 225 in Verbindung mit dem Multilyzer NG/Eurolyzer ST/Multilyzer </w:t>
      </w:r>
      <w:proofErr w:type="spellStart"/>
      <w:r>
        <w:rPr>
          <w:b/>
        </w:rPr>
        <w:t>STe</w:t>
      </w:r>
      <w:proofErr w:type="spellEnd"/>
    </w:p>
    <w:p>
      <w:pPr>
        <w:pStyle w:val="GesAbsatz"/>
      </w:pPr>
      <w:r>
        <w:t>Hersteller:</w:t>
      </w:r>
    </w:p>
    <w:p>
      <w:pPr>
        <w:pStyle w:val="GesAbsatz"/>
      </w:pPr>
      <w:proofErr w:type="spellStart"/>
      <w:r>
        <w:t>Afriso</w:t>
      </w:r>
      <w:proofErr w:type="spellEnd"/>
      <w:r>
        <w:t xml:space="preserve"> Euro Index GmbH, Güglingen</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r>
        <w:t>.</w:t>
      </w:r>
    </w:p>
    <w:p>
      <w:pPr>
        <w:pStyle w:val="GesAbsatz"/>
      </w:pPr>
      <w:r>
        <w:t>Messgerät zur Überwachung der Staub- und CO-Grenzwerte der 1. BImSchV gemäß § 4 Absatz 5 an Grundöfen sowie § 26 Absatz 1 an Einzelraumfeuerungsanlagen für feste Brennstoffe nach § 3 Absatz 1 Nummer 1 bis 5a sowie zur Ermittlung der Abgaskomponente O</w:t>
      </w:r>
      <w:r>
        <w:rPr>
          <w:vertAlign w:val="subscript"/>
        </w:rPr>
        <w:t>2</w:t>
      </w:r>
      <w:r>
        <w:t>.</w:t>
      </w:r>
    </w:p>
    <w:p>
      <w:pPr>
        <w:pStyle w:val="GesAbsatz"/>
      </w:pPr>
      <w:r>
        <w:t>Messbereiche in der Eignungsprüfung:</w:t>
      </w:r>
    </w:p>
    <w:p>
      <w:pPr>
        <w:pStyle w:val="GesAbsatz"/>
        <w:tabs>
          <w:tab w:val="clear" w:pos="425"/>
          <w:tab w:val="left" w:pos="4678"/>
        </w:tabs>
      </w:pPr>
      <w:r>
        <w:t>partikelförmige Emissionen</w:t>
      </w:r>
      <w:r>
        <w:tab/>
        <w:t>0,01 bis 0,30 g/m³</w:t>
      </w:r>
    </w:p>
    <w:p>
      <w:pPr>
        <w:pStyle w:val="GesAbsatz"/>
        <w:tabs>
          <w:tab w:val="clear" w:pos="425"/>
          <w:tab w:val="left" w:pos="4678"/>
        </w:tabs>
      </w:pPr>
      <w:r>
        <w:t>O</w:t>
      </w:r>
      <w:r>
        <w:rPr>
          <w:vertAlign w:val="subscript"/>
        </w:rPr>
        <w:t>2</w:t>
      </w:r>
      <w:r>
        <w:tab/>
        <w:t>0 bis 21,0 Vol.-%</w:t>
      </w:r>
    </w:p>
    <w:p>
      <w:pPr>
        <w:pStyle w:val="GesAbsatz"/>
        <w:tabs>
          <w:tab w:val="clear" w:pos="425"/>
          <w:tab w:val="left" w:pos="4678"/>
        </w:tabs>
      </w:pPr>
      <w:r>
        <w:t>CO</w:t>
      </w:r>
      <w:r>
        <w:tab/>
        <w:t>0 bis 25 000 mg/m³</w:t>
      </w:r>
    </w:p>
    <w:p>
      <w:pPr>
        <w:pStyle w:val="GesAbsatz"/>
        <w:tabs>
          <w:tab w:val="left" w:pos="2268"/>
          <w:tab w:val="left" w:pos="4678"/>
        </w:tabs>
      </w:pPr>
      <w:r>
        <w:t xml:space="preserve">Softwareversionen: </w:t>
      </w:r>
      <w:r>
        <w:tab/>
        <w:t xml:space="preserve">Streulicht </w:t>
      </w:r>
      <w:proofErr w:type="spellStart"/>
      <w:r>
        <w:t>Messbank</w:t>
      </w:r>
      <w:proofErr w:type="spellEnd"/>
      <w:r>
        <w:tab/>
        <w:t>Version V1.02.27 vom 27. Januar 2014</w:t>
      </w:r>
    </w:p>
    <w:p>
      <w:pPr>
        <w:pStyle w:val="GesAbsatz"/>
        <w:tabs>
          <w:tab w:val="left" w:pos="4678"/>
        </w:tabs>
        <w:ind w:left="2268"/>
      </w:pPr>
      <w:r>
        <w:t>Messgerät</w:t>
      </w:r>
      <w:r>
        <w:tab/>
        <w:t>Version V4.0.2.7 vom 22. August 2014</w:t>
      </w:r>
    </w:p>
    <w:p>
      <w:pPr>
        <w:pStyle w:val="GesAbsatz"/>
      </w:pPr>
      <w:r>
        <w:t>Einschränkungen:</w:t>
      </w:r>
    </w:p>
    <w:p>
      <w:pPr>
        <w:pStyle w:val="GesAbsatz"/>
        <w:ind w:left="426" w:hanging="426"/>
      </w:pPr>
      <w:r>
        <w:t>1.</w:t>
      </w:r>
      <w:r>
        <w:tab/>
        <w:t>Die Ermittlung der Abgaskomponente O</w:t>
      </w:r>
      <w:r>
        <w:rPr>
          <w:vertAlign w:val="subscript"/>
        </w:rPr>
        <w:t>2</w:t>
      </w:r>
      <w:r>
        <w:t xml:space="preserve"> als Mittelwert über den Zeitraum der 30-Minuten-Messung der partikelförmigen Emission sowie die Ermittlung der CO-Emission als Mittelwert über die Abbrandperiode kann nur mit dem Abgasanalysemessgerät Multilyzer </w:t>
      </w:r>
      <w:proofErr w:type="spellStart"/>
      <w:r>
        <w:t>STe</w:t>
      </w:r>
      <w:proofErr w:type="spellEnd"/>
      <w:r>
        <w:t xml:space="preserve"> durchgeführt werden.</w:t>
      </w:r>
    </w:p>
    <w:p>
      <w:pPr>
        <w:pStyle w:val="GesAbsatz"/>
        <w:ind w:left="426" w:hanging="426"/>
      </w:pPr>
      <w:r>
        <w:t>2.</w:t>
      </w:r>
      <w:r>
        <w:tab/>
        <w:t>Das Abgasanalysemessgerät Typ Eurolyzer ST darf in Verbindung mit dem Staubmessgerät STM 225 für Messungen von Emissionswerten für Kohlenmonoxid an Feuerungsanlagen für feste Brennstoffe entsprechend der 1. BImSchV mit einer Konzentration von über 12 500 mg/m³ nicht eingesetzt werden.</w:t>
      </w:r>
    </w:p>
    <w:p>
      <w:pPr>
        <w:pStyle w:val="GesAbsatz"/>
      </w:pPr>
      <w:r>
        <w:t>Hinweise:</w:t>
      </w:r>
    </w:p>
    <w:p>
      <w:pPr>
        <w:pStyle w:val="GesAbsatz"/>
      </w:pPr>
      <w:r>
        <w:t>1.</w:t>
      </w:r>
      <w:r>
        <w:tab/>
        <w:t>Das Staubmessgerät ist nicht für den Außeneinsatz geeignet.</w:t>
      </w:r>
    </w:p>
    <w:p>
      <w:pPr>
        <w:pStyle w:val="GesAbsatz"/>
        <w:ind w:left="426" w:hanging="426"/>
      </w:pPr>
      <w:r>
        <w:t>2.</w:t>
      </w:r>
      <w:r>
        <w:tab/>
        <w:t>Die erweiterten Messunsicherheiten nach VDI 4206 Blatt 2 (Ausgabe: 02.2015) für die Komponente Staub betragen bezogen auf den jeweiligen Grenzwert:</w:t>
      </w:r>
    </w:p>
    <w:p>
      <w:pPr>
        <w:pStyle w:val="GesAbsatz"/>
        <w:ind w:left="426"/>
      </w:pPr>
      <w:r>
        <w:t>– 35 % für den Grenzwert 0,02 g/m³</w:t>
      </w:r>
    </w:p>
    <w:p>
      <w:pPr>
        <w:pStyle w:val="GesAbsatz"/>
        <w:ind w:left="426"/>
      </w:pPr>
      <w:r>
        <w:t>– 39 % für den Grenzwert 0,06 g/m³</w:t>
      </w:r>
    </w:p>
    <w:p>
      <w:pPr>
        <w:pStyle w:val="GesAbsatz"/>
        <w:ind w:left="426"/>
      </w:pPr>
      <w:r>
        <w:t>– 35 % für den Grenzwert 0,09 g/m³</w:t>
      </w:r>
    </w:p>
    <w:p>
      <w:pPr>
        <w:pStyle w:val="GesAbsatz"/>
        <w:ind w:left="426"/>
      </w:pPr>
      <w:r>
        <w:t>– 32 % für den Grenzwert 0,10 g/m³</w:t>
      </w:r>
    </w:p>
    <w:p>
      <w:pPr>
        <w:pStyle w:val="GesAbsatz"/>
        <w:ind w:left="426"/>
      </w:pPr>
      <w:r>
        <w:t>– 33 % für den Grenzwert 0,15 g/m³</w:t>
      </w:r>
    </w:p>
    <w:p>
      <w:pPr>
        <w:pStyle w:val="GesAbsatz"/>
        <w:ind w:left="426" w:hanging="426"/>
      </w:pPr>
      <w:r>
        <w:t>3.</w:t>
      </w:r>
      <w:r>
        <w:tab/>
        <w:t>Ergänzungsprüfung zu der Bekanntmachung des Umweltbundesamtes vom 17. Juli 2014 (BAnz AT 05.08.2014 B12, Kapitel I Nummer 3.1) hinsichtlich der Eignung zur Überwachung der Staub- und CO-Grenzwerte sowie der O</w:t>
      </w:r>
      <w:r>
        <w:rPr>
          <w:vertAlign w:val="subscript"/>
        </w:rPr>
        <w:t>2</w:t>
      </w:r>
      <w:r>
        <w:t xml:space="preserve">-Konzentrationen nach 1. BImSchV gemäß § 5 Absatz 1, Stufe 1 und Stufe 2 sowie § 25 Absatz 2 an Feuerungsanlagen für feste Brennstoffe nach § 3 Absatz 1 Nummer 1 bis 8 und </w:t>
      </w:r>
      <w:r>
        <w:lastRenderedPageBreak/>
        <w:t>gemäß § 4 Absatz 5 an Grundöfen sowie § 26 Absatz 1 an Einzelraumfeuerungsanlagen für feste Brennstoffe nach § 3 Absatz 1 Nummer 1 bis 5a entsprechend den Anforderungen der VDI 4206 Blatt 2 (Ausgabe: 02.2015 (für Staub)) und der VDI 4206 Blatt1 (Ausgabe: 08.2010 (für CO und O</w:t>
      </w:r>
      <w:r>
        <w:rPr>
          <w:vertAlign w:val="subscript"/>
        </w:rPr>
        <w:t>2</w:t>
      </w:r>
      <w:r>
        <w: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299</w:t>
      </w:r>
    </w:p>
    <w:p>
      <w:pPr>
        <w:pStyle w:val="GesAbsatz"/>
      </w:pPr>
      <w:r>
        <w:t>Prüfbericht-Nr.: M-BI 1188-00/15 vom 14. Januar 2016</w:t>
      </w:r>
    </w:p>
    <w:p>
      <w:pPr>
        <w:pStyle w:val="GesAbsatz"/>
        <w:rPr>
          <w:b/>
        </w:rPr>
      </w:pPr>
      <w:r>
        <w:rPr>
          <w:b/>
        </w:rPr>
        <w:t>3</w:t>
      </w:r>
      <w:r>
        <w:rPr>
          <w:b/>
        </w:rPr>
        <w:tab/>
        <w:t>Messgeräte zur Überwachung der Staubgrenzwerte an Feuerungsanlagen für feste Brennstoffe</w:t>
      </w:r>
    </w:p>
    <w:p>
      <w:pPr>
        <w:pStyle w:val="GesAbsatz"/>
        <w:rPr>
          <w:b/>
        </w:rPr>
      </w:pPr>
      <w:r>
        <w:rPr>
          <w:b/>
        </w:rPr>
        <w:t>3.1</w:t>
      </w:r>
      <w:r>
        <w:rPr>
          <w:b/>
        </w:rPr>
        <w:tab/>
        <w:t>Staubmessgerät Typ Feinstaubmesskoffer</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Staubgrenzwerte der 1. BImSchV gemäß § 5 Absatz 1, Stufe 1 und 2 sowie § 25 Absatz 2 an Feuerungsanlagen für feste Brennstoffe nach § 3 Absatz 1 Nummer 1 bis 8.</w:t>
      </w:r>
    </w:p>
    <w:p>
      <w:pPr>
        <w:pStyle w:val="GesAbsatz"/>
      </w:pPr>
      <w:r>
        <w:t>Messgerät zur Überwachung der Staubgrenzwerte der 1. BImSchV gemäß § 4 Absatz 5 an Grundöfen sowie § 26 Absatz 1 an Einzelraumfeuerungsanlagen für feste Brennstoffe nach § 3 Absatz 1 Nummer 1 bis 5a.</w:t>
      </w:r>
    </w:p>
    <w:p>
      <w:pPr>
        <w:pStyle w:val="GesAbsatz"/>
      </w:pPr>
      <w:r>
        <w:t>Messbereich in der Eignungsprüfung:</w:t>
      </w:r>
    </w:p>
    <w:p>
      <w:pPr>
        <w:pStyle w:val="GesAbsatz"/>
        <w:tabs>
          <w:tab w:val="left" w:pos="4678"/>
        </w:tabs>
      </w:pPr>
      <w:r>
        <w:t>partikelförmige Emissionen</w:t>
      </w:r>
      <w:r>
        <w:tab/>
        <w:t>0,01 bis 0,30 g/m³</w:t>
      </w:r>
    </w:p>
    <w:p>
      <w:pPr>
        <w:pStyle w:val="GesAbsatz"/>
        <w:tabs>
          <w:tab w:val="left" w:pos="2835"/>
          <w:tab w:val="left" w:pos="4678"/>
        </w:tabs>
      </w:pPr>
      <w:r>
        <w:t>Softwareversion:</w:t>
      </w:r>
      <w:r>
        <w:tab/>
        <w:t>Firmware:</w:t>
      </w:r>
      <w:r>
        <w:tab/>
        <w:t>Version V1.03 vom 20. Mai 2013</w:t>
      </w:r>
    </w:p>
    <w:p>
      <w:pPr>
        <w:pStyle w:val="GesAbsatz"/>
      </w:pPr>
      <w:r>
        <w:t>Einschränkung:</w:t>
      </w:r>
    </w:p>
    <w:p>
      <w:pPr>
        <w:pStyle w:val="GesAbsatz"/>
      </w:pPr>
      <w:r>
        <w:t>Die Bestimmung der Sauerstoff- und der Kohlenmonoxidkonzentration im Abgas ist nicht möglich und ist durch geeignete</w:t>
      </w:r>
    </w:p>
    <w:p>
      <w:pPr>
        <w:pStyle w:val="GesAbsatz"/>
      </w:pPr>
      <w:r>
        <w:t>Messgeräte parallel durchzuführen.</w:t>
      </w:r>
    </w:p>
    <w:p>
      <w:pPr>
        <w:pStyle w:val="GesAbsatz"/>
      </w:pPr>
      <w:r>
        <w:t>Hinweise:</w:t>
      </w:r>
    </w:p>
    <w:p>
      <w:pPr>
        <w:pStyle w:val="GesAbsatz"/>
      </w:pPr>
      <w:r>
        <w:t>1.</w:t>
      </w:r>
      <w:r>
        <w:tab/>
        <w:t>Das Staubmessgerät ist nicht für den Außeneinsatz geeignet.</w:t>
      </w:r>
    </w:p>
    <w:p>
      <w:pPr>
        <w:pStyle w:val="GesAbsatz"/>
        <w:ind w:left="426" w:hanging="426"/>
      </w:pPr>
      <w:r>
        <w:t>2.</w:t>
      </w:r>
      <w:r>
        <w:tab/>
        <w:t>Die erweiterten Messunsicherheiten nach VDI 4206 Blatt 2 (Ausgabe: 02.2015) für die Komponente Staub betragen bezogen auf den jeweiligen Grenzwert:</w:t>
      </w:r>
    </w:p>
    <w:p>
      <w:pPr>
        <w:pStyle w:val="GesAbsatz"/>
        <w:ind w:left="426"/>
      </w:pPr>
      <w:r>
        <w:t>– 40 % für den Grenzwert 0,02 g/m³</w:t>
      </w:r>
    </w:p>
    <w:p>
      <w:pPr>
        <w:pStyle w:val="GesAbsatz"/>
        <w:ind w:left="426"/>
      </w:pPr>
      <w:r>
        <w:t>– 40 % für den Grenzwert 0,06 g/m³</w:t>
      </w:r>
    </w:p>
    <w:p>
      <w:pPr>
        <w:pStyle w:val="GesAbsatz"/>
        <w:ind w:left="426"/>
      </w:pPr>
      <w:r>
        <w:t>– 39 % für den Grenzwert 0,09 g/m³</w:t>
      </w:r>
    </w:p>
    <w:p>
      <w:pPr>
        <w:pStyle w:val="GesAbsatz"/>
        <w:ind w:left="426"/>
      </w:pPr>
      <w:r>
        <w:t>– 39 % für den Grenzwert 0,10 g/m³</w:t>
      </w:r>
    </w:p>
    <w:p>
      <w:pPr>
        <w:pStyle w:val="GesAbsatz"/>
        <w:ind w:left="426"/>
      </w:pPr>
      <w:r>
        <w:t>– 29 % für den Grenzwert 0,15 g/m³</w:t>
      </w:r>
    </w:p>
    <w:p>
      <w:pPr>
        <w:pStyle w:val="GesAbsatz"/>
        <w:ind w:left="426" w:hanging="426"/>
      </w:pPr>
      <w:r>
        <w:t>3.</w:t>
      </w:r>
      <w:r>
        <w:tab/>
        <w:t>Für die nach § 13 Absatz 3 der 1. BImSchV erforderliche Überprüfung des Feinstaubmesskoffers muss die bekannt 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pPr>
      <w:r>
        <w:t>4.</w:t>
      </w:r>
      <w:r>
        <w:tab/>
        <w:t>Die Überprüfung des Feinstaubmesskoffers muss am Überprüfungspunkt von 90 mg/m</w:t>
      </w:r>
      <w:r>
        <w:rPr>
          <w:vertAlign w:val="superscript"/>
        </w:rPr>
        <w:t>3</w:t>
      </w:r>
      <w:r>
        <w:t xml:space="preserve"> erfolgen.</w:t>
      </w:r>
    </w:p>
    <w:p>
      <w:pPr>
        <w:pStyle w:val="GesAbsatz"/>
        <w:ind w:left="426" w:hanging="426"/>
      </w:pPr>
      <w:r>
        <w:t>5.</w:t>
      </w:r>
      <w:r>
        <w:tab/>
        <w:t>Ergänzungsprüfung zu den Bekanntmachungen des Umweltbundesamtes vom 12. Februar 2013 (BAnz AT 05.03.2013 B11, Kapitel I Nummer 5.1) und vom 27. Februar 2014 (BAnz AT 01.04.2014 B13, Kapitel II 3. Mitteilung) hinsichtlich der Eignung zur Überwachung der Staubgrenzwerte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02.2015).</w:t>
      </w:r>
    </w:p>
    <w:p>
      <w:pPr>
        <w:pStyle w:val="GesAbsatz"/>
      </w:pPr>
      <w:r>
        <w:t>Prüfinstitut:</w:t>
      </w:r>
    </w:p>
    <w:p>
      <w:pPr>
        <w:pStyle w:val="GesAbsatz"/>
      </w:pPr>
      <w:r>
        <w:lastRenderedPageBreak/>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w:t>
      </w:r>
    </w:p>
    <w:p>
      <w:pPr>
        <w:pStyle w:val="GesAbsatz"/>
      </w:pPr>
      <w:r>
        <w:t>Prüfbericht-Nr.: M-BI 1182-01/15 vom 14. Januar 2016</w:t>
      </w:r>
    </w:p>
    <w:p>
      <w:pPr>
        <w:pStyle w:val="berschrift2"/>
      </w:pPr>
      <w:bookmarkStart w:id="3" w:name="_Toc446497148"/>
      <w:r>
        <w:t>II.</w:t>
      </w:r>
      <w:r>
        <w:br/>
        <w:t>Mitteilungen zur Bekanntmachung über die bundeseinheitliche Praxis</w:t>
      </w:r>
      <w:r>
        <w:br/>
        <w:t>bei der Überwachung der Emissionen aus Kleinfeuerungsanlagen</w:t>
      </w:r>
      <w:bookmarkEnd w:id="3"/>
    </w:p>
    <w:p>
      <w:pPr>
        <w:pStyle w:val="GesAbsatz"/>
        <w:ind w:left="426" w:hanging="426"/>
        <w:rPr>
          <w:b/>
        </w:rPr>
      </w:pPr>
      <w:r>
        <w:rPr>
          <w:b/>
        </w:rPr>
        <w:t>1</w:t>
      </w:r>
      <w:r>
        <w:rPr>
          <w:b/>
        </w:rPr>
        <w:tab/>
        <w:t>Mitteilung zu der Bekanntmachung des Umweltbundesamtes vom 12. Februar 2013 (BAnz AT 05.03.2013 B11, Kapitel I Nummer 1.1)</w:t>
      </w:r>
    </w:p>
    <w:p>
      <w:pPr>
        <w:pStyle w:val="GesAbsatz"/>
      </w:pPr>
      <w:r>
        <w:t xml:space="preserve">Das Kombinationsmessgerät Typ CASPER 200 der Firma </w:t>
      </w:r>
      <w:proofErr w:type="spellStart"/>
      <w:r>
        <w:t>Seitron</w:t>
      </w:r>
      <w:proofErr w:type="spellEnd"/>
      <w:r>
        <w:t xml:space="preserve"> s. r. l. wird auch durch die Firma IMR Ingenieurgesellschaft für Mess- und Regeltechnik mbH unter dem Namen IMR 1100-2 vertrieben. Die Prüfkennzeichnung für das Kombinationsmessgerät IMR 1100-2 lautet TÜV </w:t>
      </w:r>
      <w:proofErr w:type="spellStart"/>
      <w:r>
        <w:t>By</w:t>
      </w:r>
      <w:proofErr w:type="spellEnd"/>
      <w:r>
        <w:t xml:space="preserve"> </w:t>
      </w:r>
      <w:proofErr w:type="spellStart"/>
      <w:r>
        <w:t>RgG</w:t>
      </w:r>
      <w:proofErr w:type="spellEnd"/>
      <w:r>
        <w:t xml:space="preserve"> 311.</w:t>
      </w:r>
    </w:p>
    <w:p>
      <w:pPr>
        <w:pStyle w:val="GesAbsatz"/>
      </w:pPr>
      <w:r>
        <w:t>Das Kombinationsmessgerät Typ IMR 1100-2 kann auch ausgestattet mit einem zusätzlichen, nicht prüfungspflichtigen NO-Kanal unter dem Namen IMR 1100-3 eingesetzt werden. Dieser zusätzliche, nicht prüfungspflichtige NO-Kanal hat keinen negativen Einfluss auf das Verhalten der Messeinrichtung.</w:t>
      </w:r>
    </w:p>
    <w:p>
      <w:pPr>
        <w:pStyle w:val="GesAbsatz"/>
      </w:pPr>
      <w:r>
        <w:t>Stellungnahme der TÜV Süd Industrie Service GmbH vom 29. September 2015 sowie Prüfbericht M-</w:t>
      </w:r>
      <w:proofErr w:type="spellStart"/>
      <w:r>
        <w:t>Bl</w:t>
      </w:r>
      <w:proofErr w:type="spellEnd"/>
      <w:r>
        <w:t xml:space="preserve"> 1185-00/15 vom 28. September 2015</w:t>
      </w:r>
    </w:p>
    <w:p>
      <w:pPr>
        <w:pStyle w:val="GesAbsatz"/>
        <w:ind w:left="426" w:hanging="426"/>
        <w:rPr>
          <w:b/>
        </w:rPr>
      </w:pPr>
      <w:r>
        <w:rPr>
          <w:b/>
        </w:rPr>
        <w:t>2</w:t>
      </w:r>
      <w:r>
        <w:rPr>
          <w:b/>
        </w:rPr>
        <w:tab/>
        <w:t>Mitteilung zu der Bekanntmachung des Umweltbundesamtes vom 15. Juli 2011 (BAnz. S. 2728, Kapitel I Nummer 1.6 sowie Kapitel II 1. Mitteilung [Nummer 24])</w:t>
      </w:r>
    </w:p>
    <w:p>
      <w:pPr>
        <w:pStyle w:val="GesAbsatz"/>
      </w:pPr>
      <w:r>
        <w:t xml:space="preserve">Im Kombinationsmessgerät Typ </w:t>
      </w:r>
      <w:proofErr w:type="spellStart"/>
      <w:r>
        <w:t>testo</w:t>
      </w:r>
      <w:proofErr w:type="spellEnd"/>
      <w:r>
        <w:t xml:space="preserve"> 330-2 LL V2010 der </w:t>
      </w:r>
      <w:proofErr w:type="spellStart"/>
      <w:r>
        <w:t>Testo</w:t>
      </w:r>
      <w:proofErr w:type="spellEnd"/>
      <w:r>
        <w:t xml:space="preserve"> AG kann im Funktionsmodul zu CO-Bestimmung auch der CO-Sensor Typ TCOH5 verwendet werden.</w:t>
      </w:r>
    </w:p>
    <w:p>
      <w:pPr>
        <w:pStyle w:val="GesAbsatz"/>
      </w:pPr>
      <w:r>
        <w:t>Stellungnahme der TÜV Süd Industrie Service GmbH vom 30. September 2015 sowie Prüfbericht M-</w:t>
      </w:r>
      <w:proofErr w:type="spellStart"/>
      <w:r>
        <w:t>Bl</w:t>
      </w:r>
      <w:proofErr w:type="spellEnd"/>
      <w:r>
        <w:t xml:space="preserve"> 1061-06/15 vom 30. September 2015</w:t>
      </w:r>
    </w:p>
    <w:p>
      <w:pPr>
        <w:pStyle w:val="GesAbsatz"/>
        <w:ind w:left="426" w:hanging="426"/>
        <w:rPr>
          <w:b/>
        </w:rPr>
      </w:pPr>
      <w:r>
        <w:rPr>
          <w:b/>
        </w:rPr>
        <w:t>3</w:t>
      </w:r>
      <w:r>
        <w:rPr>
          <w:b/>
        </w:rPr>
        <w:tab/>
        <w:t>Mitteilung zu der Bekanntmachung des Umweltbundesamtes vom 3. Juli 2013 (BAnz AT 23.07.2013 B5, Kapitel I Nummer 3.1)</w:t>
      </w:r>
    </w:p>
    <w:p>
      <w:pPr>
        <w:pStyle w:val="GesAbsatz"/>
      </w:pPr>
      <w:r>
        <w:t xml:space="preserve">Die Bezeichnung des Kombinationsmessgerätes Typ Multilyzer ST der SYSTRONIK Elektronik und Systemtechnik GmbH wurde in Multilyzer </w:t>
      </w:r>
      <w:proofErr w:type="spellStart"/>
      <w:r>
        <w:t>STe</w:t>
      </w:r>
      <w:proofErr w:type="spellEnd"/>
      <w:r>
        <w:t xml:space="preserve"> geändert.</w:t>
      </w:r>
    </w:p>
    <w:p>
      <w:pPr>
        <w:pStyle w:val="GesAbsatz"/>
      </w:pPr>
      <w:r>
        <w:t>Stellungnahme der TÜV Süd Industrie Service GmbH vom 10. Dezember 2015</w:t>
      </w:r>
    </w:p>
    <w:p>
      <w:pPr>
        <w:pStyle w:val="GesAbsatz"/>
        <w:ind w:left="426" w:hanging="426"/>
        <w:rPr>
          <w:b/>
        </w:rPr>
      </w:pPr>
      <w:r>
        <w:rPr>
          <w:b/>
        </w:rPr>
        <w:t>4</w:t>
      </w:r>
      <w:r>
        <w:rPr>
          <w:b/>
        </w:rPr>
        <w:tab/>
        <w:t>Mitteilung zu der Bekanntmachung des Umweltbundesamtes vom 17. Juli 2014 (BAnz AT 05.08.2014 B12, Kapitel I Nummer 3.1)</w:t>
      </w:r>
    </w:p>
    <w:p>
      <w:pPr>
        <w:pStyle w:val="GesAbsatz"/>
      </w:pPr>
      <w:r>
        <w:t xml:space="preserve">Das Kombinationsmessgerät Typ STM 225 der </w:t>
      </w:r>
      <w:proofErr w:type="spellStart"/>
      <w:r>
        <w:t>Afriso</w:t>
      </w:r>
      <w:proofErr w:type="spellEnd"/>
      <w:r>
        <w:t xml:space="preserve">-Euro-Index GmbH kann auch in Verbindung mit dem Abgasanalysemessgerät Typ Multilyzer </w:t>
      </w:r>
      <w:proofErr w:type="spellStart"/>
      <w:r>
        <w:t>STe</w:t>
      </w:r>
      <w:proofErr w:type="spellEnd"/>
      <w:r>
        <w:t xml:space="preserve"> betrieben werden. Die Bezeichnung des Kombinationsmessgerätes Typ Multilyzer ST wurde in Multilyzer </w:t>
      </w:r>
      <w:proofErr w:type="spellStart"/>
      <w:r>
        <w:t>STe</w:t>
      </w:r>
      <w:proofErr w:type="spellEnd"/>
      <w:r>
        <w:t xml:space="preserve"> geändert.</w:t>
      </w:r>
    </w:p>
    <w:p>
      <w:pPr>
        <w:pStyle w:val="GesAbsatz"/>
      </w:pPr>
      <w:r>
        <w:t>Stellungnahme der TÜV Süd Industrie Service GmbH vom 10. Dezember 2015</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18.02.2016 (BAnz. v. 14.03.2016 B8)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45033-5612-49C6-85A6-E65819F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FF4E-EFB1-4409-B744-8238E40B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1446</Words>
  <Characters>8812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2016-03-23T10:51:00Z</dcterms:created>
  <dcterms:modified xsi:type="dcterms:W3CDTF">2024-07-18T08:28:00Z</dcterms:modified>
</cp:coreProperties>
</file>