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GoBack"/>
      <w:bookmarkEnd w:id="0"/>
      <w:r>
        <w:t xml:space="preserve">Bekanntmachung über die bundeseinheitliche Praxis bei der </w:t>
      </w:r>
      <w:r>
        <w:br/>
        <w:t>Überwachung der Emissionen aus Kleinfeuerungsanlagen</w:t>
      </w:r>
    </w:p>
    <w:p>
      <w:pPr>
        <w:pStyle w:val="GesAbsatz"/>
        <w:jc w:val="center"/>
      </w:pPr>
      <w:r>
        <w:t>vom 7. November 2012</w:t>
      </w:r>
    </w:p>
    <w:p>
      <w:pPr>
        <w:pStyle w:val="GesAbsatz"/>
      </w:pPr>
    </w:p>
    <w:p>
      <w:pPr>
        <w:pStyle w:val="berschrift2"/>
      </w:pPr>
      <w:r>
        <w:t>I.</w:t>
      </w:r>
      <w:r>
        <w:br/>
        <w:t>Eignung von Messeinrichtungen</w:t>
      </w:r>
    </w:p>
    <w:p>
      <w:pPr>
        <w:pStyle w:val="GesAbsatz"/>
      </w:pPr>
      <w:r>
        <w:t>Unter Bezugnahme auf das Rundschreiben des Bundesministerium für Umwelt, Naturschutz und Reaktorsicherheit (BMU) vom 12. Dezember 2011 - IG I 2 - 51134/0 - (GMBl 2012 S. 11) wird im Auftrag des BMU die Eignung nachstehender Messeinrichtungen bekannt gegeben:</w:t>
      </w:r>
    </w:p>
    <w:p>
      <w:pPr>
        <w:pStyle w:val="GesAbsatz"/>
      </w:pPr>
      <w:r>
        <w:t>1 Messgeräte zur Überwachung der Staubgrenzwerte an Feuerungsanlagen für feste Brennstoffe</w:t>
      </w:r>
    </w:p>
    <w:p>
      <w:pPr>
        <w:pStyle w:val="GesAbsatz"/>
      </w:pPr>
      <w:r>
        <w:t>1.1 Staubmessgerät Typ Feinstaubmesskoffer</w:t>
      </w:r>
    </w:p>
    <w:p>
      <w:pPr>
        <w:pStyle w:val="GesAbsatz"/>
      </w:pPr>
      <w:r>
        <w:t>Hersteller:</w:t>
      </w:r>
    </w:p>
    <w:p>
      <w:pPr>
        <w:pStyle w:val="GesAbsatz"/>
      </w:pPr>
      <w:proofErr w:type="spellStart"/>
      <w:r>
        <w:t>Vereta</w:t>
      </w:r>
      <w:proofErr w:type="spellEnd"/>
      <w:r>
        <w:t xml:space="preserve"> GmbH, Einbeck</w:t>
      </w:r>
    </w:p>
    <w:p>
      <w:pPr>
        <w:pStyle w:val="GesAbsatz"/>
      </w:pPr>
      <w:r>
        <w:t>Eignung:</w:t>
      </w:r>
    </w:p>
    <w:p>
      <w:pPr>
        <w:pStyle w:val="GesAbsatz"/>
      </w:pPr>
      <w:r>
        <w:t>Messgerät zur Überwachung der Staubgrenzwerte der 1. BImSchV gemäß § 5 Absatz 1, Stufe I, an Feuerungsanlagen für feste Brennstoffe nach § 3 Absatz 1, Nummer 4, 5 und 5a Messbereich in der Eignungsprüfung:</w:t>
      </w:r>
    </w:p>
    <w:p>
      <w:pPr>
        <w:pStyle w:val="GesAbsatz"/>
        <w:tabs>
          <w:tab w:val="clear" w:pos="425"/>
          <w:tab w:val="left" w:pos="2127"/>
        </w:tabs>
      </w:pPr>
      <w:r>
        <w:t>Staub:</w:t>
      </w:r>
      <w:r>
        <w:tab/>
        <w:t>0 bis 375 mg/m</w:t>
      </w:r>
      <w:r>
        <w:rPr>
          <w:vertAlign w:val="superscript"/>
        </w:rPr>
        <w:t>3</w:t>
      </w:r>
    </w:p>
    <w:p>
      <w:pPr>
        <w:pStyle w:val="GesAbsatz"/>
      </w:pPr>
      <w:r>
        <w:t>Softwareversion:</w:t>
      </w:r>
      <w:r>
        <w:tab/>
        <w:t>Firmware Version V1.02 vom 13. April 2012</w:t>
      </w:r>
    </w:p>
    <w:p>
      <w:pPr>
        <w:pStyle w:val="GesAbsatz"/>
      </w:pPr>
      <w:r>
        <w:t>Einschränkungen:</w:t>
      </w:r>
    </w:p>
    <w:p>
      <w:pPr>
        <w:pStyle w:val="GesAbsatz"/>
        <w:ind w:left="426" w:hanging="426"/>
      </w:pPr>
      <w:r>
        <w:t>1.</w:t>
      </w:r>
      <w:r>
        <w:tab/>
        <w:t>Die Mindestanforderung bei der Eignungsprüfung nach VDI 4206 Blatt 2 an die erweiterte Messunsicherheit wurde nicht erfüllt und beträgt 43 %.</w:t>
      </w:r>
    </w:p>
    <w:p>
      <w:pPr>
        <w:pStyle w:val="GesAbsatz"/>
        <w:ind w:left="426" w:hanging="426"/>
      </w:pPr>
      <w:r>
        <w:t>2.</w:t>
      </w:r>
      <w:r>
        <w:tab/>
        <w:t>Die Bestimmung der Sauerstoff- und der Kohlenmonoxidkonzentration im Abgas ist nicht möglich und ist durch geeignete Messgeräte parallel durchzuführen.</w:t>
      </w:r>
    </w:p>
    <w:p>
      <w:pPr>
        <w:pStyle w:val="GesAbsatz"/>
      </w:pPr>
      <w:r>
        <w:t>Hinweise:</w:t>
      </w:r>
    </w:p>
    <w:p>
      <w:pPr>
        <w:pStyle w:val="GesAbsatz"/>
        <w:ind w:left="426" w:hanging="426"/>
      </w:pPr>
      <w:r>
        <w:t>1.</w:t>
      </w:r>
      <w:r>
        <w:tab/>
        <w:t>Das Staubmessgerät ist nicht für den Außeneinsatz geeignet.</w:t>
      </w:r>
    </w:p>
    <w:p>
      <w:pPr>
        <w:pStyle w:val="GesAbsatz"/>
        <w:ind w:left="426" w:hanging="426"/>
      </w:pPr>
      <w:r>
        <w:t>2.</w:t>
      </w:r>
      <w:r>
        <w:tab/>
        <w:t>Für die nach § 13 Absatz 3 der 1. BImSchV erforderliche Überprüfung des Feinstaubmesskoffers muss die bekannt gegebene Geräteprüfstelle mit einem Zerstäuber Typ ATM220 der Firma Topas, mit einer 2 %-</w:t>
      </w:r>
      <w:proofErr w:type="spellStart"/>
      <w:r>
        <w:t>igen</w:t>
      </w:r>
      <w:proofErr w:type="spellEnd"/>
      <w:r>
        <w:t xml:space="preserve"> Salzsuspension mit Analysezertifikat vom Bundesamt für Metrologie METAS (Schweiz) und einem kalibrierten Partikelzähler Typ Microdust Pro der Firma </w:t>
      </w:r>
      <w:proofErr w:type="spellStart"/>
      <w:r>
        <w:t>Casella</w:t>
      </w:r>
      <w:proofErr w:type="spellEnd"/>
      <w:r>
        <w:t xml:space="preserve"> CEL ausgerüstet sein. Der Partikelzähler muss jährlich durch das Bundesamt für Metrologie METAS nach dem festgelegten Verfahren kalibriert werden. Für die Durchführung des Prüfverfahrens ist eine Schulung des Personals der bekannt gegebenen Geräteprüfstelle durch den Hersteller erforderlich.</w:t>
      </w:r>
    </w:p>
    <w:p>
      <w:pPr>
        <w:pStyle w:val="GesAbsatz"/>
      </w:pPr>
      <w:r>
        <w:t>3.</w:t>
      </w:r>
      <w:r>
        <w:tab/>
        <w:t>Die Überprüfung des Feinstaubmesskoffers muss am Überprüfungspunkt von 90 mg/m³ erfolgen.</w:t>
      </w:r>
    </w:p>
    <w:p>
      <w:pPr>
        <w:pStyle w:val="GesAbsatz"/>
      </w:pPr>
      <w:r>
        <w:t>Prüfinstitut:</w:t>
      </w:r>
    </w:p>
    <w:p>
      <w:pPr>
        <w:pStyle w:val="GesAbsatz"/>
      </w:pPr>
      <w:r>
        <w:t>TÜV SÜD Industrie Service GmbH</w:t>
      </w:r>
    </w:p>
    <w:p>
      <w:pPr>
        <w:pStyle w:val="GesAbsatz"/>
      </w:pPr>
      <w:r>
        <w:t>Prüfkennzeichen:</w:t>
      </w:r>
    </w:p>
    <w:p>
      <w:pPr>
        <w:pStyle w:val="GesAbsatz"/>
      </w:pPr>
      <w:r>
        <w:t xml:space="preserve">TÜV </w:t>
      </w:r>
      <w:proofErr w:type="spellStart"/>
      <w:r>
        <w:t>By</w:t>
      </w:r>
      <w:proofErr w:type="spellEnd"/>
      <w:r>
        <w:t xml:space="preserve"> </w:t>
      </w:r>
      <w:proofErr w:type="spellStart"/>
      <w:r>
        <w:t>RgG</w:t>
      </w:r>
      <w:proofErr w:type="spellEnd"/>
      <w:r>
        <w:t xml:space="preserve"> 289</w:t>
      </w:r>
    </w:p>
    <w:p>
      <w:pPr>
        <w:pStyle w:val="GesAbsatz"/>
      </w:pPr>
      <w:r>
        <w:t>Prüfbericht:</w:t>
      </w:r>
    </w:p>
    <w:p>
      <w:pPr>
        <w:pStyle w:val="GesAbsatz"/>
      </w:pPr>
      <w:r>
        <w:t>Bericht Nr.: M-</w:t>
      </w:r>
      <w:proofErr w:type="spellStart"/>
      <w:r>
        <w:t>Bl</w:t>
      </w:r>
      <w:proofErr w:type="spellEnd"/>
      <w:r>
        <w:t xml:space="preserve"> 1129-03/12 vom 14. September 2012</w:t>
      </w:r>
    </w:p>
    <w:p>
      <w:pPr>
        <w:pStyle w:val="GesAbsatz"/>
      </w:pPr>
    </w:p>
    <w:p>
      <w:pPr>
        <w:pStyle w:val="GesAbsatz"/>
      </w:pPr>
    </w:p>
    <w:p>
      <w:pPr>
        <w:pStyle w:val="GesAbsatz"/>
      </w:pPr>
    </w:p>
    <w:p>
      <w:pPr>
        <w:pStyle w:val="GesAbsatz"/>
      </w:pPr>
    </w:p>
    <w:sectPr>
      <w:headerReference w:type="default" r:id="rId7"/>
      <w:footerReference w:type="even" r:id="rId8"/>
      <w:footerReference w:type="default" r:id="rId9"/>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Stand 7.11.2012 (BAnz. v. 14.11.2012 B8)</w:t>
    </w:r>
    <w:r>
      <w:tab/>
      <w:t xml:space="preserve">Seite </w:t>
    </w: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61.8-39</w:t>
    </w:r>
  </w:p>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88AA85B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0C2A25B2"/>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BAC6DDD0"/>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C4BCD632"/>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75327DA6"/>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E361687-E69A-4064-8CBC-C8E23B8D9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semiHidden/>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semiHidden/>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rPr>
      <w:color w:val="0000FF"/>
      <w:u w:val="single"/>
    </w:rPr>
  </w:style>
  <w:style w:type="paragraph" w:customStyle="1" w:styleId="Kopfzeile0">
    <w:name w:val="Kopfzeile0"/>
    <w:basedOn w:val="Standard"/>
    <w:next w:val="Kopfzeile"/>
    <w:qFormat/>
    <w:pPr>
      <w:spacing w:before="0" w:after="0"/>
      <w:jc w:val="right"/>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VTU.dotx</Template>
  <TotalTime>0</TotalTime>
  <Pages>1</Pages>
  <Words>299</Words>
  <Characters>1876</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Überwachung der Emissionen aus Kleinfeuerungsanlagen</vt:lpstr>
    </vt:vector>
  </TitlesOfParts>
  <Company>LANUV NRW</Company>
  <LinksUpToDate>false</LinksUpToDate>
  <CharactersWithSpaces>2171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Überwachung der Emissionen aus Kleinfeuerungsanlagen</dc:title>
  <dc:creator>LANUV NRW</dc:creator>
  <cp:lastModifiedBy>Rüter, Dr., Ingo</cp:lastModifiedBy>
  <cp:revision>3</cp:revision>
  <cp:lastPrinted>2004-12-14T11:08:00Z</cp:lastPrinted>
  <dcterms:created xsi:type="dcterms:W3CDTF">2014-08-06T07:48:00Z</dcterms:created>
  <dcterms:modified xsi:type="dcterms:W3CDTF">2024-07-18T08:26:00Z</dcterms:modified>
</cp:coreProperties>
</file>