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GoBack"/>
      <w:bookmarkEnd w:id="0"/>
      <w:r>
        <w:t>Bekanntmachung</w:t>
      </w:r>
      <w:r>
        <w:br/>
        <w:t>über die bundeseinheitliche Praxis</w:t>
      </w:r>
      <w:r>
        <w:br/>
        <w:t>bei der Überwachung der Emissionen aus Kleinfeuerungsanlagen</w:t>
      </w:r>
    </w:p>
    <w:p>
      <w:pPr>
        <w:pStyle w:val="GesAbsatz"/>
        <w:jc w:val="center"/>
      </w:pPr>
      <w:r>
        <w:rPr>
          <w:rStyle w:val="GesAbsatzZchn"/>
        </w:rPr>
        <w:t>vom 6. Juli 2012</w:t>
      </w:r>
    </w:p>
    <w:p>
      <w:pPr>
        <w:pStyle w:val="berschrift2"/>
      </w:pPr>
      <w:r>
        <w:t>I.</w:t>
      </w:r>
      <w:r>
        <w:br/>
        <w:t>Eignung von Messeinrichtungen</w:t>
      </w:r>
    </w:p>
    <w:p>
      <w:pPr>
        <w:pStyle w:val="GesAbsatz"/>
      </w:pPr>
      <w:r>
        <w:t>Unter Bezugnahme auf das Rundschreiben des Bundesministerium für Umwelt, Naturschutz und Reaktorsicherheit (BMU) vom 12. Dezember 2011 - IG I 2 - 51134/0 - (GMBI S. 11) wird im Auftrag des BMU die Eignung nachstehender Messeinrichtungen bekannt gegeben:</w:t>
      </w:r>
    </w:p>
    <w:p>
      <w:pPr>
        <w:pStyle w:val="berschrift3"/>
        <w:jc w:val="left"/>
      </w:pPr>
      <w:r>
        <w:t>1</w:t>
      </w:r>
      <w:r>
        <w:tab/>
        <w:t>Messgeräte zur Überwachung des CO-Emissionsgrenzwertes und des Abgasverlustes an Öl- und Gasfeuerungsanlagen</w:t>
      </w:r>
    </w:p>
    <w:p>
      <w:pPr>
        <w:pStyle w:val="GesAbsatz"/>
        <w:rPr>
          <w:b/>
        </w:rPr>
      </w:pPr>
      <w:r>
        <w:rPr>
          <w:b/>
        </w:rPr>
        <w:t>1.1</w:t>
      </w:r>
      <w:r>
        <w:rPr>
          <w:b/>
        </w:rPr>
        <w:tab/>
        <w:t>Kombinationsmessgerät Typ Chemist 400</w:t>
      </w:r>
    </w:p>
    <w:p>
      <w:pPr>
        <w:pStyle w:val="GesAbsatz"/>
      </w:pPr>
      <w:r>
        <w:t>Hersteller:</w:t>
      </w:r>
    </w:p>
    <w:p>
      <w:pPr>
        <w:pStyle w:val="GesAbsatz"/>
      </w:pPr>
      <w:r>
        <w:t>Seitron s. r. I., Bassano Del Grappa, Italien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Funktionsmodul zur CO-Bestimmung</w:t>
      </w:r>
    </w:p>
    <w:p>
      <w:pPr>
        <w:pStyle w:val="GesAbsatz"/>
      </w:pPr>
      <w:r>
        <w:t>Funktionsmodul zur Bestimmung der Verbrennungslufttemperatur</w:t>
      </w:r>
    </w:p>
    <w:p>
      <w:pPr>
        <w:pStyle w:val="GesAbsatz"/>
      </w:pPr>
      <w:r>
        <w:t>Funktionsmodul zur Bestimmung der Abgastemperatur</w:t>
      </w:r>
    </w:p>
    <w:p>
      <w:pPr>
        <w:pStyle w:val="GesAbsatz"/>
      </w:pPr>
      <w:r>
        <w:t>Funktionsmodul zur Bestimmung des Drucks (Zug-)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Emissionsgrenzwerte an Gas- und Ölfeuerungsanlagen</w:t>
      </w:r>
    </w:p>
    <w:p>
      <w:pPr>
        <w:pStyle w:val="GesAbsatz"/>
      </w:pPr>
      <w:r>
        <w:t>Messbereiche in der Eignungsprüfung:</w:t>
      </w:r>
    </w:p>
    <w:p>
      <w:pPr>
        <w:pStyle w:val="GesAbsatz"/>
        <w:tabs>
          <w:tab w:val="clear" w:pos="425"/>
          <w:tab w:val="left" w:pos="3119"/>
        </w:tabs>
      </w:pPr>
      <w:r>
        <w:t>O</w:t>
      </w:r>
      <w:r>
        <w:rPr>
          <w:vertAlign w:val="subscript"/>
        </w:rPr>
        <w:t>2</w:t>
      </w:r>
      <w:r>
        <w:tab/>
        <w:t>0 bis 21,0 Vol.-%</w:t>
      </w:r>
    </w:p>
    <w:p>
      <w:pPr>
        <w:pStyle w:val="GesAbsatz"/>
        <w:tabs>
          <w:tab w:val="clear" w:pos="425"/>
          <w:tab w:val="left" w:pos="3119"/>
        </w:tabs>
      </w:pPr>
      <w:r>
        <w:t>CO</w:t>
      </w:r>
      <w:r>
        <w:tab/>
        <w:t>0 bis 2500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3119"/>
        </w:tabs>
        <w:rPr>
          <w:vertAlign w:val="subscript"/>
        </w:rPr>
      </w:pPr>
      <w:r>
        <w:t>Abgastemperatur T</w:t>
      </w:r>
      <w:r>
        <w:rPr>
          <w:vertAlign w:val="subscript"/>
        </w:rPr>
        <w:t>A</w:t>
      </w:r>
      <w:r>
        <w:tab/>
        <w:t>0 bis 400 °C</w:t>
      </w:r>
    </w:p>
    <w:p>
      <w:pPr>
        <w:pStyle w:val="GesAbsatz"/>
        <w:tabs>
          <w:tab w:val="clear" w:pos="425"/>
          <w:tab w:val="left" w:pos="3119"/>
        </w:tabs>
      </w:pPr>
      <w:r>
        <w:t>Verbrennungslufttemperatur T</w:t>
      </w:r>
      <w:r>
        <w:rPr>
          <w:vertAlign w:val="subscript"/>
        </w:rPr>
        <w:t>L</w:t>
      </w:r>
      <w:r>
        <w:tab/>
        <w:t>0 bis 50 °C</w:t>
      </w:r>
    </w:p>
    <w:p>
      <w:pPr>
        <w:pStyle w:val="GesAbsatz"/>
        <w:tabs>
          <w:tab w:val="clear" w:pos="425"/>
          <w:tab w:val="left" w:pos="3119"/>
        </w:tabs>
      </w:pPr>
      <w:r>
        <w:t>Druck (Zug-)</w:t>
      </w:r>
      <w:r>
        <w:tab/>
        <w:t>-40 bis 190 Pa</w:t>
      </w:r>
    </w:p>
    <w:p>
      <w:pPr>
        <w:pStyle w:val="GesAbsatz"/>
        <w:tabs>
          <w:tab w:val="clear" w:pos="425"/>
          <w:tab w:val="left" w:pos="3119"/>
        </w:tabs>
      </w:pPr>
      <w:r>
        <w:t>Softwareversion:</w:t>
      </w:r>
      <w:r>
        <w:tab/>
        <w:t>Version V1.08 vom 4. Oktober 2011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Ein Sensortausch ist nur durch den Hersteller bzw. durch eine vom Hersteller autorisierte Fachkraft zulässig.</w:t>
      </w:r>
    </w:p>
    <w:p>
      <w:pPr>
        <w:pStyle w:val="GesAbsatz"/>
      </w:pPr>
      <w:r>
        <w:t>2.</w:t>
      </w:r>
      <w:r>
        <w:tab/>
        <w:t>Die Eignungsprüfung umfasst nur die Ausstattungsvarianten Chemist 400-402, Chemist 400-403, Chemist 400-404N und Chemist 400-404S.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291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Nr.: M-</w:t>
      </w:r>
      <w:proofErr w:type="spellStart"/>
      <w:r>
        <w:t>Bl</w:t>
      </w:r>
      <w:proofErr w:type="spellEnd"/>
      <w:r>
        <w:t xml:space="preserve"> 1133-00/12 vom 19. März 2012</w:t>
      </w:r>
    </w:p>
    <w:p>
      <w:pPr>
        <w:pStyle w:val="berschrift3"/>
        <w:jc w:val="left"/>
      </w:pPr>
      <w:r>
        <w:lastRenderedPageBreak/>
        <w:t>2</w:t>
      </w:r>
      <w:r>
        <w:tab/>
        <w:t>Messgeräte zur Überwachung der Staubgrenzwerte an Feuerungsanlagen für feste Brennstoffe</w:t>
      </w:r>
    </w:p>
    <w:p>
      <w:pPr>
        <w:pStyle w:val="GesAbsatz"/>
        <w:rPr>
          <w:b/>
          <w:bCs/>
        </w:rPr>
      </w:pPr>
      <w:r>
        <w:rPr>
          <w:b/>
          <w:bCs/>
        </w:rPr>
        <w:t>2.1</w:t>
      </w:r>
      <w:r>
        <w:rPr>
          <w:b/>
          <w:bCs/>
        </w:rPr>
        <w:tab/>
        <w:t>Staubmessgerät Typ Wöhler SM500</w:t>
      </w:r>
    </w:p>
    <w:p>
      <w:pPr>
        <w:pStyle w:val="GesAbsatz"/>
      </w:pPr>
      <w:r>
        <w:t>Hersteller:</w:t>
      </w:r>
    </w:p>
    <w:p>
      <w:pPr>
        <w:pStyle w:val="GesAbsatz"/>
      </w:pPr>
      <w:r>
        <w:t>Wöhler Messgeräte Kehrgeräte GmbH, Bad Wünnenberg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Überwachung der Staubgrenzwerte der 1. BImSchV gemäß § 5 Absatz 1, Stufe I und II an Feuerungsanlagen für feste Brennstoffe nach § 3 Absatz 1 Nummer 4, 5, 5a, 6, 7 und 8</w:t>
      </w:r>
    </w:p>
    <w:p>
      <w:pPr>
        <w:pStyle w:val="GesAbsatz"/>
      </w:pPr>
      <w:r>
        <w:t>Messbereich in der Eignungsprüfung:</w:t>
      </w:r>
    </w:p>
    <w:p>
      <w:pPr>
        <w:pStyle w:val="GesAbsatz"/>
        <w:tabs>
          <w:tab w:val="clear" w:pos="425"/>
          <w:tab w:val="left" w:pos="2268"/>
        </w:tabs>
      </w:pPr>
      <w:r>
        <w:t>Staub:</w:t>
      </w:r>
      <w:r>
        <w:tab/>
        <w:t>0 bis 1 000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2268"/>
        </w:tabs>
      </w:pPr>
      <w:r>
        <w:t>Softwareversion:</w:t>
      </w:r>
      <w:r>
        <w:tab/>
        <w:t>Firmware Version V1.10 vom 20. Dezember 2011</w:t>
      </w:r>
    </w:p>
    <w:p>
      <w:pPr>
        <w:pStyle w:val="GesAbsatz"/>
      </w:pPr>
      <w:r>
        <w:t>Einschränkungen:</w:t>
      </w:r>
    </w:p>
    <w:p>
      <w:pPr>
        <w:pStyle w:val="GesAbsatz"/>
        <w:ind w:left="426" w:hanging="426"/>
      </w:pPr>
      <w:r>
        <w:t>1.</w:t>
      </w:r>
      <w:r>
        <w:tab/>
        <w:t>Die Mindestanforderung bei der Eignungsprüfung nach VDI 4206 Blatt 2 an die erweiterte Messunsicherheit wurde nicht erfüllt und beträgt 36 %.</w:t>
      </w:r>
    </w:p>
    <w:p>
      <w:pPr>
        <w:pStyle w:val="GesAbsatz"/>
        <w:ind w:left="426" w:hanging="426"/>
      </w:pPr>
      <w:r>
        <w:t>2.</w:t>
      </w:r>
      <w:r>
        <w:tab/>
        <w:t>Die Bestimmung der Sauerstoff- und Kohlenmonoxidkonzentration ist nicht eignungsgeprüft. Hinweis:</w:t>
      </w:r>
    </w:p>
    <w:p>
      <w:pPr>
        <w:pStyle w:val="GesAbsatz"/>
      </w:pPr>
      <w:r>
        <w:t>Das Staubmessgerät ist nicht für den Außeneinsatz geeignet.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290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Nr.: M-</w:t>
      </w:r>
      <w:proofErr w:type="spellStart"/>
      <w:r>
        <w:t>Bl</w:t>
      </w:r>
      <w:proofErr w:type="spellEnd"/>
      <w:r>
        <w:t xml:space="preserve"> 1130-00/12 vom 5. März 2012</w:t>
      </w:r>
    </w:p>
    <w:p>
      <w:pPr>
        <w:pStyle w:val="berschrift2"/>
      </w:pPr>
      <w:r>
        <w:t>II.</w:t>
      </w:r>
      <w:r>
        <w:br/>
        <w:t>Mitteilungen zur Bundeseinheitlichen Praxis bei der Überwachung von Emissionen aus Kleinfeuerungsanlagen</w:t>
      </w:r>
    </w:p>
    <w:p>
      <w:pPr>
        <w:pStyle w:val="berschrift3"/>
        <w:jc w:val="left"/>
        <w:rPr>
          <w:bCs/>
        </w:rPr>
      </w:pPr>
      <w:r>
        <w:rPr>
          <w:bCs/>
        </w:rPr>
        <w:t>1</w:t>
      </w:r>
      <w:r>
        <w:rPr>
          <w:bCs/>
        </w:rPr>
        <w:tab/>
        <w:t>Mitteilung zu Bekanntmachungen des Umweltbundesamtes vom 2. Dezember 2010 (BAnz. 8. 4177, Kapitel I Nummer 1.6) und vom 15. Juli 2011 (BAnz. 8. 2728, Kapitel II 1. Mitteilung)</w:t>
      </w:r>
    </w:p>
    <w:p>
      <w:pPr>
        <w:pStyle w:val="GesAbsatz"/>
      </w:pPr>
      <w:r>
        <w:t>Das Kombinationsmessgerät Typ ecom J2KN kann auch mit einer Gasförderpumpe der Firma KNF betrieben sowie mit einem beheizten Gasweg und einer digitalen Durchflussanzeige in einem separaten Display ausgestattet werden.</w:t>
      </w:r>
    </w:p>
    <w:p>
      <w:pPr>
        <w:pStyle w:val="GesAbsatz"/>
      </w:pPr>
      <w:r>
        <w:t>Bei dieser Ausstattung ist das Kombinationsmessgerät mit ecom J2KN</w:t>
      </w:r>
      <w:r>
        <w:rPr>
          <w:vertAlign w:val="superscript"/>
        </w:rPr>
        <w:t>Pro</w:t>
      </w:r>
      <w:r>
        <w:t xml:space="preserve"> auf dem Gehäuse gekennzeichnet.</w:t>
      </w:r>
    </w:p>
    <w:p>
      <w:pPr>
        <w:pStyle w:val="GesAbsatz"/>
      </w:pPr>
      <w:r>
        <w:t>Stellungnahme der TÜV Süd Industrie Service GmbH, Abteilung Feuerungs- und Wärmetechnik, vom 30. Mai 2012</w:t>
      </w: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06.06.12 (BAnz. v. 20.07.2012 B12)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61.8-38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9E4129-8A0F-472B-B891-CECD26B6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link w:val="berschrift1Zchn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link w:val="GesAbsatzZchn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neutral">
    <w:name w:val="Überschrif neutral"/>
    <w:basedOn w:val="GesAbsatz"/>
    <w:rPr>
      <w:b/>
    </w:rPr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kern w:val="28"/>
      <w:sz w:val="28"/>
    </w:rPr>
  </w:style>
  <w:style w:type="character" w:customStyle="1" w:styleId="GesAbsatzZchn">
    <w:name w:val="GesAbsatz Zchn"/>
    <w:basedOn w:val="Absatz-Standardschriftart"/>
    <w:link w:val="GesAbsatz"/>
    <w:rPr>
      <w:rFonts w:ascii="Arial" w:hAnsi="Arial"/>
      <w:color w:val="000000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457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Umweltbundesamt</vt:lpstr>
    </vt:vector>
  </TitlesOfParts>
  <Company>LANUV NRW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Umweltbundesamt</dc:title>
  <dc:creator>adler</dc:creator>
  <cp:lastModifiedBy>Rüter, Dr., Ingo</cp:lastModifiedBy>
  <cp:revision>3</cp:revision>
  <cp:lastPrinted>2004-12-14T11:08:00Z</cp:lastPrinted>
  <dcterms:created xsi:type="dcterms:W3CDTF">2014-08-06T07:51:00Z</dcterms:created>
  <dcterms:modified xsi:type="dcterms:W3CDTF">2024-07-18T08:26:00Z</dcterms:modified>
</cp:coreProperties>
</file>