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209584552"/>
      <w:bookmarkStart w:id="1" w:name="_Toc209585274"/>
      <w:bookmarkStart w:id="2" w:name="_Toc225835347"/>
      <w:bookmarkStart w:id="3" w:name="_GoBack"/>
      <w:bookmarkEnd w:id="3"/>
      <w:r>
        <w:t>Bekanntmachung über die bundeseinheitliche Praxis bei der</w:t>
      </w:r>
      <w:r>
        <w:br/>
        <w:t>Überwachung der Emissionen aus Kleinfeuerungsanlagen</w:t>
      </w:r>
      <w:bookmarkEnd w:id="0"/>
      <w:bookmarkEnd w:id="1"/>
      <w:bookmarkEnd w:id="2"/>
    </w:p>
    <w:p>
      <w:pPr>
        <w:pStyle w:val="GesAbsatz"/>
        <w:jc w:val="center"/>
      </w:pPr>
      <w:r>
        <w:t>vom 19. Februar 2009</w:t>
      </w:r>
    </w:p>
    <w:p>
      <w:pPr>
        <w:pStyle w:val="GesAbsatz"/>
      </w:pPr>
    </w:p>
    <w:p>
      <w:pPr>
        <w:pStyle w:val="berschrift2"/>
      </w:pPr>
      <w:bookmarkStart w:id="4" w:name="_Toc209584553"/>
      <w:bookmarkStart w:id="5" w:name="_Toc209585275"/>
      <w:bookmarkStart w:id="6" w:name="_Toc225835348"/>
      <w:r>
        <w:t>I.</w:t>
      </w:r>
      <w:bookmarkEnd w:id="4"/>
      <w:r>
        <w:br/>
      </w:r>
      <w:bookmarkStart w:id="7" w:name="_Toc209584554"/>
      <w:r>
        <w:t>Eignung von Messeinrichtungen</w:t>
      </w:r>
      <w:bookmarkEnd w:id="5"/>
      <w:bookmarkEnd w:id="6"/>
      <w:bookmarkEnd w:id="7"/>
    </w:p>
    <w:p>
      <w:pPr>
        <w:pStyle w:val="GesAbsatz"/>
      </w:pPr>
      <w:r>
        <w:t>Unter Bezugnahme auf das Rundschreiben des Bundesministeriums für Umwelt, Naturschutz und Reaktorsicherheit (BMU) vom 31. Januar 1997 - IG I 3 - 51134/1 - (GMBl. 1997 S. 522) wird im Auftrag des BMU die Eignung nachstehender Messeinrichtungen bekannt gegeben:</w:t>
      </w:r>
    </w:p>
    <w:p>
      <w:pPr>
        <w:pStyle w:val="berschrift3"/>
        <w:jc w:val="left"/>
      </w:pPr>
      <w:bookmarkStart w:id="8" w:name="_Toc225835349"/>
      <w:r>
        <w:t>1 Messgeräte zur kombinierten Bestimmung des Sauerstoffgehaltes (O2) und des Abgasverlustes (AGV)</w:t>
      </w:r>
      <w:bookmarkEnd w:id="8"/>
    </w:p>
    <w:p>
      <w:pPr>
        <w:pStyle w:val="GesAbsatz"/>
        <w:rPr>
          <w:b/>
        </w:rPr>
      </w:pPr>
      <w:r>
        <w:rPr>
          <w:b/>
        </w:rPr>
        <w:t>1.1 Kombinationsmessgerät Typ Wöhler A400</w:t>
      </w:r>
    </w:p>
    <w:p>
      <w:pPr>
        <w:pStyle w:val="GesAbsatz"/>
      </w:pPr>
      <w:r>
        <w:t>Hersteller:</w:t>
      </w:r>
    </w:p>
    <w:p>
      <w:pPr>
        <w:pStyle w:val="GesAbsatz"/>
      </w:pPr>
      <w:r>
        <w:t>Wöhler Messgeräte Kehrgeräte GmbH, Bad Wünnenberg</w:t>
      </w:r>
    </w:p>
    <w:p>
      <w:pPr>
        <w:pStyle w:val="GesAbsatz"/>
      </w:pPr>
      <w:r>
        <w:t>Messkomponenten:</w:t>
      </w:r>
    </w:p>
    <w:p>
      <w:pPr>
        <w:pStyle w:val="GesAbsatz"/>
      </w:pPr>
      <w:r>
        <w:t>Messgeräteteil zur O</w:t>
      </w:r>
      <w:r>
        <w:rPr>
          <w:vertAlign w:val="subscript"/>
        </w:rPr>
        <w:t>2</w:t>
      </w:r>
      <w:r>
        <w:t>/CO</w:t>
      </w:r>
      <w:r>
        <w:rPr>
          <w:vertAlign w:val="subscript"/>
        </w:rPr>
        <w:t>2</w:t>
      </w:r>
      <w:r>
        <w:t>-Bestimmung</w:t>
      </w:r>
    </w:p>
    <w:p>
      <w:pPr>
        <w:pStyle w:val="GesAbsatz"/>
      </w:pPr>
      <w:r>
        <w:t xml:space="preserve">Messgeräteteil zur Bestimmung der Verbrennungslufttemperatur </w:t>
      </w:r>
    </w:p>
    <w:p>
      <w:pPr>
        <w:pStyle w:val="GesAbsatz"/>
      </w:pPr>
      <w:r>
        <w:t xml:space="preserve">Messgeräteteil zur Bestimmung der Abgastemperatur </w:t>
      </w:r>
    </w:p>
    <w:p>
      <w:pPr>
        <w:pStyle w:val="GesAbsatz"/>
      </w:pPr>
      <w:r>
        <w:t>Eignung:</w:t>
      </w:r>
    </w:p>
    <w:p>
      <w:pPr>
        <w:pStyle w:val="GesAbsatz"/>
      </w:pPr>
      <w:r>
        <w:t xml:space="preserve">Messgerät zur Abgasverlustbestimmung an Gas- und Ölfeuerungsanlagen </w:t>
      </w:r>
    </w:p>
    <w:p>
      <w:pPr>
        <w:pStyle w:val="GesAbsatz"/>
        <w:tabs>
          <w:tab w:val="left" w:pos="2835"/>
        </w:tabs>
      </w:pPr>
      <w:r>
        <w:t>Messbereiche bei der Eignungsprüfung:</w:t>
      </w:r>
    </w:p>
    <w:p>
      <w:pPr>
        <w:pStyle w:val="GesAbsatz"/>
        <w:tabs>
          <w:tab w:val="clear" w:pos="425"/>
          <w:tab w:val="left" w:pos="3969"/>
        </w:tabs>
      </w:pPr>
      <w:r>
        <w:t>O</w:t>
      </w:r>
      <w:r>
        <w:rPr>
          <w:vertAlign w:val="subscript"/>
        </w:rPr>
        <w:t>2</w:t>
      </w:r>
      <w:r>
        <w:tab/>
        <w:t>0 bis 21,0 Vol. -% (CO</w:t>
      </w:r>
      <w:r>
        <w:rPr>
          <w:vertAlign w:val="subscript"/>
        </w:rPr>
        <w:t>2</w:t>
      </w:r>
      <w:r>
        <w:t xml:space="preserve"> errechnet)</w:t>
      </w:r>
    </w:p>
    <w:p>
      <w:pPr>
        <w:pStyle w:val="GesAbsatz"/>
        <w:tabs>
          <w:tab w:val="left" w:pos="3969"/>
        </w:tabs>
      </w:pPr>
      <w:r>
        <w:t>Abgastemperatur</w:t>
      </w:r>
      <w:r>
        <w:tab/>
        <w:t>0 bis 400 °C</w:t>
      </w:r>
    </w:p>
    <w:p>
      <w:pPr>
        <w:pStyle w:val="GesAbsatz"/>
        <w:tabs>
          <w:tab w:val="left" w:pos="3969"/>
        </w:tabs>
      </w:pPr>
      <w:r>
        <w:t>Verbrennungslufttemperatur</w:t>
      </w:r>
      <w:r>
        <w:tab/>
        <w:t>0 bis 50 °C</w:t>
      </w:r>
    </w:p>
    <w:p>
      <w:pPr>
        <w:pStyle w:val="GesAbsatz"/>
      </w:pPr>
      <w:r>
        <w:t>Softwareversionen:</w:t>
      </w:r>
    </w:p>
    <w:p>
      <w:pPr>
        <w:pStyle w:val="GesAbsatz"/>
      </w:pPr>
      <w:r>
        <w:t>Modul – AGV: Version 1.00 vom 25. Juli 2008</w:t>
      </w:r>
    </w:p>
    <w:p>
      <w:pPr>
        <w:pStyle w:val="GesAbsatz"/>
      </w:pPr>
      <w:r>
        <w:t>Bedienoberfläche: Version 1.00 vom 25. Juli 2008</w:t>
      </w:r>
    </w:p>
    <w:p>
      <w:pPr>
        <w:pStyle w:val="GesAbsatz"/>
      </w:pPr>
      <w:r>
        <w:t>Hinweise:</w:t>
      </w:r>
    </w:p>
    <w:p>
      <w:pPr>
        <w:pStyle w:val="GesAbsatz"/>
      </w:pPr>
      <w:r>
        <w:t>1.</w:t>
      </w:r>
      <w:r>
        <w:tab/>
        <w:t>Die Eignungsprüfung wurde mit den O</w:t>
      </w:r>
      <w:r>
        <w:rPr>
          <w:vertAlign w:val="subscript"/>
        </w:rPr>
        <w:t>2</w:t>
      </w:r>
      <w:r>
        <w:t>-Sensoren Typ OOI105 und Typ I-01 durchgeführt.</w:t>
      </w:r>
    </w:p>
    <w:p>
      <w:pPr>
        <w:pStyle w:val="GesAbsatz"/>
      </w:pPr>
      <w:r>
        <w:t>2.</w:t>
      </w:r>
      <w:r>
        <w:tab/>
        <w:t>Als Abgasentnahmesonden können die Schlauchsonde und die Flex-Sonde eingesetzt werden.</w:t>
      </w:r>
    </w:p>
    <w:p>
      <w:pPr>
        <w:pStyle w:val="GesAbsatz"/>
      </w:pPr>
      <w:r>
        <w:t>Prüfinstitut:</w:t>
      </w:r>
    </w:p>
    <w:p>
      <w:pPr>
        <w:pStyle w:val="GesAbsatz"/>
      </w:pPr>
      <w:r>
        <w:t xml:space="preserve">TÜV SÜD Industrie Service GmbH </w:t>
      </w:r>
    </w:p>
    <w:p>
      <w:pPr>
        <w:pStyle w:val="GesAbsatz"/>
      </w:pPr>
      <w:r>
        <w:t>Abteilung Feuerungs- und Wärmetechnik</w:t>
      </w:r>
    </w:p>
    <w:p>
      <w:pPr>
        <w:pStyle w:val="GesAbsatz"/>
      </w:pPr>
      <w:r>
        <w:t>Prüfbereich messtechnische Einrichtungen</w:t>
      </w:r>
    </w:p>
    <w:p>
      <w:pPr>
        <w:pStyle w:val="GesAbsatz"/>
      </w:pPr>
      <w:r>
        <w:t>Prüfkennzeichen:</w:t>
      </w:r>
    </w:p>
    <w:p>
      <w:pPr>
        <w:pStyle w:val="GesAbsatz"/>
      </w:pPr>
      <w:r>
        <w:t xml:space="preserve">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270</w:t>
      </w:r>
    </w:p>
    <w:p>
      <w:pPr>
        <w:pStyle w:val="GesAbsatz"/>
      </w:pPr>
      <w:r>
        <w:t>Prüfbericht:</w:t>
      </w:r>
    </w:p>
    <w:p>
      <w:pPr>
        <w:pStyle w:val="GesAbsatz"/>
      </w:pPr>
      <w:r>
        <w:t>Bericht-Nr. M-</w:t>
      </w:r>
      <w:proofErr w:type="spellStart"/>
      <w:r>
        <w:t>Bl</w:t>
      </w:r>
      <w:proofErr w:type="spellEnd"/>
      <w:r>
        <w:t xml:space="preserve"> 1092-00/08 vom 17. Oktober 2008</w:t>
      </w:r>
    </w:p>
    <w:p>
      <w:pPr>
        <w:pStyle w:val="berschrift2"/>
      </w:pPr>
      <w:bookmarkStart w:id="9" w:name="_Toc225835350"/>
      <w:r>
        <w:t>II.</w:t>
      </w:r>
      <w:r>
        <w:br/>
        <w:t xml:space="preserve">Mitteilungen zur Bundeseinheitlichen Praxis bei der Überwachung </w:t>
      </w:r>
      <w:r>
        <w:br/>
        <w:t>von Emissionen aus Kleinfeuerungsanlagen</w:t>
      </w:r>
      <w:bookmarkEnd w:id="9"/>
    </w:p>
    <w:p>
      <w:pPr>
        <w:pStyle w:val="GesAbsatz"/>
      </w:pPr>
      <w:r>
        <w:rPr>
          <w:b/>
        </w:rPr>
        <w:t>1 Mitteilung zur Bekanntmachung des Umweltbundesamtes vom 14. Februar 2008 (BAnz. S. 904)</w:t>
      </w:r>
    </w:p>
    <w:p>
      <w:pPr>
        <w:pStyle w:val="GesAbsatz"/>
      </w:pPr>
      <w:r>
        <w:lastRenderedPageBreak/>
        <w:t xml:space="preserve">Das Kombinationsmessgerät Typ Kane 450-1 des Herstellers Kane International Ltd., Hertfordshire, United Kingdom, wird auch durch die Firma ROTHENBERGER Werkzeuge GmbH unter der Bezeichnung RO 450 (TÜV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272) vertrieben.</w:t>
      </w:r>
    </w:p>
    <w:p>
      <w:pPr>
        <w:pStyle w:val="GesAbsatz"/>
      </w:pPr>
      <w:r>
        <w:t>Stellungnahme der TÜV SÜD Industrie Service GmbH, Abteilung Feuerungs- und Wärmetechnik, vom 23. Oktober 2008</w:t>
      </w:r>
    </w:p>
    <w:p>
      <w:pPr>
        <w:pStyle w:val="GesAbsatz"/>
      </w:pPr>
      <w:r>
        <w:rPr>
          <w:b/>
        </w:rPr>
        <w:t>2 Mitteilung zur Bekanntmachung des Umweltbundesamtes vom 14. Februar 2008 (BAnz. S. 904)</w:t>
      </w:r>
    </w:p>
    <w:p>
      <w:pPr>
        <w:pStyle w:val="GesAbsatz"/>
      </w:pPr>
      <w:r>
        <w:t xml:space="preserve">Das Kombinationsmessgerät Typ Kane 450-2 des Herstellers Kane International Ltd., Hertfordshire, United Kingdom, wird auch durch die Firma ROTHENBERGER Werkzeuge GmbH unter der Bezeichnung RO 425 (TÜV </w:t>
      </w:r>
      <w:proofErr w:type="spellStart"/>
      <w:r>
        <w:t>By</w:t>
      </w:r>
      <w:proofErr w:type="spellEnd"/>
      <w:r>
        <w:t xml:space="preserve"> </w:t>
      </w:r>
      <w:proofErr w:type="spellStart"/>
      <w:r>
        <w:t>RgG</w:t>
      </w:r>
      <w:proofErr w:type="spellEnd"/>
      <w:r>
        <w:t xml:space="preserve"> 271) vertrieben.</w:t>
      </w:r>
    </w:p>
    <w:p>
      <w:pPr>
        <w:pStyle w:val="GesAbsatz"/>
      </w:pPr>
      <w:r>
        <w:t>Stellungnahme der TÜV SÜD Industrie Service GmbH, Abteilung Feuerungs- und Wärmetechnik, vom 23. Oktober 2008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sectPr>
      <w:headerReference w:type="default" r:id="rId7"/>
      <w:footerReference w:type="even" r:id="rId8"/>
      <w:footerReference w:type="default" r:id="rId9"/>
      <w:type w:val="continuous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Stand 19.02.2009 (BAnz. Nr. 38 S. 904)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61.8-32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706F50"/>
    <w:lvl w:ilvl="0">
      <w:numFmt w:val="decimal"/>
      <w:lvlText w:val="*"/>
      <w:lvlJc w:val="left"/>
    </w:lvl>
  </w:abstractNum>
  <w:abstractNum w:abstractNumId="1" w15:restartNumberingAfterBreak="0">
    <w:nsid w:val="133F0823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2" w15:restartNumberingAfterBreak="0">
    <w:nsid w:val="15E4715E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3" w15:restartNumberingAfterBreak="0">
    <w:nsid w:val="2BBE590B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4" w15:restartNumberingAfterBreak="0">
    <w:nsid w:val="3E7A026A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5" w15:restartNumberingAfterBreak="0">
    <w:nsid w:val="421B4298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6" w15:restartNumberingAfterBreak="0">
    <w:nsid w:val="466A22F5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7" w15:restartNumberingAfterBreak="0">
    <w:nsid w:val="5342556B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8" w15:restartNumberingAfterBreak="0">
    <w:nsid w:val="5BF22999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9" w15:restartNumberingAfterBreak="0">
    <w:nsid w:val="5D054AD4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0" w15:restartNumberingAfterBreak="0">
    <w:nsid w:val="753A7A51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1" w15:restartNumberingAfterBreak="0">
    <w:nsid w:val="763D532F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2" w15:restartNumberingAfterBreak="0">
    <w:nsid w:val="767B288A"/>
    <w:multiLevelType w:val="singleLevel"/>
    <w:tmpl w:val="D33AD04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BE6512EC-85A9-4B1C-8145-F97AADF1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2</Pages>
  <Words>324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Bundeseinheitliche Praxis bei der Überwachung der Emissionen und der Immissionen</vt:lpstr>
    </vt:vector>
  </TitlesOfParts>
  <Company>LANUV</Company>
  <LinksUpToDate>false</LinksUpToDate>
  <CharactersWithSpaces>2496</CharactersWithSpaces>
  <SharedDoc>false</SharedDoc>
  <HLinks>
    <vt:vector size="24" baseType="variant"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_Toc225835350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_Toc225835349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_Toc225835348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_Toc225835347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Bundeseinheitliche Praxis bei der Überwachung der Emissionen und der Immissionen</dc:title>
  <dc:creator>Natrop</dc:creator>
  <cp:lastModifiedBy>Rüter, Dr., Ingo</cp:lastModifiedBy>
  <cp:revision>3</cp:revision>
  <cp:lastPrinted>1899-12-31T23:00:00Z</cp:lastPrinted>
  <dcterms:created xsi:type="dcterms:W3CDTF">2014-08-06T10:01:00Z</dcterms:created>
  <dcterms:modified xsi:type="dcterms:W3CDTF">2024-07-18T08:25:00Z</dcterms:modified>
</cp:coreProperties>
</file>