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09584552"/>
      <w:bookmarkStart w:id="1" w:name="_Toc209585274"/>
      <w:bookmarkStart w:id="2" w:name="_Toc209853935"/>
      <w:bookmarkStart w:id="3" w:name="_GoBack"/>
      <w:bookmarkEnd w:id="3"/>
      <w:r>
        <w:t xml:space="preserve">Bekanntmachung über die bundeseinheitliche Praxis bei der </w:t>
      </w:r>
      <w:r>
        <w:br/>
        <w:t>Überwachung der Emissionen aus Kleinfeuerungsanlagen</w:t>
      </w:r>
      <w:bookmarkEnd w:id="0"/>
      <w:bookmarkEnd w:id="1"/>
      <w:bookmarkEnd w:id="2"/>
    </w:p>
    <w:p>
      <w:pPr>
        <w:pStyle w:val="GesAbsatz"/>
        <w:jc w:val="center"/>
      </w:pPr>
      <w:r>
        <w:t>vom 12. August 2008</w:t>
      </w:r>
    </w:p>
    <w:p>
      <w:pPr>
        <w:pStyle w:val="GesAbsatz"/>
      </w:pPr>
    </w:p>
    <w:p>
      <w:pPr>
        <w:pStyle w:val="berschrift2"/>
      </w:pPr>
      <w:bookmarkStart w:id="4" w:name="_Toc209584553"/>
      <w:bookmarkStart w:id="5" w:name="_Toc209585275"/>
      <w:bookmarkStart w:id="6" w:name="_Toc209853936"/>
      <w:r>
        <w:t>I.</w:t>
      </w:r>
      <w:bookmarkEnd w:id="4"/>
      <w:r>
        <w:br/>
      </w:r>
      <w:bookmarkStart w:id="7" w:name="_Toc209584554"/>
      <w:r>
        <w:t>Eignung von Messeinrichtungen</w:t>
      </w:r>
      <w:bookmarkEnd w:id="5"/>
      <w:bookmarkEnd w:id="6"/>
      <w:bookmarkEnd w:id="7"/>
    </w:p>
    <w:p>
      <w:pPr>
        <w:pStyle w:val="GesAbsatz"/>
      </w:pPr>
      <w:r>
        <w:t>Unter Bezugnahme auf das Rundschreiben des Bundesministeriums für Umwelt, Naturschutz und Reaktorsicherheit (BMU) vom 31. Januar 1997 - IG I 3 - 51134/1 - (GMBl. 1997 S. 522) wird im Auftrag des BMU die Eignung nachstehender Messeinrichtungen bekannt gegeben:</w:t>
      </w:r>
    </w:p>
    <w:p>
      <w:pPr>
        <w:pStyle w:val="berschrift3"/>
        <w:jc w:val="left"/>
      </w:pPr>
      <w:bookmarkStart w:id="8" w:name="_Toc209853937"/>
      <w:r>
        <w:t>1 Messgeräte zur kombinierten Bestimmung des Sauerstoffgehaltes (O2) und des Abgasverlustes (AGV)</w:t>
      </w:r>
      <w:bookmarkEnd w:id="8"/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>1.1 Kombinationsmessgerät Typ Eurolyzer ST</w:t>
      </w:r>
    </w:p>
    <w:p>
      <w:pPr>
        <w:pStyle w:val="GesAbsatz"/>
        <w:rPr>
          <w:lang w:val="pl-PL"/>
        </w:rPr>
      </w:pPr>
      <w:r>
        <w:rPr>
          <w:lang w:val="pl-PL"/>
        </w:rPr>
        <w:t>Hersteller:</w:t>
      </w:r>
      <w:r>
        <w:rPr>
          <w:lang w:val="pl-PL"/>
        </w:rPr>
        <w:tab/>
        <w:t>Systronik Elektronik und Systemtechnik GmbH, Illmensee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Messkomponenten: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Messgeräteteil zur O</w:t>
      </w:r>
      <w:r>
        <w:rPr>
          <w:vertAlign w:val="subscript"/>
          <w:lang w:val="pl-PL"/>
        </w:rPr>
        <w:t>2</w:t>
      </w:r>
      <w:r>
        <w:rPr>
          <w:lang w:val="pl-PL"/>
        </w:rPr>
        <w:t>/CO</w:t>
      </w:r>
      <w:r>
        <w:rPr>
          <w:vertAlign w:val="subscript"/>
          <w:lang w:val="pl-PL"/>
        </w:rPr>
        <w:t>2</w:t>
      </w:r>
      <w:r>
        <w:rPr>
          <w:lang w:val="pl-PL"/>
        </w:rPr>
        <w:t>-Bestimmung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 xml:space="preserve">Messgeräteteil zur Bestimmung der Verbrennungslufttemperatur 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 xml:space="preserve">Messgeräteteil zur Bestimmung der Abgastemperatur 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 xml:space="preserve">Messgerät zur Abgasverlustbestimmung an Gas- und Ölfeuerungsanlagen </w:t>
      </w:r>
    </w:p>
    <w:p>
      <w:pPr>
        <w:pStyle w:val="GesAbsatz"/>
        <w:tabs>
          <w:tab w:val="left" w:pos="2835"/>
        </w:tabs>
        <w:rPr>
          <w:lang w:val="pl-PL"/>
        </w:rPr>
      </w:pPr>
      <w:r>
        <w:rPr>
          <w:lang w:val="pl-PL"/>
        </w:rPr>
        <w:tab/>
        <w:t>Messbereiche bei der Eignungsprüfung: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ab/>
        <w:t>0 bis 21,0 Vol. -% (CO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errechnet)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Abgastemperatur</w:t>
      </w:r>
      <w:r>
        <w:rPr>
          <w:lang w:val="pl-PL"/>
        </w:rPr>
        <w:tab/>
        <w:t>0 bis 400 °C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Verbrennungslufttemperatur</w:t>
      </w:r>
      <w:r>
        <w:rPr>
          <w:lang w:val="pl-PL"/>
        </w:rPr>
        <w:tab/>
        <w:t>0 bis 50 °C</w:t>
      </w:r>
    </w:p>
    <w:p>
      <w:pPr>
        <w:pStyle w:val="GesAbsatz"/>
        <w:rPr>
          <w:lang w:val="pl-PL"/>
        </w:rPr>
      </w:pPr>
      <w:r>
        <w:rPr>
          <w:lang w:val="pl-PL"/>
        </w:rPr>
        <w:t>Softwareversion: Modul – AGV</w:t>
      </w:r>
      <w:r>
        <w:rPr>
          <w:lang w:val="pl-PL"/>
        </w:rPr>
        <w:tab/>
        <w:t>Version 1.0 vom 01.04.1998</w:t>
      </w:r>
    </w:p>
    <w:p>
      <w:pPr>
        <w:pStyle w:val="GesAbsatz"/>
        <w:rPr>
          <w:lang w:val="pl-PL"/>
        </w:rPr>
      </w:pPr>
      <w:r>
        <w:rPr>
          <w:lang w:val="pl-PL"/>
        </w:rPr>
        <w:t>Hinweis:</w:t>
      </w:r>
    </w:p>
    <w:p>
      <w:pPr>
        <w:pStyle w:val="GesAbsatz"/>
        <w:rPr>
          <w:lang w:val="pl-PL"/>
        </w:rPr>
      </w:pPr>
      <w:r>
        <w:rPr>
          <w:lang w:val="pl-PL"/>
        </w:rPr>
        <w:t>Die Eignungsprüfung wurde mit den Sauerstoffsensoren Typ 40X-Eco und 5FO im O</w:t>
      </w:r>
      <w:r>
        <w:rPr>
          <w:vertAlign w:val="subscript"/>
          <w:lang w:val="pl-PL"/>
        </w:rPr>
        <w:t>2</w:t>
      </w:r>
      <w:r>
        <w:rPr>
          <w:lang w:val="pl-PL"/>
        </w:rPr>
        <w:t>-Messgeräteteil durchgeführt.</w:t>
      </w:r>
    </w:p>
    <w:p>
      <w:pPr>
        <w:pStyle w:val="GesAbsatz"/>
        <w:rPr>
          <w:lang w:val="pl-PL"/>
        </w:rPr>
      </w:pPr>
      <w:r>
        <w:rPr>
          <w:lang w:val="pl-PL"/>
        </w:rPr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TÜV SÜD Industrie Service GmbH </w:t>
      </w:r>
      <w:r>
        <w:rPr>
          <w:lang w:val="pl-PL"/>
        </w:rPr>
        <w:br/>
        <w:t>Abteilung Feuerungs- und Wärmetechnik 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>Prüfkennzeichen:</w:t>
      </w:r>
    </w:p>
    <w:p>
      <w:pPr>
        <w:pStyle w:val="GesAbsatz"/>
        <w:rPr>
          <w:lang w:val="pl-PL"/>
        </w:rPr>
      </w:pPr>
      <w:r>
        <w:rPr>
          <w:lang w:val="pl-PL"/>
        </w:rPr>
        <w:t>TÜV By RgG 190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M-Bl 1041-02/08 vom 22. Februar 2008</w:t>
      </w:r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 xml:space="preserve">1.2 Kombinationsmessgerät Typ testo 327-2 LL </w:t>
      </w:r>
    </w:p>
    <w:p>
      <w:pPr>
        <w:pStyle w:val="GesAbsatz"/>
        <w:rPr>
          <w:lang w:val="pl-PL"/>
        </w:rPr>
      </w:pPr>
      <w:r>
        <w:rPr>
          <w:lang w:val="pl-PL"/>
        </w:rPr>
        <w:t>Hersteller:</w:t>
      </w:r>
      <w:r>
        <w:rPr>
          <w:lang w:val="pl-PL"/>
        </w:rPr>
        <w:tab/>
        <w:t>Testo AG, Lenzkirch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Messkomponenten: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Messgeräteteil zur O</w:t>
      </w:r>
      <w:r>
        <w:rPr>
          <w:vertAlign w:val="subscript"/>
          <w:lang w:val="pl-PL"/>
        </w:rPr>
        <w:t>2</w:t>
      </w:r>
      <w:r>
        <w:rPr>
          <w:lang w:val="pl-PL"/>
        </w:rPr>
        <w:t>/CO</w:t>
      </w:r>
      <w:r>
        <w:rPr>
          <w:vertAlign w:val="subscript"/>
          <w:lang w:val="pl-PL"/>
        </w:rPr>
        <w:t>2</w:t>
      </w:r>
      <w:r>
        <w:rPr>
          <w:lang w:val="pl-PL"/>
        </w:rPr>
        <w:t>-Bestimmung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Messgeräteteil zur Bestimmung der Verbrennungslufttemperatur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Messgeräteteil zur Bestimmung der Abgastemperatur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>Messgerät zur Abgasverlustbestimmung an Gas- und Ölfeuerungsanlagen</w:t>
      </w:r>
    </w:p>
    <w:p>
      <w:pPr>
        <w:pStyle w:val="GesAbsatz"/>
        <w:rPr>
          <w:lang w:val="pl-PL"/>
        </w:rPr>
      </w:pPr>
      <w:r>
        <w:rPr>
          <w:lang w:val="pl-PL"/>
        </w:rPr>
        <w:t>Messbereiche bei der Eignungsprüfung: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lastRenderedPageBreak/>
        <w:tab/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ab/>
        <w:t>0 bis 21,0 Vol. -% (CO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errechnet)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Abgastemperatur</w:t>
      </w:r>
      <w:r>
        <w:rPr>
          <w:lang w:val="pl-PL"/>
        </w:rPr>
        <w:tab/>
        <w:t>0 bis 400 °C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Verbrennungslufttemperatur</w:t>
      </w:r>
      <w:r>
        <w:rPr>
          <w:lang w:val="pl-PL"/>
        </w:rPr>
        <w:tab/>
        <w:t>0 bis 50 °C</w:t>
      </w:r>
    </w:p>
    <w:p>
      <w:pPr>
        <w:pStyle w:val="GesAbsatz"/>
        <w:rPr>
          <w:lang w:val="pl-PL"/>
        </w:rPr>
      </w:pPr>
      <w:r>
        <w:rPr>
          <w:lang w:val="pl-PL"/>
        </w:rPr>
        <w:t>Softwareversion: Modul – AGV</w:t>
      </w:r>
      <w:r>
        <w:rPr>
          <w:lang w:val="pl-PL"/>
        </w:rPr>
        <w:tab/>
        <w:t>Version 2.1 vom 07.12.2006</w:t>
      </w:r>
    </w:p>
    <w:p>
      <w:pPr>
        <w:pStyle w:val="GesAbsatz"/>
        <w:rPr>
          <w:lang w:val="pl-PL"/>
        </w:rPr>
      </w:pPr>
      <w:r>
        <w:rPr>
          <w:lang w:val="pl-PL"/>
        </w:rPr>
        <w:t>Hinweise: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>1.</w:t>
      </w:r>
      <w:r>
        <w:rPr>
          <w:lang w:val="pl-PL"/>
        </w:rPr>
        <w:tab/>
        <w:t>Das Kombinationsmessgerät Typ testo 327-2 LL entspricht dem bereits eignungsgeprüften Kombinationsmessgerät Typ testo 327-2 (Prüfbericht-Nr. M-BI 1068-00/07 vom 30. Juni 2007) desselben Herstellers in der Ausführung mit dem O</w:t>
      </w:r>
      <w:r>
        <w:rPr>
          <w:vertAlign w:val="subscript"/>
          <w:lang w:val="pl-PL"/>
        </w:rPr>
        <w:t>2</w:t>
      </w:r>
      <w:r>
        <w:rPr>
          <w:lang w:val="pl-PL"/>
        </w:rPr>
        <w:t>-Sensor Typ LO5BF.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>2.</w:t>
      </w:r>
      <w:r>
        <w:rPr>
          <w:lang w:val="pl-PL"/>
        </w:rPr>
        <w:tab/>
        <w:t>Aufgrund der nachgewiesenen Baugleichheit der Messkanäle für die Abgastemperatur, den O</w:t>
      </w:r>
      <w:r>
        <w:rPr>
          <w:vertAlign w:val="subscript"/>
          <w:lang w:val="pl-PL"/>
        </w:rPr>
        <w:t>2</w:t>
      </w:r>
      <w:r>
        <w:rPr>
          <w:lang w:val="pl-PL"/>
        </w:rPr>
        <w:t>-Anteil und die Verbrennungslufttemperatur sowie der Auswerteeinheit und der Auswertesoftware hinsichtlich der Bestimmung des AGV konnte bei der Prüfung auf bereits vorliegende Messergebnisse zurückgegriffen werden.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  <w:t>Ergänzungsprüfung zur Bekanntgabe des Umweltbundesamtes vom 23. September 2007 (BAnz. S. 7926).</w:t>
      </w:r>
    </w:p>
    <w:p>
      <w:pPr>
        <w:pStyle w:val="GesAbsatz"/>
        <w:rPr>
          <w:lang w:val="pl-PL"/>
        </w:rPr>
      </w:pPr>
      <w:r>
        <w:rPr>
          <w:lang w:val="pl-PL"/>
        </w:rPr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>TÜV SÜD Industrie Service GmbH Abteilung Feuerungs- und Wärmetechnik 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Prüfkennzeichen: </w:t>
      </w:r>
      <w:r>
        <w:rPr>
          <w:lang w:val="pl-PL"/>
        </w:rPr>
        <w:tab/>
        <w:t xml:space="preserve">TÜV By RgG 268 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M-BI 1084-00/08 vom 7. März 2008</w:t>
      </w:r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 xml:space="preserve">1.3 Kombinationsmessgerät Typ Kane 455 </w:t>
      </w:r>
    </w:p>
    <w:p>
      <w:pPr>
        <w:pStyle w:val="GesAbsatz"/>
        <w:rPr>
          <w:lang w:val="pl-PL"/>
        </w:rPr>
      </w:pPr>
      <w:r>
        <w:rPr>
          <w:lang w:val="pl-PL"/>
        </w:rPr>
        <w:t>Hersteller: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Kane International Ltd, Hertfordshire, United Kingdom 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Messkomponenten: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Messgeräteteil zur CO</w:t>
      </w:r>
      <w:r>
        <w:rPr>
          <w:vertAlign w:val="subscript"/>
          <w:lang w:val="pl-PL"/>
        </w:rPr>
        <w:t>2</w:t>
      </w:r>
      <w:r>
        <w:rPr>
          <w:lang w:val="pl-PL"/>
        </w:rPr>
        <w:t>/O</w:t>
      </w:r>
      <w:r>
        <w:rPr>
          <w:vertAlign w:val="subscript"/>
          <w:lang w:val="pl-PL"/>
        </w:rPr>
        <w:t>2</w:t>
      </w:r>
      <w:r>
        <w:rPr>
          <w:lang w:val="pl-PL"/>
        </w:rPr>
        <w:t>-Bestimmung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ab/>
        <w:t xml:space="preserve">Messgeräteteil zur Bestimmung der Verbrennungslufttemperatur 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ab/>
        <w:t>Messgeräteteil zur Bestimmung der Abgastemperatur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Messgerät zur Abgasverlustbestimmung an Gas- und Ölfeuerungsanlagen</w:t>
      </w:r>
    </w:p>
    <w:p>
      <w:pPr>
        <w:pStyle w:val="GesAbsatz"/>
        <w:rPr>
          <w:lang w:val="pl-PL"/>
        </w:rPr>
      </w:pPr>
      <w:r>
        <w:rPr>
          <w:lang w:val="pl-PL"/>
        </w:rPr>
        <w:tab/>
        <w:t>Messbereiche bei der Eignungsprüfung: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CO</w:t>
      </w:r>
      <w:r>
        <w:rPr>
          <w:vertAlign w:val="subscript"/>
          <w:lang w:val="pl-PL"/>
        </w:rPr>
        <w:t>2</w:t>
      </w:r>
      <w:r>
        <w:rPr>
          <w:lang w:val="pl-PL"/>
        </w:rPr>
        <w:tab/>
        <w:t>0 bis 21,0 Vol.-% (O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errechnet)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Abgastemperatur</w:t>
      </w:r>
      <w:r>
        <w:rPr>
          <w:lang w:val="pl-PL"/>
        </w:rPr>
        <w:tab/>
        <w:t>0 bis 400 °C</w:t>
      </w:r>
    </w:p>
    <w:p>
      <w:pPr>
        <w:pStyle w:val="GesAbsatz"/>
        <w:tabs>
          <w:tab w:val="left" w:pos="3969"/>
        </w:tabs>
        <w:rPr>
          <w:lang w:val="pl-PL"/>
        </w:rPr>
      </w:pPr>
      <w:r>
        <w:rPr>
          <w:lang w:val="pl-PL"/>
        </w:rPr>
        <w:tab/>
        <w:t>Verbrennungslufttemperatur</w:t>
      </w:r>
      <w:r>
        <w:rPr>
          <w:lang w:val="pl-PL"/>
        </w:rPr>
        <w:tab/>
        <w:t>0 bis 50 °C</w:t>
      </w:r>
    </w:p>
    <w:p>
      <w:pPr>
        <w:pStyle w:val="GesAbsatz"/>
        <w:rPr>
          <w:lang w:val="pl-PL"/>
        </w:rPr>
      </w:pPr>
      <w:r>
        <w:rPr>
          <w:lang w:val="pl-PL"/>
        </w:rPr>
        <w:t>Softwareversion:</w:t>
      </w:r>
      <w:r>
        <w:rPr>
          <w:lang w:val="pl-PL"/>
        </w:rPr>
        <w:tab/>
        <w:t>Modul - AGV</w:t>
      </w:r>
      <w:r>
        <w:rPr>
          <w:lang w:val="pl-PL"/>
        </w:rPr>
        <w:tab/>
        <w:t xml:space="preserve">Version 1.45 vom 19.11.2007 </w:t>
      </w:r>
    </w:p>
    <w:p>
      <w:pPr>
        <w:pStyle w:val="GesAbsatz"/>
        <w:rPr>
          <w:lang w:val="pl-PL"/>
        </w:rPr>
      </w:pPr>
      <w:r>
        <w:rPr>
          <w:lang w:val="pl-PL"/>
        </w:rPr>
        <w:t>Hinweise: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>1.</w:t>
      </w:r>
      <w:r>
        <w:rPr>
          <w:lang w:val="pl-PL"/>
        </w:rPr>
        <w:tab/>
        <w:t>Die Eignungsprüfung wurde mit dem CO</w:t>
      </w:r>
      <w:r>
        <w:rPr>
          <w:vertAlign w:val="subscript"/>
          <w:lang w:val="pl-PL"/>
        </w:rPr>
        <w:t>2</w:t>
      </w:r>
      <w:r>
        <w:rPr>
          <w:lang w:val="pl-PL"/>
        </w:rPr>
        <w:t>-Sensor Typ Kane Art. Nr. SM12815 durchgeführt.</w:t>
      </w:r>
    </w:p>
    <w:p>
      <w:pPr>
        <w:pStyle w:val="GesAbsatz"/>
        <w:ind w:left="426" w:hanging="426"/>
        <w:rPr>
          <w:lang w:val="pl-PL"/>
        </w:rPr>
      </w:pPr>
      <w:r>
        <w:rPr>
          <w:lang w:val="pl-PL"/>
        </w:rPr>
        <w:t>2.</w:t>
      </w:r>
      <w:r>
        <w:rPr>
          <w:lang w:val="pl-PL"/>
        </w:rPr>
        <w:tab/>
        <w:t>Dieses Gerät wird auch von der Firma Brigon Messtechnik GmbH &amp; Co KG baugleich unter der Bezeichnung Brigon 500 NT (TÜV By RgG 267) vertrieben.</w:t>
      </w:r>
    </w:p>
    <w:p>
      <w:pPr>
        <w:pStyle w:val="GesAbsatz"/>
        <w:rPr>
          <w:lang w:val="pl-PL"/>
        </w:rPr>
      </w:pPr>
      <w:r>
        <w:rPr>
          <w:lang w:val="pl-PL"/>
        </w:rPr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TÜV SÜD Industrie Service GmbH 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Abteilung Feuerungs-und Wärmetechnik </w:t>
      </w:r>
    </w:p>
    <w:p>
      <w:pPr>
        <w:pStyle w:val="GesAbsatz"/>
        <w:rPr>
          <w:lang w:val="pl-PL"/>
        </w:rPr>
      </w:pPr>
      <w:r>
        <w:rPr>
          <w:lang w:val="pl-PL"/>
        </w:rPr>
        <w:t>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>Prüfkennzeichen:</w:t>
      </w:r>
    </w:p>
    <w:p>
      <w:pPr>
        <w:pStyle w:val="GesAbsatz"/>
        <w:rPr>
          <w:lang w:val="pl-PL"/>
        </w:rPr>
      </w:pPr>
      <w:r>
        <w:rPr>
          <w:lang w:val="pl-PL"/>
        </w:rPr>
        <w:t>TÜV By RgG 266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M-BI 1085-00/08 vom 7. März 2008</w:t>
      </w:r>
    </w:p>
    <w:p>
      <w:pPr>
        <w:pStyle w:val="berschrift3"/>
        <w:jc w:val="left"/>
        <w:rPr>
          <w:bCs/>
          <w:lang w:val="pl-PL"/>
        </w:rPr>
      </w:pPr>
      <w:bookmarkStart w:id="9" w:name="_Toc209853938"/>
      <w:r>
        <w:rPr>
          <w:bCs/>
          <w:lang w:val="pl-PL"/>
        </w:rPr>
        <w:lastRenderedPageBreak/>
        <w:t>2 Messgeräte zur Rußzahlbestimmung</w:t>
      </w:r>
      <w:bookmarkEnd w:id="9"/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>2.1 Rußpumpe Typ S-1</w:t>
      </w:r>
    </w:p>
    <w:p>
      <w:pPr>
        <w:pStyle w:val="GesAbsatz"/>
        <w:rPr>
          <w:lang w:val="pl-PL"/>
        </w:rPr>
      </w:pPr>
      <w:r>
        <w:rPr>
          <w:lang w:val="pl-PL"/>
        </w:rPr>
        <w:t>Hersteller:</w:t>
      </w:r>
    </w:p>
    <w:p>
      <w:pPr>
        <w:pStyle w:val="GesAbsatz"/>
        <w:rPr>
          <w:lang w:val="pl-PL"/>
        </w:rPr>
      </w:pPr>
      <w:r>
        <w:rPr>
          <w:lang w:val="pl-PL"/>
        </w:rPr>
        <w:t>OK Handels GmbH, Ochsenfurt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Messkomponente:</w:t>
      </w:r>
    </w:p>
    <w:p>
      <w:pPr>
        <w:pStyle w:val="GesAbsatz"/>
        <w:rPr>
          <w:lang w:val="pl-PL"/>
        </w:rPr>
      </w:pPr>
      <w:r>
        <w:rPr>
          <w:lang w:val="pl-PL"/>
        </w:rPr>
        <w:t>Rußzahl (RZ)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>Handpumpe zur Rußzahlbestimmung an Ölfeuerungsanlagen</w:t>
      </w:r>
    </w:p>
    <w:p>
      <w:pPr>
        <w:pStyle w:val="GesAbsatz"/>
        <w:rPr>
          <w:lang w:val="pl-PL"/>
        </w:rPr>
      </w:pPr>
      <w:r>
        <w:rPr>
          <w:lang w:val="pl-PL"/>
        </w:rPr>
        <w:t>Messbereiche bei der Eignungsprüfung:</w:t>
      </w:r>
    </w:p>
    <w:p>
      <w:pPr>
        <w:pStyle w:val="GesAbsatz"/>
        <w:rPr>
          <w:lang w:val="pl-PL"/>
        </w:rPr>
      </w:pPr>
      <w:r>
        <w:rPr>
          <w:lang w:val="pl-PL"/>
        </w:rPr>
        <w:t>RZ 0 bis RZ 9</w:t>
      </w:r>
    </w:p>
    <w:p>
      <w:pPr>
        <w:pStyle w:val="GesAbsatz"/>
        <w:rPr>
          <w:lang w:val="pl-PL"/>
        </w:rPr>
      </w:pPr>
      <w:r>
        <w:rPr>
          <w:lang w:val="pl-PL"/>
        </w:rPr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TÜV SÜD Industrie Service GmbH 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Abteilung Feuerungs- und Wärmetechnik </w:t>
      </w:r>
    </w:p>
    <w:p>
      <w:pPr>
        <w:pStyle w:val="GesAbsatz"/>
        <w:rPr>
          <w:lang w:val="pl-PL"/>
        </w:rPr>
      </w:pPr>
      <w:r>
        <w:rPr>
          <w:lang w:val="pl-PL"/>
        </w:rPr>
        <w:t>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>Prüfkennzeichen:</w:t>
      </w:r>
    </w:p>
    <w:p>
      <w:pPr>
        <w:pStyle w:val="GesAbsatz"/>
        <w:rPr>
          <w:lang w:val="pl-PL"/>
        </w:rPr>
      </w:pPr>
      <w:r>
        <w:rPr>
          <w:lang w:val="pl-PL"/>
        </w:rPr>
        <w:t>TÜV By RgG 265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M-BI 1083-00/08 vom 29. Februar 2008</w:t>
      </w:r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>2.2 Rußzahlmessgerät Typ testo 308 Hersteller:</w:t>
      </w:r>
    </w:p>
    <w:p>
      <w:pPr>
        <w:pStyle w:val="GesAbsatz"/>
        <w:rPr>
          <w:lang w:val="pl-PL"/>
        </w:rPr>
      </w:pPr>
      <w:r>
        <w:rPr>
          <w:lang w:val="pl-PL"/>
        </w:rPr>
        <w:t>Testo AG, Lenzkirch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Messkomponente:</w:t>
      </w:r>
    </w:p>
    <w:p>
      <w:pPr>
        <w:pStyle w:val="GesAbsatz"/>
        <w:rPr>
          <w:lang w:val="pl-PL"/>
        </w:rPr>
      </w:pPr>
      <w:r>
        <w:rPr>
          <w:lang w:val="pl-PL"/>
        </w:rPr>
        <w:t>Rußzahl (RZ)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>Rußzahlmessgerät zur Rußzahlbestimmung an Ölfeuerungsanlagen</w:t>
      </w:r>
    </w:p>
    <w:p>
      <w:pPr>
        <w:pStyle w:val="GesAbsatz"/>
        <w:rPr>
          <w:lang w:val="pl-PL"/>
        </w:rPr>
      </w:pPr>
      <w:r>
        <w:rPr>
          <w:lang w:val="pl-PL"/>
        </w:rPr>
        <w:t>Messbereiche bei der Eignungsprüfung:</w:t>
      </w:r>
    </w:p>
    <w:p>
      <w:pPr>
        <w:pStyle w:val="GesAbsatz"/>
        <w:rPr>
          <w:lang w:val="pl-PL"/>
        </w:rPr>
      </w:pPr>
      <w:r>
        <w:rPr>
          <w:lang w:val="pl-PL"/>
        </w:rPr>
        <w:t>RZ 0 bis RZ 5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Software: </w:t>
      </w:r>
    </w:p>
    <w:p>
      <w:pPr>
        <w:pStyle w:val="GesAbsatz"/>
        <w:rPr>
          <w:lang w:val="pl-PL"/>
        </w:rPr>
      </w:pPr>
      <w:r>
        <w:rPr>
          <w:lang w:val="pl-PL"/>
        </w:rPr>
        <w:t>Version V1.00 vom 06.12.2007</w:t>
      </w:r>
    </w:p>
    <w:p>
      <w:pPr>
        <w:pStyle w:val="GesAbsatz"/>
        <w:rPr>
          <w:lang w:val="pl-PL"/>
        </w:rPr>
      </w:pPr>
      <w:r>
        <w:rPr>
          <w:lang w:val="pl-PL"/>
        </w:rPr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TÜV SÜD Industrie Service GmbH </w:t>
      </w:r>
    </w:p>
    <w:p>
      <w:pPr>
        <w:pStyle w:val="GesAbsatz"/>
        <w:rPr>
          <w:lang w:val="pl-PL"/>
        </w:rPr>
      </w:pPr>
      <w:r>
        <w:rPr>
          <w:lang w:val="pl-PL"/>
        </w:rPr>
        <w:t xml:space="preserve">Abteilung Feuerungs- und Wärmetechnik </w:t>
      </w:r>
    </w:p>
    <w:p>
      <w:pPr>
        <w:pStyle w:val="GesAbsatz"/>
        <w:rPr>
          <w:lang w:val="pl-PL"/>
        </w:rPr>
      </w:pPr>
      <w:r>
        <w:rPr>
          <w:lang w:val="pl-PL"/>
        </w:rPr>
        <w:t>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>Prüfkennzeichen:</w:t>
      </w:r>
    </w:p>
    <w:p>
      <w:pPr>
        <w:pStyle w:val="GesAbsatz"/>
        <w:rPr>
          <w:lang w:val="pl-PL"/>
        </w:rPr>
      </w:pPr>
      <w:r>
        <w:rPr>
          <w:lang w:val="pl-PL"/>
        </w:rPr>
        <w:t>TÜV By RgG 264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M-BI 1082-00/08 vom 29. Februar 2008</w:t>
      </w:r>
    </w:p>
    <w:p>
      <w:pPr>
        <w:pStyle w:val="GesAbsatz"/>
        <w:rPr>
          <w:b/>
          <w:lang w:val="pl-PL"/>
        </w:rPr>
      </w:pPr>
      <w:r>
        <w:rPr>
          <w:b/>
          <w:lang w:val="pl-PL"/>
        </w:rPr>
        <w:t xml:space="preserve">2.3 Filterpapier für die Rußzahlbestimmung Typ ETF207 </w:t>
      </w:r>
    </w:p>
    <w:p>
      <w:pPr>
        <w:pStyle w:val="GesAbsatz"/>
        <w:rPr>
          <w:lang w:val="pl-PL"/>
        </w:rPr>
      </w:pPr>
      <w:r>
        <w:rPr>
          <w:lang w:val="pl-PL"/>
        </w:rPr>
        <w:t>Hersteller:</w:t>
      </w:r>
    </w:p>
    <w:p>
      <w:pPr>
        <w:pStyle w:val="GesAbsatz"/>
        <w:rPr>
          <w:lang w:val="pl-PL"/>
        </w:rPr>
      </w:pPr>
      <w:r>
        <w:rPr>
          <w:lang w:val="pl-PL"/>
        </w:rPr>
        <w:t>Engelhardt &amp; Trunzer GbR, Wesel</w:t>
      </w:r>
    </w:p>
    <w:p>
      <w:pPr>
        <w:pStyle w:val="GesAbsatz"/>
        <w:rPr>
          <w:lang w:val="pl-PL"/>
        </w:rPr>
      </w:pPr>
      <w:r>
        <w:rPr>
          <w:lang w:val="pl-PL"/>
        </w:rPr>
        <w:t>Messkomponente:</w:t>
      </w:r>
    </w:p>
    <w:p>
      <w:pPr>
        <w:pStyle w:val="GesAbsatz"/>
        <w:rPr>
          <w:lang w:val="pl-PL"/>
        </w:rPr>
      </w:pPr>
      <w:r>
        <w:rPr>
          <w:lang w:val="pl-PL"/>
        </w:rPr>
        <w:t>Filterpapier</w:t>
      </w:r>
    </w:p>
    <w:p>
      <w:pPr>
        <w:pStyle w:val="GesAbsatz"/>
        <w:rPr>
          <w:lang w:val="pl-PL"/>
        </w:rPr>
      </w:pPr>
      <w:r>
        <w:rPr>
          <w:lang w:val="pl-PL"/>
        </w:rPr>
        <w:t>Eignung:</w:t>
      </w:r>
    </w:p>
    <w:p>
      <w:pPr>
        <w:pStyle w:val="GesAbsatz"/>
        <w:rPr>
          <w:lang w:val="pl-PL"/>
        </w:rPr>
      </w:pPr>
      <w:r>
        <w:rPr>
          <w:lang w:val="pl-PL"/>
        </w:rPr>
        <w:t>Filterpapier für die Rußzahlbestimmung an Ölfeuerungsanlagen</w:t>
      </w:r>
    </w:p>
    <w:p>
      <w:pPr>
        <w:pStyle w:val="GesAbsatz"/>
        <w:rPr>
          <w:lang w:val="pl-PL"/>
        </w:rPr>
      </w:pPr>
      <w:r>
        <w:rPr>
          <w:lang w:val="pl-PL"/>
        </w:rPr>
        <w:lastRenderedPageBreak/>
        <w:t>Prüfinstitut:</w:t>
      </w:r>
    </w:p>
    <w:p>
      <w:pPr>
        <w:pStyle w:val="GesAbsatz"/>
        <w:rPr>
          <w:lang w:val="pl-PL"/>
        </w:rPr>
      </w:pPr>
      <w:r>
        <w:rPr>
          <w:lang w:val="pl-PL"/>
        </w:rPr>
        <w:t>TÜV SÜD Industrie Service GmbH</w:t>
      </w:r>
    </w:p>
    <w:p>
      <w:pPr>
        <w:pStyle w:val="GesAbsatz"/>
        <w:rPr>
          <w:lang w:val="pl-PL"/>
        </w:rPr>
      </w:pPr>
      <w:r>
        <w:rPr>
          <w:lang w:val="pl-PL"/>
        </w:rPr>
        <w:t>Abteilung Feuerungs- und Wärmetechnik</w:t>
      </w:r>
    </w:p>
    <w:p>
      <w:pPr>
        <w:pStyle w:val="GesAbsatz"/>
        <w:rPr>
          <w:lang w:val="pl-PL"/>
        </w:rPr>
      </w:pPr>
      <w:r>
        <w:rPr>
          <w:lang w:val="pl-PL"/>
        </w:rPr>
        <w:t>Prüfbereich messtechnische Einrichtungen</w:t>
      </w:r>
    </w:p>
    <w:p>
      <w:pPr>
        <w:pStyle w:val="GesAbsatz"/>
        <w:rPr>
          <w:lang w:val="pl-PL"/>
        </w:rPr>
      </w:pPr>
      <w:r>
        <w:rPr>
          <w:lang w:val="pl-PL"/>
        </w:rPr>
        <w:t>Prüfkennzeichen:</w:t>
      </w:r>
    </w:p>
    <w:p>
      <w:pPr>
        <w:pStyle w:val="GesAbsatz"/>
        <w:rPr>
          <w:lang w:val="pl-PL"/>
        </w:rPr>
      </w:pPr>
      <w:r>
        <w:rPr>
          <w:lang w:val="pl-PL"/>
        </w:rPr>
        <w:t>TÜV By RgG 269</w:t>
      </w:r>
    </w:p>
    <w:p>
      <w:pPr>
        <w:pStyle w:val="GesAbsatz"/>
        <w:rPr>
          <w:lang w:val="pl-PL"/>
        </w:rPr>
      </w:pPr>
      <w:r>
        <w:rPr>
          <w:lang w:val="pl-PL"/>
        </w:rPr>
        <w:t>Prüfbericht:</w:t>
      </w:r>
    </w:p>
    <w:p>
      <w:pPr>
        <w:pStyle w:val="GesAbsatz"/>
        <w:rPr>
          <w:lang w:val="pl-PL"/>
        </w:rPr>
      </w:pPr>
      <w:r>
        <w:rPr>
          <w:lang w:val="pl-PL"/>
        </w:rPr>
        <w:t>Bericht-Nr. M-BI 1086-00/08 vom 7. März 2008</w:t>
      </w:r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</w:r>
    <w:r>
      <w:tab/>
      <w:t>Stand 12.08.2008 (BAnz. Nr. 133, S. 3242)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61.8-31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706F50"/>
    <w:lvl w:ilvl="0">
      <w:numFmt w:val="decimal"/>
      <w:lvlText w:val="*"/>
      <w:lvlJc w:val="left"/>
    </w:lvl>
  </w:abstractNum>
  <w:abstractNum w:abstractNumId="1" w15:restartNumberingAfterBreak="0">
    <w:nsid w:val="133F0823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2" w15:restartNumberingAfterBreak="0">
    <w:nsid w:val="15E4715E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3" w15:restartNumberingAfterBreak="0">
    <w:nsid w:val="2BBE590B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4" w15:restartNumberingAfterBreak="0">
    <w:nsid w:val="3E7A026A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5" w15:restartNumberingAfterBreak="0">
    <w:nsid w:val="421B4298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6" w15:restartNumberingAfterBreak="0">
    <w:nsid w:val="466A22F5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7" w15:restartNumberingAfterBreak="0">
    <w:nsid w:val="5342556B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8" w15:restartNumberingAfterBreak="0">
    <w:nsid w:val="5BF22999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9" w15:restartNumberingAfterBreak="0">
    <w:nsid w:val="5D054AD4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0" w15:restartNumberingAfterBreak="0">
    <w:nsid w:val="753A7A51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1" w15:restartNumberingAfterBreak="0">
    <w:nsid w:val="763D532F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2" w15:restartNumberingAfterBreak="0">
    <w:nsid w:val="767B288A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741F6-BFAF-43EE-B4E6-C228176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Index1">
    <w:name w:val="index 1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200" w:hanging="200"/>
      <w:jc w:val="left"/>
    </w:pPr>
    <w:rPr>
      <w:rFonts w:ascii="Times New Roman" w:hAnsi="Times New Roman"/>
    </w:rPr>
  </w:style>
  <w:style w:type="paragraph" w:styleId="Index2">
    <w:name w:val="index 2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400" w:hanging="200"/>
      <w:jc w:val="left"/>
    </w:pPr>
    <w:rPr>
      <w:rFonts w:ascii="Times New Roman" w:hAnsi="Times New Roman"/>
    </w:rPr>
  </w:style>
  <w:style w:type="paragraph" w:styleId="Index3">
    <w:name w:val="index 3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600" w:hanging="200"/>
      <w:jc w:val="left"/>
    </w:pPr>
    <w:rPr>
      <w:rFonts w:ascii="Times New Roman" w:hAnsi="Times New Roman"/>
    </w:rPr>
  </w:style>
  <w:style w:type="paragraph" w:styleId="Index4">
    <w:name w:val="index 4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800" w:hanging="200"/>
      <w:jc w:val="left"/>
    </w:pPr>
    <w:rPr>
      <w:rFonts w:ascii="Times New Roman" w:hAnsi="Times New Roman"/>
    </w:rPr>
  </w:style>
  <w:style w:type="paragraph" w:styleId="Index5">
    <w:name w:val="index 5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000" w:hanging="200"/>
      <w:jc w:val="left"/>
    </w:pPr>
    <w:rPr>
      <w:rFonts w:ascii="Times New Roman" w:hAnsi="Times New Roman"/>
    </w:rPr>
  </w:style>
  <w:style w:type="paragraph" w:styleId="Index6">
    <w:name w:val="index 6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200" w:hanging="200"/>
      <w:jc w:val="left"/>
    </w:pPr>
    <w:rPr>
      <w:rFonts w:ascii="Times New Roman" w:hAnsi="Times New Roman"/>
    </w:rPr>
  </w:style>
  <w:style w:type="paragraph" w:styleId="Index7">
    <w:name w:val="index 7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400" w:hanging="200"/>
      <w:jc w:val="left"/>
    </w:pPr>
    <w:rPr>
      <w:rFonts w:ascii="Times New Roman" w:hAnsi="Times New Roman"/>
    </w:rPr>
  </w:style>
  <w:style w:type="paragraph" w:styleId="Index8">
    <w:name w:val="index 8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600" w:hanging="200"/>
      <w:jc w:val="left"/>
    </w:pPr>
    <w:rPr>
      <w:rFonts w:ascii="Times New Roman" w:hAnsi="Times New Roman"/>
    </w:rPr>
  </w:style>
  <w:style w:type="paragraph" w:styleId="Index9">
    <w:name w:val="index 9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800" w:hanging="200"/>
      <w:jc w:val="left"/>
    </w:pPr>
    <w:rPr>
      <w:rFonts w:ascii="Times New Roman" w:hAnsi="Times New Roman"/>
    </w:rPr>
  </w:style>
  <w:style w:type="paragraph" w:styleId="Indexberschrift">
    <w:name w:val="index heading"/>
    <w:basedOn w:val="Standard"/>
    <w:next w:val="Index1"/>
    <w:semiHidden/>
    <w:pPr>
      <w:tabs>
        <w:tab w:val="clear" w:pos="425"/>
        <w:tab w:val="right" w:leader="dot" w:pos="4458"/>
      </w:tabs>
      <w:spacing w:before="120"/>
      <w:jc w:val="left"/>
    </w:pPr>
    <w:rPr>
      <w:rFonts w:ascii="Times New Roman" w:hAnsi="Times New Roman"/>
      <w:b/>
      <w:i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634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Immissionen</vt:lpstr>
    </vt:vector>
  </TitlesOfParts>
  <Company>LANUV</Company>
  <LinksUpToDate>false</LinksUpToDate>
  <CharactersWithSpaces>5188</CharactersWithSpaces>
  <SharedDoc>false</SharedDoc>
  <HLinks>
    <vt:vector size="24" baseType="variant"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_Toc209853938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_Toc209853937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_Toc209853936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_Toc209853935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Immissionen</dc:title>
  <dc:creator>adler</dc:creator>
  <cp:lastModifiedBy>Rüter, Dr., Ingo</cp:lastModifiedBy>
  <cp:revision>3</cp:revision>
  <cp:lastPrinted>1899-12-31T23:00:00Z</cp:lastPrinted>
  <dcterms:created xsi:type="dcterms:W3CDTF">2014-08-06T10:08:00Z</dcterms:created>
  <dcterms:modified xsi:type="dcterms:W3CDTF">2024-07-18T08:25:00Z</dcterms:modified>
</cp:coreProperties>
</file>