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80669710"/>
      <w:bookmarkStart w:id="1" w:name="_Toc108404371"/>
      <w:bookmarkStart w:id="2" w:name="_Toc166992850"/>
      <w:bookmarkStart w:id="3" w:name="_GoBack"/>
      <w:bookmarkEnd w:id="3"/>
      <w:r>
        <w:t>Bekanntmachung über die bundeseinheitliche Praxis</w:t>
      </w:r>
      <w:r>
        <w:br/>
        <w:t>bei der Überwachung der Emissionen aus Kleinfeuerungsanlagen</w:t>
      </w:r>
      <w:bookmarkEnd w:id="0"/>
      <w:bookmarkEnd w:id="1"/>
      <w:bookmarkEnd w:id="2"/>
    </w:p>
    <w:p>
      <w:pPr>
        <w:pStyle w:val="GesAbsatz"/>
        <w:jc w:val="center"/>
      </w:pPr>
      <w:r>
        <w:t>vom 12. September 2006</w:t>
      </w:r>
    </w:p>
    <w:p>
      <w:pPr>
        <w:pStyle w:val="GesAbsatz"/>
      </w:pPr>
    </w:p>
    <w:p>
      <w:pPr>
        <w:pStyle w:val="GesAbsatz"/>
      </w:pPr>
      <w:bookmarkStart w:id="4" w:name="_Toc108404372"/>
      <w:r>
        <w:t>Unter Bezugnahme auf das Rundschreiben des Bundesministeriums für Umwelt, Naturschutz und Reaktorsicherheit (BMU) vom 31. Januar 1997 - IG I 3 - 51134/1 - (GMBl. S. 522) wird im Auftrag des BMU die Eignung nachstehender Messeinrichtungen bekannt gegeben:</w:t>
      </w:r>
    </w:p>
    <w:p>
      <w:pPr>
        <w:pStyle w:val="berschrift2"/>
      </w:pPr>
      <w:bookmarkStart w:id="5" w:name="_Toc166992851"/>
      <w:r>
        <w:t>I.</w:t>
      </w:r>
      <w:r>
        <w:br/>
        <w:t>Eignung von Messeinrichtungen</w:t>
      </w:r>
      <w:bookmarkEnd w:id="5"/>
    </w:p>
    <w:p>
      <w:pPr>
        <w:pStyle w:val="berschrift3"/>
        <w:jc w:val="left"/>
      </w:pPr>
      <w:bookmarkStart w:id="6" w:name="_Toc80669711"/>
      <w:bookmarkStart w:id="7" w:name="_Toc108404373"/>
      <w:bookmarkStart w:id="8" w:name="_Toc166992852"/>
      <w:bookmarkEnd w:id="4"/>
      <w:r>
        <w:t xml:space="preserve">1 </w:t>
      </w:r>
      <w:bookmarkEnd w:id="6"/>
      <w:bookmarkEnd w:id="7"/>
      <w:r>
        <w:t>Messgeräte zur kombinierten Bestimmung des Sauerstoffgehaltes (O</w:t>
      </w:r>
      <w:r>
        <w:rPr>
          <w:vertAlign w:val="subscript"/>
        </w:rPr>
        <w:t>2</w:t>
      </w:r>
      <w:r>
        <w:t>) und des Abgasverlustes (AGV)</w:t>
      </w:r>
      <w:bookmarkEnd w:id="8"/>
    </w:p>
    <w:p>
      <w:pPr>
        <w:pStyle w:val="GesAbsatz"/>
        <w:rPr>
          <w:b/>
        </w:rPr>
      </w:pPr>
      <w:r>
        <w:rPr>
          <w:b/>
        </w:rPr>
        <w:t>1.1 Kombinationsmessgerät Typ Nova 2000</w:t>
      </w:r>
    </w:p>
    <w:p>
      <w:pPr>
        <w:pStyle w:val="GesAbsatz"/>
      </w:pPr>
      <w:r>
        <w:t>Hersteller:</w:t>
      </w:r>
    </w:p>
    <w:p>
      <w:pPr>
        <w:pStyle w:val="GesAbsatz"/>
      </w:pPr>
      <w:r>
        <w:t>MRU GmbH, Neckarsulm-Obereisesheim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 xml:space="preserve">/CO-Bestimmung </w:t>
      </w:r>
    </w:p>
    <w:p>
      <w:pPr>
        <w:pStyle w:val="GesAbsatz"/>
      </w:pPr>
      <w:r>
        <w:t>Messgeräteteil zur Bestimmung der Verbrennungslufttemperatur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Gas- und Ölfeuerungsanlagen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clear" w:pos="425"/>
          <w:tab w:val="left" w:pos="2835"/>
        </w:tabs>
      </w:pPr>
      <w:r>
        <w:t>Abgastemperatur</w:t>
      </w:r>
      <w:r>
        <w:tab/>
        <w:t>0 bis 650 °C</w:t>
      </w:r>
    </w:p>
    <w:p>
      <w:pPr>
        <w:pStyle w:val="GesAbsatz"/>
        <w:tabs>
          <w:tab w:val="clear" w:pos="425"/>
          <w:tab w:val="left" w:pos="2835"/>
        </w:tabs>
      </w:pPr>
      <w:r>
        <w:t>Verbrennungslufttemperatur</w:t>
      </w:r>
      <w:r>
        <w:tab/>
        <w:t>0 bis 100 °C</w:t>
      </w:r>
    </w:p>
    <w:p>
      <w:pPr>
        <w:pStyle w:val="GesAbsatz"/>
      </w:pPr>
      <w:r>
        <w:t>Softwareversionen:</w:t>
      </w:r>
    </w:p>
    <w:p>
      <w:pPr>
        <w:pStyle w:val="GesAbsatz"/>
        <w:tabs>
          <w:tab w:val="clear" w:pos="425"/>
          <w:tab w:val="left" w:pos="2835"/>
        </w:tabs>
      </w:pPr>
      <w:r>
        <w:t>Modul-AGV</w:t>
      </w:r>
      <w:r>
        <w:tab/>
        <w:t xml:space="preserve">Version </w:t>
      </w:r>
      <w:smartTag w:uri="urn:schemas-microsoft-com:office:smarttags" w:element="time">
        <w:smartTagPr>
          <w:attr w:name="Minute" w:val="00"/>
          <w:attr w:name="Hour" w:val="1"/>
        </w:smartTagPr>
        <w:r>
          <w:t>1.00</w:t>
        </w:r>
      </w:smartTag>
      <w:r>
        <w:t xml:space="preserve"> vom 4. Oktober 2006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Eignungsprüfung wurde mit dem Sauerstoffsensor Typ 5FO durchgeführt</w:t>
      </w:r>
    </w:p>
    <w:p>
      <w:pPr>
        <w:pStyle w:val="GesAbsatz"/>
        <w:ind w:left="426" w:hanging="426"/>
      </w:pPr>
      <w:r>
        <w:t>2.</w:t>
      </w:r>
      <w:r>
        <w:tab/>
        <w:t>Die Bekanntgabe beschränkt sich auf das Gerät mit Pelletierkühlelement.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GmbH, München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Bericht-Nr. M-BI 1064-00/06 vom 11. Dezember 2006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252</w:t>
      </w: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12.04.2007 (BAnz. Nr. 75 S. 4140)</w:t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61.8-28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5C7771BA-A1CA-4651-9D5A-7C4FD29B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rPr>
      <w:rFonts w:ascii="Arial" w:hAnsi="Arial"/>
      <w:sz w:val="16"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174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Überwachung der Emissionen aus Kleinfeuerungsanlagen</vt:lpstr>
    </vt:vector>
  </TitlesOfParts>
  <Company>LUA</Company>
  <LinksUpToDate>false</LinksUpToDate>
  <CharactersWithSpaces>1403</CharactersWithSpaces>
  <SharedDoc>false</SharedDoc>
  <HLinks>
    <vt:vector size="18" baseType="variant"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_Toc166992852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_Toc166992851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_Toc166992850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Überwachung der Emissionen aus Kleinfeuerungsanlagen</dc:title>
  <dc:creator>natrop</dc:creator>
  <cp:lastModifiedBy>Rüter, Dr., Ingo</cp:lastModifiedBy>
  <cp:revision>3</cp:revision>
  <cp:lastPrinted>1899-12-31T23:00:00Z</cp:lastPrinted>
  <dcterms:created xsi:type="dcterms:W3CDTF">2014-08-06T10:37:00Z</dcterms:created>
  <dcterms:modified xsi:type="dcterms:W3CDTF">2024-07-18T08:24:00Z</dcterms:modified>
</cp:coreProperties>
</file>