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6061739"/>
      <w:r>
        <w:t>Bekanntmachung über die bundeseinheitliche Praxis bei der</w:t>
      </w:r>
      <w:r>
        <w:br/>
        <w:t>Überwachung der Emissionen und der Immissionen</w:t>
      </w:r>
      <w:bookmarkEnd w:id="0"/>
    </w:p>
    <w:p>
      <w:pPr>
        <w:pStyle w:val="GesAbsatz"/>
        <w:jc w:val="center"/>
      </w:pPr>
      <w:r>
        <w:t>vom 27. Mai 2020</w:t>
      </w:r>
      <w:bookmarkStart w:id="1" w:name="_GoBack"/>
      <w:bookmarkEnd w:id="1"/>
    </w:p>
    <w:p>
      <w:pPr>
        <w:pStyle w:val="GesAbsatz"/>
      </w:pP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6061739" w:history="1">
        <w:r>
          <w:rPr>
            <w:rStyle w:val="Hyperlink"/>
            <w:noProof/>
          </w:rPr>
          <w:t>Bekanntmachung über die bundeseinheitliche Praxis bei der Überwachung der Emissionen und der Immissionen</w:t>
        </w:r>
        <w:r>
          <w:rPr>
            <w:noProof/>
            <w:webHidden/>
          </w:rPr>
          <w:tab/>
        </w:r>
        <w:r>
          <w:rPr>
            <w:noProof/>
            <w:webHidden/>
          </w:rPr>
          <w:fldChar w:fldCharType="begin"/>
        </w:r>
        <w:r>
          <w:rPr>
            <w:noProof/>
            <w:webHidden/>
          </w:rPr>
          <w:instrText xml:space="preserve"> PAGEREF _Toc56061739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61740" w:history="1">
        <w:r>
          <w:rPr>
            <w:rStyle w:val="Hyperlink"/>
            <w:noProof/>
          </w:rPr>
          <w:t>I. Eignung von Messeinrichtungen zur kontinuierlichen Überwachung von Emissionen</w:t>
        </w:r>
        <w:r>
          <w:rPr>
            <w:noProof/>
            <w:webHidden/>
          </w:rPr>
          <w:tab/>
        </w:r>
        <w:r>
          <w:rPr>
            <w:noProof/>
            <w:webHidden/>
          </w:rPr>
          <w:fldChar w:fldCharType="begin"/>
        </w:r>
        <w:r>
          <w:rPr>
            <w:noProof/>
            <w:webHidden/>
          </w:rPr>
          <w:instrText xml:space="preserve"> PAGEREF _Toc56061740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61741" w:history="1">
        <w:r>
          <w:rPr>
            <w:rStyle w:val="Hyperlink"/>
            <w:noProof/>
          </w:rPr>
          <w:t>II. Mitteilungen zur Bundeseinheitlichen Praxis bei der Überwachung von Emissionen und Immissionen</w:t>
        </w:r>
        <w:r>
          <w:rPr>
            <w:noProof/>
            <w:webHidden/>
          </w:rPr>
          <w:tab/>
        </w:r>
        <w:r>
          <w:rPr>
            <w:noProof/>
            <w:webHidden/>
          </w:rPr>
          <w:fldChar w:fldCharType="begin"/>
        </w:r>
        <w:r>
          <w:rPr>
            <w:noProof/>
            <w:webHidden/>
          </w:rPr>
          <w:instrText xml:space="preserve"> PAGEREF _Toc56061741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2"/>
      </w:pPr>
      <w:bookmarkStart w:id="2" w:name="_Toc56061740"/>
      <w:r>
        <w:t>I.</w:t>
      </w:r>
      <w:r>
        <w:br/>
        <w:t>Eignung von Messeinrichtungen</w:t>
      </w:r>
      <w:r>
        <w:br/>
        <w:t>zur kontinuierlichen Überwachung von Emissionen</w:t>
      </w:r>
      <w:bookmarkEnd w:id="2"/>
    </w:p>
    <w:p>
      <w:pPr>
        <w:pStyle w:val="GesAbsatz"/>
      </w:pPr>
      <w:r>
        <w:t>Die obersten Immissionsschutzbehörden der Länder haben die Ergebnisse der Eignungsprüfungen begutachtet und sind zu einem positiven Gesamturteil gelangt.</w:t>
      </w:r>
    </w:p>
    <w:p>
      <w:pPr>
        <w:pStyle w:val="GesAbsatz"/>
      </w:pPr>
      <w:r>
        <w:t>Unter Bezugnahme auf Nummer 3 der Richtlinie über die Bundeseinheitliche Praxis bei der Überwachung der Emissionen − Rundschreiben des Bundesministeriums für Umwelt, Naturschutz und Reaktorsicherheit (BMU) − IG I 2 − 45053/5 (GMBl 2005, S. 795), zuletzt geändert am 4. August 2010 (GMBl 2010, S. 1172), erfolgt die Eignungsbekanntgabe.</w:t>
      </w:r>
    </w:p>
    <w:p>
      <w:pPr>
        <w:pStyle w:val="GesAbsatz"/>
        <w:rPr>
          <w:b/>
        </w:rPr>
      </w:pPr>
      <w:r>
        <w:rPr>
          <w:b/>
        </w:rPr>
        <w:t>1</w:t>
      </w:r>
      <w:r>
        <w:rPr>
          <w:b/>
        </w:rPr>
        <w:tab/>
        <w:t>Staub</w:t>
      </w:r>
    </w:p>
    <w:p>
      <w:pPr>
        <w:pStyle w:val="GesAbsatz"/>
      </w:pPr>
      <w:r>
        <w:t>1.1</w:t>
      </w:r>
      <w:r>
        <w:tab/>
        <w:t>EM-D5200 für Staub</w:t>
      </w:r>
    </w:p>
    <w:p>
      <w:pPr>
        <w:pStyle w:val="GesAbsatz"/>
      </w:pPr>
      <w:r>
        <w:t>Hersteller:</w:t>
      </w:r>
    </w:p>
    <w:p>
      <w:pPr>
        <w:pStyle w:val="GesAbsatz"/>
      </w:pPr>
      <w:r>
        <w:t>HORIBA GmbH, Tulln, Österreich</w:t>
      </w:r>
    </w:p>
    <w:p>
      <w:pPr>
        <w:pStyle w:val="GesAbsatz"/>
      </w:pPr>
      <w:r>
        <w:t>Eignung:</w:t>
      </w:r>
    </w:p>
    <w:p>
      <w:pPr>
        <w:pStyle w:val="GesAbsatz"/>
      </w:pPr>
      <w:r>
        <w:t>Für genehmigungsbedürftige Anlagen sowie Anlagen der 27. BImSchV Messbereiche in der Eignungsprüfung:</w:t>
      </w:r>
    </w:p>
    <w:tbl>
      <w:tblPr>
        <w:tblStyle w:val="Tabellenraster"/>
        <w:tblW w:w="0" w:type="auto"/>
        <w:tblLook w:val="04A0" w:firstRow="1" w:lastRow="0" w:firstColumn="1" w:lastColumn="0" w:noHBand="0" w:noVBand="1"/>
      </w:tblPr>
      <w:tblGrid>
        <w:gridCol w:w="3209"/>
        <w:gridCol w:w="3209"/>
        <w:gridCol w:w="3210"/>
      </w:tblGrid>
      <w:tr>
        <w:tc>
          <w:tcPr>
            <w:tcW w:w="3209" w:type="dxa"/>
          </w:tcPr>
          <w:p>
            <w:pPr>
              <w:pStyle w:val="GesAbsatz"/>
              <w:tabs>
                <w:tab w:val="clear" w:pos="425"/>
              </w:tabs>
              <w:jc w:val="center"/>
            </w:pPr>
            <w:r>
              <w:t>Komponente</w:t>
            </w:r>
          </w:p>
        </w:tc>
        <w:tc>
          <w:tcPr>
            <w:tcW w:w="3209" w:type="dxa"/>
          </w:tcPr>
          <w:p>
            <w:pPr>
              <w:pStyle w:val="GesAbsatz"/>
              <w:tabs>
                <w:tab w:val="clear" w:pos="425"/>
              </w:tabs>
              <w:jc w:val="center"/>
            </w:pPr>
            <w:r>
              <w:t>Zertifizierungsbereich</w:t>
            </w:r>
          </w:p>
        </w:tc>
        <w:tc>
          <w:tcPr>
            <w:tcW w:w="3210" w:type="dxa"/>
          </w:tcPr>
          <w:p>
            <w:pPr>
              <w:pStyle w:val="GesAbsatz"/>
              <w:tabs>
                <w:tab w:val="clear" w:pos="425"/>
              </w:tabs>
              <w:jc w:val="center"/>
            </w:pPr>
            <w:r>
              <w:t>Einheit</w:t>
            </w:r>
          </w:p>
        </w:tc>
      </w:tr>
      <w:tr>
        <w:tc>
          <w:tcPr>
            <w:tcW w:w="3209" w:type="dxa"/>
          </w:tcPr>
          <w:p>
            <w:pPr>
              <w:pStyle w:val="GesAbsatz"/>
              <w:tabs>
                <w:tab w:val="clear" w:pos="425"/>
              </w:tabs>
              <w:jc w:val="center"/>
            </w:pPr>
            <w:r>
              <w:t>Staub</w:t>
            </w:r>
          </w:p>
        </w:tc>
        <w:tc>
          <w:tcPr>
            <w:tcW w:w="3209" w:type="dxa"/>
          </w:tcPr>
          <w:p>
            <w:pPr>
              <w:pStyle w:val="GesAbsatz"/>
              <w:tabs>
                <w:tab w:val="clear" w:pos="425"/>
              </w:tabs>
              <w:jc w:val="center"/>
            </w:pPr>
            <w:r>
              <w:t>0 – 7,5*</w:t>
            </w:r>
          </w:p>
        </w:tc>
        <w:tc>
          <w:tcPr>
            <w:tcW w:w="3210" w:type="dxa"/>
          </w:tcPr>
          <w:p>
            <w:pPr>
              <w:pStyle w:val="GesAbsatz"/>
              <w:tabs>
                <w:tab w:val="clear" w:pos="425"/>
              </w:tabs>
              <w:jc w:val="center"/>
            </w:pPr>
            <w:r>
              <w:t>mg/m³</w:t>
            </w:r>
          </w:p>
        </w:tc>
      </w:tr>
    </w:tbl>
    <w:p>
      <w:pPr>
        <w:pStyle w:val="GesAbsatz"/>
      </w:pPr>
      <w:r>
        <w:t>* entspricht 0 bis 500 SL</w:t>
      </w:r>
    </w:p>
    <w:tbl>
      <w:tblPr>
        <w:tblStyle w:val="Tabellenraster"/>
        <w:tblW w:w="0" w:type="auto"/>
        <w:tblLook w:val="04A0" w:firstRow="1" w:lastRow="0" w:firstColumn="1" w:lastColumn="0" w:noHBand="0" w:noVBand="1"/>
      </w:tblPr>
      <w:tblGrid>
        <w:gridCol w:w="1604"/>
        <w:gridCol w:w="1604"/>
        <w:gridCol w:w="1605"/>
        <w:gridCol w:w="1605"/>
        <w:gridCol w:w="1605"/>
        <w:gridCol w:w="1605"/>
      </w:tblGrid>
      <w:tr>
        <w:tc>
          <w:tcPr>
            <w:tcW w:w="1604" w:type="dxa"/>
          </w:tcPr>
          <w:p>
            <w:pPr>
              <w:pStyle w:val="GesAbsatz"/>
              <w:tabs>
                <w:tab w:val="clear" w:pos="425"/>
              </w:tabs>
              <w:jc w:val="center"/>
            </w:pPr>
            <w:r>
              <w:t>Komponente</w:t>
            </w:r>
          </w:p>
        </w:tc>
        <w:tc>
          <w:tcPr>
            <w:tcW w:w="6419" w:type="dxa"/>
            <w:gridSpan w:val="4"/>
          </w:tcPr>
          <w:p>
            <w:pPr>
              <w:pStyle w:val="GesAbsatz"/>
              <w:tabs>
                <w:tab w:val="clear" w:pos="425"/>
              </w:tabs>
              <w:jc w:val="center"/>
            </w:pPr>
            <w:r>
              <w:t>zusätzliche Messbereiche</w:t>
            </w:r>
          </w:p>
        </w:tc>
        <w:tc>
          <w:tcPr>
            <w:tcW w:w="1605" w:type="dxa"/>
          </w:tcPr>
          <w:p>
            <w:pPr>
              <w:pStyle w:val="GesAbsatz"/>
              <w:tabs>
                <w:tab w:val="clear" w:pos="425"/>
              </w:tabs>
              <w:jc w:val="center"/>
            </w:pPr>
            <w:r>
              <w:t>Einheit</w:t>
            </w:r>
          </w:p>
        </w:tc>
      </w:tr>
      <w:tr>
        <w:tc>
          <w:tcPr>
            <w:tcW w:w="1604" w:type="dxa"/>
          </w:tcPr>
          <w:p>
            <w:pPr>
              <w:pStyle w:val="GesAbsatz"/>
              <w:tabs>
                <w:tab w:val="clear" w:pos="425"/>
              </w:tabs>
              <w:jc w:val="center"/>
            </w:pPr>
            <w:r>
              <w:t>Staub</w:t>
            </w:r>
          </w:p>
        </w:tc>
        <w:tc>
          <w:tcPr>
            <w:tcW w:w="1604" w:type="dxa"/>
          </w:tcPr>
          <w:p>
            <w:pPr>
              <w:pStyle w:val="GesAbsatz"/>
              <w:tabs>
                <w:tab w:val="clear" w:pos="425"/>
              </w:tabs>
              <w:jc w:val="center"/>
            </w:pPr>
            <w:r>
              <w:t>0 – 1 000</w:t>
            </w:r>
          </w:p>
        </w:tc>
        <w:tc>
          <w:tcPr>
            <w:tcW w:w="1605" w:type="dxa"/>
          </w:tcPr>
          <w:p>
            <w:pPr>
              <w:pStyle w:val="GesAbsatz"/>
              <w:tabs>
                <w:tab w:val="clear" w:pos="425"/>
              </w:tabs>
              <w:jc w:val="center"/>
            </w:pPr>
            <w:r>
              <w:t>0 – 4 000</w:t>
            </w:r>
          </w:p>
        </w:tc>
        <w:tc>
          <w:tcPr>
            <w:tcW w:w="1605" w:type="dxa"/>
          </w:tcPr>
          <w:p>
            <w:pPr>
              <w:pStyle w:val="GesAbsatz"/>
              <w:tabs>
                <w:tab w:val="clear" w:pos="425"/>
              </w:tabs>
              <w:jc w:val="center"/>
            </w:pPr>
            <w:r>
              <w:t>0 – 20 000</w:t>
            </w:r>
          </w:p>
        </w:tc>
        <w:tc>
          <w:tcPr>
            <w:tcW w:w="1605" w:type="dxa"/>
          </w:tcPr>
          <w:p>
            <w:pPr>
              <w:pStyle w:val="GesAbsatz"/>
              <w:tabs>
                <w:tab w:val="clear" w:pos="425"/>
              </w:tabs>
              <w:jc w:val="center"/>
            </w:pPr>
            <w:r>
              <w:t>0 – 100</w:t>
            </w:r>
          </w:p>
        </w:tc>
        <w:tc>
          <w:tcPr>
            <w:tcW w:w="1605" w:type="dxa"/>
          </w:tcPr>
          <w:p>
            <w:pPr>
              <w:pStyle w:val="GesAbsatz"/>
              <w:tabs>
                <w:tab w:val="clear" w:pos="425"/>
              </w:tabs>
              <w:jc w:val="center"/>
            </w:pPr>
            <w:r>
              <w:t>SL</w:t>
            </w:r>
          </w:p>
        </w:tc>
      </w:tr>
    </w:tbl>
    <w:p>
      <w:pPr>
        <w:pStyle w:val="GesAbsatz"/>
      </w:pPr>
      <w:r>
        <w:t>Softwareversionen:</w:t>
      </w:r>
    </w:p>
    <w:p>
      <w:pPr>
        <w:pStyle w:val="GesAbsatz"/>
      </w:pPr>
      <w:r>
        <w:t>EM-D5200:</w:t>
      </w:r>
      <w:r>
        <w:tab/>
        <w:t>01.10R0001</w:t>
      </w:r>
    </w:p>
    <w:p>
      <w:pPr>
        <w:pStyle w:val="GesAbsatz"/>
      </w:pPr>
      <w:r>
        <w:t>EM-5800CU:</w:t>
      </w:r>
      <w:r>
        <w:tab/>
        <w:t>02.02R0066</w:t>
      </w:r>
    </w:p>
    <w:p>
      <w:pPr>
        <w:pStyle w:val="GesAbsatz"/>
      </w:pPr>
      <w:r>
        <w:t>D-ESI 100:</w:t>
      </w:r>
      <w:r>
        <w:tab/>
        <w:t>01.11R0018</w:t>
      </w:r>
    </w:p>
    <w:p>
      <w:pPr>
        <w:pStyle w:val="GesAbsatz"/>
      </w:pPr>
      <w:r>
        <w:t>Einschränkungen:</w:t>
      </w:r>
    </w:p>
    <w:p>
      <w:pPr>
        <w:pStyle w:val="GesAbsatz"/>
      </w:pPr>
      <w:r>
        <w:t>Keine Hinweise:</w:t>
      </w:r>
    </w:p>
    <w:p>
      <w:pPr>
        <w:pStyle w:val="GesAbsatz"/>
      </w:pPr>
      <w:r>
        <w:t>1.</w:t>
      </w:r>
      <w:r>
        <w:tab/>
        <w:t>Das Wartungsintervall beträgt sechs Monate.</w:t>
      </w:r>
    </w:p>
    <w:p>
      <w:pPr>
        <w:pStyle w:val="GesAbsatz"/>
        <w:ind w:left="425" w:hanging="425"/>
      </w:pPr>
      <w:r>
        <w:t>2.</w:t>
      </w:r>
      <w:r>
        <w:tab/>
        <w:t>Die Messeinrichtung kann mit der Bedieneinheit EM5800CU oder mit der Versorgungseinheit EM-CB-L oder mit der Anschlussbox EM-CB-S betrieben werden.</w:t>
      </w:r>
    </w:p>
    <w:p>
      <w:pPr>
        <w:pStyle w:val="GesAbsatz"/>
        <w:ind w:left="425" w:hanging="425"/>
      </w:pPr>
      <w:r>
        <w:t>3.</w:t>
      </w:r>
      <w:r>
        <w:tab/>
        <w:t>Die Messeinrichtung kann entweder über die Versorgungseinheit EM-CB-L oder extern mit Spülluft versorgt werden.</w:t>
      </w:r>
    </w:p>
    <w:p>
      <w:pPr>
        <w:pStyle w:val="GesAbsatz"/>
        <w:ind w:left="425" w:hanging="425"/>
      </w:pPr>
      <w:r>
        <w:t>4.</w:t>
      </w:r>
      <w:r>
        <w:tab/>
        <w:t xml:space="preserve">Die Bedieneinheit EM5800CU verfügt über die digitalen Schnittstellen </w:t>
      </w:r>
      <w:proofErr w:type="spellStart"/>
      <w:r>
        <w:t>Modbus</w:t>
      </w:r>
      <w:proofErr w:type="spellEnd"/>
      <w:r>
        <w:t xml:space="preserve"> RTU und </w:t>
      </w:r>
      <w:proofErr w:type="spellStart"/>
      <w:r>
        <w:t>Modbus</w:t>
      </w:r>
      <w:proofErr w:type="spellEnd"/>
      <w:r>
        <w:t xml:space="preserve"> TCP nach VDI 4201 Blatt 1 und 3 (EIA-485, seriell und TCP/IP, Ethernet).</w:t>
      </w:r>
    </w:p>
    <w:p>
      <w:pPr>
        <w:pStyle w:val="GesAbsatz"/>
        <w:ind w:left="425" w:hanging="425"/>
      </w:pPr>
      <w:r>
        <w:lastRenderedPageBreak/>
        <w:t>5.</w:t>
      </w:r>
      <w:r>
        <w:tab/>
        <w:t xml:space="preserve">Die Messeinrichtung EM-D5200 verfügt über die digitale Schnittstelle </w:t>
      </w:r>
      <w:proofErr w:type="spellStart"/>
      <w:r>
        <w:t>Modbus</w:t>
      </w:r>
      <w:proofErr w:type="spellEnd"/>
      <w:r>
        <w:t xml:space="preserve"> RTU entsprechend VDI 4201 Blatt 1 und 3 (EIA-485, seriell).</w:t>
      </w:r>
    </w:p>
    <w:p>
      <w:pPr>
        <w:pStyle w:val="GesAbsatz"/>
        <w:ind w:left="425" w:hanging="425"/>
      </w:pPr>
      <w:r>
        <w:t>6.</w:t>
      </w:r>
      <w:r>
        <w:tab/>
        <w:t xml:space="preserve">Bei Kombination der Messeinrichtung EM-D5200 mit der Bedieneinheit EM5800CU ist die </w:t>
      </w:r>
      <w:proofErr w:type="spellStart"/>
      <w:r>
        <w:t>Modbus</w:t>
      </w:r>
      <w:proofErr w:type="spellEnd"/>
      <w:r>
        <w:t xml:space="preserve">-Schnittstelle der Messeinrichtung EM-D5200 nicht nutzbar. Stattdessen wird die digitale Schnittstelle </w:t>
      </w:r>
      <w:proofErr w:type="spellStart"/>
      <w:r>
        <w:t>Modbus</w:t>
      </w:r>
      <w:proofErr w:type="spellEnd"/>
      <w:r>
        <w:t xml:space="preserve"> der Bedieneinheit EM5800CU verwendet.</w:t>
      </w:r>
    </w:p>
    <w:p>
      <w:pPr>
        <w:pStyle w:val="GesAbsatz"/>
        <w:ind w:left="425" w:hanging="425"/>
      </w:pPr>
      <w:r>
        <w:t>7.</w:t>
      </w:r>
      <w:r>
        <w:tab/>
        <w:t>Wenn die Messeinrichtung ohne die Bedieneinheit EM5800CU betrieben wird, erfolgt die Bedienung der Messeinrichtung mit der Software D-ESI 100 auf einem handelsüblichen PC/Notebook/Tablet.</w:t>
      </w:r>
    </w:p>
    <w:p>
      <w:pPr>
        <w:pStyle w:val="GesAbsatz"/>
        <w:ind w:left="425" w:hanging="425"/>
      </w:pPr>
      <w:r>
        <w:t>8.</w:t>
      </w:r>
      <w:r>
        <w:tab/>
        <w:t>Die Anforderung bei der Eignungsprüfung nach DIN EN 15267-3 an den Korrelationskoeffizienten R</w:t>
      </w:r>
      <w:r>
        <w:rPr>
          <w:vertAlign w:val="superscript"/>
        </w:rPr>
        <w:t>2</w:t>
      </w:r>
      <w:r>
        <w:t xml:space="preserve"> der Kalibrierfunktion wurde nicht erfüllt.</w:t>
      </w:r>
    </w:p>
    <w:p>
      <w:pPr>
        <w:pStyle w:val="GesAbsatz"/>
      </w:pPr>
      <w:r>
        <w:t>9.</w:t>
      </w:r>
      <w:r>
        <w:tab/>
        <w:t>Die Bedieneinheit EM5800CU ist in den folgenden Bauformen erhältlich:</w:t>
      </w:r>
    </w:p>
    <w:p>
      <w:pPr>
        <w:pStyle w:val="GesAbsatz"/>
        <w:ind w:left="851" w:hanging="425"/>
      </w:pPr>
      <w:r>
        <w:t>–</w:t>
      </w:r>
      <w:r>
        <w:tab/>
        <w:t>EM5800CU M (Standard)</w:t>
      </w:r>
    </w:p>
    <w:p>
      <w:pPr>
        <w:pStyle w:val="GesAbsatz"/>
        <w:ind w:left="851" w:hanging="425"/>
      </w:pPr>
      <w:r>
        <w:t>–</w:t>
      </w:r>
      <w:r>
        <w:tab/>
        <w:t>EM5800CU C (Kompaktgehäuse)</w:t>
      </w:r>
    </w:p>
    <w:p>
      <w:pPr>
        <w:pStyle w:val="GesAbsatz"/>
        <w:ind w:left="851" w:hanging="425"/>
      </w:pPr>
      <w:r>
        <w:t>–</w:t>
      </w:r>
      <w:r>
        <w:tab/>
        <w:t>EM5800CU P (mit Spülluftgebläse)</w:t>
      </w:r>
    </w:p>
    <w:p>
      <w:pPr>
        <w:pStyle w:val="GesAbsatz"/>
        <w:ind w:left="851" w:hanging="425"/>
      </w:pPr>
      <w:r>
        <w:t>–</w:t>
      </w:r>
      <w:r>
        <w:tab/>
        <w:t xml:space="preserve">EM5800CU R (Gehäuse für 19" Rack-Einbau) Prüfbericht: TÜV Rheinland </w:t>
      </w:r>
      <w:proofErr w:type="spellStart"/>
      <w:r>
        <w:t>Energy</w:t>
      </w:r>
      <w:proofErr w:type="spellEnd"/>
      <w:r>
        <w:t xml:space="preserve"> GmbH, Köln Bericht-Nr.: 936/21242768/B vom 11. März 2020</w:t>
      </w:r>
    </w:p>
    <w:p>
      <w:pPr>
        <w:pStyle w:val="GesAbsatz"/>
      </w:pPr>
      <w:r>
        <w:t>1.2</w:t>
      </w:r>
      <w:r>
        <w:tab/>
        <w:t>DUSTHUNTER SP100 für Staub</w:t>
      </w:r>
    </w:p>
    <w:p>
      <w:pPr>
        <w:pStyle w:val="GesAbsatz"/>
      </w:pPr>
      <w:r>
        <w:t>Hersteller:</w:t>
      </w:r>
    </w:p>
    <w:p>
      <w:pPr>
        <w:pStyle w:val="GesAbsatz"/>
      </w:pPr>
      <w:r>
        <w:t xml:space="preserve">SICK Engineering GmbH, </w:t>
      </w:r>
      <w:proofErr w:type="spellStart"/>
      <w:r>
        <w:t>Ottendorf</w:t>
      </w:r>
      <w:proofErr w:type="spellEnd"/>
      <w:r>
        <w:t xml:space="preserve"> </w:t>
      </w:r>
      <w:proofErr w:type="spellStart"/>
      <w:r>
        <w:t>Okrilla</w:t>
      </w:r>
      <w:proofErr w:type="spellEnd"/>
    </w:p>
    <w:p>
      <w:pPr>
        <w:pStyle w:val="GesAbsatz"/>
      </w:pPr>
      <w:r>
        <w:t>Eignung:</w:t>
      </w:r>
    </w:p>
    <w:p>
      <w:pPr>
        <w:pStyle w:val="GesAbsatz"/>
      </w:pPr>
      <w:r>
        <w:t>Für genehmigungsbedürftige Anlagen und Anlagen der 27. BImSchV Messbereiche in der Eignungsprüfung:</w:t>
      </w:r>
    </w:p>
    <w:tbl>
      <w:tblPr>
        <w:tblStyle w:val="Tabellenraster"/>
        <w:tblW w:w="9923" w:type="dxa"/>
        <w:tblLook w:val="04A0" w:firstRow="1" w:lastRow="0" w:firstColumn="1" w:lastColumn="0" w:noHBand="0" w:noVBand="1"/>
      </w:tblPr>
      <w:tblGrid>
        <w:gridCol w:w="1696"/>
        <w:gridCol w:w="2407"/>
        <w:gridCol w:w="4397"/>
        <w:gridCol w:w="1423"/>
      </w:tblGrid>
      <w:tr>
        <w:tc>
          <w:tcPr>
            <w:tcW w:w="1696" w:type="dxa"/>
          </w:tcPr>
          <w:p>
            <w:pPr>
              <w:pStyle w:val="GesAbsatz"/>
              <w:tabs>
                <w:tab w:val="clear" w:pos="425"/>
              </w:tabs>
              <w:jc w:val="center"/>
            </w:pPr>
            <w:r>
              <w:t>Komponente</w:t>
            </w:r>
          </w:p>
        </w:tc>
        <w:tc>
          <w:tcPr>
            <w:tcW w:w="2407" w:type="dxa"/>
          </w:tcPr>
          <w:p>
            <w:pPr>
              <w:pStyle w:val="GesAbsatz"/>
              <w:tabs>
                <w:tab w:val="clear" w:pos="425"/>
              </w:tabs>
              <w:jc w:val="center"/>
            </w:pPr>
            <w:r>
              <w:t>Zertifizierungsbereich</w:t>
            </w:r>
          </w:p>
        </w:tc>
        <w:tc>
          <w:tcPr>
            <w:tcW w:w="4397" w:type="dxa"/>
          </w:tcPr>
          <w:p>
            <w:pPr>
              <w:pStyle w:val="GesAbsatz"/>
              <w:tabs>
                <w:tab w:val="clear" w:pos="425"/>
              </w:tabs>
              <w:jc w:val="center"/>
            </w:pPr>
            <w:r>
              <w:t>zusätzliche Messbereiche</w:t>
            </w:r>
          </w:p>
        </w:tc>
        <w:tc>
          <w:tcPr>
            <w:tcW w:w="1423" w:type="dxa"/>
          </w:tcPr>
          <w:p>
            <w:pPr>
              <w:pStyle w:val="GesAbsatz"/>
              <w:tabs>
                <w:tab w:val="clear" w:pos="425"/>
              </w:tabs>
              <w:jc w:val="center"/>
            </w:pPr>
            <w:r>
              <w:t>Einheit</w:t>
            </w:r>
          </w:p>
        </w:tc>
      </w:tr>
      <w:tr>
        <w:tc>
          <w:tcPr>
            <w:tcW w:w="1696" w:type="dxa"/>
          </w:tcPr>
          <w:p>
            <w:pPr>
              <w:pStyle w:val="GesAbsatz"/>
              <w:tabs>
                <w:tab w:val="clear" w:pos="425"/>
              </w:tabs>
              <w:jc w:val="center"/>
            </w:pPr>
            <w:r>
              <w:t>Staub</w:t>
            </w:r>
          </w:p>
        </w:tc>
        <w:tc>
          <w:tcPr>
            <w:tcW w:w="2407" w:type="dxa"/>
          </w:tcPr>
          <w:p>
            <w:pPr>
              <w:pStyle w:val="GesAbsatz"/>
              <w:tabs>
                <w:tab w:val="clear" w:pos="425"/>
              </w:tabs>
              <w:jc w:val="center"/>
            </w:pPr>
            <w:r>
              <w:t>0 – 7,5</w:t>
            </w:r>
          </w:p>
        </w:tc>
        <w:tc>
          <w:tcPr>
            <w:tcW w:w="4397" w:type="dxa"/>
          </w:tcPr>
          <w:p>
            <w:pPr>
              <w:pStyle w:val="GesAbsatz"/>
              <w:tabs>
                <w:tab w:val="clear" w:pos="425"/>
              </w:tabs>
              <w:jc w:val="center"/>
            </w:pPr>
            <w:r>
              <w:t>0 – 10/0 – 15/0 – 50/0 – 100/0 – 200/0 – 500</w:t>
            </w:r>
          </w:p>
        </w:tc>
        <w:tc>
          <w:tcPr>
            <w:tcW w:w="1423" w:type="dxa"/>
          </w:tcPr>
          <w:p>
            <w:pPr>
              <w:pStyle w:val="GesAbsatz"/>
              <w:tabs>
                <w:tab w:val="clear" w:pos="425"/>
              </w:tabs>
              <w:jc w:val="center"/>
            </w:pPr>
            <w:r>
              <w:t>mg/m³</w:t>
            </w:r>
          </w:p>
        </w:tc>
      </w:tr>
    </w:tbl>
    <w:p>
      <w:pPr>
        <w:pStyle w:val="GesAbsatz"/>
      </w:pPr>
      <w:r>
        <w:t>Softwareversionen:</w:t>
      </w:r>
    </w:p>
    <w:p>
      <w:pPr>
        <w:pStyle w:val="GesAbsatz"/>
        <w:tabs>
          <w:tab w:val="clear" w:pos="425"/>
          <w:tab w:val="left" w:pos="1276"/>
        </w:tabs>
      </w:pPr>
      <w:r>
        <w:t>Sensor:</w:t>
      </w:r>
      <w:r>
        <w:tab/>
        <w:t>01.06.06</w:t>
      </w:r>
    </w:p>
    <w:p>
      <w:pPr>
        <w:pStyle w:val="GesAbsatz"/>
        <w:tabs>
          <w:tab w:val="clear" w:pos="425"/>
          <w:tab w:val="left" w:pos="1276"/>
        </w:tabs>
      </w:pPr>
      <w:r>
        <w:t>Sensor Ex:</w:t>
      </w:r>
      <w:r>
        <w:tab/>
        <w:t>01.06.12</w:t>
      </w:r>
    </w:p>
    <w:p>
      <w:pPr>
        <w:pStyle w:val="GesAbsatz"/>
        <w:tabs>
          <w:tab w:val="clear" w:pos="425"/>
          <w:tab w:val="left" w:pos="1276"/>
        </w:tabs>
      </w:pPr>
      <w:r>
        <w:t>MCU:</w:t>
      </w:r>
      <w:r>
        <w:tab/>
        <w:t>01.12.05</w:t>
      </w:r>
    </w:p>
    <w:p>
      <w:pPr>
        <w:pStyle w:val="GesAbsatz"/>
      </w:pPr>
      <w:r>
        <w:t>Einschränkung:</w:t>
      </w:r>
    </w:p>
    <w:p>
      <w:pPr>
        <w:pStyle w:val="GesAbsatz"/>
      </w:pPr>
      <w:r>
        <w:t>Die Anforderung bei der Eignungsprüfung nach DIN EN 15267-3 an den Korrelationskoeffizienten R</w:t>
      </w:r>
      <w:r>
        <w:rPr>
          <w:vertAlign w:val="superscript"/>
        </w:rPr>
        <w:t>2</w:t>
      </w:r>
      <w:r>
        <w:t xml:space="preserve"> der Kalibrierfunktion wurde nicht erfüllt.</w:t>
      </w:r>
    </w:p>
    <w:p>
      <w:pPr>
        <w:pStyle w:val="GesAbsatz"/>
      </w:pPr>
      <w:r>
        <w:t>Hinweise:</w:t>
      </w:r>
    </w:p>
    <w:p>
      <w:pPr>
        <w:pStyle w:val="GesAbsatz"/>
        <w:ind w:left="425" w:hanging="425"/>
      </w:pPr>
      <w:r>
        <w:t>1.</w:t>
      </w:r>
      <w:r>
        <w:tab/>
        <w:t>Das Wartungsintervall beträgt drei Monate. Für Messbereiche größer oder gleich 0 bis 15 mg/m³ beträgt das Wartungsintervall sechs Monate.</w:t>
      </w:r>
    </w:p>
    <w:p>
      <w:pPr>
        <w:pStyle w:val="GesAbsatz"/>
      </w:pPr>
      <w:r>
        <w:t>2.</w:t>
      </w:r>
      <w:r>
        <w:tab/>
        <w:t>Die Staubkonzentration wird im feuchten Abgas unter Betriebsbedingungen gemessen.</w:t>
      </w:r>
    </w:p>
    <w:p>
      <w:pPr>
        <w:pStyle w:val="GesAbsatz"/>
      </w:pPr>
      <w:r>
        <w:t>3.</w:t>
      </w:r>
      <w:r>
        <w:tab/>
        <w:t>Die Zulassung umfasst auch die Ex-Version der Messsonde.</w:t>
      </w:r>
    </w:p>
    <w:p>
      <w:pPr>
        <w:pStyle w:val="GesAbsatz"/>
        <w:ind w:left="425" w:hanging="425"/>
      </w:pPr>
      <w:r>
        <w:t>4.</w:t>
      </w:r>
      <w:r>
        <w:tab/>
        <w:t>Die Prüfung wurde mit der Sondenlänge 735 mm durchgeführt. Die Zulassung umfasst auch die kürzeren Sondenlängen.</w:t>
      </w:r>
    </w:p>
    <w:p>
      <w:pPr>
        <w:pStyle w:val="GesAbsatz"/>
        <w:ind w:left="425" w:hanging="425"/>
      </w:pPr>
      <w:r>
        <w:t>5.</w:t>
      </w:r>
      <w:r>
        <w:tab/>
        <w:t>Ergänzungsprüfung (Verkleinerung des Zertifizierbereichs) zu Bekanntmachungen des Umweltbundesamtes vom 12. Februar 2013 (BAnz AT 05.03.2013 B10, Kapitel I Nummer 1.5) und vom 28. Juni 2019 (BAnz AT 22.07.2019 B8, Kapitel V 16. Mitteilung).</w:t>
      </w:r>
    </w:p>
    <w:p>
      <w:pPr>
        <w:pStyle w:val="GesAbsatz"/>
      </w:pPr>
      <w:r>
        <w:t xml:space="preserve">Prüfbericht: TÜV Rheinland </w:t>
      </w:r>
      <w:proofErr w:type="spellStart"/>
      <w:r>
        <w:t>Energy</w:t>
      </w:r>
      <w:proofErr w:type="spellEnd"/>
      <w:r>
        <w:t xml:space="preserve"> GmbH, Köln</w:t>
      </w:r>
    </w:p>
    <w:p>
      <w:pPr>
        <w:pStyle w:val="GesAbsatz"/>
      </w:pPr>
      <w:r>
        <w:t>Bericht-Nr.: 936/21246256/B vom 10. März 2020</w:t>
      </w:r>
    </w:p>
    <w:p>
      <w:pPr>
        <w:pStyle w:val="GesAbsatz"/>
        <w:rPr>
          <w:b/>
        </w:rPr>
      </w:pPr>
      <w:r>
        <w:rPr>
          <w:b/>
        </w:rPr>
        <w:t>2</w:t>
      </w:r>
      <w:r>
        <w:rPr>
          <w:b/>
        </w:rPr>
        <w:tab/>
        <w:t>Gesamtkohlenstoff</w:t>
      </w:r>
    </w:p>
    <w:p>
      <w:pPr>
        <w:pStyle w:val="GesAbsatz"/>
      </w:pPr>
      <w:r>
        <w:t>2.1</w:t>
      </w:r>
      <w:r>
        <w:tab/>
        <w:t xml:space="preserve">FIDAMAT 6 </w:t>
      </w:r>
      <w:proofErr w:type="spellStart"/>
      <w:r>
        <w:t>Measuring</w:t>
      </w:r>
      <w:proofErr w:type="spellEnd"/>
      <w:r>
        <w:t xml:space="preserve"> System II für Gesamt-C</w:t>
      </w:r>
    </w:p>
    <w:p>
      <w:pPr>
        <w:pStyle w:val="GesAbsatz"/>
      </w:pPr>
      <w:r>
        <w:t>Hersteller:</w:t>
      </w:r>
    </w:p>
    <w:p>
      <w:pPr>
        <w:pStyle w:val="GesAbsatz"/>
      </w:pPr>
      <w:r>
        <w:t>SIEMENS AG, Karlsruhe</w:t>
      </w:r>
    </w:p>
    <w:p>
      <w:pPr>
        <w:pStyle w:val="GesAbsatz"/>
      </w:pPr>
      <w:r>
        <w:t>Eignung:</w:t>
      </w:r>
    </w:p>
    <w:p>
      <w:pPr>
        <w:pStyle w:val="GesAbsatz"/>
      </w:pPr>
      <w:r>
        <w:lastRenderedPageBreak/>
        <w:t xml:space="preserve">Für genehmigungsbedürftige Anlagen sowie Anlagen der 27. und 44. </w:t>
      </w:r>
      <w:proofErr w:type="spellStart"/>
      <w:r>
        <w:t>BImschV</w:t>
      </w:r>
      <w:proofErr w:type="spellEnd"/>
      <w:r>
        <w:t xml:space="preserve"> Messbereiche in der Eignungsprüfung:</w:t>
      </w:r>
    </w:p>
    <w:tbl>
      <w:tblPr>
        <w:tblStyle w:val="Tabellenraster"/>
        <w:tblW w:w="0" w:type="auto"/>
        <w:tblLook w:val="04A0" w:firstRow="1" w:lastRow="0" w:firstColumn="1" w:lastColumn="0" w:noHBand="0" w:noVBand="1"/>
      </w:tblPr>
      <w:tblGrid>
        <w:gridCol w:w="1375"/>
        <w:gridCol w:w="1375"/>
        <w:gridCol w:w="1375"/>
        <w:gridCol w:w="1375"/>
        <w:gridCol w:w="1376"/>
        <w:gridCol w:w="1376"/>
        <w:gridCol w:w="1376"/>
      </w:tblGrid>
      <w:tr>
        <w:tc>
          <w:tcPr>
            <w:tcW w:w="1375" w:type="dxa"/>
            <w:vAlign w:val="center"/>
          </w:tcPr>
          <w:p>
            <w:pPr>
              <w:pStyle w:val="GesAbsatz"/>
              <w:tabs>
                <w:tab w:val="clear" w:pos="425"/>
              </w:tabs>
              <w:jc w:val="center"/>
            </w:pPr>
            <w:r>
              <w:t>Komponente</w:t>
            </w:r>
          </w:p>
        </w:tc>
        <w:tc>
          <w:tcPr>
            <w:tcW w:w="1375" w:type="dxa"/>
            <w:vAlign w:val="center"/>
          </w:tcPr>
          <w:p>
            <w:pPr>
              <w:pStyle w:val="GesAbsatz"/>
              <w:tabs>
                <w:tab w:val="clear" w:pos="425"/>
              </w:tabs>
              <w:jc w:val="center"/>
            </w:pPr>
            <w:r>
              <w:t>Zertifizierungsbereich</w:t>
            </w:r>
          </w:p>
        </w:tc>
        <w:tc>
          <w:tcPr>
            <w:tcW w:w="5502" w:type="dxa"/>
            <w:gridSpan w:val="4"/>
            <w:vAlign w:val="center"/>
          </w:tcPr>
          <w:p>
            <w:pPr>
              <w:pStyle w:val="GesAbsatz"/>
              <w:tabs>
                <w:tab w:val="clear" w:pos="425"/>
              </w:tabs>
              <w:jc w:val="center"/>
            </w:pPr>
            <w:r>
              <w:t>zusätzliche Messbereiche</w:t>
            </w:r>
          </w:p>
        </w:tc>
        <w:tc>
          <w:tcPr>
            <w:tcW w:w="1376" w:type="dxa"/>
            <w:vAlign w:val="center"/>
          </w:tcPr>
          <w:p>
            <w:pPr>
              <w:pStyle w:val="GesAbsatz"/>
              <w:tabs>
                <w:tab w:val="clear" w:pos="425"/>
              </w:tabs>
              <w:jc w:val="center"/>
            </w:pPr>
            <w:r>
              <w:t>Einheit</w:t>
            </w:r>
          </w:p>
        </w:tc>
      </w:tr>
      <w:tr>
        <w:tc>
          <w:tcPr>
            <w:tcW w:w="1375" w:type="dxa"/>
          </w:tcPr>
          <w:p>
            <w:pPr>
              <w:pStyle w:val="GesAbsatz"/>
              <w:tabs>
                <w:tab w:val="clear" w:pos="425"/>
              </w:tabs>
              <w:jc w:val="center"/>
            </w:pPr>
            <w:r>
              <w:t>Gesamt-C</w:t>
            </w:r>
          </w:p>
        </w:tc>
        <w:tc>
          <w:tcPr>
            <w:tcW w:w="1375" w:type="dxa"/>
          </w:tcPr>
          <w:p>
            <w:pPr>
              <w:pStyle w:val="GesAbsatz"/>
              <w:tabs>
                <w:tab w:val="clear" w:pos="425"/>
              </w:tabs>
              <w:jc w:val="center"/>
            </w:pPr>
            <w:r>
              <w:t>0 – 15</w:t>
            </w:r>
          </w:p>
        </w:tc>
        <w:tc>
          <w:tcPr>
            <w:tcW w:w="1375" w:type="dxa"/>
          </w:tcPr>
          <w:p>
            <w:pPr>
              <w:pStyle w:val="GesAbsatz"/>
              <w:tabs>
                <w:tab w:val="clear" w:pos="425"/>
              </w:tabs>
              <w:jc w:val="center"/>
            </w:pPr>
            <w:r>
              <w:t>0 – 50</w:t>
            </w:r>
          </w:p>
        </w:tc>
        <w:tc>
          <w:tcPr>
            <w:tcW w:w="1375" w:type="dxa"/>
          </w:tcPr>
          <w:p>
            <w:pPr>
              <w:pStyle w:val="GesAbsatz"/>
              <w:tabs>
                <w:tab w:val="clear" w:pos="425"/>
              </w:tabs>
              <w:jc w:val="center"/>
            </w:pPr>
            <w:r>
              <w:t>0 – 150</w:t>
            </w:r>
          </w:p>
        </w:tc>
        <w:tc>
          <w:tcPr>
            <w:tcW w:w="1376" w:type="dxa"/>
          </w:tcPr>
          <w:p>
            <w:pPr>
              <w:pStyle w:val="GesAbsatz"/>
              <w:tabs>
                <w:tab w:val="clear" w:pos="425"/>
              </w:tabs>
              <w:jc w:val="center"/>
            </w:pPr>
            <w:r>
              <w:t>0 – 500</w:t>
            </w:r>
          </w:p>
        </w:tc>
        <w:tc>
          <w:tcPr>
            <w:tcW w:w="1376" w:type="dxa"/>
          </w:tcPr>
          <w:p>
            <w:pPr>
              <w:pStyle w:val="GesAbsatz"/>
              <w:tabs>
                <w:tab w:val="clear" w:pos="425"/>
              </w:tabs>
              <w:jc w:val="center"/>
            </w:pPr>
            <w:r>
              <w:t>0 – 3 000</w:t>
            </w:r>
          </w:p>
        </w:tc>
        <w:tc>
          <w:tcPr>
            <w:tcW w:w="1376" w:type="dxa"/>
          </w:tcPr>
          <w:p>
            <w:pPr>
              <w:pStyle w:val="GesAbsatz"/>
              <w:tabs>
                <w:tab w:val="clear" w:pos="425"/>
              </w:tabs>
              <w:jc w:val="center"/>
            </w:pPr>
            <w:r>
              <w:t>mg/m³</w:t>
            </w:r>
          </w:p>
        </w:tc>
      </w:tr>
    </w:tbl>
    <w:p>
      <w:pPr>
        <w:pStyle w:val="GesAbsatz"/>
      </w:pPr>
      <w:r>
        <w:t>Softwareversion:</w:t>
      </w:r>
    </w:p>
    <w:p>
      <w:pPr>
        <w:pStyle w:val="GesAbsatz"/>
      </w:pPr>
      <w:r>
        <w:t>1.3.7</w:t>
      </w:r>
    </w:p>
    <w:p>
      <w:pPr>
        <w:pStyle w:val="GesAbsatz"/>
      </w:pPr>
      <w:r>
        <w:t>Einschränkungen:</w:t>
      </w:r>
    </w:p>
    <w:p>
      <w:pPr>
        <w:pStyle w:val="GesAbsatz"/>
      </w:pPr>
      <w:r>
        <w:t>Keine Hinweise:</w:t>
      </w:r>
    </w:p>
    <w:p>
      <w:pPr>
        <w:pStyle w:val="GesAbsatz"/>
      </w:pPr>
      <w:r>
        <w:t>1.</w:t>
      </w:r>
      <w:r>
        <w:tab/>
        <w:t>Das Wartungsintervall beträgt vier Wochen.</w:t>
      </w:r>
    </w:p>
    <w:p>
      <w:pPr>
        <w:pStyle w:val="GesAbsatz"/>
      </w:pPr>
      <w:r>
        <w:t>2.</w:t>
      </w:r>
      <w:r>
        <w:tab/>
        <w:t xml:space="preserve">Das </w:t>
      </w:r>
      <w:proofErr w:type="spellStart"/>
      <w:r>
        <w:t>Fidamat</w:t>
      </w:r>
      <w:proofErr w:type="spellEnd"/>
      <w:r>
        <w:t xml:space="preserve"> 6 Analysenmodul ist mit der Endung -37 im Typenschild gekennzeichnet.</w:t>
      </w:r>
    </w:p>
    <w:p>
      <w:pPr>
        <w:pStyle w:val="GesAbsatz"/>
        <w:ind w:left="425" w:hanging="425"/>
      </w:pPr>
      <w:r>
        <w:t>3.</w:t>
      </w:r>
      <w:r>
        <w:tab/>
        <w:t>Die automatische Nullpunkt- und Referenzpunktkontrolle ist während des Betriebs zu deaktivieren.</w:t>
      </w:r>
    </w:p>
    <w:p>
      <w:pPr>
        <w:pStyle w:val="GesAbsatz"/>
        <w:ind w:left="425" w:hanging="425"/>
      </w:pPr>
      <w:r>
        <w:t xml:space="preserve">Prüfbericht: TÜV Rheinland </w:t>
      </w:r>
      <w:proofErr w:type="spellStart"/>
      <w:r>
        <w:t>Energy</w:t>
      </w:r>
      <w:proofErr w:type="spellEnd"/>
      <w:r>
        <w:t xml:space="preserve"> GmbH, Köln</w:t>
      </w:r>
    </w:p>
    <w:p>
      <w:pPr>
        <w:pStyle w:val="GesAbsatz"/>
      </w:pPr>
      <w:r>
        <w:t>Bericht-Nr.: 936/21245879/A vom 2. März 2020</w:t>
      </w:r>
    </w:p>
    <w:p>
      <w:pPr>
        <w:pStyle w:val="GesAbsatz"/>
      </w:pPr>
      <w:r>
        <w:t>2.2</w:t>
      </w:r>
      <w:r>
        <w:tab/>
        <w:t>UPAS-FID ES</w:t>
      </w:r>
    </w:p>
    <w:p>
      <w:pPr>
        <w:pStyle w:val="GesAbsatz"/>
      </w:pPr>
      <w:r>
        <w:t>Hersteller:</w:t>
      </w:r>
    </w:p>
    <w:p>
      <w:pPr>
        <w:pStyle w:val="GesAbsatz"/>
      </w:pPr>
      <w:r>
        <w:t>SK-Elektronik GmbH, Leverkusen</w:t>
      </w:r>
    </w:p>
    <w:p>
      <w:pPr>
        <w:pStyle w:val="GesAbsatz"/>
      </w:pPr>
      <w:r>
        <w:t>Eignung:</w:t>
      </w:r>
    </w:p>
    <w:p>
      <w:pPr>
        <w:pStyle w:val="GesAbsatz"/>
      </w:pPr>
      <w:r>
        <w:t>Für genehmigungsbedürftige Anlagen und Anlagen der 44. BImSchV Messbereiche in der Eignungsprüfung:</w:t>
      </w:r>
    </w:p>
    <w:tbl>
      <w:tblPr>
        <w:tblStyle w:val="Tabellenraster"/>
        <w:tblW w:w="0" w:type="auto"/>
        <w:tblLook w:val="04A0" w:firstRow="1" w:lastRow="0" w:firstColumn="1" w:lastColumn="0" w:noHBand="0" w:noVBand="1"/>
      </w:tblPr>
      <w:tblGrid>
        <w:gridCol w:w="1604"/>
        <w:gridCol w:w="1604"/>
        <w:gridCol w:w="1605"/>
        <w:gridCol w:w="1605"/>
        <w:gridCol w:w="1605"/>
        <w:gridCol w:w="1605"/>
      </w:tblGrid>
      <w:tr>
        <w:tc>
          <w:tcPr>
            <w:tcW w:w="1604" w:type="dxa"/>
            <w:vAlign w:val="center"/>
          </w:tcPr>
          <w:p>
            <w:pPr>
              <w:pStyle w:val="GesAbsatz"/>
              <w:jc w:val="center"/>
            </w:pPr>
          </w:p>
        </w:tc>
        <w:tc>
          <w:tcPr>
            <w:tcW w:w="1604" w:type="dxa"/>
            <w:vAlign w:val="center"/>
          </w:tcPr>
          <w:p>
            <w:pPr>
              <w:pStyle w:val="GesAbsatz"/>
              <w:jc w:val="center"/>
            </w:pPr>
          </w:p>
        </w:tc>
        <w:tc>
          <w:tcPr>
            <w:tcW w:w="4815" w:type="dxa"/>
            <w:gridSpan w:val="3"/>
            <w:vAlign w:val="center"/>
          </w:tcPr>
          <w:p>
            <w:pPr>
              <w:pStyle w:val="GesAbsatz"/>
              <w:jc w:val="center"/>
            </w:pPr>
            <w:r>
              <w:t>zusätzliche Messbereiche</w:t>
            </w:r>
          </w:p>
        </w:tc>
        <w:tc>
          <w:tcPr>
            <w:tcW w:w="1605" w:type="dxa"/>
            <w:vAlign w:val="center"/>
          </w:tcPr>
          <w:p>
            <w:pPr>
              <w:pStyle w:val="GesAbsatz"/>
              <w:jc w:val="center"/>
            </w:pPr>
          </w:p>
        </w:tc>
      </w:tr>
      <w:tr>
        <w:tc>
          <w:tcPr>
            <w:tcW w:w="1604" w:type="dxa"/>
            <w:vAlign w:val="center"/>
          </w:tcPr>
          <w:p>
            <w:pPr>
              <w:pStyle w:val="GesAbsatz"/>
              <w:jc w:val="center"/>
            </w:pPr>
            <w:r>
              <w:t>Komponente</w:t>
            </w:r>
          </w:p>
        </w:tc>
        <w:tc>
          <w:tcPr>
            <w:tcW w:w="1604" w:type="dxa"/>
            <w:vAlign w:val="center"/>
          </w:tcPr>
          <w:p>
            <w:pPr>
              <w:pStyle w:val="GesAbsatz"/>
              <w:jc w:val="center"/>
            </w:pPr>
            <w:r>
              <w:t>Zertifizierungsbereich</w:t>
            </w:r>
          </w:p>
        </w:tc>
        <w:tc>
          <w:tcPr>
            <w:tcW w:w="1605" w:type="dxa"/>
            <w:vAlign w:val="center"/>
          </w:tcPr>
          <w:p>
            <w:pPr>
              <w:pStyle w:val="GesAbsatz"/>
              <w:jc w:val="center"/>
            </w:pPr>
            <w:r>
              <w:t>Messbereich 2</w:t>
            </w:r>
          </w:p>
        </w:tc>
        <w:tc>
          <w:tcPr>
            <w:tcW w:w="1605" w:type="dxa"/>
            <w:vAlign w:val="center"/>
          </w:tcPr>
          <w:p>
            <w:pPr>
              <w:pStyle w:val="GesAbsatz"/>
              <w:jc w:val="center"/>
            </w:pPr>
            <w:r>
              <w:t>Messbereich 3</w:t>
            </w:r>
          </w:p>
        </w:tc>
        <w:tc>
          <w:tcPr>
            <w:tcW w:w="1605" w:type="dxa"/>
            <w:vAlign w:val="center"/>
          </w:tcPr>
          <w:p>
            <w:pPr>
              <w:pStyle w:val="GesAbsatz"/>
              <w:jc w:val="center"/>
            </w:pPr>
            <w:r>
              <w:t>Messbereich 4</w:t>
            </w:r>
          </w:p>
        </w:tc>
        <w:tc>
          <w:tcPr>
            <w:tcW w:w="1605" w:type="dxa"/>
            <w:vAlign w:val="center"/>
          </w:tcPr>
          <w:p>
            <w:pPr>
              <w:pStyle w:val="GesAbsatz"/>
              <w:jc w:val="center"/>
            </w:pPr>
            <w:r>
              <w:t>Einheit</w:t>
            </w:r>
          </w:p>
        </w:tc>
      </w:tr>
      <w:tr>
        <w:tc>
          <w:tcPr>
            <w:tcW w:w="1604" w:type="dxa"/>
            <w:vAlign w:val="center"/>
          </w:tcPr>
          <w:p>
            <w:pPr>
              <w:pStyle w:val="GesAbsatz"/>
              <w:jc w:val="center"/>
            </w:pPr>
            <w:r>
              <w:t>Gesamt-C</w:t>
            </w:r>
          </w:p>
        </w:tc>
        <w:tc>
          <w:tcPr>
            <w:tcW w:w="1604" w:type="dxa"/>
            <w:vAlign w:val="center"/>
          </w:tcPr>
          <w:p>
            <w:pPr>
              <w:pStyle w:val="GesAbsatz"/>
              <w:jc w:val="center"/>
            </w:pPr>
            <w:r>
              <w:t>0 – 15</w:t>
            </w:r>
          </w:p>
        </w:tc>
        <w:tc>
          <w:tcPr>
            <w:tcW w:w="1605" w:type="dxa"/>
            <w:vAlign w:val="center"/>
          </w:tcPr>
          <w:p>
            <w:pPr>
              <w:pStyle w:val="GesAbsatz"/>
              <w:jc w:val="center"/>
            </w:pPr>
            <w:r>
              <w:t>0 – 30</w:t>
            </w:r>
          </w:p>
        </w:tc>
        <w:tc>
          <w:tcPr>
            <w:tcW w:w="1605" w:type="dxa"/>
            <w:vAlign w:val="center"/>
          </w:tcPr>
          <w:p>
            <w:pPr>
              <w:pStyle w:val="GesAbsatz"/>
              <w:jc w:val="center"/>
            </w:pPr>
            <w:r>
              <w:t>0 – 100</w:t>
            </w:r>
          </w:p>
        </w:tc>
        <w:tc>
          <w:tcPr>
            <w:tcW w:w="1605" w:type="dxa"/>
            <w:vAlign w:val="center"/>
          </w:tcPr>
          <w:p>
            <w:pPr>
              <w:pStyle w:val="GesAbsatz"/>
              <w:jc w:val="center"/>
            </w:pPr>
            <w:r>
              <w:t>0 – 500</w:t>
            </w:r>
          </w:p>
        </w:tc>
        <w:tc>
          <w:tcPr>
            <w:tcW w:w="1605" w:type="dxa"/>
            <w:vAlign w:val="center"/>
          </w:tcPr>
          <w:p>
            <w:pPr>
              <w:pStyle w:val="GesAbsatz"/>
              <w:jc w:val="center"/>
            </w:pPr>
            <w:r>
              <w:t>mg/m³</w:t>
            </w:r>
          </w:p>
        </w:tc>
      </w:tr>
    </w:tbl>
    <w:p>
      <w:pPr>
        <w:pStyle w:val="GesAbsatz"/>
      </w:pPr>
    </w:p>
    <w:p>
      <w:pPr>
        <w:pStyle w:val="GesAbsatz"/>
      </w:pPr>
      <w:r>
        <w:t>Geprüfte Softwareversionen:</w:t>
      </w:r>
    </w:p>
    <w:p>
      <w:pPr>
        <w:pStyle w:val="GesAbsatz"/>
        <w:tabs>
          <w:tab w:val="clear" w:pos="425"/>
          <w:tab w:val="left" w:pos="1418"/>
        </w:tabs>
        <w:rPr>
          <w:lang w:val="en-US"/>
        </w:rPr>
      </w:pPr>
      <w:r>
        <w:rPr>
          <w:lang w:val="en-US"/>
        </w:rPr>
        <w:t>FID-DC:</w:t>
      </w:r>
      <w:r>
        <w:rPr>
          <w:lang w:val="en-US"/>
        </w:rPr>
        <w:tab/>
        <w:t>1.01</w:t>
      </w:r>
    </w:p>
    <w:p>
      <w:pPr>
        <w:pStyle w:val="GesAbsatz"/>
        <w:tabs>
          <w:tab w:val="clear" w:pos="425"/>
          <w:tab w:val="left" w:pos="1418"/>
        </w:tabs>
        <w:rPr>
          <w:lang w:val="en-US"/>
        </w:rPr>
      </w:pPr>
      <w:r>
        <w:rPr>
          <w:lang w:val="en-US"/>
        </w:rPr>
        <w:t>FID-AD:</w:t>
      </w:r>
      <w:r>
        <w:rPr>
          <w:lang w:val="en-US"/>
        </w:rPr>
        <w:tab/>
        <w:t>1.00</w:t>
      </w:r>
    </w:p>
    <w:p>
      <w:pPr>
        <w:pStyle w:val="GesAbsatz"/>
        <w:tabs>
          <w:tab w:val="clear" w:pos="425"/>
          <w:tab w:val="left" w:pos="1418"/>
        </w:tabs>
        <w:rPr>
          <w:lang w:val="en-US"/>
        </w:rPr>
      </w:pPr>
      <w:r>
        <w:rPr>
          <w:lang w:val="en-US"/>
        </w:rPr>
        <w:t>FID-PS:</w:t>
      </w:r>
      <w:r>
        <w:rPr>
          <w:lang w:val="en-US"/>
        </w:rPr>
        <w:tab/>
        <w:t>1.01</w:t>
      </w:r>
    </w:p>
    <w:p>
      <w:pPr>
        <w:pStyle w:val="GesAbsatz"/>
        <w:tabs>
          <w:tab w:val="clear" w:pos="425"/>
          <w:tab w:val="left" w:pos="1418"/>
        </w:tabs>
      </w:pPr>
      <w:r>
        <w:t>FID-LC:</w:t>
      </w:r>
      <w:r>
        <w:tab/>
        <w:t>1.01</w:t>
      </w:r>
    </w:p>
    <w:p>
      <w:pPr>
        <w:pStyle w:val="GesAbsatz"/>
        <w:tabs>
          <w:tab w:val="clear" w:pos="425"/>
          <w:tab w:val="left" w:pos="1418"/>
        </w:tabs>
      </w:pPr>
      <w:r>
        <w:t>UPAS-GUI:</w:t>
      </w:r>
      <w:r>
        <w:tab/>
        <w:t>1.00</w:t>
      </w:r>
    </w:p>
    <w:p>
      <w:pPr>
        <w:pStyle w:val="GesAbsatz"/>
      </w:pPr>
      <w:r>
        <w:t>Einschränkung:</w:t>
      </w:r>
    </w:p>
    <w:p>
      <w:pPr>
        <w:pStyle w:val="GesAbsatz"/>
        <w:ind w:left="425" w:hanging="425"/>
      </w:pPr>
      <w:r>
        <w:t>Im MB 0-500 mg werden die Anforderungen bzgl. des Sauerstoffeinflusses nicht erfüllt.</w:t>
      </w:r>
    </w:p>
    <w:p>
      <w:pPr>
        <w:pStyle w:val="GesAbsatz"/>
        <w:ind w:left="425" w:hanging="425"/>
      </w:pPr>
      <w:r>
        <w:t>Hinweise:</w:t>
      </w:r>
    </w:p>
    <w:p>
      <w:pPr>
        <w:pStyle w:val="GesAbsatz"/>
        <w:ind w:left="425" w:hanging="425"/>
      </w:pPr>
      <w:r>
        <w:t>1.</w:t>
      </w:r>
      <w:r>
        <w:tab/>
        <w:t>Das Wartungsintervall beträgt vier Wochen.</w:t>
      </w:r>
    </w:p>
    <w:p>
      <w:pPr>
        <w:pStyle w:val="GesAbsatz"/>
        <w:ind w:left="425" w:hanging="425"/>
      </w:pPr>
      <w:r>
        <w:t>2.</w:t>
      </w:r>
      <w:r>
        <w:tab/>
        <w:t>Die Messeinrichtung ist in einem zeitlichen Intervall von 24 h durch die automatische Justierfunktion an Null- und Referenzpunkt zu justieren.</w:t>
      </w:r>
    </w:p>
    <w:p>
      <w:pPr>
        <w:pStyle w:val="GesAbsatz"/>
        <w:ind w:left="425" w:hanging="425"/>
      </w:pPr>
      <w:r>
        <w:t>3.</w:t>
      </w:r>
      <w:r>
        <w:tab/>
        <w:t>Die Bereitstellung von Nullgas kann durch den Anschluss von synthetischer Luft (5.0) oder über die interne Nullgasaufbereitung erfolgen.</w:t>
      </w:r>
    </w:p>
    <w:p>
      <w:pPr>
        <w:pStyle w:val="GesAbsatz"/>
      </w:pPr>
      <w:r>
        <w:t>Prüfbericht: TÜV SÜD Industrie Service GmbH, München</w:t>
      </w:r>
    </w:p>
    <w:p>
      <w:pPr>
        <w:pStyle w:val="GesAbsatz"/>
      </w:pPr>
      <w:r>
        <w:t>Bericht-Nr.: 2723566 vom 9. März 2020</w:t>
      </w:r>
    </w:p>
    <w:p>
      <w:pPr>
        <w:pStyle w:val="GesAbsatz"/>
        <w:rPr>
          <w:b/>
        </w:rPr>
      </w:pPr>
      <w:r>
        <w:rPr>
          <w:b/>
        </w:rPr>
        <w:t>3</w:t>
      </w:r>
      <w:r>
        <w:rPr>
          <w:b/>
        </w:rPr>
        <w:tab/>
        <w:t>Mehrkomponentenmesseinrichtungen</w:t>
      </w:r>
    </w:p>
    <w:p>
      <w:pPr>
        <w:pStyle w:val="GesAbsatz"/>
        <w:rPr>
          <w:vertAlign w:val="subscript"/>
        </w:rPr>
      </w:pPr>
      <w:r>
        <w:t>3.1</w:t>
      </w:r>
      <w:r>
        <w:tab/>
        <w:t>CEMS-2000 für NO, SO</w:t>
      </w:r>
      <w:r>
        <w:rPr>
          <w:vertAlign w:val="subscript"/>
        </w:rPr>
        <w:t>2</w:t>
      </w:r>
      <w:r>
        <w:t xml:space="preserve"> und O</w:t>
      </w:r>
      <w:r>
        <w:rPr>
          <w:vertAlign w:val="subscript"/>
        </w:rPr>
        <w:t>2</w:t>
      </w:r>
    </w:p>
    <w:p>
      <w:pPr>
        <w:pStyle w:val="GesAbsatz"/>
        <w:rPr>
          <w:lang w:val="en-US"/>
        </w:rPr>
      </w:pPr>
      <w:proofErr w:type="spellStart"/>
      <w:r>
        <w:rPr>
          <w:lang w:val="en-US"/>
        </w:rPr>
        <w:t>Hersteller</w:t>
      </w:r>
      <w:proofErr w:type="spellEnd"/>
      <w:r>
        <w:rPr>
          <w:lang w:val="en-US"/>
        </w:rPr>
        <w:t>:</w:t>
      </w:r>
    </w:p>
    <w:p>
      <w:pPr>
        <w:pStyle w:val="GesAbsatz"/>
        <w:rPr>
          <w:lang w:val="en-US"/>
        </w:rPr>
      </w:pPr>
      <w:r>
        <w:rPr>
          <w:lang w:val="en-US"/>
        </w:rPr>
        <w:t>Focused Photonics Inc., Hangzhou, China</w:t>
      </w:r>
    </w:p>
    <w:p>
      <w:pPr>
        <w:pStyle w:val="GesAbsatz"/>
      </w:pPr>
      <w:r>
        <w:lastRenderedPageBreak/>
        <w:t>Eignung:</w:t>
      </w:r>
    </w:p>
    <w:p>
      <w:pPr>
        <w:pStyle w:val="GesAbsatz"/>
      </w:pPr>
      <w:r>
        <w:t>Für Messungen an Anlagen der 13. BImSchV sowie Anlagen der TA Luft Messbereiche in der Eignungsprüfung:</w:t>
      </w:r>
    </w:p>
    <w:tbl>
      <w:tblPr>
        <w:tblStyle w:val="Tabellenraster"/>
        <w:tblW w:w="9632" w:type="dxa"/>
        <w:tblLook w:val="04A0" w:firstRow="1" w:lastRow="0" w:firstColumn="1" w:lastColumn="0" w:noHBand="0" w:noVBand="1"/>
      </w:tblPr>
      <w:tblGrid>
        <w:gridCol w:w="1838"/>
        <w:gridCol w:w="2407"/>
        <w:gridCol w:w="2980"/>
        <w:gridCol w:w="2407"/>
      </w:tblGrid>
      <w:tr>
        <w:tc>
          <w:tcPr>
            <w:tcW w:w="1838" w:type="dxa"/>
          </w:tcPr>
          <w:p>
            <w:pPr>
              <w:pStyle w:val="GesAbsatz"/>
              <w:tabs>
                <w:tab w:val="clear" w:pos="425"/>
              </w:tabs>
              <w:jc w:val="center"/>
            </w:pPr>
            <w:r>
              <w:t>Komponente</w:t>
            </w:r>
          </w:p>
        </w:tc>
        <w:tc>
          <w:tcPr>
            <w:tcW w:w="2407" w:type="dxa"/>
          </w:tcPr>
          <w:p>
            <w:pPr>
              <w:pStyle w:val="GesAbsatz"/>
              <w:tabs>
                <w:tab w:val="clear" w:pos="425"/>
              </w:tabs>
              <w:jc w:val="center"/>
            </w:pPr>
            <w:r>
              <w:t>Zertifizierungsbereich</w:t>
            </w:r>
          </w:p>
        </w:tc>
        <w:tc>
          <w:tcPr>
            <w:tcW w:w="2980" w:type="dxa"/>
          </w:tcPr>
          <w:p>
            <w:pPr>
              <w:pStyle w:val="GesAbsatz"/>
              <w:tabs>
                <w:tab w:val="clear" w:pos="425"/>
              </w:tabs>
              <w:jc w:val="center"/>
            </w:pPr>
            <w:r>
              <w:t>zusätzlicher Messbereich</w:t>
            </w:r>
          </w:p>
        </w:tc>
        <w:tc>
          <w:tcPr>
            <w:tcW w:w="2407" w:type="dxa"/>
          </w:tcPr>
          <w:p>
            <w:pPr>
              <w:pStyle w:val="GesAbsatz"/>
              <w:tabs>
                <w:tab w:val="clear" w:pos="425"/>
              </w:tabs>
              <w:jc w:val="center"/>
            </w:pPr>
            <w:r>
              <w:t>Einheit</w:t>
            </w:r>
          </w:p>
        </w:tc>
      </w:tr>
      <w:tr>
        <w:tc>
          <w:tcPr>
            <w:tcW w:w="1838" w:type="dxa"/>
          </w:tcPr>
          <w:p>
            <w:pPr>
              <w:pStyle w:val="GesAbsatz"/>
              <w:tabs>
                <w:tab w:val="clear" w:pos="425"/>
              </w:tabs>
              <w:jc w:val="center"/>
            </w:pPr>
            <w:r>
              <w:t>NO</w:t>
            </w:r>
          </w:p>
        </w:tc>
        <w:tc>
          <w:tcPr>
            <w:tcW w:w="2407" w:type="dxa"/>
          </w:tcPr>
          <w:p>
            <w:pPr>
              <w:pStyle w:val="GesAbsatz"/>
              <w:tabs>
                <w:tab w:val="clear" w:pos="425"/>
              </w:tabs>
              <w:jc w:val="center"/>
            </w:pPr>
            <w:r>
              <w:t>0 – 250</w:t>
            </w:r>
          </w:p>
        </w:tc>
        <w:tc>
          <w:tcPr>
            <w:tcW w:w="2980" w:type="dxa"/>
          </w:tcPr>
          <w:p>
            <w:pPr>
              <w:pStyle w:val="GesAbsatz"/>
              <w:tabs>
                <w:tab w:val="clear" w:pos="425"/>
              </w:tabs>
              <w:jc w:val="center"/>
            </w:pPr>
            <w:r>
              <w:t>0 – 1 340</w:t>
            </w:r>
          </w:p>
        </w:tc>
        <w:tc>
          <w:tcPr>
            <w:tcW w:w="2407" w:type="dxa"/>
          </w:tcPr>
          <w:p>
            <w:pPr>
              <w:pStyle w:val="GesAbsatz"/>
              <w:tabs>
                <w:tab w:val="clear" w:pos="425"/>
              </w:tabs>
              <w:jc w:val="center"/>
            </w:pPr>
            <w:r>
              <w:t>mg/m³</w:t>
            </w:r>
          </w:p>
        </w:tc>
      </w:tr>
      <w:tr>
        <w:tc>
          <w:tcPr>
            <w:tcW w:w="1838" w:type="dxa"/>
          </w:tcPr>
          <w:p>
            <w:pPr>
              <w:pStyle w:val="GesAbsatz"/>
              <w:tabs>
                <w:tab w:val="clear" w:pos="425"/>
              </w:tabs>
              <w:jc w:val="center"/>
            </w:pPr>
            <w:r>
              <w:t>SO</w:t>
            </w:r>
            <w:r>
              <w:rPr>
                <w:vertAlign w:val="subscript"/>
              </w:rPr>
              <w:t>2</w:t>
            </w:r>
          </w:p>
        </w:tc>
        <w:tc>
          <w:tcPr>
            <w:tcW w:w="2407" w:type="dxa"/>
          </w:tcPr>
          <w:p>
            <w:pPr>
              <w:pStyle w:val="GesAbsatz"/>
              <w:tabs>
                <w:tab w:val="clear" w:pos="425"/>
              </w:tabs>
              <w:jc w:val="center"/>
            </w:pPr>
            <w:r>
              <w:t>0 – 550</w:t>
            </w:r>
          </w:p>
        </w:tc>
        <w:tc>
          <w:tcPr>
            <w:tcW w:w="2980" w:type="dxa"/>
          </w:tcPr>
          <w:p>
            <w:pPr>
              <w:pStyle w:val="GesAbsatz"/>
              <w:tabs>
                <w:tab w:val="clear" w:pos="425"/>
              </w:tabs>
              <w:jc w:val="center"/>
            </w:pPr>
            <w:r>
              <w:t>0 – 1 430</w:t>
            </w:r>
          </w:p>
        </w:tc>
        <w:tc>
          <w:tcPr>
            <w:tcW w:w="2407" w:type="dxa"/>
          </w:tcPr>
          <w:p>
            <w:pPr>
              <w:pStyle w:val="GesAbsatz"/>
              <w:tabs>
                <w:tab w:val="clear" w:pos="425"/>
              </w:tabs>
              <w:jc w:val="center"/>
            </w:pPr>
            <w:r>
              <w:t>mg/m²</w:t>
            </w:r>
          </w:p>
        </w:tc>
      </w:tr>
      <w:tr>
        <w:tc>
          <w:tcPr>
            <w:tcW w:w="1838" w:type="dxa"/>
          </w:tcPr>
          <w:p>
            <w:pPr>
              <w:pStyle w:val="GesAbsatz"/>
              <w:tabs>
                <w:tab w:val="clear" w:pos="425"/>
              </w:tabs>
              <w:jc w:val="center"/>
            </w:pPr>
            <w:r>
              <w:t>O</w:t>
            </w:r>
            <w:r>
              <w:rPr>
                <w:vertAlign w:val="subscript"/>
              </w:rPr>
              <w:t>2</w:t>
            </w:r>
          </w:p>
        </w:tc>
        <w:tc>
          <w:tcPr>
            <w:tcW w:w="2407" w:type="dxa"/>
          </w:tcPr>
          <w:p>
            <w:pPr>
              <w:pStyle w:val="GesAbsatz"/>
              <w:tabs>
                <w:tab w:val="clear" w:pos="425"/>
              </w:tabs>
              <w:jc w:val="center"/>
            </w:pPr>
            <w:r>
              <w:t>0 – 25</w:t>
            </w:r>
          </w:p>
        </w:tc>
        <w:tc>
          <w:tcPr>
            <w:tcW w:w="2980" w:type="dxa"/>
          </w:tcPr>
          <w:p>
            <w:pPr>
              <w:pStyle w:val="GesAbsatz"/>
              <w:tabs>
                <w:tab w:val="clear" w:pos="425"/>
              </w:tabs>
              <w:jc w:val="center"/>
            </w:pPr>
            <w:r>
              <w:t>–</w:t>
            </w:r>
          </w:p>
        </w:tc>
        <w:tc>
          <w:tcPr>
            <w:tcW w:w="2407" w:type="dxa"/>
          </w:tcPr>
          <w:p>
            <w:pPr>
              <w:pStyle w:val="GesAbsatz"/>
              <w:tabs>
                <w:tab w:val="clear" w:pos="425"/>
              </w:tabs>
              <w:jc w:val="center"/>
            </w:pPr>
            <w:r>
              <w:t>Vol.-%</w:t>
            </w:r>
          </w:p>
        </w:tc>
      </w:tr>
    </w:tbl>
    <w:p>
      <w:pPr>
        <w:pStyle w:val="GesAbsatz"/>
      </w:pPr>
    </w:p>
    <w:p>
      <w:pPr>
        <w:pStyle w:val="GesAbsatz"/>
      </w:pPr>
      <w:r>
        <w:t>Softwareversion:</w:t>
      </w:r>
    </w:p>
    <w:p>
      <w:pPr>
        <w:pStyle w:val="GesAbsatz"/>
      </w:pPr>
      <w:r>
        <w:t>QMA2000.P003.V05A.004</w:t>
      </w:r>
    </w:p>
    <w:p>
      <w:pPr>
        <w:pStyle w:val="GesAbsatz"/>
      </w:pPr>
      <w:r>
        <w:t>Einschränkungen:</w:t>
      </w:r>
    </w:p>
    <w:p>
      <w:pPr>
        <w:pStyle w:val="GesAbsatz"/>
      </w:pPr>
      <w:r>
        <w:t>Keine Hinweise:</w:t>
      </w:r>
    </w:p>
    <w:p>
      <w:pPr>
        <w:pStyle w:val="GesAbsatz"/>
      </w:pPr>
      <w:r>
        <w:t>1.</w:t>
      </w:r>
      <w:r>
        <w:tab/>
        <w:t>Das Wartungsintervall beträgt acht Tage.</w:t>
      </w:r>
    </w:p>
    <w:p>
      <w:pPr>
        <w:pStyle w:val="GesAbsatz"/>
        <w:ind w:left="425" w:hanging="425"/>
      </w:pPr>
      <w:r>
        <w:t>2.</w:t>
      </w:r>
      <w:r>
        <w:tab/>
        <w:t>Die Messeinrichtung führt alle vier Stunden einen automatischen Nullabgleich für die Komponenten NO und SO</w:t>
      </w:r>
      <w:r>
        <w:rPr>
          <w:vertAlign w:val="subscript"/>
        </w:rPr>
        <w:t>2</w:t>
      </w:r>
      <w:r>
        <w:t xml:space="preserve"> sowie einen Referenzpunktabgleich für O</w:t>
      </w:r>
      <w:r>
        <w:rPr>
          <w:vertAlign w:val="subscript"/>
        </w:rPr>
        <w:t>2</w:t>
      </w:r>
      <w:r>
        <w:t xml:space="preserve"> durch.</w:t>
      </w:r>
    </w:p>
    <w:p>
      <w:pPr>
        <w:pStyle w:val="GesAbsatz"/>
      </w:pPr>
      <w:r>
        <w:t xml:space="preserve">Prüfbericht: TÜV Rheinland </w:t>
      </w:r>
      <w:proofErr w:type="spellStart"/>
      <w:r>
        <w:t>Energy</w:t>
      </w:r>
      <w:proofErr w:type="spellEnd"/>
      <w:r>
        <w:t xml:space="preserve"> GmbH, Köln</w:t>
      </w:r>
    </w:p>
    <w:p>
      <w:pPr>
        <w:pStyle w:val="GesAbsatz"/>
      </w:pPr>
      <w:r>
        <w:t>Bericht-Nr.: 936/21230216/C vom 17. Februar 2020</w:t>
      </w:r>
    </w:p>
    <w:p>
      <w:pPr>
        <w:pStyle w:val="GesAbsatz"/>
        <w:rPr>
          <w:b/>
        </w:rPr>
      </w:pPr>
      <w:r>
        <w:rPr>
          <w:b/>
        </w:rPr>
        <w:t>4</w:t>
      </w:r>
      <w:r>
        <w:rPr>
          <w:b/>
        </w:rPr>
        <w:tab/>
        <w:t>Portable Messeinrichtungen</w:t>
      </w:r>
    </w:p>
    <w:p>
      <w:pPr>
        <w:pStyle w:val="GesAbsatz"/>
      </w:pPr>
      <w:r>
        <w:t>4.1</w:t>
      </w:r>
      <w:r>
        <w:tab/>
        <w:t>HORIBA PG-350 P-AMS für CO, NO</w:t>
      </w:r>
      <w:r>
        <w:rPr>
          <w:vertAlign w:val="subscript"/>
        </w:rPr>
        <w:t>x</w:t>
      </w:r>
      <w:r>
        <w:t>, CO</w:t>
      </w:r>
      <w:r>
        <w:rPr>
          <w:vertAlign w:val="subscript"/>
        </w:rPr>
        <w:t>2</w:t>
      </w:r>
      <w:r>
        <w:t xml:space="preserve"> und O</w:t>
      </w:r>
      <w:r>
        <w:rPr>
          <w:vertAlign w:val="subscript"/>
        </w:rPr>
        <w:t>2</w:t>
      </w:r>
    </w:p>
    <w:p>
      <w:pPr>
        <w:pStyle w:val="GesAbsatz"/>
      </w:pPr>
      <w:r>
        <w:t>Hersteller:</w:t>
      </w:r>
    </w:p>
    <w:p>
      <w:pPr>
        <w:pStyle w:val="GesAbsatz"/>
      </w:pPr>
      <w:r>
        <w:t>HORIBA Europe GmbH, Oberursel</w:t>
      </w:r>
    </w:p>
    <w:p>
      <w:pPr>
        <w:pStyle w:val="GesAbsatz"/>
      </w:pPr>
      <w:r>
        <w:t>Eignung:</w:t>
      </w:r>
    </w:p>
    <w:p>
      <w:pPr>
        <w:pStyle w:val="GesAbsatz"/>
      </w:pPr>
      <w:r>
        <w:t>Portable Messeinrichtung für wiederkehrende Messungen von Emissionen aus stationären Quellen und als Standard- referenzmessverfahren für die Kalibrierung und Validierung von stationären AMS im Rahmen der QAL2 und AST nach der DIN EN 14181 an genehmigungsbedürftigen Anlagen sowie an Anlagen der 27. und 44. BImSchV.</w:t>
      </w:r>
    </w:p>
    <w:p>
      <w:pPr>
        <w:pStyle w:val="GesAbsatz"/>
      </w:pPr>
      <w:r>
        <w:t>Messbereiche in der Eignungsprüfung:</w:t>
      </w:r>
    </w:p>
    <w:tbl>
      <w:tblPr>
        <w:tblStyle w:val="Tabellenraster"/>
        <w:tblW w:w="9638" w:type="dxa"/>
        <w:tblLook w:val="04A0" w:firstRow="1" w:lastRow="0" w:firstColumn="1" w:lastColumn="0" w:noHBand="0" w:noVBand="1"/>
      </w:tblPr>
      <w:tblGrid>
        <w:gridCol w:w="2407"/>
        <w:gridCol w:w="2407"/>
        <w:gridCol w:w="3119"/>
        <w:gridCol w:w="1705"/>
      </w:tblGrid>
      <w:tr>
        <w:tc>
          <w:tcPr>
            <w:tcW w:w="2407" w:type="dxa"/>
          </w:tcPr>
          <w:p>
            <w:pPr>
              <w:pStyle w:val="GesAbsatz"/>
              <w:tabs>
                <w:tab w:val="clear" w:pos="425"/>
              </w:tabs>
              <w:jc w:val="center"/>
            </w:pPr>
            <w:r>
              <w:t>Komponente</w:t>
            </w:r>
          </w:p>
        </w:tc>
        <w:tc>
          <w:tcPr>
            <w:tcW w:w="2407" w:type="dxa"/>
          </w:tcPr>
          <w:p>
            <w:pPr>
              <w:pStyle w:val="GesAbsatz"/>
              <w:tabs>
                <w:tab w:val="clear" w:pos="425"/>
              </w:tabs>
              <w:jc w:val="center"/>
            </w:pPr>
            <w:r>
              <w:t>Zertifizierungsbereich</w:t>
            </w:r>
          </w:p>
        </w:tc>
        <w:tc>
          <w:tcPr>
            <w:tcW w:w="3119" w:type="dxa"/>
          </w:tcPr>
          <w:p>
            <w:pPr>
              <w:pStyle w:val="GesAbsatz"/>
              <w:tabs>
                <w:tab w:val="clear" w:pos="425"/>
              </w:tabs>
              <w:jc w:val="center"/>
            </w:pPr>
            <w:r>
              <w:t>zusätzlicher Messbereich</w:t>
            </w:r>
          </w:p>
        </w:tc>
        <w:tc>
          <w:tcPr>
            <w:tcW w:w="1705" w:type="dxa"/>
          </w:tcPr>
          <w:p>
            <w:pPr>
              <w:pStyle w:val="GesAbsatz"/>
              <w:tabs>
                <w:tab w:val="clear" w:pos="425"/>
              </w:tabs>
              <w:jc w:val="center"/>
            </w:pPr>
            <w:r>
              <w:t>Einheit</w:t>
            </w:r>
          </w:p>
        </w:tc>
      </w:tr>
      <w:tr>
        <w:tc>
          <w:tcPr>
            <w:tcW w:w="2407" w:type="dxa"/>
          </w:tcPr>
          <w:p>
            <w:pPr>
              <w:pStyle w:val="GesAbsatz"/>
              <w:tabs>
                <w:tab w:val="clear" w:pos="425"/>
              </w:tabs>
              <w:jc w:val="center"/>
            </w:pPr>
            <w:r>
              <w:t>CO</w:t>
            </w:r>
          </w:p>
        </w:tc>
        <w:tc>
          <w:tcPr>
            <w:tcW w:w="2407" w:type="dxa"/>
          </w:tcPr>
          <w:p>
            <w:pPr>
              <w:pStyle w:val="GesAbsatz"/>
              <w:tabs>
                <w:tab w:val="clear" w:pos="425"/>
              </w:tabs>
              <w:jc w:val="center"/>
            </w:pPr>
            <w:r>
              <w:t>0 – 75</w:t>
            </w:r>
          </w:p>
        </w:tc>
        <w:tc>
          <w:tcPr>
            <w:tcW w:w="3119" w:type="dxa"/>
          </w:tcPr>
          <w:p>
            <w:pPr>
              <w:pStyle w:val="GesAbsatz"/>
              <w:tabs>
                <w:tab w:val="clear" w:pos="425"/>
              </w:tabs>
              <w:jc w:val="center"/>
            </w:pPr>
            <w:r>
              <w:t>0 – 6 250</w:t>
            </w:r>
          </w:p>
        </w:tc>
        <w:tc>
          <w:tcPr>
            <w:tcW w:w="1705" w:type="dxa"/>
          </w:tcPr>
          <w:p>
            <w:pPr>
              <w:pStyle w:val="GesAbsatz"/>
              <w:tabs>
                <w:tab w:val="clear" w:pos="425"/>
              </w:tabs>
              <w:jc w:val="center"/>
            </w:pPr>
            <w:r>
              <w:t>mg/m³</w:t>
            </w:r>
          </w:p>
        </w:tc>
      </w:tr>
      <w:tr>
        <w:tc>
          <w:tcPr>
            <w:tcW w:w="2407" w:type="dxa"/>
          </w:tcPr>
          <w:p>
            <w:pPr>
              <w:pStyle w:val="GesAbsatz"/>
              <w:tabs>
                <w:tab w:val="clear" w:pos="425"/>
              </w:tabs>
              <w:jc w:val="center"/>
              <w:rPr>
                <w:lang w:val="en-US"/>
              </w:rPr>
            </w:pPr>
            <w:r>
              <w:rPr>
                <w:lang w:val="en-US"/>
              </w:rPr>
              <w:t>NO</w:t>
            </w:r>
            <w:r>
              <w:rPr>
                <w:vertAlign w:val="subscript"/>
                <w:lang w:val="en-US"/>
              </w:rPr>
              <w:t>x</w:t>
            </w:r>
          </w:p>
        </w:tc>
        <w:tc>
          <w:tcPr>
            <w:tcW w:w="2407" w:type="dxa"/>
          </w:tcPr>
          <w:p>
            <w:pPr>
              <w:pStyle w:val="GesAbsatz"/>
              <w:tabs>
                <w:tab w:val="clear" w:pos="425"/>
              </w:tabs>
              <w:jc w:val="center"/>
              <w:rPr>
                <w:lang w:val="en-US"/>
              </w:rPr>
            </w:pPr>
            <w:r>
              <w:rPr>
                <w:lang w:val="en-US"/>
              </w:rPr>
              <w:t>0 – 102,5</w:t>
            </w:r>
            <w:r>
              <w:rPr>
                <w:vertAlign w:val="superscript"/>
                <w:lang w:val="en-US"/>
              </w:rPr>
              <w:t>1</w:t>
            </w:r>
          </w:p>
        </w:tc>
        <w:tc>
          <w:tcPr>
            <w:tcW w:w="3119" w:type="dxa"/>
          </w:tcPr>
          <w:p>
            <w:pPr>
              <w:pStyle w:val="GesAbsatz"/>
              <w:tabs>
                <w:tab w:val="clear" w:pos="425"/>
              </w:tabs>
              <w:jc w:val="center"/>
              <w:rPr>
                <w:lang w:val="en-US"/>
              </w:rPr>
            </w:pPr>
            <w:r>
              <w:rPr>
                <w:lang w:val="en-US"/>
              </w:rPr>
              <w:t>0 – 2 050</w:t>
            </w:r>
            <w:r>
              <w:rPr>
                <w:vertAlign w:val="superscript"/>
                <w:lang w:val="en-US"/>
              </w:rPr>
              <w:t>2</w:t>
            </w:r>
          </w:p>
        </w:tc>
        <w:tc>
          <w:tcPr>
            <w:tcW w:w="1705" w:type="dxa"/>
          </w:tcPr>
          <w:p>
            <w:pPr>
              <w:pStyle w:val="GesAbsatz"/>
              <w:tabs>
                <w:tab w:val="clear" w:pos="425"/>
              </w:tabs>
              <w:jc w:val="center"/>
              <w:rPr>
                <w:lang w:val="en-US"/>
              </w:rPr>
            </w:pPr>
            <w:r>
              <w:rPr>
                <w:lang w:val="en-US"/>
              </w:rPr>
              <w:t>mg/m³</w:t>
            </w:r>
          </w:p>
        </w:tc>
      </w:tr>
      <w:tr>
        <w:tc>
          <w:tcPr>
            <w:tcW w:w="2407" w:type="dxa"/>
          </w:tcPr>
          <w:p>
            <w:pPr>
              <w:pStyle w:val="GesAbsatz"/>
              <w:tabs>
                <w:tab w:val="clear" w:pos="425"/>
              </w:tabs>
              <w:jc w:val="center"/>
              <w:rPr>
                <w:lang w:val="en-US"/>
              </w:rPr>
            </w:pPr>
            <w:r>
              <w:rPr>
                <w:lang w:val="en-US"/>
              </w:rPr>
              <w:t>CO</w:t>
            </w:r>
            <w:r>
              <w:rPr>
                <w:vertAlign w:val="subscript"/>
                <w:lang w:val="en-US"/>
              </w:rPr>
              <w:t>2</w:t>
            </w:r>
          </w:p>
        </w:tc>
        <w:tc>
          <w:tcPr>
            <w:tcW w:w="2407" w:type="dxa"/>
          </w:tcPr>
          <w:p>
            <w:pPr>
              <w:pStyle w:val="GesAbsatz"/>
              <w:tabs>
                <w:tab w:val="clear" w:pos="425"/>
              </w:tabs>
              <w:jc w:val="center"/>
              <w:rPr>
                <w:lang w:val="en-US"/>
              </w:rPr>
            </w:pPr>
            <w:r>
              <w:rPr>
                <w:lang w:val="en-US"/>
              </w:rPr>
              <w:t>0 – 20</w:t>
            </w:r>
          </w:p>
        </w:tc>
        <w:tc>
          <w:tcPr>
            <w:tcW w:w="3119" w:type="dxa"/>
          </w:tcPr>
          <w:p>
            <w:pPr>
              <w:pStyle w:val="GesAbsatz"/>
              <w:tabs>
                <w:tab w:val="clear" w:pos="425"/>
              </w:tabs>
              <w:jc w:val="center"/>
              <w:rPr>
                <w:lang w:val="en-US"/>
              </w:rPr>
            </w:pPr>
            <w:r>
              <w:rPr>
                <w:lang w:val="en-US"/>
              </w:rPr>
              <w:t>–</w:t>
            </w:r>
          </w:p>
        </w:tc>
        <w:tc>
          <w:tcPr>
            <w:tcW w:w="1705" w:type="dxa"/>
          </w:tcPr>
          <w:p>
            <w:pPr>
              <w:pStyle w:val="GesAbsatz"/>
              <w:tabs>
                <w:tab w:val="clear" w:pos="425"/>
              </w:tabs>
              <w:jc w:val="center"/>
              <w:rPr>
                <w:lang w:val="en-US"/>
              </w:rPr>
            </w:pPr>
            <w:r>
              <w:rPr>
                <w:lang w:val="en-US"/>
              </w:rPr>
              <w:t>Vol.-%</w:t>
            </w:r>
          </w:p>
        </w:tc>
      </w:tr>
      <w:tr>
        <w:tc>
          <w:tcPr>
            <w:tcW w:w="2407" w:type="dxa"/>
          </w:tcPr>
          <w:p>
            <w:pPr>
              <w:pStyle w:val="GesAbsatz"/>
              <w:tabs>
                <w:tab w:val="clear" w:pos="425"/>
              </w:tabs>
              <w:jc w:val="center"/>
            </w:pPr>
            <w:r>
              <w:t>O</w:t>
            </w:r>
            <w:r>
              <w:rPr>
                <w:vertAlign w:val="subscript"/>
              </w:rPr>
              <w:t>2</w:t>
            </w:r>
          </w:p>
        </w:tc>
        <w:tc>
          <w:tcPr>
            <w:tcW w:w="2407" w:type="dxa"/>
          </w:tcPr>
          <w:p>
            <w:pPr>
              <w:pStyle w:val="GesAbsatz"/>
              <w:tabs>
                <w:tab w:val="clear" w:pos="425"/>
              </w:tabs>
              <w:jc w:val="center"/>
            </w:pPr>
            <w:r>
              <w:t>0 – 25</w:t>
            </w:r>
          </w:p>
        </w:tc>
        <w:tc>
          <w:tcPr>
            <w:tcW w:w="3119" w:type="dxa"/>
          </w:tcPr>
          <w:p>
            <w:pPr>
              <w:pStyle w:val="GesAbsatz"/>
              <w:tabs>
                <w:tab w:val="clear" w:pos="425"/>
              </w:tabs>
              <w:jc w:val="center"/>
            </w:pPr>
            <w:r>
              <w:t>0 – 10</w:t>
            </w:r>
          </w:p>
        </w:tc>
        <w:tc>
          <w:tcPr>
            <w:tcW w:w="1705" w:type="dxa"/>
          </w:tcPr>
          <w:p>
            <w:pPr>
              <w:pStyle w:val="GesAbsatz"/>
              <w:tabs>
                <w:tab w:val="clear" w:pos="425"/>
              </w:tabs>
              <w:jc w:val="center"/>
            </w:pPr>
            <w:r>
              <w:t>Vol.-%</w:t>
            </w:r>
          </w:p>
        </w:tc>
      </w:tr>
      <w:tr>
        <w:tc>
          <w:tcPr>
            <w:tcW w:w="9638" w:type="dxa"/>
            <w:gridSpan w:val="4"/>
          </w:tcPr>
          <w:p>
            <w:pPr>
              <w:pStyle w:val="GesAbsatz"/>
              <w:rPr>
                <w:sz w:val="16"/>
                <w:szCs w:val="16"/>
              </w:rPr>
            </w:pPr>
            <w:r>
              <w:rPr>
                <w:vertAlign w:val="superscript"/>
              </w:rPr>
              <w:t>1</w:t>
            </w:r>
            <w:r>
              <w:t xml:space="preserve"> </w:t>
            </w:r>
            <w:r>
              <w:rPr>
                <w:sz w:val="16"/>
                <w:szCs w:val="16"/>
              </w:rPr>
              <w:t>als NO</w:t>
            </w:r>
            <w:r>
              <w:rPr>
                <w:sz w:val="16"/>
                <w:szCs w:val="16"/>
                <w:vertAlign w:val="subscript"/>
              </w:rPr>
              <w:t>2</w:t>
            </w:r>
            <w:r>
              <w:rPr>
                <w:sz w:val="16"/>
                <w:szCs w:val="16"/>
              </w:rPr>
              <w:t>, dies entspricht ca. 0 – 67 mg/m³ NO</w:t>
            </w:r>
          </w:p>
          <w:p>
            <w:pPr>
              <w:pStyle w:val="GesAbsatz"/>
              <w:tabs>
                <w:tab w:val="clear" w:pos="425"/>
              </w:tabs>
            </w:pPr>
            <w:r>
              <w:rPr>
                <w:vertAlign w:val="superscript"/>
              </w:rPr>
              <w:t>2</w:t>
            </w:r>
            <w:r>
              <w:t xml:space="preserve"> </w:t>
            </w:r>
            <w:r>
              <w:rPr>
                <w:sz w:val="16"/>
                <w:szCs w:val="16"/>
              </w:rPr>
              <w:t>als NO</w:t>
            </w:r>
            <w:r>
              <w:rPr>
                <w:sz w:val="16"/>
                <w:szCs w:val="16"/>
                <w:vertAlign w:val="subscript"/>
              </w:rPr>
              <w:t>2</w:t>
            </w:r>
            <w:r>
              <w:rPr>
                <w:sz w:val="16"/>
                <w:szCs w:val="16"/>
              </w:rPr>
              <w:t>, dies entspricht ca. 0 – 1 340 mg/m³ NO</w:t>
            </w:r>
          </w:p>
        </w:tc>
      </w:tr>
    </w:tbl>
    <w:p>
      <w:pPr>
        <w:pStyle w:val="GesAbsatz"/>
      </w:pPr>
    </w:p>
    <w:p>
      <w:pPr>
        <w:pStyle w:val="GesAbsatz"/>
      </w:pPr>
      <w:r>
        <w:t>Softwareversion:</w:t>
      </w:r>
    </w:p>
    <w:p>
      <w:pPr>
        <w:pStyle w:val="GesAbsatz"/>
      </w:pPr>
      <w:r>
        <w:t>P20007880001F/1.19</w:t>
      </w:r>
    </w:p>
    <w:p>
      <w:pPr>
        <w:pStyle w:val="GesAbsatz"/>
      </w:pPr>
      <w:r>
        <w:t>Einschränkungen:</w:t>
      </w:r>
    </w:p>
    <w:p>
      <w:pPr>
        <w:pStyle w:val="GesAbsatz"/>
      </w:pPr>
      <w:r>
        <w:t>Keine</w:t>
      </w:r>
    </w:p>
    <w:p>
      <w:pPr>
        <w:pStyle w:val="GesAbsatz"/>
      </w:pPr>
      <w:r>
        <w:t>Hinweis:</w:t>
      </w:r>
    </w:p>
    <w:p>
      <w:pPr>
        <w:pStyle w:val="GesAbsatz"/>
      </w:pPr>
      <w:r>
        <w:t>Bei Schwankungen der Außentemperatur von mehr als 6 °C bei der Messdurchführung ist vor Ort zu prüfen ob die Messunsicherheiten noch eingehalten werden.</w:t>
      </w:r>
    </w:p>
    <w:p>
      <w:pPr>
        <w:pStyle w:val="GesAbsatz"/>
      </w:pPr>
      <w:r>
        <w:t xml:space="preserve">Prüfbericht: TÜV Rheinland </w:t>
      </w:r>
      <w:proofErr w:type="spellStart"/>
      <w:r>
        <w:t>Energy</w:t>
      </w:r>
      <w:proofErr w:type="spellEnd"/>
      <w:r>
        <w:t xml:space="preserve"> GmbH, Köln</w:t>
      </w:r>
    </w:p>
    <w:p>
      <w:pPr>
        <w:pStyle w:val="GesAbsatz"/>
      </w:pPr>
      <w:r>
        <w:lastRenderedPageBreak/>
        <w:t>Bericht-Nr.: 936/21245114/A vom 13. Februar 2020</w:t>
      </w:r>
    </w:p>
    <w:p>
      <w:pPr>
        <w:pStyle w:val="GesAbsatz"/>
        <w:rPr>
          <w:lang w:val="en-US"/>
        </w:rPr>
      </w:pPr>
      <w:r>
        <w:rPr>
          <w:lang w:val="en-US"/>
        </w:rPr>
        <w:t>4.2</w:t>
      </w:r>
      <w:r>
        <w:rPr>
          <w:lang w:val="en-US"/>
        </w:rPr>
        <w:tab/>
      </w:r>
      <w:proofErr w:type="spellStart"/>
      <w:r>
        <w:rPr>
          <w:lang w:val="en-US"/>
        </w:rPr>
        <w:t>MGAprime</w:t>
      </w:r>
      <w:proofErr w:type="spellEnd"/>
      <w:r>
        <w:rPr>
          <w:lang w:val="en-US"/>
        </w:rPr>
        <w:t xml:space="preserve"> Q </w:t>
      </w:r>
      <w:proofErr w:type="spellStart"/>
      <w:r>
        <w:rPr>
          <w:lang w:val="en-US"/>
        </w:rPr>
        <w:t>für</w:t>
      </w:r>
      <w:proofErr w:type="spellEnd"/>
      <w:r>
        <w:rPr>
          <w:lang w:val="en-US"/>
        </w:rPr>
        <w:t xml:space="preserve"> CO, NO, NO</w:t>
      </w:r>
      <w:r>
        <w:rPr>
          <w:vertAlign w:val="subscript"/>
          <w:lang w:val="en-US"/>
        </w:rPr>
        <w:t>2</w:t>
      </w:r>
      <w:r>
        <w:rPr>
          <w:lang w:val="en-US"/>
        </w:rPr>
        <w:t>, CO</w:t>
      </w:r>
      <w:r>
        <w:rPr>
          <w:vertAlign w:val="subscript"/>
          <w:lang w:val="en-US"/>
        </w:rPr>
        <w:t>2</w:t>
      </w:r>
      <w:r>
        <w:rPr>
          <w:lang w:val="en-US"/>
        </w:rPr>
        <w:t xml:space="preserve"> und O</w:t>
      </w:r>
      <w:r>
        <w:rPr>
          <w:vertAlign w:val="subscript"/>
          <w:lang w:val="en-US"/>
        </w:rPr>
        <w:t>2</w:t>
      </w:r>
    </w:p>
    <w:p>
      <w:pPr>
        <w:pStyle w:val="GesAbsatz"/>
      </w:pPr>
      <w:r>
        <w:t>Hersteller:</w:t>
      </w:r>
    </w:p>
    <w:p>
      <w:pPr>
        <w:pStyle w:val="GesAbsatz"/>
      </w:pPr>
      <w:r>
        <w:t>MRU GmbH, Neckarsulm</w:t>
      </w:r>
    </w:p>
    <w:p>
      <w:pPr>
        <w:pStyle w:val="GesAbsatz"/>
      </w:pPr>
      <w:r>
        <w:t>Eignung:</w:t>
      </w:r>
    </w:p>
    <w:p>
      <w:pPr>
        <w:pStyle w:val="GesAbsatz"/>
      </w:pPr>
      <w:r>
        <w:t>Portable Messeinrichtung für wiederkehrende Messungen von Emissionen aus stationären Quellen der 13. und 44. BImSchV sowie TA-Luft und als Alternativverfahren zum Standardreferenzmessverfahren für die Kalibrierung und Validierung von stationären AMS im Rahmen der QAL2 und AST nach der DIN EN 14181.</w:t>
      </w:r>
    </w:p>
    <w:p>
      <w:pPr>
        <w:pStyle w:val="GesAbsatz"/>
      </w:pPr>
      <w:r>
        <w:t>Messbereiche in der Eignungsprüfung:</w:t>
      </w:r>
    </w:p>
    <w:p>
      <w:pPr>
        <w:pStyle w:val="GesAbsatz"/>
      </w:pPr>
    </w:p>
    <w:tbl>
      <w:tblPr>
        <w:tblStyle w:val="Tabellenraster"/>
        <w:tblW w:w="9632" w:type="dxa"/>
        <w:tblLook w:val="04A0" w:firstRow="1" w:lastRow="0" w:firstColumn="1" w:lastColumn="0" w:noHBand="0" w:noVBand="1"/>
      </w:tblPr>
      <w:tblGrid>
        <w:gridCol w:w="1838"/>
        <w:gridCol w:w="2407"/>
        <w:gridCol w:w="2980"/>
        <w:gridCol w:w="2407"/>
      </w:tblGrid>
      <w:tr>
        <w:tc>
          <w:tcPr>
            <w:tcW w:w="1838" w:type="dxa"/>
          </w:tcPr>
          <w:p>
            <w:pPr>
              <w:pStyle w:val="GesAbsatz"/>
              <w:tabs>
                <w:tab w:val="clear" w:pos="425"/>
              </w:tabs>
              <w:jc w:val="center"/>
            </w:pPr>
            <w:r>
              <w:t>Komponente</w:t>
            </w:r>
          </w:p>
        </w:tc>
        <w:tc>
          <w:tcPr>
            <w:tcW w:w="2407" w:type="dxa"/>
          </w:tcPr>
          <w:p>
            <w:pPr>
              <w:pStyle w:val="GesAbsatz"/>
              <w:tabs>
                <w:tab w:val="clear" w:pos="425"/>
              </w:tabs>
              <w:jc w:val="center"/>
            </w:pPr>
            <w:r>
              <w:t>Zertifizierungsbereich</w:t>
            </w:r>
          </w:p>
        </w:tc>
        <w:tc>
          <w:tcPr>
            <w:tcW w:w="2980" w:type="dxa"/>
          </w:tcPr>
          <w:p>
            <w:pPr>
              <w:pStyle w:val="GesAbsatz"/>
              <w:tabs>
                <w:tab w:val="clear" w:pos="425"/>
              </w:tabs>
              <w:jc w:val="center"/>
            </w:pPr>
            <w:r>
              <w:t>zusätzlicher Messbereich</w:t>
            </w:r>
          </w:p>
        </w:tc>
        <w:tc>
          <w:tcPr>
            <w:tcW w:w="2407" w:type="dxa"/>
          </w:tcPr>
          <w:p>
            <w:pPr>
              <w:pStyle w:val="GesAbsatz"/>
              <w:tabs>
                <w:tab w:val="clear" w:pos="425"/>
              </w:tabs>
              <w:jc w:val="center"/>
            </w:pPr>
            <w:r>
              <w:t>Einheit</w:t>
            </w:r>
          </w:p>
        </w:tc>
      </w:tr>
      <w:tr>
        <w:tc>
          <w:tcPr>
            <w:tcW w:w="1838" w:type="dxa"/>
          </w:tcPr>
          <w:p>
            <w:pPr>
              <w:pStyle w:val="GesAbsatz"/>
              <w:tabs>
                <w:tab w:val="clear" w:pos="425"/>
              </w:tabs>
              <w:jc w:val="center"/>
              <w:rPr>
                <w:lang w:val="en-US"/>
              </w:rPr>
            </w:pPr>
            <w:r>
              <w:rPr>
                <w:lang w:val="en-US"/>
              </w:rPr>
              <w:t>CO</w:t>
            </w:r>
          </w:p>
        </w:tc>
        <w:tc>
          <w:tcPr>
            <w:tcW w:w="2407" w:type="dxa"/>
          </w:tcPr>
          <w:p>
            <w:pPr>
              <w:pStyle w:val="GesAbsatz"/>
              <w:tabs>
                <w:tab w:val="clear" w:pos="425"/>
              </w:tabs>
              <w:jc w:val="center"/>
              <w:rPr>
                <w:lang w:val="en-US"/>
              </w:rPr>
            </w:pPr>
            <w:r>
              <w:rPr>
                <w:lang w:val="en-US"/>
              </w:rPr>
              <w:t>0 – 220</w:t>
            </w:r>
          </w:p>
        </w:tc>
        <w:tc>
          <w:tcPr>
            <w:tcW w:w="2980" w:type="dxa"/>
          </w:tcPr>
          <w:p>
            <w:pPr>
              <w:pStyle w:val="GesAbsatz"/>
              <w:tabs>
                <w:tab w:val="clear" w:pos="425"/>
              </w:tabs>
              <w:jc w:val="center"/>
              <w:rPr>
                <w:lang w:val="en-US"/>
              </w:rPr>
            </w:pPr>
            <w:r>
              <w:rPr>
                <w:lang w:val="en-US"/>
              </w:rPr>
              <w:t>0 – 3 750</w:t>
            </w:r>
          </w:p>
        </w:tc>
        <w:tc>
          <w:tcPr>
            <w:tcW w:w="2407" w:type="dxa"/>
          </w:tcPr>
          <w:p>
            <w:pPr>
              <w:pStyle w:val="GesAbsatz"/>
              <w:tabs>
                <w:tab w:val="clear" w:pos="425"/>
              </w:tabs>
              <w:jc w:val="center"/>
              <w:rPr>
                <w:lang w:val="en-US"/>
              </w:rPr>
            </w:pPr>
            <w:r>
              <w:rPr>
                <w:lang w:val="en-US"/>
              </w:rPr>
              <w:t>mg/m³</w:t>
            </w:r>
          </w:p>
        </w:tc>
      </w:tr>
      <w:tr>
        <w:tc>
          <w:tcPr>
            <w:tcW w:w="1838" w:type="dxa"/>
          </w:tcPr>
          <w:p>
            <w:pPr>
              <w:pStyle w:val="GesAbsatz"/>
              <w:tabs>
                <w:tab w:val="clear" w:pos="425"/>
              </w:tabs>
              <w:jc w:val="center"/>
              <w:rPr>
                <w:lang w:val="en-US"/>
              </w:rPr>
            </w:pPr>
            <w:r>
              <w:rPr>
                <w:lang w:val="en-US"/>
              </w:rPr>
              <w:t>NO</w:t>
            </w:r>
          </w:p>
        </w:tc>
        <w:tc>
          <w:tcPr>
            <w:tcW w:w="2407" w:type="dxa"/>
          </w:tcPr>
          <w:p>
            <w:pPr>
              <w:pStyle w:val="GesAbsatz"/>
              <w:tabs>
                <w:tab w:val="clear" w:pos="425"/>
              </w:tabs>
              <w:jc w:val="center"/>
              <w:rPr>
                <w:lang w:val="en-US"/>
              </w:rPr>
            </w:pPr>
            <w:r>
              <w:rPr>
                <w:lang w:val="en-US"/>
              </w:rPr>
              <w:t>0 – 270</w:t>
            </w:r>
          </w:p>
        </w:tc>
        <w:tc>
          <w:tcPr>
            <w:tcW w:w="2980" w:type="dxa"/>
          </w:tcPr>
          <w:p>
            <w:pPr>
              <w:pStyle w:val="GesAbsatz"/>
              <w:tabs>
                <w:tab w:val="clear" w:pos="425"/>
              </w:tabs>
              <w:jc w:val="center"/>
              <w:rPr>
                <w:lang w:val="en-US"/>
              </w:rPr>
            </w:pPr>
            <w:r>
              <w:rPr>
                <w:lang w:val="en-US"/>
              </w:rPr>
              <w:t>0 – 2 680</w:t>
            </w:r>
          </w:p>
        </w:tc>
        <w:tc>
          <w:tcPr>
            <w:tcW w:w="2407" w:type="dxa"/>
          </w:tcPr>
          <w:p>
            <w:pPr>
              <w:pStyle w:val="GesAbsatz"/>
              <w:tabs>
                <w:tab w:val="clear" w:pos="425"/>
              </w:tabs>
              <w:jc w:val="center"/>
              <w:rPr>
                <w:lang w:val="en-US"/>
              </w:rPr>
            </w:pPr>
            <w:r>
              <w:rPr>
                <w:lang w:val="en-US"/>
              </w:rPr>
              <w:t>mg/m³</w:t>
            </w:r>
          </w:p>
        </w:tc>
      </w:tr>
      <w:tr>
        <w:tc>
          <w:tcPr>
            <w:tcW w:w="1838" w:type="dxa"/>
          </w:tcPr>
          <w:p>
            <w:pPr>
              <w:pStyle w:val="GesAbsatz"/>
              <w:tabs>
                <w:tab w:val="clear" w:pos="425"/>
              </w:tabs>
              <w:jc w:val="center"/>
              <w:rPr>
                <w:lang w:val="en-US"/>
              </w:rPr>
            </w:pPr>
            <w:r>
              <w:rPr>
                <w:lang w:val="en-US"/>
              </w:rPr>
              <w:t>CO</w:t>
            </w:r>
            <w:r>
              <w:rPr>
                <w:vertAlign w:val="subscript"/>
                <w:lang w:val="en-US"/>
              </w:rPr>
              <w:t>2</w:t>
            </w:r>
          </w:p>
        </w:tc>
        <w:tc>
          <w:tcPr>
            <w:tcW w:w="2407" w:type="dxa"/>
          </w:tcPr>
          <w:p>
            <w:pPr>
              <w:pStyle w:val="GesAbsatz"/>
              <w:tabs>
                <w:tab w:val="clear" w:pos="425"/>
              </w:tabs>
              <w:jc w:val="center"/>
              <w:rPr>
                <w:lang w:val="en-US"/>
              </w:rPr>
            </w:pPr>
            <w:r>
              <w:rPr>
                <w:lang w:val="en-US"/>
              </w:rPr>
              <w:t>0 – 20</w:t>
            </w:r>
          </w:p>
        </w:tc>
        <w:tc>
          <w:tcPr>
            <w:tcW w:w="2980" w:type="dxa"/>
          </w:tcPr>
          <w:p>
            <w:pPr>
              <w:pStyle w:val="GesAbsatz"/>
              <w:tabs>
                <w:tab w:val="clear" w:pos="425"/>
              </w:tabs>
              <w:jc w:val="center"/>
              <w:rPr>
                <w:lang w:val="en-US"/>
              </w:rPr>
            </w:pPr>
            <w:r>
              <w:rPr>
                <w:lang w:val="en-US"/>
              </w:rPr>
              <w:t>–</w:t>
            </w:r>
          </w:p>
        </w:tc>
        <w:tc>
          <w:tcPr>
            <w:tcW w:w="2407" w:type="dxa"/>
          </w:tcPr>
          <w:p>
            <w:pPr>
              <w:pStyle w:val="GesAbsatz"/>
              <w:tabs>
                <w:tab w:val="clear" w:pos="425"/>
              </w:tabs>
              <w:jc w:val="center"/>
              <w:rPr>
                <w:lang w:val="en-US"/>
              </w:rPr>
            </w:pPr>
            <w:r>
              <w:rPr>
                <w:lang w:val="en-US"/>
              </w:rPr>
              <w:t>Vol.-%</w:t>
            </w:r>
          </w:p>
        </w:tc>
      </w:tr>
      <w:tr>
        <w:tc>
          <w:tcPr>
            <w:tcW w:w="1838" w:type="dxa"/>
          </w:tcPr>
          <w:p>
            <w:pPr>
              <w:pStyle w:val="GesAbsatz"/>
              <w:tabs>
                <w:tab w:val="clear" w:pos="425"/>
              </w:tabs>
              <w:jc w:val="center"/>
              <w:rPr>
                <w:lang w:val="en-US"/>
              </w:rPr>
            </w:pPr>
            <w:r>
              <w:rPr>
                <w:lang w:val="en-US"/>
              </w:rPr>
              <w:t>O</w:t>
            </w:r>
            <w:r>
              <w:rPr>
                <w:vertAlign w:val="subscript"/>
                <w:lang w:val="en-US"/>
              </w:rPr>
              <w:t>2</w:t>
            </w:r>
          </w:p>
        </w:tc>
        <w:tc>
          <w:tcPr>
            <w:tcW w:w="2407" w:type="dxa"/>
          </w:tcPr>
          <w:p>
            <w:pPr>
              <w:pStyle w:val="GesAbsatz"/>
              <w:tabs>
                <w:tab w:val="clear" w:pos="425"/>
              </w:tabs>
              <w:jc w:val="center"/>
              <w:rPr>
                <w:lang w:val="en-US"/>
              </w:rPr>
            </w:pPr>
            <w:r>
              <w:rPr>
                <w:lang w:val="en-US"/>
              </w:rPr>
              <w:t>0 – 25</w:t>
            </w:r>
          </w:p>
        </w:tc>
        <w:tc>
          <w:tcPr>
            <w:tcW w:w="2980" w:type="dxa"/>
          </w:tcPr>
          <w:p>
            <w:pPr>
              <w:pStyle w:val="GesAbsatz"/>
              <w:tabs>
                <w:tab w:val="clear" w:pos="425"/>
              </w:tabs>
              <w:jc w:val="center"/>
              <w:rPr>
                <w:lang w:val="en-US"/>
              </w:rPr>
            </w:pPr>
            <w:r>
              <w:rPr>
                <w:lang w:val="en-US"/>
              </w:rPr>
              <w:t>–</w:t>
            </w:r>
          </w:p>
        </w:tc>
        <w:tc>
          <w:tcPr>
            <w:tcW w:w="2407" w:type="dxa"/>
          </w:tcPr>
          <w:p>
            <w:pPr>
              <w:pStyle w:val="GesAbsatz"/>
              <w:tabs>
                <w:tab w:val="clear" w:pos="425"/>
              </w:tabs>
              <w:jc w:val="center"/>
              <w:rPr>
                <w:lang w:val="en-US"/>
              </w:rPr>
            </w:pPr>
            <w:r>
              <w:rPr>
                <w:lang w:val="en-US"/>
              </w:rPr>
              <w:t>Vol.-%</w:t>
            </w:r>
          </w:p>
        </w:tc>
      </w:tr>
    </w:tbl>
    <w:p>
      <w:pPr>
        <w:pStyle w:val="GesAbsatz"/>
        <w:rPr>
          <w:lang w:val="en-US"/>
        </w:rPr>
      </w:pPr>
    </w:p>
    <w:p>
      <w:pPr>
        <w:pStyle w:val="GesAbsatz"/>
        <w:rPr>
          <w:lang w:val="en-US"/>
        </w:rPr>
      </w:pPr>
      <w:proofErr w:type="spellStart"/>
      <w:r>
        <w:rPr>
          <w:lang w:val="en-US"/>
        </w:rPr>
        <w:t>Softwareversion</w:t>
      </w:r>
      <w:proofErr w:type="spellEnd"/>
      <w:r>
        <w:rPr>
          <w:lang w:val="en-US"/>
        </w:rPr>
        <w:t>:</w:t>
      </w:r>
    </w:p>
    <w:p>
      <w:pPr>
        <w:pStyle w:val="GesAbsatz"/>
      </w:pPr>
      <w:r>
        <w:t>v.1.001.029</w:t>
      </w:r>
    </w:p>
    <w:p>
      <w:pPr>
        <w:pStyle w:val="GesAbsatz"/>
      </w:pPr>
      <w:r>
        <w:t>Einschränkungen:</w:t>
      </w:r>
    </w:p>
    <w:p>
      <w:pPr>
        <w:pStyle w:val="GesAbsatz"/>
      </w:pPr>
      <w:r>
        <w:t>Keine</w:t>
      </w:r>
    </w:p>
    <w:p>
      <w:pPr>
        <w:pStyle w:val="GesAbsatz"/>
      </w:pPr>
      <w:r>
        <w:t>Hinweise:</w:t>
      </w:r>
    </w:p>
    <w:p>
      <w:pPr>
        <w:pStyle w:val="GesAbsatz"/>
        <w:ind w:left="425" w:hanging="425"/>
      </w:pPr>
      <w:r>
        <w:t>1.</w:t>
      </w:r>
      <w:r>
        <w:tab/>
        <w:t xml:space="preserve">Zum Betrieb der P-AMS ist die </w:t>
      </w:r>
      <w:proofErr w:type="spellStart"/>
      <w:r>
        <w:t>Eindüsung</w:t>
      </w:r>
      <w:proofErr w:type="spellEnd"/>
      <w:r>
        <w:t xml:space="preserve"> von 10 %-Phosphorsäure in den Kühler des Geräts, mit den vom Hersteller bereitgestellten Pumpen erforderlich.</w:t>
      </w:r>
    </w:p>
    <w:p>
      <w:pPr>
        <w:pStyle w:val="GesAbsatz"/>
        <w:ind w:left="425" w:hanging="425"/>
      </w:pPr>
      <w:r>
        <w:t>2.</w:t>
      </w:r>
      <w:r>
        <w:tab/>
        <w:t>Bei Schwankungen der Außentemperatur von mehr als 6 °C bei der Messdurchführung ist vor Ort zu prüfen ob die Messunsicherheiten noch eingehalten werden.</w:t>
      </w:r>
    </w:p>
    <w:p>
      <w:pPr>
        <w:pStyle w:val="berschrift2"/>
      </w:pPr>
      <w:bookmarkStart w:id="3" w:name="_Toc56061741"/>
      <w:r>
        <w:t>II.</w:t>
      </w:r>
      <w:r>
        <w:br/>
        <w:t>Mitteilungen zur Bundeseinheitlichen Praxis bei der Überwachung</w:t>
      </w:r>
      <w:r>
        <w:br/>
        <w:t>von Emissionen und Immissionen</w:t>
      </w:r>
      <w:bookmarkEnd w:id="3"/>
    </w:p>
    <w:p>
      <w:pPr>
        <w:pStyle w:val="GesAbsatz"/>
        <w:ind w:left="426" w:hanging="426"/>
        <w:rPr>
          <w:b/>
        </w:rPr>
      </w:pPr>
      <w:r>
        <w:rPr>
          <w:b/>
        </w:rPr>
        <w:t>1</w:t>
      </w:r>
      <w:r>
        <w:rPr>
          <w:b/>
        </w:rPr>
        <w:tab/>
        <w:t>Mitteilung zu den Bekanntmachungen des Umweltbundesamtes vom 17. Juli 2014 (BAnz AT 05.08.2014 B11, Kapitel III Nummer 2.1) und vom 13. Juli 2017 (BAnz AT 31.07.2017 B12, Kapitel II, 34. Mitteilung)</w:t>
      </w:r>
    </w:p>
    <w:p>
      <w:pPr>
        <w:pStyle w:val="GesAbsatz"/>
      </w:pPr>
      <w:r>
        <w:t xml:space="preserve">Die aktuelle Softwareversion für die Messeinrichtung Air Pollution Monitor 2 (APM-2) für Schwebstaub PM2,5 und PM10 der Firma </w:t>
      </w:r>
      <w:proofErr w:type="spellStart"/>
      <w:r>
        <w:t>Comde-Derenda</w:t>
      </w:r>
      <w:proofErr w:type="spellEnd"/>
      <w:r>
        <w:t xml:space="preserve"> GmbH lautet:</w:t>
      </w:r>
    </w:p>
    <w:p>
      <w:pPr>
        <w:pStyle w:val="GesAbsatz"/>
      </w:pPr>
      <w:r>
        <w:t>3.08.001</w:t>
      </w:r>
    </w:p>
    <w:p>
      <w:pPr>
        <w:pStyle w:val="GesAbsatz"/>
      </w:pPr>
      <w:r>
        <w:t xml:space="preserve">Für die Eingangsschaltung wird zukünftig der Hardwarestand 5.4 verwendet. Stellungnahme der TÜV Rheinland </w:t>
      </w:r>
      <w:proofErr w:type="spellStart"/>
      <w:r>
        <w:t>Energy</w:t>
      </w:r>
      <w:proofErr w:type="spellEnd"/>
      <w:r>
        <w:t xml:space="preserve"> GmbH vom 4. Mai 2020</w:t>
      </w:r>
    </w:p>
    <w:p>
      <w:pPr>
        <w:pStyle w:val="GesAbsatz"/>
        <w:ind w:left="425" w:hanging="425"/>
        <w:rPr>
          <w:b/>
        </w:rPr>
      </w:pPr>
      <w:r>
        <w:rPr>
          <w:b/>
        </w:rPr>
        <w:t>2</w:t>
      </w:r>
      <w:r>
        <w:rPr>
          <w:b/>
        </w:rPr>
        <w:tab/>
        <w:t>Mitteilung zu den Bekanntmachungen des Umweltbundesamtes vom 22. Februar 2017 (BAnz AT 15.03.2017 B6, Kapitel II Nummer 1.1) und vom 24. Februar 2020 (BAnz AT 24.03.2020 B7, Kapitel IV, 23. Mitteilung)</w:t>
      </w:r>
    </w:p>
    <w:p>
      <w:pPr>
        <w:pStyle w:val="GesAbsatz"/>
      </w:pPr>
      <w:r>
        <w:t>Die Messeinrichtung OXITEC 5000+ der Firma ENOTEC GmbH kann jetzt mit einem zusätzlichen Verdrängungskörper im Filterkopf ausgestattet werden.</w:t>
      </w:r>
    </w:p>
    <w:p>
      <w:pPr>
        <w:pStyle w:val="GesAbsatz"/>
      </w:pPr>
      <w:r>
        <w:t>Das Außenrohr des Filterkopfes kann auch in einer vergrößerten Variante zur besseren Wärmeisolierung eingesetzt werden.</w:t>
      </w:r>
    </w:p>
    <w:p>
      <w:pPr>
        <w:pStyle w:val="GesAbsatz"/>
      </w:pPr>
      <w:r>
        <w:t xml:space="preserve">Stellungnahme der TÜV Rheinland </w:t>
      </w:r>
      <w:proofErr w:type="spellStart"/>
      <w:r>
        <w:t>Energy</w:t>
      </w:r>
      <w:proofErr w:type="spellEnd"/>
      <w:r>
        <w:t xml:space="preserve"> GmbH vom 26. Februar 2020</w:t>
      </w:r>
    </w:p>
    <w:p>
      <w:pPr>
        <w:pStyle w:val="GesAbsatz"/>
        <w:ind w:left="425" w:hanging="425"/>
        <w:rPr>
          <w:b/>
        </w:rPr>
      </w:pPr>
      <w:r>
        <w:rPr>
          <w:b/>
        </w:rPr>
        <w:t>3</w:t>
      </w:r>
      <w:r>
        <w:rPr>
          <w:b/>
        </w:rPr>
        <w:tab/>
        <w:t>Mitteilung zu den Bekanntmachungen des Umweltbundesamtes vom 27. Februar 2014 (BAnz AT 01.04.2014 B12, Kapitel III Nummer 1.1) und vom 13. Juli 2017 (BAnz AT 31.07.2017 B12, Kapitel II, 15. Mitteilung)</w:t>
      </w:r>
    </w:p>
    <w:p>
      <w:pPr>
        <w:pStyle w:val="GesAbsatz"/>
      </w:pPr>
      <w:r>
        <w:lastRenderedPageBreak/>
        <w:t>Die aktuelle Softwareversion der Langzeitprobenahmeeinrichtung AMESA-D für Dioxine/Furane der Firma ENVEA Deutschland lautet:</w:t>
      </w:r>
    </w:p>
    <w:p>
      <w:pPr>
        <w:pStyle w:val="GesAbsatz"/>
      </w:pPr>
      <w:r>
        <w:t>P86.021.3</w:t>
      </w:r>
    </w:p>
    <w:p>
      <w:pPr>
        <w:pStyle w:val="GesAbsatz"/>
      </w:pPr>
      <w:r>
        <w:t>Der Halter für den Dioxin-Feinfilter wurde überarbeitet. Der Filter ist jetzt in einem wiederverwendbaren Titanhalter untergebracht.</w:t>
      </w:r>
    </w:p>
    <w:p>
      <w:pPr>
        <w:pStyle w:val="GesAbsatz"/>
      </w:pPr>
      <w:r>
        <w:t xml:space="preserve">Stellungnahme der TÜV Rheinland </w:t>
      </w:r>
      <w:proofErr w:type="spellStart"/>
      <w:r>
        <w:t>Energy</w:t>
      </w:r>
      <w:proofErr w:type="spellEnd"/>
      <w:r>
        <w:t xml:space="preserve"> GmbH vom 20. Februar 2018</w:t>
      </w:r>
    </w:p>
    <w:p>
      <w:pPr>
        <w:pStyle w:val="GesAbsatz"/>
        <w:ind w:left="425" w:hanging="425"/>
        <w:rPr>
          <w:b/>
        </w:rPr>
      </w:pPr>
      <w:r>
        <w:rPr>
          <w:b/>
        </w:rPr>
        <w:t>4</w:t>
      </w:r>
      <w:r>
        <w:rPr>
          <w:b/>
        </w:rPr>
        <w:tab/>
        <w:t>Mitteilung zu den Bekanntmachungen des Umweltbundesamtes vom 12. Februar 2013 (BAnz AT 05.03.2013 B10, Kapitel I Nummer 1.1) und vom 24. Februar 2020 (BAnz AT 24.03.2020 B7, Kapitel IV, 40. Mitteilung)</w:t>
      </w:r>
    </w:p>
    <w:p>
      <w:pPr>
        <w:pStyle w:val="GesAbsatz"/>
      </w:pPr>
      <w:r>
        <w:t xml:space="preserve">Die Messeinrichtung PCME QAL 181 für Gesamtstaub der Firma ENVEA UK Ltd. kann optional mit der Kontrolleinheit </w:t>
      </w:r>
      <w:proofErr w:type="spellStart"/>
      <w:r>
        <w:t>netController</w:t>
      </w:r>
      <w:proofErr w:type="spellEnd"/>
      <w:r>
        <w:t xml:space="preserve"> betrieben werden.</w:t>
      </w:r>
    </w:p>
    <w:p>
      <w:pPr>
        <w:pStyle w:val="GesAbsatz"/>
      </w:pPr>
      <w:r>
        <w:t xml:space="preserve">Die Softwareversion des </w:t>
      </w:r>
      <w:proofErr w:type="spellStart"/>
      <w:r>
        <w:t>netControllers</w:t>
      </w:r>
      <w:proofErr w:type="spellEnd"/>
      <w:r>
        <w:t xml:space="preserve"> lautet:</w:t>
      </w:r>
    </w:p>
    <w:p>
      <w:pPr>
        <w:pStyle w:val="GesAbsatz"/>
      </w:pPr>
      <w:r>
        <w:t>1.04</w:t>
      </w:r>
    </w:p>
    <w:p>
      <w:pPr>
        <w:pStyle w:val="GesAbsatz"/>
      </w:pPr>
      <w:r>
        <w:t xml:space="preserve">Stellungnahme der TÜV Rheinland </w:t>
      </w:r>
      <w:proofErr w:type="spellStart"/>
      <w:r>
        <w:t>Energy</w:t>
      </w:r>
      <w:proofErr w:type="spellEnd"/>
      <w:r>
        <w:t xml:space="preserve"> GmbH vom 11. März 2020</w:t>
      </w:r>
    </w:p>
    <w:p>
      <w:pPr>
        <w:pStyle w:val="GesAbsatz"/>
        <w:ind w:left="425" w:hanging="425"/>
        <w:rPr>
          <w:b/>
        </w:rPr>
      </w:pPr>
      <w:r>
        <w:rPr>
          <w:b/>
        </w:rPr>
        <w:t>5</w:t>
      </w:r>
      <w:r>
        <w:rPr>
          <w:b/>
        </w:rPr>
        <w:tab/>
        <w:t>Mitteilung zu den Bekanntmachungen des Umweltbundesamtes vom 22. Februar 2017 (BAnz AT 15.03.2017 B6, Kapitel II Nummer 2.2) und vom 24. Februar 2020 (BAnz AT 24.03.2020 B7, Kapitel IV, 42. Mitteilung)</w:t>
      </w:r>
    </w:p>
    <w:p>
      <w:pPr>
        <w:pStyle w:val="GesAbsatz"/>
      </w:pPr>
      <w:r>
        <w:t xml:space="preserve">Die Messeinrichtung PCME QAL 360 für Gesamtstaub der Firma ENVEA UK Ltd. kann optional mit der Kontrolleinheit </w:t>
      </w:r>
      <w:proofErr w:type="spellStart"/>
      <w:r>
        <w:t>netController</w:t>
      </w:r>
      <w:proofErr w:type="spellEnd"/>
      <w:r>
        <w:t xml:space="preserve"> betrieben werden.</w:t>
      </w:r>
    </w:p>
    <w:p>
      <w:pPr>
        <w:pStyle w:val="GesAbsatz"/>
      </w:pPr>
      <w:r>
        <w:t xml:space="preserve">Die Softwareversion des </w:t>
      </w:r>
      <w:proofErr w:type="spellStart"/>
      <w:r>
        <w:t>netControllers</w:t>
      </w:r>
      <w:proofErr w:type="spellEnd"/>
      <w:r>
        <w:t xml:space="preserve"> lautet:</w:t>
      </w:r>
    </w:p>
    <w:p>
      <w:pPr>
        <w:pStyle w:val="GesAbsatz"/>
      </w:pPr>
      <w:r>
        <w:t>1.04</w:t>
      </w:r>
    </w:p>
    <w:p>
      <w:pPr>
        <w:pStyle w:val="GesAbsatz"/>
      </w:pPr>
      <w:r>
        <w:t xml:space="preserve">Stellungnahme der TÜV Rheinland </w:t>
      </w:r>
      <w:proofErr w:type="spellStart"/>
      <w:r>
        <w:t>Energy</w:t>
      </w:r>
      <w:proofErr w:type="spellEnd"/>
      <w:r>
        <w:t xml:space="preserve"> GmbH vom 11. März 2020</w:t>
      </w:r>
    </w:p>
    <w:p>
      <w:pPr>
        <w:pStyle w:val="GesAbsatz"/>
        <w:ind w:left="425" w:hanging="425"/>
        <w:rPr>
          <w:b/>
        </w:rPr>
      </w:pPr>
      <w:r>
        <w:rPr>
          <w:b/>
        </w:rPr>
        <w:t>6</w:t>
      </w:r>
      <w:r>
        <w:rPr>
          <w:b/>
        </w:rPr>
        <w:tab/>
        <w:t>Mitteilung zu den Bekanntmachungen des Umweltbundesamtes vom 12. Februar 2013 (BAnz AT 05.03.2013 B10, Kapitel I Nummer 1.2) und vom 24. Februar 2020 (BAnz AT 24.03.2020 B7, Kapitel IV, 43. Mitteilung)</w:t>
      </w:r>
    </w:p>
    <w:p>
      <w:pPr>
        <w:pStyle w:val="GesAbsatz"/>
      </w:pPr>
      <w:r>
        <w:t xml:space="preserve">Die Messeinrichtung PCME QAL 991 für Gesamtstaub der Firma ENVEA UK Ltd. kann optional mit der Kontrolleinheit </w:t>
      </w:r>
      <w:proofErr w:type="spellStart"/>
      <w:r>
        <w:t>netController</w:t>
      </w:r>
      <w:proofErr w:type="spellEnd"/>
      <w:r>
        <w:t xml:space="preserve"> betrieben werden.</w:t>
      </w:r>
    </w:p>
    <w:p>
      <w:pPr>
        <w:pStyle w:val="GesAbsatz"/>
      </w:pPr>
      <w:r>
        <w:t xml:space="preserve">Die Softwareversion des </w:t>
      </w:r>
      <w:proofErr w:type="spellStart"/>
      <w:r>
        <w:t>netControllers</w:t>
      </w:r>
      <w:proofErr w:type="spellEnd"/>
      <w:r>
        <w:t xml:space="preserve"> lautet:</w:t>
      </w:r>
    </w:p>
    <w:p>
      <w:pPr>
        <w:pStyle w:val="GesAbsatz"/>
      </w:pPr>
      <w:r>
        <w:t>1.04</w:t>
      </w:r>
    </w:p>
    <w:p>
      <w:pPr>
        <w:pStyle w:val="GesAbsatz"/>
      </w:pPr>
      <w:r>
        <w:t xml:space="preserve">Stellungnahme der TÜV Rheinland </w:t>
      </w:r>
      <w:proofErr w:type="spellStart"/>
      <w:r>
        <w:t>Energy</w:t>
      </w:r>
      <w:proofErr w:type="spellEnd"/>
      <w:r>
        <w:t xml:space="preserve"> GmbH vom 11. März 2020</w:t>
      </w:r>
    </w:p>
    <w:p>
      <w:pPr>
        <w:pStyle w:val="GesAbsatz"/>
        <w:ind w:left="425" w:hanging="425"/>
        <w:rPr>
          <w:b/>
        </w:rPr>
      </w:pPr>
      <w:r>
        <w:rPr>
          <w:b/>
        </w:rPr>
        <w:t>7</w:t>
      </w:r>
      <w:r>
        <w:rPr>
          <w:b/>
        </w:rPr>
        <w:tab/>
        <w:t>Mitteilung zu den Bekanntmachungen des Umweltbundesamtes vom 22. Februar 2017 (BAnz AT 15.03.2017 B6, Kapitel II Nummer 2.1) und vom 24. Februar 2020 (BAnz AT 24.03.2020 B7, Kapitel IV, 45. Mitteilung)</w:t>
      </w:r>
    </w:p>
    <w:p>
      <w:pPr>
        <w:pStyle w:val="GesAbsatz"/>
      </w:pPr>
      <w:r>
        <w:t xml:space="preserve">Die Messeinrichtung PCME STACKFLOW 200 für Abgasgeschwindigkeit der Firma ENVEA UK Ltd. kann optional mit der Kontrolleinheit </w:t>
      </w:r>
      <w:proofErr w:type="spellStart"/>
      <w:r>
        <w:t>netController</w:t>
      </w:r>
      <w:proofErr w:type="spellEnd"/>
      <w:r>
        <w:t xml:space="preserve"> betrieben werden.</w:t>
      </w:r>
    </w:p>
    <w:p>
      <w:pPr>
        <w:pStyle w:val="GesAbsatz"/>
      </w:pPr>
      <w:r>
        <w:t xml:space="preserve">Die Softwareversion des </w:t>
      </w:r>
      <w:proofErr w:type="spellStart"/>
      <w:r>
        <w:t>netControllers</w:t>
      </w:r>
      <w:proofErr w:type="spellEnd"/>
      <w:r>
        <w:t xml:space="preserve"> lautet:</w:t>
      </w:r>
    </w:p>
    <w:p>
      <w:pPr>
        <w:pStyle w:val="GesAbsatz"/>
      </w:pPr>
      <w:r>
        <w:t>1.04</w:t>
      </w:r>
    </w:p>
    <w:p>
      <w:pPr>
        <w:pStyle w:val="GesAbsatz"/>
      </w:pPr>
      <w:r>
        <w:t xml:space="preserve">Stellungnahme der TÜV Rheinland </w:t>
      </w:r>
      <w:proofErr w:type="spellStart"/>
      <w:r>
        <w:t>Energy</w:t>
      </w:r>
      <w:proofErr w:type="spellEnd"/>
      <w:r>
        <w:t xml:space="preserve"> GmbH vom 11. März 2020</w:t>
      </w:r>
    </w:p>
    <w:p>
      <w:pPr>
        <w:pStyle w:val="GesAbsatz"/>
        <w:ind w:left="425" w:hanging="425"/>
        <w:rPr>
          <w:b/>
        </w:rPr>
      </w:pPr>
      <w:r>
        <w:rPr>
          <w:b/>
        </w:rPr>
        <w:t>8</w:t>
      </w:r>
      <w:r>
        <w:rPr>
          <w:b/>
        </w:rPr>
        <w:tab/>
        <w:t>Mitteilung zu den Bekanntmachungen des Umweltbundesamtes vom 25. Februar 2015 (BAnz AT 02.04.2015 B5, Kapitel II Nummer 1.3) und vom 24. Februar 2020 (BAnz AT 24.03.2020 B7, Kapitel IV, 46. Mitteilung)</w:t>
      </w:r>
    </w:p>
    <w:p>
      <w:pPr>
        <w:pStyle w:val="GesAbsatz"/>
      </w:pPr>
      <w:r>
        <w:t xml:space="preserve">Die Messeinrichtung PCME STACKFLOW 400 für Abgasgeschwindigkeit der Firma ENVEA UK Ltd. kann optional mit der Kontrolleinheit </w:t>
      </w:r>
      <w:proofErr w:type="spellStart"/>
      <w:r>
        <w:t>netController</w:t>
      </w:r>
      <w:proofErr w:type="spellEnd"/>
      <w:r>
        <w:t xml:space="preserve"> betrieben werden.</w:t>
      </w:r>
    </w:p>
    <w:p>
      <w:pPr>
        <w:pStyle w:val="GesAbsatz"/>
      </w:pPr>
      <w:r>
        <w:t xml:space="preserve">Die Softwareversion des </w:t>
      </w:r>
      <w:proofErr w:type="spellStart"/>
      <w:r>
        <w:t>netControllers</w:t>
      </w:r>
      <w:proofErr w:type="spellEnd"/>
      <w:r>
        <w:t xml:space="preserve"> lautet:</w:t>
      </w:r>
    </w:p>
    <w:p>
      <w:pPr>
        <w:pStyle w:val="GesAbsatz"/>
      </w:pPr>
      <w:r>
        <w:t>1.04</w:t>
      </w:r>
    </w:p>
    <w:p>
      <w:pPr>
        <w:pStyle w:val="GesAbsatz"/>
      </w:pPr>
      <w:r>
        <w:t xml:space="preserve">Stellungnahme der TÜV Rheinland </w:t>
      </w:r>
      <w:proofErr w:type="spellStart"/>
      <w:r>
        <w:t>Energy</w:t>
      </w:r>
      <w:proofErr w:type="spellEnd"/>
      <w:r>
        <w:t xml:space="preserve"> GmbH vom 11. März 2020</w:t>
      </w:r>
    </w:p>
    <w:p>
      <w:pPr>
        <w:pStyle w:val="GesAbsatz"/>
        <w:ind w:left="425" w:hanging="425"/>
        <w:rPr>
          <w:b/>
        </w:rPr>
      </w:pPr>
      <w:r>
        <w:rPr>
          <w:b/>
        </w:rPr>
        <w:t>9</w:t>
      </w:r>
      <w:r>
        <w:rPr>
          <w:b/>
        </w:rPr>
        <w:tab/>
        <w:t>Mitteilung zu den Bekanntmachungen des Umweltbundesamtes vom 21. Februar 2018 (BAnz AT 26.03.2018 B8, Kapitel I Nummer 2.1) und vom 24. Februar 2020 (BAnz AT 24.03.2020 B7, Kapitel IV, 49. Mitteilung)</w:t>
      </w:r>
    </w:p>
    <w:p>
      <w:pPr>
        <w:pStyle w:val="GesAbsatz"/>
      </w:pPr>
      <w:r>
        <w:lastRenderedPageBreak/>
        <w:t xml:space="preserve">Die aktuelle Softwareversion der Messeinrichtung CMM für die Komponente Hg des Herstellers </w:t>
      </w:r>
      <w:proofErr w:type="spellStart"/>
      <w:r>
        <w:t>Gasmet</w:t>
      </w:r>
      <w:proofErr w:type="spellEnd"/>
      <w:r>
        <w:t xml:space="preserve"> Technology </w:t>
      </w:r>
      <w:proofErr w:type="spellStart"/>
      <w:r>
        <w:t>Oy</w:t>
      </w:r>
      <w:proofErr w:type="spellEnd"/>
      <w:r>
        <w:t xml:space="preserve"> lautet:</w:t>
      </w:r>
    </w:p>
    <w:p>
      <w:pPr>
        <w:pStyle w:val="GesAbsatz"/>
      </w:pPr>
      <w:r>
        <w:t>1.204</w:t>
      </w:r>
    </w:p>
    <w:p>
      <w:pPr>
        <w:pStyle w:val="GesAbsatz"/>
      </w:pPr>
      <w:r>
        <w:t xml:space="preserve">Stellungnahme der TÜV Rheinland </w:t>
      </w:r>
      <w:proofErr w:type="spellStart"/>
      <w:r>
        <w:t>Energy</w:t>
      </w:r>
      <w:proofErr w:type="spellEnd"/>
      <w:r>
        <w:t xml:space="preserve"> GmbH vom 12. März 2020</w:t>
      </w:r>
    </w:p>
    <w:p>
      <w:pPr>
        <w:pStyle w:val="GesAbsatz"/>
        <w:ind w:left="425" w:hanging="425"/>
        <w:rPr>
          <w:b/>
        </w:rPr>
      </w:pPr>
      <w:r>
        <w:rPr>
          <w:b/>
        </w:rPr>
        <w:t>10</w:t>
      </w:r>
      <w:r>
        <w:rPr>
          <w:b/>
        </w:rPr>
        <w:tab/>
        <w:t>Mitteilung zu der Bekanntmachung des Umweltbundesamtes vom 24. Februar 2020 (BAnz AT 24.03.2020 B7, Kapitel I Nummer 1.1)</w:t>
      </w:r>
    </w:p>
    <w:p>
      <w:pPr>
        <w:pStyle w:val="GesAbsatz"/>
      </w:pPr>
      <w:r>
        <w:t xml:space="preserve">Die aktuelle Softwareversion der Messeinrichtung CMM </w:t>
      </w:r>
      <w:proofErr w:type="spellStart"/>
      <w:r>
        <w:t>AutoQAL</w:t>
      </w:r>
      <w:proofErr w:type="spellEnd"/>
      <w:r>
        <w:t xml:space="preserve"> für die Komponente Hg des Herstellers </w:t>
      </w:r>
      <w:proofErr w:type="spellStart"/>
      <w:r>
        <w:t>Gasmet</w:t>
      </w:r>
      <w:proofErr w:type="spellEnd"/>
      <w:r>
        <w:t xml:space="preserve"> Technology </w:t>
      </w:r>
      <w:proofErr w:type="spellStart"/>
      <w:r>
        <w:t>Oy</w:t>
      </w:r>
      <w:proofErr w:type="spellEnd"/>
      <w:r>
        <w:t xml:space="preserve"> lautet:</w:t>
      </w:r>
    </w:p>
    <w:p>
      <w:pPr>
        <w:pStyle w:val="GesAbsatz"/>
      </w:pPr>
      <w:r>
        <w:t>1.204</w:t>
      </w:r>
    </w:p>
    <w:p>
      <w:pPr>
        <w:pStyle w:val="GesAbsatz"/>
      </w:pPr>
      <w:r>
        <w:t xml:space="preserve">Stellungnahme der TÜV Rheinland </w:t>
      </w:r>
      <w:proofErr w:type="spellStart"/>
      <w:r>
        <w:t>Energy</w:t>
      </w:r>
      <w:proofErr w:type="spellEnd"/>
      <w:r>
        <w:t xml:space="preserve"> GmbH vom 12. März 2020</w:t>
      </w:r>
    </w:p>
    <w:p>
      <w:pPr>
        <w:pStyle w:val="GesAbsatz"/>
        <w:ind w:left="425" w:hanging="425"/>
        <w:rPr>
          <w:b/>
        </w:rPr>
      </w:pPr>
      <w:r>
        <w:rPr>
          <w:b/>
        </w:rPr>
        <w:t>11</w:t>
      </w:r>
      <w:r>
        <w:rPr>
          <w:b/>
        </w:rPr>
        <w:tab/>
        <w:t>Mitteilung zu den Bekanntmachungen des Umweltbundesamtes vom 12. September 2006 (BAnz. S. 6715, Kapitel IV Nummer 3.1) und vom 24. Februar 2020 (BAnz AT 24.03.2020 B7, Kapitel IV, 54. Mitteilung)</w:t>
      </w:r>
    </w:p>
    <w:p>
      <w:pPr>
        <w:pStyle w:val="GesAbsatz"/>
      </w:pPr>
      <w:r>
        <w:t>Die Messeinrichtung APNA-370 für NO, NO</w:t>
      </w:r>
      <w:r>
        <w:rPr>
          <w:vertAlign w:val="subscript"/>
        </w:rPr>
        <w:t>2</w:t>
      </w:r>
      <w:r>
        <w:t xml:space="preserve"> und NO</w:t>
      </w:r>
      <w:r>
        <w:rPr>
          <w:vertAlign w:val="subscript"/>
        </w:rPr>
        <w:t>X</w:t>
      </w:r>
      <w:r>
        <w:t xml:space="preserve"> der Firma HORIBA Ltd. kann zukünftig mit dem Heizelement vom Typ KPMW-MT/TC102 zur Regeneration des </w:t>
      </w:r>
      <w:proofErr w:type="spellStart"/>
      <w:r>
        <w:t>Silicageltrockners</w:t>
      </w:r>
      <w:proofErr w:type="spellEnd"/>
      <w:r>
        <w:t xml:space="preserve"> für den Ozongenerator ausgestattet werden.</w:t>
      </w:r>
    </w:p>
    <w:p>
      <w:pPr>
        <w:pStyle w:val="GesAbsatz"/>
      </w:pPr>
      <w:r>
        <w:t>Weiterhin kann zukünftig zur thermischen Dämmung des NO</w:t>
      </w:r>
      <w:r>
        <w:rPr>
          <w:vertAlign w:val="subscript"/>
        </w:rPr>
        <w:t>x</w:t>
      </w:r>
      <w:r>
        <w:t>-Konverters das Isolationsmaterial vom Typ FINEFLEX BIO</w:t>
      </w:r>
      <w:r>
        <w:rPr>
          <w:vertAlign w:val="superscript"/>
        </w:rPr>
        <w:t>TM</w:t>
      </w:r>
      <w:r>
        <w:t xml:space="preserve"> Board TOMBO No.5625 eingesetzt werden.</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12</w:t>
      </w:r>
      <w:r>
        <w:rPr>
          <w:b/>
        </w:rPr>
        <w:tab/>
        <w:t>Mitteilung zu den Bekanntmachungen des Umweltbundesamtes vom 12. Februar 2013 (BAnz AT 05.03.2013 B10, Kapitel I Nummer 5.2) und vom 21. Februar 2018 (BAnz AT 26.03.2018 B8, Kapitel V, 28. Mitteilung)</w:t>
      </w:r>
    </w:p>
    <w:p>
      <w:pPr>
        <w:pStyle w:val="GesAbsatz"/>
      </w:pPr>
      <w:r>
        <w:t>Für die Emissionsmesseinrichtung PG-350E für NO</w:t>
      </w:r>
      <w:r>
        <w:rPr>
          <w:vertAlign w:val="subscript"/>
        </w:rPr>
        <w:t>X</w:t>
      </w:r>
      <w:r>
        <w:t>, SO</w:t>
      </w:r>
      <w:r>
        <w:rPr>
          <w:vertAlign w:val="subscript"/>
        </w:rPr>
        <w:t>2</w:t>
      </w:r>
      <w:r>
        <w:t>, CO, CO</w:t>
      </w:r>
      <w:r>
        <w:rPr>
          <w:vertAlign w:val="subscript"/>
        </w:rPr>
        <w:t>2</w:t>
      </w:r>
      <w:r>
        <w:t xml:space="preserve"> und O</w:t>
      </w:r>
      <w:r>
        <w:rPr>
          <w:vertAlign w:val="subscript"/>
        </w:rPr>
        <w:t>2</w:t>
      </w:r>
      <w:r>
        <w:t xml:space="preserve"> der Firma HORIBA Europe GmbH kann zukünftig zur thermischen Dämmung des NO</w:t>
      </w:r>
      <w:r>
        <w:rPr>
          <w:vertAlign w:val="subscript"/>
        </w:rPr>
        <w:t>x</w:t>
      </w:r>
      <w:r>
        <w:t>-Konverters das Isolationsmaterial vom Typ FINEFLEX BIO</w:t>
      </w:r>
      <w:r>
        <w:rPr>
          <w:vertAlign w:val="superscript"/>
        </w:rPr>
        <w:t>TM</w:t>
      </w:r>
      <w:r>
        <w:t xml:space="preserve"> Board TOMBO No.5625 eingesetzt werden. Das Isolationsmaterial kann auch für die Gerätevariante PG-350EDR verwendet werden.</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13</w:t>
      </w:r>
      <w:r>
        <w:rPr>
          <w:b/>
        </w:rPr>
        <w:tab/>
        <w:t>Mitteilung zu den Bekanntmachungen des Umweltbundesamtes vom 23. Februar 2012 (BAnz. S. 920, Kapitel I Nummer 4.6) und vom 3. Juli 2018 (BAnz AT 17.07.2018 B9, Kapitel III, 13. Mitteilung)</w:t>
      </w:r>
    </w:p>
    <w:p>
      <w:pPr>
        <w:pStyle w:val="GesAbsatz"/>
      </w:pPr>
      <w:r>
        <w:t>Die aktuelle Softwareversion der Messeinrichtung LaserGas II für HCl und H2O der NEO Monitors AS lautet: 6.1g-2</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14</w:t>
      </w:r>
      <w:r>
        <w:rPr>
          <w:b/>
        </w:rPr>
        <w:tab/>
        <w:t>Mitteilung zu den Bekanntmachungen des Umweltbundesamtes vom 22. Juli 2015 (BAnz AT 26.08.2015 B4, Kapitel I Nummer 2.1) und vom 3. Juli 2018 (BAnz AT 17.07.2018 B9, Kapitel III, 14. Mitteilung)</w:t>
      </w:r>
    </w:p>
    <w:p>
      <w:pPr>
        <w:pStyle w:val="GesAbsatz"/>
      </w:pPr>
      <w:r>
        <w:t>Die aktuelle Softwareversion der Messeinrichtung LaserGas II für NH</w:t>
      </w:r>
      <w:r>
        <w:rPr>
          <w:vertAlign w:val="subscript"/>
        </w:rPr>
        <w:t>3</w:t>
      </w:r>
      <w:r>
        <w:t xml:space="preserve"> und H</w:t>
      </w:r>
      <w:r>
        <w:rPr>
          <w:vertAlign w:val="subscript"/>
        </w:rPr>
        <w:t>2</w:t>
      </w:r>
      <w:r>
        <w:t>O der NEO Monitors AS lautet: 6.1g-2</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15</w:t>
      </w:r>
      <w:r>
        <w:rPr>
          <w:b/>
        </w:rPr>
        <w:tab/>
        <w:t>Mitteilung zu den Bekanntmachungen des Umweltbundesamtes vom 27. Februar 2014 (BAnz AT 01.04.2014 B12, Kapitel I Nummer 2.2) und vom 3. Juli 2018 (BAnz AT 17.07.2018 B9, Kapitel III, 15. Mitteilung)</w:t>
      </w:r>
    </w:p>
    <w:p>
      <w:pPr>
        <w:pStyle w:val="GesAbsatz"/>
      </w:pPr>
      <w:r>
        <w:t>Die aktuelle Softwareversion der Messeinrichtung LaserGas II für HF der NEO Monitors AS lautet: 6.1g-2</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16</w:t>
      </w:r>
      <w:r>
        <w:rPr>
          <w:b/>
        </w:rPr>
        <w:tab/>
        <w:t>Mitteilung zu den Bekanntmachungen des Umweltbundesamtes vom 27. Februar 2014 (BAnz AT 01.04.2014 B12, Kapitel IV Nummer 5.1) und vom 31. März 2020 (BAnz AT 07.05.2020 B8, Kapitel III, 4. Mitteilung)</w:t>
      </w:r>
    </w:p>
    <w:p>
      <w:pPr>
        <w:pStyle w:val="GesAbsatz"/>
      </w:pPr>
      <w:r>
        <w:t xml:space="preserve">Die Softwareversion der Messeinrichtungen </w:t>
      </w:r>
      <w:proofErr w:type="spellStart"/>
      <w:r>
        <w:t>Fidas</w:t>
      </w:r>
      <w:proofErr w:type="spellEnd"/>
      <w:r>
        <w:t xml:space="preserve">® 200 S, </w:t>
      </w:r>
      <w:proofErr w:type="spellStart"/>
      <w:r>
        <w:t>Fidas</w:t>
      </w:r>
      <w:proofErr w:type="spellEnd"/>
      <w:r>
        <w:t xml:space="preserve">® 200 E bzw. </w:t>
      </w:r>
      <w:proofErr w:type="spellStart"/>
      <w:r>
        <w:t>Fidas</w:t>
      </w:r>
      <w:proofErr w:type="spellEnd"/>
      <w:r>
        <w:t>® 200 für PM</w:t>
      </w:r>
      <w:r>
        <w:rPr>
          <w:vertAlign w:val="subscript"/>
        </w:rPr>
        <w:t>10</w:t>
      </w:r>
      <w:r>
        <w:t xml:space="preserve"> und PM</w:t>
      </w:r>
      <w:r>
        <w:rPr>
          <w:vertAlign w:val="subscript"/>
        </w:rPr>
        <w:t>2,5</w:t>
      </w:r>
      <w:r>
        <w:t xml:space="preserve"> der Firma PALAS GmbH wurde überarbeitet. Die aktuelle Softwareversion lautet:</w:t>
      </w:r>
    </w:p>
    <w:p>
      <w:pPr>
        <w:pStyle w:val="GesAbsatz"/>
      </w:pPr>
      <w:r>
        <w:t>100465.0014.0001.0001.0011</w:t>
      </w:r>
    </w:p>
    <w:p>
      <w:pPr>
        <w:pStyle w:val="GesAbsatz"/>
      </w:pPr>
      <w:r>
        <w:t>Neben dieser Versionsnummer sind auch folgende Zwischenversion gültig: 100464.0014.0001.0001.0011</w:t>
      </w:r>
    </w:p>
    <w:p>
      <w:pPr>
        <w:pStyle w:val="GesAbsatz"/>
      </w:pPr>
      <w:r>
        <w:lastRenderedPageBreak/>
        <w:t xml:space="preserve">Die Messeinrichtungen </w:t>
      </w:r>
      <w:proofErr w:type="spellStart"/>
      <w:r>
        <w:t>Fidas</w:t>
      </w:r>
      <w:proofErr w:type="spellEnd"/>
      <w:r>
        <w:t xml:space="preserve">® 200 S, </w:t>
      </w:r>
      <w:proofErr w:type="spellStart"/>
      <w:r>
        <w:t>Fidas</w:t>
      </w:r>
      <w:proofErr w:type="spellEnd"/>
      <w:r>
        <w:t xml:space="preserve">® 200 E bzw. </w:t>
      </w:r>
      <w:proofErr w:type="spellStart"/>
      <w:r>
        <w:t>Fidas</w:t>
      </w:r>
      <w:proofErr w:type="spellEnd"/>
      <w:r>
        <w:t xml:space="preserve">® 200 kann zukünftig alternativ sowohl mit dem Photomultiplier Hamamatsu H10721-210 als auch mit dem Panel PC Pico318-N3350 des Herstellers </w:t>
      </w:r>
      <w:proofErr w:type="spellStart"/>
      <w:r>
        <w:t>Axiomtek</w:t>
      </w:r>
      <w:proofErr w:type="spellEnd"/>
      <w:r>
        <w:t xml:space="preserve"> inkl. berührungssensitiven Bildschirm DLC 0700 des Herstellers DLC ausgestattet sein.</w:t>
      </w:r>
    </w:p>
    <w:p>
      <w:pPr>
        <w:pStyle w:val="GesAbsatz"/>
      </w:pPr>
      <w:r>
        <w:t xml:space="preserve">Stellungnahme der TÜV Rheinland </w:t>
      </w:r>
      <w:proofErr w:type="spellStart"/>
      <w:r>
        <w:t>Energy</w:t>
      </w:r>
      <w:proofErr w:type="spellEnd"/>
      <w:r>
        <w:t xml:space="preserve"> GmbH vom 7. Mai 2020</w:t>
      </w:r>
    </w:p>
    <w:p>
      <w:pPr>
        <w:pStyle w:val="GesAbsatz"/>
        <w:ind w:left="425" w:hanging="425"/>
        <w:rPr>
          <w:b/>
        </w:rPr>
      </w:pPr>
      <w:r>
        <w:rPr>
          <w:b/>
        </w:rPr>
        <w:t>17</w:t>
      </w:r>
      <w:r>
        <w:rPr>
          <w:b/>
        </w:rPr>
        <w:tab/>
        <w:t>Mitteilung zu der Bekanntmachung des Umweltbundesamtes vom 28. Juni 2019 (BAnz AT 22.07.2019 B8, Kapitel IV Nummer 1.2)</w:t>
      </w:r>
    </w:p>
    <w:p>
      <w:pPr>
        <w:pStyle w:val="GesAbsatz"/>
      </w:pPr>
      <w:r>
        <w:t>Die Software des Emissionsrechners MEAC300 der Firma SICK AG, Hamburg hat jetzt die aktuelle Softwareversion:</w:t>
      </w:r>
    </w:p>
    <w:p>
      <w:pPr>
        <w:pStyle w:val="GesAbsatz"/>
      </w:pPr>
      <w:r>
        <w:t>Version 4.1.34.21</w:t>
      </w:r>
    </w:p>
    <w:p>
      <w:pPr>
        <w:pStyle w:val="GesAbsatz"/>
      </w:pPr>
      <w:r>
        <w:t>Es können auch die Versionen 4.1.34.19 und 4.1.34.20 verwendet werden.</w:t>
      </w:r>
    </w:p>
    <w:p>
      <w:pPr>
        <w:pStyle w:val="GesAbsatz"/>
      </w:pPr>
      <w:r>
        <w:t xml:space="preserve">Stellungnahme der TÜV Rheinland </w:t>
      </w:r>
      <w:proofErr w:type="spellStart"/>
      <w:r>
        <w:t>Energy</w:t>
      </w:r>
      <w:proofErr w:type="spellEnd"/>
      <w:r>
        <w:t xml:space="preserve"> GmbH vom 9. März 2020</w:t>
      </w:r>
    </w:p>
    <w:p>
      <w:pPr>
        <w:pStyle w:val="GesAbsatz"/>
        <w:ind w:left="425" w:hanging="425"/>
        <w:rPr>
          <w:b/>
        </w:rPr>
      </w:pPr>
      <w:r>
        <w:rPr>
          <w:b/>
        </w:rPr>
        <w:t>18</w:t>
      </w:r>
      <w:r>
        <w:rPr>
          <w:b/>
        </w:rPr>
        <w:tab/>
        <w:t>Mitteilung zu den Bekanntmachungen des Umweltbundesamtes 12. Februar 2013 (BAnz AT 05.03.2013 B10, Kapitel II Nummer 2.2) und vom 28. Juni 2019 (BAnz AT 22.07.2019 B8, Kapitel V, Mitteilung 19)</w:t>
      </w:r>
    </w:p>
    <w:p>
      <w:pPr>
        <w:pStyle w:val="GesAbsatz"/>
      </w:pPr>
      <w:r>
        <w:t>Die aktuellen Softwareversionen der Messeinrichtung Flowsic100 für Abgasgeschwindigkeit der Firma SICK Engineering GmbH lauten:</w:t>
      </w:r>
    </w:p>
    <w:p>
      <w:pPr>
        <w:pStyle w:val="GesAbsatz"/>
        <w:tabs>
          <w:tab w:val="clear" w:pos="425"/>
          <w:tab w:val="left" w:pos="4820"/>
        </w:tabs>
        <w:rPr>
          <w:lang w:val="en-US"/>
        </w:rPr>
      </w:pPr>
      <w:r>
        <w:rPr>
          <w:lang w:val="en-US"/>
        </w:rPr>
        <w:t>Flowsic100 (</w:t>
      </w:r>
      <w:proofErr w:type="spellStart"/>
      <w:r>
        <w:rPr>
          <w:lang w:val="en-US"/>
        </w:rPr>
        <w:t>Typ</w:t>
      </w:r>
      <w:proofErr w:type="spellEnd"/>
      <w:r>
        <w:rPr>
          <w:lang w:val="en-US"/>
        </w:rPr>
        <w:t xml:space="preserve"> PR, PR-AC, S):</w:t>
      </w:r>
      <w:r>
        <w:rPr>
          <w:lang w:val="en-US"/>
        </w:rPr>
        <w:tab/>
        <w:t>21.08.00</w:t>
      </w:r>
    </w:p>
    <w:p>
      <w:pPr>
        <w:pStyle w:val="GesAbsatz"/>
        <w:tabs>
          <w:tab w:val="clear" w:pos="425"/>
          <w:tab w:val="left" w:pos="4820"/>
        </w:tabs>
        <w:rPr>
          <w:lang w:val="en-US"/>
        </w:rPr>
      </w:pPr>
      <w:r>
        <w:rPr>
          <w:lang w:val="en-US"/>
        </w:rPr>
        <w:t>Flowsic100 (</w:t>
      </w:r>
      <w:proofErr w:type="spellStart"/>
      <w:r>
        <w:rPr>
          <w:lang w:val="en-US"/>
        </w:rPr>
        <w:t>Typ</w:t>
      </w:r>
      <w:proofErr w:type="spellEnd"/>
      <w:r>
        <w:rPr>
          <w:lang w:val="en-US"/>
        </w:rPr>
        <w:t xml:space="preserve"> M, M-AC, H, H-AC, PM, PH, PH-S):</w:t>
      </w:r>
      <w:r>
        <w:rPr>
          <w:lang w:val="en-US"/>
        </w:rPr>
        <w:tab/>
        <w:t>01.08.00</w:t>
      </w:r>
    </w:p>
    <w:p>
      <w:pPr>
        <w:pStyle w:val="GesAbsatz"/>
        <w:tabs>
          <w:tab w:val="clear" w:pos="425"/>
          <w:tab w:val="left" w:pos="4820"/>
        </w:tabs>
      </w:pPr>
      <w:r>
        <w:t>MCU:</w:t>
      </w:r>
      <w:r>
        <w:tab/>
        <w:t>01.12.05</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19</w:t>
      </w:r>
      <w:r>
        <w:rPr>
          <w:b/>
        </w:rPr>
        <w:tab/>
        <w:t>Mitteilung zu den Bekanntmachungen des Umweltbundesamtes vom 12. Februar 2013 (BAnz AT 05.03.2013 B10, Kapitel I Nummer 2.3) und vom 21. Februar 2018 (BAnz AT 26.03.2018 B8, Kapitel V, 40. Mitteilung)</w:t>
      </w:r>
    </w:p>
    <w:p>
      <w:pPr>
        <w:pStyle w:val="GesAbsatz"/>
      </w:pPr>
      <w:r>
        <w:t xml:space="preserve">Die aktuelle Softwareversion für die Messeinrichtungen MERCEM300Z und MERCEM300Z </w:t>
      </w:r>
      <w:proofErr w:type="spellStart"/>
      <w:r>
        <w:t>Indoor</w:t>
      </w:r>
      <w:proofErr w:type="spellEnd"/>
      <w:r>
        <w:t xml:space="preserve"> für Hg der Firma SICK AG lautet jetzt:</w:t>
      </w:r>
    </w:p>
    <w:p>
      <w:pPr>
        <w:pStyle w:val="GesAbsatz"/>
      </w:pPr>
      <w:r>
        <w:t>9191789_13PW</w:t>
      </w:r>
    </w:p>
    <w:p>
      <w:pPr>
        <w:pStyle w:val="GesAbsatz"/>
      </w:pPr>
      <w:r>
        <w:t>Außerdem ist die Softwareversion 9159349_ZSJ4 für die Messeinrichtung gültig.</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20</w:t>
      </w:r>
      <w:r>
        <w:rPr>
          <w:b/>
        </w:rPr>
        <w:tab/>
        <w:t>Mitteilung zu den Bekanntmachungen des Umweltbundesamtes vom 14. Juli 2016 (BAnz AT 01.08.2016 B11, Kapitel I Nummer 1.2) und vom 24. Februar 2020 (BAnz AT 24.03.2020 B7, Kapitel IV, 63. Mitteilung)</w:t>
      </w:r>
    </w:p>
    <w:p>
      <w:pPr>
        <w:pStyle w:val="GesAbsatz"/>
      </w:pPr>
      <w:r>
        <w:t>Die aktuellen Softwareversionen der Messeinrichtung FWE200DH für Staub der Firma SICK Engineering GmbH lauten:</w:t>
      </w:r>
    </w:p>
    <w:p>
      <w:pPr>
        <w:pStyle w:val="GesAbsatz"/>
        <w:tabs>
          <w:tab w:val="clear" w:pos="425"/>
          <w:tab w:val="left" w:pos="3119"/>
        </w:tabs>
      </w:pPr>
      <w:r>
        <w:t>FWE200DH (Steuerung):</w:t>
      </w:r>
      <w:r>
        <w:tab/>
        <w:t>01.02.12</w:t>
      </w:r>
    </w:p>
    <w:p>
      <w:pPr>
        <w:pStyle w:val="GesAbsatz"/>
        <w:tabs>
          <w:tab w:val="clear" w:pos="425"/>
          <w:tab w:val="left" w:pos="3119"/>
        </w:tabs>
      </w:pPr>
      <w:r>
        <w:t>DHSP100/SP200 (Messzelle):</w:t>
      </w:r>
      <w:r>
        <w:tab/>
        <w:t>01.06.06</w:t>
      </w:r>
    </w:p>
    <w:p>
      <w:pPr>
        <w:pStyle w:val="GesAbsatz"/>
        <w:tabs>
          <w:tab w:val="clear" w:pos="425"/>
          <w:tab w:val="left" w:pos="3119"/>
        </w:tabs>
      </w:pPr>
      <w:r>
        <w:t>MCU:</w:t>
      </w:r>
      <w:r>
        <w:tab/>
        <w:t>01.12.05</w:t>
      </w:r>
    </w:p>
    <w:p>
      <w:pPr>
        <w:pStyle w:val="GesAbsatz"/>
      </w:pPr>
      <w:r>
        <w:t xml:space="preserve">Stellungnahme der TÜV Rheinland </w:t>
      </w:r>
      <w:proofErr w:type="spellStart"/>
      <w:r>
        <w:t>Energy</w:t>
      </w:r>
      <w:proofErr w:type="spellEnd"/>
      <w:r>
        <w:t xml:space="preserve"> GmbH vom 10. März 2020</w:t>
      </w:r>
    </w:p>
    <w:p>
      <w:pPr>
        <w:pStyle w:val="GesAbsatz"/>
        <w:ind w:left="425" w:hanging="425"/>
        <w:rPr>
          <w:b/>
        </w:rPr>
      </w:pPr>
      <w:r>
        <w:rPr>
          <w:b/>
        </w:rPr>
        <w:t>21</w:t>
      </w:r>
      <w:r>
        <w:rPr>
          <w:b/>
        </w:rPr>
        <w:tab/>
        <w:t>Mitteilung zu den Bekanntmachungen des Umweltbundesamtes vom 23. September 2007 (BAnz. S. 7925, Kapitel II Nummer 2.1) und vom 24. Februar 2020 (BAnz AT 24.03.2020 B7, Kapitel IV, 65. Mitteilung)</w:t>
      </w:r>
    </w:p>
    <w:p>
      <w:pPr>
        <w:pStyle w:val="GesAbsatz"/>
      </w:pPr>
      <w:r>
        <w:t>Die aktuelle Softwareversion der Messeinrichtung 200E/T200 für NO, NO</w:t>
      </w:r>
      <w:r>
        <w:rPr>
          <w:vertAlign w:val="subscript"/>
        </w:rPr>
        <w:t>2</w:t>
      </w:r>
      <w:r>
        <w:t xml:space="preserve"> und NO</w:t>
      </w:r>
      <w:r>
        <w:rPr>
          <w:vertAlign w:val="subscript"/>
        </w:rPr>
        <w:t>x</w:t>
      </w:r>
      <w:r>
        <w:t xml:space="preserve"> der Firma Teledyne API lautet:</w:t>
      </w:r>
    </w:p>
    <w:p>
      <w:pPr>
        <w:pStyle w:val="GesAbsatz"/>
        <w:tabs>
          <w:tab w:val="clear" w:pos="425"/>
          <w:tab w:val="left" w:pos="2127"/>
        </w:tabs>
      </w:pPr>
      <w:r>
        <w:t>Package Version:</w:t>
      </w:r>
      <w:r>
        <w:tab/>
        <w:t>1.3.27</w:t>
      </w:r>
    </w:p>
    <w:p>
      <w:pPr>
        <w:pStyle w:val="GesAbsatz"/>
        <w:tabs>
          <w:tab w:val="clear" w:pos="425"/>
          <w:tab w:val="left" w:pos="2127"/>
        </w:tabs>
      </w:pPr>
      <w:r>
        <w:t>Driver Version:</w:t>
      </w:r>
      <w:r>
        <w:tab/>
        <w:t>1.0.22</w:t>
      </w:r>
    </w:p>
    <w:p>
      <w:pPr>
        <w:pStyle w:val="GesAbsatz"/>
      </w:pPr>
      <w:r>
        <w:t>Folgende Versionen sind hierin eingeschlossen:</w:t>
      </w:r>
    </w:p>
    <w:tbl>
      <w:tblPr>
        <w:tblStyle w:val="Tabellenraster"/>
        <w:tblW w:w="0" w:type="auto"/>
        <w:tblLook w:val="04A0" w:firstRow="1" w:lastRow="0" w:firstColumn="1" w:lastColumn="0" w:noHBand="0" w:noVBand="1"/>
      </w:tblPr>
      <w:tblGrid>
        <w:gridCol w:w="2263"/>
        <w:gridCol w:w="1985"/>
      </w:tblGrid>
      <w:tr>
        <w:tc>
          <w:tcPr>
            <w:tcW w:w="2263" w:type="dxa"/>
          </w:tcPr>
          <w:p>
            <w:pPr>
              <w:pStyle w:val="GesAbsatz"/>
              <w:tabs>
                <w:tab w:val="clear" w:pos="425"/>
              </w:tabs>
            </w:pPr>
            <w:r>
              <w:t>Package Version</w:t>
            </w:r>
          </w:p>
        </w:tc>
        <w:tc>
          <w:tcPr>
            <w:tcW w:w="1985" w:type="dxa"/>
          </w:tcPr>
          <w:p>
            <w:pPr>
              <w:pStyle w:val="GesAbsatz"/>
              <w:tabs>
                <w:tab w:val="clear" w:pos="425"/>
              </w:tabs>
            </w:pPr>
            <w:r>
              <w:t>Driver Version</w:t>
            </w:r>
          </w:p>
        </w:tc>
      </w:tr>
      <w:tr>
        <w:tc>
          <w:tcPr>
            <w:tcW w:w="2263" w:type="dxa"/>
          </w:tcPr>
          <w:p>
            <w:pPr>
              <w:pStyle w:val="GesAbsatz"/>
              <w:tabs>
                <w:tab w:val="clear" w:pos="425"/>
              </w:tabs>
            </w:pPr>
            <w:r>
              <w:t>1.3.26</w:t>
            </w:r>
          </w:p>
        </w:tc>
        <w:tc>
          <w:tcPr>
            <w:tcW w:w="1985" w:type="dxa"/>
          </w:tcPr>
          <w:p>
            <w:pPr>
              <w:pStyle w:val="GesAbsatz"/>
              <w:tabs>
                <w:tab w:val="clear" w:pos="425"/>
              </w:tabs>
            </w:pPr>
            <w:r>
              <w:t>1.0.22</w:t>
            </w:r>
          </w:p>
        </w:tc>
      </w:tr>
      <w:tr>
        <w:tc>
          <w:tcPr>
            <w:tcW w:w="2263" w:type="dxa"/>
          </w:tcPr>
          <w:p>
            <w:pPr>
              <w:pStyle w:val="GesAbsatz"/>
              <w:tabs>
                <w:tab w:val="clear" w:pos="425"/>
              </w:tabs>
            </w:pPr>
            <w:r>
              <w:t>1.3.23</w:t>
            </w:r>
          </w:p>
        </w:tc>
        <w:tc>
          <w:tcPr>
            <w:tcW w:w="1985" w:type="dxa"/>
          </w:tcPr>
          <w:p>
            <w:pPr>
              <w:pStyle w:val="GesAbsatz"/>
              <w:tabs>
                <w:tab w:val="clear" w:pos="425"/>
              </w:tabs>
            </w:pPr>
            <w:r>
              <w:t>1.0.22</w:t>
            </w:r>
          </w:p>
        </w:tc>
      </w:tr>
      <w:tr>
        <w:tc>
          <w:tcPr>
            <w:tcW w:w="2263" w:type="dxa"/>
          </w:tcPr>
          <w:p>
            <w:pPr>
              <w:pStyle w:val="GesAbsatz"/>
              <w:tabs>
                <w:tab w:val="clear" w:pos="425"/>
              </w:tabs>
            </w:pPr>
            <w:r>
              <w:lastRenderedPageBreak/>
              <w:t>1.3.21</w:t>
            </w:r>
          </w:p>
        </w:tc>
        <w:tc>
          <w:tcPr>
            <w:tcW w:w="1985" w:type="dxa"/>
          </w:tcPr>
          <w:p>
            <w:pPr>
              <w:pStyle w:val="GesAbsatz"/>
              <w:tabs>
                <w:tab w:val="clear" w:pos="425"/>
              </w:tabs>
            </w:pPr>
            <w:r>
              <w:t>1.0.21</w:t>
            </w:r>
          </w:p>
        </w:tc>
      </w:tr>
    </w:tbl>
    <w:p>
      <w:pPr>
        <w:pStyle w:val="GesAbsatz"/>
      </w:pPr>
      <w:r>
        <w:t xml:space="preserve">Stellungnahme der TÜV Rheinland </w:t>
      </w:r>
      <w:proofErr w:type="spellStart"/>
      <w:r>
        <w:t>Energy</w:t>
      </w:r>
      <w:proofErr w:type="spellEnd"/>
      <w:r>
        <w:t xml:space="preserve"> GmbH vom 7. Mai 2020</w:t>
      </w:r>
    </w:p>
    <w:p>
      <w:pPr>
        <w:pStyle w:val="GesAbsatz"/>
      </w:pPr>
    </w:p>
    <w:p>
      <w:pPr>
        <w:pStyle w:val="GesAbsatz"/>
        <w:ind w:left="425" w:hanging="425"/>
        <w:rPr>
          <w:b/>
        </w:rPr>
      </w:pPr>
      <w:r>
        <w:rPr>
          <w:b/>
        </w:rPr>
        <w:t>22</w:t>
      </w:r>
      <w:r>
        <w:rPr>
          <w:b/>
        </w:rPr>
        <w:tab/>
        <w:t>Mitteilung zu den Bekanntmachungen des Umweltbundesamtes vom 21. Februar 2018 (BAnz AT 26.08.2018 B8, Kapitel III Nummer 1.1) und vom 24. Februar 2020 (BAnz AT 24.03.2020 B7, Kapitel IV, 68. Mitteilung)</w:t>
      </w:r>
    </w:p>
    <w:p>
      <w:pPr>
        <w:pStyle w:val="GesAbsatz"/>
      </w:pPr>
      <w:r>
        <w:t>Die aktuelle Softwareversion der Messeinrichtung T200P für NO, NO</w:t>
      </w:r>
      <w:r>
        <w:rPr>
          <w:vertAlign w:val="subscript"/>
        </w:rPr>
        <w:t>2</w:t>
      </w:r>
      <w:r>
        <w:t xml:space="preserve"> und NO</w:t>
      </w:r>
      <w:r>
        <w:rPr>
          <w:vertAlign w:val="subscript"/>
        </w:rPr>
        <w:t>x</w:t>
      </w:r>
      <w:r>
        <w:t xml:space="preserve"> der Firma Teledyne API lautet:</w:t>
      </w:r>
    </w:p>
    <w:p>
      <w:pPr>
        <w:pStyle w:val="GesAbsatz"/>
        <w:tabs>
          <w:tab w:val="clear" w:pos="425"/>
          <w:tab w:val="left" w:pos="2268"/>
        </w:tabs>
      </w:pPr>
      <w:r>
        <w:t>Package Version:</w:t>
      </w:r>
      <w:r>
        <w:tab/>
        <w:t>1.3.27</w:t>
      </w:r>
    </w:p>
    <w:p>
      <w:pPr>
        <w:pStyle w:val="GesAbsatz"/>
        <w:tabs>
          <w:tab w:val="clear" w:pos="425"/>
          <w:tab w:val="left" w:pos="2268"/>
        </w:tabs>
      </w:pPr>
      <w:r>
        <w:t>Driver Version:</w:t>
      </w:r>
      <w:r>
        <w:tab/>
        <w:t>1.0.22</w:t>
      </w:r>
    </w:p>
    <w:p>
      <w:pPr>
        <w:pStyle w:val="GesAbsatz"/>
      </w:pPr>
      <w:r>
        <w:t>Folgende Versionen sind hierin eingeschlossen:</w:t>
      </w:r>
    </w:p>
    <w:tbl>
      <w:tblPr>
        <w:tblStyle w:val="Tabellenraster"/>
        <w:tblW w:w="0" w:type="auto"/>
        <w:tblLook w:val="04A0" w:firstRow="1" w:lastRow="0" w:firstColumn="1" w:lastColumn="0" w:noHBand="0" w:noVBand="1"/>
      </w:tblPr>
      <w:tblGrid>
        <w:gridCol w:w="2263"/>
        <w:gridCol w:w="1985"/>
      </w:tblGrid>
      <w:tr>
        <w:tc>
          <w:tcPr>
            <w:tcW w:w="2263" w:type="dxa"/>
          </w:tcPr>
          <w:p>
            <w:pPr>
              <w:pStyle w:val="GesAbsatz"/>
              <w:tabs>
                <w:tab w:val="clear" w:pos="425"/>
              </w:tabs>
            </w:pPr>
            <w:r>
              <w:t>Package Version</w:t>
            </w:r>
          </w:p>
        </w:tc>
        <w:tc>
          <w:tcPr>
            <w:tcW w:w="1985" w:type="dxa"/>
          </w:tcPr>
          <w:p>
            <w:pPr>
              <w:pStyle w:val="GesAbsatz"/>
              <w:tabs>
                <w:tab w:val="clear" w:pos="425"/>
              </w:tabs>
            </w:pPr>
            <w:r>
              <w:t>Driver Version</w:t>
            </w:r>
          </w:p>
        </w:tc>
      </w:tr>
      <w:tr>
        <w:tc>
          <w:tcPr>
            <w:tcW w:w="2263" w:type="dxa"/>
          </w:tcPr>
          <w:p>
            <w:pPr>
              <w:pStyle w:val="GesAbsatz"/>
              <w:tabs>
                <w:tab w:val="clear" w:pos="425"/>
              </w:tabs>
            </w:pPr>
            <w:r>
              <w:t>1.3.26</w:t>
            </w:r>
          </w:p>
        </w:tc>
        <w:tc>
          <w:tcPr>
            <w:tcW w:w="1985" w:type="dxa"/>
          </w:tcPr>
          <w:p>
            <w:pPr>
              <w:pStyle w:val="GesAbsatz"/>
              <w:tabs>
                <w:tab w:val="clear" w:pos="425"/>
              </w:tabs>
            </w:pPr>
            <w:r>
              <w:t>1.0.22</w:t>
            </w:r>
          </w:p>
        </w:tc>
      </w:tr>
      <w:tr>
        <w:tc>
          <w:tcPr>
            <w:tcW w:w="2263" w:type="dxa"/>
          </w:tcPr>
          <w:p>
            <w:pPr>
              <w:pStyle w:val="GesAbsatz"/>
              <w:tabs>
                <w:tab w:val="clear" w:pos="425"/>
              </w:tabs>
            </w:pPr>
            <w:r>
              <w:t>1.3.23</w:t>
            </w:r>
          </w:p>
        </w:tc>
        <w:tc>
          <w:tcPr>
            <w:tcW w:w="1985" w:type="dxa"/>
          </w:tcPr>
          <w:p>
            <w:pPr>
              <w:pStyle w:val="GesAbsatz"/>
              <w:tabs>
                <w:tab w:val="clear" w:pos="425"/>
              </w:tabs>
            </w:pPr>
            <w:r>
              <w:t>1.0.22</w:t>
            </w:r>
          </w:p>
        </w:tc>
      </w:tr>
      <w:tr>
        <w:tc>
          <w:tcPr>
            <w:tcW w:w="2263" w:type="dxa"/>
          </w:tcPr>
          <w:p>
            <w:pPr>
              <w:pStyle w:val="GesAbsatz"/>
              <w:tabs>
                <w:tab w:val="clear" w:pos="425"/>
              </w:tabs>
            </w:pPr>
            <w:r>
              <w:t>1.3.21</w:t>
            </w:r>
          </w:p>
        </w:tc>
        <w:tc>
          <w:tcPr>
            <w:tcW w:w="1985" w:type="dxa"/>
          </w:tcPr>
          <w:p>
            <w:pPr>
              <w:pStyle w:val="GesAbsatz"/>
              <w:tabs>
                <w:tab w:val="clear" w:pos="425"/>
              </w:tabs>
            </w:pPr>
            <w:r>
              <w:t>1.0.21</w:t>
            </w:r>
          </w:p>
        </w:tc>
      </w:tr>
    </w:tbl>
    <w:p>
      <w:pPr>
        <w:pStyle w:val="GesAbsatz"/>
      </w:pPr>
      <w:r>
        <w:t xml:space="preserve">Stellungnahme der TÜV Rheinland </w:t>
      </w:r>
      <w:proofErr w:type="spellStart"/>
      <w:r>
        <w:t>Energy</w:t>
      </w:r>
      <w:proofErr w:type="spellEnd"/>
      <w:r>
        <w:t xml:space="preserve"> GmbH vom 2. März 2020</w:t>
      </w:r>
    </w:p>
    <w:p>
      <w:pPr>
        <w:pStyle w:val="GesAbsatz"/>
        <w:ind w:left="425" w:hanging="425"/>
        <w:rPr>
          <w:b/>
        </w:rPr>
      </w:pPr>
      <w:r>
        <w:rPr>
          <w:b/>
        </w:rPr>
        <w:t>23</w:t>
      </w:r>
      <w:r>
        <w:rPr>
          <w:b/>
        </w:rPr>
        <w:tab/>
        <w:t>Mitteilung zu der Bekanntmachung des Umweltbundesamtes vom 26. Februar 2018 (BAnz AT 26.03.2018 B8, Kapitel I Nummer 3.4)</w:t>
      </w:r>
    </w:p>
    <w:p>
      <w:pPr>
        <w:pStyle w:val="GesAbsatz"/>
      </w:pPr>
      <w:r>
        <w:t xml:space="preserve">Die aktuelle Softwareversion der Messeinrichtung </w:t>
      </w:r>
      <w:proofErr w:type="spellStart"/>
      <w:r>
        <w:t>LasIR</w:t>
      </w:r>
      <w:proofErr w:type="spellEnd"/>
      <w:r>
        <w:t xml:space="preserve"> für HCl und H</w:t>
      </w:r>
      <w:r>
        <w:rPr>
          <w:vertAlign w:val="subscript"/>
        </w:rPr>
        <w:t>2</w:t>
      </w:r>
      <w:r>
        <w:t xml:space="preserve">O der Firma </w:t>
      </w:r>
      <w:proofErr w:type="spellStart"/>
      <w:r>
        <w:t>Unisearch</w:t>
      </w:r>
      <w:proofErr w:type="spellEnd"/>
      <w:r>
        <w:t xml:space="preserve"> Associates Inc. lautet:</w:t>
      </w:r>
    </w:p>
    <w:p>
      <w:pPr>
        <w:pStyle w:val="GesAbsatz"/>
      </w:pPr>
      <w:r>
        <w:t>4.95</w:t>
      </w:r>
    </w:p>
    <w:p>
      <w:pPr>
        <w:pStyle w:val="GesAbsatz"/>
      </w:pPr>
      <w:r>
        <w:t xml:space="preserve">Stellungnahme der TÜV Rheinland </w:t>
      </w:r>
      <w:proofErr w:type="spellStart"/>
      <w:r>
        <w:t>Energy</w:t>
      </w:r>
      <w:proofErr w:type="spellEnd"/>
      <w:r>
        <w:t xml:space="preserve"> GmbH vom 27. Februar 2020</w:t>
      </w:r>
    </w:p>
    <w:p>
      <w:pPr>
        <w:pStyle w:val="GesAbsatz"/>
        <w:ind w:left="426" w:hanging="426"/>
        <w:rPr>
          <w:b/>
        </w:rPr>
      </w:pPr>
      <w:r>
        <w:rPr>
          <w:b/>
        </w:rPr>
        <w:t>24</w:t>
      </w:r>
      <w:r>
        <w:rPr>
          <w:b/>
        </w:rPr>
        <w:tab/>
        <w:t>Mitteilung zu den Bekanntmachungen des Umweltbundesamtes vom 27. Februar 2014 (BAnz AT 01.04.2014 B12, Kapitel I Nummer 2.1) und vom 13. Juli 2017 (BAnz AT 31.07.2017 B12, Kapitel II, 28. Mitteilung)</w:t>
      </w:r>
    </w:p>
    <w:p>
      <w:pPr>
        <w:pStyle w:val="GesAbsatz"/>
      </w:pPr>
      <w:r>
        <w:t xml:space="preserve">Die aktuelle Softwareversion der Messeinrichtung </w:t>
      </w:r>
      <w:proofErr w:type="spellStart"/>
      <w:r>
        <w:t>LasIR</w:t>
      </w:r>
      <w:proofErr w:type="spellEnd"/>
      <w:r>
        <w:t xml:space="preserve"> für HF der Firma </w:t>
      </w:r>
      <w:proofErr w:type="spellStart"/>
      <w:r>
        <w:t>Unisearch</w:t>
      </w:r>
      <w:proofErr w:type="spellEnd"/>
      <w:r>
        <w:t xml:space="preserve"> Associates Inc. lautet:</w:t>
      </w:r>
    </w:p>
    <w:p>
      <w:pPr>
        <w:pStyle w:val="GesAbsatz"/>
      </w:pPr>
      <w:r>
        <w:t>4.95</w:t>
      </w:r>
    </w:p>
    <w:p>
      <w:pPr>
        <w:pStyle w:val="GesAbsatz"/>
      </w:pPr>
      <w:r>
        <w:t xml:space="preserve">Stellungnahme der TÜV Rheinland </w:t>
      </w:r>
      <w:proofErr w:type="spellStart"/>
      <w:r>
        <w:t>Energy</w:t>
      </w:r>
      <w:proofErr w:type="spellEnd"/>
      <w:r>
        <w:t xml:space="preserve"> GmbH vom 27. Februar 2020</w:t>
      </w:r>
    </w:p>
    <w:p>
      <w:pPr>
        <w:pStyle w:val="GesAbsatz"/>
        <w:ind w:left="425" w:hanging="425"/>
        <w:rPr>
          <w:b/>
        </w:rPr>
      </w:pPr>
      <w:r>
        <w:rPr>
          <w:b/>
        </w:rPr>
        <w:t>25</w:t>
      </w:r>
      <w:r>
        <w:rPr>
          <w:b/>
        </w:rPr>
        <w:tab/>
        <w:t>Mitteilung zu den Bekanntmachungen des Umweltbundesamtes vom 12. Februar 2013 (BAnz AT 05.03.2013 B10, Kapitel IV Nummer 1.1) und vom 27. Februar 2019 (BAnz AT 26.03.2019 B7, Kapitel IV, 32. Mitteilung)</w:t>
      </w:r>
    </w:p>
    <w:p>
      <w:pPr>
        <w:pStyle w:val="GesAbsatz"/>
      </w:pPr>
      <w:r>
        <w:t xml:space="preserve">Die Firma </w:t>
      </w:r>
      <w:proofErr w:type="spellStart"/>
      <w:r>
        <w:t>Environnement</w:t>
      </w:r>
      <w:proofErr w:type="spellEnd"/>
      <w:r>
        <w:t xml:space="preserve"> S.A., </w:t>
      </w:r>
      <w:proofErr w:type="spellStart"/>
      <w:r>
        <w:t>Poissy</w:t>
      </w:r>
      <w:proofErr w:type="spellEnd"/>
      <w:r>
        <w:t>, Frankreich hat sich umbenannt und agiert jetzt unter dem Namen ENVEA.</w:t>
      </w:r>
    </w:p>
    <w:p>
      <w:pPr>
        <w:pStyle w:val="GesAbsatz"/>
      </w:pPr>
      <w:r>
        <w:t>Die Messeinrichtung VOC72M für Benzol der Firma ENVEA ist jetzt mit einem Farb-</w:t>
      </w:r>
      <w:proofErr w:type="spellStart"/>
      <w:r>
        <w:t>Touchscreendisplay</w:t>
      </w:r>
      <w:proofErr w:type="spellEnd"/>
      <w:r>
        <w:t xml:space="preserve"> zur Systemsteuerung und zur Anzeige der Messwerte und Geräteparameter (mit dem Elektronikboard ARM20) ausgestattet.</w:t>
      </w:r>
    </w:p>
    <w:p>
      <w:pPr>
        <w:pStyle w:val="GesAbsatz"/>
      </w:pPr>
      <w:r>
        <w:t xml:space="preserve">Stellungnahme der TÜV Rheinland </w:t>
      </w:r>
      <w:proofErr w:type="spellStart"/>
      <w:r>
        <w:t>Energy</w:t>
      </w:r>
      <w:proofErr w:type="spellEnd"/>
      <w:r>
        <w:t xml:space="preserve"> GmbH vom 1. Oktober 2019</w:t>
      </w:r>
    </w:p>
    <w:p>
      <w:pPr>
        <w:pStyle w:val="GesAbsatz"/>
        <w:ind w:left="425" w:hanging="425"/>
        <w:rPr>
          <w:b/>
        </w:rPr>
      </w:pPr>
      <w:r>
        <w:rPr>
          <w:b/>
        </w:rPr>
        <w:t>26</w:t>
      </w:r>
      <w:r>
        <w:rPr>
          <w:b/>
        </w:rPr>
        <w:tab/>
        <w:t>Mitteilung zu der Bekanntmachung des Umweltbundesamtes vom 24. Februar 2020 (BAnz AT 24.03.2020 B7, Kapitel II Nummer 1.2)</w:t>
      </w:r>
    </w:p>
    <w:p>
      <w:pPr>
        <w:pStyle w:val="GesAbsatz"/>
      </w:pPr>
      <w:r>
        <w:t>In der oben genannten Bekanntmachung zu der Messeinrichtung Transmitter AMS 5200 mit ZrO</w:t>
      </w:r>
      <w:r>
        <w:rPr>
          <w:vertAlign w:val="subscript"/>
        </w:rPr>
        <w:t>2</w:t>
      </w:r>
      <w:r>
        <w:t>-Sonde Typ 3211-600 für Sauerstoff der AMS Analysen-, Mess- und Systemtechnik GmbH sind die Angaben der Berichtsnummer und des Berichtsdatums nicht korrekt, sie lauten richtig:</w:t>
      </w:r>
    </w:p>
    <w:p>
      <w:pPr>
        <w:pStyle w:val="GesAbsatz"/>
      </w:pPr>
      <w:r>
        <w:t>936/21239768/C vom 7. Mai 2020.</w:t>
      </w:r>
    </w:p>
    <w:p>
      <w:pPr>
        <w:pStyle w:val="GesAbsatz"/>
      </w:pPr>
      <w:r>
        <w:t xml:space="preserve">Stellungnahme der TÜV Rheinland </w:t>
      </w:r>
      <w:proofErr w:type="spellStart"/>
      <w:r>
        <w:t>Energy</w:t>
      </w:r>
      <w:proofErr w:type="spellEnd"/>
      <w:r>
        <w:t xml:space="preserve"> GmbH vom 12. Mai 2020</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27.05.2020 (BAnz AT v. 31.07.2020 B10)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61.4-77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185855-DB9B-49F0-A824-7783F52E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446F-F849-4B50-B0B0-AB3498E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3004</Words>
  <Characters>18502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4</cp:revision>
  <cp:lastPrinted>2004-12-14T12:08:00Z</cp:lastPrinted>
  <dcterms:created xsi:type="dcterms:W3CDTF">2020-11-12T07:27:00Z</dcterms:created>
  <dcterms:modified xsi:type="dcterms:W3CDTF">2024-07-18T08:10:00Z</dcterms:modified>
</cp:coreProperties>
</file>