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2177721"/>
      <w:bookmarkStart w:id="1" w:name="_GoBack"/>
      <w:bookmarkEnd w:id="1"/>
      <w:r>
        <w:t>Bekanntmachung über die bundeseinheitliche Praxis</w:t>
      </w:r>
      <w:r>
        <w:br/>
        <w:t>bei der Überwachung der Emissionen und der Immissionen</w:t>
      </w:r>
      <w:bookmarkEnd w:id="0"/>
    </w:p>
    <w:p>
      <w:pPr>
        <w:pStyle w:val="GesAbsatz"/>
        <w:jc w:val="center"/>
      </w:pPr>
      <w:r>
        <w:t>vom 18. April 2017</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82177721"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_Toc482177721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177722"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_Toc482177722 \h </w:instrText>
        </w:r>
        <w:r>
          <w:rPr>
            <w:noProof/>
            <w:webHidden/>
          </w:rPr>
        </w:r>
        <w:r>
          <w:rPr>
            <w:noProof/>
            <w:webHidden/>
          </w:rPr>
          <w:fldChar w:fldCharType="separate"/>
        </w:r>
        <w:r>
          <w:rPr>
            <w:noProof/>
            <w:webHidden/>
          </w:rPr>
          <w:t>1</w:t>
        </w:r>
        <w:r>
          <w:rPr>
            <w:noProof/>
            <w:webHidden/>
          </w:rPr>
          <w:fldChar w:fldCharType="end"/>
        </w:r>
      </w:hyperlink>
    </w:p>
    <w:p>
      <w:pPr>
        <w:pStyle w:val="GesAbsatz"/>
        <w:jc w:val="left"/>
      </w:pPr>
      <w:r>
        <w:fldChar w:fldCharType="end"/>
      </w:r>
    </w:p>
    <w:p>
      <w:pPr>
        <w:pStyle w:val="berschrift2"/>
      </w:pPr>
      <w:bookmarkStart w:id="2" w:name="_Toc482177722"/>
      <w:r>
        <w:t>I.</w:t>
      </w:r>
      <w:r>
        <w:br/>
        <w:t>Eignung von Messeinrichtungen zur kontinuierlichen Überwachung von Emissionen</w:t>
      </w:r>
      <w:bookmarkEnd w:id="2"/>
    </w:p>
    <w:p>
      <w:pPr>
        <w:pStyle w:val="GesAbsatz"/>
      </w:pPr>
      <w:r>
        <w:t xml:space="preserve">Die obersten Immissionsschutzbehörden der Länder haben die Ergebnisse der Eignungsprüfungen begutachtet und sind zu einem positiven Gesamturteil gelangt. </w:t>
      </w:r>
    </w:p>
    <w:p>
      <w:pPr>
        <w:pStyle w:val="GesAbsatz"/>
      </w:pPr>
      <w:r>
        <w:t>Unter Bezugnahme auf Nummer 3 der Richtlinie über die Bundeseinheitliche Praxis bei der Überwachung der Emissionen – Rundschreiben des Bundesministeriums für Umwelt, Naturschutz und Reaktorsicherheit – IG I 2 – 45053/5 (GMBl 2005, S. 795), zuletzt geändert am 4. August 2010 (GMBl 2010, S. 1172), erfolgt die Eignungsbekanntgabe.</w:t>
      </w:r>
    </w:p>
    <w:p>
      <w:pPr>
        <w:pStyle w:val="GesAbsatz"/>
        <w:rPr>
          <w:b/>
        </w:rPr>
      </w:pPr>
      <w:r>
        <w:rPr>
          <w:b/>
        </w:rPr>
        <w:t>1</w:t>
      </w:r>
      <w:r>
        <w:rPr>
          <w:b/>
        </w:rPr>
        <w:tab/>
        <w:t>Mehrkomponentenmesseinrichtungen</w:t>
      </w:r>
    </w:p>
    <w:p>
      <w:pPr>
        <w:pStyle w:val="GesAbsatz"/>
        <w:rPr>
          <w:b/>
          <w:lang w:val="en-US"/>
        </w:rPr>
      </w:pPr>
      <w:r>
        <w:rPr>
          <w:b/>
          <w:lang w:val="en-US"/>
        </w:rPr>
        <w:t>1.1</w:t>
      </w:r>
      <w:r>
        <w:rPr>
          <w:b/>
          <w:lang w:val="en-US"/>
        </w:rPr>
        <w:tab/>
        <w:t xml:space="preserve">AO2000-Limas21 UV </w:t>
      </w:r>
      <w:r>
        <w:rPr>
          <w:b/>
        </w:rPr>
        <w:t>für</w:t>
      </w:r>
      <w:r>
        <w:rPr>
          <w:b/>
          <w:lang w:val="en-US"/>
        </w:rPr>
        <w:t xml:space="preserve"> NO, NO</w:t>
      </w:r>
      <w:r>
        <w:rPr>
          <w:b/>
          <w:vertAlign w:val="subscript"/>
          <w:lang w:val="en-US"/>
        </w:rPr>
        <w:t>2</w:t>
      </w:r>
      <w:r>
        <w:rPr>
          <w:b/>
          <w:lang w:val="en-US"/>
        </w:rPr>
        <w:t>,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ABB Automation GmbH, Frankfurt am Main</w:t>
      </w:r>
    </w:p>
    <w:p>
      <w:pPr>
        <w:pStyle w:val="GesAbsatz"/>
      </w:pPr>
      <w:r>
        <w:t>Eignung:</w:t>
      </w:r>
    </w:p>
    <w:p>
      <w:pPr>
        <w:pStyle w:val="GesAbsatz"/>
      </w:pPr>
      <w:r>
        <w:t xml:space="preserve">Messsystem in der Limas21-Variante CEM200Q für Anlagen der 13. BImSchV, die die Bedingungen des § 20 Absatz 4 und für Anlagen der 17. BImSchV, die die Bedingungen des § 16 Absatz 3 erfüllen </w:t>
      </w:r>
    </w:p>
    <w:p>
      <w:pPr>
        <w:pStyle w:val="GesAbsatz"/>
      </w:pPr>
      <w:r>
        <w:t xml:space="preserve">Messsystem in der Limas21-Variante CEM236Q und CEM260Q für genehmigungsbedürftige Anlagen </w:t>
      </w:r>
    </w:p>
    <w:p>
      <w:pPr>
        <w:pStyle w:val="GesAbsatz"/>
      </w:pPr>
      <w:r>
        <w:t>Messbereiche in der Eignungsprüfung:</w:t>
      </w:r>
    </w:p>
    <w:tbl>
      <w:tblPr>
        <w:tblStyle w:val="Tabellenraster"/>
        <w:tblW w:w="0" w:type="auto"/>
        <w:tblLook w:val="04A0" w:firstRow="1" w:lastRow="0" w:firstColumn="1" w:lastColumn="0" w:noHBand="0" w:noVBand="1"/>
      </w:tblPr>
      <w:tblGrid>
        <w:gridCol w:w="1809"/>
        <w:gridCol w:w="1795"/>
        <w:gridCol w:w="1937"/>
        <w:gridCol w:w="1626"/>
        <w:gridCol w:w="1620"/>
      </w:tblGrid>
      <w:tr>
        <w:tc>
          <w:tcPr>
            <w:tcW w:w="1809" w:type="dxa"/>
          </w:tcPr>
          <w:p>
            <w:pPr>
              <w:pStyle w:val="GesAbsatz"/>
              <w:rPr>
                <w:sz w:val="18"/>
                <w:szCs w:val="18"/>
              </w:rPr>
            </w:pPr>
            <w:r>
              <w:rPr>
                <w:sz w:val="18"/>
                <w:szCs w:val="18"/>
              </w:rPr>
              <w:t>Limas21-Kennung*</w:t>
            </w:r>
          </w:p>
        </w:tc>
        <w:tc>
          <w:tcPr>
            <w:tcW w:w="1795" w:type="dxa"/>
          </w:tcPr>
          <w:p>
            <w:pPr>
              <w:pStyle w:val="GesAbsatz"/>
              <w:rPr>
                <w:sz w:val="18"/>
                <w:szCs w:val="18"/>
              </w:rPr>
            </w:pPr>
            <w:r>
              <w:rPr>
                <w:sz w:val="18"/>
                <w:szCs w:val="18"/>
              </w:rPr>
              <w:t xml:space="preserve">Komponente </w:t>
            </w:r>
          </w:p>
        </w:tc>
        <w:tc>
          <w:tcPr>
            <w:tcW w:w="1937" w:type="dxa"/>
          </w:tcPr>
          <w:p>
            <w:pPr>
              <w:pStyle w:val="GesAbsatz"/>
              <w:rPr>
                <w:sz w:val="18"/>
                <w:szCs w:val="18"/>
              </w:rPr>
            </w:pPr>
            <w:r>
              <w:rPr>
                <w:sz w:val="18"/>
                <w:szCs w:val="18"/>
              </w:rPr>
              <w:t>Zertifizierungsbereich</w:t>
            </w:r>
          </w:p>
        </w:tc>
        <w:tc>
          <w:tcPr>
            <w:tcW w:w="1626" w:type="dxa"/>
          </w:tcPr>
          <w:p>
            <w:pPr>
              <w:pStyle w:val="GesAbsatz"/>
              <w:rPr>
                <w:sz w:val="18"/>
                <w:szCs w:val="18"/>
              </w:rPr>
            </w:pPr>
            <w:r>
              <w:rPr>
                <w:sz w:val="18"/>
                <w:szCs w:val="18"/>
              </w:rPr>
              <w:t>zusätzliche Messbereiche</w:t>
            </w:r>
          </w:p>
        </w:tc>
        <w:tc>
          <w:tcPr>
            <w:tcW w:w="1620" w:type="dxa"/>
          </w:tcPr>
          <w:p>
            <w:pPr>
              <w:pStyle w:val="GesAbsatz"/>
              <w:rPr>
                <w:sz w:val="18"/>
                <w:szCs w:val="18"/>
              </w:rPr>
            </w:pPr>
            <w:r>
              <w:rPr>
                <w:sz w:val="18"/>
                <w:szCs w:val="18"/>
              </w:rPr>
              <w:t>Einheit</w:t>
            </w:r>
          </w:p>
        </w:tc>
      </w:tr>
      <w:tr>
        <w:tc>
          <w:tcPr>
            <w:tcW w:w="1809" w:type="dxa"/>
            <w:vMerge w:val="restart"/>
          </w:tcPr>
          <w:p>
            <w:pPr>
              <w:pStyle w:val="GesAbsatz"/>
              <w:rPr>
                <w:sz w:val="18"/>
                <w:szCs w:val="18"/>
              </w:rPr>
            </w:pPr>
            <w:r>
              <w:rPr>
                <w:rFonts w:ascii="AdvOT35fb1019" w:hAnsi="AdvOT35fb1019" w:cs="AdvOT35fb1019"/>
                <w:sz w:val="18"/>
                <w:szCs w:val="18"/>
              </w:rPr>
              <w:t>CEM236Q</w:t>
            </w:r>
          </w:p>
        </w:tc>
        <w:tc>
          <w:tcPr>
            <w:tcW w:w="1795" w:type="dxa"/>
          </w:tcPr>
          <w:p>
            <w:pPr>
              <w:pStyle w:val="GesAbsatz"/>
              <w:rPr>
                <w:sz w:val="18"/>
                <w:szCs w:val="18"/>
              </w:rPr>
            </w:pPr>
            <w:r>
              <w:rPr>
                <w:rFonts w:ascii="AdvOT35fb1019" w:hAnsi="AdvOT35fb1019" w:cs="AdvOT35fb1019"/>
                <w:sz w:val="18"/>
                <w:szCs w:val="18"/>
              </w:rPr>
              <w:t>NO</w:t>
            </w:r>
          </w:p>
        </w:tc>
        <w:tc>
          <w:tcPr>
            <w:tcW w:w="1937" w:type="dxa"/>
          </w:tcPr>
          <w:p>
            <w:pPr>
              <w:pStyle w:val="GesAbsatz"/>
              <w:rPr>
                <w:sz w:val="18"/>
                <w:szCs w:val="18"/>
              </w:rPr>
            </w:pPr>
            <w:r>
              <w:rPr>
                <w:sz w:val="18"/>
                <w:szCs w:val="18"/>
              </w:rPr>
              <w:t>0 – 25</w:t>
            </w:r>
          </w:p>
        </w:tc>
        <w:tc>
          <w:tcPr>
            <w:tcW w:w="1626" w:type="dxa"/>
          </w:tcPr>
          <w:p>
            <w:pPr>
              <w:pStyle w:val="GesAbsatz"/>
              <w:rPr>
                <w:sz w:val="18"/>
                <w:szCs w:val="18"/>
              </w:rPr>
            </w:pPr>
            <w:r>
              <w:rPr>
                <w:sz w:val="18"/>
                <w:szCs w:val="18"/>
              </w:rPr>
              <w:t>0 – 200</w:t>
            </w:r>
          </w:p>
        </w:tc>
        <w:tc>
          <w:tcPr>
            <w:tcW w:w="1620" w:type="dxa"/>
          </w:tcPr>
          <w:p>
            <w:pPr>
              <w:pStyle w:val="GesAbsatz"/>
              <w:rPr>
                <w:sz w:val="18"/>
                <w:szCs w:val="18"/>
                <w:vertAlign w:val="superscript"/>
              </w:rPr>
            </w:pPr>
            <w:r>
              <w:rPr>
                <w:sz w:val="18"/>
                <w:szCs w:val="18"/>
              </w:rPr>
              <w:t>mg/m</w:t>
            </w:r>
            <w:r>
              <w:rPr>
                <w:sz w:val="18"/>
                <w:szCs w:val="18"/>
                <w:vertAlign w:val="superscript"/>
              </w:rPr>
              <w:t>3</w:t>
            </w:r>
          </w:p>
        </w:tc>
      </w:tr>
      <w:tr>
        <w:tc>
          <w:tcPr>
            <w:tcW w:w="1809" w:type="dxa"/>
            <w:vMerge/>
          </w:tcPr>
          <w:p>
            <w:pPr>
              <w:pStyle w:val="GesAbsatz"/>
              <w:rPr>
                <w:sz w:val="18"/>
                <w:szCs w:val="18"/>
              </w:rPr>
            </w:pPr>
          </w:p>
        </w:tc>
        <w:tc>
          <w:tcPr>
            <w:tcW w:w="1795" w:type="dxa"/>
          </w:tcPr>
          <w:p>
            <w:pPr>
              <w:pStyle w:val="GesAbsatz"/>
              <w:rPr>
                <w:sz w:val="18"/>
                <w:szCs w:val="18"/>
              </w:rPr>
            </w:pPr>
            <w:r>
              <w:rPr>
                <w:rFonts w:ascii="AdvOT35fb1019" w:hAnsi="AdvOT35fb1019" w:cs="AdvOT35fb1019"/>
                <w:sz w:val="18"/>
                <w:szCs w:val="18"/>
              </w:rPr>
              <w:t>NO</w:t>
            </w:r>
            <w:r>
              <w:rPr>
                <w:rFonts w:ascii="AdvOT35fb1019" w:hAnsi="AdvOT35fb1019" w:cs="AdvOT35fb1019"/>
                <w:sz w:val="18"/>
                <w:szCs w:val="18"/>
                <w:vertAlign w:val="subscript"/>
              </w:rPr>
              <w:t>2</w:t>
            </w:r>
          </w:p>
        </w:tc>
        <w:tc>
          <w:tcPr>
            <w:tcW w:w="1937" w:type="dxa"/>
          </w:tcPr>
          <w:p>
            <w:pPr>
              <w:pStyle w:val="GesAbsatz"/>
              <w:rPr>
                <w:sz w:val="18"/>
                <w:szCs w:val="18"/>
              </w:rPr>
            </w:pPr>
            <w:r>
              <w:rPr>
                <w:sz w:val="18"/>
                <w:szCs w:val="18"/>
              </w:rPr>
              <w:t>0 – 50</w:t>
            </w:r>
          </w:p>
        </w:tc>
        <w:tc>
          <w:tcPr>
            <w:tcW w:w="1626" w:type="dxa"/>
          </w:tcPr>
          <w:p>
            <w:pPr>
              <w:pStyle w:val="GesAbsatz"/>
              <w:rPr>
                <w:sz w:val="18"/>
                <w:szCs w:val="18"/>
              </w:rPr>
            </w:pPr>
            <w:r>
              <w:rPr>
                <w:sz w:val="18"/>
                <w:szCs w:val="18"/>
              </w:rPr>
              <w:t>0 – 500</w:t>
            </w:r>
          </w:p>
        </w:tc>
        <w:tc>
          <w:tcPr>
            <w:tcW w:w="1620" w:type="dxa"/>
          </w:tcPr>
          <w:p>
            <w:pPr>
              <w:pStyle w:val="GesAbsatz"/>
              <w:rPr>
                <w:sz w:val="18"/>
                <w:szCs w:val="18"/>
                <w:vertAlign w:val="superscript"/>
              </w:rPr>
            </w:pPr>
            <w:r>
              <w:rPr>
                <w:sz w:val="18"/>
                <w:szCs w:val="18"/>
              </w:rPr>
              <w:t>mg/m</w:t>
            </w:r>
            <w:r>
              <w:rPr>
                <w:sz w:val="18"/>
                <w:szCs w:val="18"/>
                <w:vertAlign w:val="superscript"/>
              </w:rPr>
              <w:t>3</w:t>
            </w:r>
          </w:p>
        </w:tc>
      </w:tr>
      <w:tr>
        <w:tc>
          <w:tcPr>
            <w:tcW w:w="1809" w:type="dxa"/>
            <w:vMerge/>
          </w:tcPr>
          <w:p>
            <w:pPr>
              <w:pStyle w:val="GesAbsatz"/>
              <w:rPr>
                <w:sz w:val="18"/>
                <w:szCs w:val="18"/>
              </w:rPr>
            </w:pPr>
          </w:p>
        </w:tc>
        <w:tc>
          <w:tcPr>
            <w:tcW w:w="1795" w:type="dxa"/>
          </w:tcPr>
          <w:p>
            <w:pPr>
              <w:pStyle w:val="GesAbsatz"/>
              <w:rPr>
                <w:sz w:val="18"/>
                <w:szCs w:val="18"/>
              </w:rPr>
            </w:pPr>
            <w:r>
              <w:rPr>
                <w:rFonts w:ascii="AdvOT35fb1019" w:hAnsi="AdvOT35fb1019" w:cs="AdvOT35fb1019"/>
                <w:sz w:val="18"/>
                <w:szCs w:val="18"/>
              </w:rPr>
              <w:t>SO</w:t>
            </w:r>
            <w:r>
              <w:rPr>
                <w:rFonts w:ascii="AdvOT35fb1019" w:hAnsi="AdvOT35fb1019" w:cs="AdvOT35fb1019"/>
                <w:sz w:val="18"/>
                <w:szCs w:val="18"/>
                <w:vertAlign w:val="subscript"/>
              </w:rPr>
              <w:t>2</w:t>
            </w:r>
          </w:p>
        </w:tc>
        <w:tc>
          <w:tcPr>
            <w:tcW w:w="1937" w:type="dxa"/>
          </w:tcPr>
          <w:p>
            <w:pPr>
              <w:pStyle w:val="GesAbsatz"/>
              <w:rPr>
                <w:sz w:val="18"/>
                <w:szCs w:val="18"/>
              </w:rPr>
            </w:pPr>
            <w:r>
              <w:rPr>
                <w:sz w:val="18"/>
                <w:szCs w:val="18"/>
              </w:rPr>
              <w:t>0 – 75</w:t>
            </w:r>
          </w:p>
        </w:tc>
        <w:tc>
          <w:tcPr>
            <w:tcW w:w="1626" w:type="dxa"/>
          </w:tcPr>
          <w:p>
            <w:pPr>
              <w:pStyle w:val="GesAbsatz"/>
              <w:rPr>
                <w:sz w:val="18"/>
                <w:szCs w:val="18"/>
              </w:rPr>
            </w:pPr>
            <w:r>
              <w:rPr>
                <w:sz w:val="18"/>
                <w:szCs w:val="18"/>
              </w:rPr>
              <w:t>0 – 300</w:t>
            </w:r>
          </w:p>
        </w:tc>
        <w:tc>
          <w:tcPr>
            <w:tcW w:w="1620" w:type="dxa"/>
          </w:tcPr>
          <w:p>
            <w:pPr>
              <w:pStyle w:val="GesAbsatz"/>
              <w:rPr>
                <w:sz w:val="18"/>
                <w:szCs w:val="18"/>
                <w:vertAlign w:val="superscript"/>
              </w:rPr>
            </w:pPr>
            <w:r>
              <w:rPr>
                <w:sz w:val="18"/>
                <w:szCs w:val="18"/>
              </w:rPr>
              <w:t>mg/m</w:t>
            </w:r>
            <w:r>
              <w:rPr>
                <w:sz w:val="18"/>
                <w:szCs w:val="18"/>
                <w:vertAlign w:val="superscript"/>
              </w:rPr>
              <w:t>3</w:t>
            </w:r>
          </w:p>
        </w:tc>
      </w:tr>
      <w:tr>
        <w:tc>
          <w:tcPr>
            <w:tcW w:w="1809" w:type="dxa"/>
          </w:tcPr>
          <w:p>
            <w:pPr>
              <w:pStyle w:val="GesAbsatz"/>
              <w:rPr>
                <w:sz w:val="18"/>
                <w:szCs w:val="18"/>
              </w:rPr>
            </w:pPr>
            <w:r>
              <w:rPr>
                <w:sz w:val="18"/>
                <w:szCs w:val="18"/>
              </w:rPr>
              <w:t>-</w:t>
            </w:r>
          </w:p>
        </w:tc>
        <w:tc>
          <w:tcPr>
            <w:tcW w:w="1795" w:type="dxa"/>
          </w:tcPr>
          <w:p>
            <w:pPr>
              <w:pStyle w:val="GesAbsatz"/>
              <w:rPr>
                <w:sz w:val="18"/>
                <w:szCs w:val="18"/>
              </w:rPr>
            </w:pPr>
            <w:r>
              <w:rPr>
                <w:rFonts w:ascii="AdvOT35fb1019" w:hAnsi="AdvOT35fb1019" w:cs="AdvOT35fb1019"/>
                <w:sz w:val="18"/>
                <w:szCs w:val="18"/>
              </w:rPr>
              <w:t>O</w:t>
            </w:r>
            <w:r>
              <w:rPr>
                <w:rFonts w:ascii="AdvOT35fb1019" w:hAnsi="AdvOT35fb1019" w:cs="AdvOT35fb1019"/>
                <w:sz w:val="18"/>
                <w:szCs w:val="18"/>
                <w:vertAlign w:val="subscript"/>
              </w:rPr>
              <w:t>2</w:t>
            </w:r>
            <w:r>
              <w:rPr>
                <w:rFonts w:ascii="AdvOT35fb1019" w:hAnsi="AdvOT35fb1019" w:cs="AdvOT35fb1019"/>
                <w:sz w:val="18"/>
                <w:szCs w:val="18"/>
              </w:rPr>
              <w:t xml:space="preserve"> elektrochemisch</w:t>
            </w:r>
          </w:p>
        </w:tc>
        <w:tc>
          <w:tcPr>
            <w:tcW w:w="1937" w:type="dxa"/>
          </w:tcPr>
          <w:p>
            <w:pPr>
              <w:pStyle w:val="GesAbsatz"/>
              <w:rPr>
                <w:sz w:val="18"/>
                <w:szCs w:val="18"/>
              </w:rPr>
            </w:pPr>
            <w:r>
              <w:rPr>
                <w:sz w:val="18"/>
                <w:szCs w:val="18"/>
              </w:rPr>
              <w:t>0 – 25</w:t>
            </w:r>
          </w:p>
        </w:tc>
        <w:tc>
          <w:tcPr>
            <w:tcW w:w="1626" w:type="dxa"/>
          </w:tcPr>
          <w:p>
            <w:pPr>
              <w:pStyle w:val="GesAbsatz"/>
              <w:rPr>
                <w:sz w:val="18"/>
                <w:szCs w:val="18"/>
              </w:rPr>
            </w:pPr>
            <w:r>
              <w:rPr>
                <w:sz w:val="18"/>
                <w:szCs w:val="18"/>
              </w:rPr>
              <w:t>-</w:t>
            </w:r>
          </w:p>
        </w:tc>
        <w:tc>
          <w:tcPr>
            <w:tcW w:w="1620" w:type="dxa"/>
          </w:tcPr>
          <w:p>
            <w:pPr>
              <w:pStyle w:val="GesAbsatz"/>
              <w:rPr>
                <w:sz w:val="18"/>
                <w:szCs w:val="18"/>
              </w:rPr>
            </w:pPr>
            <w:r>
              <w:rPr>
                <w:sz w:val="18"/>
                <w:szCs w:val="18"/>
              </w:rPr>
              <w:t>Vol.-%</w:t>
            </w:r>
          </w:p>
        </w:tc>
      </w:tr>
      <w:tr>
        <w:tc>
          <w:tcPr>
            <w:tcW w:w="1809" w:type="dxa"/>
            <w:vMerge w:val="restart"/>
          </w:tcPr>
          <w:p>
            <w:pPr>
              <w:pStyle w:val="GesAbsatz"/>
              <w:rPr>
                <w:sz w:val="18"/>
                <w:szCs w:val="18"/>
              </w:rPr>
            </w:pPr>
            <w:r>
              <w:rPr>
                <w:rFonts w:ascii="AdvOT35fb1019" w:hAnsi="AdvOT35fb1019" w:cs="AdvOT35fb1019"/>
                <w:sz w:val="18"/>
                <w:szCs w:val="18"/>
              </w:rPr>
              <w:t>CEM260Q</w:t>
            </w:r>
          </w:p>
        </w:tc>
        <w:tc>
          <w:tcPr>
            <w:tcW w:w="1795" w:type="dxa"/>
          </w:tcPr>
          <w:p>
            <w:pPr>
              <w:pStyle w:val="GesAbsatz"/>
              <w:rPr>
                <w:sz w:val="18"/>
                <w:szCs w:val="18"/>
              </w:rPr>
            </w:pPr>
            <w:r>
              <w:rPr>
                <w:rFonts w:ascii="AdvOT35fb1019" w:hAnsi="AdvOT35fb1019" w:cs="AdvOT35fb1019"/>
                <w:sz w:val="18"/>
                <w:szCs w:val="18"/>
              </w:rPr>
              <w:t>NO</w:t>
            </w:r>
          </w:p>
        </w:tc>
        <w:tc>
          <w:tcPr>
            <w:tcW w:w="1937" w:type="dxa"/>
          </w:tcPr>
          <w:p>
            <w:pPr>
              <w:pStyle w:val="GesAbsatz"/>
              <w:rPr>
                <w:sz w:val="18"/>
                <w:szCs w:val="18"/>
              </w:rPr>
            </w:pPr>
            <w:r>
              <w:rPr>
                <w:sz w:val="18"/>
                <w:szCs w:val="18"/>
              </w:rPr>
              <w:t>0 – 25</w:t>
            </w:r>
          </w:p>
        </w:tc>
        <w:tc>
          <w:tcPr>
            <w:tcW w:w="1626" w:type="dxa"/>
          </w:tcPr>
          <w:p>
            <w:pPr>
              <w:pStyle w:val="GesAbsatz"/>
              <w:rPr>
                <w:sz w:val="18"/>
                <w:szCs w:val="18"/>
              </w:rPr>
            </w:pPr>
            <w:r>
              <w:rPr>
                <w:sz w:val="18"/>
                <w:szCs w:val="18"/>
              </w:rPr>
              <w:t>0 – 200</w:t>
            </w:r>
          </w:p>
        </w:tc>
        <w:tc>
          <w:tcPr>
            <w:tcW w:w="1620" w:type="dxa"/>
          </w:tcPr>
          <w:p>
            <w:pPr>
              <w:pStyle w:val="GesAbsatz"/>
              <w:rPr>
                <w:sz w:val="18"/>
                <w:szCs w:val="18"/>
                <w:vertAlign w:val="superscript"/>
              </w:rPr>
            </w:pPr>
            <w:r>
              <w:rPr>
                <w:sz w:val="18"/>
                <w:szCs w:val="18"/>
              </w:rPr>
              <w:t>mg/m</w:t>
            </w:r>
            <w:r>
              <w:rPr>
                <w:sz w:val="18"/>
                <w:szCs w:val="18"/>
                <w:vertAlign w:val="superscript"/>
              </w:rPr>
              <w:t>3</w:t>
            </w:r>
          </w:p>
        </w:tc>
      </w:tr>
      <w:tr>
        <w:tc>
          <w:tcPr>
            <w:tcW w:w="1809" w:type="dxa"/>
            <w:vMerge/>
          </w:tcPr>
          <w:p>
            <w:pPr>
              <w:pStyle w:val="GesAbsatz"/>
              <w:rPr>
                <w:sz w:val="18"/>
                <w:szCs w:val="18"/>
              </w:rPr>
            </w:pPr>
          </w:p>
        </w:tc>
        <w:tc>
          <w:tcPr>
            <w:tcW w:w="1795" w:type="dxa"/>
          </w:tcPr>
          <w:p>
            <w:pPr>
              <w:pStyle w:val="GesAbsatz"/>
              <w:rPr>
                <w:sz w:val="18"/>
                <w:szCs w:val="18"/>
              </w:rPr>
            </w:pPr>
            <w:r>
              <w:rPr>
                <w:rFonts w:ascii="AdvOT35fb1019" w:hAnsi="AdvOT35fb1019" w:cs="AdvOT35fb1019"/>
                <w:sz w:val="18"/>
                <w:szCs w:val="18"/>
              </w:rPr>
              <w:t>NO</w:t>
            </w:r>
            <w:r>
              <w:rPr>
                <w:rFonts w:ascii="AdvOT35fb1019" w:hAnsi="AdvOT35fb1019" w:cs="AdvOT35fb1019"/>
                <w:sz w:val="18"/>
                <w:szCs w:val="18"/>
                <w:vertAlign w:val="subscript"/>
              </w:rPr>
              <w:t>2</w:t>
            </w:r>
          </w:p>
        </w:tc>
        <w:tc>
          <w:tcPr>
            <w:tcW w:w="1937" w:type="dxa"/>
          </w:tcPr>
          <w:p>
            <w:pPr>
              <w:pStyle w:val="GesAbsatz"/>
              <w:rPr>
                <w:sz w:val="18"/>
                <w:szCs w:val="18"/>
              </w:rPr>
            </w:pPr>
            <w:r>
              <w:rPr>
                <w:sz w:val="18"/>
                <w:szCs w:val="18"/>
              </w:rPr>
              <w:t>0 – 50</w:t>
            </w:r>
          </w:p>
        </w:tc>
        <w:tc>
          <w:tcPr>
            <w:tcW w:w="1626" w:type="dxa"/>
          </w:tcPr>
          <w:p>
            <w:pPr>
              <w:pStyle w:val="GesAbsatz"/>
              <w:rPr>
                <w:sz w:val="18"/>
                <w:szCs w:val="18"/>
              </w:rPr>
            </w:pPr>
            <w:r>
              <w:rPr>
                <w:sz w:val="18"/>
                <w:szCs w:val="18"/>
              </w:rPr>
              <w:t>0 – 500</w:t>
            </w:r>
          </w:p>
        </w:tc>
        <w:tc>
          <w:tcPr>
            <w:tcW w:w="1620" w:type="dxa"/>
          </w:tcPr>
          <w:p>
            <w:pPr>
              <w:pStyle w:val="GesAbsatz"/>
              <w:rPr>
                <w:sz w:val="18"/>
                <w:szCs w:val="18"/>
                <w:vertAlign w:val="superscript"/>
              </w:rPr>
            </w:pPr>
            <w:r>
              <w:rPr>
                <w:sz w:val="18"/>
                <w:szCs w:val="18"/>
              </w:rPr>
              <w:t>mg/m</w:t>
            </w:r>
            <w:r>
              <w:rPr>
                <w:sz w:val="18"/>
                <w:szCs w:val="18"/>
                <w:vertAlign w:val="superscript"/>
              </w:rPr>
              <w:t>3</w:t>
            </w:r>
          </w:p>
        </w:tc>
      </w:tr>
      <w:tr>
        <w:tc>
          <w:tcPr>
            <w:tcW w:w="1809" w:type="dxa"/>
          </w:tcPr>
          <w:p>
            <w:pPr>
              <w:pStyle w:val="GesAbsatz"/>
              <w:rPr>
                <w:sz w:val="18"/>
                <w:szCs w:val="18"/>
              </w:rPr>
            </w:pPr>
            <w:r>
              <w:rPr>
                <w:sz w:val="18"/>
                <w:szCs w:val="18"/>
              </w:rPr>
              <w:t>-</w:t>
            </w:r>
          </w:p>
        </w:tc>
        <w:tc>
          <w:tcPr>
            <w:tcW w:w="1795" w:type="dxa"/>
          </w:tcPr>
          <w:p>
            <w:pPr>
              <w:pStyle w:val="GesAbsatz"/>
              <w:rPr>
                <w:sz w:val="18"/>
                <w:szCs w:val="18"/>
              </w:rPr>
            </w:pPr>
            <w:r>
              <w:rPr>
                <w:rFonts w:ascii="AdvOT35fb1019" w:hAnsi="AdvOT35fb1019" w:cs="AdvOT35fb1019"/>
                <w:sz w:val="18"/>
                <w:szCs w:val="18"/>
              </w:rPr>
              <w:t>O</w:t>
            </w:r>
            <w:r>
              <w:rPr>
                <w:rFonts w:ascii="AdvOT35fb1019" w:hAnsi="AdvOT35fb1019" w:cs="AdvOT35fb1019"/>
                <w:sz w:val="18"/>
                <w:szCs w:val="18"/>
                <w:vertAlign w:val="subscript"/>
              </w:rPr>
              <w:t>2</w:t>
            </w:r>
            <w:r>
              <w:rPr>
                <w:rFonts w:ascii="AdvOT35fb1019" w:hAnsi="AdvOT35fb1019" w:cs="AdvOT35fb1019"/>
                <w:sz w:val="18"/>
                <w:szCs w:val="18"/>
              </w:rPr>
              <w:t xml:space="preserve"> elektrochemisch</w:t>
            </w:r>
          </w:p>
        </w:tc>
        <w:tc>
          <w:tcPr>
            <w:tcW w:w="1937" w:type="dxa"/>
          </w:tcPr>
          <w:p>
            <w:pPr>
              <w:pStyle w:val="GesAbsatz"/>
              <w:rPr>
                <w:sz w:val="18"/>
                <w:szCs w:val="18"/>
              </w:rPr>
            </w:pPr>
            <w:r>
              <w:rPr>
                <w:sz w:val="18"/>
                <w:szCs w:val="18"/>
              </w:rPr>
              <w:t>0 – 25</w:t>
            </w:r>
          </w:p>
        </w:tc>
        <w:tc>
          <w:tcPr>
            <w:tcW w:w="1626" w:type="dxa"/>
          </w:tcPr>
          <w:p>
            <w:pPr>
              <w:pStyle w:val="GesAbsatz"/>
              <w:rPr>
                <w:sz w:val="18"/>
                <w:szCs w:val="18"/>
              </w:rPr>
            </w:pPr>
            <w:r>
              <w:rPr>
                <w:sz w:val="18"/>
                <w:szCs w:val="18"/>
              </w:rPr>
              <w:t>-</w:t>
            </w:r>
          </w:p>
        </w:tc>
        <w:tc>
          <w:tcPr>
            <w:tcW w:w="1620" w:type="dxa"/>
          </w:tcPr>
          <w:p>
            <w:pPr>
              <w:pStyle w:val="GesAbsatz"/>
              <w:rPr>
                <w:sz w:val="18"/>
                <w:szCs w:val="18"/>
              </w:rPr>
            </w:pPr>
            <w:r>
              <w:rPr>
                <w:sz w:val="18"/>
                <w:szCs w:val="18"/>
              </w:rPr>
              <w:t>Vol.-%</w:t>
            </w:r>
          </w:p>
        </w:tc>
      </w:tr>
      <w:tr>
        <w:tc>
          <w:tcPr>
            <w:tcW w:w="1809" w:type="dxa"/>
          </w:tcPr>
          <w:p>
            <w:pPr>
              <w:pStyle w:val="GesAbsatz"/>
              <w:rPr>
                <w:sz w:val="18"/>
                <w:szCs w:val="18"/>
              </w:rPr>
            </w:pPr>
            <w:r>
              <w:rPr>
                <w:rFonts w:ascii="AdvOT35fb1019" w:hAnsi="AdvOT35fb1019" w:cs="AdvOT35fb1019"/>
                <w:sz w:val="18"/>
                <w:szCs w:val="18"/>
              </w:rPr>
              <w:t>CEM200Q</w:t>
            </w:r>
          </w:p>
        </w:tc>
        <w:tc>
          <w:tcPr>
            <w:tcW w:w="1795" w:type="dxa"/>
          </w:tcPr>
          <w:p>
            <w:pPr>
              <w:pStyle w:val="GesAbsatz"/>
              <w:rPr>
                <w:sz w:val="18"/>
                <w:szCs w:val="18"/>
              </w:rPr>
            </w:pPr>
            <w:r>
              <w:rPr>
                <w:rFonts w:ascii="AdvOT35fb1019" w:hAnsi="AdvOT35fb1019" w:cs="AdvOT35fb1019"/>
                <w:sz w:val="18"/>
                <w:szCs w:val="18"/>
              </w:rPr>
              <w:t>NO</w:t>
            </w:r>
          </w:p>
        </w:tc>
        <w:tc>
          <w:tcPr>
            <w:tcW w:w="1937" w:type="dxa"/>
          </w:tcPr>
          <w:p>
            <w:pPr>
              <w:pStyle w:val="GesAbsatz"/>
              <w:rPr>
                <w:sz w:val="18"/>
                <w:szCs w:val="18"/>
              </w:rPr>
            </w:pPr>
            <w:r>
              <w:rPr>
                <w:sz w:val="18"/>
                <w:szCs w:val="18"/>
              </w:rPr>
              <w:t>0 – 25</w:t>
            </w:r>
          </w:p>
        </w:tc>
        <w:tc>
          <w:tcPr>
            <w:tcW w:w="1626" w:type="dxa"/>
          </w:tcPr>
          <w:p>
            <w:pPr>
              <w:pStyle w:val="GesAbsatz"/>
              <w:rPr>
                <w:sz w:val="18"/>
                <w:szCs w:val="18"/>
              </w:rPr>
            </w:pPr>
            <w:r>
              <w:rPr>
                <w:sz w:val="18"/>
                <w:szCs w:val="18"/>
              </w:rPr>
              <w:t>0 – 200</w:t>
            </w:r>
          </w:p>
        </w:tc>
        <w:tc>
          <w:tcPr>
            <w:tcW w:w="1620" w:type="dxa"/>
          </w:tcPr>
          <w:p>
            <w:pPr>
              <w:pStyle w:val="GesAbsatz"/>
              <w:rPr>
                <w:sz w:val="18"/>
                <w:szCs w:val="18"/>
                <w:vertAlign w:val="superscript"/>
              </w:rPr>
            </w:pPr>
            <w:r>
              <w:rPr>
                <w:sz w:val="18"/>
                <w:szCs w:val="18"/>
              </w:rPr>
              <w:t>mg/m</w:t>
            </w:r>
            <w:r>
              <w:rPr>
                <w:sz w:val="18"/>
                <w:szCs w:val="18"/>
                <w:vertAlign w:val="superscript"/>
              </w:rPr>
              <w:t>3</w:t>
            </w:r>
          </w:p>
        </w:tc>
      </w:tr>
      <w:tr>
        <w:tc>
          <w:tcPr>
            <w:tcW w:w="1809" w:type="dxa"/>
          </w:tcPr>
          <w:p>
            <w:pPr>
              <w:pStyle w:val="GesAbsatz"/>
              <w:rPr>
                <w:sz w:val="18"/>
                <w:szCs w:val="18"/>
              </w:rPr>
            </w:pPr>
            <w:r>
              <w:rPr>
                <w:sz w:val="18"/>
                <w:szCs w:val="18"/>
              </w:rPr>
              <w:t>-</w:t>
            </w:r>
          </w:p>
        </w:tc>
        <w:tc>
          <w:tcPr>
            <w:tcW w:w="1795" w:type="dxa"/>
          </w:tcPr>
          <w:p>
            <w:pPr>
              <w:pStyle w:val="GesAbsatz"/>
              <w:rPr>
                <w:sz w:val="18"/>
                <w:szCs w:val="18"/>
              </w:rPr>
            </w:pPr>
            <w:r>
              <w:rPr>
                <w:rFonts w:ascii="AdvOT35fb1019" w:hAnsi="AdvOT35fb1019" w:cs="AdvOT35fb1019"/>
                <w:sz w:val="18"/>
                <w:szCs w:val="18"/>
              </w:rPr>
              <w:t>O</w:t>
            </w:r>
            <w:r>
              <w:rPr>
                <w:rFonts w:ascii="AdvOT35fb1019" w:hAnsi="AdvOT35fb1019" w:cs="AdvOT35fb1019"/>
                <w:sz w:val="18"/>
                <w:szCs w:val="18"/>
                <w:vertAlign w:val="subscript"/>
              </w:rPr>
              <w:t>2</w:t>
            </w:r>
            <w:r>
              <w:rPr>
                <w:rFonts w:ascii="AdvOT35fb1019" w:hAnsi="AdvOT35fb1019" w:cs="AdvOT35fb1019"/>
                <w:sz w:val="18"/>
                <w:szCs w:val="18"/>
              </w:rPr>
              <w:t xml:space="preserve"> elektrochemisch</w:t>
            </w:r>
          </w:p>
        </w:tc>
        <w:tc>
          <w:tcPr>
            <w:tcW w:w="1937" w:type="dxa"/>
          </w:tcPr>
          <w:p>
            <w:pPr>
              <w:pStyle w:val="GesAbsatz"/>
              <w:rPr>
                <w:sz w:val="18"/>
                <w:szCs w:val="18"/>
              </w:rPr>
            </w:pPr>
            <w:r>
              <w:rPr>
                <w:sz w:val="18"/>
                <w:szCs w:val="18"/>
              </w:rPr>
              <w:t>0 – 25</w:t>
            </w:r>
          </w:p>
        </w:tc>
        <w:tc>
          <w:tcPr>
            <w:tcW w:w="1626" w:type="dxa"/>
          </w:tcPr>
          <w:p>
            <w:pPr>
              <w:pStyle w:val="GesAbsatz"/>
              <w:rPr>
                <w:sz w:val="18"/>
                <w:szCs w:val="18"/>
              </w:rPr>
            </w:pPr>
            <w:r>
              <w:rPr>
                <w:sz w:val="18"/>
                <w:szCs w:val="18"/>
              </w:rPr>
              <w:t>-</w:t>
            </w:r>
          </w:p>
        </w:tc>
        <w:tc>
          <w:tcPr>
            <w:tcW w:w="1620" w:type="dxa"/>
          </w:tcPr>
          <w:p>
            <w:pPr>
              <w:pStyle w:val="GesAbsatz"/>
              <w:rPr>
                <w:sz w:val="18"/>
                <w:szCs w:val="18"/>
              </w:rPr>
            </w:pPr>
            <w:r>
              <w:rPr>
                <w:sz w:val="18"/>
                <w:szCs w:val="18"/>
              </w:rPr>
              <w:t>Vol.-%</w:t>
            </w:r>
          </w:p>
        </w:tc>
      </w:tr>
    </w:tbl>
    <w:p>
      <w:pPr>
        <w:pStyle w:val="GesAbsatz"/>
        <w:tabs>
          <w:tab w:val="clear" w:pos="425"/>
          <w:tab w:val="left" w:pos="284"/>
        </w:tabs>
        <w:rPr>
          <w:sz w:val="18"/>
          <w:szCs w:val="18"/>
        </w:rPr>
      </w:pPr>
      <w:r>
        <w:rPr>
          <w:sz w:val="18"/>
          <w:szCs w:val="18"/>
        </w:rPr>
        <w:t>*</w:t>
      </w:r>
      <w:r>
        <w:rPr>
          <w:sz w:val="18"/>
          <w:szCs w:val="18"/>
        </w:rPr>
        <w:tab/>
        <w:t>Die Limas21-Kennung bezieht sich auf das UV-Fotometer.</w:t>
      </w:r>
    </w:p>
    <w:p>
      <w:pPr>
        <w:pStyle w:val="GesAbsatz"/>
      </w:pPr>
      <w:r>
        <w:t>Softwareversionen:</w:t>
      </w:r>
    </w:p>
    <w:p>
      <w:pPr>
        <w:pStyle w:val="GesAbsatz"/>
        <w:tabs>
          <w:tab w:val="clear" w:pos="425"/>
        </w:tabs>
        <w:ind w:left="2127" w:hanging="2127"/>
      </w:pPr>
      <w:proofErr w:type="spellStart"/>
      <w:r>
        <w:t>Syscon</w:t>
      </w:r>
      <w:proofErr w:type="spellEnd"/>
      <w:r>
        <w:t xml:space="preserve"> Board: 5.1.4</w:t>
      </w:r>
    </w:p>
    <w:p>
      <w:pPr>
        <w:pStyle w:val="GesAbsatz"/>
        <w:tabs>
          <w:tab w:val="clear" w:pos="425"/>
        </w:tabs>
        <w:ind w:left="2127" w:hanging="2127"/>
      </w:pPr>
      <w:r>
        <w:t>Limas21-Modul: 3.7.0</w:t>
      </w:r>
    </w:p>
    <w:p>
      <w:pPr>
        <w:pStyle w:val="GesAbsatz"/>
      </w:pPr>
      <w:r>
        <w:t xml:space="preserve">Einschränkungen: </w:t>
      </w:r>
    </w:p>
    <w:p>
      <w:pPr>
        <w:pStyle w:val="GesAbsatz"/>
        <w:ind w:left="426" w:hanging="426"/>
      </w:pPr>
      <w:r>
        <w:lastRenderedPageBreak/>
        <w:t>1.</w:t>
      </w:r>
      <w:r>
        <w:tab/>
        <w:t>Für die Komponente NO wird die Mindestanforderung an die Querempfindlichkeit in der Limas21-Variante CEM200Q in der Eignungsprüfung nach DIN EN 15267-3 im Zertifizierungsbereich bei NO</w:t>
      </w:r>
      <w:r>
        <w:rPr>
          <w:vertAlign w:val="subscript"/>
        </w:rPr>
        <w:t>2</w:t>
      </w:r>
      <w:r>
        <w:t>-Konzentrationen &gt; 8 mg/m</w:t>
      </w:r>
      <w:r>
        <w:rPr>
          <w:vertAlign w:val="superscript"/>
        </w:rPr>
        <w:t>3</w:t>
      </w:r>
      <w:r>
        <w:t xml:space="preserve"> nicht erfüllt. Im zusätzlichen Messbereich darf die NO</w:t>
      </w:r>
      <w:r>
        <w:rPr>
          <w:vertAlign w:val="subscript"/>
        </w:rPr>
        <w:t>2</w:t>
      </w:r>
      <w:r>
        <w:t>-Konzentration 64 mg/m</w:t>
      </w:r>
      <w:r>
        <w:rPr>
          <w:vertAlign w:val="superscript"/>
        </w:rPr>
        <w:t>3</w:t>
      </w:r>
      <w:r>
        <w:t xml:space="preserve"> nicht übersteigen.</w:t>
      </w:r>
    </w:p>
    <w:p>
      <w:pPr>
        <w:pStyle w:val="GesAbsatz"/>
        <w:ind w:left="426" w:hanging="426"/>
      </w:pPr>
      <w:r>
        <w:t>2.</w:t>
      </w:r>
      <w:r>
        <w:tab/>
        <w:t>Der Einsatz der Messeinrichtung in der Limas21-Variante CEM200Q ist nur an Anlagen der 13. und 17. BImSchV möglich, bei denen die zuständige Behörde auf die kontinuierliche Messung des Stickstoffdioxids verzichtet und die Bestimmung durch Berechnung zugelassen hat, da sich aufgrund der Einsatzstoffe (13. BImSchV) bzw. der ein­gesetzten Abfälle oder Stoffe nach § 1 Absatz 1 17. BImSchV, der Bauart, der Betriebsweise oder auf Grund von Einzelmessungen ergibt, dass der Anteil des Stickstoffdioxids an den Stickstoffoxidemissionen unter 5 % (13. BImSchV) bzw. unter 10 % (17. BImSchV) liegt.</w:t>
      </w:r>
    </w:p>
    <w:p>
      <w:pPr>
        <w:pStyle w:val="GesAbsatz"/>
      </w:pPr>
      <w:r>
        <w:t xml:space="preserve">Hinweise: </w:t>
      </w:r>
    </w:p>
    <w:p>
      <w:pPr>
        <w:pStyle w:val="GesAbsatz"/>
        <w:ind w:left="426" w:hanging="426"/>
      </w:pPr>
      <w:r>
        <w:t>1.</w:t>
      </w:r>
      <w:r>
        <w:tab/>
        <w:t>Das Wartungsintervall beträgt vier Wochen.</w:t>
      </w:r>
    </w:p>
    <w:p>
      <w:pPr>
        <w:pStyle w:val="GesAbsatz"/>
        <w:ind w:left="426" w:hanging="426"/>
      </w:pPr>
      <w:r>
        <w:t>2.</w:t>
      </w:r>
      <w:r>
        <w:tab/>
        <w:t>Das Messsystem ist mit einem Intervall von 24 Stunden für die automatische Justierung zu betreiben. Dabei werden mit Umgebungsluft die Nullpunkte für die Komponenten NO, NO</w:t>
      </w:r>
      <w:r>
        <w:rPr>
          <w:vertAlign w:val="subscript"/>
        </w:rPr>
        <w:t>2</w:t>
      </w:r>
      <w:r>
        <w:t xml:space="preserve"> und SO</w:t>
      </w:r>
      <w:r>
        <w:rPr>
          <w:vertAlign w:val="subscript"/>
        </w:rPr>
        <w:t xml:space="preserve">2 </w:t>
      </w:r>
      <w:r>
        <w:t>sowie der Referenzpunkt für O</w:t>
      </w:r>
      <w:r>
        <w:rPr>
          <w:vertAlign w:val="subscript"/>
        </w:rPr>
        <w:t>2</w:t>
      </w:r>
      <w:r>
        <w:t xml:space="preserve"> neu justiert.</w:t>
      </w:r>
    </w:p>
    <w:p>
      <w:pPr>
        <w:pStyle w:val="GesAbsatz"/>
        <w:ind w:left="426" w:hanging="426"/>
      </w:pPr>
      <w:r>
        <w:t>3.</w:t>
      </w:r>
      <w:r>
        <w:tab/>
        <w:t>Der Analysator kann in den Gehäusevarianten AO2020 (19''-Einschub) und AO2040 (Gehäuse zur Wandmontage) eingesetzt werden.</w:t>
      </w:r>
    </w:p>
    <w:p>
      <w:pPr>
        <w:pStyle w:val="GesAbsatz"/>
        <w:ind w:left="426" w:hanging="426"/>
      </w:pPr>
      <w:r>
        <w:t>4.</w:t>
      </w:r>
      <w:r>
        <w:tab/>
        <w:t>Das Messsystem kann auch mit Analysatoren mit den Limas21-Kennungen CEM200Q und CEM260Q ausgestattet sein.</w:t>
      </w:r>
    </w:p>
    <w:p>
      <w:pPr>
        <w:pStyle w:val="GesAbsatz"/>
        <w:ind w:left="426" w:hanging="426"/>
      </w:pPr>
      <w:r>
        <w:t>5.</w:t>
      </w:r>
      <w:r>
        <w:tab/>
        <w:t>Das Messsystem AO2000-Limas21 UV ist mit den Limas21-Varianten CEM200Q und CEM260Q nicht geeignet zum Einsatz an Kohlekraftwerken ohne Entschwefelung.</w:t>
      </w:r>
    </w:p>
    <w:p>
      <w:pPr>
        <w:pStyle w:val="GesAbsatz"/>
        <w:ind w:left="426" w:hanging="426"/>
      </w:pPr>
      <w:r>
        <w:t>6.</w:t>
      </w:r>
      <w:r>
        <w:tab/>
        <w:t>Ergänzungsprüfung (Zulassung eines weiteren Limas21-Analysators (CEM200Q)) zu der Bekanntmachung des ­Umweltbundesamtes vom 22. Februar 2017 (BAnz AT 15.03.2017 B6, Kapitel I Nummer 3.4).</w:t>
      </w:r>
    </w:p>
    <w:p>
      <w:pPr>
        <w:pStyle w:val="GesAbsatz"/>
      </w:pPr>
      <w:r>
        <w:t>Prüfbericht: TÜV SÜD Industrie Service GmbH</w:t>
      </w:r>
    </w:p>
    <w:p>
      <w:pPr>
        <w:pStyle w:val="GesAbsatz"/>
      </w:pPr>
      <w:r>
        <w:t>Bericht-Nr.: 2694203 vom 1. März 2017</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OT35fb101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18.04.2017 (BAnz AT v. 26.04.2017 B9)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61.4-73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37736-7DB6-42BF-8D4A-A3D95A5A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3255">
      <w:bodyDiv w:val="1"/>
      <w:marLeft w:val="0"/>
      <w:marRight w:val="0"/>
      <w:marTop w:val="0"/>
      <w:marBottom w:val="0"/>
      <w:divBdr>
        <w:top w:val="none" w:sz="0" w:space="0" w:color="auto"/>
        <w:left w:val="none" w:sz="0" w:space="0" w:color="auto"/>
        <w:bottom w:val="none" w:sz="0" w:space="0" w:color="auto"/>
        <w:right w:val="none" w:sz="0" w:space="0" w:color="auto"/>
      </w:divBdr>
      <w:divsChild>
        <w:div w:id="475530621">
          <w:marLeft w:val="0"/>
          <w:marRight w:val="0"/>
          <w:marTop w:val="0"/>
          <w:marBottom w:val="0"/>
          <w:divBdr>
            <w:top w:val="none" w:sz="0" w:space="0" w:color="auto"/>
            <w:left w:val="none" w:sz="0" w:space="0" w:color="auto"/>
            <w:bottom w:val="none" w:sz="0" w:space="0" w:color="auto"/>
            <w:right w:val="none" w:sz="0" w:space="0" w:color="auto"/>
          </w:divBdr>
          <w:divsChild>
            <w:div w:id="612637225">
              <w:marLeft w:val="0"/>
              <w:marRight w:val="0"/>
              <w:marTop w:val="0"/>
              <w:marBottom w:val="0"/>
              <w:divBdr>
                <w:top w:val="none" w:sz="0" w:space="0" w:color="auto"/>
                <w:left w:val="none" w:sz="0" w:space="0" w:color="auto"/>
                <w:bottom w:val="none" w:sz="0" w:space="0" w:color="auto"/>
                <w:right w:val="none" w:sz="0" w:space="0" w:color="auto"/>
              </w:divBdr>
              <w:divsChild>
                <w:div w:id="250625449">
                  <w:marLeft w:val="0"/>
                  <w:marRight w:val="0"/>
                  <w:marTop w:val="0"/>
                  <w:marBottom w:val="0"/>
                  <w:divBdr>
                    <w:top w:val="none" w:sz="0" w:space="0" w:color="auto"/>
                    <w:left w:val="none" w:sz="0" w:space="0" w:color="auto"/>
                    <w:bottom w:val="none" w:sz="0" w:space="0" w:color="auto"/>
                    <w:right w:val="none" w:sz="0" w:space="0" w:color="auto"/>
                  </w:divBdr>
                  <w:divsChild>
                    <w:div w:id="275019564">
                      <w:marLeft w:val="0"/>
                      <w:marRight w:val="0"/>
                      <w:marTop w:val="0"/>
                      <w:marBottom w:val="0"/>
                      <w:divBdr>
                        <w:top w:val="none" w:sz="0" w:space="0" w:color="auto"/>
                        <w:left w:val="none" w:sz="0" w:space="0" w:color="auto"/>
                        <w:bottom w:val="none" w:sz="0" w:space="0" w:color="auto"/>
                        <w:right w:val="none" w:sz="0" w:space="0" w:color="auto"/>
                      </w:divBdr>
                      <w:divsChild>
                        <w:div w:id="1738940976">
                          <w:marLeft w:val="0"/>
                          <w:marRight w:val="0"/>
                          <w:marTop w:val="0"/>
                          <w:marBottom w:val="0"/>
                          <w:divBdr>
                            <w:top w:val="none" w:sz="0" w:space="0" w:color="auto"/>
                            <w:left w:val="none" w:sz="0" w:space="0" w:color="auto"/>
                            <w:bottom w:val="none" w:sz="0" w:space="0" w:color="auto"/>
                            <w:right w:val="none" w:sz="0" w:space="0" w:color="auto"/>
                          </w:divBdr>
                          <w:divsChild>
                            <w:div w:id="1491360083">
                              <w:marLeft w:val="0"/>
                              <w:marRight w:val="0"/>
                              <w:marTop w:val="0"/>
                              <w:marBottom w:val="0"/>
                              <w:divBdr>
                                <w:top w:val="none" w:sz="0" w:space="0" w:color="auto"/>
                                <w:left w:val="none" w:sz="0" w:space="0" w:color="auto"/>
                                <w:bottom w:val="none" w:sz="0" w:space="0" w:color="auto"/>
                                <w:right w:val="none" w:sz="0" w:space="0" w:color="auto"/>
                              </w:divBdr>
                              <w:divsChild>
                                <w:div w:id="2003770659">
                                  <w:marLeft w:val="0"/>
                                  <w:marRight w:val="0"/>
                                  <w:marTop w:val="0"/>
                                  <w:marBottom w:val="0"/>
                                  <w:divBdr>
                                    <w:top w:val="none" w:sz="0" w:space="0" w:color="auto"/>
                                    <w:left w:val="none" w:sz="0" w:space="0" w:color="auto"/>
                                    <w:bottom w:val="none" w:sz="0" w:space="0" w:color="auto"/>
                                    <w:right w:val="none" w:sz="0" w:space="0" w:color="auto"/>
                                  </w:divBdr>
                                  <w:divsChild>
                                    <w:div w:id="1352340074">
                                      <w:marLeft w:val="0"/>
                                      <w:marRight w:val="0"/>
                                      <w:marTop w:val="0"/>
                                      <w:marBottom w:val="0"/>
                                      <w:divBdr>
                                        <w:top w:val="none" w:sz="0" w:space="0" w:color="auto"/>
                                        <w:left w:val="none" w:sz="0" w:space="0" w:color="auto"/>
                                        <w:bottom w:val="none" w:sz="0" w:space="0" w:color="auto"/>
                                        <w:right w:val="none" w:sz="0" w:space="0" w:color="auto"/>
                                      </w:divBdr>
                                      <w:divsChild>
                                        <w:div w:id="419957432">
                                          <w:marLeft w:val="0"/>
                                          <w:marRight w:val="0"/>
                                          <w:marTop w:val="240"/>
                                          <w:marBottom w:val="240"/>
                                          <w:divBdr>
                                            <w:top w:val="none" w:sz="0" w:space="0" w:color="auto"/>
                                            <w:left w:val="none" w:sz="0" w:space="0" w:color="auto"/>
                                            <w:bottom w:val="none" w:sz="0" w:space="0" w:color="auto"/>
                                            <w:right w:val="none" w:sz="0" w:space="0" w:color="auto"/>
                                          </w:divBdr>
                                          <w:divsChild>
                                            <w:div w:id="1526551218">
                                              <w:marLeft w:val="0"/>
                                              <w:marRight w:val="0"/>
                                              <w:marTop w:val="0"/>
                                              <w:marBottom w:val="120"/>
                                              <w:divBdr>
                                                <w:top w:val="none" w:sz="0" w:space="0" w:color="auto"/>
                                                <w:left w:val="none" w:sz="0" w:space="0" w:color="auto"/>
                                                <w:bottom w:val="none" w:sz="0" w:space="0" w:color="auto"/>
                                                <w:right w:val="none" w:sz="0" w:space="0" w:color="auto"/>
                                              </w:divBdr>
                                            </w:div>
                                            <w:div w:id="510294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859575">
      <w:bodyDiv w:val="1"/>
      <w:marLeft w:val="0"/>
      <w:marRight w:val="0"/>
      <w:marTop w:val="0"/>
      <w:marBottom w:val="0"/>
      <w:divBdr>
        <w:top w:val="none" w:sz="0" w:space="0" w:color="auto"/>
        <w:left w:val="none" w:sz="0" w:space="0" w:color="auto"/>
        <w:bottom w:val="none" w:sz="0" w:space="0" w:color="auto"/>
        <w:right w:val="none" w:sz="0" w:space="0" w:color="auto"/>
      </w:divBdr>
      <w:divsChild>
        <w:div w:id="1281566381">
          <w:marLeft w:val="0"/>
          <w:marRight w:val="0"/>
          <w:marTop w:val="0"/>
          <w:marBottom w:val="0"/>
          <w:divBdr>
            <w:top w:val="none" w:sz="0" w:space="0" w:color="auto"/>
            <w:left w:val="none" w:sz="0" w:space="0" w:color="auto"/>
            <w:bottom w:val="none" w:sz="0" w:space="0" w:color="auto"/>
            <w:right w:val="none" w:sz="0" w:space="0" w:color="auto"/>
          </w:divBdr>
          <w:divsChild>
            <w:div w:id="1249920926">
              <w:marLeft w:val="0"/>
              <w:marRight w:val="0"/>
              <w:marTop w:val="0"/>
              <w:marBottom w:val="0"/>
              <w:divBdr>
                <w:top w:val="none" w:sz="0" w:space="0" w:color="auto"/>
                <w:left w:val="none" w:sz="0" w:space="0" w:color="auto"/>
                <w:bottom w:val="none" w:sz="0" w:space="0" w:color="auto"/>
                <w:right w:val="none" w:sz="0" w:space="0" w:color="auto"/>
              </w:divBdr>
              <w:divsChild>
                <w:div w:id="1891838050">
                  <w:marLeft w:val="0"/>
                  <w:marRight w:val="0"/>
                  <w:marTop w:val="0"/>
                  <w:marBottom w:val="0"/>
                  <w:divBdr>
                    <w:top w:val="none" w:sz="0" w:space="0" w:color="auto"/>
                    <w:left w:val="none" w:sz="0" w:space="0" w:color="auto"/>
                    <w:bottom w:val="none" w:sz="0" w:space="0" w:color="auto"/>
                    <w:right w:val="none" w:sz="0" w:space="0" w:color="auto"/>
                  </w:divBdr>
                  <w:divsChild>
                    <w:div w:id="1619751677">
                      <w:marLeft w:val="0"/>
                      <w:marRight w:val="0"/>
                      <w:marTop w:val="0"/>
                      <w:marBottom w:val="0"/>
                      <w:divBdr>
                        <w:top w:val="none" w:sz="0" w:space="0" w:color="auto"/>
                        <w:left w:val="none" w:sz="0" w:space="0" w:color="auto"/>
                        <w:bottom w:val="none" w:sz="0" w:space="0" w:color="auto"/>
                        <w:right w:val="none" w:sz="0" w:space="0" w:color="auto"/>
                      </w:divBdr>
                      <w:divsChild>
                        <w:div w:id="595678183">
                          <w:marLeft w:val="0"/>
                          <w:marRight w:val="0"/>
                          <w:marTop w:val="0"/>
                          <w:marBottom w:val="0"/>
                          <w:divBdr>
                            <w:top w:val="none" w:sz="0" w:space="0" w:color="auto"/>
                            <w:left w:val="none" w:sz="0" w:space="0" w:color="auto"/>
                            <w:bottom w:val="none" w:sz="0" w:space="0" w:color="auto"/>
                            <w:right w:val="none" w:sz="0" w:space="0" w:color="auto"/>
                          </w:divBdr>
                          <w:divsChild>
                            <w:div w:id="255598011">
                              <w:marLeft w:val="0"/>
                              <w:marRight w:val="0"/>
                              <w:marTop w:val="0"/>
                              <w:marBottom w:val="0"/>
                              <w:divBdr>
                                <w:top w:val="none" w:sz="0" w:space="0" w:color="auto"/>
                                <w:left w:val="none" w:sz="0" w:space="0" w:color="auto"/>
                                <w:bottom w:val="none" w:sz="0" w:space="0" w:color="auto"/>
                                <w:right w:val="none" w:sz="0" w:space="0" w:color="auto"/>
                              </w:divBdr>
                              <w:divsChild>
                                <w:div w:id="1566256345">
                                  <w:marLeft w:val="0"/>
                                  <w:marRight w:val="0"/>
                                  <w:marTop w:val="0"/>
                                  <w:marBottom w:val="0"/>
                                  <w:divBdr>
                                    <w:top w:val="none" w:sz="0" w:space="0" w:color="auto"/>
                                    <w:left w:val="none" w:sz="0" w:space="0" w:color="auto"/>
                                    <w:bottom w:val="none" w:sz="0" w:space="0" w:color="auto"/>
                                    <w:right w:val="none" w:sz="0" w:space="0" w:color="auto"/>
                                  </w:divBdr>
                                  <w:divsChild>
                                    <w:div w:id="19094363">
                                      <w:marLeft w:val="0"/>
                                      <w:marRight w:val="0"/>
                                      <w:marTop w:val="0"/>
                                      <w:marBottom w:val="0"/>
                                      <w:divBdr>
                                        <w:top w:val="none" w:sz="0" w:space="0" w:color="auto"/>
                                        <w:left w:val="none" w:sz="0" w:space="0" w:color="auto"/>
                                        <w:bottom w:val="none" w:sz="0" w:space="0" w:color="auto"/>
                                        <w:right w:val="none" w:sz="0" w:space="0" w:color="auto"/>
                                      </w:divBdr>
                                      <w:divsChild>
                                        <w:div w:id="355157554">
                                          <w:marLeft w:val="0"/>
                                          <w:marRight w:val="0"/>
                                          <w:marTop w:val="240"/>
                                          <w:marBottom w:val="240"/>
                                          <w:divBdr>
                                            <w:top w:val="none" w:sz="0" w:space="0" w:color="auto"/>
                                            <w:left w:val="none" w:sz="0" w:space="0" w:color="auto"/>
                                            <w:bottom w:val="none" w:sz="0" w:space="0" w:color="auto"/>
                                            <w:right w:val="none" w:sz="0" w:space="0" w:color="auto"/>
                                          </w:divBdr>
                                        </w:div>
                                        <w:div w:id="182941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394776">
      <w:bodyDiv w:val="1"/>
      <w:marLeft w:val="0"/>
      <w:marRight w:val="0"/>
      <w:marTop w:val="0"/>
      <w:marBottom w:val="0"/>
      <w:divBdr>
        <w:top w:val="none" w:sz="0" w:space="0" w:color="auto"/>
        <w:left w:val="none" w:sz="0" w:space="0" w:color="auto"/>
        <w:bottom w:val="none" w:sz="0" w:space="0" w:color="auto"/>
        <w:right w:val="none" w:sz="0" w:space="0" w:color="auto"/>
      </w:divBdr>
      <w:divsChild>
        <w:div w:id="2102750012">
          <w:marLeft w:val="0"/>
          <w:marRight w:val="0"/>
          <w:marTop w:val="0"/>
          <w:marBottom w:val="0"/>
          <w:divBdr>
            <w:top w:val="none" w:sz="0" w:space="0" w:color="auto"/>
            <w:left w:val="none" w:sz="0" w:space="0" w:color="auto"/>
            <w:bottom w:val="none" w:sz="0" w:space="0" w:color="auto"/>
            <w:right w:val="none" w:sz="0" w:space="0" w:color="auto"/>
          </w:divBdr>
          <w:divsChild>
            <w:div w:id="1922712292">
              <w:marLeft w:val="0"/>
              <w:marRight w:val="0"/>
              <w:marTop w:val="0"/>
              <w:marBottom w:val="0"/>
              <w:divBdr>
                <w:top w:val="none" w:sz="0" w:space="0" w:color="auto"/>
                <w:left w:val="none" w:sz="0" w:space="0" w:color="auto"/>
                <w:bottom w:val="none" w:sz="0" w:space="0" w:color="auto"/>
                <w:right w:val="none" w:sz="0" w:space="0" w:color="auto"/>
              </w:divBdr>
              <w:divsChild>
                <w:div w:id="892889402">
                  <w:marLeft w:val="0"/>
                  <w:marRight w:val="0"/>
                  <w:marTop w:val="0"/>
                  <w:marBottom w:val="0"/>
                  <w:divBdr>
                    <w:top w:val="none" w:sz="0" w:space="0" w:color="auto"/>
                    <w:left w:val="none" w:sz="0" w:space="0" w:color="auto"/>
                    <w:bottom w:val="none" w:sz="0" w:space="0" w:color="auto"/>
                    <w:right w:val="none" w:sz="0" w:space="0" w:color="auto"/>
                  </w:divBdr>
                  <w:divsChild>
                    <w:div w:id="5913108">
                      <w:marLeft w:val="0"/>
                      <w:marRight w:val="0"/>
                      <w:marTop w:val="0"/>
                      <w:marBottom w:val="0"/>
                      <w:divBdr>
                        <w:top w:val="none" w:sz="0" w:space="0" w:color="auto"/>
                        <w:left w:val="none" w:sz="0" w:space="0" w:color="auto"/>
                        <w:bottom w:val="none" w:sz="0" w:space="0" w:color="auto"/>
                        <w:right w:val="none" w:sz="0" w:space="0" w:color="auto"/>
                      </w:divBdr>
                      <w:divsChild>
                        <w:div w:id="1359622267">
                          <w:marLeft w:val="0"/>
                          <w:marRight w:val="0"/>
                          <w:marTop w:val="0"/>
                          <w:marBottom w:val="0"/>
                          <w:divBdr>
                            <w:top w:val="none" w:sz="0" w:space="0" w:color="auto"/>
                            <w:left w:val="none" w:sz="0" w:space="0" w:color="auto"/>
                            <w:bottom w:val="none" w:sz="0" w:space="0" w:color="auto"/>
                            <w:right w:val="none" w:sz="0" w:space="0" w:color="auto"/>
                          </w:divBdr>
                          <w:divsChild>
                            <w:div w:id="627516594">
                              <w:marLeft w:val="0"/>
                              <w:marRight w:val="0"/>
                              <w:marTop w:val="0"/>
                              <w:marBottom w:val="0"/>
                              <w:divBdr>
                                <w:top w:val="none" w:sz="0" w:space="0" w:color="auto"/>
                                <w:left w:val="none" w:sz="0" w:space="0" w:color="auto"/>
                                <w:bottom w:val="none" w:sz="0" w:space="0" w:color="auto"/>
                                <w:right w:val="none" w:sz="0" w:space="0" w:color="auto"/>
                              </w:divBdr>
                              <w:divsChild>
                                <w:div w:id="2105875699">
                                  <w:marLeft w:val="0"/>
                                  <w:marRight w:val="0"/>
                                  <w:marTop w:val="0"/>
                                  <w:marBottom w:val="0"/>
                                  <w:divBdr>
                                    <w:top w:val="none" w:sz="0" w:space="0" w:color="auto"/>
                                    <w:left w:val="none" w:sz="0" w:space="0" w:color="auto"/>
                                    <w:bottom w:val="none" w:sz="0" w:space="0" w:color="auto"/>
                                    <w:right w:val="none" w:sz="0" w:space="0" w:color="auto"/>
                                  </w:divBdr>
                                  <w:divsChild>
                                    <w:div w:id="151919067">
                                      <w:marLeft w:val="0"/>
                                      <w:marRight w:val="0"/>
                                      <w:marTop w:val="0"/>
                                      <w:marBottom w:val="0"/>
                                      <w:divBdr>
                                        <w:top w:val="none" w:sz="0" w:space="0" w:color="auto"/>
                                        <w:left w:val="none" w:sz="0" w:space="0" w:color="auto"/>
                                        <w:bottom w:val="none" w:sz="0" w:space="0" w:color="auto"/>
                                        <w:right w:val="none" w:sz="0" w:space="0" w:color="auto"/>
                                      </w:divBdr>
                                      <w:divsChild>
                                        <w:div w:id="747578167">
                                          <w:marLeft w:val="0"/>
                                          <w:marRight w:val="0"/>
                                          <w:marTop w:val="240"/>
                                          <w:marBottom w:val="240"/>
                                          <w:divBdr>
                                            <w:top w:val="none" w:sz="0" w:space="0" w:color="auto"/>
                                            <w:left w:val="none" w:sz="0" w:space="0" w:color="auto"/>
                                            <w:bottom w:val="none" w:sz="0" w:space="0" w:color="auto"/>
                                            <w:right w:val="none" w:sz="0" w:space="0" w:color="auto"/>
                                          </w:divBdr>
                                          <w:divsChild>
                                            <w:div w:id="11305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EAF2-23E1-4083-BD55-11B5CEEF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520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2016-03-23T14:51:00Z</cp:lastPrinted>
  <dcterms:created xsi:type="dcterms:W3CDTF">2017-05-10T09:10:00Z</dcterms:created>
  <dcterms:modified xsi:type="dcterms:W3CDTF">2024-07-18T08:08:00Z</dcterms:modified>
</cp:coreProperties>
</file>