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491196"/>
      <w:bookmarkStart w:id="1" w:name="_GoBack"/>
      <w:bookmarkEnd w:id="1"/>
      <w:r>
        <w:t>Bekanntmachung</w:t>
      </w:r>
      <w:r>
        <w:br/>
        <w:t>über die bundeseinheitliche Praxis</w:t>
      </w:r>
      <w:r>
        <w:br/>
        <w:t>bei der Überwachung der Emissionen und der Immissionen</w:t>
      </w:r>
      <w:bookmarkEnd w:id="0"/>
    </w:p>
    <w:p>
      <w:pPr>
        <w:pStyle w:val="GesAbsatz"/>
        <w:jc w:val="center"/>
      </w:pPr>
      <w:r>
        <w:t>vom 18. Februar 2016</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6491196"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_Toc446491196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1197"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_Toc446491197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1198"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_Toc446491198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1199" w:history="1">
        <w:r>
          <w:rPr>
            <w:rStyle w:val="Hyperlink"/>
            <w:noProof/>
          </w:rPr>
          <w:t>III. Eignung von Messeinrichtungen zur kontinuierlichen Überwachung von Immissionen</w:t>
        </w:r>
        <w:r>
          <w:rPr>
            <w:noProof/>
            <w:webHidden/>
          </w:rPr>
          <w:tab/>
        </w:r>
        <w:r>
          <w:rPr>
            <w:noProof/>
            <w:webHidden/>
          </w:rPr>
          <w:fldChar w:fldCharType="begin"/>
        </w:r>
        <w:r>
          <w:rPr>
            <w:noProof/>
            <w:webHidden/>
          </w:rPr>
          <w:instrText xml:space="preserve"> PAGEREF _Toc446491199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1200" w:history="1">
        <w:r>
          <w:rPr>
            <w:rStyle w:val="Hyperlink"/>
            <w:noProof/>
          </w:rPr>
          <w:t>IV. Berichtigungen zur Bundeseinheitlichen Praxis bei der Überwachung von Emissionen und Immissionen</w:t>
        </w:r>
        <w:r>
          <w:rPr>
            <w:noProof/>
            <w:webHidden/>
          </w:rPr>
          <w:tab/>
        </w:r>
        <w:r>
          <w:rPr>
            <w:noProof/>
            <w:webHidden/>
          </w:rPr>
          <w:fldChar w:fldCharType="begin"/>
        </w:r>
        <w:r>
          <w:rPr>
            <w:noProof/>
            <w:webHidden/>
          </w:rPr>
          <w:instrText xml:space="preserve"> PAGEREF _Toc446491200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1201" w:history="1">
        <w:r>
          <w:rPr>
            <w:rStyle w:val="Hyperlink"/>
            <w:noProof/>
          </w:rPr>
          <w:t>V. Mitteilungen zur Bundeseinheitlichen Praxis bei der Überwachung von Emissionen und Immissionen</w:t>
        </w:r>
        <w:r>
          <w:rPr>
            <w:noProof/>
            <w:webHidden/>
          </w:rPr>
          <w:tab/>
        </w:r>
        <w:r>
          <w:rPr>
            <w:noProof/>
            <w:webHidden/>
          </w:rPr>
          <w:fldChar w:fldCharType="begin"/>
        </w:r>
        <w:r>
          <w:rPr>
            <w:noProof/>
            <w:webHidden/>
          </w:rPr>
          <w:instrText xml:space="preserve"> PAGEREF _Toc446491201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berschrift2"/>
      </w:pPr>
      <w:bookmarkStart w:id="2" w:name="_Toc446491197"/>
      <w:r>
        <w:t>I.</w:t>
      </w:r>
      <w:r>
        <w:br/>
        <w:t>Eignung von Messeinrichtungen</w:t>
      </w:r>
      <w:r>
        <w:br/>
        <w:t>zur kontinuierlichen Überwachung von Emissionen</w:t>
      </w:r>
      <w:bookmarkEnd w:id="2"/>
    </w:p>
    <w:p>
      <w:pPr>
        <w:pStyle w:val="GesAbsatz"/>
      </w:pPr>
      <w:r>
        <w:t>Die obersten Immissionsschutzbehörden der Länder haben die Ergebnisse der Eignungsprüfungen begutachtet und sind zu einem positiven Gesamturteil gelangt.</w:t>
      </w:r>
    </w:p>
    <w:p>
      <w:pPr>
        <w:pStyle w:val="GesAbsatz"/>
      </w:pPr>
      <w:r>
        <w:t xml:space="preserve">Unter Bezugnahme auf Nummer 3 der Richtlinie über die Bundeseinheitliche Praxis bei der Überwachung der Emissionen – Rundschreiben des Bundesministeriums für Umwelt, Naturschutz und Reaktorsicherheit (BMU) – IG I 2 - 45053/5 (GMBl 2005 S. 795), zuletzt geändert am 4. August 2010 (GMBl 2010 S. 1172) erfolgt die Eignungsbekanntgabe. </w:t>
      </w:r>
    </w:p>
    <w:p>
      <w:pPr>
        <w:pStyle w:val="GesAbsatz"/>
        <w:rPr>
          <w:b/>
        </w:rPr>
      </w:pPr>
      <w:r>
        <w:rPr>
          <w:b/>
        </w:rPr>
        <w:t>1</w:t>
      </w:r>
      <w:r>
        <w:rPr>
          <w:b/>
        </w:rPr>
        <w:tab/>
        <w:t>Quecksilber</w:t>
      </w:r>
    </w:p>
    <w:p>
      <w:pPr>
        <w:pStyle w:val="GesAbsatz"/>
        <w:rPr>
          <w:b/>
        </w:rPr>
      </w:pPr>
      <w:r>
        <w:rPr>
          <w:b/>
        </w:rPr>
        <w:t>1.1</w:t>
      </w:r>
      <w:r>
        <w:rPr>
          <w:b/>
        </w:rPr>
        <w:tab/>
        <w:t>Mercury Freedom System für Hg</w:t>
      </w:r>
    </w:p>
    <w:p>
      <w:pPr>
        <w:pStyle w:val="GesAbsatz"/>
      </w:pPr>
      <w:r>
        <w:t>Hersteller:</w:t>
      </w:r>
    </w:p>
    <w:p>
      <w:pPr>
        <w:pStyle w:val="GesAbsatz"/>
      </w:pPr>
      <w:r>
        <w:t>Thermo Fisher Scientific, Franklin, USA</w:t>
      </w:r>
    </w:p>
    <w:p>
      <w:pPr>
        <w:pStyle w:val="GesAbsatz"/>
      </w:pPr>
      <w:r>
        <w:t>Eignung:</w:t>
      </w:r>
    </w:p>
    <w:p>
      <w:pPr>
        <w:pStyle w:val="GesAbsatz"/>
      </w:pPr>
      <w:r>
        <w:t>Für Anlagen der 13. und 17. BImSchV</w:t>
      </w:r>
    </w:p>
    <w:p>
      <w:pPr>
        <w:pStyle w:val="GesAbsatz"/>
      </w:pPr>
      <w:r>
        <w:t>Messbereiche in der Eignungsprüfung:</w:t>
      </w:r>
    </w:p>
    <w:tbl>
      <w:tblPr>
        <w:tblStyle w:val="Tabellenraster"/>
        <w:tblW w:w="0" w:type="auto"/>
        <w:tblLook w:val="04A0" w:firstRow="1" w:lastRow="0" w:firstColumn="1" w:lastColumn="0" w:noHBand="0" w:noVBand="1"/>
      </w:tblPr>
      <w:tblGrid>
        <w:gridCol w:w="1328"/>
        <w:gridCol w:w="2240"/>
        <w:gridCol w:w="1963"/>
        <w:gridCol w:w="2108"/>
        <w:gridCol w:w="1989"/>
      </w:tblGrid>
      <w:tr>
        <w:tc>
          <w:tcPr>
            <w:tcW w:w="1351" w:type="dxa"/>
          </w:tcPr>
          <w:p>
            <w:pPr>
              <w:pStyle w:val="GesAbsatz"/>
              <w:tabs>
                <w:tab w:val="clear" w:pos="425"/>
              </w:tabs>
              <w:jc w:val="center"/>
            </w:pPr>
            <w:r>
              <w:t>Komponente</w:t>
            </w:r>
          </w:p>
        </w:tc>
        <w:tc>
          <w:tcPr>
            <w:tcW w:w="2296" w:type="dxa"/>
          </w:tcPr>
          <w:p>
            <w:pPr>
              <w:pStyle w:val="GesAbsatz"/>
              <w:tabs>
                <w:tab w:val="clear" w:pos="425"/>
              </w:tabs>
              <w:jc w:val="center"/>
            </w:pPr>
            <w:r>
              <w:t>Zertifizierungsbereich</w:t>
            </w:r>
          </w:p>
        </w:tc>
        <w:tc>
          <w:tcPr>
            <w:tcW w:w="4172" w:type="dxa"/>
            <w:gridSpan w:val="2"/>
          </w:tcPr>
          <w:p>
            <w:pPr>
              <w:pStyle w:val="GesAbsatz"/>
              <w:tabs>
                <w:tab w:val="clear" w:pos="425"/>
              </w:tabs>
              <w:jc w:val="center"/>
            </w:pPr>
            <w:r>
              <w:t>zusätzliche Messbereiche</w:t>
            </w:r>
          </w:p>
        </w:tc>
        <w:tc>
          <w:tcPr>
            <w:tcW w:w="2035" w:type="dxa"/>
          </w:tcPr>
          <w:p>
            <w:pPr>
              <w:pStyle w:val="GesAbsatz"/>
              <w:tabs>
                <w:tab w:val="clear" w:pos="425"/>
              </w:tabs>
              <w:jc w:val="center"/>
            </w:pPr>
            <w:r>
              <w:t>Einheit</w:t>
            </w:r>
          </w:p>
        </w:tc>
      </w:tr>
      <w:tr>
        <w:tc>
          <w:tcPr>
            <w:tcW w:w="1351" w:type="dxa"/>
          </w:tcPr>
          <w:p>
            <w:pPr>
              <w:pStyle w:val="GesAbsatz"/>
              <w:tabs>
                <w:tab w:val="clear" w:pos="425"/>
              </w:tabs>
            </w:pPr>
            <w:r>
              <w:t>Hg</w:t>
            </w:r>
          </w:p>
        </w:tc>
        <w:tc>
          <w:tcPr>
            <w:tcW w:w="2296" w:type="dxa"/>
          </w:tcPr>
          <w:p>
            <w:pPr>
              <w:pStyle w:val="GesAbsatz"/>
              <w:tabs>
                <w:tab w:val="clear" w:pos="425"/>
              </w:tabs>
              <w:jc w:val="center"/>
            </w:pPr>
            <w:r>
              <w:t>0 – 0,030</w:t>
            </w:r>
          </w:p>
        </w:tc>
        <w:tc>
          <w:tcPr>
            <w:tcW w:w="2011" w:type="dxa"/>
          </w:tcPr>
          <w:p>
            <w:pPr>
              <w:pStyle w:val="GesAbsatz"/>
              <w:tabs>
                <w:tab w:val="clear" w:pos="425"/>
              </w:tabs>
              <w:jc w:val="center"/>
            </w:pPr>
            <w:r>
              <w:t>0 – 0,045</w:t>
            </w:r>
          </w:p>
        </w:tc>
        <w:tc>
          <w:tcPr>
            <w:tcW w:w="2161" w:type="dxa"/>
          </w:tcPr>
          <w:p>
            <w:pPr>
              <w:pStyle w:val="GesAbsatz"/>
              <w:tabs>
                <w:tab w:val="clear" w:pos="425"/>
              </w:tabs>
              <w:jc w:val="center"/>
            </w:pPr>
            <w:r>
              <w:t>0 – 0,100</w:t>
            </w:r>
          </w:p>
        </w:tc>
        <w:tc>
          <w:tcPr>
            <w:tcW w:w="2035" w:type="dxa"/>
          </w:tcPr>
          <w:p>
            <w:pPr>
              <w:pStyle w:val="GesAbsatz"/>
              <w:tabs>
                <w:tab w:val="clear" w:pos="425"/>
              </w:tabs>
              <w:jc w:val="center"/>
            </w:pPr>
            <w:r>
              <w:t>mg/m³</w:t>
            </w:r>
          </w:p>
        </w:tc>
      </w:tr>
    </w:tbl>
    <w:p>
      <w:pPr>
        <w:pStyle w:val="GesAbsatz"/>
        <w:tabs>
          <w:tab w:val="left" w:pos="2127"/>
          <w:tab w:val="left" w:pos="3261"/>
        </w:tabs>
      </w:pPr>
      <w:r>
        <w:t>Softwareversionen:</w:t>
      </w:r>
      <w:r>
        <w:tab/>
      </w:r>
      <w:proofErr w:type="spellStart"/>
      <w:r>
        <w:t>Prod</w:t>
      </w:r>
      <w:proofErr w:type="spellEnd"/>
      <w:r>
        <w:t>:</w:t>
      </w:r>
      <w:r>
        <w:tab/>
        <w:t>Model 80i</w:t>
      </w:r>
    </w:p>
    <w:p>
      <w:pPr>
        <w:pStyle w:val="GesAbsatz"/>
        <w:tabs>
          <w:tab w:val="left" w:pos="3261"/>
        </w:tabs>
        <w:ind w:left="2127"/>
      </w:pPr>
      <w:r>
        <w:t>Version:</w:t>
      </w:r>
      <w:r>
        <w:tab/>
        <w:t>02.02.04.377</w:t>
      </w:r>
    </w:p>
    <w:p>
      <w:pPr>
        <w:pStyle w:val="GesAbsatz"/>
        <w:tabs>
          <w:tab w:val="left" w:pos="3261"/>
        </w:tabs>
        <w:ind w:left="2127"/>
      </w:pPr>
      <w:r>
        <w:t>Firmware:</w:t>
      </w:r>
      <w:r>
        <w:tab/>
        <w:t>11.54.154</w:t>
      </w:r>
    </w:p>
    <w:p>
      <w:pPr>
        <w:pStyle w:val="GesAbsatz"/>
      </w:pPr>
      <w:r>
        <w:t>Einschränkungen:</w:t>
      </w:r>
    </w:p>
    <w:p>
      <w:pPr>
        <w:pStyle w:val="GesAbsatz"/>
        <w:ind w:left="426" w:hanging="426"/>
      </w:pPr>
      <w:r>
        <w:t>1.</w:t>
      </w:r>
      <w:r>
        <w:tab/>
        <w:t>Der Messgeräteschrank darf nur im Umgebungstemperaturbereich von +15 bis +40 °C betrieben werden.</w:t>
      </w:r>
    </w:p>
    <w:p>
      <w:pPr>
        <w:pStyle w:val="GesAbsatz"/>
        <w:ind w:left="426" w:hanging="426"/>
      </w:pPr>
      <w:r>
        <w:t>2.</w:t>
      </w:r>
      <w:r>
        <w:tab/>
        <w:t>Zum Betrieb der Messeinrichtung und zur Kompensation von Querempfindlichkeitseffekten muss ein in der gleichen Messstrecke eingebautes Sauerstoffmessgerät an die Messeinrichtung angeschlossen werden. Das Sauerstoffmessgerät muss gemäß DIN EN 15267 zertifiziert sein und gemäß den Anforderungen der DIN EN 14181 betrieben werden.</w:t>
      </w:r>
    </w:p>
    <w:p>
      <w:pPr>
        <w:pStyle w:val="GesAbsatz"/>
      </w:pPr>
      <w:r>
        <w:t>Hinweise:</w:t>
      </w:r>
    </w:p>
    <w:p>
      <w:pPr>
        <w:pStyle w:val="GesAbsatz"/>
      </w:pPr>
      <w:r>
        <w:t>1.</w:t>
      </w:r>
      <w:r>
        <w:tab/>
        <w:t>Das Wartungsintervall beträgt vier Wochen.</w:t>
      </w:r>
    </w:p>
    <w:p>
      <w:pPr>
        <w:pStyle w:val="GesAbsatz"/>
      </w:pPr>
      <w:r>
        <w:t>2.</w:t>
      </w:r>
      <w:r>
        <w:tab/>
        <w:t>Bei der Prüfung der Komponente Hg sind feuchte Prüfgase einzusetzen.</w:t>
      </w:r>
    </w:p>
    <w:p>
      <w:pPr>
        <w:pStyle w:val="GesAbsatz"/>
        <w:ind w:left="426" w:hanging="426"/>
      </w:pPr>
      <w:r>
        <w:lastRenderedPageBreak/>
        <w:t>3.</w:t>
      </w:r>
      <w:r>
        <w:tab/>
        <w:t xml:space="preserve">Für die regelmäßige Überwachung der Messeinrichtung im Betrieb (QAL3) sowie zur jährlichen Funktionskontrolle (AST) ist ein geeigneter externer Prüfgasgenerator, z. B. </w:t>
      </w:r>
      <w:proofErr w:type="spellStart"/>
      <w:r>
        <w:t>Hovacal</w:t>
      </w:r>
      <w:proofErr w:type="spellEnd"/>
      <w:r>
        <w:t>, für Quecksilberprüfgas einzusetzen.</w:t>
      </w:r>
    </w:p>
    <w:p>
      <w:pPr>
        <w:pStyle w:val="GesAbsatz"/>
      </w:pPr>
      <w:r>
        <w:t>4.</w:t>
      </w:r>
      <w:r>
        <w:tab/>
        <w:t>Die Länge der Probenahmeleitung betrug im Labor- und im Feldtest 10 m.</w:t>
      </w:r>
    </w:p>
    <w:p>
      <w:pPr>
        <w:pStyle w:val="GesAbsatz"/>
      </w:pPr>
      <w:r>
        <w:t>Prüfbericht: TÜV Rheinland Energie und Umwelt GmbH, Köln</w:t>
      </w:r>
    </w:p>
    <w:p>
      <w:pPr>
        <w:pStyle w:val="GesAbsatz"/>
      </w:pPr>
      <w:r>
        <w:t>Bericht-Nr.: 936/21219281/B vom 19. Oktober 2015</w:t>
      </w:r>
    </w:p>
    <w:p>
      <w:pPr>
        <w:pStyle w:val="GesAbsatz"/>
        <w:rPr>
          <w:b/>
        </w:rPr>
      </w:pPr>
      <w:r>
        <w:rPr>
          <w:b/>
        </w:rPr>
        <w:t>2</w:t>
      </w:r>
      <w:r>
        <w:rPr>
          <w:b/>
        </w:rPr>
        <w:tab/>
        <w:t>Fluorwasserstoff</w:t>
      </w:r>
    </w:p>
    <w:p>
      <w:pPr>
        <w:pStyle w:val="GesAbsatz"/>
        <w:rPr>
          <w:b/>
        </w:rPr>
      </w:pPr>
      <w:r>
        <w:rPr>
          <w:b/>
        </w:rPr>
        <w:t>2.1</w:t>
      </w:r>
      <w:r>
        <w:rPr>
          <w:b/>
        </w:rPr>
        <w:tab/>
        <w:t>AR650/NHF für HF</w:t>
      </w:r>
    </w:p>
    <w:p>
      <w:pPr>
        <w:pStyle w:val="GesAbsatz"/>
      </w:pPr>
      <w:r>
        <w:t>Hersteller:</w:t>
      </w:r>
    </w:p>
    <w:p>
      <w:pPr>
        <w:pStyle w:val="GesAbsatz"/>
      </w:pPr>
      <w:r>
        <w:t>OPSIS AB, Furulund, Schweden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785"/>
        <w:gridCol w:w="2901"/>
        <w:gridCol w:w="2774"/>
        <w:gridCol w:w="2168"/>
      </w:tblGrid>
      <w:tr>
        <w:tc>
          <w:tcPr>
            <w:tcW w:w="1809"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2200" w:type="dxa"/>
          </w:tcPr>
          <w:p>
            <w:pPr>
              <w:pStyle w:val="GesAbsatz"/>
              <w:tabs>
                <w:tab w:val="clear" w:pos="425"/>
              </w:tabs>
              <w:jc w:val="center"/>
            </w:pPr>
            <w:r>
              <w:t>Einheit</w:t>
            </w:r>
          </w:p>
        </w:tc>
      </w:tr>
      <w:tr>
        <w:tc>
          <w:tcPr>
            <w:tcW w:w="1809" w:type="dxa"/>
          </w:tcPr>
          <w:p>
            <w:pPr>
              <w:pStyle w:val="GesAbsatz"/>
              <w:tabs>
                <w:tab w:val="clear" w:pos="425"/>
              </w:tabs>
            </w:pPr>
            <w:r>
              <w:t>HF</w:t>
            </w:r>
          </w:p>
        </w:tc>
        <w:tc>
          <w:tcPr>
            <w:tcW w:w="2950" w:type="dxa"/>
          </w:tcPr>
          <w:p>
            <w:pPr>
              <w:pStyle w:val="GesAbsatz"/>
              <w:tabs>
                <w:tab w:val="clear" w:pos="425"/>
              </w:tabs>
              <w:jc w:val="center"/>
            </w:pPr>
            <w:r>
              <w:t>0 – 3*</w:t>
            </w:r>
          </w:p>
        </w:tc>
        <w:tc>
          <w:tcPr>
            <w:tcW w:w="2820" w:type="dxa"/>
          </w:tcPr>
          <w:p>
            <w:pPr>
              <w:pStyle w:val="GesAbsatz"/>
              <w:tabs>
                <w:tab w:val="clear" w:pos="425"/>
              </w:tabs>
              <w:jc w:val="center"/>
            </w:pPr>
            <w:r>
              <w:t>0 – 10*</w:t>
            </w:r>
          </w:p>
        </w:tc>
        <w:tc>
          <w:tcPr>
            <w:tcW w:w="2200" w:type="dxa"/>
          </w:tcPr>
          <w:p>
            <w:pPr>
              <w:pStyle w:val="GesAbsatz"/>
              <w:tabs>
                <w:tab w:val="clear" w:pos="425"/>
              </w:tabs>
              <w:jc w:val="center"/>
            </w:pPr>
            <w:r>
              <w:t>mg/m³ x m</w:t>
            </w:r>
          </w:p>
        </w:tc>
      </w:tr>
    </w:tbl>
    <w:p>
      <w:pPr>
        <w:pStyle w:val="GesAbsatz"/>
      </w:pPr>
      <w:r>
        <w:t>* bezogen auf eine Messweglänge von 1,0 Meter</w:t>
      </w:r>
    </w:p>
    <w:p>
      <w:pPr>
        <w:pStyle w:val="GesAbsatz"/>
      </w:pPr>
      <w:r>
        <w:t>Softwareversion: 7.21</w:t>
      </w:r>
    </w:p>
    <w:p>
      <w:pPr>
        <w:pStyle w:val="GesAbsatz"/>
      </w:pPr>
      <w:r>
        <w:t>Einschränkung:</w:t>
      </w:r>
    </w:p>
    <w:p>
      <w:pPr>
        <w:pStyle w:val="GesAbsatz"/>
      </w:pPr>
      <w:r>
        <w:t>Die Anforderung an die DIN EN 15267-3 für die Schutzart des Gehäuses wird nicht erfüllt.</w:t>
      </w:r>
    </w:p>
    <w:p>
      <w:pPr>
        <w:pStyle w:val="GesAbsatz"/>
      </w:pPr>
      <w:r>
        <w:t>Hinweise:</w:t>
      </w:r>
    </w:p>
    <w:p>
      <w:pPr>
        <w:pStyle w:val="GesAbsatz"/>
      </w:pPr>
      <w:r>
        <w:t>1.</w:t>
      </w:r>
      <w:r>
        <w:tab/>
        <w:t>Das Wartungsintervall beträgt sechs Monate.</w:t>
      </w:r>
    </w:p>
    <w:p>
      <w:pPr>
        <w:pStyle w:val="GesAbsatz"/>
      </w:pPr>
      <w:r>
        <w:t>2.</w:t>
      </w:r>
      <w:r>
        <w:tab/>
        <w:t>Die geprüfte Messweglänge für HF betrug im Labortest 1 m und im Feldtest 2 m.</w:t>
      </w:r>
    </w:p>
    <w:p>
      <w:pPr>
        <w:pStyle w:val="GesAbsatz"/>
        <w:ind w:left="426" w:hanging="426"/>
      </w:pPr>
      <w:r>
        <w:t>3.</w:t>
      </w:r>
      <w:r>
        <w:tab/>
        <w:t>Bei einer Überschreitung der geprüften Messweglänge von 1 m ist bei der Installation der Messeinrichtung vor Ort zu prüfen, ob die Mindestanforderung nach DIN EN 15267-3 an die Querempfindlichkeiten noch erfüllt wird.</w:t>
      </w:r>
    </w:p>
    <w:p>
      <w:pPr>
        <w:pStyle w:val="GesAbsatz"/>
        <w:ind w:left="426" w:hanging="426"/>
      </w:pPr>
      <w:r>
        <w:t>4.</w:t>
      </w:r>
      <w:r>
        <w:tab/>
        <w:t>Zur Überwachung des Grenzwertes für HF nach der Richtlinie 2010/75/EU muss die aktive Messweglänge mindestens 2 m betragen.</w:t>
      </w:r>
    </w:p>
    <w:p>
      <w:pPr>
        <w:pStyle w:val="GesAbsatz"/>
        <w:ind w:left="426" w:hanging="426"/>
      </w:pPr>
      <w:r>
        <w:t>5.</w:t>
      </w:r>
      <w:r>
        <w:tab/>
        <w:t>Ergänzungsprüfung (Wartungsintervallverlängerung) zu der Bekanntmachung des Umweltbundesamtes vom 25. Februar 2015 (BAnz AT 02.04.2015 B5, Kapitel I Nummer 2.1).</w:t>
      </w:r>
    </w:p>
    <w:p>
      <w:pPr>
        <w:pStyle w:val="GesAbsatz"/>
      </w:pPr>
      <w:r>
        <w:t>Prüfbericht: TÜV Rheinland Energie und Umwelt GmbH, Köln</w:t>
      </w:r>
    </w:p>
    <w:p>
      <w:pPr>
        <w:pStyle w:val="GesAbsatz"/>
      </w:pPr>
      <w:r>
        <w:t>Bericht-Nr.: 936/21224575/B vom 13. Oktober 2015</w:t>
      </w:r>
    </w:p>
    <w:p>
      <w:pPr>
        <w:pStyle w:val="GesAbsatz"/>
        <w:rPr>
          <w:b/>
        </w:rPr>
      </w:pPr>
      <w:r>
        <w:rPr>
          <w:b/>
        </w:rPr>
        <w:t>3</w:t>
      </w:r>
      <w:r>
        <w:rPr>
          <w:b/>
        </w:rPr>
        <w:tab/>
        <w:t>Gesamtkohlenstoff</w:t>
      </w:r>
    </w:p>
    <w:p>
      <w:pPr>
        <w:pStyle w:val="GesAbsatz"/>
        <w:rPr>
          <w:b/>
        </w:rPr>
      </w:pPr>
      <w:r>
        <w:rPr>
          <w:b/>
        </w:rPr>
        <w:t>3.1</w:t>
      </w:r>
      <w:r>
        <w:rPr>
          <w:b/>
        </w:rPr>
        <w:tab/>
        <w:t>AO2000-Fidas24 für Gesamt-C</w:t>
      </w:r>
    </w:p>
    <w:p>
      <w:pPr>
        <w:pStyle w:val="GesAbsatz"/>
      </w:pPr>
      <w:r>
        <w:t>Hersteller:</w:t>
      </w:r>
    </w:p>
    <w:p>
      <w:pPr>
        <w:pStyle w:val="GesAbsatz"/>
      </w:pPr>
      <w:r>
        <w:t>ABB Automation GmbH, Frankfurt am Main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668"/>
        <w:gridCol w:w="2128"/>
        <w:gridCol w:w="1307"/>
        <w:gridCol w:w="1418"/>
        <w:gridCol w:w="1559"/>
        <w:gridCol w:w="1417"/>
      </w:tblGrid>
      <w:tr>
        <w:tc>
          <w:tcPr>
            <w:tcW w:w="1668" w:type="dxa"/>
          </w:tcPr>
          <w:p>
            <w:pPr>
              <w:pStyle w:val="GesAbsatz"/>
              <w:tabs>
                <w:tab w:val="clear" w:pos="425"/>
              </w:tabs>
              <w:jc w:val="center"/>
            </w:pPr>
            <w:r>
              <w:t>Komponente</w:t>
            </w:r>
          </w:p>
        </w:tc>
        <w:tc>
          <w:tcPr>
            <w:tcW w:w="2128" w:type="dxa"/>
          </w:tcPr>
          <w:p>
            <w:pPr>
              <w:pStyle w:val="GesAbsatz"/>
              <w:tabs>
                <w:tab w:val="clear" w:pos="425"/>
              </w:tabs>
              <w:jc w:val="center"/>
            </w:pPr>
            <w:r>
              <w:t>Zertifizierungsbereich</w:t>
            </w:r>
          </w:p>
        </w:tc>
        <w:tc>
          <w:tcPr>
            <w:tcW w:w="4284" w:type="dxa"/>
            <w:gridSpan w:val="3"/>
          </w:tcPr>
          <w:p>
            <w:pPr>
              <w:pStyle w:val="GesAbsatz"/>
              <w:tabs>
                <w:tab w:val="clear" w:pos="425"/>
              </w:tabs>
              <w:jc w:val="center"/>
            </w:pPr>
            <w:r>
              <w:t>zusätzliche Messbereiche</w:t>
            </w:r>
          </w:p>
        </w:tc>
        <w:tc>
          <w:tcPr>
            <w:tcW w:w="1417" w:type="dxa"/>
          </w:tcPr>
          <w:p>
            <w:pPr>
              <w:pStyle w:val="GesAbsatz"/>
              <w:tabs>
                <w:tab w:val="clear" w:pos="425"/>
              </w:tabs>
              <w:jc w:val="center"/>
            </w:pPr>
            <w:r>
              <w:t>Einheit</w:t>
            </w:r>
          </w:p>
        </w:tc>
      </w:tr>
      <w:tr>
        <w:tc>
          <w:tcPr>
            <w:tcW w:w="1668" w:type="dxa"/>
          </w:tcPr>
          <w:p>
            <w:pPr>
              <w:pStyle w:val="GesAbsatz"/>
              <w:tabs>
                <w:tab w:val="clear" w:pos="425"/>
              </w:tabs>
            </w:pPr>
            <w:r>
              <w:t>Gesamt-C</w:t>
            </w:r>
          </w:p>
        </w:tc>
        <w:tc>
          <w:tcPr>
            <w:tcW w:w="2128" w:type="dxa"/>
          </w:tcPr>
          <w:p>
            <w:pPr>
              <w:pStyle w:val="GesAbsatz"/>
              <w:tabs>
                <w:tab w:val="clear" w:pos="425"/>
              </w:tabs>
              <w:jc w:val="center"/>
            </w:pPr>
            <w:r>
              <w:t>0 – 15</w:t>
            </w:r>
          </w:p>
        </w:tc>
        <w:tc>
          <w:tcPr>
            <w:tcW w:w="1307" w:type="dxa"/>
          </w:tcPr>
          <w:p>
            <w:pPr>
              <w:pStyle w:val="GesAbsatz"/>
              <w:tabs>
                <w:tab w:val="clear" w:pos="425"/>
              </w:tabs>
              <w:jc w:val="center"/>
            </w:pPr>
            <w:r>
              <w:t>0 – 50</w:t>
            </w:r>
          </w:p>
        </w:tc>
        <w:tc>
          <w:tcPr>
            <w:tcW w:w="1418" w:type="dxa"/>
          </w:tcPr>
          <w:p>
            <w:pPr>
              <w:pStyle w:val="GesAbsatz"/>
              <w:tabs>
                <w:tab w:val="clear" w:pos="425"/>
              </w:tabs>
              <w:jc w:val="center"/>
            </w:pPr>
            <w:r>
              <w:t>0 – 150</w:t>
            </w:r>
          </w:p>
        </w:tc>
        <w:tc>
          <w:tcPr>
            <w:tcW w:w="1559" w:type="dxa"/>
          </w:tcPr>
          <w:p>
            <w:pPr>
              <w:pStyle w:val="GesAbsatz"/>
              <w:tabs>
                <w:tab w:val="clear" w:pos="425"/>
              </w:tabs>
              <w:jc w:val="center"/>
            </w:pPr>
            <w:r>
              <w:t>0 – 500</w:t>
            </w:r>
          </w:p>
        </w:tc>
        <w:tc>
          <w:tcPr>
            <w:tcW w:w="1417" w:type="dxa"/>
          </w:tcPr>
          <w:p>
            <w:pPr>
              <w:pStyle w:val="GesAbsatz"/>
              <w:tabs>
                <w:tab w:val="clear" w:pos="425"/>
              </w:tabs>
              <w:jc w:val="center"/>
            </w:pPr>
            <w:r>
              <w:t>mg/m³</w:t>
            </w:r>
          </w:p>
        </w:tc>
      </w:tr>
    </w:tbl>
    <w:p>
      <w:pPr>
        <w:pStyle w:val="GesAbsatz"/>
        <w:tabs>
          <w:tab w:val="clear" w:pos="425"/>
          <w:tab w:val="left" w:pos="1985"/>
          <w:tab w:val="left" w:pos="3119"/>
        </w:tabs>
      </w:pPr>
      <w:r>
        <w:t>Softwareversionen:</w:t>
      </w:r>
      <w:r>
        <w:tab/>
        <w:t>Fidas24:</w:t>
      </w:r>
      <w:r>
        <w:tab/>
        <w:t>3.4.2</w:t>
      </w:r>
    </w:p>
    <w:p>
      <w:pPr>
        <w:pStyle w:val="GesAbsatz"/>
        <w:ind w:left="3119" w:hanging="1134"/>
      </w:pPr>
      <w:proofErr w:type="spellStart"/>
      <w:r>
        <w:t>Syscon</w:t>
      </w:r>
      <w:proofErr w:type="spellEnd"/>
      <w:r>
        <w:t>:</w:t>
      </w:r>
      <w:r>
        <w:tab/>
        <w:t>5.1.4</w:t>
      </w:r>
    </w:p>
    <w:p>
      <w:pPr>
        <w:pStyle w:val="GesAbsatz"/>
      </w:pPr>
      <w:r>
        <w:t>Einschränkungen:</w:t>
      </w:r>
    </w:p>
    <w:p>
      <w:pPr>
        <w:pStyle w:val="GesAbsatz"/>
      </w:pPr>
      <w:r>
        <w:t>Keine</w:t>
      </w:r>
    </w:p>
    <w:p>
      <w:pPr>
        <w:pStyle w:val="GesAbsatz"/>
      </w:pPr>
      <w:r>
        <w:lastRenderedPageBreak/>
        <w:t>Hinweise:</w:t>
      </w:r>
    </w:p>
    <w:p>
      <w:pPr>
        <w:pStyle w:val="GesAbsatz"/>
      </w:pPr>
      <w:r>
        <w:t>1.</w:t>
      </w:r>
      <w:r>
        <w:tab/>
        <w:t>Das Wartungsintervall beträgt vier Wochen.</w:t>
      </w:r>
    </w:p>
    <w:p>
      <w:pPr>
        <w:pStyle w:val="GesAbsatz"/>
        <w:ind w:left="426" w:hanging="426"/>
      </w:pPr>
      <w:r>
        <w:t>2.</w:t>
      </w:r>
      <w:r>
        <w:tab/>
        <w:t xml:space="preserve">Der Analysator kann in den Gehäusevarianten AO2020 (19“-Gehäuse für </w:t>
      </w:r>
      <w:proofErr w:type="spellStart"/>
      <w:r>
        <w:t>Gestelleinbau</w:t>
      </w:r>
      <w:proofErr w:type="spellEnd"/>
      <w:r>
        <w:t>) und AO2040 (Gehäuse zur Wandmontage) eingesetzt werden.</w:t>
      </w:r>
    </w:p>
    <w:p>
      <w:pPr>
        <w:pStyle w:val="GesAbsatz"/>
      </w:pPr>
      <w:r>
        <w:t>Prüfbericht: TÜV Rheinland Energie und Umwelt GmbH, Köln</w:t>
      </w:r>
    </w:p>
    <w:p>
      <w:pPr>
        <w:pStyle w:val="GesAbsatz"/>
      </w:pPr>
      <w:r>
        <w:t>Bericht-Nr.: 936/21228173/A vom 21. Oktober 2015</w:t>
      </w:r>
    </w:p>
    <w:p>
      <w:pPr>
        <w:pStyle w:val="GesAbsatz"/>
        <w:rPr>
          <w:b/>
        </w:rPr>
      </w:pPr>
      <w:r>
        <w:rPr>
          <w:b/>
        </w:rPr>
        <w:t>4</w:t>
      </w:r>
      <w:r>
        <w:rPr>
          <w:b/>
        </w:rPr>
        <w:tab/>
        <w:t>Mehrkomponentenmesseinrichtungen</w:t>
      </w:r>
    </w:p>
    <w:p>
      <w:pPr>
        <w:pStyle w:val="GesAbsatz"/>
        <w:rPr>
          <w:b/>
        </w:rPr>
      </w:pPr>
      <w:r>
        <w:rPr>
          <w:b/>
        </w:rPr>
        <w:t>4.1</w:t>
      </w:r>
      <w:r>
        <w:rPr>
          <w:b/>
        </w:rPr>
        <w:tab/>
        <w:t>AO2000-Limas21 UV für NO, NO</w:t>
      </w:r>
      <w:r>
        <w:rPr>
          <w:b/>
          <w:vertAlign w:val="subscript"/>
        </w:rPr>
        <w:t>2</w:t>
      </w:r>
      <w:r>
        <w:rPr>
          <w:b/>
        </w:rPr>
        <w:t>, SO</w:t>
      </w:r>
      <w:r>
        <w:rPr>
          <w:b/>
          <w:vertAlign w:val="subscript"/>
        </w:rPr>
        <w:t>2</w:t>
      </w:r>
      <w:r>
        <w:rPr>
          <w:b/>
        </w:rPr>
        <w:t xml:space="preserve"> und O</w:t>
      </w:r>
      <w:r>
        <w:rPr>
          <w:b/>
          <w:vertAlign w:val="subscript"/>
        </w:rPr>
        <w:t>2</w:t>
      </w:r>
    </w:p>
    <w:p>
      <w:pPr>
        <w:pStyle w:val="GesAbsatz"/>
      </w:pPr>
      <w:r>
        <w:t>Hersteller:</w:t>
      </w:r>
    </w:p>
    <w:p>
      <w:pPr>
        <w:pStyle w:val="GesAbsatz"/>
      </w:pPr>
      <w:r>
        <w:t>ABB Automation GmbH, Frankfurt am Main</w:t>
      </w:r>
    </w:p>
    <w:p>
      <w:pPr>
        <w:pStyle w:val="GesAbsatz"/>
      </w:pPr>
      <w:r>
        <w:t>Eignung:</w:t>
      </w:r>
    </w:p>
    <w:p>
      <w:pPr>
        <w:pStyle w:val="GesAbsatz"/>
      </w:pPr>
      <w:r>
        <w:t>Messsystem für Anlagen der 13. und 17. BImSchV sowie Anlagen der TA-Luft</w:t>
      </w:r>
    </w:p>
    <w:p>
      <w:pPr>
        <w:pStyle w:val="GesAbsatz"/>
      </w:pPr>
      <w:r>
        <w:t>Messbereiche in der Eignungsprüfung:</w:t>
      </w:r>
    </w:p>
    <w:tbl>
      <w:tblPr>
        <w:tblStyle w:val="Tabellenraster"/>
        <w:tblW w:w="0" w:type="auto"/>
        <w:tblLook w:val="04A0" w:firstRow="1" w:lastRow="0" w:firstColumn="1" w:lastColumn="0" w:noHBand="0" w:noVBand="1"/>
      </w:tblPr>
      <w:tblGrid>
        <w:gridCol w:w="2093"/>
        <w:gridCol w:w="2698"/>
        <w:gridCol w:w="2711"/>
        <w:gridCol w:w="1776"/>
      </w:tblGrid>
      <w:tr>
        <w:tc>
          <w:tcPr>
            <w:tcW w:w="2093" w:type="dxa"/>
          </w:tcPr>
          <w:p>
            <w:pPr>
              <w:pStyle w:val="GesAbsatz"/>
              <w:tabs>
                <w:tab w:val="clear" w:pos="425"/>
              </w:tabs>
              <w:jc w:val="center"/>
            </w:pPr>
            <w:r>
              <w:t>Komponente</w:t>
            </w:r>
          </w:p>
        </w:tc>
        <w:tc>
          <w:tcPr>
            <w:tcW w:w="2698" w:type="dxa"/>
          </w:tcPr>
          <w:p>
            <w:pPr>
              <w:pStyle w:val="GesAbsatz"/>
              <w:tabs>
                <w:tab w:val="clear" w:pos="425"/>
              </w:tabs>
              <w:jc w:val="center"/>
            </w:pPr>
            <w:r>
              <w:t>Zertifizierungsbereich</w:t>
            </w:r>
          </w:p>
        </w:tc>
        <w:tc>
          <w:tcPr>
            <w:tcW w:w="2711" w:type="dxa"/>
          </w:tcPr>
          <w:p>
            <w:pPr>
              <w:pStyle w:val="GesAbsatz"/>
              <w:tabs>
                <w:tab w:val="clear" w:pos="425"/>
              </w:tabs>
              <w:jc w:val="center"/>
            </w:pPr>
            <w:r>
              <w:t>zusätzlicher Messbereich</w:t>
            </w:r>
          </w:p>
        </w:tc>
        <w:tc>
          <w:tcPr>
            <w:tcW w:w="1776" w:type="dxa"/>
          </w:tcPr>
          <w:p>
            <w:pPr>
              <w:pStyle w:val="GesAbsatz"/>
              <w:tabs>
                <w:tab w:val="clear" w:pos="425"/>
              </w:tabs>
              <w:jc w:val="center"/>
            </w:pPr>
            <w:r>
              <w:t>Einheit</w:t>
            </w:r>
          </w:p>
        </w:tc>
      </w:tr>
      <w:tr>
        <w:tc>
          <w:tcPr>
            <w:tcW w:w="2093" w:type="dxa"/>
          </w:tcPr>
          <w:p>
            <w:pPr>
              <w:pStyle w:val="GesAbsatz"/>
              <w:tabs>
                <w:tab w:val="clear" w:pos="425"/>
              </w:tabs>
              <w:rPr>
                <w:lang w:val="en-US"/>
              </w:rPr>
            </w:pPr>
            <w:r>
              <w:rPr>
                <w:lang w:val="en-US"/>
              </w:rPr>
              <w:t>NO</w:t>
            </w:r>
          </w:p>
        </w:tc>
        <w:tc>
          <w:tcPr>
            <w:tcW w:w="2698" w:type="dxa"/>
          </w:tcPr>
          <w:p>
            <w:pPr>
              <w:pStyle w:val="GesAbsatz"/>
              <w:tabs>
                <w:tab w:val="clear" w:pos="425"/>
              </w:tabs>
              <w:jc w:val="center"/>
              <w:rPr>
                <w:lang w:val="en-US"/>
              </w:rPr>
            </w:pPr>
            <w:r>
              <w:rPr>
                <w:lang w:val="en-US"/>
              </w:rPr>
              <w:t>0 – 25</w:t>
            </w:r>
          </w:p>
        </w:tc>
        <w:tc>
          <w:tcPr>
            <w:tcW w:w="2711" w:type="dxa"/>
          </w:tcPr>
          <w:p>
            <w:pPr>
              <w:pStyle w:val="GesAbsatz"/>
              <w:tabs>
                <w:tab w:val="clear" w:pos="425"/>
              </w:tabs>
              <w:jc w:val="center"/>
              <w:rPr>
                <w:lang w:val="en-US"/>
              </w:rPr>
            </w:pPr>
            <w:r>
              <w:rPr>
                <w:lang w:val="en-US"/>
              </w:rPr>
              <w:t>0 – 200</w:t>
            </w:r>
          </w:p>
        </w:tc>
        <w:tc>
          <w:tcPr>
            <w:tcW w:w="1776" w:type="dxa"/>
          </w:tcPr>
          <w:p>
            <w:pPr>
              <w:pStyle w:val="GesAbsatz"/>
              <w:tabs>
                <w:tab w:val="clear" w:pos="425"/>
              </w:tabs>
              <w:jc w:val="center"/>
              <w:rPr>
                <w:lang w:val="en-US"/>
              </w:rPr>
            </w:pPr>
            <w:r>
              <w:rPr>
                <w:lang w:val="en-US"/>
              </w:rPr>
              <w:t>mg/m³</w:t>
            </w:r>
          </w:p>
        </w:tc>
      </w:tr>
      <w:tr>
        <w:tc>
          <w:tcPr>
            <w:tcW w:w="2093" w:type="dxa"/>
          </w:tcPr>
          <w:p>
            <w:pPr>
              <w:pStyle w:val="GesAbsatz"/>
              <w:tabs>
                <w:tab w:val="clear" w:pos="425"/>
              </w:tabs>
              <w:rPr>
                <w:lang w:val="en-US"/>
              </w:rPr>
            </w:pPr>
            <w:r>
              <w:rPr>
                <w:lang w:val="en-US"/>
              </w:rPr>
              <w:t>NO</w:t>
            </w:r>
            <w:r>
              <w:rPr>
                <w:vertAlign w:val="subscript"/>
                <w:lang w:val="en-US"/>
              </w:rPr>
              <w:t>2</w:t>
            </w:r>
          </w:p>
        </w:tc>
        <w:tc>
          <w:tcPr>
            <w:tcW w:w="2698" w:type="dxa"/>
          </w:tcPr>
          <w:p>
            <w:pPr>
              <w:pStyle w:val="GesAbsatz"/>
              <w:tabs>
                <w:tab w:val="clear" w:pos="425"/>
              </w:tabs>
              <w:jc w:val="center"/>
              <w:rPr>
                <w:lang w:val="en-US"/>
              </w:rPr>
            </w:pPr>
            <w:r>
              <w:rPr>
                <w:lang w:val="en-US"/>
              </w:rPr>
              <w:t>0 – 50</w:t>
            </w:r>
          </w:p>
        </w:tc>
        <w:tc>
          <w:tcPr>
            <w:tcW w:w="2711" w:type="dxa"/>
          </w:tcPr>
          <w:p>
            <w:pPr>
              <w:pStyle w:val="GesAbsatz"/>
              <w:tabs>
                <w:tab w:val="clear" w:pos="425"/>
              </w:tabs>
              <w:jc w:val="center"/>
              <w:rPr>
                <w:lang w:val="en-US"/>
              </w:rPr>
            </w:pPr>
            <w:r>
              <w:rPr>
                <w:lang w:val="en-US"/>
              </w:rPr>
              <w:t>0 – 500</w:t>
            </w:r>
          </w:p>
        </w:tc>
        <w:tc>
          <w:tcPr>
            <w:tcW w:w="1776" w:type="dxa"/>
          </w:tcPr>
          <w:p>
            <w:pPr>
              <w:pStyle w:val="GesAbsatz"/>
              <w:tabs>
                <w:tab w:val="clear" w:pos="425"/>
              </w:tabs>
              <w:jc w:val="center"/>
              <w:rPr>
                <w:lang w:val="en-US"/>
              </w:rPr>
            </w:pPr>
            <w:r>
              <w:rPr>
                <w:lang w:val="en-US"/>
              </w:rPr>
              <w:t>mg/m³</w:t>
            </w:r>
          </w:p>
        </w:tc>
      </w:tr>
      <w:tr>
        <w:tc>
          <w:tcPr>
            <w:tcW w:w="2093" w:type="dxa"/>
          </w:tcPr>
          <w:p>
            <w:pPr>
              <w:pStyle w:val="GesAbsatz"/>
              <w:tabs>
                <w:tab w:val="clear" w:pos="425"/>
              </w:tabs>
            </w:pPr>
            <w:r>
              <w:t>SO</w:t>
            </w:r>
            <w:r>
              <w:rPr>
                <w:vertAlign w:val="subscript"/>
              </w:rPr>
              <w:t>2</w:t>
            </w:r>
          </w:p>
        </w:tc>
        <w:tc>
          <w:tcPr>
            <w:tcW w:w="2698" w:type="dxa"/>
          </w:tcPr>
          <w:p>
            <w:pPr>
              <w:pStyle w:val="GesAbsatz"/>
              <w:tabs>
                <w:tab w:val="clear" w:pos="425"/>
              </w:tabs>
              <w:jc w:val="center"/>
            </w:pPr>
            <w:r>
              <w:t>0 – 75</w:t>
            </w:r>
          </w:p>
        </w:tc>
        <w:tc>
          <w:tcPr>
            <w:tcW w:w="2711" w:type="dxa"/>
          </w:tcPr>
          <w:p>
            <w:pPr>
              <w:pStyle w:val="GesAbsatz"/>
              <w:tabs>
                <w:tab w:val="clear" w:pos="425"/>
              </w:tabs>
              <w:jc w:val="center"/>
            </w:pPr>
            <w:r>
              <w:t>0 – 300</w:t>
            </w:r>
          </w:p>
        </w:tc>
        <w:tc>
          <w:tcPr>
            <w:tcW w:w="1776" w:type="dxa"/>
          </w:tcPr>
          <w:p>
            <w:pPr>
              <w:pStyle w:val="GesAbsatz"/>
              <w:tabs>
                <w:tab w:val="clear" w:pos="425"/>
              </w:tabs>
              <w:jc w:val="center"/>
            </w:pPr>
            <w:r>
              <w:t>mg/m</w:t>
            </w:r>
            <w:r>
              <w:rPr>
                <w:lang w:val="en-US"/>
              </w:rPr>
              <w:t>³</w:t>
            </w:r>
          </w:p>
        </w:tc>
      </w:tr>
      <w:tr>
        <w:tc>
          <w:tcPr>
            <w:tcW w:w="2093" w:type="dxa"/>
          </w:tcPr>
          <w:p>
            <w:pPr>
              <w:pStyle w:val="GesAbsatz"/>
              <w:tabs>
                <w:tab w:val="clear" w:pos="425"/>
              </w:tabs>
            </w:pPr>
            <w:r>
              <w:t>O</w:t>
            </w:r>
            <w:r>
              <w:rPr>
                <w:vertAlign w:val="subscript"/>
              </w:rPr>
              <w:t>2, elektrochemisch</w:t>
            </w:r>
          </w:p>
        </w:tc>
        <w:tc>
          <w:tcPr>
            <w:tcW w:w="2698" w:type="dxa"/>
          </w:tcPr>
          <w:p>
            <w:pPr>
              <w:pStyle w:val="GesAbsatz"/>
              <w:tabs>
                <w:tab w:val="clear" w:pos="425"/>
              </w:tabs>
              <w:jc w:val="center"/>
            </w:pPr>
            <w:r>
              <w:t>0 – 25</w:t>
            </w:r>
          </w:p>
        </w:tc>
        <w:tc>
          <w:tcPr>
            <w:tcW w:w="2711" w:type="dxa"/>
          </w:tcPr>
          <w:p>
            <w:pPr>
              <w:pStyle w:val="GesAbsatz"/>
              <w:tabs>
                <w:tab w:val="clear" w:pos="425"/>
              </w:tabs>
              <w:jc w:val="center"/>
            </w:pPr>
            <w:r>
              <w:t>–</w:t>
            </w:r>
          </w:p>
        </w:tc>
        <w:tc>
          <w:tcPr>
            <w:tcW w:w="1776" w:type="dxa"/>
          </w:tcPr>
          <w:p>
            <w:pPr>
              <w:pStyle w:val="GesAbsatz"/>
              <w:tabs>
                <w:tab w:val="clear" w:pos="425"/>
              </w:tabs>
              <w:jc w:val="center"/>
            </w:pPr>
            <w:r>
              <w:t>Vol.-%</w:t>
            </w:r>
          </w:p>
        </w:tc>
      </w:tr>
    </w:tbl>
    <w:p>
      <w:pPr>
        <w:pStyle w:val="GesAbsatz"/>
        <w:tabs>
          <w:tab w:val="left" w:pos="1985"/>
        </w:tabs>
      </w:pPr>
      <w:r>
        <w:t>Softwareversionen:</w:t>
      </w:r>
      <w:r>
        <w:tab/>
      </w:r>
      <w:proofErr w:type="spellStart"/>
      <w:r>
        <w:t>Syscon</w:t>
      </w:r>
      <w:proofErr w:type="spellEnd"/>
      <w:r>
        <w:t xml:space="preserve"> Board:</w:t>
      </w:r>
      <w:r>
        <w:tab/>
        <w:t>5.1.4</w:t>
      </w:r>
    </w:p>
    <w:p>
      <w:pPr>
        <w:pStyle w:val="GesAbsatz"/>
        <w:tabs>
          <w:tab w:val="left" w:pos="3544"/>
        </w:tabs>
        <w:ind w:left="1985"/>
      </w:pPr>
      <w:r>
        <w:t>Limas21-Modul:</w:t>
      </w:r>
      <w:r>
        <w:tab/>
        <w:t>3.4.5</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6" w:hanging="426"/>
      </w:pPr>
      <w:r>
        <w:t>2.</w:t>
      </w:r>
      <w:r>
        <w:tab/>
        <w:t>Das Messsystem ist mit einem Intervall von 24 h für die automatische Justierung zu betreiben. Dabei werden mit Umgebungsluft die Nullpunkte für die Komponenten NO, NO</w:t>
      </w:r>
      <w:r>
        <w:rPr>
          <w:vertAlign w:val="subscript"/>
        </w:rPr>
        <w:t>2</w:t>
      </w:r>
      <w:r>
        <w:t xml:space="preserve"> und SO</w:t>
      </w:r>
      <w:r>
        <w:rPr>
          <w:vertAlign w:val="subscript"/>
        </w:rPr>
        <w:t>2</w:t>
      </w:r>
      <w:r>
        <w:t xml:space="preserve"> sowie der Referenzpunkt für O</w:t>
      </w:r>
      <w:r>
        <w:rPr>
          <w:vertAlign w:val="subscript"/>
        </w:rPr>
        <w:t>2</w:t>
      </w:r>
      <w:r>
        <w:t xml:space="preserve"> neu justiert.</w:t>
      </w:r>
    </w:p>
    <w:p>
      <w:pPr>
        <w:pStyle w:val="GesAbsatz"/>
        <w:ind w:left="426" w:hanging="426"/>
      </w:pPr>
      <w:r>
        <w:t>3.</w:t>
      </w:r>
      <w:r>
        <w:tab/>
        <w:t>Der Analysator kann in den Gehäusevarianten AO2020 (19“-Einschub) und AO2040 (Gehäuse zur Wandmontage) eingesetzt werden.</w:t>
      </w:r>
    </w:p>
    <w:p>
      <w:pPr>
        <w:pStyle w:val="GesAbsatz"/>
      </w:pPr>
      <w:r>
        <w:t>Prüfbericht: TÜV SÜD Industrie Service GmbH, München</w:t>
      </w:r>
    </w:p>
    <w:p>
      <w:pPr>
        <w:pStyle w:val="GesAbsatz"/>
      </w:pPr>
      <w:r>
        <w:t>Bericht-Nr.: 2231669.1 vom 1. September 2015</w:t>
      </w:r>
    </w:p>
    <w:p>
      <w:pPr>
        <w:pStyle w:val="GesAbsatz"/>
        <w:rPr>
          <w:b/>
        </w:rPr>
      </w:pPr>
      <w:r>
        <w:rPr>
          <w:b/>
        </w:rPr>
        <w:t>4.2</w:t>
      </w:r>
      <w:r>
        <w:rPr>
          <w:b/>
        </w:rPr>
        <w:tab/>
        <w:t>EL3000-Limas23 für NO, NO</w:t>
      </w:r>
      <w:r>
        <w:rPr>
          <w:b/>
          <w:vertAlign w:val="subscript"/>
        </w:rPr>
        <w:t>2</w:t>
      </w:r>
      <w:r>
        <w:rPr>
          <w:b/>
        </w:rPr>
        <w:t>, SO</w:t>
      </w:r>
      <w:r>
        <w:rPr>
          <w:b/>
          <w:vertAlign w:val="subscript"/>
        </w:rPr>
        <w:t>2</w:t>
      </w:r>
      <w:r>
        <w:rPr>
          <w:b/>
        </w:rPr>
        <w:t xml:space="preserve"> und O</w:t>
      </w:r>
      <w:r>
        <w:rPr>
          <w:b/>
          <w:vertAlign w:val="subscript"/>
        </w:rPr>
        <w:t>2</w:t>
      </w:r>
    </w:p>
    <w:p>
      <w:pPr>
        <w:pStyle w:val="GesAbsatz"/>
      </w:pPr>
      <w:r>
        <w:t>Hersteller:</w:t>
      </w:r>
    </w:p>
    <w:p>
      <w:pPr>
        <w:pStyle w:val="GesAbsatz"/>
      </w:pPr>
      <w:r>
        <w:t>ABB Automation GmbH, Frankfurt am Main</w:t>
      </w:r>
    </w:p>
    <w:p>
      <w:pPr>
        <w:pStyle w:val="GesAbsatz"/>
      </w:pPr>
      <w:r>
        <w:t>Eignung:</w:t>
      </w:r>
    </w:p>
    <w:p>
      <w:pPr>
        <w:pStyle w:val="GesAbsatz"/>
      </w:pPr>
      <w:r>
        <w:t>Messsystem für Anlagen der 13. und 17. BImSchV sowie Anlagen der TA-Luft</w:t>
      </w:r>
    </w:p>
    <w:p>
      <w:pPr>
        <w:pStyle w:val="GesAbsatz"/>
      </w:pPr>
      <w:r>
        <w:t>Messbereiche in der Eignungsprüfung:</w:t>
      </w:r>
    </w:p>
    <w:tbl>
      <w:tblPr>
        <w:tblStyle w:val="Tabellenraster"/>
        <w:tblW w:w="0" w:type="auto"/>
        <w:tblLook w:val="04A0" w:firstRow="1" w:lastRow="0" w:firstColumn="1" w:lastColumn="0" w:noHBand="0" w:noVBand="1"/>
      </w:tblPr>
      <w:tblGrid>
        <w:gridCol w:w="2093"/>
        <w:gridCol w:w="2693"/>
        <w:gridCol w:w="2711"/>
        <w:gridCol w:w="1825"/>
      </w:tblGrid>
      <w:tr>
        <w:tc>
          <w:tcPr>
            <w:tcW w:w="2093" w:type="dxa"/>
          </w:tcPr>
          <w:p>
            <w:pPr>
              <w:pStyle w:val="GesAbsatz"/>
              <w:tabs>
                <w:tab w:val="clear" w:pos="425"/>
              </w:tabs>
              <w:jc w:val="center"/>
            </w:pPr>
            <w:r>
              <w:t>Komponente</w:t>
            </w:r>
          </w:p>
        </w:tc>
        <w:tc>
          <w:tcPr>
            <w:tcW w:w="2693" w:type="dxa"/>
          </w:tcPr>
          <w:p>
            <w:pPr>
              <w:pStyle w:val="GesAbsatz"/>
              <w:tabs>
                <w:tab w:val="clear" w:pos="425"/>
              </w:tabs>
              <w:jc w:val="center"/>
            </w:pPr>
            <w:r>
              <w:t>Zertifizierungsbereich</w:t>
            </w:r>
          </w:p>
        </w:tc>
        <w:tc>
          <w:tcPr>
            <w:tcW w:w="2711" w:type="dxa"/>
          </w:tcPr>
          <w:p>
            <w:pPr>
              <w:pStyle w:val="GesAbsatz"/>
              <w:tabs>
                <w:tab w:val="clear" w:pos="425"/>
              </w:tabs>
              <w:jc w:val="center"/>
            </w:pPr>
            <w:r>
              <w:t>zusätzlicher Messbereich</w:t>
            </w:r>
          </w:p>
        </w:tc>
        <w:tc>
          <w:tcPr>
            <w:tcW w:w="1825" w:type="dxa"/>
          </w:tcPr>
          <w:p>
            <w:pPr>
              <w:pStyle w:val="GesAbsatz"/>
              <w:tabs>
                <w:tab w:val="clear" w:pos="425"/>
              </w:tabs>
              <w:jc w:val="center"/>
            </w:pPr>
            <w:r>
              <w:t>Einheit</w:t>
            </w:r>
          </w:p>
        </w:tc>
      </w:tr>
      <w:tr>
        <w:tc>
          <w:tcPr>
            <w:tcW w:w="2093" w:type="dxa"/>
          </w:tcPr>
          <w:p>
            <w:pPr>
              <w:pStyle w:val="GesAbsatz"/>
              <w:tabs>
                <w:tab w:val="clear" w:pos="425"/>
              </w:tabs>
              <w:rPr>
                <w:lang w:val="en-US"/>
              </w:rPr>
            </w:pPr>
            <w:r>
              <w:rPr>
                <w:lang w:val="en-US"/>
              </w:rPr>
              <w:t>NO</w:t>
            </w:r>
          </w:p>
        </w:tc>
        <w:tc>
          <w:tcPr>
            <w:tcW w:w="2693" w:type="dxa"/>
          </w:tcPr>
          <w:p>
            <w:pPr>
              <w:pStyle w:val="GesAbsatz"/>
              <w:tabs>
                <w:tab w:val="clear" w:pos="425"/>
              </w:tabs>
              <w:jc w:val="center"/>
              <w:rPr>
                <w:lang w:val="en-US"/>
              </w:rPr>
            </w:pPr>
            <w:r>
              <w:rPr>
                <w:lang w:val="en-US"/>
              </w:rPr>
              <w:t>0 – 33,5</w:t>
            </w:r>
          </w:p>
        </w:tc>
        <w:tc>
          <w:tcPr>
            <w:tcW w:w="2711" w:type="dxa"/>
          </w:tcPr>
          <w:p>
            <w:pPr>
              <w:pStyle w:val="GesAbsatz"/>
              <w:tabs>
                <w:tab w:val="clear" w:pos="425"/>
              </w:tabs>
              <w:jc w:val="center"/>
              <w:rPr>
                <w:lang w:val="en-US"/>
              </w:rPr>
            </w:pPr>
            <w:r>
              <w:rPr>
                <w:lang w:val="en-US"/>
              </w:rPr>
              <w:t>0 – 200</w:t>
            </w:r>
          </w:p>
        </w:tc>
        <w:tc>
          <w:tcPr>
            <w:tcW w:w="1825" w:type="dxa"/>
          </w:tcPr>
          <w:p>
            <w:pPr>
              <w:pStyle w:val="GesAbsatz"/>
              <w:tabs>
                <w:tab w:val="clear" w:pos="425"/>
              </w:tabs>
              <w:jc w:val="center"/>
              <w:rPr>
                <w:lang w:val="en-US"/>
              </w:rPr>
            </w:pPr>
            <w:r>
              <w:rPr>
                <w:lang w:val="en-US"/>
              </w:rPr>
              <w:t>mg/m³</w:t>
            </w:r>
          </w:p>
        </w:tc>
      </w:tr>
      <w:tr>
        <w:tc>
          <w:tcPr>
            <w:tcW w:w="2093" w:type="dxa"/>
          </w:tcPr>
          <w:p>
            <w:pPr>
              <w:pStyle w:val="GesAbsatz"/>
              <w:tabs>
                <w:tab w:val="clear" w:pos="425"/>
              </w:tabs>
              <w:rPr>
                <w:lang w:val="en-US"/>
              </w:rPr>
            </w:pPr>
            <w:r>
              <w:rPr>
                <w:lang w:val="en-US"/>
              </w:rPr>
              <w:t>NO</w:t>
            </w:r>
            <w:r>
              <w:rPr>
                <w:vertAlign w:val="subscript"/>
                <w:lang w:val="en-US"/>
              </w:rPr>
              <w:t>2</w:t>
            </w:r>
          </w:p>
        </w:tc>
        <w:tc>
          <w:tcPr>
            <w:tcW w:w="2693" w:type="dxa"/>
          </w:tcPr>
          <w:p>
            <w:pPr>
              <w:pStyle w:val="GesAbsatz"/>
              <w:tabs>
                <w:tab w:val="clear" w:pos="425"/>
              </w:tabs>
              <w:jc w:val="center"/>
              <w:rPr>
                <w:lang w:val="en-US"/>
              </w:rPr>
            </w:pPr>
            <w:r>
              <w:rPr>
                <w:lang w:val="en-US"/>
              </w:rPr>
              <w:t>0 – 125</w:t>
            </w:r>
          </w:p>
        </w:tc>
        <w:tc>
          <w:tcPr>
            <w:tcW w:w="2711" w:type="dxa"/>
          </w:tcPr>
          <w:p>
            <w:pPr>
              <w:pStyle w:val="GesAbsatz"/>
              <w:tabs>
                <w:tab w:val="clear" w:pos="425"/>
              </w:tabs>
              <w:jc w:val="center"/>
              <w:rPr>
                <w:lang w:val="en-US"/>
              </w:rPr>
            </w:pPr>
            <w:r>
              <w:rPr>
                <w:lang w:val="en-US"/>
              </w:rPr>
              <w:t>0 – 500</w:t>
            </w:r>
          </w:p>
        </w:tc>
        <w:tc>
          <w:tcPr>
            <w:tcW w:w="1825" w:type="dxa"/>
          </w:tcPr>
          <w:p>
            <w:pPr>
              <w:pStyle w:val="GesAbsatz"/>
              <w:tabs>
                <w:tab w:val="clear" w:pos="425"/>
              </w:tabs>
              <w:jc w:val="center"/>
              <w:rPr>
                <w:lang w:val="en-US"/>
              </w:rPr>
            </w:pPr>
            <w:r>
              <w:rPr>
                <w:lang w:val="en-US"/>
              </w:rPr>
              <w:t>mg/m³</w:t>
            </w:r>
          </w:p>
        </w:tc>
      </w:tr>
      <w:tr>
        <w:tc>
          <w:tcPr>
            <w:tcW w:w="2093" w:type="dxa"/>
          </w:tcPr>
          <w:p>
            <w:pPr>
              <w:pStyle w:val="GesAbsatz"/>
              <w:tabs>
                <w:tab w:val="clear" w:pos="425"/>
              </w:tabs>
            </w:pPr>
            <w:r>
              <w:t>SO</w:t>
            </w:r>
            <w:r>
              <w:rPr>
                <w:vertAlign w:val="subscript"/>
              </w:rPr>
              <w:t>2</w:t>
            </w:r>
          </w:p>
        </w:tc>
        <w:tc>
          <w:tcPr>
            <w:tcW w:w="2693" w:type="dxa"/>
          </w:tcPr>
          <w:p>
            <w:pPr>
              <w:pStyle w:val="GesAbsatz"/>
              <w:tabs>
                <w:tab w:val="clear" w:pos="425"/>
              </w:tabs>
              <w:jc w:val="center"/>
            </w:pPr>
            <w:r>
              <w:t>0 – 75</w:t>
            </w:r>
          </w:p>
        </w:tc>
        <w:tc>
          <w:tcPr>
            <w:tcW w:w="2711" w:type="dxa"/>
          </w:tcPr>
          <w:p>
            <w:pPr>
              <w:pStyle w:val="GesAbsatz"/>
              <w:tabs>
                <w:tab w:val="clear" w:pos="425"/>
              </w:tabs>
              <w:jc w:val="center"/>
            </w:pPr>
            <w:r>
              <w:t>0 – 300</w:t>
            </w:r>
          </w:p>
        </w:tc>
        <w:tc>
          <w:tcPr>
            <w:tcW w:w="1825" w:type="dxa"/>
          </w:tcPr>
          <w:p>
            <w:pPr>
              <w:pStyle w:val="GesAbsatz"/>
              <w:tabs>
                <w:tab w:val="clear" w:pos="425"/>
              </w:tabs>
              <w:jc w:val="center"/>
            </w:pPr>
            <w:r>
              <w:t>mg/m</w:t>
            </w:r>
            <w:r>
              <w:rPr>
                <w:lang w:val="en-US"/>
              </w:rPr>
              <w:t>³</w:t>
            </w:r>
          </w:p>
        </w:tc>
      </w:tr>
      <w:tr>
        <w:tc>
          <w:tcPr>
            <w:tcW w:w="2093" w:type="dxa"/>
          </w:tcPr>
          <w:p>
            <w:pPr>
              <w:pStyle w:val="GesAbsatz"/>
              <w:tabs>
                <w:tab w:val="clear" w:pos="425"/>
              </w:tabs>
            </w:pPr>
            <w:r>
              <w:t>O</w:t>
            </w:r>
            <w:r>
              <w:rPr>
                <w:vertAlign w:val="subscript"/>
              </w:rPr>
              <w:t>2, elektrochemisch</w:t>
            </w:r>
          </w:p>
        </w:tc>
        <w:tc>
          <w:tcPr>
            <w:tcW w:w="2693" w:type="dxa"/>
          </w:tcPr>
          <w:p>
            <w:pPr>
              <w:pStyle w:val="GesAbsatz"/>
              <w:tabs>
                <w:tab w:val="clear" w:pos="425"/>
              </w:tabs>
              <w:jc w:val="center"/>
            </w:pPr>
            <w:r>
              <w:t>0 – 25</w:t>
            </w:r>
          </w:p>
        </w:tc>
        <w:tc>
          <w:tcPr>
            <w:tcW w:w="2711" w:type="dxa"/>
          </w:tcPr>
          <w:p>
            <w:pPr>
              <w:pStyle w:val="GesAbsatz"/>
              <w:tabs>
                <w:tab w:val="clear" w:pos="425"/>
              </w:tabs>
              <w:jc w:val="center"/>
            </w:pPr>
            <w:r>
              <w:t>–</w:t>
            </w:r>
          </w:p>
        </w:tc>
        <w:tc>
          <w:tcPr>
            <w:tcW w:w="1825" w:type="dxa"/>
          </w:tcPr>
          <w:p>
            <w:pPr>
              <w:pStyle w:val="GesAbsatz"/>
              <w:tabs>
                <w:tab w:val="clear" w:pos="425"/>
              </w:tabs>
              <w:jc w:val="center"/>
            </w:pPr>
            <w:r>
              <w:t>Vol.-%</w:t>
            </w:r>
          </w:p>
        </w:tc>
      </w:tr>
    </w:tbl>
    <w:p>
      <w:pPr>
        <w:pStyle w:val="GesAbsatz"/>
      </w:pPr>
      <w:r>
        <w:lastRenderedPageBreak/>
        <w:t>Softwareversion: 3.4.5</w:t>
      </w:r>
    </w:p>
    <w:p>
      <w:pPr>
        <w:pStyle w:val="GesAbsatz"/>
      </w:pPr>
      <w:r>
        <w:t>Einschränkungen:</w:t>
      </w:r>
    </w:p>
    <w:p>
      <w:pPr>
        <w:pStyle w:val="GesAbsatz"/>
      </w:pPr>
      <w:r>
        <w:t>Keine</w:t>
      </w:r>
    </w:p>
    <w:p>
      <w:pPr>
        <w:pStyle w:val="GesAbsatz"/>
      </w:pPr>
      <w:r>
        <w:t>Hinweise:</w:t>
      </w:r>
    </w:p>
    <w:p>
      <w:pPr>
        <w:pStyle w:val="GesAbsatz"/>
      </w:pPr>
      <w:r>
        <w:t>1.</w:t>
      </w:r>
      <w:r>
        <w:tab/>
        <w:t>Das Wartungsintervall beträgt zwei Wochen.</w:t>
      </w:r>
    </w:p>
    <w:p>
      <w:pPr>
        <w:pStyle w:val="GesAbsatz"/>
        <w:ind w:left="426" w:hanging="426"/>
      </w:pPr>
      <w:r>
        <w:t>2.</w:t>
      </w:r>
      <w:r>
        <w:tab/>
        <w:t>Das Messsystem ist mit einem Intervall von 24 h für die automatische Justierung zu betreiben. Dabei werden mit Umgebungsluft die Nullpunkte für die Komponenten NO, NO</w:t>
      </w:r>
      <w:r>
        <w:rPr>
          <w:vertAlign w:val="subscript"/>
        </w:rPr>
        <w:t>2</w:t>
      </w:r>
      <w:r>
        <w:t xml:space="preserve"> und SO</w:t>
      </w:r>
      <w:r>
        <w:rPr>
          <w:vertAlign w:val="subscript"/>
        </w:rPr>
        <w:t>2</w:t>
      </w:r>
      <w:r>
        <w:t xml:space="preserve"> sowie der Referenzpunkt für O</w:t>
      </w:r>
      <w:r>
        <w:rPr>
          <w:vertAlign w:val="subscript"/>
        </w:rPr>
        <w:t>2</w:t>
      </w:r>
      <w:r>
        <w:t xml:space="preserve"> neu justiert.</w:t>
      </w:r>
    </w:p>
    <w:p>
      <w:pPr>
        <w:pStyle w:val="GesAbsatz"/>
        <w:ind w:left="426" w:hanging="426"/>
      </w:pPr>
      <w:r>
        <w:t>3.</w:t>
      </w:r>
      <w:r>
        <w:tab/>
        <w:t>Der Analysator kann in den Gehäusevarianten EL3020 (19“-Einschub) und EL3040 (Gehäuse zur Wandmontage) eingesetzt werden.</w:t>
      </w:r>
    </w:p>
    <w:p>
      <w:pPr>
        <w:pStyle w:val="GesAbsatz"/>
      </w:pPr>
      <w:r>
        <w:t>Prüfbericht: TÜV SÜD Industrie Service GmbH, München</w:t>
      </w:r>
    </w:p>
    <w:p>
      <w:pPr>
        <w:pStyle w:val="GesAbsatz"/>
      </w:pPr>
      <w:r>
        <w:t>Bericht-Nr.: 2331669.2 vom 30. September 2015</w:t>
      </w:r>
    </w:p>
    <w:p>
      <w:pPr>
        <w:pStyle w:val="GesAbsatz"/>
        <w:rPr>
          <w:b/>
        </w:rPr>
      </w:pPr>
      <w:r>
        <w:rPr>
          <w:b/>
        </w:rPr>
        <w:t>4.3</w:t>
      </w:r>
      <w:r>
        <w:rPr>
          <w:b/>
        </w:rPr>
        <w:tab/>
        <w:t>MCA 10-HWIR für CO, NO, SO</w:t>
      </w:r>
      <w:r>
        <w:rPr>
          <w:b/>
          <w:vertAlign w:val="subscript"/>
        </w:rPr>
        <w:t>2</w:t>
      </w:r>
      <w:r>
        <w:rPr>
          <w:b/>
        </w:rPr>
        <w:t>, NO</w:t>
      </w:r>
      <w:r>
        <w:rPr>
          <w:b/>
          <w:vertAlign w:val="subscript"/>
        </w:rPr>
        <w:t>2</w:t>
      </w:r>
      <w:r>
        <w:rPr>
          <w:b/>
        </w:rPr>
        <w:t>, N</w:t>
      </w:r>
      <w:r>
        <w:rPr>
          <w:b/>
          <w:vertAlign w:val="subscript"/>
        </w:rPr>
        <w:t>2</w:t>
      </w:r>
      <w:r>
        <w:rPr>
          <w:b/>
        </w:rPr>
        <w:t>O, HCl, NH</w:t>
      </w:r>
      <w:r>
        <w:rPr>
          <w:b/>
          <w:vertAlign w:val="subscript"/>
        </w:rPr>
        <w:t>3</w:t>
      </w:r>
      <w:r>
        <w:rPr>
          <w:b/>
        </w:rPr>
        <w:t>, CH</w:t>
      </w:r>
      <w:r>
        <w:rPr>
          <w:b/>
          <w:vertAlign w:val="subscript"/>
        </w:rPr>
        <w:t>4</w:t>
      </w:r>
      <w:r>
        <w:rPr>
          <w:b/>
        </w:rPr>
        <w:t>, CO</w:t>
      </w:r>
      <w:r>
        <w:rPr>
          <w:b/>
          <w:vertAlign w:val="subscript"/>
        </w:rPr>
        <w:t>2</w:t>
      </w:r>
      <w:r>
        <w:rPr>
          <w:b/>
        </w:rPr>
        <w:t>, O</w:t>
      </w:r>
      <w:r>
        <w:rPr>
          <w:b/>
          <w:vertAlign w:val="subscript"/>
        </w:rPr>
        <w:t>2</w:t>
      </w:r>
      <w:r>
        <w:rPr>
          <w:b/>
        </w:rPr>
        <w:t>, Feuchte und Gesamt-C</w:t>
      </w:r>
    </w:p>
    <w:p>
      <w:pPr>
        <w:pStyle w:val="GesAbsatz"/>
      </w:pPr>
      <w:r>
        <w:t>Hersteller:</w:t>
      </w:r>
    </w:p>
    <w:p>
      <w:pPr>
        <w:pStyle w:val="GesAbsatz"/>
      </w:pPr>
      <w:r>
        <w:t>Dr. Födisch Umweltmesstechnik AG, Markranstädt</w:t>
      </w:r>
    </w:p>
    <w:p>
      <w:pPr>
        <w:pStyle w:val="GesAbsatz"/>
      </w:pPr>
      <w:r>
        <w:t>Eignung:</w:t>
      </w:r>
    </w:p>
    <w:p>
      <w:pPr>
        <w:pStyle w:val="GesAbsatz"/>
      </w:pPr>
      <w:r>
        <w:t>Für genehmigungsbedürftige Anlagen und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517"/>
        <w:gridCol w:w="2280"/>
        <w:gridCol w:w="1831"/>
        <w:gridCol w:w="1968"/>
        <w:gridCol w:w="2032"/>
      </w:tblGrid>
      <w:tr>
        <w:tc>
          <w:tcPr>
            <w:tcW w:w="1526" w:type="dxa"/>
          </w:tcPr>
          <w:p>
            <w:pPr>
              <w:pStyle w:val="GesAbsatz"/>
              <w:tabs>
                <w:tab w:val="clear" w:pos="425"/>
              </w:tabs>
              <w:jc w:val="center"/>
            </w:pPr>
            <w:r>
              <w:t>Komponente</w:t>
            </w:r>
          </w:p>
        </w:tc>
        <w:tc>
          <w:tcPr>
            <w:tcW w:w="2297" w:type="dxa"/>
          </w:tcPr>
          <w:p>
            <w:pPr>
              <w:pStyle w:val="GesAbsatz"/>
              <w:tabs>
                <w:tab w:val="clear" w:pos="425"/>
              </w:tabs>
              <w:jc w:val="center"/>
            </w:pPr>
            <w:r>
              <w:t>Zertifizierungsbereich</w:t>
            </w:r>
          </w:p>
        </w:tc>
        <w:tc>
          <w:tcPr>
            <w:tcW w:w="3830" w:type="dxa"/>
            <w:gridSpan w:val="2"/>
          </w:tcPr>
          <w:p>
            <w:pPr>
              <w:pStyle w:val="GesAbsatz"/>
              <w:tabs>
                <w:tab w:val="clear" w:pos="425"/>
              </w:tabs>
              <w:jc w:val="center"/>
            </w:pPr>
            <w:r>
              <w:t>zusätzliche Messbereiche</w:t>
            </w:r>
          </w:p>
        </w:tc>
        <w:tc>
          <w:tcPr>
            <w:tcW w:w="2046" w:type="dxa"/>
          </w:tcPr>
          <w:p>
            <w:pPr>
              <w:pStyle w:val="GesAbsatz"/>
              <w:tabs>
                <w:tab w:val="clear" w:pos="425"/>
              </w:tabs>
              <w:jc w:val="center"/>
            </w:pPr>
            <w:r>
              <w:t>Einheit</w:t>
            </w:r>
          </w:p>
        </w:tc>
      </w:tr>
      <w:tr>
        <w:tc>
          <w:tcPr>
            <w:tcW w:w="1526" w:type="dxa"/>
          </w:tcPr>
          <w:p>
            <w:pPr>
              <w:pStyle w:val="GesAbsatz"/>
              <w:tabs>
                <w:tab w:val="clear" w:pos="425"/>
              </w:tabs>
            </w:pPr>
            <w:r>
              <w:t>CO</w:t>
            </w:r>
          </w:p>
        </w:tc>
        <w:tc>
          <w:tcPr>
            <w:tcW w:w="2297" w:type="dxa"/>
          </w:tcPr>
          <w:p>
            <w:pPr>
              <w:pStyle w:val="GesAbsatz"/>
              <w:tabs>
                <w:tab w:val="clear" w:pos="425"/>
              </w:tabs>
              <w:jc w:val="center"/>
            </w:pPr>
            <w:r>
              <w:t>0 – 75</w:t>
            </w:r>
          </w:p>
        </w:tc>
        <w:tc>
          <w:tcPr>
            <w:tcW w:w="1846" w:type="dxa"/>
          </w:tcPr>
          <w:p>
            <w:pPr>
              <w:pStyle w:val="GesAbsatz"/>
              <w:tabs>
                <w:tab w:val="clear" w:pos="425"/>
              </w:tabs>
              <w:jc w:val="center"/>
            </w:pPr>
            <w:r>
              <w:t>0 – 300</w:t>
            </w:r>
          </w:p>
        </w:tc>
        <w:tc>
          <w:tcPr>
            <w:tcW w:w="1984" w:type="dxa"/>
          </w:tcPr>
          <w:p>
            <w:pPr>
              <w:pStyle w:val="GesAbsatz"/>
              <w:tabs>
                <w:tab w:val="clear" w:pos="425"/>
              </w:tabs>
              <w:jc w:val="center"/>
            </w:pPr>
            <w:r>
              <w:t>0 – 5 000</w:t>
            </w:r>
          </w:p>
        </w:tc>
        <w:tc>
          <w:tcPr>
            <w:tcW w:w="2046" w:type="dxa"/>
          </w:tcPr>
          <w:p>
            <w:pPr>
              <w:pStyle w:val="GesAbsatz"/>
              <w:tabs>
                <w:tab w:val="clear" w:pos="425"/>
              </w:tabs>
              <w:jc w:val="center"/>
            </w:pPr>
            <w:r>
              <w:t>mg/m³</w:t>
            </w:r>
          </w:p>
        </w:tc>
      </w:tr>
      <w:tr>
        <w:tc>
          <w:tcPr>
            <w:tcW w:w="1526" w:type="dxa"/>
          </w:tcPr>
          <w:p>
            <w:pPr>
              <w:pStyle w:val="GesAbsatz"/>
              <w:tabs>
                <w:tab w:val="clear" w:pos="425"/>
              </w:tabs>
              <w:rPr>
                <w:lang w:val="en-US"/>
              </w:rPr>
            </w:pPr>
            <w:r>
              <w:rPr>
                <w:lang w:val="en-US"/>
              </w:rPr>
              <w:t>CO</w:t>
            </w:r>
            <w:r>
              <w:rPr>
                <w:vertAlign w:val="subscript"/>
                <w:lang w:val="en-US"/>
              </w:rPr>
              <w:t>2</w:t>
            </w:r>
          </w:p>
        </w:tc>
        <w:tc>
          <w:tcPr>
            <w:tcW w:w="2297" w:type="dxa"/>
          </w:tcPr>
          <w:p>
            <w:pPr>
              <w:pStyle w:val="GesAbsatz"/>
              <w:tabs>
                <w:tab w:val="clear" w:pos="425"/>
              </w:tabs>
              <w:jc w:val="center"/>
              <w:rPr>
                <w:lang w:val="en-US"/>
              </w:rPr>
            </w:pPr>
            <w:r>
              <w:rPr>
                <w:lang w:val="en-US"/>
              </w:rPr>
              <w:t>0 – 25</w:t>
            </w:r>
          </w:p>
        </w:tc>
        <w:tc>
          <w:tcPr>
            <w:tcW w:w="1846" w:type="dxa"/>
          </w:tcPr>
          <w:p>
            <w:pPr>
              <w:pStyle w:val="GesAbsatz"/>
              <w:tabs>
                <w:tab w:val="clear" w:pos="425"/>
              </w:tabs>
              <w:jc w:val="center"/>
              <w:rPr>
                <w:lang w:val="en-US"/>
              </w:rPr>
            </w:pPr>
            <w:r>
              <w:rPr>
                <w:lang w:val="en-US"/>
              </w:rPr>
              <w:t>0 – 50</w:t>
            </w:r>
          </w:p>
        </w:tc>
        <w:tc>
          <w:tcPr>
            <w:tcW w:w="1984" w:type="dxa"/>
          </w:tcPr>
          <w:p>
            <w:pPr>
              <w:pStyle w:val="GesAbsatz"/>
              <w:tabs>
                <w:tab w:val="clear" w:pos="425"/>
              </w:tabs>
              <w:jc w:val="center"/>
              <w:rPr>
                <w:lang w:val="en-US"/>
              </w:rPr>
            </w:pPr>
            <w:r>
              <w:rPr>
                <w:lang w:val="en-US"/>
              </w:rPr>
              <w:t>–</w:t>
            </w:r>
          </w:p>
        </w:tc>
        <w:tc>
          <w:tcPr>
            <w:tcW w:w="2046" w:type="dxa"/>
          </w:tcPr>
          <w:p>
            <w:pPr>
              <w:pStyle w:val="GesAbsatz"/>
              <w:tabs>
                <w:tab w:val="clear" w:pos="425"/>
              </w:tabs>
              <w:jc w:val="center"/>
              <w:rPr>
                <w:lang w:val="en-US"/>
              </w:rPr>
            </w:pPr>
            <w:r>
              <w:rPr>
                <w:lang w:val="en-US"/>
              </w:rPr>
              <w:t>Vol.-%</w:t>
            </w:r>
          </w:p>
        </w:tc>
      </w:tr>
      <w:tr>
        <w:tc>
          <w:tcPr>
            <w:tcW w:w="1526" w:type="dxa"/>
          </w:tcPr>
          <w:p>
            <w:pPr>
              <w:pStyle w:val="GesAbsatz"/>
              <w:tabs>
                <w:tab w:val="clear" w:pos="425"/>
              </w:tabs>
              <w:rPr>
                <w:lang w:val="en-US"/>
              </w:rPr>
            </w:pPr>
            <w:r>
              <w:rPr>
                <w:lang w:val="en-US"/>
              </w:rPr>
              <w:t>NO</w:t>
            </w:r>
          </w:p>
        </w:tc>
        <w:tc>
          <w:tcPr>
            <w:tcW w:w="2297" w:type="dxa"/>
          </w:tcPr>
          <w:p>
            <w:pPr>
              <w:pStyle w:val="GesAbsatz"/>
              <w:tabs>
                <w:tab w:val="clear" w:pos="425"/>
              </w:tabs>
              <w:jc w:val="center"/>
              <w:rPr>
                <w:lang w:val="en-US"/>
              </w:rPr>
            </w:pPr>
            <w:r>
              <w:rPr>
                <w:lang w:val="en-US"/>
              </w:rPr>
              <w:t>0 – 200</w:t>
            </w:r>
          </w:p>
        </w:tc>
        <w:tc>
          <w:tcPr>
            <w:tcW w:w="1846" w:type="dxa"/>
          </w:tcPr>
          <w:p>
            <w:pPr>
              <w:pStyle w:val="GesAbsatz"/>
              <w:tabs>
                <w:tab w:val="clear" w:pos="425"/>
              </w:tabs>
              <w:jc w:val="center"/>
              <w:rPr>
                <w:lang w:val="en-US"/>
              </w:rPr>
            </w:pPr>
            <w:r>
              <w:rPr>
                <w:lang w:val="en-US"/>
              </w:rPr>
              <w:t>0 – 400</w:t>
            </w:r>
          </w:p>
        </w:tc>
        <w:tc>
          <w:tcPr>
            <w:tcW w:w="1984" w:type="dxa"/>
          </w:tcPr>
          <w:p>
            <w:pPr>
              <w:pStyle w:val="GesAbsatz"/>
              <w:tabs>
                <w:tab w:val="clear" w:pos="425"/>
              </w:tabs>
              <w:jc w:val="center"/>
              <w:rPr>
                <w:lang w:val="en-US"/>
              </w:rPr>
            </w:pPr>
            <w:r>
              <w:rPr>
                <w:lang w:val="en-US"/>
              </w:rPr>
              <w:t>0 – 3 000</w:t>
            </w:r>
          </w:p>
        </w:tc>
        <w:tc>
          <w:tcPr>
            <w:tcW w:w="2046" w:type="dxa"/>
          </w:tcPr>
          <w:p>
            <w:pPr>
              <w:pStyle w:val="GesAbsatz"/>
              <w:tabs>
                <w:tab w:val="clear" w:pos="425"/>
              </w:tabs>
              <w:jc w:val="center"/>
              <w:rPr>
                <w:lang w:val="en-US"/>
              </w:rPr>
            </w:pPr>
            <w:r>
              <w:rPr>
                <w:lang w:val="en-US"/>
              </w:rPr>
              <w:t>mg/m</w:t>
            </w:r>
            <w:r>
              <w:t>³</w:t>
            </w:r>
          </w:p>
        </w:tc>
      </w:tr>
      <w:tr>
        <w:tc>
          <w:tcPr>
            <w:tcW w:w="1526" w:type="dxa"/>
          </w:tcPr>
          <w:p>
            <w:pPr>
              <w:pStyle w:val="GesAbsatz"/>
              <w:tabs>
                <w:tab w:val="clear" w:pos="425"/>
              </w:tabs>
              <w:rPr>
                <w:lang w:val="en-US"/>
              </w:rPr>
            </w:pPr>
            <w:r>
              <w:rPr>
                <w:lang w:val="en-US"/>
              </w:rPr>
              <w:t>NO</w:t>
            </w:r>
            <w:r>
              <w:rPr>
                <w:vertAlign w:val="subscript"/>
                <w:lang w:val="en-US"/>
              </w:rPr>
              <w:t>2</w:t>
            </w:r>
          </w:p>
        </w:tc>
        <w:tc>
          <w:tcPr>
            <w:tcW w:w="2297" w:type="dxa"/>
          </w:tcPr>
          <w:p>
            <w:pPr>
              <w:pStyle w:val="GesAbsatz"/>
              <w:tabs>
                <w:tab w:val="clear" w:pos="425"/>
              </w:tabs>
              <w:jc w:val="center"/>
              <w:rPr>
                <w:lang w:val="en-US"/>
              </w:rPr>
            </w:pPr>
            <w:r>
              <w:rPr>
                <w:lang w:val="en-US"/>
              </w:rPr>
              <w:t>0 – 50</w:t>
            </w:r>
          </w:p>
        </w:tc>
        <w:tc>
          <w:tcPr>
            <w:tcW w:w="1846" w:type="dxa"/>
          </w:tcPr>
          <w:p>
            <w:pPr>
              <w:pStyle w:val="GesAbsatz"/>
              <w:tabs>
                <w:tab w:val="clear" w:pos="425"/>
              </w:tabs>
              <w:jc w:val="center"/>
              <w:rPr>
                <w:lang w:val="en-US"/>
              </w:rPr>
            </w:pPr>
            <w:r>
              <w:rPr>
                <w:lang w:val="en-US"/>
              </w:rPr>
              <w:t>0 – 500</w:t>
            </w:r>
          </w:p>
        </w:tc>
        <w:tc>
          <w:tcPr>
            <w:tcW w:w="1984" w:type="dxa"/>
          </w:tcPr>
          <w:p>
            <w:pPr>
              <w:pStyle w:val="GesAbsatz"/>
              <w:tabs>
                <w:tab w:val="clear" w:pos="425"/>
              </w:tabs>
              <w:jc w:val="center"/>
              <w:rPr>
                <w:lang w:val="en-US"/>
              </w:rPr>
            </w:pPr>
            <w:r>
              <w:rPr>
                <w:lang w:val="en-US"/>
              </w:rPr>
              <w:t>–</w:t>
            </w:r>
          </w:p>
        </w:tc>
        <w:tc>
          <w:tcPr>
            <w:tcW w:w="2046" w:type="dxa"/>
          </w:tcPr>
          <w:p>
            <w:pPr>
              <w:pStyle w:val="GesAbsatz"/>
              <w:tabs>
                <w:tab w:val="clear" w:pos="425"/>
              </w:tabs>
              <w:jc w:val="center"/>
              <w:rPr>
                <w:lang w:val="en-US"/>
              </w:rPr>
            </w:pPr>
            <w:r>
              <w:rPr>
                <w:lang w:val="en-US"/>
              </w:rPr>
              <w:t>mg/m</w:t>
            </w:r>
            <w:r>
              <w:t>³</w:t>
            </w:r>
          </w:p>
        </w:tc>
      </w:tr>
      <w:tr>
        <w:tc>
          <w:tcPr>
            <w:tcW w:w="1526" w:type="dxa"/>
          </w:tcPr>
          <w:p>
            <w:pPr>
              <w:pStyle w:val="GesAbsatz"/>
              <w:tabs>
                <w:tab w:val="clear" w:pos="425"/>
              </w:tabs>
            </w:pPr>
            <w:r>
              <w:t>N</w:t>
            </w:r>
            <w:r>
              <w:rPr>
                <w:vertAlign w:val="subscript"/>
              </w:rPr>
              <w:t>2</w:t>
            </w:r>
            <w:r>
              <w:t>O</w:t>
            </w:r>
          </w:p>
        </w:tc>
        <w:tc>
          <w:tcPr>
            <w:tcW w:w="2297" w:type="dxa"/>
          </w:tcPr>
          <w:p>
            <w:pPr>
              <w:pStyle w:val="GesAbsatz"/>
              <w:tabs>
                <w:tab w:val="clear" w:pos="425"/>
              </w:tabs>
              <w:jc w:val="center"/>
            </w:pPr>
            <w:r>
              <w:t>0 – 50</w:t>
            </w:r>
          </w:p>
        </w:tc>
        <w:tc>
          <w:tcPr>
            <w:tcW w:w="1846" w:type="dxa"/>
          </w:tcPr>
          <w:p>
            <w:pPr>
              <w:pStyle w:val="GesAbsatz"/>
              <w:tabs>
                <w:tab w:val="clear" w:pos="425"/>
              </w:tabs>
              <w:jc w:val="center"/>
            </w:pPr>
            <w:r>
              <w:t>0 – 3 000</w:t>
            </w:r>
          </w:p>
        </w:tc>
        <w:tc>
          <w:tcPr>
            <w:tcW w:w="1984"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526" w:type="dxa"/>
          </w:tcPr>
          <w:p>
            <w:pPr>
              <w:pStyle w:val="GesAbsatz"/>
              <w:tabs>
                <w:tab w:val="clear" w:pos="425"/>
              </w:tabs>
            </w:pPr>
            <w:r>
              <w:t>NH</w:t>
            </w:r>
            <w:r>
              <w:rPr>
                <w:vertAlign w:val="subscript"/>
              </w:rPr>
              <w:t>3</w:t>
            </w:r>
          </w:p>
        </w:tc>
        <w:tc>
          <w:tcPr>
            <w:tcW w:w="2297" w:type="dxa"/>
          </w:tcPr>
          <w:p>
            <w:pPr>
              <w:pStyle w:val="GesAbsatz"/>
              <w:tabs>
                <w:tab w:val="clear" w:pos="425"/>
              </w:tabs>
              <w:jc w:val="center"/>
            </w:pPr>
            <w:r>
              <w:t>0 – 10</w:t>
            </w:r>
          </w:p>
        </w:tc>
        <w:tc>
          <w:tcPr>
            <w:tcW w:w="1846" w:type="dxa"/>
          </w:tcPr>
          <w:p>
            <w:pPr>
              <w:pStyle w:val="GesAbsatz"/>
              <w:tabs>
                <w:tab w:val="clear" w:pos="425"/>
              </w:tabs>
              <w:jc w:val="center"/>
            </w:pPr>
            <w:r>
              <w:t>0 – 50</w:t>
            </w:r>
          </w:p>
        </w:tc>
        <w:tc>
          <w:tcPr>
            <w:tcW w:w="1984" w:type="dxa"/>
          </w:tcPr>
          <w:p>
            <w:pPr>
              <w:pStyle w:val="GesAbsatz"/>
              <w:tabs>
                <w:tab w:val="clear" w:pos="425"/>
              </w:tabs>
              <w:jc w:val="center"/>
            </w:pPr>
            <w:r>
              <w:t>0 – 500</w:t>
            </w:r>
          </w:p>
        </w:tc>
        <w:tc>
          <w:tcPr>
            <w:tcW w:w="2046" w:type="dxa"/>
          </w:tcPr>
          <w:p>
            <w:pPr>
              <w:pStyle w:val="GesAbsatz"/>
              <w:tabs>
                <w:tab w:val="clear" w:pos="425"/>
              </w:tabs>
              <w:jc w:val="center"/>
            </w:pPr>
            <w:r>
              <w:t>mg/m³</w:t>
            </w:r>
          </w:p>
        </w:tc>
      </w:tr>
      <w:tr>
        <w:tc>
          <w:tcPr>
            <w:tcW w:w="1526" w:type="dxa"/>
          </w:tcPr>
          <w:p>
            <w:pPr>
              <w:pStyle w:val="GesAbsatz"/>
              <w:tabs>
                <w:tab w:val="clear" w:pos="425"/>
              </w:tabs>
            </w:pPr>
            <w:r>
              <w:t>SO</w:t>
            </w:r>
            <w:r>
              <w:rPr>
                <w:vertAlign w:val="subscript"/>
              </w:rPr>
              <w:t>2</w:t>
            </w:r>
          </w:p>
        </w:tc>
        <w:tc>
          <w:tcPr>
            <w:tcW w:w="2297" w:type="dxa"/>
          </w:tcPr>
          <w:p>
            <w:pPr>
              <w:pStyle w:val="GesAbsatz"/>
              <w:tabs>
                <w:tab w:val="clear" w:pos="425"/>
              </w:tabs>
              <w:jc w:val="center"/>
            </w:pPr>
            <w:r>
              <w:t>0 – 75</w:t>
            </w:r>
          </w:p>
        </w:tc>
        <w:tc>
          <w:tcPr>
            <w:tcW w:w="1846" w:type="dxa"/>
          </w:tcPr>
          <w:p>
            <w:pPr>
              <w:pStyle w:val="GesAbsatz"/>
              <w:tabs>
                <w:tab w:val="clear" w:pos="425"/>
              </w:tabs>
              <w:jc w:val="center"/>
            </w:pPr>
            <w:r>
              <w:t>0 – 300</w:t>
            </w:r>
          </w:p>
        </w:tc>
        <w:tc>
          <w:tcPr>
            <w:tcW w:w="1984" w:type="dxa"/>
          </w:tcPr>
          <w:p>
            <w:pPr>
              <w:pStyle w:val="GesAbsatz"/>
              <w:tabs>
                <w:tab w:val="clear" w:pos="425"/>
              </w:tabs>
              <w:jc w:val="center"/>
            </w:pPr>
            <w:r>
              <w:t>0 – 2 500</w:t>
            </w:r>
          </w:p>
        </w:tc>
        <w:tc>
          <w:tcPr>
            <w:tcW w:w="2046" w:type="dxa"/>
          </w:tcPr>
          <w:p>
            <w:pPr>
              <w:pStyle w:val="GesAbsatz"/>
              <w:tabs>
                <w:tab w:val="clear" w:pos="425"/>
              </w:tabs>
              <w:jc w:val="center"/>
            </w:pPr>
            <w:r>
              <w:t>mg/m³</w:t>
            </w:r>
          </w:p>
        </w:tc>
      </w:tr>
      <w:tr>
        <w:tc>
          <w:tcPr>
            <w:tcW w:w="1526" w:type="dxa"/>
          </w:tcPr>
          <w:p>
            <w:pPr>
              <w:pStyle w:val="GesAbsatz"/>
              <w:tabs>
                <w:tab w:val="clear" w:pos="425"/>
              </w:tabs>
            </w:pPr>
            <w:r>
              <w:t>HCl</w:t>
            </w:r>
          </w:p>
        </w:tc>
        <w:tc>
          <w:tcPr>
            <w:tcW w:w="2297" w:type="dxa"/>
          </w:tcPr>
          <w:p>
            <w:pPr>
              <w:pStyle w:val="GesAbsatz"/>
              <w:tabs>
                <w:tab w:val="clear" w:pos="425"/>
              </w:tabs>
              <w:jc w:val="center"/>
            </w:pPr>
            <w:r>
              <w:t>0 – 15</w:t>
            </w:r>
          </w:p>
        </w:tc>
        <w:tc>
          <w:tcPr>
            <w:tcW w:w="1846" w:type="dxa"/>
          </w:tcPr>
          <w:p>
            <w:pPr>
              <w:pStyle w:val="GesAbsatz"/>
              <w:tabs>
                <w:tab w:val="clear" w:pos="425"/>
              </w:tabs>
              <w:jc w:val="center"/>
            </w:pPr>
            <w:r>
              <w:t>0 – 90</w:t>
            </w:r>
          </w:p>
        </w:tc>
        <w:tc>
          <w:tcPr>
            <w:tcW w:w="1984" w:type="dxa"/>
          </w:tcPr>
          <w:p>
            <w:pPr>
              <w:pStyle w:val="GesAbsatz"/>
              <w:tabs>
                <w:tab w:val="clear" w:pos="425"/>
              </w:tabs>
              <w:jc w:val="center"/>
            </w:pPr>
            <w:r>
              <w:t>0 – 5 000</w:t>
            </w:r>
          </w:p>
        </w:tc>
        <w:tc>
          <w:tcPr>
            <w:tcW w:w="2046" w:type="dxa"/>
          </w:tcPr>
          <w:p>
            <w:pPr>
              <w:pStyle w:val="GesAbsatz"/>
              <w:tabs>
                <w:tab w:val="clear" w:pos="425"/>
              </w:tabs>
              <w:jc w:val="center"/>
            </w:pPr>
            <w:r>
              <w:t>mg/m³</w:t>
            </w:r>
          </w:p>
        </w:tc>
      </w:tr>
      <w:tr>
        <w:tc>
          <w:tcPr>
            <w:tcW w:w="1526" w:type="dxa"/>
          </w:tcPr>
          <w:p>
            <w:pPr>
              <w:pStyle w:val="GesAbsatz"/>
              <w:tabs>
                <w:tab w:val="clear" w:pos="425"/>
              </w:tabs>
            </w:pPr>
            <w:r>
              <w:t>H</w:t>
            </w:r>
            <w:r>
              <w:rPr>
                <w:vertAlign w:val="subscript"/>
              </w:rPr>
              <w:t>2</w:t>
            </w:r>
            <w:r>
              <w:t>O</w:t>
            </w:r>
          </w:p>
        </w:tc>
        <w:tc>
          <w:tcPr>
            <w:tcW w:w="2297" w:type="dxa"/>
          </w:tcPr>
          <w:p>
            <w:pPr>
              <w:pStyle w:val="GesAbsatz"/>
              <w:tabs>
                <w:tab w:val="clear" w:pos="425"/>
              </w:tabs>
              <w:jc w:val="center"/>
            </w:pPr>
            <w:r>
              <w:t>0 – 40</w:t>
            </w:r>
          </w:p>
        </w:tc>
        <w:tc>
          <w:tcPr>
            <w:tcW w:w="1846" w:type="dxa"/>
          </w:tcPr>
          <w:p>
            <w:pPr>
              <w:pStyle w:val="GesAbsatz"/>
              <w:tabs>
                <w:tab w:val="clear" w:pos="425"/>
              </w:tabs>
              <w:jc w:val="center"/>
            </w:pPr>
            <w:r>
              <w:t>–</w:t>
            </w:r>
          </w:p>
        </w:tc>
        <w:tc>
          <w:tcPr>
            <w:tcW w:w="1984" w:type="dxa"/>
          </w:tcPr>
          <w:p>
            <w:pPr>
              <w:pStyle w:val="GesAbsatz"/>
              <w:tabs>
                <w:tab w:val="clear" w:pos="425"/>
              </w:tabs>
              <w:jc w:val="center"/>
            </w:pPr>
            <w:r>
              <w:t>–</w:t>
            </w:r>
          </w:p>
        </w:tc>
        <w:tc>
          <w:tcPr>
            <w:tcW w:w="2046" w:type="dxa"/>
          </w:tcPr>
          <w:p>
            <w:pPr>
              <w:pStyle w:val="GesAbsatz"/>
              <w:tabs>
                <w:tab w:val="clear" w:pos="425"/>
              </w:tabs>
              <w:jc w:val="center"/>
            </w:pPr>
            <w:r>
              <w:t>Vol.-%</w:t>
            </w:r>
          </w:p>
        </w:tc>
      </w:tr>
      <w:tr>
        <w:tc>
          <w:tcPr>
            <w:tcW w:w="1526" w:type="dxa"/>
          </w:tcPr>
          <w:p>
            <w:pPr>
              <w:pStyle w:val="GesAbsatz"/>
              <w:tabs>
                <w:tab w:val="clear" w:pos="425"/>
              </w:tabs>
            </w:pPr>
            <w:r>
              <w:t>CH</w:t>
            </w:r>
            <w:r>
              <w:rPr>
                <w:vertAlign w:val="subscript"/>
              </w:rPr>
              <w:t>4</w:t>
            </w:r>
          </w:p>
        </w:tc>
        <w:tc>
          <w:tcPr>
            <w:tcW w:w="2297" w:type="dxa"/>
          </w:tcPr>
          <w:p>
            <w:pPr>
              <w:pStyle w:val="GesAbsatz"/>
              <w:tabs>
                <w:tab w:val="clear" w:pos="425"/>
              </w:tabs>
              <w:jc w:val="center"/>
            </w:pPr>
            <w:r>
              <w:t>0 – 50</w:t>
            </w:r>
          </w:p>
        </w:tc>
        <w:tc>
          <w:tcPr>
            <w:tcW w:w="1846" w:type="dxa"/>
          </w:tcPr>
          <w:p>
            <w:pPr>
              <w:pStyle w:val="GesAbsatz"/>
              <w:tabs>
                <w:tab w:val="clear" w:pos="425"/>
              </w:tabs>
              <w:jc w:val="center"/>
            </w:pPr>
            <w:r>
              <w:t>0 – 500</w:t>
            </w:r>
          </w:p>
        </w:tc>
        <w:tc>
          <w:tcPr>
            <w:tcW w:w="1984"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526" w:type="dxa"/>
          </w:tcPr>
          <w:p>
            <w:pPr>
              <w:pStyle w:val="GesAbsatz"/>
              <w:tabs>
                <w:tab w:val="clear" w:pos="425"/>
              </w:tabs>
            </w:pPr>
            <w:r>
              <w:t>Ges-C</w:t>
            </w:r>
          </w:p>
        </w:tc>
        <w:tc>
          <w:tcPr>
            <w:tcW w:w="2297" w:type="dxa"/>
          </w:tcPr>
          <w:p>
            <w:pPr>
              <w:pStyle w:val="GesAbsatz"/>
              <w:tabs>
                <w:tab w:val="clear" w:pos="425"/>
              </w:tabs>
              <w:jc w:val="center"/>
            </w:pPr>
            <w:r>
              <w:t>0 – 15</w:t>
            </w:r>
          </w:p>
        </w:tc>
        <w:tc>
          <w:tcPr>
            <w:tcW w:w="1846" w:type="dxa"/>
          </w:tcPr>
          <w:p>
            <w:pPr>
              <w:pStyle w:val="GesAbsatz"/>
              <w:tabs>
                <w:tab w:val="clear" w:pos="425"/>
              </w:tabs>
              <w:jc w:val="center"/>
            </w:pPr>
            <w:r>
              <w:t>0 – 30</w:t>
            </w:r>
          </w:p>
        </w:tc>
        <w:tc>
          <w:tcPr>
            <w:tcW w:w="1984"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526" w:type="dxa"/>
          </w:tcPr>
          <w:p>
            <w:pPr>
              <w:pStyle w:val="GesAbsatz"/>
              <w:tabs>
                <w:tab w:val="clear" w:pos="425"/>
              </w:tabs>
            </w:pPr>
            <w:r>
              <w:t>O</w:t>
            </w:r>
            <w:r>
              <w:rPr>
                <w:vertAlign w:val="subscript"/>
              </w:rPr>
              <w:t>2</w:t>
            </w:r>
          </w:p>
        </w:tc>
        <w:tc>
          <w:tcPr>
            <w:tcW w:w="2297" w:type="dxa"/>
          </w:tcPr>
          <w:p>
            <w:pPr>
              <w:pStyle w:val="GesAbsatz"/>
              <w:tabs>
                <w:tab w:val="clear" w:pos="425"/>
              </w:tabs>
              <w:jc w:val="center"/>
            </w:pPr>
            <w:r>
              <w:t>0 – 25</w:t>
            </w:r>
          </w:p>
        </w:tc>
        <w:tc>
          <w:tcPr>
            <w:tcW w:w="1846" w:type="dxa"/>
          </w:tcPr>
          <w:p>
            <w:pPr>
              <w:pStyle w:val="GesAbsatz"/>
              <w:tabs>
                <w:tab w:val="clear" w:pos="425"/>
              </w:tabs>
              <w:jc w:val="center"/>
            </w:pPr>
            <w:r>
              <w:t>–</w:t>
            </w:r>
          </w:p>
        </w:tc>
        <w:tc>
          <w:tcPr>
            <w:tcW w:w="1984" w:type="dxa"/>
          </w:tcPr>
          <w:p>
            <w:pPr>
              <w:pStyle w:val="GesAbsatz"/>
              <w:tabs>
                <w:tab w:val="clear" w:pos="425"/>
              </w:tabs>
              <w:jc w:val="center"/>
            </w:pPr>
            <w:r>
              <w:t>–</w:t>
            </w:r>
          </w:p>
        </w:tc>
        <w:tc>
          <w:tcPr>
            <w:tcW w:w="2046" w:type="dxa"/>
          </w:tcPr>
          <w:p>
            <w:pPr>
              <w:pStyle w:val="GesAbsatz"/>
              <w:tabs>
                <w:tab w:val="clear" w:pos="425"/>
              </w:tabs>
              <w:jc w:val="center"/>
            </w:pPr>
            <w:r>
              <w:t>Vol.-%</w:t>
            </w:r>
          </w:p>
        </w:tc>
      </w:tr>
    </w:tbl>
    <w:p>
      <w:pPr>
        <w:pStyle w:val="GesAbsatz"/>
        <w:tabs>
          <w:tab w:val="left" w:pos="1985"/>
          <w:tab w:val="left" w:pos="3119"/>
        </w:tabs>
      </w:pPr>
      <w:r>
        <w:t>Softwareversionen:</w:t>
      </w:r>
      <w:r>
        <w:tab/>
        <w:t>MCA 10:</w:t>
      </w:r>
      <w:r>
        <w:tab/>
        <w:t>3.61|3.61|3.61</w:t>
      </w:r>
    </w:p>
    <w:p>
      <w:pPr>
        <w:pStyle w:val="GesAbsatz"/>
        <w:ind w:left="3119" w:hanging="1134"/>
      </w:pPr>
      <w:r>
        <w:t>FID:</w:t>
      </w:r>
      <w:r>
        <w:tab/>
        <w:t>5.31e</w:t>
      </w:r>
    </w:p>
    <w:p>
      <w:pPr>
        <w:pStyle w:val="GesAbsatz"/>
      </w:pPr>
      <w:r>
        <w:t>Einschränkungen:</w:t>
      </w:r>
    </w:p>
    <w:p>
      <w:pPr>
        <w:pStyle w:val="GesAbsatz"/>
      </w:pPr>
      <w:r>
        <w:t>Keine</w:t>
      </w:r>
    </w:p>
    <w:p>
      <w:pPr>
        <w:pStyle w:val="GesAbsatz"/>
      </w:pPr>
      <w:r>
        <w:t>Hinweise:</w:t>
      </w:r>
    </w:p>
    <w:p>
      <w:pPr>
        <w:pStyle w:val="GesAbsatz"/>
      </w:pPr>
      <w:r>
        <w:t>1.</w:t>
      </w:r>
      <w:r>
        <w:tab/>
        <w:t>Das Wartungsintervall beträgt sechs Monate.</w:t>
      </w:r>
    </w:p>
    <w:p>
      <w:pPr>
        <w:pStyle w:val="GesAbsatz"/>
      </w:pPr>
      <w:r>
        <w:t>2.</w:t>
      </w:r>
      <w:r>
        <w:tab/>
        <w:t>Die Messeinrichtung ermittelt die Gaskonzentrationen im feuchten Messgas.</w:t>
      </w:r>
    </w:p>
    <w:p>
      <w:pPr>
        <w:pStyle w:val="GesAbsatz"/>
      </w:pPr>
      <w:r>
        <w:t>3.</w:t>
      </w:r>
      <w:r>
        <w:tab/>
        <w:t>Der Analysator ist mit aktivierter Thermo-AUTOCAL-Funktion zu betreiben.</w:t>
      </w:r>
    </w:p>
    <w:p>
      <w:pPr>
        <w:pStyle w:val="GesAbsatz"/>
        <w:ind w:left="426" w:hanging="426"/>
      </w:pPr>
      <w:r>
        <w:t>4.</w:t>
      </w:r>
      <w:r>
        <w:tab/>
        <w:t>Bei Temperaturen am Aufstellungsort des Messschrankes unter 20 °C ist der Messschrank mit einer Zusatzheizung auszustatten.</w:t>
      </w:r>
    </w:p>
    <w:p>
      <w:pPr>
        <w:pStyle w:val="GesAbsatz"/>
        <w:ind w:left="426" w:hanging="426"/>
      </w:pPr>
      <w:r>
        <w:lastRenderedPageBreak/>
        <w:t>5.</w:t>
      </w:r>
      <w:r>
        <w:tab/>
        <w:t>Die Messeinrichtung ist mit einem Intervall von 12 h für die automatische Nullpunktjustierung zu betreiben. Gesamt-C ist in einem Intervall von 24 h automatisch am Null- und Referenzpunkt zu justieren.</w:t>
      </w:r>
    </w:p>
    <w:p>
      <w:pPr>
        <w:pStyle w:val="GesAbsatz"/>
        <w:ind w:left="426" w:hanging="426"/>
      </w:pPr>
      <w:r>
        <w:t>6.</w:t>
      </w:r>
      <w:r>
        <w:tab/>
        <w:t>Bei den Applikationen mit HCl, NO</w:t>
      </w:r>
      <w:r>
        <w:rPr>
          <w:vertAlign w:val="subscript"/>
        </w:rPr>
        <w:t>2</w:t>
      </w:r>
      <w:r>
        <w:t xml:space="preserve"> oder NH</w:t>
      </w:r>
      <w:r>
        <w:rPr>
          <w:vertAlign w:val="subscript"/>
        </w:rPr>
        <w:t>3</w:t>
      </w:r>
      <w:r>
        <w:t xml:space="preserve"> wird die automatische Nullpunktjustierung durch lokale Nullgasaufgabe am Injektorblock durchgeführt.</w:t>
      </w:r>
    </w:p>
    <w:p>
      <w:pPr>
        <w:pStyle w:val="GesAbsatz"/>
        <w:ind w:left="426" w:hanging="426"/>
      </w:pPr>
      <w:r>
        <w:t>7.</w:t>
      </w:r>
      <w:r>
        <w:tab/>
        <w:t>Bei Kontrolle und Justierung der Referenzpunkte für NO</w:t>
      </w:r>
      <w:r>
        <w:rPr>
          <w:vertAlign w:val="subscript"/>
        </w:rPr>
        <w:t>2</w:t>
      </w:r>
      <w:r>
        <w:t>, HCl und NH</w:t>
      </w:r>
      <w:r>
        <w:rPr>
          <w:vertAlign w:val="subscript"/>
        </w:rPr>
        <w:t>3</w:t>
      </w:r>
      <w:r>
        <w:t xml:space="preserve"> wird die Prüfgasaufgabe lokal am Injektorblock durchgeführt.</w:t>
      </w:r>
    </w:p>
    <w:p>
      <w:pPr>
        <w:pStyle w:val="GesAbsatz"/>
        <w:ind w:left="426" w:hanging="426"/>
      </w:pPr>
      <w:r>
        <w:t>8.</w:t>
      </w:r>
      <w:r>
        <w:tab/>
        <w:t>Die Spezifikationen des Herstellers zur Instrumentenluftversorgung sind einzuhalten.</w:t>
      </w:r>
    </w:p>
    <w:p>
      <w:pPr>
        <w:pStyle w:val="GesAbsatz"/>
        <w:ind w:left="426" w:hanging="426"/>
      </w:pPr>
      <w:r>
        <w:t>9.</w:t>
      </w:r>
      <w:r>
        <w:tab/>
        <w:t>Ergänzungsprüfung (Erweiterung um die Komponente Gesamt-C) zu der Bekanntmachung des Umweltbundesamtes vom 22. Juli 2015 (BAnz AT 26.08.2015 B4, Kapitel I Nummer 2.2).</w:t>
      </w:r>
    </w:p>
    <w:p>
      <w:pPr>
        <w:pStyle w:val="GesAbsatz"/>
      </w:pPr>
      <w:r>
        <w:t>Prüfbericht: TÜV SÜD Industrie Service GmbH, München</w:t>
      </w:r>
    </w:p>
    <w:p>
      <w:pPr>
        <w:pStyle w:val="GesAbsatz"/>
      </w:pPr>
      <w:r>
        <w:t>Bericht-Nr.: 2422091 vom 20. Oktober 2015</w:t>
      </w:r>
    </w:p>
    <w:p>
      <w:pPr>
        <w:pStyle w:val="GesAbsatz"/>
        <w:rPr>
          <w:b/>
        </w:rPr>
      </w:pPr>
      <w:r>
        <w:rPr>
          <w:b/>
        </w:rPr>
        <w:t>5</w:t>
      </w:r>
      <w:r>
        <w:rPr>
          <w:b/>
        </w:rPr>
        <w:tab/>
        <w:t>Messeinrichtungen mit modularem Aufbau</w:t>
      </w:r>
    </w:p>
    <w:p>
      <w:pPr>
        <w:pStyle w:val="GesAbsatz"/>
        <w:rPr>
          <w:b/>
          <w:lang w:val="en-US"/>
        </w:rPr>
      </w:pPr>
      <w:r>
        <w:rPr>
          <w:b/>
          <w:lang w:val="en-US"/>
        </w:rPr>
        <w:t>5.1</w:t>
      </w:r>
      <w:r>
        <w:rPr>
          <w:b/>
          <w:lang w:val="en-US"/>
        </w:rPr>
        <w:tab/>
        <w:t xml:space="preserve">Set CEM CERT 7MB1957 </w:t>
      </w:r>
      <w:proofErr w:type="spellStart"/>
      <w:r>
        <w:rPr>
          <w:b/>
          <w:lang w:val="en-US"/>
        </w:rPr>
        <w:t>für</w:t>
      </w:r>
      <w:proofErr w:type="spellEnd"/>
      <w:r>
        <w:rPr>
          <w:b/>
          <w:lang w:val="en-US"/>
        </w:rPr>
        <w:t xml:space="preserve"> CO, NO, NO</w:t>
      </w:r>
      <w:r>
        <w:rPr>
          <w:b/>
          <w:vertAlign w:val="subscript"/>
          <w:lang w:val="en-US"/>
        </w:rPr>
        <w:t>x</w:t>
      </w:r>
      <w:r>
        <w:rPr>
          <w:b/>
          <w:lang w:val="en-US"/>
        </w:rPr>
        <w:t>, NO</w:t>
      </w:r>
      <w:r>
        <w:rPr>
          <w:b/>
          <w:vertAlign w:val="subscript"/>
          <w:lang w:val="en-US"/>
        </w:rPr>
        <w:t>2</w:t>
      </w:r>
      <w:r>
        <w:rPr>
          <w:b/>
          <w:lang w:val="en-US"/>
        </w:rPr>
        <w:t>,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Siemens AG, Karlsruhe</w:t>
      </w:r>
    </w:p>
    <w:p>
      <w:pPr>
        <w:pStyle w:val="GesAbsatz"/>
      </w:pPr>
      <w:r>
        <w:t>Eignung:</w:t>
      </w:r>
    </w:p>
    <w:p>
      <w:pPr>
        <w:pStyle w:val="GesAbsatz"/>
      </w:pPr>
      <w:r>
        <w:t>Modulares Messsystem für Anlagen der 13. BImSchV sowie Anlagen der TA Luft</w:t>
      </w:r>
    </w:p>
    <w:p>
      <w:pPr>
        <w:pStyle w:val="GesAbsatz"/>
      </w:pPr>
      <w:r>
        <w:t>Messbereiche in der Eignungsprüfung:</w:t>
      </w:r>
    </w:p>
    <w:p>
      <w:pPr>
        <w:pStyle w:val="GesAbsatz"/>
      </w:pPr>
      <w:r>
        <w:t>Modul Ultramat 23-7MB2355</w:t>
      </w:r>
    </w:p>
    <w:tbl>
      <w:tblPr>
        <w:tblStyle w:val="Tabellenraster"/>
        <w:tblW w:w="9806" w:type="dxa"/>
        <w:tblLook w:val="04A0" w:firstRow="1" w:lastRow="0" w:firstColumn="1" w:lastColumn="0" w:noHBand="0" w:noVBand="1"/>
      </w:tblPr>
      <w:tblGrid>
        <w:gridCol w:w="1951"/>
        <w:gridCol w:w="2297"/>
        <w:gridCol w:w="1814"/>
        <w:gridCol w:w="1698"/>
        <w:gridCol w:w="2046"/>
      </w:tblGrid>
      <w:tr>
        <w:tc>
          <w:tcPr>
            <w:tcW w:w="1951" w:type="dxa"/>
          </w:tcPr>
          <w:p>
            <w:pPr>
              <w:pStyle w:val="GesAbsatz"/>
              <w:tabs>
                <w:tab w:val="clear" w:pos="425"/>
              </w:tabs>
              <w:jc w:val="center"/>
            </w:pPr>
            <w:r>
              <w:t>Komponente</w:t>
            </w:r>
          </w:p>
        </w:tc>
        <w:tc>
          <w:tcPr>
            <w:tcW w:w="2297" w:type="dxa"/>
          </w:tcPr>
          <w:p>
            <w:pPr>
              <w:pStyle w:val="GesAbsatz"/>
              <w:tabs>
                <w:tab w:val="clear" w:pos="425"/>
              </w:tabs>
              <w:jc w:val="center"/>
            </w:pPr>
            <w:r>
              <w:t>Zertifizierungsbereich</w:t>
            </w:r>
          </w:p>
        </w:tc>
        <w:tc>
          <w:tcPr>
            <w:tcW w:w="3512" w:type="dxa"/>
            <w:gridSpan w:val="2"/>
          </w:tcPr>
          <w:p>
            <w:pPr>
              <w:pStyle w:val="GesAbsatz"/>
              <w:tabs>
                <w:tab w:val="clear" w:pos="425"/>
              </w:tabs>
              <w:jc w:val="center"/>
            </w:pPr>
            <w:r>
              <w:t>zusätzliche Messbereiche</w:t>
            </w:r>
          </w:p>
        </w:tc>
        <w:tc>
          <w:tcPr>
            <w:tcW w:w="2046" w:type="dxa"/>
          </w:tcPr>
          <w:p>
            <w:pPr>
              <w:pStyle w:val="GesAbsatz"/>
              <w:tabs>
                <w:tab w:val="clear" w:pos="425"/>
              </w:tabs>
              <w:jc w:val="center"/>
            </w:pPr>
            <w:r>
              <w:t>Einheit</w:t>
            </w:r>
          </w:p>
        </w:tc>
      </w:tr>
      <w:tr>
        <w:tc>
          <w:tcPr>
            <w:tcW w:w="1951" w:type="dxa"/>
          </w:tcPr>
          <w:p>
            <w:pPr>
              <w:pStyle w:val="GesAbsatz"/>
              <w:tabs>
                <w:tab w:val="clear" w:pos="425"/>
              </w:tabs>
            </w:pPr>
            <w:r>
              <w:t>CO</w:t>
            </w:r>
          </w:p>
        </w:tc>
        <w:tc>
          <w:tcPr>
            <w:tcW w:w="2297" w:type="dxa"/>
          </w:tcPr>
          <w:p>
            <w:pPr>
              <w:pStyle w:val="GesAbsatz"/>
              <w:tabs>
                <w:tab w:val="clear" w:pos="425"/>
              </w:tabs>
              <w:jc w:val="center"/>
            </w:pPr>
            <w:r>
              <w:t>0 – 200</w:t>
            </w:r>
          </w:p>
        </w:tc>
        <w:tc>
          <w:tcPr>
            <w:tcW w:w="1814" w:type="dxa"/>
          </w:tcPr>
          <w:p>
            <w:pPr>
              <w:pStyle w:val="GesAbsatz"/>
              <w:tabs>
                <w:tab w:val="clear" w:pos="425"/>
              </w:tabs>
              <w:jc w:val="center"/>
            </w:pPr>
            <w:r>
              <w:t>0 – 1 250</w:t>
            </w:r>
          </w:p>
        </w:tc>
        <w:tc>
          <w:tcPr>
            <w:tcW w:w="1698"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951" w:type="dxa"/>
            <w:vMerge w:val="restart"/>
          </w:tcPr>
          <w:p>
            <w:pPr>
              <w:pStyle w:val="GesAbsatz"/>
              <w:tabs>
                <w:tab w:val="clear" w:pos="425"/>
              </w:tabs>
            </w:pPr>
            <w:r>
              <w:t>NO</w:t>
            </w:r>
            <w:r>
              <w:rPr>
                <w:vertAlign w:val="subscript"/>
              </w:rPr>
              <w:t>x</w:t>
            </w:r>
          </w:p>
        </w:tc>
        <w:tc>
          <w:tcPr>
            <w:tcW w:w="2297" w:type="dxa"/>
          </w:tcPr>
          <w:p>
            <w:pPr>
              <w:pStyle w:val="GesAbsatz"/>
              <w:tabs>
                <w:tab w:val="clear" w:pos="425"/>
              </w:tabs>
              <w:jc w:val="center"/>
            </w:pPr>
            <w:r>
              <w:t>0 – 150</w:t>
            </w:r>
            <w:r>
              <w:rPr>
                <w:vertAlign w:val="superscript"/>
              </w:rPr>
              <w:t>1</w:t>
            </w:r>
          </w:p>
        </w:tc>
        <w:tc>
          <w:tcPr>
            <w:tcW w:w="1814" w:type="dxa"/>
          </w:tcPr>
          <w:p>
            <w:pPr>
              <w:pStyle w:val="GesAbsatz"/>
              <w:tabs>
                <w:tab w:val="clear" w:pos="425"/>
              </w:tabs>
              <w:jc w:val="center"/>
            </w:pPr>
            <w:r>
              <w:t>0 – 750</w:t>
            </w:r>
            <w:r>
              <w:rPr>
                <w:vertAlign w:val="superscript"/>
              </w:rPr>
              <w:t>1</w:t>
            </w:r>
          </w:p>
        </w:tc>
        <w:tc>
          <w:tcPr>
            <w:tcW w:w="1698" w:type="dxa"/>
          </w:tcPr>
          <w:p>
            <w:pPr>
              <w:pStyle w:val="GesAbsatz"/>
              <w:tabs>
                <w:tab w:val="clear" w:pos="425"/>
              </w:tabs>
              <w:jc w:val="center"/>
            </w:pPr>
            <w:r>
              <w:t>0 – 2 000</w:t>
            </w:r>
            <w:r>
              <w:rPr>
                <w:vertAlign w:val="superscript"/>
              </w:rPr>
              <w:t>1</w:t>
            </w:r>
          </w:p>
        </w:tc>
        <w:tc>
          <w:tcPr>
            <w:tcW w:w="2046" w:type="dxa"/>
            <w:vMerge w:val="restart"/>
          </w:tcPr>
          <w:p>
            <w:pPr>
              <w:pStyle w:val="GesAbsatz"/>
              <w:tabs>
                <w:tab w:val="clear" w:pos="425"/>
              </w:tabs>
              <w:jc w:val="center"/>
            </w:pPr>
            <w:r>
              <w:t>mg/m³</w:t>
            </w:r>
          </w:p>
        </w:tc>
      </w:tr>
      <w:tr>
        <w:tc>
          <w:tcPr>
            <w:tcW w:w="1951" w:type="dxa"/>
            <w:vMerge/>
          </w:tcPr>
          <w:p>
            <w:pPr>
              <w:pStyle w:val="GesAbsatz"/>
              <w:tabs>
                <w:tab w:val="clear" w:pos="425"/>
              </w:tabs>
            </w:pPr>
          </w:p>
        </w:tc>
        <w:tc>
          <w:tcPr>
            <w:tcW w:w="2297" w:type="dxa"/>
          </w:tcPr>
          <w:p>
            <w:pPr>
              <w:pStyle w:val="GesAbsatz"/>
              <w:tabs>
                <w:tab w:val="clear" w:pos="425"/>
              </w:tabs>
              <w:jc w:val="center"/>
            </w:pPr>
            <w:r>
              <w:t>0 – 230</w:t>
            </w:r>
            <w:r>
              <w:rPr>
                <w:vertAlign w:val="superscript"/>
              </w:rPr>
              <w:t>2</w:t>
            </w:r>
          </w:p>
        </w:tc>
        <w:tc>
          <w:tcPr>
            <w:tcW w:w="1814" w:type="dxa"/>
          </w:tcPr>
          <w:p>
            <w:pPr>
              <w:pStyle w:val="GesAbsatz"/>
              <w:tabs>
                <w:tab w:val="clear" w:pos="425"/>
              </w:tabs>
              <w:jc w:val="center"/>
            </w:pPr>
            <w:r>
              <w:t>0 – 1 150</w:t>
            </w:r>
            <w:r>
              <w:rPr>
                <w:vertAlign w:val="superscript"/>
              </w:rPr>
              <w:t>2</w:t>
            </w:r>
          </w:p>
        </w:tc>
        <w:tc>
          <w:tcPr>
            <w:tcW w:w="1698" w:type="dxa"/>
          </w:tcPr>
          <w:p>
            <w:pPr>
              <w:pStyle w:val="GesAbsatz"/>
              <w:tabs>
                <w:tab w:val="clear" w:pos="425"/>
              </w:tabs>
              <w:jc w:val="center"/>
            </w:pPr>
            <w:r>
              <w:t>0 – 3 067</w:t>
            </w:r>
            <w:r>
              <w:rPr>
                <w:vertAlign w:val="superscript"/>
              </w:rPr>
              <w:t>2</w:t>
            </w:r>
          </w:p>
        </w:tc>
        <w:tc>
          <w:tcPr>
            <w:tcW w:w="2046" w:type="dxa"/>
            <w:vMerge/>
          </w:tcPr>
          <w:p>
            <w:pPr>
              <w:pStyle w:val="GesAbsatz"/>
              <w:tabs>
                <w:tab w:val="clear" w:pos="425"/>
              </w:tabs>
              <w:jc w:val="center"/>
            </w:pPr>
          </w:p>
        </w:tc>
      </w:tr>
      <w:tr>
        <w:tc>
          <w:tcPr>
            <w:tcW w:w="1951" w:type="dxa"/>
          </w:tcPr>
          <w:p>
            <w:pPr>
              <w:pStyle w:val="GesAbsatz"/>
              <w:tabs>
                <w:tab w:val="clear" w:pos="425"/>
              </w:tabs>
            </w:pPr>
            <w:r>
              <w:t>SO</w:t>
            </w:r>
            <w:r>
              <w:rPr>
                <w:vertAlign w:val="subscript"/>
              </w:rPr>
              <w:t>2</w:t>
            </w:r>
          </w:p>
        </w:tc>
        <w:tc>
          <w:tcPr>
            <w:tcW w:w="2297" w:type="dxa"/>
          </w:tcPr>
          <w:p>
            <w:pPr>
              <w:pStyle w:val="GesAbsatz"/>
              <w:tabs>
                <w:tab w:val="clear" w:pos="425"/>
              </w:tabs>
              <w:jc w:val="center"/>
            </w:pPr>
            <w:r>
              <w:t>0 – 400</w:t>
            </w:r>
          </w:p>
        </w:tc>
        <w:tc>
          <w:tcPr>
            <w:tcW w:w="1814" w:type="dxa"/>
          </w:tcPr>
          <w:p>
            <w:pPr>
              <w:pStyle w:val="GesAbsatz"/>
              <w:tabs>
                <w:tab w:val="clear" w:pos="425"/>
              </w:tabs>
              <w:jc w:val="center"/>
            </w:pPr>
            <w:r>
              <w:t>0 – 2 000</w:t>
            </w:r>
          </w:p>
        </w:tc>
        <w:tc>
          <w:tcPr>
            <w:tcW w:w="1698" w:type="dxa"/>
          </w:tcPr>
          <w:p>
            <w:pPr>
              <w:pStyle w:val="GesAbsatz"/>
              <w:tabs>
                <w:tab w:val="clear" w:pos="425"/>
              </w:tabs>
              <w:jc w:val="center"/>
            </w:pPr>
            <w:r>
              <w:t>0 – 7 000</w:t>
            </w:r>
          </w:p>
        </w:tc>
        <w:tc>
          <w:tcPr>
            <w:tcW w:w="2046" w:type="dxa"/>
          </w:tcPr>
          <w:p>
            <w:pPr>
              <w:pStyle w:val="GesAbsatz"/>
              <w:tabs>
                <w:tab w:val="clear" w:pos="425"/>
              </w:tabs>
              <w:jc w:val="center"/>
            </w:pPr>
            <w:r>
              <w:t>mg/m³</w:t>
            </w:r>
          </w:p>
        </w:tc>
      </w:tr>
      <w:tr>
        <w:tc>
          <w:tcPr>
            <w:tcW w:w="1951" w:type="dxa"/>
          </w:tcPr>
          <w:p>
            <w:pPr>
              <w:pStyle w:val="GesAbsatz"/>
              <w:tabs>
                <w:tab w:val="clear" w:pos="425"/>
              </w:tabs>
            </w:pPr>
            <w:r>
              <w:t>O</w:t>
            </w:r>
            <w:r>
              <w:rPr>
                <w:vertAlign w:val="subscript"/>
              </w:rPr>
              <w:t>2, paramagnetisch</w:t>
            </w:r>
          </w:p>
        </w:tc>
        <w:tc>
          <w:tcPr>
            <w:tcW w:w="2297" w:type="dxa"/>
          </w:tcPr>
          <w:p>
            <w:pPr>
              <w:pStyle w:val="GesAbsatz"/>
              <w:tabs>
                <w:tab w:val="clear" w:pos="425"/>
              </w:tabs>
              <w:jc w:val="center"/>
            </w:pPr>
            <w:r>
              <w:t>0 – 25</w:t>
            </w:r>
          </w:p>
        </w:tc>
        <w:tc>
          <w:tcPr>
            <w:tcW w:w="1814" w:type="dxa"/>
          </w:tcPr>
          <w:p>
            <w:pPr>
              <w:pStyle w:val="GesAbsatz"/>
              <w:tabs>
                <w:tab w:val="clear" w:pos="425"/>
              </w:tabs>
              <w:jc w:val="center"/>
            </w:pPr>
            <w:r>
              <w:t>–</w:t>
            </w:r>
          </w:p>
        </w:tc>
        <w:tc>
          <w:tcPr>
            <w:tcW w:w="1698" w:type="dxa"/>
          </w:tcPr>
          <w:p>
            <w:pPr>
              <w:pStyle w:val="GesAbsatz"/>
              <w:tabs>
                <w:tab w:val="clear" w:pos="425"/>
              </w:tabs>
              <w:jc w:val="center"/>
            </w:pPr>
            <w:r>
              <w:t>–</w:t>
            </w:r>
          </w:p>
        </w:tc>
        <w:tc>
          <w:tcPr>
            <w:tcW w:w="2046" w:type="dxa"/>
          </w:tcPr>
          <w:p>
            <w:pPr>
              <w:pStyle w:val="GesAbsatz"/>
              <w:tabs>
                <w:tab w:val="clear" w:pos="425"/>
              </w:tabs>
              <w:jc w:val="center"/>
            </w:pPr>
            <w:r>
              <w:t>Vol.-%</w:t>
            </w:r>
          </w:p>
        </w:tc>
      </w:tr>
      <w:tr>
        <w:tc>
          <w:tcPr>
            <w:tcW w:w="1951" w:type="dxa"/>
          </w:tcPr>
          <w:p>
            <w:pPr>
              <w:pStyle w:val="GesAbsatz"/>
              <w:tabs>
                <w:tab w:val="clear" w:pos="425"/>
              </w:tabs>
            </w:pPr>
            <w:r>
              <w:t>O</w:t>
            </w:r>
            <w:r>
              <w:rPr>
                <w:vertAlign w:val="subscript"/>
              </w:rPr>
              <w:t>2, elektrochemisch</w:t>
            </w:r>
          </w:p>
        </w:tc>
        <w:tc>
          <w:tcPr>
            <w:tcW w:w="2297" w:type="dxa"/>
          </w:tcPr>
          <w:p>
            <w:pPr>
              <w:pStyle w:val="GesAbsatz"/>
              <w:tabs>
                <w:tab w:val="clear" w:pos="425"/>
              </w:tabs>
              <w:jc w:val="center"/>
            </w:pPr>
            <w:r>
              <w:t>0 – 25</w:t>
            </w:r>
          </w:p>
        </w:tc>
        <w:tc>
          <w:tcPr>
            <w:tcW w:w="1814" w:type="dxa"/>
          </w:tcPr>
          <w:p>
            <w:pPr>
              <w:pStyle w:val="GesAbsatz"/>
              <w:tabs>
                <w:tab w:val="clear" w:pos="425"/>
              </w:tabs>
              <w:jc w:val="center"/>
            </w:pPr>
            <w:r>
              <w:t>–</w:t>
            </w:r>
          </w:p>
        </w:tc>
        <w:tc>
          <w:tcPr>
            <w:tcW w:w="1698" w:type="dxa"/>
          </w:tcPr>
          <w:p>
            <w:pPr>
              <w:pStyle w:val="GesAbsatz"/>
              <w:tabs>
                <w:tab w:val="clear" w:pos="425"/>
              </w:tabs>
              <w:jc w:val="center"/>
            </w:pPr>
            <w:r>
              <w:t>–</w:t>
            </w:r>
          </w:p>
        </w:tc>
        <w:tc>
          <w:tcPr>
            <w:tcW w:w="2046" w:type="dxa"/>
          </w:tcPr>
          <w:p>
            <w:pPr>
              <w:pStyle w:val="GesAbsatz"/>
              <w:tabs>
                <w:tab w:val="clear" w:pos="425"/>
              </w:tabs>
              <w:jc w:val="center"/>
            </w:pPr>
            <w:r>
              <w:t>Vol.-%</w:t>
            </w:r>
          </w:p>
        </w:tc>
      </w:tr>
    </w:tbl>
    <w:p>
      <w:pPr>
        <w:pStyle w:val="GesAbsatz"/>
      </w:pPr>
    </w:p>
    <w:p>
      <w:pPr>
        <w:pStyle w:val="GesAbsatz"/>
      </w:pPr>
      <w:r>
        <w:t>Modul Ultramat 23-7MB2357</w:t>
      </w:r>
    </w:p>
    <w:tbl>
      <w:tblPr>
        <w:tblStyle w:val="Tabellenraster"/>
        <w:tblW w:w="9809" w:type="dxa"/>
        <w:tblLook w:val="04A0" w:firstRow="1" w:lastRow="0" w:firstColumn="1" w:lastColumn="0" w:noHBand="0" w:noVBand="1"/>
      </w:tblPr>
      <w:tblGrid>
        <w:gridCol w:w="1951"/>
        <w:gridCol w:w="2297"/>
        <w:gridCol w:w="1814"/>
        <w:gridCol w:w="1701"/>
        <w:gridCol w:w="2046"/>
      </w:tblGrid>
      <w:tr>
        <w:tc>
          <w:tcPr>
            <w:tcW w:w="1951" w:type="dxa"/>
          </w:tcPr>
          <w:p>
            <w:pPr>
              <w:pStyle w:val="GesAbsatz"/>
              <w:tabs>
                <w:tab w:val="clear" w:pos="425"/>
              </w:tabs>
              <w:jc w:val="center"/>
            </w:pPr>
            <w:r>
              <w:t>Komponente</w:t>
            </w:r>
          </w:p>
        </w:tc>
        <w:tc>
          <w:tcPr>
            <w:tcW w:w="2297" w:type="dxa"/>
          </w:tcPr>
          <w:p>
            <w:pPr>
              <w:pStyle w:val="GesAbsatz"/>
              <w:tabs>
                <w:tab w:val="clear" w:pos="425"/>
              </w:tabs>
              <w:jc w:val="center"/>
            </w:pPr>
            <w:r>
              <w:t>Zertifizierungsbereich</w:t>
            </w:r>
          </w:p>
        </w:tc>
        <w:tc>
          <w:tcPr>
            <w:tcW w:w="3515" w:type="dxa"/>
            <w:gridSpan w:val="2"/>
          </w:tcPr>
          <w:p>
            <w:pPr>
              <w:pStyle w:val="GesAbsatz"/>
              <w:tabs>
                <w:tab w:val="clear" w:pos="425"/>
              </w:tabs>
              <w:jc w:val="center"/>
            </w:pPr>
            <w:r>
              <w:t>zusätzliche Messbereiche</w:t>
            </w:r>
          </w:p>
        </w:tc>
        <w:tc>
          <w:tcPr>
            <w:tcW w:w="2046" w:type="dxa"/>
          </w:tcPr>
          <w:p>
            <w:pPr>
              <w:pStyle w:val="GesAbsatz"/>
              <w:tabs>
                <w:tab w:val="clear" w:pos="425"/>
              </w:tabs>
              <w:jc w:val="center"/>
            </w:pPr>
            <w:r>
              <w:t>Einheit</w:t>
            </w:r>
          </w:p>
        </w:tc>
      </w:tr>
      <w:tr>
        <w:tc>
          <w:tcPr>
            <w:tcW w:w="1951" w:type="dxa"/>
          </w:tcPr>
          <w:p>
            <w:pPr>
              <w:pStyle w:val="GesAbsatz"/>
              <w:tabs>
                <w:tab w:val="clear" w:pos="425"/>
              </w:tabs>
            </w:pPr>
            <w:r>
              <w:t>CO</w:t>
            </w:r>
          </w:p>
        </w:tc>
        <w:tc>
          <w:tcPr>
            <w:tcW w:w="2297" w:type="dxa"/>
          </w:tcPr>
          <w:p>
            <w:pPr>
              <w:pStyle w:val="GesAbsatz"/>
              <w:tabs>
                <w:tab w:val="clear" w:pos="425"/>
              </w:tabs>
              <w:jc w:val="center"/>
            </w:pPr>
            <w:r>
              <w:t>0 – 200</w:t>
            </w:r>
          </w:p>
        </w:tc>
        <w:tc>
          <w:tcPr>
            <w:tcW w:w="1814" w:type="dxa"/>
          </w:tcPr>
          <w:p>
            <w:pPr>
              <w:pStyle w:val="GesAbsatz"/>
              <w:tabs>
                <w:tab w:val="clear" w:pos="425"/>
              </w:tabs>
              <w:jc w:val="center"/>
            </w:pPr>
            <w:r>
              <w:t>0 – 1 250</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951" w:type="dxa"/>
            <w:vMerge w:val="restart"/>
          </w:tcPr>
          <w:p>
            <w:pPr>
              <w:pStyle w:val="GesAbsatz"/>
              <w:tabs>
                <w:tab w:val="clear" w:pos="425"/>
              </w:tabs>
            </w:pPr>
            <w:r>
              <w:t>NO</w:t>
            </w:r>
            <w:r>
              <w:rPr>
                <w:vertAlign w:val="subscript"/>
              </w:rPr>
              <w:t>x</w:t>
            </w:r>
          </w:p>
        </w:tc>
        <w:tc>
          <w:tcPr>
            <w:tcW w:w="2297" w:type="dxa"/>
          </w:tcPr>
          <w:p>
            <w:pPr>
              <w:pStyle w:val="GesAbsatz"/>
              <w:tabs>
                <w:tab w:val="clear" w:pos="425"/>
              </w:tabs>
              <w:jc w:val="center"/>
            </w:pPr>
            <w:r>
              <w:t>0 – 150</w:t>
            </w:r>
            <w:r>
              <w:rPr>
                <w:vertAlign w:val="superscript"/>
              </w:rPr>
              <w:t>1</w:t>
            </w:r>
          </w:p>
        </w:tc>
        <w:tc>
          <w:tcPr>
            <w:tcW w:w="1814" w:type="dxa"/>
          </w:tcPr>
          <w:p>
            <w:pPr>
              <w:pStyle w:val="GesAbsatz"/>
              <w:tabs>
                <w:tab w:val="clear" w:pos="425"/>
              </w:tabs>
              <w:jc w:val="center"/>
            </w:pPr>
            <w:r>
              <w:t>0 – 750</w:t>
            </w:r>
            <w:r>
              <w:rPr>
                <w:vertAlign w:val="superscript"/>
              </w:rPr>
              <w:t>1</w:t>
            </w:r>
          </w:p>
        </w:tc>
        <w:tc>
          <w:tcPr>
            <w:tcW w:w="1701" w:type="dxa"/>
          </w:tcPr>
          <w:p>
            <w:pPr>
              <w:pStyle w:val="GesAbsatz"/>
              <w:tabs>
                <w:tab w:val="clear" w:pos="425"/>
              </w:tabs>
              <w:jc w:val="center"/>
            </w:pPr>
            <w:r>
              <w:t>0 – 2 000</w:t>
            </w:r>
            <w:r>
              <w:rPr>
                <w:vertAlign w:val="superscript"/>
              </w:rPr>
              <w:t>1</w:t>
            </w:r>
          </w:p>
        </w:tc>
        <w:tc>
          <w:tcPr>
            <w:tcW w:w="2046" w:type="dxa"/>
            <w:vMerge w:val="restart"/>
          </w:tcPr>
          <w:p>
            <w:pPr>
              <w:pStyle w:val="GesAbsatz"/>
              <w:jc w:val="center"/>
            </w:pPr>
            <w:r>
              <w:t>mg/m³</w:t>
            </w:r>
          </w:p>
        </w:tc>
      </w:tr>
      <w:tr>
        <w:tc>
          <w:tcPr>
            <w:tcW w:w="1951" w:type="dxa"/>
            <w:vMerge/>
          </w:tcPr>
          <w:p>
            <w:pPr>
              <w:pStyle w:val="GesAbsatz"/>
              <w:tabs>
                <w:tab w:val="clear" w:pos="425"/>
              </w:tabs>
            </w:pPr>
          </w:p>
        </w:tc>
        <w:tc>
          <w:tcPr>
            <w:tcW w:w="2297" w:type="dxa"/>
          </w:tcPr>
          <w:p>
            <w:pPr>
              <w:pStyle w:val="GesAbsatz"/>
              <w:tabs>
                <w:tab w:val="clear" w:pos="425"/>
              </w:tabs>
              <w:jc w:val="center"/>
            </w:pPr>
            <w:r>
              <w:t>0 – 230</w:t>
            </w:r>
            <w:r>
              <w:rPr>
                <w:vertAlign w:val="superscript"/>
              </w:rPr>
              <w:t>2</w:t>
            </w:r>
          </w:p>
        </w:tc>
        <w:tc>
          <w:tcPr>
            <w:tcW w:w="1814" w:type="dxa"/>
          </w:tcPr>
          <w:p>
            <w:pPr>
              <w:pStyle w:val="GesAbsatz"/>
              <w:tabs>
                <w:tab w:val="clear" w:pos="425"/>
              </w:tabs>
              <w:jc w:val="center"/>
            </w:pPr>
            <w:r>
              <w:t>0 – 1 150</w:t>
            </w:r>
            <w:r>
              <w:rPr>
                <w:vertAlign w:val="superscript"/>
              </w:rPr>
              <w:t>2</w:t>
            </w:r>
          </w:p>
        </w:tc>
        <w:tc>
          <w:tcPr>
            <w:tcW w:w="1701" w:type="dxa"/>
          </w:tcPr>
          <w:p>
            <w:pPr>
              <w:pStyle w:val="GesAbsatz"/>
              <w:tabs>
                <w:tab w:val="clear" w:pos="425"/>
              </w:tabs>
              <w:jc w:val="center"/>
            </w:pPr>
            <w:r>
              <w:t>0 – 3 067</w:t>
            </w:r>
            <w:r>
              <w:rPr>
                <w:vertAlign w:val="superscript"/>
              </w:rPr>
              <w:t>2</w:t>
            </w:r>
          </w:p>
        </w:tc>
        <w:tc>
          <w:tcPr>
            <w:tcW w:w="2046" w:type="dxa"/>
            <w:vMerge/>
          </w:tcPr>
          <w:p>
            <w:pPr>
              <w:pStyle w:val="GesAbsatz"/>
              <w:tabs>
                <w:tab w:val="clear" w:pos="425"/>
              </w:tabs>
              <w:jc w:val="center"/>
            </w:pPr>
          </w:p>
        </w:tc>
      </w:tr>
      <w:tr>
        <w:tc>
          <w:tcPr>
            <w:tcW w:w="1951" w:type="dxa"/>
          </w:tcPr>
          <w:p>
            <w:pPr>
              <w:pStyle w:val="GesAbsatz"/>
              <w:tabs>
                <w:tab w:val="clear" w:pos="425"/>
              </w:tabs>
            </w:pPr>
            <w:r>
              <w:t>SO</w:t>
            </w:r>
            <w:r>
              <w:rPr>
                <w:vertAlign w:val="subscript"/>
              </w:rPr>
              <w:t>2</w:t>
            </w:r>
          </w:p>
        </w:tc>
        <w:tc>
          <w:tcPr>
            <w:tcW w:w="2297" w:type="dxa"/>
          </w:tcPr>
          <w:p>
            <w:pPr>
              <w:pStyle w:val="GesAbsatz"/>
              <w:tabs>
                <w:tab w:val="clear" w:pos="425"/>
              </w:tabs>
              <w:jc w:val="center"/>
            </w:pPr>
            <w:r>
              <w:t>0 – 400</w:t>
            </w:r>
          </w:p>
        </w:tc>
        <w:tc>
          <w:tcPr>
            <w:tcW w:w="1814" w:type="dxa"/>
          </w:tcPr>
          <w:p>
            <w:pPr>
              <w:pStyle w:val="GesAbsatz"/>
              <w:tabs>
                <w:tab w:val="clear" w:pos="425"/>
              </w:tabs>
              <w:jc w:val="center"/>
            </w:pPr>
            <w:r>
              <w:t>0 – 2 000</w:t>
            </w:r>
          </w:p>
        </w:tc>
        <w:tc>
          <w:tcPr>
            <w:tcW w:w="1701" w:type="dxa"/>
          </w:tcPr>
          <w:p>
            <w:pPr>
              <w:pStyle w:val="GesAbsatz"/>
              <w:tabs>
                <w:tab w:val="clear" w:pos="425"/>
              </w:tabs>
              <w:jc w:val="center"/>
            </w:pPr>
            <w:r>
              <w:t>0 – 7 000</w:t>
            </w:r>
          </w:p>
        </w:tc>
        <w:tc>
          <w:tcPr>
            <w:tcW w:w="2046" w:type="dxa"/>
          </w:tcPr>
          <w:p>
            <w:pPr>
              <w:pStyle w:val="GesAbsatz"/>
              <w:tabs>
                <w:tab w:val="clear" w:pos="425"/>
              </w:tabs>
              <w:jc w:val="center"/>
            </w:pPr>
            <w:r>
              <w:t>mg/m³</w:t>
            </w:r>
          </w:p>
        </w:tc>
      </w:tr>
      <w:tr>
        <w:tc>
          <w:tcPr>
            <w:tcW w:w="1951" w:type="dxa"/>
          </w:tcPr>
          <w:p>
            <w:pPr>
              <w:pStyle w:val="GesAbsatz"/>
              <w:tabs>
                <w:tab w:val="clear" w:pos="425"/>
              </w:tabs>
            </w:pPr>
            <w:r>
              <w:t>O</w:t>
            </w:r>
            <w:r>
              <w:rPr>
                <w:vertAlign w:val="subscript"/>
              </w:rPr>
              <w:t>2, paramagnetisch</w:t>
            </w:r>
          </w:p>
        </w:tc>
        <w:tc>
          <w:tcPr>
            <w:tcW w:w="2297" w:type="dxa"/>
          </w:tcPr>
          <w:p>
            <w:pPr>
              <w:pStyle w:val="GesAbsatz"/>
              <w:tabs>
                <w:tab w:val="clear" w:pos="425"/>
              </w:tabs>
              <w:jc w:val="center"/>
            </w:pPr>
            <w:r>
              <w:t>0 – 25</w:t>
            </w:r>
          </w:p>
        </w:tc>
        <w:tc>
          <w:tcPr>
            <w:tcW w:w="1814" w:type="dxa"/>
          </w:tcPr>
          <w:p>
            <w:pPr>
              <w:pStyle w:val="GesAbsatz"/>
              <w:tabs>
                <w:tab w:val="clear" w:pos="425"/>
              </w:tabs>
              <w:jc w:val="center"/>
            </w:pPr>
            <w:r>
              <w:t>–</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Vol.-%</w:t>
            </w:r>
          </w:p>
        </w:tc>
      </w:tr>
      <w:tr>
        <w:tc>
          <w:tcPr>
            <w:tcW w:w="1951" w:type="dxa"/>
          </w:tcPr>
          <w:p>
            <w:pPr>
              <w:pStyle w:val="GesAbsatz"/>
              <w:tabs>
                <w:tab w:val="clear" w:pos="425"/>
              </w:tabs>
            </w:pPr>
            <w:r>
              <w:t>O</w:t>
            </w:r>
            <w:r>
              <w:rPr>
                <w:vertAlign w:val="subscript"/>
              </w:rPr>
              <w:t>2, elektrochemisch</w:t>
            </w:r>
          </w:p>
        </w:tc>
        <w:tc>
          <w:tcPr>
            <w:tcW w:w="2297" w:type="dxa"/>
          </w:tcPr>
          <w:p>
            <w:pPr>
              <w:pStyle w:val="GesAbsatz"/>
              <w:tabs>
                <w:tab w:val="clear" w:pos="425"/>
              </w:tabs>
              <w:jc w:val="center"/>
            </w:pPr>
            <w:r>
              <w:t>0 – 25</w:t>
            </w:r>
          </w:p>
        </w:tc>
        <w:tc>
          <w:tcPr>
            <w:tcW w:w="1814" w:type="dxa"/>
          </w:tcPr>
          <w:p>
            <w:pPr>
              <w:pStyle w:val="GesAbsatz"/>
              <w:tabs>
                <w:tab w:val="clear" w:pos="425"/>
              </w:tabs>
              <w:jc w:val="center"/>
            </w:pPr>
            <w:r>
              <w:t>–</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Vol.-%</w:t>
            </w:r>
          </w:p>
        </w:tc>
      </w:tr>
    </w:tbl>
    <w:p>
      <w:pPr>
        <w:pStyle w:val="GesAbsatz"/>
      </w:pPr>
    </w:p>
    <w:p>
      <w:pPr>
        <w:pStyle w:val="GesAbsatz"/>
      </w:pPr>
      <w:r>
        <w:t>Modul Ultramat 23-7MB2358</w:t>
      </w:r>
    </w:p>
    <w:tbl>
      <w:tblPr>
        <w:tblStyle w:val="Tabellenraster"/>
        <w:tblW w:w="9809" w:type="dxa"/>
        <w:tblLook w:val="04A0" w:firstRow="1" w:lastRow="0" w:firstColumn="1" w:lastColumn="0" w:noHBand="0" w:noVBand="1"/>
      </w:tblPr>
      <w:tblGrid>
        <w:gridCol w:w="1951"/>
        <w:gridCol w:w="2297"/>
        <w:gridCol w:w="1814"/>
        <w:gridCol w:w="1701"/>
        <w:gridCol w:w="2046"/>
      </w:tblGrid>
      <w:tr>
        <w:tc>
          <w:tcPr>
            <w:tcW w:w="1951" w:type="dxa"/>
          </w:tcPr>
          <w:p>
            <w:pPr>
              <w:pStyle w:val="GesAbsatz"/>
              <w:tabs>
                <w:tab w:val="clear" w:pos="425"/>
              </w:tabs>
              <w:jc w:val="center"/>
            </w:pPr>
            <w:r>
              <w:t>Komponente</w:t>
            </w:r>
          </w:p>
        </w:tc>
        <w:tc>
          <w:tcPr>
            <w:tcW w:w="2297" w:type="dxa"/>
          </w:tcPr>
          <w:p>
            <w:pPr>
              <w:pStyle w:val="GesAbsatz"/>
              <w:tabs>
                <w:tab w:val="clear" w:pos="425"/>
              </w:tabs>
              <w:jc w:val="center"/>
            </w:pPr>
            <w:r>
              <w:t>Zertifizierungsbereich</w:t>
            </w:r>
          </w:p>
        </w:tc>
        <w:tc>
          <w:tcPr>
            <w:tcW w:w="3515" w:type="dxa"/>
            <w:gridSpan w:val="2"/>
          </w:tcPr>
          <w:p>
            <w:pPr>
              <w:pStyle w:val="GesAbsatz"/>
              <w:tabs>
                <w:tab w:val="clear" w:pos="425"/>
              </w:tabs>
              <w:jc w:val="center"/>
            </w:pPr>
            <w:r>
              <w:t>zusätzliche Messbereiche</w:t>
            </w:r>
          </w:p>
        </w:tc>
        <w:tc>
          <w:tcPr>
            <w:tcW w:w="2046" w:type="dxa"/>
          </w:tcPr>
          <w:p>
            <w:pPr>
              <w:pStyle w:val="GesAbsatz"/>
              <w:tabs>
                <w:tab w:val="clear" w:pos="425"/>
              </w:tabs>
              <w:jc w:val="center"/>
            </w:pPr>
            <w:r>
              <w:t>Einheit</w:t>
            </w:r>
          </w:p>
        </w:tc>
      </w:tr>
      <w:tr>
        <w:tc>
          <w:tcPr>
            <w:tcW w:w="1951" w:type="dxa"/>
          </w:tcPr>
          <w:p>
            <w:pPr>
              <w:pStyle w:val="GesAbsatz"/>
              <w:tabs>
                <w:tab w:val="clear" w:pos="425"/>
              </w:tabs>
            </w:pPr>
            <w:r>
              <w:t>CO</w:t>
            </w:r>
          </w:p>
        </w:tc>
        <w:tc>
          <w:tcPr>
            <w:tcW w:w="2297" w:type="dxa"/>
          </w:tcPr>
          <w:p>
            <w:pPr>
              <w:pStyle w:val="GesAbsatz"/>
              <w:tabs>
                <w:tab w:val="clear" w:pos="425"/>
              </w:tabs>
              <w:jc w:val="center"/>
            </w:pPr>
            <w:r>
              <w:t>0 – 250</w:t>
            </w:r>
          </w:p>
        </w:tc>
        <w:tc>
          <w:tcPr>
            <w:tcW w:w="1814" w:type="dxa"/>
          </w:tcPr>
          <w:p>
            <w:pPr>
              <w:pStyle w:val="GesAbsatz"/>
              <w:tabs>
                <w:tab w:val="clear" w:pos="425"/>
              </w:tabs>
              <w:jc w:val="center"/>
            </w:pPr>
            <w:r>
              <w:t>0 – 1 250</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951" w:type="dxa"/>
            <w:vMerge w:val="restart"/>
          </w:tcPr>
          <w:p>
            <w:pPr>
              <w:pStyle w:val="GesAbsatz"/>
              <w:tabs>
                <w:tab w:val="clear" w:pos="425"/>
              </w:tabs>
            </w:pPr>
            <w:r>
              <w:t>NO</w:t>
            </w:r>
            <w:r>
              <w:rPr>
                <w:vertAlign w:val="subscript"/>
              </w:rPr>
              <w:t>x</w:t>
            </w:r>
          </w:p>
        </w:tc>
        <w:tc>
          <w:tcPr>
            <w:tcW w:w="2297" w:type="dxa"/>
          </w:tcPr>
          <w:p>
            <w:pPr>
              <w:pStyle w:val="GesAbsatz"/>
              <w:tabs>
                <w:tab w:val="clear" w:pos="425"/>
              </w:tabs>
              <w:jc w:val="center"/>
            </w:pPr>
            <w:r>
              <w:t>0 – 400</w:t>
            </w:r>
            <w:r>
              <w:rPr>
                <w:vertAlign w:val="superscript"/>
              </w:rPr>
              <w:t>1</w:t>
            </w:r>
          </w:p>
        </w:tc>
        <w:tc>
          <w:tcPr>
            <w:tcW w:w="1814" w:type="dxa"/>
          </w:tcPr>
          <w:p>
            <w:pPr>
              <w:pStyle w:val="GesAbsatz"/>
              <w:tabs>
                <w:tab w:val="clear" w:pos="425"/>
              </w:tabs>
              <w:jc w:val="center"/>
            </w:pPr>
            <w:r>
              <w:t>0 – 2 000</w:t>
            </w:r>
            <w:r>
              <w:rPr>
                <w:vertAlign w:val="superscript"/>
              </w:rPr>
              <w:t>1</w:t>
            </w:r>
          </w:p>
        </w:tc>
        <w:tc>
          <w:tcPr>
            <w:tcW w:w="1701" w:type="dxa"/>
            <w:vMerge w:val="restart"/>
          </w:tcPr>
          <w:p>
            <w:pPr>
              <w:pStyle w:val="GesAbsatz"/>
              <w:tabs>
                <w:tab w:val="clear" w:pos="425"/>
              </w:tabs>
              <w:jc w:val="center"/>
            </w:pPr>
            <w:r>
              <w:t>–</w:t>
            </w:r>
          </w:p>
        </w:tc>
        <w:tc>
          <w:tcPr>
            <w:tcW w:w="2046" w:type="dxa"/>
            <w:vMerge w:val="restart"/>
          </w:tcPr>
          <w:p>
            <w:pPr>
              <w:pStyle w:val="GesAbsatz"/>
              <w:jc w:val="center"/>
            </w:pPr>
            <w:r>
              <w:t>mg/m³</w:t>
            </w:r>
          </w:p>
        </w:tc>
      </w:tr>
      <w:tr>
        <w:tc>
          <w:tcPr>
            <w:tcW w:w="1951" w:type="dxa"/>
            <w:vMerge/>
          </w:tcPr>
          <w:p>
            <w:pPr>
              <w:pStyle w:val="GesAbsatz"/>
              <w:tabs>
                <w:tab w:val="clear" w:pos="425"/>
              </w:tabs>
            </w:pPr>
          </w:p>
        </w:tc>
        <w:tc>
          <w:tcPr>
            <w:tcW w:w="2297" w:type="dxa"/>
          </w:tcPr>
          <w:p>
            <w:pPr>
              <w:pStyle w:val="GesAbsatz"/>
              <w:tabs>
                <w:tab w:val="clear" w:pos="425"/>
              </w:tabs>
              <w:jc w:val="center"/>
            </w:pPr>
            <w:r>
              <w:t>0 – 613</w:t>
            </w:r>
            <w:r>
              <w:rPr>
                <w:vertAlign w:val="superscript"/>
              </w:rPr>
              <w:t>2</w:t>
            </w:r>
          </w:p>
        </w:tc>
        <w:tc>
          <w:tcPr>
            <w:tcW w:w="1814" w:type="dxa"/>
          </w:tcPr>
          <w:p>
            <w:pPr>
              <w:pStyle w:val="GesAbsatz"/>
              <w:tabs>
                <w:tab w:val="clear" w:pos="425"/>
              </w:tabs>
              <w:jc w:val="center"/>
              <w:rPr>
                <w:vertAlign w:val="superscript"/>
              </w:rPr>
            </w:pPr>
            <w:r>
              <w:t>0 – 3 067</w:t>
            </w:r>
            <w:r>
              <w:rPr>
                <w:vertAlign w:val="superscript"/>
              </w:rPr>
              <w:t>2</w:t>
            </w:r>
          </w:p>
        </w:tc>
        <w:tc>
          <w:tcPr>
            <w:tcW w:w="1701" w:type="dxa"/>
            <w:vMerge/>
          </w:tcPr>
          <w:p>
            <w:pPr>
              <w:pStyle w:val="GesAbsatz"/>
              <w:tabs>
                <w:tab w:val="clear" w:pos="425"/>
              </w:tabs>
              <w:jc w:val="center"/>
            </w:pPr>
          </w:p>
        </w:tc>
        <w:tc>
          <w:tcPr>
            <w:tcW w:w="2046" w:type="dxa"/>
            <w:vMerge/>
          </w:tcPr>
          <w:p>
            <w:pPr>
              <w:pStyle w:val="GesAbsatz"/>
              <w:tabs>
                <w:tab w:val="clear" w:pos="425"/>
              </w:tabs>
              <w:jc w:val="center"/>
            </w:pPr>
          </w:p>
        </w:tc>
      </w:tr>
      <w:tr>
        <w:tc>
          <w:tcPr>
            <w:tcW w:w="1951" w:type="dxa"/>
          </w:tcPr>
          <w:p>
            <w:pPr>
              <w:pStyle w:val="GesAbsatz"/>
              <w:tabs>
                <w:tab w:val="clear" w:pos="425"/>
              </w:tabs>
            </w:pPr>
            <w:r>
              <w:lastRenderedPageBreak/>
              <w:t>SO</w:t>
            </w:r>
            <w:r>
              <w:rPr>
                <w:vertAlign w:val="subscript"/>
              </w:rPr>
              <w:t>2</w:t>
            </w:r>
          </w:p>
        </w:tc>
        <w:tc>
          <w:tcPr>
            <w:tcW w:w="2297" w:type="dxa"/>
          </w:tcPr>
          <w:p>
            <w:pPr>
              <w:pStyle w:val="GesAbsatz"/>
              <w:tabs>
                <w:tab w:val="clear" w:pos="425"/>
              </w:tabs>
              <w:jc w:val="center"/>
            </w:pPr>
            <w:r>
              <w:t>0 – 400</w:t>
            </w:r>
          </w:p>
        </w:tc>
        <w:tc>
          <w:tcPr>
            <w:tcW w:w="1814" w:type="dxa"/>
          </w:tcPr>
          <w:p>
            <w:pPr>
              <w:pStyle w:val="GesAbsatz"/>
              <w:tabs>
                <w:tab w:val="clear" w:pos="425"/>
              </w:tabs>
              <w:jc w:val="center"/>
            </w:pPr>
            <w:r>
              <w:t>0 – 2 000</w:t>
            </w:r>
          </w:p>
        </w:tc>
        <w:tc>
          <w:tcPr>
            <w:tcW w:w="1701" w:type="dxa"/>
          </w:tcPr>
          <w:p>
            <w:pPr>
              <w:pStyle w:val="GesAbsatz"/>
              <w:tabs>
                <w:tab w:val="clear" w:pos="425"/>
              </w:tabs>
              <w:jc w:val="center"/>
            </w:pPr>
            <w:r>
              <w:t>0 – 7 000</w:t>
            </w:r>
          </w:p>
        </w:tc>
        <w:tc>
          <w:tcPr>
            <w:tcW w:w="2046" w:type="dxa"/>
          </w:tcPr>
          <w:p>
            <w:pPr>
              <w:pStyle w:val="GesAbsatz"/>
              <w:tabs>
                <w:tab w:val="clear" w:pos="425"/>
              </w:tabs>
              <w:jc w:val="center"/>
            </w:pPr>
            <w:r>
              <w:t>mg/m³</w:t>
            </w:r>
          </w:p>
        </w:tc>
      </w:tr>
      <w:tr>
        <w:tc>
          <w:tcPr>
            <w:tcW w:w="1951" w:type="dxa"/>
          </w:tcPr>
          <w:p>
            <w:pPr>
              <w:pStyle w:val="GesAbsatz"/>
              <w:tabs>
                <w:tab w:val="clear" w:pos="425"/>
              </w:tabs>
            </w:pPr>
            <w:r>
              <w:t>O</w:t>
            </w:r>
            <w:r>
              <w:rPr>
                <w:vertAlign w:val="subscript"/>
              </w:rPr>
              <w:t>2, paramagnetisch</w:t>
            </w:r>
          </w:p>
        </w:tc>
        <w:tc>
          <w:tcPr>
            <w:tcW w:w="2297" w:type="dxa"/>
          </w:tcPr>
          <w:p>
            <w:pPr>
              <w:pStyle w:val="GesAbsatz"/>
              <w:tabs>
                <w:tab w:val="clear" w:pos="425"/>
              </w:tabs>
              <w:jc w:val="center"/>
            </w:pPr>
            <w:r>
              <w:t>0 – 25</w:t>
            </w:r>
          </w:p>
        </w:tc>
        <w:tc>
          <w:tcPr>
            <w:tcW w:w="1814" w:type="dxa"/>
          </w:tcPr>
          <w:p>
            <w:pPr>
              <w:pStyle w:val="GesAbsatz"/>
              <w:tabs>
                <w:tab w:val="clear" w:pos="425"/>
              </w:tabs>
              <w:jc w:val="center"/>
            </w:pPr>
            <w:r>
              <w:t>–</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Vol.-%</w:t>
            </w:r>
          </w:p>
        </w:tc>
      </w:tr>
      <w:tr>
        <w:tc>
          <w:tcPr>
            <w:tcW w:w="1951" w:type="dxa"/>
          </w:tcPr>
          <w:p>
            <w:pPr>
              <w:pStyle w:val="GesAbsatz"/>
              <w:tabs>
                <w:tab w:val="clear" w:pos="425"/>
              </w:tabs>
            </w:pPr>
            <w:r>
              <w:t>O</w:t>
            </w:r>
            <w:r>
              <w:rPr>
                <w:vertAlign w:val="subscript"/>
              </w:rPr>
              <w:t>2, elektrochemisch</w:t>
            </w:r>
          </w:p>
        </w:tc>
        <w:tc>
          <w:tcPr>
            <w:tcW w:w="2297" w:type="dxa"/>
          </w:tcPr>
          <w:p>
            <w:pPr>
              <w:pStyle w:val="GesAbsatz"/>
              <w:tabs>
                <w:tab w:val="clear" w:pos="425"/>
              </w:tabs>
              <w:jc w:val="center"/>
            </w:pPr>
            <w:r>
              <w:t>0 – 25</w:t>
            </w:r>
          </w:p>
        </w:tc>
        <w:tc>
          <w:tcPr>
            <w:tcW w:w="1814" w:type="dxa"/>
          </w:tcPr>
          <w:p>
            <w:pPr>
              <w:pStyle w:val="GesAbsatz"/>
              <w:tabs>
                <w:tab w:val="clear" w:pos="425"/>
              </w:tabs>
              <w:jc w:val="center"/>
            </w:pPr>
            <w:r>
              <w:t>–</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Vol.-%</w:t>
            </w:r>
          </w:p>
        </w:tc>
      </w:tr>
    </w:tbl>
    <w:p>
      <w:pPr>
        <w:pStyle w:val="GesAbsatz"/>
      </w:pPr>
    </w:p>
    <w:p>
      <w:pPr>
        <w:pStyle w:val="GesAbsatz"/>
      </w:pPr>
      <w:r>
        <w:t>Modul SIPROCESS UV600-7MB2621</w:t>
      </w:r>
    </w:p>
    <w:tbl>
      <w:tblPr>
        <w:tblStyle w:val="Tabellenraster"/>
        <w:tblW w:w="9809" w:type="dxa"/>
        <w:tblLook w:val="04A0" w:firstRow="1" w:lastRow="0" w:firstColumn="1" w:lastColumn="0" w:noHBand="0" w:noVBand="1"/>
      </w:tblPr>
      <w:tblGrid>
        <w:gridCol w:w="1951"/>
        <w:gridCol w:w="2297"/>
        <w:gridCol w:w="1814"/>
        <w:gridCol w:w="1701"/>
        <w:gridCol w:w="2046"/>
      </w:tblGrid>
      <w:tr>
        <w:tc>
          <w:tcPr>
            <w:tcW w:w="1951" w:type="dxa"/>
          </w:tcPr>
          <w:p>
            <w:pPr>
              <w:pStyle w:val="GesAbsatz"/>
              <w:tabs>
                <w:tab w:val="clear" w:pos="425"/>
              </w:tabs>
              <w:jc w:val="center"/>
            </w:pPr>
            <w:r>
              <w:t>Komponente</w:t>
            </w:r>
          </w:p>
        </w:tc>
        <w:tc>
          <w:tcPr>
            <w:tcW w:w="2297" w:type="dxa"/>
          </w:tcPr>
          <w:p>
            <w:pPr>
              <w:pStyle w:val="GesAbsatz"/>
              <w:tabs>
                <w:tab w:val="clear" w:pos="425"/>
              </w:tabs>
              <w:jc w:val="center"/>
            </w:pPr>
            <w:r>
              <w:t>Zertifizierungsbereich</w:t>
            </w:r>
          </w:p>
        </w:tc>
        <w:tc>
          <w:tcPr>
            <w:tcW w:w="3515" w:type="dxa"/>
            <w:gridSpan w:val="2"/>
          </w:tcPr>
          <w:p>
            <w:pPr>
              <w:pStyle w:val="GesAbsatz"/>
              <w:tabs>
                <w:tab w:val="clear" w:pos="425"/>
              </w:tabs>
              <w:jc w:val="center"/>
            </w:pPr>
            <w:r>
              <w:t>zusätzliche Messbereiche</w:t>
            </w:r>
          </w:p>
        </w:tc>
        <w:tc>
          <w:tcPr>
            <w:tcW w:w="2046" w:type="dxa"/>
          </w:tcPr>
          <w:p>
            <w:pPr>
              <w:pStyle w:val="GesAbsatz"/>
              <w:tabs>
                <w:tab w:val="clear" w:pos="425"/>
              </w:tabs>
              <w:jc w:val="center"/>
            </w:pPr>
            <w:r>
              <w:t>Einheit</w:t>
            </w:r>
          </w:p>
        </w:tc>
      </w:tr>
      <w:tr>
        <w:tc>
          <w:tcPr>
            <w:tcW w:w="1951" w:type="dxa"/>
          </w:tcPr>
          <w:p>
            <w:pPr>
              <w:pStyle w:val="GesAbsatz"/>
              <w:tabs>
                <w:tab w:val="clear" w:pos="425"/>
              </w:tabs>
            </w:pPr>
            <w:r>
              <w:t>NO</w:t>
            </w:r>
          </w:p>
        </w:tc>
        <w:tc>
          <w:tcPr>
            <w:tcW w:w="2297" w:type="dxa"/>
          </w:tcPr>
          <w:p>
            <w:pPr>
              <w:pStyle w:val="GesAbsatz"/>
              <w:tabs>
                <w:tab w:val="clear" w:pos="425"/>
              </w:tabs>
              <w:jc w:val="center"/>
            </w:pPr>
            <w:r>
              <w:t>0 – 50</w:t>
            </w:r>
          </w:p>
        </w:tc>
        <w:tc>
          <w:tcPr>
            <w:tcW w:w="1814" w:type="dxa"/>
          </w:tcPr>
          <w:p>
            <w:pPr>
              <w:pStyle w:val="GesAbsatz"/>
              <w:tabs>
                <w:tab w:val="clear" w:pos="425"/>
              </w:tabs>
              <w:jc w:val="center"/>
            </w:pPr>
            <w:r>
              <w:t>0 – 200</w:t>
            </w:r>
          </w:p>
        </w:tc>
        <w:tc>
          <w:tcPr>
            <w:tcW w:w="1701" w:type="dxa"/>
          </w:tcPr>
          <w:p>
            <w:pPr>
              <w:pStyle w:val="GesAbsatz"/>
              <w:tabs>
                <w:tab w:val="clear" w:pos="425"/>
              </w:tabs>
              <w:jc w:val="center"/>
            </w:pPr>
            <w:r>
              <w:t>0 – 2 000</w:t>
            </w:r>
          </w:p>
        </w:tc>
        <w:tc>
          <w:tcPr>
            <w:tcW w:w="2046" w:type="dxa"/>
          </w:tcPr>
          <w:p>
            <w:pPr>
              <w:pStyle w:val="GesAbsatz"/>
              <w:tabs>
                <w:tab w:val="clear" w:pos="425"/>
              </w:tabs>
              <w:jc w:val="center"/>
            </w:pPr>
            <w:r>
              <w:t>mg/m³</w:t>
            </w:r>
          </w:p>
        </w:tc>
      </w:tr>
      <w:tr>
        <w:tc>
          <w:tcPr>
            <w:tcW w:w="1951" w:type="dxa"/>
          </w:tcPr>
          <w:p>
            <w:pPr>
              <w:pStyle w:val="GesAbsatz"/>
              <w:tabs>
                <w:tab w:val="clear" w:pos="425"/>
              </w:tabs>
            </w:pPr>
            <w:r>
              <w:t>NO</w:t>
            </w:r>
            <w:r>
              <w:rPr>
                <w:vertAlign w:val="subscript"/>
              </w:rPr>
              <w:t>2</w:t>
            </w:r>
          </w:p>
        </w:tc>
        <w:tc>
          <w:tcPr>
            <w:tcW w:w="2297" w:type="dxa"/>
          </w:tcPr>
          <w:p>
            <w:pPr>
              <w:pStyle w:val="GesAbsatz"/>
              <w:tabs>
                <w:tab w:val="clear" w:pos="425"/>
              </w:tabs>
              <w:jc w:val="center"/>
            </w:pPr>
            <w:r>
              <w:t>0 – 50</w:t>
            </w:r>
          </w:p>
        </w:tc>
        <w:tc>
          <w:tcPr>
            <w:tcW w:w="1814" w:type="dxa"/>
          </w:tcPr>
          <w:p>
            <w:pPr>
              <w:pStyle w:val="GesAbsatz"/>
              <w:tabs>
                <w:tab w:val="clear" w:pos="425"/>
              </w:tabs>
              <w:jc w:val="center"/>
            </w:pPr>
            <w:r>
              <w:t>0 – 500</w:t>
            </w:r>
          </w:p>
        </w:tc>
        <w:tc>
          <w:tcPr>
            <w:tcW w:w="1701" w:type="dxa"/>
          </w:tcPr>
          <w:p>
            <w:pPr>
              <w:pStyle w:val="GesAbsatz"/>
              <w:tabs>
                <w:tab w:val="clear" w:pos="425"/>
              </w:tabs>
              <w:jc w:val="center"/>
            </w:pPr>
            <w:r>
              <w:t>–</w:t>
            </w:r>
          </w:p>
        </w:tc>
        <w:tc>
          <w:tcPr>
            <w:tcW w:w="2046" w:type="dxa"/>
          </w:tcPr>
          <w:p>
            <w:pPr>
              <w:pStyle w:val="GesAbsatz"/>
              <w:tabs>
                <w:tab w:val="clear" w:pos="425"/>
              </w:tabs>
              <w:jc w:val="center"/>
            </w:pPr>
            <w:r>
              <w:t>mg/m³</w:t>
            </w:r>
          </w:p>
        </w:tc>
      </w:tr>
      <w:tr>
        <w:tc>
          <w:tcPr>
            <w:tcW w:w="1951" w:type="dxa"/>
          </w:tcPr>
          <w:p>
            <w:pPr>
              <w:pStyle w:val="GesAbsatz"/>
              <w:tabs>
                <w:tab w:val="clear" w:pos="425"/>
              </w:tabs>
            </w:pPr>
            <w:r>
              <w:t>SO</w:t>
            </w:r>
            <w:r>
              <w:rPr>
                <w:vertAlign w:val="subscript"/>
              </w:rPr>
              <w:t>2</w:t>
            </w:r>
          </w:p>
        </w:tc>
        <w:tc>
          <w:tcPr>
            <w:tcW w:w="2297" w:type="dxa"/>
          </w:tcPr>
          <w:p>
            <w:pPr>
              <w:pStyle w:val="GesAbsatz"/>
              <w:tabs>
                <w:tab w:val="clear" w:pos="425"/>
              </w:tabs>
              <w:jc w:val="center"/>
            </w:pPr>
            <w:r>
              <w:t>0 – 75</w:t>
            </w:r>
          </w:p>
        </w:tc>
        <w:tc>
          <w:tcPr>
            <w:tcW w:w="1814" w:type="dxa"/>
          </w:tcPr>
          <w:p>
            <w:pPr>
              <w:pStyle w:val="GesAbsatz"/>
              <w:tabs>
                <w:tab w:val="clear" w:pos="425"/>
              </w:tabs>
              <w:jc w:val="center"/>
            </w:pPr>
            <w:r>
              <w:t>0 – 130</w:t>
            </w:r>
          </w:p>
        </w:tc>
        <w:tc>
          <w:tcPr>
            <w:tcW w:w="1701" w:type="dxa"/>
          </w:tcPr>
          <w:p>
            <w:pPr>
              <w:pStyle w:val="GesAbsatz"/>
              <w:tabs>
                <w:tab w:val="clear" w:pos="425"/>
              </w:tabs>
              <w:jc w:val="center"/>
            </w:pPr>
            <w:r>
              <w:t>0 – 2 000</w:t>
            </w:r>
          </w:p>
        </w:tc>
        <w:tc>
          <w:tcPr>
            <w:tcW w:w="2046" w:type="dxa"/>
          </w:tcPr>
          <w:p>
            <w:pPr>
              <w:pStyle w:val="GesAbsatz"/>
              <w:tabs>
                <w:tab w:val="clear" w:pos="425"/>
              </w:tabs>
              <w:jc w:val="center"/>
            </w:pPr>
            <w:r>
              <w:t>mg/m³</w:t>
            </w:r>
          </w:p>
        </w:tc>
      </w:tr>
    </w:tbl>
    <w:p>
      <w:pPr>
        <w:pStyle w:val="GesAbsatz"/>
      </w:pPr>
      <w:r>
        <w:rPr>
          <w:vertAlign w:val="superscript"/>
        </w:rPr>
        <w:t>1</w:t>
      </w:r>
      <w:r>
        <w:t xml:space="preserve"> angegeben als NO</w:t>
      </w:r>
    </w:p>
    <w:p>
      <w:pPr>
        <w:pStyle w:val="GesAbsatz"/>
      </w:pPr>
      <w:r>
        <w:rPr>
          <w:vertAlign w:val="superscript"/>
        </w:rPr>
        <w:t>2</w:t>
      </w:r>
      <w:r>
        <w:t xml:space="preserve"> angegeben als NO</w:t>
      </w:r>
      <w:r>
        <w:rPr>
          <w:vertAlign w:val="subscript"/>
        </w:rPr>
        <w:t>2</w:t>
      </w:r>
    </w:p>
    <w:p>
      <w:pPr>
        <w:pStyle w:val="GesAbsatz"/>
      </w:pPr>
      <w:r>
        <w:t>Messbereiche des modularen Systems Set CEM CERT 7MB1957 in der Eignungsprüfung:</w:t>
      </w:r>
    </w:p>
    <w:tbl>
      <w:tblPr>
        <w:tblStyle w:val="Tabellenraster"/>
        <w:tblW w:w="9763" w:type="dxa"/>
        <w:tblLayout w:type="fixed"/>
        <w:tblLook w:val="04A0" w:firstRow="1" w:lastRow="0" w:firstColumn="1" w:lastColumn="0" w:noHBand="0" w:noVBand="1"/>
      </w:tblPr>
      <w:tblGrid>
        <w:gridCol w:w="1101"/>
        <w:gridCol w:w="2976"/>
        <w:gridCol w:w="1434"/>
        <w:gridCol w:w="1381"/>
        <w:gridCol w:w="1417"/>
        <w:gridCol w:w="1454"/>
      </w:tblGrid>
      <w:tr>
        <w:tc>
          <w:tcPr>
            <w:tcW w:w="1101" w:type="dxa"/>
          </w:tcPr>
          <w:p>
            <w:pPr>
              <w:pStyle w:val="GesAbsatz"/>
              <w:tabs>
                <w:tab w:val="clear" w:pos="425"/>
              </w:tabs>
              <w:jc w:val="center"/>
              <w:rPr>
                <w:sz w:val="18"/>
                <w:szCs w:val="18"/>
              </w:rPr>
            </w:pPr>
            <w:r>
              <w:rPr>
                <w:sz w:val="18"/>
                <w:szCs w:val="18"/>
              </w:rPr>
              <w:t>Komponente</w:t>
            </w:r>
          </w:p>
        </w:tc>
        <w:tc>
          <w:tcPr>
            <w:tcW w:w="2976" w:type="dxa"/>
          </w:tcPr>
          <w:p>
            <w:pPr>
              <w:pStyle w:val="GesAbsatz"/>
              <w:tabs>
                <w:tab w:val="clear" w:pos="425"/>
              </w:tabs>
              <w:jc w:val="center"/>
              <w:rPr>
                <w:sz w:val="18"/>
                <w:szCs w:val="18"/>
              </w:rPr>
            </w:pPr>
            <w:r>
              <w:rPr>
                <w:sz w:val="18"/>
                <w:szCs w:val="18"/>
              </w:rPr>
              <w:t>Modul-Variante</w:t>
            </w:r>
          </w:p>
        </w:tc>
        <w:tc>
          <w:tcPr>
            <w:tcW w:w="1434" w:type="dxa"/>
          </w:tcPr>
          <w:p>
            <w:pPr>
              <w:pStyle w:val="GesAbsatz"/>
              <w:tabs>
                <w:tab w:val="clear" w:pos="425"/>
              </w:tabs>
              <w:jc w:val="center"/>
              <w:rPr>
                <w:sz w:val="18"/>
                <w:szCs w:val="18"/>
              </w:rPr>
            </w:pPr>
            <w:r>
              <w:rPr>
                <w:sz w:val="18"/>
                <w:szCs w:val="18"/>
              </w:rPr>
              <w:t>Zertifizierungsbereich</w:t>
            </w:r>
          </w:p>
        </w:tc>
        <w:tc>
          <w:tcPr>
            <w:tcW w:w="2798" w:type="dxa"/>
            <w:gridSpan w:val="2"/>
          </w:tcPr>
          <w:p>
            <w:pPr>
              <w:pStyle w:val="GesAbsatz"/>
              <w:tabs>
                <w:tab w:val="clear" w:pos="425"/>
              </w:tabs>
              <w:jc w:val="center"/>
              <w:rPr>
                <w:sz w:val="18"/>
                <w:szCs w:val="18"/>
              </w:rPr>
            </w:pPr>
            <w:r>
              <w:rPr>
                <w:sz w:val="18"/>
                <w:szCs w:val="18"/>
              </w:rPr>
              <w:t>zusätzliche Messbereiche</w:t>
            </w:r>
          </w:p>
        </w:tc>
        <w:tc>
          <w:tcPr>
            <w:tcW w:w="1454" w:type="dxa"/>
          </w:tcPr>
          <w:p>
            <w:pPr>
              <w:pStyle w:val="GesAbsatz"/>
              <w:tabs>
                <w:tab w:val="clear" w:pos="425"/>
              </w:tabs>
              <w:jc w:val="center"/>
              <w:rPr>
                <w:sz w:val="18"/>
                <w:szCs w:val="18"/>
              </w:rPr>
            </w:pPr>
            <w:r>
              <w:rPr>
                <w:sz w:val="18"/>
                <w:szCs w:val="18"/>
              </w:rPr>
              <w:t>Einheit</w:t>
            </w:r>
          </w:p>
        </w:tc>
      </w:tr>
      <w:tr>
        <w:tc>
          <w:tcPr>
            <w:tcW w:w="1101" w:type="dxa"/>
            <w:vMerge w:val="restart"/>
          </w:tcPr>
          <w:p>
            <w:pPr>
              <w:pStyle w:val="GesAbsatz"/>
              <w:tabs>
                <w:tab w:val="clear" w:pos="425"/>
              </w:tabs>
              <w:rPr>
                <w:sz w:val="18"/>
                <w:szCs w:val="18"/>
              </w:rPr>
            </w:pPr>
            <w:r>
              <w:rPr>
                <w:sz w:val="18"/>
                <w:szCs w:val="18"/>
              </w:rPr>
              <w:t>CO</w:t>
            </w:r>
          </w:p>
        </w:tc>
        <w:tc>
          <w:tcPr>
            <w:tcW w:w="2976" w:type="dxa"/>
          </w:tcPr>
          <w:p>
            <w:pPr>
              <w:pStyle w:val="GesAbsatz"/>
              <w:tabs>
                <w:tab w:val="clear" w:pos="425"/>
              </w:tabs>
              <w:jc w:val="left"/>
              <w:rPr>
                <w:sz w:val="18"/>
                <w:szCs w:val="18"/>
              </w:rPr>
            </w:pPr>
            <w:r>
              <w:rPr>
                <w:sz w:val="18"/>
                <w:szCs w:val="18"/>
              </w:rPr>
              <w:t>Ultramat 23-7MB2355 – Z – T13</w:t>
            </w:r>
          </w:p>
        </w:tc>
        <w:tc>
          <w:tcPr>
            <w:tcW w:w="1434" w:type="dxa"/>
          </w:tcPr>
          <w:p>
            <w:pPr>
              <w:pStyle w:val="GesAbsatz"/>
              <w:tabs>
                <w:tab w:val="clear" w:pos="425"/>
              </w:tabs>
              <w:jc w:val="center"/>
              <w:rPr>
                <w:sz w:val="18"/>
                <w:szCs w:val="18"/>
              </w:rPr>
            </w:pPr>
            <w:r>
              <w:rPr>
                <w:sz w:val="18"/>
                <w:szCs w:val="18"/>
              </w:rPr>
              <w:t>0 – 200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23-7MB2357 – Z – T13</w:t>
            </w:r>
          </w:p>
        </w:tc>
        <w:tc>
          <w:tcPr>
            <w:tcW w:w="1434" w:type="dxa"/>
          </w:tcPr>
          <w:p>
            <w:pPr>
              <w:pStyle w:val="GesAbsatz"/>
              <w:tabs>
                <w:tab w:val="clear" w:pos="425"/>
              </w:tabs>
              <w:jc w:val="center"/>
              <w:rPr>
                <w:sz w:val="18"/>
                <w:szCs w:val="18"/>
              </w:rPr>
            </w:pPr>
            <w:r>
              <w:rPr>
                <w:sz w:val="18"/>
                <w:szCs w:val="18"/>
              </w:rPr>
              <w:t>0 – 200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23-7MB2358 – Z – T13</w:t>
            </w:r>
          </w:p>
        </w:tc>
        <w:tc>
          <w:tcPr>
            <w:tcW w:w="1434" w:type="dxa"/>
          </w:tcPr>
          <w:p>
            <w:pPr>
              <w:pStyle w:val="GesAbsatz"/>
              <w:tabs>
                <w:tab w:val="clear" w:pos="425"/>
              </w:tabs>
              <w:jc w:val="center"/>
              <w:rPr>
                <w:sz w:val="18"/>
                <w:szCs w:val="18"/>
              </w:rPr>
            </w:pPr>
            <w:r>
              <w:rPr>
                <w:sz w:val="18"/>
                <w:szCs w:val="18"/>
              </w:rPr>
              <w:t>0 – 250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23-7MB2355 – Z – T23</w:t>
            </w:r>
          </w:p>
        </w:tc>
        <w:tc>
          <w:tcPr>
            <w:tcW w:w="1434" w:type="dxa"/>
          </w:tcPr>
          <w:p>
            <w:pPr>
              <w:pStyle w:val="GesAbsatz"/>
              <w:tabs>
                <w:tab w:val="clear" w:pos="425"/>
              </w:tabs>
              <w:jc w:val="center"/>
              <w:rPr>
                <w:sz w:val="18"/>
                <w:szCs w:val="18"/>
              </w:rPr>
            </w:pPr>
            <w:r>
              <w:rPr>
                <w:sz w:val="18"/>
                <w:szCs w:val="18"/>
              </w:rPr>
              <w:t>0 – 200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23-7MB2357 – Z – T23</w:t>
            </w:r>
          </w:p>
        </w:tc>
        <w:tc>
          <w:tcPr>
            <w:tcW w:w="1434" w:type="dxa"/>
          </w:tcPr>
          <w:p>
            <w:pPr>
              <w:pStyle w:val="GesAbsatz"/>
              <w:tabs>
                <w:tab w:val="clear" w:pos="425"/>
              </w:tabs>
              <w:jc w:val="center"/>
              <w:rPr>
                <w:sz w:val="18"/>
                <w:szCs w:val="18"/>
              </w:rPr>
            </w:pPr>
            <w:r>
              <w:rPr>
                <w:sz w:val="18"/>
                <w:szCs w:val="18"/>
              </w:rPr>
              <w:t>0 – 200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23-7MB2358 – Z – T23</w:t>
            </w:r>
          </w:p>
        </w:tc>
        <w:tc>
          <w:tcPr>
            <w:tcW w:w="1434" w:type="dxa"/>
          </w:tcPr>
          <w:p>
            <w:pPr>
              <w:pStyle w:val="GesAbsatz"/>
              <w:tabs>
                <w:tab w:val="clear" w:pos="425"/>
              </w:tabs>
              <w:jc w:val="center"/>
              <w:rPr>
                <w:sz w:val="18"/>
                <w:szCs w:val="18"/>
              </w:rPr>
            </w:pPr>
            <w:r>
              <w:rPr>
                <w:sz w:val="18"/>
                <w:szCs w:val="18"/>
              </w:rPr>
              <w:t>0 – 250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23-7MB2355 – Z – T33</w:t>
            </w:r>
          </w:p>
        </w:tc>
        <w:tc>
          <w:tcPr>
            <w:tcW w:w="1434" w:type="dxa"/>
          </w:tcPr>
          <w:p>
            <w:pPr>
              <w:pStyle w:val="GesAbsatz"/>
              <w:tabs>
                <w:tab w:val="clear" w:pos="425"/>
              </w:tabs>
              <w:jc w:val="center"/>
              <w:rPr>
                <w:sz w:val="18"/>
                <w:szCs w:val="18"/>
              </w:rPr>
            </w:pPr>
            <w:r>
              <w:rPr>
                <w:sz w:val="18"/>
                <w:szCs w:val="18"/>
              </w:rPr>
              <w:t>0 – 200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jc w:val="left"/>
              <w:rPr>
                <w:sz w:val="18"/>
                <w:szCs w:val="18"/>
              </w:rPr>
            </w:pPr>
            <w:r>
              <w:rPr>
                <w:sz w:val="18"/>
                <w:szCs w:val="18"/>
              </w:rPr>
              <w:t>Ultramat 23-7MB2357 – Z – T33</w:t>
            </w:r>
          </w:p>
        </w:tc>
        <w:tc>
          <w:tcPr>
            <w:tcW w:w="1434" w:type="dxa"/>
          </w:tcPr>
          <w:p>
            <w:pPr>
              <w:pStyle w:val="GesAbsatz"/>
              <w:tabs>
                <w:tab w:val="clear" w:pos="425"/>
              </w:tabs>
              <w:jc w:val="center"/>
              <w:rPr>
                <w:sz w:val="18"/>
                <w:szCs w:val="18"/>
              </w:rPr>
            </w:pPr>
            <w:r>
              <w:rPr>
                <w:sz w:val="18"/>
                <w:szCs w:val="18"/>
              </w:rPr>
              <w:t>0 – 200</w:t>
            </w:r>
          </w:p>
        </w:tc>
        <w:tc>
          <w:tcPr>
            <w:tcW w:w="1381" w:type="dxa"/>
          </w:tcPr>
          <w:p>
            <w:pPr>
              <w:pStyle w:val="GesAbsatz"/>
              <w:tabs>
                <w:tab w:val="clear" w:pos="425"/>
              </w:tabs>
              <w:jc w:val="center"/>
              <w:rPr>
                <w:sz w:val="18"/>
                <w:szCs w:val="18"/>
              </w:rPr>
            </w:pPr>
            <w:r>
              <w:rPr>
                <w:sz w:val="18"/>
                <w:szCs w:val="18"/>
              </w:rPr>
              <w:t>0 – 1 250</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mg/m³</w:t>
            </w:r>
          </w:p>
        </w:tc>
      </w:tr>
      <w:tr>
        <w:tc>
          <w:tcPr>
            <w:tcW w:w="1101" w:type="dxa"/>
            <w:vMerge w:val="restart"/>
          </w:tcPr>
          <w:p>
            <w:pPr>
              <w:pStyle w:val="GesAbsatz"/>
              <w:tabs>
                <w:tab w:val="clear" w:pos="425"/>
              </w:tabs>
              <w:rPr>
                <w:sz w:val="18"/>
                <w:szCs w:val="18"/>
              </w:rPr>
            </w:pPr>
            <w:r>
              <w:rPr>
                <w:sz w:val="18"/>
                <w:szCs w:val="18"/>
              </w:rPr>
              <w:t>NO</w:t>
            </w:r>
            <w:r>
              <w:rPr>
                <w:sz w:val="18"/>
                <w:szCs w:val="18"/>
                <w:vertAlign w:val="subscript"/>
              </w:rPr>
              <w:t>x</w:t>
            </w:r>
          </w:p>
        </w:tc>
        <w:tc>
          <w:tcPr>
            <w:tcW w:w="2976" w:type="dxa"/>
            <w:vMerge w:val="restart"/>
          </w:tcPr>
          <w:p>
            <w:pPr>
              <w:pStyle w:val="GesAbsatz"/>
              <w:tabs>
                <w:tab w:val="clear" w:pos="425"/>
              </w:tabs>
              <w:rPr>
                <w:sz w:val="18"/>
                <w:szCs w:val="18"/>
              </w:rPr>
            </w:pPr>
            <w:r>
              <w:rPr>
                <w:sz w:val="18"/>
                <w:szCs w:val="18"/>
              </w:rPr>
              <w:t>Ultramat 23-7MB2355 – Z – T13</w:t>
            </w:r>
          </w:p>
        </w:tc>
        <w:tc>
          <w:tcPr>
            <w:tcW w:w="1434" w:type="dxa"/>
          </w:tcPr>
          <w:p>
            <w:pPr>
              <w:pStyle w:val="GesAbsatz"/>
              <w:tabs>
                <w:tab w:val="clear" w:pos="425"/>
              </w:tabs>
              <w:jc w:val="center"/>
              <w:rPr>
                <w:sz w:val="18"/>
                <w:szCs w:val="18"/>
              </w:rPr>
            </w:pPr>
            <w:r>
              <w:rPr>
                <w:sz w:val="18"/>
                <w:szCs w:val="18"/>
              </w:rPr>
              <w:t>0 – 150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750</w:t>
            </w:r>
            <w:r>
              <w:rPr>
                <w:sz w:val="18"/>
                <w:szCs w:val="18"/>
                <w:vertAlign w:val="superscript"/>
              </w:rPr>
              <w:t>1</w:t>
            </w:r>
          </w:p>
        </w:tc>
        <w:tc>
          <w:tcPr>
            <w:tcW w:w="1417"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230</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1 150</w:t>
            </w:r>
            <w:r>
              <w:rPr>
                <w:sz w:val="18"/>
                <w:szCs w:val="18"/>
                <w:vertAlign w:val="superscript"/>
              </w:rPr>
              <w:t>2</w:t>
            </w:r>
          </w:p>
        </w:tc>
        <w:tc>
          <w:tcPr>
            <w:tcW w:w="1417" w:type="dxa"/>
          </w:tcPr>
          <w:p>
            <w:pPr>
              <w:pStyle w:val="GesAbsatz"/>
              <w:tabs>
                <w:tab w:val="clear" w:pos="425"/>
              </w:tabs>
              <w:jc w:val="center"/>
              <w:rPr>
                <w:sz w:val="18"/>
                <w:szCs w:val="18"/>
              </w:rPr>
            </w:pPr>
            <w:r>
              <w:rPr>
                <w:sz w:val="18"/>
                <w:szCs w:val="18"/>
              </w:rPr>
              <w:t>0 – 3 067</w:t>
            </w:r>
            <w:r>
              <w:rPr>
                <w:sz w:val="18"/>
                <w:szCs w:val="18"/>
                <w:vertAlign w:val="superscript"/>
              </w:rPr>
              <w:t>2</w:t>
            </w: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23-7MB2357 – Z – T13</w:t>
            </w:r>
          </w:p>
        </w:tc>
        <w:tc>
          <w:tcPr>
            <w:tcW w:w="1434" w:type="dxa"/>
          </w:tcPr>
          <w:p>
            <w:pPr>
              <w:pStyle w:val="GesAbsatz"/>
              <w:tabs>
                <w:tab w:val="clear" w:pos="425"/>
              </w:tabs>
              <w:jc w:val="center"/>
              <w:rPr>
                <w:sz w:val="18"/>
                <w:szCs w:val="18"/>
              </w:rPr>
            </w:pPr>
            <w:r>
              <w:rPr>
                <w:sz w:val="18"/>
                <w:szCs w:val="18"/>
              </w:rPr>
              <w:t>0 – 150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750</w:t>
            </w:r>
            <w:r>
              <w:rPr>
                <w:sz w:val="18"/>
                <w:szCs w:val="18"/>
                <w:vertAlign w:val="superscript"/>
              </w:rPr>
              <w:t>1</w:t>
            </w:r>
          </w:p>
        </w:tc>
        <w:tc>
          <w:tcPr>
            <w:tcW w:w="1417"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230</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1 150</w:t>
            </w:r>
            <w:r>
              <w:rPr>
                <w:sz w:val="18"/>
                <w:szCs w:val="18"/>
                <w:vertAlign w:val="superscript"/>
              </w:rPr>
              <w:t>2</w:t>
            </w:r>
          </w:p>
        </w:tc>
        <w:tc>
          <w:tcPr>
            <w:tcW w:w="1417" w:type="dxa"/>
            <w:tcBorders>
              <w:bottom w:val="single" w:sz="4" w:space="0" w:color="auto"/>
            </w:tcBorders>
          </w:tcPr>
          <w:p>
            <w:pPr>
              <w:pStyle w:val="GesAbsatz"/>
              <w:tabs>
                <w:tab w:val="clear" w:pos="425"/>
              </w:tabs>
              <w:jc w:val="center"/>
              <w:rPr>
                <w:sz w:val="18"/>
                <w:szCs w:val="18"/>
              </w:rPr>
            </w:pPr>
            <w:r>
              <w:rPr>
                <w:sz w:val="18"/>
                <w:szCs w:val="18"/>
              </w:rPr>
              <w:t>0 – 3 067</w:t>
            </w:r>
            <w:r>
              <w:rPr>
                <w:sz w:val="18"/>
                <w:szCs w:val="18"/>
                <w:vertAlign w:val="superscript"/>
              </w:rPr>
              <w:t>2</w:t>
            </w: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23-7MB2358 – Z – T13</w:t>
            </w:r>
          </w:p>
        </w:tc>
        <w:tc>
          <w:tcPr>
            <w:tcW w:w="1434" w:type="dxa"/>
          </w:tcPr>
          <w:p>
            <w:pPr>
              <w:pStyle w:val="GesAbsatz"/>
              <w:tabs>
                <w:tab w:val="clear" w:pos="425"/>
              </w:tabs>
              <w:jc w:val="center"/>
              <w:rPr>
                <w:sz w:val="18"/>
                <w:szCs w:val="18"/>
              </w:rPr>
            </w:pPr>
            <w:r>
              <w:rPr>
                <w:sz w:val="18"/>
                <w:szCs w:val="18"/>
              </w:rPr>
              <w:t>0 – 400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17" w:type="dxa"/>
            <w:tcBorders>
              <w:bottom w:val="nil"/>
            </w:tcBorders>
          </w:tcPr>
          <w:p>
            <w:pPr>
              <w:pStyle w:val="GesAbsatz"/>
              <w:tabs>
                <w:tab w:val="clear" w:pos="425"/>
              </w:tabs>
              <w:jc w:val="center"/>
              <w:rPr>
                <w:sz w:val="18"/>
                <w:szCs w:val="18"/>
              </w:rPr>
            </w:pPr>
            <w:r>
              <w:rPr>
                <w:sz w:val="18"/>
                <w:szCs w:val="18"/>
              </w:rPr>
              <w:t>–</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613</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3 067</w:t>
            </w:r>
            <w:r>
              <w:rPr>
                <w:sz w:val="18"/>
                <w:szCs w:val="18"/>
                <w:vertAlign w:val="superscript"/>
              </w:rPr>
              <w:t>2</w:t>
            </w:r>
          </w:p>
        </w:tc>
        <w:tc>
          <w:tcPr>
            <w:tcW w:w="1417" w:type="dxa"/>
            <w:tcBorders>
              <w:top w:val="nil"/>
            </w:tcBorders>
          </w:tcPr>
          <w:p>
            <w:pPr>
              <w:pStyle w:val="GesAbsatz"/>
              <w:tabs>
                <w:tab w:val="clear" w:pos="425"/>
              </w:tabs>
              <w:jc w:val="center"/>
              <w:rPr>
                <w:sz w:val="18"/>
                <w:szCs w:val="18"/>
              </w:rPr>
            </w:pP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23-7MB2355 – Z – T23</w:t>
            </w:r>
          </w:p>
        </w:tc>
        <w:tc>
          <w:tcPr>
            <w:tcW w:w="1434" w:type="dxa"/>
          </w:tcPr>
          <w:p>
            <w:pPr>
              <w:pStyle w:val="GesAbsatz"/>
              <w:tabs>
                <w:tab w:val="clear" w:pos="425"/>
              </w:tabs>
              <w:jc w:val="center"/>
              <w:rPr>
                <w:sz w:val="18"/>
                <w:szCs w:val="18"/>
              </w:rPr>
            </w:pPr>
            <w:r>
              <w:rPr>
                <w:sz w:val="18"/>
                <w:szCs w:val="18"/>
              </w:rPr>
              <w:t>0 – 150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750</w:t>
            </w:r>
            <w:r>
              <w:rPr>
                <w:sz w:val="18"/>
                <w:szCs w:val="18"/>
                <w:vertAlign w:val="superscript"/>
              </w:rPr>
              <w:t>1</w:t>
            </w:r>
          </w:p>
        </w:tc>
        <w:tc>
          <w:tcPr>
            <w:tcW w:w="1417"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230</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1 150</w:t>
            </w:r>
            <w:r>
              <w:rPr>
                <w:sz w:val="18"/>
                <w:szCs w:val="18"/>
                <w:vertAlign w:val="superscript"/>
              </w:rPr>
              <w:t>2</w:t>
            </w:r>
          </w:p>
        </w:tc>
        <w:tc>
          <w:tcPr>
            <w:tcW w:w="1417" w:type="dxa"/>
          </w:tcPr>
          <w:p>
            <w:pPr>
              <w:pStyle w:val="GesAbsatz"/>
              <w:tabs>
                <w:tab w:val="clear" w:pos="425"/>
              </w:tabs>
              <w:jc w:val="center"/>
              <w:rPr>
                <w:sz w:val="18"/>
                <w:szCs w:val="18"/>
              </w:rPr>
            </w:pPr>
            <w:r>
              <w:rPr>
                <w:sz w:val="18"/>
                <w:szCs w:val="18"/>
              </w:rPr>
              <w:t>0 – 3 067</w:t>
            </w:r>
            <w:r>
              <w:rPr>
                <w:sz w:val="18"/>
                <w:szCs w:val="18"/>
                <w:vertAlign w:val="superscript"/>
              </w:rPr>
              <w:t>2</w:t>
            </w: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23-7MB2357 – Z – T23</w:t>
            </w:r>
          </w:p>
        </w:tc>
        <w:tc>
          <w:tcPr>
            <w:tcW w:w="1434" w:type="dxa"/>
          </w:tcPr>
          <w:p>
            <w:pPr>
              <w:pStyle w:val="GesAbsatz"/>
              <w:tabs>
                <w:tab w:val="clear" w:pos="425"/>
              </w:tabs>
              <w:jc w:val="center"/>
              <w:rPr>
                <w:sz w:val="18"/>
                <w:szCs w:val="18"/>
              </w:rPr>
            </w:pPr>
            <w:r>
              <w:rPr>
                <w:sz w:val="18"/>
                <w:szCs w:val="18"/>
              </w:rPr>
              <w:t>0 – 150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750</w:t>
            </w:r>
            <w:r>
              <w:rPr>
                <w:sz w:val="18"/>
                <w:szCs w:val="18"/>
                <w:vertAlign w:val="superscript"/>
              </w:rPr>
              <w:t>1</w:t>
            </w:r>
          </w:p>
        </w:tc>
        <w:tc>
          <w:tcPr>
            <w:tcW w:w="1417"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230</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1 150</w:t>
            </w:r>
            <w:r>
              <w:rPr>
                <w:sz w:val="18"/>
                <w:szCs w:val="18"/>
                <w:vertAlign w:val="superscript"/>
              </w:rPr>
              <w:t>2</w:t>
            </w:r>
          </w:p>
        </w:tc>
        <w:tc>
          <w:tcPr>
            <w:tcW w:w="1417" w:type="dxa"/>
            <w:tcBorders>
              <w:bottom w:val="single" w:sz="4" w:space="0" w:color="auto"/>
            </w:tcBorders>
          </w:tcPr>
          <w:p>
            <w:pPr>
              <w:pStyle w:val="GesAbsatz"/>
              <w:tabs>
                <w:tab w:val="clear" w:pos="425"/>
              </w:tabs>
              <w:jc w:val="center"/>
              <w:rPr>
                <w:sz w:val="18"/>
                <w:szCs w:val="18"/>
              </w:rPr>
            </w:pPr>
            <w:r>
              <w:rPr>
                <w:sz w:val="18"/>
                <w:szCs w:val="18"/>
              </w:rPr>
              <w:t>0 – 3 067</w:t>
            </w:r>
            <w:r>
              <w:rPr>
                <w:sz w:val="18"/>
                <w:szCs w:val="18"/>
                <w:vertAlign w:val="superscript"/>
              </w:rPr>
              <w:t>2</w:t>
            </w: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23-7MB2358 – Z – T23</w:t>
            </w:r>
          </w:p>
        </w:tc>
        <w:tc>
          <w:tcPr>
            <w:tcW w:w="1434" w:type="dxa"/>
          </w:tcPr>
          <w:p>
            <w:pPr>
              <w:pStyle w:val="GesAbsatz"/>
              <w:tabs>
                <w:tab w:val="clear" w:pos="425"/>
              </w:tabs>
              <w:jc w:val="center"/>
              <w:rPr>
                <w:sz w:val="18"/>
                <w:szCs w:val="18"/>
              </w:rPr>
            </w:pPr>
            <w:r>
              <w:rPr>
                <w:sz w:val="18"/>
                <w:szCs w:val="18"/>
              </w:rPr>
              <w:t>0 – 400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17" w:type="dxa"/>
            <w:tcBorders>
              <w:bottom w:val="nil"/>
            </w:tcBorders>
          </w:tcPr>
          <w:p>
            <w:pPr>
              <w:pStyle w:val="GesAbsatz"/>
              <w:tabs>
                <w:tab w:val="clear" w:pos="425"/>
              </w:tabs>
              <w:jc w:val="center"/>
              <w:rPr>
                <w:sz w:val="18"/>
                <w:szCs w:val="18"/>
              </w:rPr>
            </w:pPr>
            <w:r>
              <w:rPr>
                <w:sz w:val="18"/>
                <w:szCs w:val="18"/>
              </w:rPr>
              <w:t>–</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613</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3 067</w:t>
            </w:r>
            <w:r>
              <w:rPr>
                <w:sz w:val="18"/>
                <w:szCs w:val="18"/>
                <w:vertAlign w:val="superscript"/>
              </w:rPr>
              <w:t>2</w:t>
            </w:r>
          </w:p>
        </w:tc>
        <w:tc>
          <w:tcPr>
            <w:tcW w:w="1417" w:type="dxa"/>
            <w:tcBorders>
              <w:top w:val="nil"/>
            </w:tcBorders>
          </w:tcPr>
          <w:p>
            <w:pPr>
              <w:pStyle w:val="GesAbsatz"/>
              <w:tabs>
                <w:tab w:val="clear" w:pos="425"/>
              </w:tabs>
              <w:jc w:val="center"/>
              <w:rPr>
                <w:sz w:val="18"/>
                <w:szCs w:val="18"/>
              </w:rPr>
            </w:pP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23-7MB2355 – Z – T33</w:t>
            </w:r>
          </w:p>
        </w:tc>
        <w:tc>
          <w:tcPr>
            <w:tcW w:w="1434" w:type="dxa"/>
          </w:tcPr>
          <w:p>
            <w:pPr>
              <w:pStyle w:val="GesAbsatz"/>
              <w:tabs>
                <w:tab w:val="clear" w:pos="425"/>
              </w:tabs>
              <w:jc w:val="center"/>
              <w:rPr>
                <w:sz w:val="18"/>
                <w:szCs w:val="18"/>
              </w:rPr>
            </w:pPr>
            <w:r>
              <w:rPr>
                <w:sz w:val="18"/>
                <w:szCs w:val="18"/>
              </w:rPr>
              <w:t>0 – 150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750</w:t>
            </w:r>
            <w:r>
              <w:rPr>
                <w:sz w:val="18"/>
                <w:szCs w:val="18"/>
                <w:vertAlign w:val="superscript"/>
              </w:rPr>
              <w:t>1</w:t>
            </w:r>
          </w:p>
        </w:tc>
        <w:tc>
          <w:tcPr>
            <w:tcW w:w="1417"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230</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1 150</w:t>
            </w:r>
            <w:r>
              <w:rPr>
                <w:sz w:val="18"/>
                <w:szCs w:val="18"/>
                <w:vertAlign w:val="superscript"/>
              </w:rPr>
              <w:t>2</w:t>
            </w:r>
          </w:p>
        </w:tc>
        <w:tc>
          <w:tcPr>
            <w:tcW w:w="1417" w:type="dxa"/>
          </w:tcPr>
          <w:p>
            <w:pPr>
              <w:pStyle w:val="GesAbsatz"/>
              <w:tabs>
                <w:tab w:val="clear" w:pos="425"/>
              </w:tabs>
              <w:jc w:val="center"/>
              <w:rPr>
                <w:sz w:val="18"/>
                <w:szCs w:val="18"/>
              </w:rPr>
            </w:pPr>
            <w:r>
              <w:rPr>
                <w:sz w:val="18"/>
                <w:szCs w:val="18"/>
              </w:rPr>
              <w:t>0 – 3 067</w:t>
            </w:r>
            <w:r>
              <w:rPr>
                <w:sz w:val="18"/>
                <w:szCs w:val="18"/>
                <w:vertAlign w:val="superscript"/>
              </w:rPr>
              <w:t>2</w:t>
            </w:r>
          </w:p>
        </w:tc>
        <w:tc>
          <w:tcPr>
            <w:tcW w:w="1454" w:type="dxa"/>
            <w:vMerge/>
          </w:tcPr>
          <w:p>
            <w:pPr>
              <w:pStyle w:val="GesAbsatz"/>
              <w:tabs>
                <w:tab w:val="clear" w:pos="425"/>
              </w:tabs>
              <w:jc w:val="center"/>
              <w:rPr>
                <w:sz w:val="18"/>
                <w:szCs w:val="18"/>
              </w:rPr>
            </w:pPr>
          </w:p>
        </w:tc>
      </w:tr>
      <w:tr>
        <w:tc>
          <w:tcPr>
            <w:tcW w:w="1101" w:type="dxa"/>
            <w:vMerge/>
          </w:tcPr>
          <w:p>
            <w:pPr>
              <w:pStyle w:val="GesAbsatz"/>
              <w:tabs>
                <w:tab w:val="clear" w:pos="425"/>
              </w:tabs>
              <w:rPr>
                <w:sz w:val="18"/>
                <w:szCs w:val="18"/>
              </w:rPr>
            </w:pPr>
          </w:p>
        </w:tc>
        <w:tc>
          <w:tcPr>
            <w:tcW w:w="2976" w:type="dxa"/>
            <w:vMerge w:val="restart"/>
          </w:tcPr>
          <w:p>
            <w:pPr>
              <w:pStyle w:val="GesAbsatz"/>
              <w:tabs>
                <w:tab w:val="clear" w:pos="425"/>
              </w:tabs>
              <w:rPr>
                <w:sz w:val="18"/>
                <w:szCs w:val="18"/>
              </w:rPr>
            </w:pPr>
            <w:r>
              <w:rPr>
                <w:sz w:val="18"/>
                <w:szCs w:val="18"/>
              </w:rPr>
              <w:t>Ultramat 23-7MB2357 – Z – T33</w:t>
            </w:r>
          </w:p>
        </w:tc>
        <w:tc>
          <w:tcPr>
            <w:tcW w:w="1434" w:type="dxa"/>
          </w:tcPr>
          <w:p>
            <w:pPr>
              <w:pStyle w:val="GesAbsatz"/>
              <w:tabs>
                <w:tab w:val="clear" w:pos="425"/>
              </w:tabs>
              <w:jc w:val="center"/>
              <w:rPr>
                <w:sz w:val="18"/>
                <w:szCs w:val="18"/>
              </w:rPr>
            </w:pPr>
            <w:r>
              <w:rPr>
                <w:sz w:val="18"/>
                <w:szCs w:val="18"/>
              </w:rPr>
              <w:t>0 – 150</w:t>
            </w:r>
            <w:r>
              <w:rPr>
                <w:sz w:val="18"/>
                <w:szCs w:val="18"/>
                <w:vertAlign w:val="superscript"/>
              </w:rPr>
              <w:t>1</w:t>
            </w:r>
          </w:p>
        </w:tc>
        <w:tc>
          <w:tcPr>
            <w:tcW w:w="1381" w:type="dxa"/>
          </w:tcPr>
          <w:p>
            <w:pPr>
              <w:pStyle w:val="GesAbsatz"/>
              <w:tabs>
                <w:tab w:val="clear" w:pos="425"/>
              </w:tabs>
              <w:jc w:val="center"/>
              <w:rPr>
                <w:sz w:val="18"/>
                <w:szCs w:val="18"/>
              </w:rPr>
            </w:pPr>
            <w:r>
              <w:rPr>
                <w:sz w:val="18"/>
                <w:szCs w:val="18"/>
              </w:rPr>
              <w:t>0 – 750</w:t>
            </w:r>
            <w:r>
              <w:rPr>
                <w:sz w:val="18"/>
                <w:szCs w:val="18"/>
                <w:vertAlign w:val="superscript"/>
              </w:rPr>
              <w:t>1</w:t>
            </w:r>
          </w:p>
        </w:tc>
        <w:tc>
          <w:tcPr>
            <w:tcW w:w="1417" w:type="dxa"/>
          </w:tcPr>
          <w:p>
            <w:pPr>
              <w:pStyle w:val="GesAbsatz"/>
              <w:tabs>
                <w:tab w:val="clear" w:pos="425"/>
              </w:tabs>
              <w:jc w:val="center"/>
              <w:rPr>
                <w:sz w:val="18"/>
                <w:szCs w:val="18"/>
              </w:rPr>
            </w:pPr>
            <w:r>
              <w:rPr>
                <w:sz w:val="18"/>
                <w:szCs w:val="18"/>
              </w:rPr>
              <w:t>0 – 2 000</w:t>
            </w:r>
            <w:r>
              <w:rPr>
                <w:sz w:val="18"/>
                <w:szCs w:val="18"/>
                <w:vertAlign w:val="superscript"/>
              </w:rPr>
              <w:t>1</w:t>
            </w:r>
          </w:p>
        </w:tc>
        <w:tc>
          <w:tcPr>
            <w:tcW w:w="1454" w:type="dxa"/>
            <w:vMerge w:val="restart"/>
          </w:tcPr>
          <w:p>
            <w:pPr>
              <w:pStyle w:val="GesAbsatz"/>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vMerge/>
          </w:tcPr>
          <w:p>
            <w:pPr>
              <w:pStyle w:val="GesAbsatz"/>
              <w:tabs>
                <w:tab w:val="clear" w:pos="425"/>
              </w:tabs>
              <w:rPr>
                <w:sz w:val="18"/>
                <w:szCs w:val="18"/>
              </w:rPr>
            </w:pPr>
          </w:p>
        </w:tc>
        <w:tc>
          <w:tcPr>
            <w:tcW w:w="1434" w:type="dxa"/>
          </w:tcPr>
          <w:p>
            <w:pPr>
              <w:pStyle w:val="GesAbsatz"/>
              <w:tabs>
                <w:tab w:val="clear" w:pos="425"/>
              </w:tabs>
              <w:jc w:val="center"/>
              <w:rPr>
                <w:sz w:val="18"/>
                <w:szCs w:val="18"/>
              </w:rPr>
            </w:pPr>
            <w:r>
              <w:rPr>
                <w:sz w:val="18"/>
                <w:szCs w:val="18"/>
              </w:rPr>
              <w:t>0 – 230</w:t>
            </w:r>
            <w:r>
              <w:rPr>
                <w:sz w:val="18"/>
                <w:szCs w:val="18"/>
                <w:vertAlign w:val="superscript"/>
              </w:rPr>
              <w:t>2</w:t>
            </w:r>
          </w:p>
        </w:tc>
        <w:tc>
          <w:tcPr>
            <w:tcW w:w="1381" w:type="dxa"/>
          </w:tcPr>
          <w:p>
            <w:pPr>
              <w:pStyle w:val="GesAbsatz"/>
              <w:tabs>
                <w:tab w:val="clear" w:pos="425"/>
              </w:tabs>
              <w:jc w:val="center"/>
              <w:rPr>
                <w:sz w:val="18"/>
                <w:szCs w:val="18"/>
              </w:rPr>
            </w:pPr>
            <w:r>
              <w:rPr>
                <w:sz w:val="18"/>
                <w:szCs w:val="18"/>
              </w:rPr>
              <w:t>0 – 1 150</w:t>
            </w:r>
            <w:r>
              <w:rPr>
                <w:sz w:val="18"/>
                <w:szCs w:val="18"/>
                <w:vertAlign w:val="superscript"/>
              </w:rPr>
              <w:t>2</w:t>
            </w:r>
          </w:p>
        </w:tc>
        <w:tc>
          <w:tcPr>
            <w:tcW w:w="1417" w:type="dxa"/>
          </w:tcPr>
          <w:p>
            <w:pPr>
              <w:pStyle w:val="GesAbsatz"/>
              <w:tabs>
                <w:tab w:val="clear" w:pos="425"/>
              </w:tabs>
              <w:jc w:val="center"/>
              <w:rPr>
                <w:sz w:val="18"/>
                <w:szCs w:val="18"/>
              </w:rPr>
            </w:pPr>
            <w:r>
              <w:rPr>
                <w:sz w:val="18"/>
                <w:szCs w:val="18"/>
              </w:rPr>
              <w:t>0 – 3 067</w:t>
            </w:r>
            <w:r>
              <w:rPr>
                <w:sz w:val="18"/>
                <w:szCs w:val="18"/>
                <w:vertAlign w:val="superscript"/>
              </w:rPr>
              <w:t>2</w:t>
            </w:r>
          </w:p>
        </w:tc>
        <w:tc>
          <w:tcPr>
            <w:tcW w:w="1454" w:type="dxa"/>
            <w:vMerge/>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lang w:val="en-US"/>
              </w:rPr>
              <w:lastRenderedPageBreak/>
              <w:t>NO</w:t>
            </w:r>
          </w:p>
        </w:tc>
        <w:tc>
          <w:tcPr>
            <w:tcW w:w="2976" w:type="dxa"/>
          </w:tcPr>
          <w:p>
            <w:pPr>
              <w:pStyle w:val="GesAbsatz"/>
              <w:tabs>
                <w:tab w:val="clear" w:pos="425"/>
              </w:tabs>
              <w:rPr>
                <w:sz w:val="18"/>
                <w:szCs w:val="18"/>
                <w:lang w:val="en-US"/>
              </w:rPr>
            </w:pPr>
            <w:r>
              <w:rPr>
                <w:sz w:val="18"/>
                <w:szCs w:val="18"/>
                <w:lang w:val="en-US"/>
              </w:rPr>
              <w:t>SIPROCESS UV600-7MB2621 – Z – Y17</w:t>
            </w:r>
          </w:p>
        </w:tc>
        <w:tc>
          <w:tcPr>
            <w:tcW w:w="1434" w:type="dxa"/>
          </w:tcPr>
          <w:p>
            <w:pPr>
              <w:pStyle w:val="GesAbsatz"/>
              <w:tabs>
                <w:tab w:val="clear" w:pos="425"/>
              </w:tabs>
              <w:jc w:val="center"/>
              <w:rPr>
                <w:sz w:val="18"/>
                <w:szCs w:val="18"/>
                <w:lang w:val="en-US"/>
              </w:rPr>
            </w:pPr>
            <w:r>
              <w:rPr>
                <w:sz w:val="18"/>
                <w:szCs w:val="18"/>
                <w:lang w:val="en-US"/>
              </w:rPr>
              <w:t>0 – 50</w:t>
            </w:r>
          </w:p>
        </w:tc>
        <w:tc>
          <w:tcPr>
            <w:tcW w:w="1381" w:type="dxa"/>
          </w:tcPr>
          <w:p>
            <w:pPr>
              <w:pStyle w:val="GesAbsatz"/>
              <w:tabs>
                <w:tab w:val="clear" w:pos="425"/>
              </w:tabs>
              <w:jc w:val="center"/>
              <w:rPr>
                <w:sz w:val="18"/>
                <w:szCs w:val="18"/>
                <w:lang w:val="en-US"/>
              </w:rPr>
            </w:pPr>
            <w:r>
              <w:rPr>
                <w:sz w:val="18"/>
                <w:szCs w:val="18"/>
                <w:lang w:val="en-US"/>
              </w:rPr>
              <w:t>0 – 200</w:t>
            </w:r>
          </w:p>
        </w:tc>
        <w:tc>
          <w:tcPr>
            <w:tcW w:w="1417" w:type="dxa"/>
          </w:tcPr>
          <w:p>
            <w:pPr>
              <w:pStyle w:val="GesAbsatz"/>
              <w:tabs>
                <w:tab w:val="clear" w:pos="425"/>
              </w:tabs>
              <w:jc w:val="center"/>
              <w:rPr>
                <w:sz w:val="18"/>
                <w:szCs w:val="18"/>
                <w:lang w:val="en-US"/>
              </w:rPr>
            </w:pPr>
            <w:r>
              <w:rPr>
                <w:sz w:val="18"/>
                <w:szCs w:val="18"/>
                <w:lang w:val="en-US"/>
              </w:rPr>
              <w:t>0 – 2 000</w:t>
            </w:r>
          </w:p>
        </w:tc>
        <w:tc>
          <w:tcPr>
            <w:tcW w:w="1454" w:type="dxa"/>
          </w:tcPr>
          <w:p>
            <w:pPr>
              <w:pStyle w:val="GesAbsatz"/>
              <w:tabs>
                <w:tab w:val="clear" w:pos="425"/>
              </w:tabs>
              <w:jc w:val="center"/>
              <w:rPr>
                <w:sz w:val="18"/>
                <w:szCs w:val="18"/>
                <w:lang w:val="en-US"/>
              </w:rPr>
            </w:pPr>
            <w:r>
              <w:rPr>
                <w:sz w:val="18"/>
                <w:szCs w:val="18"/>
                <w:lang w:val="en-US"/>
              </w:rPr>
              <w:t>mg/m</w:t>
            </w:r>
            <w:r>
              <w:rPr>
                <w:sz w:val="18"/>
                <w:szCs w:val="18"/>
              </w:rPr>
              <w:t>³</w:t>
            </w:r>
          </w:p>
        </w:tc>
      </w:tr>
      <w:tr>
        <w:tc>
          <w:tcPr>
            <w:tcW w:w="1101" w:type="dxa"/>
          </w:tcPr>
          <w:p>
            <w:pPr>
              <w:pStyle w:val="GesAbsatz"/>
              <w:tabs>
                <w:tab w:val="clear" w:pos="425"/>
              </w:tabs>
              <w:rPr>
                <w:sz w:val="18"/>
                <w:szCs w:val="18"/>
                <w:lang w:val="en-US"/>
              </w:rPr>
            </w:pPr>
            <w:r>
              <w:rPr>
                <w:sz w:val="18"/>
                <w:szCs w:val="18"/>
                <w:lang w:val="en-US"/>
              </w:rPr>
              <w:t>NO</w:t>
            </w:r>
            <w:r>
              <w:rPr>
                <w:sz w:val="18"/>
                <w:szCs w:val="18"/>
                <w:vertAlign w:val="subscript"/>
                <w:lang w:val="en-US"/>
              </w:rPr>
              <w:t>2</w:t>
            </w:r>
          </w:p>
        </w:tc>
        <w:tc>
          <w:tcPr>
            <w:tcW w:w="2976" w:type="dxa"/>
          </w:tcPr>
          <w:p>
            <w:pPr>
              <w:pStyle w:val="GesAbsatz"/>
              <w:tabs>
                <w:tab w:val="clear" w:pos="425"/>
              </w:tabs>
              <w:rPr>
                <w:sz w:val="18"/>
                <w:szCs w:val="18"/>
                <w:lang w:val="en-US"/>
              </w:rPr>
            </w:pPr>
            <w:r>
              <w:rPr>
                <w:sz w:val="18"/>
                <w:szCs w:val="18"/>
                <w:lang w:val="en-US"/>
              </w:rPr>
              <w:t>SIPROCESS UV600-7MB2621 – Z – Y17</w:t>
            </w:r>
          </w:p>
        </w:tc>
        <w:tc>
          <w:tcPr>
            <w:tcW w:w="1434" w:type="dxa"/>
          </w:tcPr>
          <w:p>
            <w:pPr>
              <w:pStyle w:val="GesAbsatz"/>
              <w:tabs>
                <w:tab w:val="clear" w:pos="425"/>
              </w:tabs>
              <w:jc w:val="center"/>
              <w:rPr>
                <w:sz w:val="18"/>
                <w:szCs w:val="18"/>
                <w:lang w:val="en-US"/>
              </w:rPr>
            </w:pPr>
            <w:r>
              <w:rPr>
                <w:sz w:val="18"/>
                <w:szCs w:val="18"/>
                <w:lang w:val="en-US"/>
              </w:rPr>
              <w:t>0 – 50</w:t>
            </w:r>
          </w:p>
        </w:tc>
        <w:tc>
          <w:tcPr>
            <w:tcW w:w="1381" w:type="dxa"/>
          </w:tcPr>
          <w:p>
            <w:pPr>
              <w:pStyle w:val="GesAbsatz"/>
              <w:tabs>
                <w:tab w:val="clear" w:pos="425"/>
              </w:tabs>
              <w:jc w:val="center"/>
              <w:rPr>
                <w:sz w:val="18"/>
                <w:szCs w:val="18"/>
                <w:lang w:val="en-US"/>
              </w:rPr>
            </w:pPr>
            <w:r>
              <w:rPr>
                <w:sz w:val="18"/>
                <w:szCs w:val="18"/>
                <w:lang w:val="en-US"/>
              </w:rPr>
              <w:t>0 – 500</w:t>
            </w:r>
          </w:p>
        </w:tc>
        <w:tc>
          <w:tcPr>
            <w:tcW w:w="1417" w:type="dxa"/>
          </w:tcPr>
          <w:p>
            <w:pPr>
              <w:pStyle w:val="GesAbsatz"/>
              <w:tabs>
                <w:tab w:val="clear" w:pos="425"/>
              </w:tabs>
              <w:jc w:val="center"/>
              <w:rPr>
                <w:sz w:val="18"/>
                <w:szCs w:val="18"/>
                <w:lang w:val="en-US"/>
              </w:rPr>
            </w:pPr>
            <w:r>
              <w:rPr>
                <w:sz w:val="18"/>
                <w:szCs w:val="18"/>
                <w:lang w:val="en-US"/>
              </w:rPr>
              <w:t>–</w:t>
            </w:r>
          </w:p>
        </w:tc>
        <w:tc>
          <w:tcPr>
            <w:tcW w:w="1454" w:type="dxa"/>
          </w:tcPr>
          <w:p>
            <w:pPr>
              <w:pStyle w:val="GesAbsatz"/>
              <w:tabs>
                <w:tab w:val="clear" w:pos="425"/>
              </w:tabs>
              <w:jc w:val="center"/>
              <w:rPr>
                <w:sz w:val="18"/>
                <w:szCs w:val="18"/>
                <w:lang w:val="en-US"/>
              </w:rPr>
            </w:pPr>
            <w:r>
              <w:rPr>
                <w:sz w:val="18"/>
                <w:szCs w:val="18"/>
                <w:lang w:val="en-US"/>
              </w:rPr>
              <w:t>mg/m</w:t>
            </w:r>
            <w:r>
              <w:rPr>
                <w:sz w:val="18"/>
                <w:szCs w:val="18"/>
              </w:rPr>
              <w:t>³</w:t>
            </w:r>
          </w:p>
        </w:tc>
      </w:tr>
      <w:tr>
        <w:tc>
          <w:tcPr>
            <w:tcW w:w="1101" w:type="dxa"/>
            <w:vMerge w:val="restart"/>
          </w:tcPr>
          <w:p>
            <w:pPr>
              <w:pStyle w:val="GesAbsatz"/>
              <w:tabs>
                <w:tab w:val="clear" w:pos="425"/>
              </w:tabs>
              <w:rPr>
                <w:sz w:val="18"/>
                <w:szCs w:val="18"/>
                <w:lang w:val="en-US"/>
              </w:rPr>
            </w:pPr>
            <w:r>
              <w:rPr>
                <w:sz w:val="18"/>
                <w:szCs w:val="18"/>
              </w:rPr>
              <w:t>SO</w:t>
            </w:r>
            <w:r>
              <w:rPr>
                <w:sz w:val="18"/>
                <w:szCs w:val="18"/>
                <w:vertAlign w:val="subscript"/>
              </w:rPr>
              <w:t>2</w:t>
            </w:r>
          </w:p>
        </w:tc>
        <w:tc>
          <w:tcPr>
            <w:tcW w:w="2976" w:type="dxa"/>
          </w:tcPr>
          <w:p>
            <w:pPr>
              <w:pStyle w:val="GesAbsatz"/>
              <w:tabs>
                <w:tab w:val="clear" w:pos="425"/>
              </w:tabs>
              <w:rPr>
                <w:sz w:val="18"/>
                <w:szCs w:val="18"/>
                <w:lang w:val="en-US"/>
              </w:rPr>
            </w:pPr>
            <w:r>
              <w:rPr>
                <w:sz w:val="18"/>
                <w:szCs w:val="18"/>
              </w:rPr>
              <w:t>Ultramat 23-7MB2355 – Z – T13</w:t>
            </w:r>
          </w:p>
        </w:tc>
        <w:tc>
          <w:tcPr>
            <w:tcW w:w="1434" w:type="dxa"/>
          </w:tcPr>
          <w:p>
            <w:pPr>
              <w:pStyle w:val="GesAbsatz"/>
              <w:tabs>
                <w:tab w:val="clear" w:pos="425"/>
              </w:tabs>
              <w:jc w:val="center"/>
              <w:rPr>
                <w:sz w:val="18"/>
                <w:szCs w:val="18"/>
                <w:lang w:val="en-US"/>
              </w:rPr>
            </w:pPr>
            <w:r>
              <w:rPr>
                <w:sz w:val="18"/>
                <w:szCs w:val="18"/>
              </w:rPr>
              <w:t>0 – 400</w:t>
            </w:r>
          </w:p>
        </w:tc>
        <w:tc>
          <w:tcPr>
            <w:tcW w:w="1381" w:type="dxa"/>
          </w:tcPr>
          <w:p>
            <w:pPr>
              <w:pStyle w:val="GesAbsatz"/>
              <w:tabs>
                <w:tab w:val="clear" w:pos="425"/>
              </w:tabs>
              <w:jc w:val="center"/>
              <w:rPr>
                <w:sz w:val="18"/>
                <w:szCs w:val="18"/>
                <w:lang w:val="en-US"/>
              </w:rPr>
            </w:pPr>
            <w:r>
              <w:rPr>
                <w:sz w:val="18"/>
                <w:szCs w:val="18"/>
              </w:rPr>
              <w:t>0 – 2 000</w:t>
            </w:r>
          </w:p>
        </w:tc>
        <w:tc>
          <w:tcPr>
            <w:tcW w:w="1417" w:type="dxa"/>
          </w:tcPr>
          <w:p>
            <w:pPr>
              <w:pStyle w:val="GesAbsatz"/>
              <w:tabs>
                <w:tab w:val="clear" w:pos="425"/>
              </w:tabs>
              <w:jc w:val="center"/>
              <w:rPr>
                <w:sz w:val="18"/>
                <w:szCs w:val="18"/>
                <w:lang w:val="en-US"/>
              </w:rPr>
            </w:pPr>
            <w:r>
              <w:rPr>
                <w:sz w:val="18"/>
                <w:szCs w:val="18"/>
              </w:rPr>
              <w:t>0 – 7 000</w:t>
            </w:r>
          </w:p>
        </w:tc>
        <w:tc>
          <w:tcPr>
            <w:tcW w:w="1454" w:type="dxa"/>
          </w:tcPr>
          <w:p>
            <w:pPr>
              <w:pStyle w:val="GesAbsatz"/>
              <w:tabs>
                <w:tab w:val="clear" w:pos="425"/>
              </w:tabs>
              <w:jc w:val="center"/>
              <w:rPr>
                <w:sz w:val="18"/>
                <w:szCs w:val="18"/>
                <w:lang w:val="en-US"/>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23-7MB2357 – Z – T13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23-7MB2358 – Z – T13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23-7MB2355 – Z – T23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23-7MB2357 – Z – T23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23-7MB2358 – Z – T23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23-7MB2355 – Z – T33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23-7MB2357 – Z – T33</w:t>
            </w:r>
          </w:p>
        </w:tc>
        <w:tc>
          <w:tcPr>
            <w:tcW w:w="1434" w:type="dxa"/>
          </w:tcPr>
          <w:p>
            <w:pPr>
              <w:pStyle w:val="GesAbsatz"/>
              <w:tabs>
                <w:tab w:val="clear" w:pos="425"/>
              </w:tabs>
              <w:jc w:val="center"/>
              <w:rPr>
                <w:sz w:val="18"/>
                <w:szCs w:val="18"/>
              </w:rPr>
            </w:pPr>
            <w:r>
              <w:rPr>
                <w:sz w:val="18"/>
                <w:szCs w:val="18"/>
              </w:rPr>
              <w:t>0 – 400</w:t>
            </w:r>
          </w:p>
        </w:tc>
        <w:tc>
          <w:tcPr>
            <w:tcW w:w="1381" w:type="dxa"/>
          </w:tcPr>
          <w:p>
            <w:pPr>
              <w:pStyle w:val="GesAbsatz"/>
              <w:tabs>
                <w:tab w:val="clear" w:pos="425"/>
              </w:tabs>
              <w:jc w:val="center"/>
              <w:rPr>
                <w:sz w:val="18"/>
                <w:szCs w:val="18"/>
              </w:rPr>
            </w:pPr>
            <w:r>
              <w:rPr>
                <w:sz w:val="18"/>
                <w:szCs w:val="18"/>
              </w:rPr>
              <w:t>0 – 2 000</w:t>
            </w:r>
          </w:p>
        </w:tc>
        <w:tc>
          <w:tcPr>
            <w:tcW w:w="1417" w:type="dxa"/>
          </w:tcPr>
          <w:p>
            <w:pPr>
              <w:pStyle w:val="GesAbsatz"/>
              <w:tabs>
                <w:tab w:val="clear" w:pos="425"/>
              </w:tabs>
              <w:jc w:val="center"/>
              <w:rPr>
                <w:sz w:val="18"/>
                <w:szCs w:val="18"/>
              </w:rPr>
            </w:pPr>
            <w:r>
              <w:rPr>
                <w:sz w:val="18"/>
                <w:szCs w:val="18"/>
              </w:rPr>
              <w:t>0 – 7 000</w:t>
            </w:r>
          </w:p>
        </w:tc>
        <w:tc>
          <w:tcPr>
            <w:tcW w:w="1454" w:type="dxa"/>
          </w:tcPr>
          <w:p>
            <w:pPr>
              <w:pStyle w:val="GesAbsatz"/>
              <w:tabs>
                <w:tab w:val="clear" w:pos="425"/>
              </w:tabs>
              <w:jc w:val="center"/>
              <w:rPr>
                <w:sz w:val="18"/>
                <w:szCs w:val="18"/>
              </w:rPr>
            </w:pPr>
            <w:r>
              <w:rPr>
                <w:sz w:val="18"/>
                <w:szCs w:val="18"/>
              </w:rPr>
              <w:t>mg/m³</w:t>
            </w:r>
          </w:p>
        </w:tc>
      </w:tr>
      <w:tr>
        <w:tc>
          <w:tcPr>
            <w:tcW w:w="1101" w:type="dxa"/>
            <w:vMerge/>
          </w:tcPr>
          <w:p>
            <w:pPr>
              <w:pStyle w:val="GesAbsatz"/>
              <w:tabs>
                <w:tab w:val="clear" w:pos="425"/>
              </w:tabs>
              <w:rPr>
                <w:sz w:val="18"/>
                <w:szCs w:val="18"/>
                <w:lang w:val="en-US"/>
              </w:rPr>
            </w:pPr>
          </w:p>
        </w:tc>
        <w:tc>
          <w:tcPr>
            <w:tcW w:w="2976" w:type="dxa"/>
          </w:tcPr>
          <w:p>
            <w:pPr>
              <w:pStyle w:val="GesAbsatz"/>
              <w:tabs>
                <w:tab w:val="clear" w:pos="425"/>
              </w:tabs>
              <w:rPr>
                <w:sz w:val="18"/>
                <w:szCs w:val="18"/>
                <w:lang w:val="en-US"/>
              </w:rPr>
            </w:pPr>
            <w:r>
              <w:rPr>
                <w:sz w:val="18"/>
                <w:szCs w:val="18"/>
                <w:lang w:val="en-US"/>
              </w:rPr>
              <w:t>SIPROCESS UV600-7MB2621 – Z – Y17</w:t>
            </w:r>
          </w:p>
        </w:tc>
        <w:tc>
          <w:tcPr>
            <w:tcW w:w="1434" w:type="dxa"/>
          </w:tcPr>
          <w:p>
            <w:pPr>
              <w:pStyle w:val="GesAbsatz"/>
              <w:tabs>
                <w:tab w:val="clear" w:pos="425"/>
              </w:tabs>
              <w:jc w:val="center"/>
              <w:rPr>
                <w:sz w:val="18"/>
                <w:szCs w:val="18"/>
                <w:lang w:val="en-US"/>
              </w:rPr>
            </w:pPr>
            <w:r>
              <w:rPr>
                <w:sz w:val="18"/>
                <w:szCs w:val="18"/>
                <w:lang w:val="en-US"/>
              </w:rPr>
              <w:t>0 – 75</w:t>
            </w:r>
          </w:p>
        </w:tc>
        <w:tc>
          <w:tcPr>
            <w:tcW w:w="1381" w:type="dxa"/>
          </w:tcPr>
          <w:p>
            <w:pPr>
              <w:pStyle w:val="GesAbsatz"/>
              <w:tabs>
                <w:tab w:val="clear" w:pos="425"/>
              </w:tabs>
              <w:jc w:val="center"/>
              <w:rPr>
                <w:sz w:val="18"/>
                <w:szCs w:val="18"/>
                <w:lang w:val="en-US"/>
              </w:rPr>
            </w:pPr>
            <w:r>
              <w:rPr>
                <w:sz w:val="18"/>
                <w:szCs w:val="18"/>
                <w:lang w:val="en-US"/>
              </w:rPr>
              <w:t>0 – 130</w:t>
            </w:r>
          </w:p>
        </w:tc>
        <w:tc>
          <w:tcPr>
            <w:tcW w:w="1417" w:type="dxa"/>
          </w:tcPr>
          <w:p>
            <w:pPr>
              <w:pStyle w:val="GesAbsatz"/>
              <w:tabs>
                <w:tab w:val="clear" w:pos="425"/>
              </w:tabs>
              <w:jc w:val="center"/>
              <w:rPr>
                <w:sz w:val="18"/>
                <w:szCs w:val="18"/>
                <w:lang w:val="en-US"/>
              </w:rPr>
            </w:pPr>
            <w:r>
              <w:rPr>
                <w:sz w:val="18"/>
                <w:szCs w:val="18"/>
                <w:lang w:val="en-US"/>
              </w:rPr>
              <w:t>0 – 2 000</w:t>
            </w:r>
          </w:p>
        </w:tc>
        <w:tc>
          <w:tcPr>
            <w:tcW w:w="1454" w:type="dxa"/>
          </w:tcPr>
          <w:p>
            <w:pPr>
              <w:pStyle w:val="GesAbsatz"/>
              <w:tabs>
                <w:tab w:val="clear" w:pos="425"/>
              </w:tabs>
              <w:jc w:val="center"/>
              <w:rPr>
                <w:sz w:val="18"/>
                <w:szCs w:val="18"/>
                <w:lang w:val="en-US"/>
              </w:rPr>
            </w:pPr>
            <w:r>
              <w:rPr>
                <w:sz w:val="18"/>
                <w:szCs w:val="18"/>
                <w:lang w:val="en-US"/>
              </w:rPr>
              <w:t>mg/m</w:t>
            </w:r>
            <w:r>
              <w:rPr>
                <w:sz w:val="18"/>
                <w:szCs w:val="18"/>
              </w:rPr>
              <w:t>³</w:t>
            </w:r>
          </w:p>
        </w:tc>
      </w:tr>
      <w:tr>
        <w:tc>
          <w:tcPr>
            <w:tcW w:w="1101" w:type="dxa"/>
            <w:vMerge w:val="restart"/>
          </w:tcPr>
          <w:p>
            <w:pPr>
              <w:pStyle w:val="GesAbsatz"/>
              <w:tabs>
                <w:tab w:val="clear" w:pos="425"/>
              </w:tabs>
              <w:rPr>
                <w:sz w:val="18"/>
                <w:szCs w:val="18"/>
              </w:rPr>
            </w:pPr>
            <w:r>
              <w:rPr>
                <w:sz w:val="18"/>
                <w:szCs w:val="18"/>
              </w:rPr>
              <w:t>O</w:t>
            </w:r>
            <w:r>
              <w:rPr>
                <w:sz w:val="18"/>
                <w:szCs w:val="18"/>
                <w:vertAlign w:val="subscript"/>
              </w:rPr>
              <w:t xml:space="preserve">2, </w:t>
            </w:r>
            <w:r>
              <w:rPr>
                <w:sz w:val="18"/>
                <w:szCs w:val="18"/>
                <w:vertAlign w:val="subscript"/>
              </w:rPr>
              <w:br/>
              <w:t>paramagnetisch</w:t>
            </w:r>
          </w:p>
        </w:tc>
        <w:tc>
          <w:tcPr>
            <w:tcW w:w="2976" w:type="dxa"/>
          </w:tcPr>
          <w:p>
            <w:pPr>
              <w:pStyle w:val="GesAbsatz"/>
              <w:tabs>
                <w:tab w:val="clear" w:pos="425"/>
              </w:tabs>
              <w:rPr>
                <w:sz w:val="18"/>
                <w:szCs w:val="18"/>
              </w:rPr>
            </w:pPr>
            <w:r>
              <w:rPr>
                <w:sz w:val="18"/>
                <w:szCs w:val="18"/>
              </w:rPr>
              <w:t>Ultramat 23-7MB2355 – Z – T13</w:t>
            </w:r>
          </w:p>
        </w:tc>
        <w:tc>
          <w:tcPr>
            <w:tcW w:w="1434" w:type="dxa"/>
          </w:tcPr>
          <w:p>
            <w:pPr>
              <w:pStyle w:val="GesAbsatz"/>
              <w:tabs>
                <w:tab w:val="clear" w:pos="425"/>
              </w:tabs>
              <w:jc w:val="center"/>
              <w:rPr>
                <w:sz w:val="18"/>
                <w:szCs w:val="18"/>
              </w:rPr>
            </w:pPr>
            <w:r>
              <w:rPr>
                <w:sz w:val="18"/>
                <w:szCs w:val="18"/>
              </w:rPr>
              <w:t>0 – 25</w:t>
            </w:r>
          </w:p>
        </w:tc>
        <w:tc>
          <w:tcPr>
            <w:tcW w:w="1381" w:type="dxa"/>
          </w:tcPr>
          <w:p>
            <w:pPr>
              <w:pStyle w:val="GesAbsatz"/>
              <w:tabs>
                <w:tab w:val="clear" w:pos="425"/>
              </w:tabs>
              <w:jc w:val="center"/>
              <w:rPr>
                <w:sz w:val="18"/>
                <w:szCs w:val="18"/>
              </w:rPr>
            </w:pPr>
            <w:r>
              <w:rPr>
                <w:sz w:val="18"/>
                <w:szCs w:val="18"/>
              </w:rPr>
              <w:t>–</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Vol.-%</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23-7MB2357 – Z – T13</w:t>
            </w:r>
          </w:p>
        </w:tc>
        <w:tc>
          <w:tcPr>
            <w:tcW w:w="1434" w:type="dxa"/>
          </w:tcPr>
          <w:p>
            <w:pPr>
              <w:pStyle w:val="GesAbsatz"/>
              <w:tabs>
                <w:tab w:val="clear" w:pos="425"/>
              </w:tabs>
              <w:jc w:val="center"/>
              <w:rPr>
                <w:sz w:val="18"/>
                <w:szCs w:val="18"/>
              </w:rPr>
            </w:pPr>
            <w:r>
              <w:rPr>
                <w:sz w:val="18"/>
                <w:szCs w:val="18"/>
              </w:rPr>
              <w:t>0 – 25</w:t>
            </w:r>
          </w:p>
        </w:tc>
        <w:tc>
          <w:tcPr>
            <w:tcW w:w="1381" w:type="dxa"/>
          </w:tcPr>
          <w:p>
            <w:pPr>
              <w:pStyle w:val="GesAbsatz"/>
              <w:tabs>
                <w:tab w:val="clear" w:pos="425"/>
              </w:tabs>
              <w:jc w:val="center"/>
              <w:rPr>
                <w:sz w:val="18"/>
                <w:szCs w:val="18"/>
              </w:rPr>
            </w:pPr>
            <w:r>
              <w:rPr>
                <w:sz w:val="18"/>
                <w:szCs w:val="18"/>
              </w:rPr>
              <w:t>–</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Vol.-%</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23-7MB2358 – Z – T13</w:t>
            </w:r>
          </w:p>
        </w:tc>
        <w:tc>
          <w:tcPr>
            <w:tcW w:w="1434" w:type="dxa"/>
          </w:tcPr>
          <w:p>
            <w:pPr>
              <w:pStyle w:val="GesAbsatz"/>
              <w:tabs>
                <w:tab w:val="clear" w:pos="425"/>
              </w:tabs>
              <w:jc w:val="center"/>
              <w:rPr>
                <w:sz w:val="18"/>
                <w:szCs w:val="18"/>
              </w:rPr>
            </w:pPr>
            <w:r>
              <w:rPr>
                <w:sz w:val="18"/>
                <w:szCs w:val="18"/>
              </w:rPr>
              <w:t>0 – 25</w:t>
            </w:r>
          </w:p>
        </w:tc>
        <w:tc>
          <w:tcPr>
            <w:tcW w:w="1381" w:type="dxa"/>
          </w:tcPr>
          <w:p>
            <w:pPr>
              <w:pStyle w:val="GesAbsatz"/>
              <w:tabs>
                <w:tab w:val="clear" w:pos="425"/>
              </w:tabs>
              <w:jc w:val="center"/>
              <w:rPr>
                <w:sz w:val="18"/>
                <w:szCs w:val="18"/>
              </w:rPr>
            </w:pPr>
            <w:r>
              <w:rPr>
                <w:sz w:val="18"/>
                <w:szCs w:val="18"/>
              </w:rPr>
              <w:t>–</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Vol.-%</w:t>
            </w:r>
          </w:p>
        </w:tc>
      </w:tr>
      <w:tr>
        <w:tc>
          <w:tcPr>
            <w:tcW w:w="1101" w:type="dxa"/>
            <w:vMerge w:val="restart"/>
          </w:tcPr>
          <w:p>
            <w:pPr>
              <w:pStyle w:val="GesAbsatz"/>
              <w:tabs>
                <w:tab w:val="clear" w:pos="425"/>
              </w:tabs>
              <w:rPr>
                <w:sz w:val="18"/>
                <w:szCs w:val="18"/>
              </w:rPr>
            </w:pPr>
            <w:r>
              <w:rPr>
                <w:sz w:val="18"/>
                <w:szCs w:val="18"/>
              </w:rPr>
              <w:t>O</w:t>
            </w:r>
            <w:r>
              <w:rPr>
                <w:sz w:val="18"/>
                <w:szCs w:val="18"/>
                <w:vertAlign w:val="subscript"/>
              </w:rPr>
              <w:t xml:space="preserve">2, </w:t>
            </w:r>
            <w:r>
              <w:rPr>
                <w:sz w:val="18"/>
                <w:szCs w:val="18"/>
                <w:vertAlign w:val="subscript"/>
              </w:rPr>
              <w:br/>
              <w:t>elektrochemisch</w:t>
            </w:r>
          </w:p>
        </w:tc>
        <w:tc>
          <w:tcPr>
            <w:tcW w:w="2976" w:type="dxa"/>
          </w:tcPr>
          <w:p>
            <w:pPr>
              <w:pStyle w:val="GesAbsatz"/>
              <w:tabs>
                <w:tab w:val="clear" w:pos="425"/>
              </w:tabs>
              <w:rPr>
                <w:sz w:val="18"/>
                <w:szCs w:val="18"/>
              </w:rPr>
            </w:pPr>
            <w:r>
              <w:rPr>
                <w:sz w:val="18"/>
                <w:szCs w:val="18"/>
              </w:rPr>
              <w:t>Ultramat 23-7MB2355 – Z – T23</w:t>
            </w:r>
          </w:p>
        </w:tc>
        <w:tc>
          <w:tcPr>
            <w:tcW w:w="1434" w:type="dxa"/>
          </w:tcPr>
          <w:p>
            <w:pPr>
              <w:pStyle w:val="GesAbsatz"/>
              <w:tabs>
                <w:tab w:val="clear" w:pos="425"/>
              </w:tabs>
              <w:jc w:val="center"/>
              <w:rPr>
                <w:sz w:val="18"/>
                <w:szCs w:val="18"/>
              </w:rPr>
            </w:pPr>
            <w:r>
              <w:rPr>
                <w:sz w:val="18"/>
                <w:szCs w:val="18"/>
              </w:rPr>
              <w:t>0 – 25</w:t>
            </w:r>
          </w:p>
        </w:tc>
        <w:tc>
          <w:tcPr>
            <w:tcW w:w="1381" w:type="dxa"/>
          </w:tcPr>
          <w:p>
            <w:pPr>
              <w:pStyle w:val="GesAbsatz"/>
              <w:tabs>
                <w:tab w:val="clear" w:pos="425"/>
              </w:tabs>
              <w:jc w:val="center"/>
              <w:rPr>
                <w:sz w:val="18"/>
                <w:szCs w:val="18"/>
              </w:rPr>
            </w:pPr>
            <w:r>
              <w:rPr>
                <w:sz w:val="18"/>
                <w:szCs w:val="18"/>
              </w:rPr>
              <w:t>–</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Vol.-%</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23-7MB2357 – Z – T23</w:t>
            </w:r>
          </w:p>
        </w:tc>
        <w:tc>
          <w:tcPr>
            <w:tcW w:w="1434" w:type="dxa"/>
          </w:tcPr>
          <w:p>
            <w:pPr>
              <w:pStyle w:val="GesAbsatz"/>
              <w:tabs>
                <w:tab w:val="clear" w:pos="425"/>
              </w:tabs>
              <w:jc w:val="center"/>
              <w:rPr>
                <w:sz w:val="18"/>
                <w:szCs w:val="18"/>
              </w:rPr>
            </w:pPr>
            <w:r>
              <w:rPr>
                <w:sz w:val="18"/>
                <w:szCs w:val="18"/>
              </w:rPr>
              <w:t>0 – 25</w:t>
            </w:r>
          </w:p>
        </w:tc>
        <w:tc>
          <w:tcPr>
            <w:tcW w:w="1381" w:type="dxa"/>
          </w:tcPr>
          <w:p>
            <w:pPr>
              <w:pStyle w:val="GesAbsatz"/>
              <w:tabs>
                <w:tab w:val="clear" w:pos="425"/>
              </w:tabs>
              <w:jc w:val="center"/>
              <w:rPr>
                <w:sz w:val="18"/>
                <w:szCs w:val="18"/>
              </w:rPr>
            </w:pPr>
            <w:r>
              <w:rPr>
                <w:sz w:val="18"/>
                <w:szCs w:val="18"/>
              </w:rPr>
              <w:t>–</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Vol.-%</w:t>
            </w:r>
          </w:p>
        </w:tc>
      </w:tr>
      <w:tr>
        <w:tc>
          <w:tcPr>
            <w:tcW w:w="1101" w:type="dxa"/>
            <w:vMerge/>
          </w:tcPr>
          <w:p>
            <w:pPr>
              <w:pStyle w:val="GesAbsatz"/>
              <w:tabs>
                <w:tab w:val="clear" w:pos="425"/>
              </w:tabs>
              <w:rPr>
                <w:sz w:val="18"/>
                <w:szCs w:val="18"/>
              </w:rPr>
            </w:pPr>
          </w:p>
        </w:tc>
        <w:tc>
          <w:tcPr>
            <w:tcW w:w="2976" w:type="dxa"/>
          </w:tcPr>
          <w:p>
            <w:pPr>
              <w:pStyle w:val="GesAbsatz"/>
              <w:tabs>
                <w:tab w:val="clear" w:pos="425"/>
              </w:tabs>
              <w:rPr>
                <w:sz w:val="18"/>
                <w:szCs w:val="18"/>
              </w:rPr>
            </w:pPr>
            <w:r>
              <w:rPr>
                <w:sz w:val="18"/>
                <w:szCs w:val="18"/>
              </w:rPr>
              <w:t>Ultramat 23-7MB2358 – Z – T23</w:t>
            </w:r>
          </w:p>
        </w:tc>
        <w:tc>
          <w:tcPr>
            <w:tcW w:w="1434" w:type="dxa"/>
          </w:tcPr>
          <w:p>
            <w:pPr>
              <w:pStyle w:val="GesAbsatz"/>
              <w:tabs>
                <w:tab w:val="clear" w:pos="425"/>
              </w:tabs>
              <w:jc w:val="center"/>
              <w:rPr>
                <w:sz w:val="18"/>
                <w:szCs w:val="18"/>
              </w:rPr>
            </w:pPr>
            <w:r>
              <w:rPr>
                <w:sz w:val="18"/>
                <w:szCs w:val="18"/>
              </w:rPr>
              <w:t>0 – 25</w:t>
            </w:r>
          </w:p>
        </w:tc>
        <w:tc>
          <w:tcPr>
            <w:tcW w:w="1381" w:type="dxa"/>
          </w:tcPr>
          <w:p>
            <w:pPr>
              <w:pStyle w:val="GesAbsatz"/>
              <w:tabs>
                <w:tab w:val="clear" w:pos="425"/>
              </w:tabs>
              <w:jc w:val="center"/>
              <w:rPr>
                <w:sz w:val="18"/>
                <w:szCs w:val="18"/>
              </w:rPr>
            </w:pPr>
            <w:r>
              <w:rPr>
                <w:sz w:val="18"/>
                <w:szCs w:val="18"/>
              </w:rPr>
              <w:t>–</w:t>
            </w:r>
          </w:p>
        </w:tc>
        <w:tc>
          <w:tcPr>
            <w:tcW w:w="1417" w:type="dxa"/>
          </w:tcPr>
          <w:p>
            <w:pPr>
              <w:pStyle w:val="GesAbsatz"/>
              <w:tabs>
                <w:tab w:val="clear" w:pos="425"/>
              </w:tabs>
              <w:jc w:val="center"/>
              <w:rPr>
                <w:sz w:val="18"/>
                <w:szCs w:val="18"/>
              </w:rPr>
            </w:pPr>
            <w:r>
              <w:rPr>
                <w:sz w:val="18"/>
                <w:szCs w:val="18"/>
              </w:rPr>
              <w:t>–</w:t>
            </w:r>
          </w:p>
        </w:tc>
        <w:tc>
          <w:tcPr>
            <w:tcW w:w="1454" w:type="dxa"/>
          </w:tcPr>
          <w:p>
            <w:pPr>
              <w:pStyle w:val="GesAbsatz"/>
              <w:tabs>
                <w:tab w:val="clear" w:pos="425"/>
              </w:tabs>
              <w:jc w:val="center"/>
              <w:rPr>
                <w:sz w:val="18"/>
                <w:szCs w:val="18"/>
              </w:rPr>
            </w:pPr>
            <w:r>
              <w:rPr>
                <w:sz w:val="18"/>
                <w:szCs w:val="18"/>
              </w:rPr>
              <w:t>Vol.-%</w:t>
            </w:r>
          </w:p>
        </w:tc>
      </w:tr>
    </w:tbl>
    <w:p>
      <w:pPr>
        <w:pStyle w:val="GesAbsatz"/>
        <w:rPr>
          <w:sz w:val="18"/>
          <w:szCs w:val="18"/>
        </w:rPr>
      </w:pPr>
      <w:r>
        <w:rPr>
          <w:sz w:val="18"/>
          <w:szCs w:val="18"/>
          <w:vertAlign w:val="superscript"/>
        </w:rPr>
        <w:t>1</w:t>
      </w:r>
      <w:r>
        <w:rPr>
          <w:sz w:val="18"/>
          <w:szCs w:val="18"/>
        </w:rPr>
        <w:t xml:space="preserve"> angegeben als NO</w:t>
      </w:r>
    </w:p>
    <w:p>
      <w:pPr>
        <w:pStyle w:val="GesAbsatz"/>
        <w:rPr>
          <w:sz w:val="18"/>
          <w:szCs w:val="18"/>
        </w:rPr>
      </w:pPr>
      <w:r>
        <w:rPr>
          <w:sz w:val="18"/>
          <w:szCs w:val="18"/>
          <w:vertAlign w:val="superscript"/>
        </w:rPr>
        <w:t>2</w:t>
      </w:r>
      <w:r>
        <w:rPr>
          <w:sz w:val="18"/>
          <w:szCs w:val="18"/>
        </w:rPr>
        <w:t xml:space="preserve"> angegeben als NO</w:t>
      </w:r>
      <w:r>
        <w:rPr>
          <w:sz w:val="18"/>
          <w:szCs w:val="18"/>
          <w:vertAlign w:val="subscript"/>
        </w:rPr>
        <w:t>2</w:t>
      </w:r>
    </w:p>
    <w:p>
      <w:pPr>
        <w:pStyle w:val="GesAbsatz"/>
      </w:pPr>
      <w:r>
        <w:t>Die Eignungsprüfung des Systems Set CEM CERT 7 MB1957 umfasst vier Module, die in Abhängigkeit der jeweiligen Modul-Variante, für die Messung mit folgenden Komponenten ausgestattet sind:</w:t>
      </w:r>
    </w:p>
    <w:tbl>
      <w:tblPr>
        <w:tblStyle w:val="Tabellenraster"/>
        <w:tblW w:w="0" w:type="auto"/>
        <w:tblLook w:val="04A0" w:firstRow="1" w:lastRow="0" w:firstColumn="1" w:lastColumn="0" w:noHBand="0" w:noVBand="1"/>
      </w:tblPr>
      <w:tblGrid>
        <w:gridCol w:w="2228"/>
        <w:gridCol w:w="1837"/>
        <w:gridCol w:w="1846"/>
        <w:gridCol w:w="1854"/>
        <w:gridCol w:w="1863"/>
      </w:tblGrid>
      <w:tr>
        <w:tc>
          <w:tcPr>
            <w:tcW w:w="2235" w:type="dxa"/>
          </w:tcPr>
          <w:p>
            <w:pPr>
              <w:pStyle w:val="GesAbsatz"/>
              <w:tabs>
                <w:tab w:val="clear" w:pos="425"/>
              </w:tabs>
              <w:jc w:val="center"/>
            </w:pPr>
            <w:r>
              <w:t>Modul-Variante</w:t>
            </w:r>
          </w:p>
        </w:tc>
        <w:tc>
          <w:tcPr>
            <w:tcW w:w="1844" w:type="dxa"/>
          </w:tcPr>
          <w:p>
            <w:pPr>
              <w:pStyle w:val="GesAbsatz"/>
              <w:tabs>
                <w:tab w:val="clear" w:pos="425"/>
              </w:tabs>
              <w:jc w:val="center"/>
            </w:pPr>
            <w:r>
              <w:t>Komponente 1</w:t>
            </w:r>
          </w:p>
        </w:tc>
        <w:tc>
          <w:tcPr>
            <w:tcW w:w="1853" w:type="dxa"/>
          </w:tcPr>
          <w:p>
            <w:pPr>
              <w:pStyle w:val="GesAbsatz"/>
              <w:tabs>
                <w:tab w:val="clear" w:pos="425"/>
              </w:tabs>
              <w:jc w:val="center"/>
            </w:pPr>
            <w:r>
              <w:t>Komponente 2</w:t>
            </w:r>
          </w:p>
        </w:tc>
        <w:tc>
          <w:tcPr>
            <w:tcW w:w="1861" w:type="dxa"/>
          </w:tcPr>
          <w:p>
            <w:pPr>
              <w:pStyle w:val="GesAbsatz"/>
              <w:tabs>
                <w:tab w:val="clear" w:pos="425"/>
              </w:tabs>
              <w:jc w:val="center"/>
            </w:pPr>
            <w:r>
              <w:t>Komponente 3</w:t>
            </w:r>
          </w:p>
        </w:tc>
        <w:tc>
          <w:tcPr>
            <w:tcW w:w="1870" w:type="dxa"/>
          </w:tcPr>
          <w:p>
            <w:pPr>
              <w:pStyle w:val="GesAbsatz"/>
              <w:tabs>
                <w:tab w:val="clear" w:pos="425"/>
              </w:tabs>
              <w:jc w:val="center"/>
            </w:pPr>
            <w:r>
              <w:t>Komponente 4</w:t>
            </w:r>
          </w:p>
        </w:tc>
      </w:tr>
      <w:tr>
        <w:tc>
          <w:tcPr>
            <w:tcW w:w="2235" w:type="dxa"/>
          </w:tcPr>
          <w:p>
            <w:pPr>
              <w:pStyle w:val="GesAbsatz"/>
              <w:tabs>
                <w:tab w:val="clear" w:pos="425"/>
              </w:tabs>
            </w:pPr>
            <w:r>
              <w:t>Ultramat 23-7MB2355 – Z – T13</w:t>
            </w:r>
            <w:r>
              <w:rPr>
                <w:vertAlign w:val="superscript"/>
              </w:rPr>
              <w:t>1</w:t>
            </w:r>
          </w:p>
        </w:tc>
        <w:tc>
          <w:tcPr>
            <w:tcW w:w="1844" w:type="dxa"/>
          </w:tcPr>
          <w:p>
            <w:pPr>
              <w:pStyle w:val="GesAbsatz"/>
              <w:tabs>
                <w:tab w:val="clear" w:pos="425"/>
              </w:tabs>
              <w:jc w:val="center"/>
            </w:pPr>
            <w:r>
              <w:t>CO</w:t>
            </w:r>
          </w:p>
        </w:tc>
        <w:tc>
          <w:tcPr>
            <w:tcW w:w="1853" w:type="dxa"/>
          </w:tcPr>
          <w:p>
            <w:pPr>
              <w:pStyle w:val="GesAbsatz"/>
              <w:tabs>
                <w:tab w:val="clear" w:pos="425"/>
              </w:tabs>
              <w:jc w:val="center"/>
            </w:pPr>
            <w:r>
              <w:t>NO</w:t>
            </w:r>
          </w:p>
        </w:tc>
        <w:tc>
          <w:tcPr>
            <w:tcW w:w="1861" w:type="dxa"/>
          </w:tcPr>
          <w:p>
            <w:pPr>
              <w:pStyle w:val="GesAbsatz"/>
              <w:tabs>
                <w:tab w:val="clear" w:pos="425"/>
              </w:tabs>
              <w:jc w:val="center"/>
            </w:pPr>
            <w:r>
              <w:t>SO</w:t>
            </w:r>
            <w:r>
              <w:rPr>
                <w:vertAlign w:val="subscript"/>
              </w:rPr>
              <w:t>2</w:t>
            </w:r>
          </w:p>
        </w:tc>
        <w:tc>
          <w:tcPr>
            <w:tcW w:w="1870" w:type="dxa"/>
          </w:tcPr>
          <w:p>
            <w:pPr>
              <w:pStyle w:val="GesAbsatz"/>
              <w:tabs>
                <w:tab w:val="clear" w:pos="425"/>
              </w:tabs>
              <w:jc w:val="center"/>
            </w:pPr>
            <w:r>
              <w:t>O</w:t>
            </w:r>
            <w:r>
              <w:rPr>
                <w:vertAlign w:val="subscript"/>
              </w:rPr>
              <w:t>2, paramagnetisch</w:t>
            </w:r>
          </w:p>
        </w:tc>
      </w:tr>
      <w:tr>
        <w:tc>
          <w:tcPr>
            <w:tcW w:w="2235" w:type="dxa"/>
          </w:tcPr>
          <w:p>
            <w:pPr>
              <w:pStyle w:val="GesAbsatz"/>
              <w:tabs>
                <w:tab w:val="clear" w:pos="425"/>
              </w:tabs>
            </w:pPr>
            <w:r>
              <w:t>Ultramat 23-7MB2355 – Z – T23</w:t>
            </w:r>
            <w:r>
              <w:rPr>
                <w:vertAlign w:val="superscript"/>
              </w:rPr>
              <w:t>1</w:t>
            </w:r>
          </w:p>
        </w:tc>
        <w:tc>
          <w:tcPr>
            <w:tcW w:w="1844" w:type="dxa"/>
          </w:tcPr>
          <w:p>
            <w:pPr>
              <w:pStyle w:val="GesAbsatz"/>
              <w:tabs>
                <w:tab w:val="clear" w:pos="425"/>
              </w:tabs>
              <w:jc w:val="center"/>
            </w:pPr>
            <w:r>
              <w:t>CO</w:t>
            </w:r>
          </w:p>
        </w:tc>
        <w:tc>
          <w:tcPr>
            <w:tcW w:w="1853" w:type="dxa"/>
          </w:tcPr>
          <w:p>
            <w:pPr>
              <w:pStyle w:val="GesAbsatz"/>
              <w:tabs>
                <w:tab w:val="clear" w:pos="425"/>
              </w:tabs>
              <w:jc w:val="center"/>
            </w:pPr>
            <w:r>
              <w:t>NO</w:t>
            </w:r>
          </w:p>
        </w:tc>
        <w:tc>
          <w:tcPr>
            <w:tcW w:w="1861" w:type="dxa"/>
          </w:tcPr>
          <w:p>
            <w:pPr>
              <w:pStyle w:val="GesAbsatz"/>
              <w:tabs>
                <w:tab w:val="clear" w:pos="425"/>
              </w:tabs>
              <w:jc w:val="center"/>
            </w:pPr>
            <w:r>
              <w:t>SO</w:t>
            </w:r>
            <w:r>
              <w:rPr>
                <w:vertAlign w:val="subscript"/>
              </w:rPr>
              <w:t>2</w:t>
            </w:r>
          </w:p>
        </w:tc>
        <w:tc>
          <w:tcPr>
            <w:tcW w:w="1870" w:type="dxa"/>
          </w:tcPr>
          <w:p>
            <w:pPr>
              <w:pStyle w:val="GesAbsatz"/>
              <w:tabs>
                <w:tab w:val="clear" w:pos="425"/>
              </w:tabs>
              <w:jc w:val="center"/>
            </w:pPr>
            <w:r>
              <w:t>O</w:t>
            </w:r>
            <w:r>
              <w:rPr>
                <w:vertAlign w:val="subscript"/>
              </w:rPr>
              <w:t>2, elektrochemisch</w:t>
            </w:r>
          </w:p>
        </w:tc>
      </w:tr>
      <w:tr>
        <w:tc>
          <w:tcPr>
            <w:tcW w:w="2235" w:type="dxa"/>
          </w:tcPr>
          <w:p>
            <w:pPr>
              <w:pStyle w:val="GesAbsatz"/>
              <w:tabs>
                <w:tab w:val="clear" w:pos="425"/>
              </w:tabs>
            </w:pPr>
            <w:r>
              <w:t>Ultramat 23-7MB2355 – Z – T33</w:t>
            </w:r>
            <w:r>
              <w:rPr>
                <w:vertAlign w:val="superscript"/>
              </w:rPr>
              <w:t>1</w:t>
            </w:r>
          </w:p>
        </w:tc>
        <w:tc>
          <w:tcPr>
            <w:tcW w:w="1844" w:type="dxa"/>
          </w:tcPr>
          <w:p>
            <w:pPr>
              <w:pStyle w:val="GesAbsatz"/>
              <w:tabs>
                <w:tab w:val="clear" w:pos="425"/>
              </w:tabs>
              <w:jc w:val="center"/>
            </w:pPr>
            <w:r>
              <w:t>CO</w:t>
            </w:r>
          </w:p>
        </w:tc>
        <w:tc>
          <w:tcPr>
            <w:tcW w:w="1853" w:type="dxa"/>
          </w:tcPr>
          <w:p>
            <w:pPr>
              <w:pStyle w:val="GesAbsatz"/>
              <w:tabs>
                <w:tab w:val="clear" w:pos="425"/>
              </w:tabs>
              <w:jc w:val="center"/>
            </w:pPr>
            <w:r>
              <w:t>NO</w:t>
            </w:r>
          </w:p>
        </w:tc>
        <w:tc>
          <w:tcPr>
            <w:tcW w:w="1861" w:type="dxa"/>
          </w:tcPr>
          <w:p>
            <w:pPr>
              <w:pStyle w:val="GesAbsatz"/>
              <w:tabs>
                <w:tab w:val="clear" w:pos="425"/>
              </w:tabs>
              <w:jc w:val="center"/>
            </w:pPr>
            <w:r>
              <w:t>SO</w:t>
            </w:r>
            <w:r>
              <w:rPr>
                <w:vertAlign w:val="subscript"/>
              </w:rPr>
              <w:t>2</w:t>
            </w:r>
          </w:p>
        </w:tc>
        <w:tc>
          <w:tcPr>
            <w:tcW w:w="1870" w:type="dxa"/>
          </w:tcPr>
          <w:p>
            <w:pPr>
              <w:pStyle w:val="GesAbsatz"/>
              <w:tabs>
                <w:tab w:val="clear" w:pos="425"/>
              </w:tabs>
              <w:jc w:val="center"/>
            </w:pPr>
            <w:r>
              <w:t>–</w:t>
            </w:r>
          </w:p>
        </w:tc>
      </w:tr>
      <w:tr>
        <w:tc>
          <w:tcPr>
            <w:tcW w:w="2235" w:type="dxa"/>
          </w:tcPr>
          <w:p>
            <w:pPr>
              <w:pStyle w:val="GesAbsatz"/>
              <w:tabs>
                <w:tab w:val="clear" w:pos="425"/>
              </w:tabs>
            </w:pPr>
            <w:r>
              <w:t>Ultramat 23-7MB2357 – Z – T13</w:t>
            </w:r>
            <w:r>
              <w:rPr>
                <w:vertAlign w:val="superscript"/>
              </w:rPr>
              <w:t>2</w:t>
            </w:r>
          </w:p>
        </w:tc>
        <w:tc>
          <w:tcPr>
            <w:tcW w:w="1844" w:type="dxa"/>
          </w:tcPr>
          <w:p>
            <w:pPr>
              <w:pStyle w:val="GesAbsatz"/>
              <w:tabs>
                <w:tab w:val="clear" w:pos="425"/>
              </w:tabs>
              <w:jc w:val="center"/>
            </w:pPr>
            <w:r>
              <w:t>CO</w:t>
            </w:r>
          </w:p>
        </w:tc>
        <w:tc>
          <w:tcPr>
            <w:tcW w:w="1853" w:type="dxa"/>
          </w:tcPr>
          <w:p>
            <w:pPr>
              <w:pStyle w:val="GesAbsatz"/>
              <w:tabs>
                <w:tab w:val="clear" w:pos="425"/>
              </w:tabs>
              <w:jc w:val="center"/>
            </w:pPr>
            <w:r>
              <w:t>NO</w:t>
            </w:r>
          </w:p>
        </w:tc>
        <w:tc>
          <w:tcPr>
            <w:tcW w:w="1861" w:type="dxa"/>
          </w:tcPr>
          <w:p>
            <w:pPr>
              <w:pStyle w:val="GesAbsatz"/>
              <w:tabs>
                <w:tab w:val="clear" w:pos="425"/>
              </w:tabs>
              <w:jc w:val="center"/>
            </w:pPr>
            <w:r>
              <w:t>SO</w:t>
            </w:r>
            <w:r>
              <w:rPr>
                <w:vertAlign w:val="subscript"/>
              </w:rPr>
              <w:t>2</w:t>
            </w:r>
          </w:p>
        </w:tc>
        <w:tc>
          <w:tcPr>
            <w:tcW w:w="1870" w:type="dxa"/>
          </w:tcPr>
          <w:p>
            <w:pPr>
              <w:pStyle w:val="GesAbsatz"/>
              <w:tabs>
                <w:tab w:val="clear" w:pos="425"/>
              </w:tabs>
              <w:jc w:val="center"/>
            </w:pPr>
            <w:r>
              <w:t>O</w:t>
            </w:r>
            <w:r>
              <w:rPr>
                <w:vertAlign w:val="subscript"/>
              </w:rPr>
              <w:t>2, paramagnetisch</w:t>
            </w:r>
          </w:p>
        </w:tc>
      </w:tr>
      <w:tr>
        <w:tc>
          <w:tcPr>
            <w:tcW w:w="2235" w:type="dxa"/>
          </w:tcPr>
          <w:p>
            <w:pPr>
              <w:pStyle w:val="GesAbsatz"/>
              <w:tabs>
                <w:tab w:val="clear" w:pos="425"/>
              </w:tabs>
            </w:pPr>
            <w:r>
              <w:t>Ultramat 23-7MB2357 – Z – T23</w:t>
            </w:r>
            <w:r>
              <w:rPr>
                <w:vertAlign w:val="superscript"/>
              </w:rPr>
              <w:t>2</w:t>
            </w:r>
          </w:p>
        </w:tc>
        <w:tc>
          <w:tcPr>
            <w:tcW w:w="1844" w:type="dxa"/>
          </w:tcPr>
          <w:p>
            <w:pPr>
              <w:pStyle w:val="GesAbsatz"/>
              <w:tabs>
                <w:tab w:val="clear" w:pos="425"/>
              </w:tabs>
              <w:jc w:val="center"/>
            </w:pPr>
            <w:r>
              <w:t>CO</w:t>
            </w:r>
          </w:p>
        </w:tc>
        <w:tc>
          <w:tcPr>
            <w:tcW w:w="1853" w:type="dxa"/>
          </w:tcPr>
          <w:p>
            <w:pPr>
              <w:pStyle w:val="GesAbsatz"/>
              <w:tabs>
                <w:tab w:val="clear" w:pos="425"/>
              </w:tabs>
              <w:jc w:val="center"/>
            </w:pPr>
            <w:r>
              <w:t>NO</w:t>
            </w:r>
          </w:p>
        </w:tc>
        <w:tc>
          <w:tcPr>
            <w:tcW w:w="1861" w:type="dxa"/>
          </w:tcPr>
          <w:p>
            <w:pPr>
              <w:pStyle w:val="GesAbsatz"/>
              <w:tabs>
                <w:tab w:val="clear" w:pos="425"/>
              </w:tabs>
              <w:jc w:val="center"/>
            </w:pPr>
            <w:r>
              <w:t>SO</w:t>
            </w:r>
            <w:r>
              <w:rPr>
                <w:vertAlign w:val="subscript"/>
              </w:rPr>
              <w:t>2</w:t>
            </w:r>
          </w:p>
        </w:tc>
        <w:tc>
          <w:tcPr>
            <w:tcW w:w="1870" w:type="dxa"/>
          </w:tcPr>
          <w:p>
            <w:pPr>
              <w:pStyle w:val="GesAbsatz"/>
              <w:tabs>
                <w:tab w:val="clear" w:pos="425"/>
              </w:tabs>
              <w:jc w:val="center"/>
            </w:pPr>
            <w:r>
              <w:t>O</w:t>
            </w:r>
            <w:r>
              <w:rPr>
                <w:vertAlign w:val="subscript"/>
              </w:rPr>
              <w:t>2, elektrochemisch</w:t>
            </w:r>
          </w:p>
        </w:tc>
      </w:tr>
      <w:tr>
        <w:tc>
          <w:tcPr>
            <w:tcW w:w="2235" w:type="dxa"/>
          </w:tcPr>
          <w:p>
            <w:pPr>
              <w:pStyle w:val="GesAbsatz"/>
              <w:tabs>
                <w:tab w:val="clear" w:pos="425"/>
              </w:tabs>
            </w:pPr>
            <w:r>
              <w:t>Ultramat 23-7MB2357 – Z – T33</w:t>
            </w:r>
            <w:r>
              <w:rPr>
                <w:vertAlign w:val="superscript"/>
              </w:rPr>
              <w:t>2</w:t>
            </w:r>
          </w:p>
        </w:tc>
        <w:tc>
          <w:tcPr>
            <w:tcW w:w="1844" w:type="dxa"/>
          </w:tcPr>
          <w:p>
            <w:pPr>
              <w:pStyle w:val="GesAbsatz"/>
              <w:tabs>
                <w:tab w:val="clear" w:pos="425"/>
              </w:tabs>
              <w:jc w:val="center"/>
            </w:pPr>
            <w:r>
              <w:t>CO</w:t>
            </w:r>
          </w:p>
        </w:tc>
        <w:tc>
          <w:tcPr>
            <w:tcW w:w="1853" w:type="dxa"/>
          </w:tcPr>
          <w:p>
            <w:pPr>
              <w:pStyle w:val="GesAbsatz"/>
              <w:tabs>
                <w:tab w:val="clear" w:pos="425"/>
              </w:tabs>
              <w:jc w:val="center"/>
            </w:pPr>
            <w:r>
              <w:t>NO</w:t>
            </w:r>
          </w:p>
        </w:tc>
        <w:tc>
          <w:tcPr>
            <w:tcW w:w="1861" w:type="dxa"/>
          </w:tcPr>
          <w:p>
            <w:pPr>
              <w:pStyle w:val="GesAbsatz"/>
              <w:tabs>
                <w:tab w:val="clear" w:pos="425"/>
              </w:tabs>
              <w:jc w:val="center"/>
            </w:pPr>
            <w:r>
              <w:t>SO</w:t>
            </w:r>
            <w:r>
              <w:rPr>
                <w:vertAlign w:val="subscript"/>
              </w:rPr>
              <w:t>2</w:t>
            </w:r>
          </w:p>
        </w:tc>
        <w:tc>
          <w:tcPr>
            <w:tcW w:w="1870" w:type="dxa"/>
          </w:tcPr>
          <w:p>
            <w:pPr>
              <w:pStyle w:val="GesAbsatz"/>
              <w:tabs>
                <w:tab w:val="clear" w:pos="425"/>
              </w:tabs>
              <w:jc w:val="center"/>
            </w:pPr>
            <w:r>
              <w:t>–</w:t>
            </w:r>
          </w:p>
        </w:tc>
      </w:tr>
      <w:tr>
        <w:tc>
          <w:tcPr>
            <w:tcW w:w="2235" w:type="dxa"/>
          </w:tcPr>
          <w:p>
            <w:pPr>
              <w:pStyle w:val="GesAbsatz"/>
              <w:tabs>
                <w:tab w:val="clear" w:pos="425"/>
              </w:tabs>
              <w:rPr>
                <w:lang w:val="en-US"/>
              </w:rPr>
            </w:pPr>
            <w:r>
              <w:rPr>
                <w:lang w:val="en-US"/>
              </w:rPr>
              <w:t>Ultramat 23-7MB2358 – Z – T13</w:t>
            </w:r>
            <w:r>
              <w:rPr>
                <w:vertAlign w:val="superscript"/>
                <w:lang w:val="en-US"/>
              </w:rPr>
              <w:t>3</w:t>
            </w:r>
          </w:p>
        </w:tc>
        <w:tc>
          <w:tcPr>
            <w:tcW w:w="1844" w:type="dxa"/>
          </w:tcPr>
          <w:p>
            <w:pPr>
              <w:pStyle w:val="GesAbsatz"/>
              <w:tabs>
                <w:tab w:val="clear" w:pos="425"/>
              </w:tabs>
              <w:jc w:val="center"/>
              <w:rPr>
                <w:lang w:val="en-US"/>
              </w:rPr>
            </w:pPr>
            <w:r>
              <w:rPr>
                <w:lang w:val="en-US"/>
              </w:rPr>
              <w:t>CO</w:t>
            </w:r>
          </w:p>
        </w:tc>
        <w:tc>
          <w:tcPr>
            <w:tcW w:w="1853" w:type="dxa"/>
          </w:tcPr>
          <w:p>
            <w:pPr>
              <w:pStyle w:val="GesAbsatz"/>
              <w:tabs>
                <w:tab w:val="clear" w:pos="425"/>
              </w:tabs>
              <w:jc w:val="center"/>
              <w:rPr>
                <w:lang w:val="en-US"/>
              </w:rPr>
            </w:pPr>
            <w:r>
              <w:rPr>
                <w:lang w:val="en-US"/>
              </w:rPr>
              <w:t>NO</w:t>
            </w:r>
          </w:p>
        </w:tc>
        <w:tc>
          <w:tcPr>
            <w:tcW w:w="1861" w:type="dxa"/>
          </w:tcPr>
          <w:p>
            <w:pPr>
              <w:pStyle w:val="GesAbsatz"/>
              <w:tabs>
                <w:tab w:val="clear" w:pos="425"/>
              </w:tabs>
              <w:jc w:val="center"/>
              <w:rPr>
                <w:lang w:val="en-US"/>
              </w:rPr>
            </w:pPr>
            <w:r>
              <w:rPr>
                <w:lang w:val="en-US"/>
              </w:rPr>
              <w:t>SO</w:t>
            </w:r>
            <w:r>
              <w:rPr>
                <w:vertAlign w:val="subscript"/>
                <w:lang w:val="en-US"/>
              </w:rPr>
              <w:t>2</w:t>
            </w:r>
          </w:p>
        </w:tc>
        <w:tc>
          <w:tcPr>
            <w:tcW w:w="1870" w:type="dxa"/>
          </w:tcPr>
          <w:p>
            <w:pPr>
              <w:pStyle w:val="GesAbsatz"/>
              <w:tabs>
                <w:tab w:val="clear" w:pos="425"/>
              </w:tabs>
              <w:jc w:val="center"/>
              <w:rPr>
                <w:lang w:val="en-US"/>
              </w:rPr>
            </w:pPr>
            <w:r>
              <w:rPr>
                <w:lang w:val="en-US"/>
              </w:rPr>
              <w:t>O</w:t>
            </w:r>
            <w:r>
              <w:rPr>
                <w:vertAlign w:val="subscript"/>
                <w:lang w:val="en-US"/>
              </w:rPr>
              <w:t xml:space="preserve">2, </w:t>
            </w:r>
            <w:r>
              <w:rPr>
                <w:vertAlign w:val="subscript"/>
              </w:rPr>
              <w:t>paramagnetisch</w:t>
            </w:r>
          </w:p>
        </w:tc>
      </w:tr>
      <w:tr>
        <w:tc>
          <w:tcPr>
            <w:tcW w:w="2235" w:type="dxa"/>
          </w:tcPr>
          <w:p>
            <w:pPr>
              <w:pStyle w:val="GesAbsatz"/>
              <w:tabs>
                <w:tab w:val="clear" w:pos="425"/>
              </w:tabs>
              <w:rPr>
                <w:lang w:val="en-US"/>
              </w:rPr>
            </w:pPr>
            <w:r>
              <w:rPr>
                <w:lang w:val="en-US"/>
              </w:rPr>
              <w:t>Ultramat 23-7MB2358 – Z – T23</w:t>
            </w:r>
            <w:r>
              <w:rPr>
                <w:vertAlign w:val="superscript"/>
                <w:lang w:val="en-US"/>
              </w:rPr>
              <w:t>3</w:t>
            </w:r>
          </w:p>
        </w:tc>
        <w:tc>
          <w:tcPr>
            <w:tcW w:w="1844" w:type="dxa"/>
          </w:tcPr>
          <w:p>
            <w:pPr>
              <w:pStyle w:val="GesAbsatz"/>
              <w:tabs>
                <w:tab w:val="clear" w:pos="425"/>
              </w:tabs>
              <w:jc w:val="center"/>
              <w:rPr>
                <w:lang w:val="en-US"/>
              </w:rPr>
            </w:pPr>
            <w:r>
              <w:rPr>
                <w:lang w:val="en-US"/>
              </w:rPr>
              <w:t>CO</w:t>
            </w:r>
          </w:p>
        </w:tc>
        <w:tc>
          <w:tcPr>
            <w:tcW w:w="1853" w:type="dxa"/>
          </w:tcPr>
          <w:p>
            <w:pPr>
              <w:pStyle w:val="GesAbsatz"/>
              <w:tabs>
                <w:tab w:val="clear" w:pos="425"/>
              </w:tabs>
              <w:jc w:val="center"/>
              <w:rPr>
                <w:lang w:val="en-US"/>
              </w:rPr>
            </w:pPr>
            <w:r>
              <w:rPr>
                <w:lang w:val="en-US"/>
              </w:rPr>
              <w:t>NO</w:t>
            </w:r>
          </w:p>
        </w:tc>
        <w:tc>
          <w:tcPr>
            <w:tcW w:w="1861" w:type="dxa"/>
          </w:tcPr>
          <w:p>
            <w:pPr>
              <w:pStyle w:val="GesAbsatz"/>
              <w:tabs>
                <w:tab w:val="clear" w:pos="425"/>
              </w:tabs>
              <w:jc w:val="center"/>
              <w:rPr>
                <w:lang w:val="en-US"/>
              </w:rPr>
            </w:pPr>
            <w:r>
              <w:rPr>
                <w:lang w:val="en-US"/>
              </w:rPr>
              <w:t>SO</w:t>
            </w:r>
            <w:r>
              <w:rPr>
                <w:vertAlign w:val="subscript"/>
                <w:lang w:val="en-US"/>
              </w:rPr>
              <w:t>2</w:t>
            </w:r>
          </w:p>
        </w:tc>
        <w:tc>
          <w:tcPr>
            <w:tcW w:w="1870" w:type="dxa"/>
          </w:tcPr>
          <w:p>
            <w:pPr>
              <w:pStyle w:val="GesAbsatz"/>
              <w:tabs>
                <w:tab w:val="clear" w:pos="425"/>
              </w:tabs>
              <w:jc w:val="center"/>
              <w:rPr>
                <w:lang w:val="en-US"/>
              </w:rPr>
            </w:pPr>
            <w:r>
              <w:rPr>
                <w:lang w:val="en-US"/>
              </w:rPr>
              <w:t>O</w:t>
            </w:r>
            <w:r>
              <w:rPr>
                <w:vertAlign w:val="subscript"/>
                <w:lang w:val="en-US"/>
              </w:rPr>
              <w:t xml:space="preserve">2, </w:t>
            </w:r>
            <w:r>
              <w:rPr>
                <w:vertAlign w:val="subscript"/>
              </w:rPr>
              <w:t>elektrochemisch</w:t>
            </w:r>
          </w:p>
        </w:tc>
      </w:tr>
      <w:tr>
        <w:tc>
          <w:tcPr>
            <w:tcW w:w="2235" w:type="dxa"/>
          </w:tcPr>
          <w:p>
            <w:pPr>
              <w:pStyle w:val="GesAbsatz"/>
              <w:tabs>
                <w:tab w:val="clear" w:pos="425"/>
              </w:tabs>
              <w:rPr>
                <w:lang w:val="en-US"/>
              </w:rPr>
            </w:pPr>
            <w:r>
              <w:rPr>
                <w:lang w:val="en-US"/>
              </w:rPr>
              <w:t>SIPROCESS UV600-7MB2621 – Z – Y17</w:t>
            </w:r>
          </w:p>
        </w:tc>
        <w:tc>
          <w:tcPr>
            <w:tcW w:w="1844" w:type="dxa"/>
          </w:tcPr>
          <w:p>
            <w:pPr>
              <w:pStyle w:val="GesAbsatz"/>
              <w:tabs>
                <w:tab w:val="clear" w:pos="425"/>
              </w:tabs>
              <w:jc w:val="center"/>
              <w:rPr>
                <w:lang w:val="en-US"/>
              </w:rPr>
            </w:pPr>
            <w:r>
              <w:rPr>
                <w:lang w:val="en-US"/>
              </w:rPr>
              <w:t>NO</w:t>
            </w:r>
          </w:p>
        </w:tc>
        <w:tc>
          <w:tcPr>
            <w:tcW w:w="1853" w:type="dxa"/>
          </w:tcPr>
          <w:p>
            <w:pPr>
              <w:pStyle w:val="GesAbsatz"/>
              <w:tabs>
                <w:tab w:val="clear" w:pos="425"/>
              </w:tabs>
              <w:jc w:val="center"/>
              <w:rPr>
                <w:lang w:val="en-US"/>
              </w:rPr>
            </w:pPr>
            <w:r>
              <w:rPr>
                <w:lang w:val="en-US"/>
              </w:rPr>
              <w:t>NO</w:t>
            </w:r>
            <w:r>
              <w:rPr>
                <w:vertAlign w:val="subscript"/>
                <w:lang w:val="en-US"/>
              </w:rPr>
              <w:t>2</w:t>
            </w:r>
          </w:p>
        </w:tc>
        <w:tc>
          <w:tcPr>
            <w:tcW w:w="1861" w:type="dxa"/>
          </w:tcPr>
          <w:p>
            <w:pPr>
              <w:pStyle w:val="GesAbsatz"/>
              <w:tabs>
                <w:tab w:val="clear" w:pos="425"/>
              </w:tabs>
              <w:jc w:val="center"/>
              <w:rPr>
                <w:lang w:val="en-US"/>
              </w:rPr>
            </w:pPr>
            <w:r>
              <w:rPr>
                <w:lang w:val="en-US"/>
              </w:rPr>
              <w:t>SO</w:t>
            </w:r>
            <w:r>
              <w:rPr>
                <w:vertAlign w:val="subscript"/>
                <w:lang w:val="en-US"/>
              </w:rPr>
              <w:t>2</w:t>
            </w:r>
          </w:p>
        </w:tc>
        <w:tc>
          <w:tcPr>
            <w:tcW w:w="1870" w:type="dxa"/>
          </w:tcPr>
          <w:p>
            <w:pPr>
              <w:pStyle w:val="GesAbsatz"/>
              <w:tabs>
                <w:tab w:val="clear" w:pos="425"/>
              </w:tabs>
              <w:jc w:val="center"/>
              <w:rPr>
                <w:lang w:val="en-US"/>
              </w:rPr>
            </w:pPr>
            <w:r>
              <w:rPr>
                <w:lang w:val="en-US"/>
              </w:rPr>
              <w:t>–</w:t>
            </w:r>
          </w:p>
        </w:tc>
      </w:tr>
    </w:tbl>
    <w:p>
      <w:pPr>
        <w:pStyle w:val="GesAbsatz"/>
        <w:rPr>
          <w:sz w:val="18"/>
          <w:szCs w:val="18"/>
        </w:rPr>
      </w:pPr>
      <w:r>
        <w:rPr>
          <w:sz w:val="18"/>
          <w:szCs w:val="18"/>
          <w:vertAlign w:val="superscript"/>
        </w:rPr>
        <w:lastRenderedPageBreak/>
        <w:t>1</w:t>
      </w:r>
      <w:r>
        <w:rPr>
          <w:sz w:val="18"/>
          <w:szCs w:val="18"/>
        </w:rPr>
        <w:t xml:space="preserve"> jeweils eine Komponente aus 1 bis 3</w:t>
      </w:r>
    </w:p>
    <w:p>
      <w:pPr>
        <w:pStyle w:val="GesAbsatz"/>
        <w:rPr>
          <w:sz w:val="18"/>
          <w:szCs w:val="18"/>
        </w:rPr>
      </w:pPr>
      <w:r>
        <w:rPr>
          <w:sz w:val="18"/>
          <w:szCs w:val="18"/>
          <w:vertAlign w:val="superscript"/>
        </w:rPr>
        <w:t>2</w:t>
      </w:r>
      <w:r>
        <w:rPr>
          <w:sz w:val="18"/>
          <w:szCs w:val="18"/>
        </w:rPr>
        <w:t xml:space="preserve"> jeweils zwei Komponenten aus 1 bis 3</w:t>
      </w:r>
    </w:p>
    <w:p>
      <w:pPr>
        <w:pStyle w:val="GesAbsatz"/>
        <w:rPr>
          <w:sz w:val="18"/>
          <w:szCs w:val="18"/>
        </w:rPr>
      </w:pPr>
      <w:r>
        <w:rPr>
          <w:sz w:val="18"/>
          <w:szCs w:val="18"/>
          <w:vertAlign w:val="superscript"/>
        </w:rPr>
        <w:t>3</w:t>
      </w:r>
      <w:r>
        <w:rPr>
          <w:sz w:val="18"/>
          <w:szCs w:val="18"/>
        </w:rPr>
        <w:t xml:space="preserve"> jeweils alle drei Komponenten aus 1 bis 3</w:t>
      </w:r>
    </w:p>
    <w:p>
      <w:pPr>
        <w:pStyle w:val="GesAbsatz"/>
      </w:pPr>
    </w:p>
    <w:p>
      <w:pPr>
        <w:pStyle w:val="GesAbsatz"/>
        <w:tabs>
          <w:tab w:val="left" w:pos="2268"/>
        </w:tabs>
      </w:pPr>
      <w:r>
        <w:t>Softwareversionen:</w:t>
      </w:r>
      <w:r>
        <w:tab/>
        <w:t>Ultramat 23-7MB2355: 2.15.05</w:t>
      </w:r>
    </w:p>
    <w:p>
      <w:pPr>
        <w:pStyle w:val="GesAbsatz"/>
        <w:ind w:left="2268"/>
      </w:pPr>
      <w:r>
        <w:t>Ultramat 23-7MB2357: 2.15.05</w:t>
      </w:r>
    </w:p>
    <w:p>
      <w:pPr>
        <w:pStyle w:val="GesAbsatz"/>
        <w:ind w:left="2268"/>
        <w:rPr>
          <w:lang w:val="en-US"/>
        </w:rPr>
      </w:pPr>
      <w:r>
        <w:rPr>
          <w:lang w:val="en-US"/>
        </w:rPr>
        <w:t>Ultramat 23-7MB2358: 2.15.05</w:t>
      </w:r>
    </w:p>
    <w:p>
      <w:pPr>
        <w:pStyle w:val="GesAbsatz"/>
        <w:ind w:left="2268"/>
        <w:rPr>
          <w:lang w:val="en-US"/>
        </w:rPr>
      </w:pPr>
      <w:r>
        <w:rPr>
          <w:lang w:val="en-US"/>
        </w:rPr>
        <w:t>SIPROCESS UV600-7MB2621:</w:t>
      </w:r>
    </w:p>
    <w:p>
      <w:pPr>
        <w:pStyle w:val="GesAbsatz"/>
        <w:tabs>
          <w:tab w:val="left" w:pos="3686"/>
        </w:tabs>
        <w:ind w:left="2694"/>
        <w:rPr>
          <w:lang w:val="en-US"/>
        </w:rPr>
      </w:pPr>
      <w:r>
        <w:rPr>
          <w:lang w:val="en-US"/>
        </w:rPr>
        <w:t>BCU:</w:t>
      </w:r>
      <w:r>
        <w:rPr>
          <w:lang w:val="en-US"/>
        </w:rPr>
        <w:tab/>
        <w:t>9150883_3.003</w:t>
      </w:r>
    </w:p>
    <w:p>
      <w:pPr>
        <w:pStyle w:val="GesAbsatz"/>
        <w:ind w:left="2694"/>
        <w:rPr>
          <w:lang w:val="en-US"/>
        </w:rPr>
      </w:pPr>
      <w:r>
        <w:rPr>
          <w:lang w:val="en-US"/>
        </w:rPr>
        <w:t>Gasmodul 9137582_3.002</w:t>
      </w:r>
    </w:p>
    <w:p>
      <w:pPr>
        <w:pStyle w:val="GesAbsatz"/>
        <w:ind w:left="2694"/>
        <w:rPr>
          <w:lang w:val="en-US"/>
        </w:rPr>
      </w:pPr>
      <w:r>
        <w:rPr>
          <w:lang w:val="en-US"/>
        </w:rPr>
        <w:t>UV-</w:t>
      </w:r>
      <w:proofErr w:type="spellStart"/>
      <w:r>
        <w:rPr>
          <w:lang w:val="en-US"/>
        </w:rPr>
        <w:t>Modul</w:t>
      </w:r>
      <w:proofErr w:type="spellEnd"/>
      <w:r>
        <w:rPr>
          <w:lang w:val="en-US"/>
        </w:rPr>
        <w:t xml:space="preserve"> 9139736_3.003</w:t>
      </w:r>
    </w:p>
    <w:p>
      <w:pPr>
        <w:pStyle w:val="GesAbsatz"/>
        <w:ind w:left="2268"/>
        <w:rPr>
          <w:lang w:val="en-US"/>
        </w:rPr>
      </w:pPr>
      <w:r>
        <w:rPr>
          <w:lang w:val="en-US"/>
        </w:rPr>
        <w:t>SPS: Set CEM CERT Rev. 1.0</w:t>
      </w:r>
    </w:p>
    <w:p>
      <w:pPr>
        <w:pStyle w:val="GesAbsatz"/>
      </w:pPr>
      <w:r>
        <w:t>Einschränkungen:</w:t>
      </w:r>
    </w:p>
    <w:p>
      <w:pPr>
        <w:pStyle w:val="GesAbsatz"/>
        <w:ind w:left="426" w:hanging="426"/>
      </w:pPr>
      <w:r>
        <w:t>1.</w:t>
      </w:r>
      <w:r>
        <w:tab/>
        <w:t>Die Anforderung an die Gesamtunsicherheit bei der Eignungsprüfung nach DIN EN 15267 wird im Modul Ultramat 23-7MB2358 für die Komponente CO nicht erfüllt und für die Komponente SO</w:t>
      </w:r>
      <w:r>
        <w:rPr>
          <w:vertAlign w:val="subscript"/>
        </w:rPr>
        <w:t>2</w:t>
      </w:r>
      <w:r>
        <w:t xml:space="preserve"> nur teilweise erfüllt.</w:t>
      </w:r>
    </w:p>
    <w:p>
      <w:pPr>
        <w:pStyle w:val="GesAbsatz"/>
        <w:ind w:left="426" w:hanging="426"/>
      </w:pPr>
      <w:r>
        <w:t>2.</w:t>
      </w:r>
      <w:r>
        <w:tab/>
        <w:t>Die Gehäuseschutzklasse beträgt für die Module Ultramat 23-7MB2355, Ultramat 23-7MB2357 und Ultramat 23-7MB2358 IP 20. Sollten die Einsatzbedingungen eine höhere Gehäuseschutzklasse erfordern, so sind die Analysenmodule in einen Messschrank mit entsprechender Schutzklasse zu integrieren.</w:t>
      </w:r>
    </w:p>
    <w:p>
      <w:pPr>
        <w:pStyle w:val="GesAbsatz"/>
      </w:pPr>
      <w:r>
        <w:t>Hinweise:</w:t>
      </w:r>
    </w:p>
    <w:p>
      <w:pPr>
        <w:pStyle w:val="GesAbsatz"/>
        <w:ind w:left="426" w:hanging="426"/>
      </w:pPr>
      <w:r>
        <w:t>1.</w:t>
      </w:r>
      <w:r>
        <w:tab/>
        <w:t>Das modulare Messsystem Set CEM CERT 7MB1957 kann bei Ausstattung mit dem Modul SIPROCESS UV600-7MB2621 für die Überwachung der Komponenten NO, NO</w:t>
      </w:r>
      <w:r>
        <w:rPr>
          <w:vertAlign w:val="subscript"/>
        </w:rPr>
        <w:t>2</w:t>
      </w:r>
      <w:r>
        <w:t xml:space="preserve"> und SO</w:t>
      </w:r>
      <w:r>
        <w:rPr>
          <w:vertAlign w:val="subscript"/>
        </w:rPr>
        <w:t>2</w:t>
      </w:r>
      <w:r>
        <w:t xml:space="preserve"> auch an Anlagen gemäß der 17. BImSchV eingesetzt werden.</w:t>
      </w:r>
    </w:p>
    <w:p>
      <w:pPr>
        <w:pStyle w:val="GesAbsatz"/>
        <w:ind w:left="426" w:hanging="426"/>
      </w:pPr>
      <w:r>
        <w:t>2.</w:t>
      </w:r>
      <w:r>
        <w:tab/>
        <w:t>Die Module (ausgenommen SIPROCESS UV600-7MB2621) sind mit einem Intervall von 24 h für die automatische Justierung zu betreiben.</w:t>
      </w:r>
    </w:p>
    <w:p>
      <w:pPr>
        <w:pStyle w:val="GesAbsatz"/>
        <w:ind w:left="426" w:hanging="426"/>
      </w:pPr>
      <w:r>
        <w:t>3.</w:t>
      </w:r>
      <w:r>
        <w:tab/>
        <w:t>Um die Querempfindlichkeit am Messkanal CO gegenüber CO</w:t>
      </w:r>
      <w:r>
        <w:rPr>
          <w:vertAlign w:val="subscript"/>
        </w:rPr>
        <w:t>2</w:t>
      </w:r>
      <w:r>
        <w:t xml:space="preserve"> zu optimieren, werden die Module Ultramat 23-7MB2355, Ultramat 23-7MB2357 und Ultramat 23-7MB2358 der Messeinrichtung Set CEM CERT 7MB1957 ab dem Fertigungsmonat April 2014, kenntlich gemacht in der Seriennummer ab E4 im Mittelblock, mit geändertem CO-Empfänger vertrieben.</w:t>
      </w:r>
    </w:p>
    <w:p>
      <w:pPr>
        <w:pStyle w:val="GesAbsatz"/>
        <w:ind w:left="426" w:hanging="426"/>
      </w:pPr>
      <w:r>
        <w:t>4.</w:t>
      </w:r>
      <w:r>
        <w:tab/>
        <w:t>Die Module (ausgenommen SIPROCESS UV600-7MB2621) sind mit aktivierter Thermo-AUTOCAL-Funktion zu betreiben.</w:t>
      </w:r>
    </w:p>
    <w:p>
      <w:pPr>
        <w:pStyle w:val="GesAbsatz"/>
        <w:ind w:left="426" w:hanging="426"/>
      </w:pPr>
      <w:r>
        <w:t>5.</w:t>
      </w:r>
      <w:r>
        <w:tab/>
        <w:t xml:space="preserve">Das modulare Messsystem Set CEM CERT 7MB1957 kann alternativ mit einer Messgasentnahmesonde (SP2000-H) der Fa. M&amp;C </w:t>
      </w:r>
      <w:proofErr w:type="spellStart"/>
      <w:r>
        <w:t>TechGroup</w:t>
      </w:r>
      <w:proofErr w:type="spellEnd"/>
      <w:r>
        <w:t xml:space="preserve"> Germany GmbH und einem Messgaskühler (EGK 2-19) der Fa. Bühler Technologies GmbH ausgestattet sein.</w:t>
      </w:r>
    </w:p>
    <w:p>
      <w:pPr>
        <w:pStyle w:val="GesAbsatz"/>
        <w:ind w:left="426" w:hanging="426"/>
      </w:pPr>
      <w:r>
        <w:t>6.</w:t>
      </w:r>
      <w:r>
        <w:tab/>
        <w:t>Im modularen Messsystem Set CEM CERT 7MB1957 kann der Messgaskühler (EGK 2-19) der Fa. Bühler Technologies GmbH mit PVDF- oder Glaskühlkörper ausgestattet sein. Für das Modul SIPROCESS UV600-7MB2621 ist immer der Glaskühlkörper einzusetzen.</w:t>
      </w:r>
    </w:p>
    <w:p>
      <w:pPr>
        <w:pStyle w:val="GesAbsatz"/>
        <w:ind w:left="426" w:hanging="426"/>
      </w:pPr>
      <w:r>
        <w:t>7.</w:t>
      </w:r>
      <w:r>
        <w:tab/>
        <w:t>Das modulare Messsystem Set CEM CERT 7MB1957 ist für die Bestimmung von NO</w:t>
      </w:r>
      <w:r>
        <w:rPr>
          <w:vertAlign w:val="subscript"/>
        </w:rPr>
        <w:t>x</w:t>
      </w:r>
      <w:r>
        <w:t xml:space="preserve"> mit einem NO</w:t>
      </w:r>
      <w:r>
        <w:rPr>
          <w:vertAlign w:val="subscript"/>
        </w:rPr>
        <w:t>x</w:t>
      </w:r>
      <w:r>
        <w:t xml:space="preserve">-Konverter der Fa. M&amp;C </w:t>
      </w:r>
      <w:proofErr w:type="spellStart"/>
      <w:r>
        <w:t>TechGroup</w:t>
      </w:r>
      <w:proofErr w:type="spellEnd"/>
      <w:r>
        <w:t xml:space="preserve"> Germany GmbH, Typ Gas Konverter CG-2, ausgestattet.</w:t>
      </w:r>
    </w:p>
    <w:p>
      <w:pPr>
        <w:pStyle w:val="GesAbsatz"/>
        <w:ind w:left="426" w:hanging="426"/>
      </w:pPr>
      <w:r>
        <w:t>8.</w:t>
      </w:r>
      <w:r>
        <w:tab/>
        <w:t>Das Wartungsintervall des Moduls Ultramat 23-7MB2358 beträgt sechs Monate.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ind w:left="426" w:hanging="426"/>
      </w:pPr>
      <w:r>
        <w:t>9.</w:t>
      </w:r>
      <w:r>
        <w:tab/>
        <w:t>Das Wartungsintervall der Module Ultramat 23-7MB2355 und Ultramat 23-7MB2357 beträgt acht Monate.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ind w:left="426" w:hanging="426"/>
      </w:pPr>
      <w:r>
        <w:t>10.</w:t>
      </w:r>
      <w:r>
        <w:tab/>
        <w:t>Das Wartungsintervall für das Modul SIPROCESS UV600-7MB2621 beträgt zwei Wochen.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ind w:left="426" w:hanging="426"/>
      </w:pPr>
      <w:r>
        <w:lastRenderedPageBreak/>
        <w:t>11.</w:t>
      </w:r>
      <w:r>
        <w:tab/>
        <w:t>Ergänzungsprüfung (Wartungsintervallverlängerung) zu der Bekanntmachung des Umweltbundesamtes vom 22. Juli 2015 (BAnz AT 26.08.2015 B4, Kapitel I Nummer 3.2).</w:t>
      </w:r>
    </w:p>
    <w:p>
      <w:pPr>
        <w:pStyle w:val="GesAbsatz"/>
      </w:pPr>
      <w:r>
        <w:t>Prüfbericht: TÜV SÜD Industrie Service GmbH, München</w:t>
      </w:r>
    </w:p>
    <w:p>
      <w:pPr>
        <w:pStyle w:val="GesAbsatz"/>
      </w:pPr>
      <w:r>
        <w:t>Bericht-Nr.: 2435071 vom 30. September 2015</w:t>
      </w:r>
    </w:p>
    <w:p>
      <w:pPr>
        <w:pStyle w:val="berschrift2"/>
      </w:pPr>
      <w:bookmarkStart w:id="3" w:name="_Toc446491198"/>
      <w:r>
        <w:t>II.</w:t>
      </w:r>
      <w:r>
        <w:br/>
        <w:t>Eignung für Messeinrichtungen</w:t>
      </w:r>
      <w:r>
        <w:br/>
        <w:t>zur kontinuierlichen Messung von Bezugsgrößen/Betriebsgrößen</w:t>
      </w:r>
      <w:bookmarkEnd w:id="3"/>
    </w:p>
    <w:p>
      <w:pPr>
        <w:pStyle w:val="GesAbsatz"/>
        <w:rPr>
          <w:b/>
        </w:rPr>
      </w:pPr>
      <w:r>
        <w:rPr>
          <w:b/>
        </w:rPr>
        <w:t>1</w:t>
      </w:r>
      <w:r>
        <w:rPr>
          <w:b/>
        </w:rPr>
        <w:tab/>
        <w:t>Abgasgeschwindigkeit</w:t>
      </w:r>
    </w:p>
    <w:p>
      <w:pPr>
        <w:pStyle w:val="GesAbsatz"/>
        <w:rPr>
          <w:b/>
        </w:rPr>
      </w:pPr>
      <w:r>
        <w:rPr>
          <w:b/>
        </w:rPr>
        <w:t>1.1</w:t>
      </w:r>
      <w:r>
        <w:rPr>
          <w:b/>
        </w:rPr>
        <w:tab/>
        <w:t>STACKFLOW 200 für Abgasgeschwindigkeit</w:t>
      </w:r>
    </w:p>
    <w:p>
      <w:pPr>
        <w:pStyle w:val="GesAbsatz"/>
      </w:pPr>
      <w:r>
        <w:t>Hersteller:</w:t>
      </w:r>
    </w:p>
    <w:p>
      <w:pPr>
        <w:pStyle w:val="GesAbsatz"/>
        <w:rPr>
          <w:lang w:val="en-US"/>
        </w:rPr>
      </w:pPr>
      <w:r>
        <w:rPr>
          <w:lang w:val="en-US"/>
        </w:rPr>
        <w:t>PCME Ltd., St. Ives, UK</w:t>
      </w:r>
    </w:p>
    <w:p>
      <w:pPr>
        <w:pStyle w:val="GesAbsatz"/>
        <w:rPr>
          <w:lang w:val="en-US"/>
        </w:rPr>
      </w:pPr>
      <w:proofErr w:type="spellStart"/>
      <w:r>
        <w:rPr>
          <w:lang w:val="en-US"/>
        </w:rPr>
        <w:t>Eignung</w:t>
      </w:r>
      <w:proofErr w:type="spellEnd"/>
      <w:r>
        <w:rPr>
          <w:lang w:val="en-US"/>
        </w:rPr>
        <w:t>:</w:t>
      </w:r>
    </w:p>
    <w:p>
      <w:pPr>
        <w:pStyle w:val="GesAbsatz"/>
      </w:pPr>
      <w:r>
        <w:t>Für genehmigungsbedürftige Anlagen sowie Anlagen der 27. BImSchV</w:t>
      </w:r>
    </w:p>
    <w:p>
      <w:pPr>
        <w:pStyle w:val="GesAbsatz"/>
      </w:pPr>
      <w:r>
        <w:t>Messbereiche in der Eignungsprüfung:</w:t>
      </w:r>
    </w:p>
    <w:tbl>
      <w:tblPr>
        <w:tblStyle w:val="Tabellenraster"/>
        <w:tblW w:w="9902" w:type="dxa"/>
        <w:tblLook w:val="04A0" w:firstRow="1" w:lastRow="0" w:firstColumn="1" w:lastColumn="0" w:noHBand="0" w:noVBand="1"/>
      </w:tblPr>
      <w:tblGrid>
        <w:gridCol w:w="2376"/>
        <w:gridCol w:w="2785"/>
        <w:gridCol w:w="2640"/>
        <w:gridCol w:w="2101"/>
      </w:tblGrid>
      <w:tr>
        <w:tc>
          <w:tcPr>
            <w:tcW w:w="2376" w:type="dxa"/>
          </w:tcPr>
          <w:p>
            <w:pPr>
              <w:pStyle w:val="GesAbsatz"/>
              <w:tabs>
                <w:tab w:val="clear" w:pos="425"/>
              </w:tabs>
              <w:jc w:val="center"/>
            </w:pPr>
            <w:r>
              <w:t>Komponente</w:t>
            </w:r>
          </w:p>
        </w:tc>
        <w:tc>
          <w:tcPr>
            <w:tcW w:w="2785" w:type="dxa"/>
          </w:tcPr>
          <w:p>
            <w:pPr>
              <w:pStyle w:val="GesAbsatz"/>
              <w:tabs>
                <w:tab w:val="clear" w:pos="425"/>
              </w:tabs>
              <w:jc w:val="center"/>
            </w:pPr>
            <w:r>
              <w:t>Zertifizierungsbereich</w:t>
            </w:r>
          </w:p>
        </w:tc>
        <w:tc>
          <w:tcPr>
            <w:tcW w:w="2640" w:type="dxa"/>
          </w:tcPr>
          <w:p>
            <w:pPr>
              <w:pStyle w:val="GesAbsatz"/>
              <w:tabs>
                <w:tab w:val="clear" w:pos="425"/>
              </w:tabs>
              <w:jc w:val="center"/>
            </w:pPr>
            <w:r>
              <w:t>zusätzlicher Messbereich</w:t>
            </w:r>
          </w:p>
        </w:tc>
        <w:tc>
          <w:tcPr>
            <w:tcW w:w="2101" w:type="dxa"/>
          </w:tcPr>
          <w:p>
            <w:pPr>
              <w:pStyle w:val="GesAbsatz"/>
              <w:tabs>
                <w:tab w:val="clear" w:pos="425"/>
              </w:tabs>
              <w:jc w:val="center"/>
            </w:pPr>
            <w:r>
              <w:t>Einheit</w:t>
            </w:r>
          </w:p>
        </w:tc>
      </w:tr>
      <w:tr>
        <w:tc>
          <w:tcPr>
            <w:tcW w:w="2376" w:type="dxa"/>
          </w:tcPr>
          <w:p>
            <w:pPr>
              <w:pStyle w:val="GesAbsatz"/>
              <w:tabs>
                <w:tab w:val="clear" w:pos="425"/>
              </w:tabs>
            </w:pPr>
            <w:r>
              <w:t>Abgasgeschwindigkeit</w:t>
            </w:r>
          </w:p>
        </w:tc>
        <w:tc>
          <w:tcPr>
            <w:tcW w:w="2785" w:type="dxa"/>
          </w:tcPr>
          <w:p>
            <w:pPr>
              <w:pStyle w:val="GesAbsatz"/>
              <w:tabs>
                <w:tab w:val="clear" w:pos="425"/>
              </w:tabs>
              <w:jc w:val="center"/>
            </w:pPr>
            <w:r>
              <w:t>2 – 30</w:t>
            </w:r>
          </w:p>
        </w:tc>
        <w:tc>
          <w:tcPr>
            <w:tcW w:w="2640" w:type="dxa"/>
          </w:tcPr>
          <w:p>
            <w:pPr>
              <w:pStyle w:val="GesAbsatz"/>
              <w:tabs>
                <w:tab w:val="clear" w:pos="425"/>
              </w:tabs>
              <w:jc w:val="center"/>
            </w:pPr>
            <w:r>
              <w:t>2 – 50</w:t>
            </w:r>
          </w:p>
        </w:tc>
        <w:tc>
          <w:tcPr>
            <w:tcW w:w="2101" w:type="dxa"/>
          </w:tcPr>
          <w:p>
            <w:pPr>
              <w:pStyle w:val="GesAbsatz"/>
              <w:tabs>
                <w:tab w:val="clear" w:pos="425"/>
              </w:tabs>
              <w:jc w:val="center"/>
            </w:pPr>
            <w:r>
              <w:t>m/s</w:t>
            </w:r>
          </w:p>
        </w:tc>
      </w:tr>
    </w:tbl>
    <w:p>
      <w:pPr>
        <w:pStyle w:val="GesAbsatz"/>
        <w:tabs>
          <w:tab w:val="left" w:pos="2127"/>
          <w:tab w:val="left" w:pos="4536"/>
        </w:tabs>
      </w:pPr>
      <w:r>
        <w:t>Softwareversionen:</w:t>
      </w:r>
      <w:r>
        <w:tab/>
        <w:t>Sensor:</w:t>
      </w:r>
      <w:r>
        <w:tab/>
        <w:t>2.01</w:t>
      </w:r>
    </w:p>
    <w:p>
      <w:pPr>
        <w:pStyle w:val="GesAbsatz"/>
        <w:tabs>
          <w:tab w:val="left" w:pos="4536"/>
        </w:tabs>
        <w:ind w:left="2127"/>
      </w:pPr>
      <w:r>
        <w:t>Bedieneinheiten:</w:t>
      </w:r>
    </w:p>
    <w:p>
      <w:pPr>
        <w:pStyle w:val="GesAbsatz"/>
        <w:tabs>
          <w:tab w:val="left" w:pos="4536"/>
        </w:tabs>
        <w:ind w:left="2127"/>
      </w:pPr>
      <w:r>
        <w:t>Interface Modul:</w:t>
      </w:r>
      <w:r>
        <w:tab/>
        <w:t>8.41</w:t>
      </w:r>
    </w:p>
    <w:p>
      <w:pPr>
        <w:pStyle w:val="GesAbsatz"/>
        <w:tabs>
          <w:tab w:val="left" w:pos="4536"/>
        </w:tabs>
        <w:ind w:left="2127"/>
      </w:pPr>
      <w:proofErr w:type="spellStart"/>
      <w:r>
        <w:t>MultiController</w:t>
      </w:r>
      <w:proofErr w:type="spellEnd"/>
      <w:r>
        <w:t>:</w:t>
      </w:r>
      <w:r>
        <w:tab/>
        <w:t>8.41</w:t>
      </w:r>
    </w:p>
    <w:p>
      <w:pPr>
        <w:pStyle w:val="GesAbsatz"/>
        <w:tabs>
          <w:tab w:val="left" w:pos="4536"/>
        </w:tabs>
        <w:ind w:left="2127"/>
      </w:pPr>
      <w:proofErr w:type="spellStart"/>
      <w:r>
        <w:t>ProController</w:t>
      </w:r>
      <w:proofErr w:type="spellEnd"/>
      <w:r>
        <w:t>:</w:t>
      </w:r>
      <w:r>
        <w:tab/>
        <w:t>0.52</w:t>
      </w:r>
    </w:p>
    <w:p>
      <w:pPr>
        <w:pStyle w:val="GesAbsatz"/>
        <w:tabs>
          <w:tab w:val="left" w:pos="4536"/>
        </w:tabs>
        <w:ind w:left="2127"/>
      </w:pPr>
      <w:r>
        <w:t>PC-ME DUST TOOLS:</w:t>
      </w:r>
      <w:r>
        <w:tab/>
        <w:t>2.31</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6" w:hanging="426"/>
      </w:pPr>
      <w:r>
        <w:t>2.</w:t>
      </w:r>
      <w:r>
        <w:tab/>
        <w:t>Für Null- und Referenzpunktüberprüfungen mit dem integrierten Justiermodul wird ein externes, kalibriertes Differenzdruck-Handmessgerät zur Sollwert-Validierung benötigt.</w:t>
      </w:r>
    </w:p>
    <w:p>
      <w:pPr>
        <w:pStyle w:val="GesAbsatz"/>
      </w:pPr>
      <w:r>
        <w:t>3.</w:t>
      </w:r>
      <w:r>
        <w:tab/>
        <w:t>Die Messeinrichtung STACKFLOW 200 ist in verschiedenen Konfigurationen erhältlich:</w:t>
      </w:r>
    </w:p>
    <w:tbl>
      <w:tblPr>
        <w:tblStyle w:val="Tabellenraster"/>
        <w:tblW w:w="0" w:type="auto"/>
        <w:tblLook w:val="04A0" w:firstRow="1" w:lastRow="0" w:firstColumn="1" w:lastColumn="0" w:noHBand="0" w:noVBand="1"/>
      </w:tblPr>
      <w:tblGrid>
        <w:gridCol w:w="3794"/>
        <w:gridCol w:w="4589"/>
      </w:tblGrid>
      <w:tr>
        <w:tc>
          <w:tcPr>
            <w:tcW w:w="3794" w:type="dxa"/>
          </w:tcPr>
          <w:p>
            <w:pPr>
              <w:pStyle w:val="GesAbsatz"/>
              <w:tabs>
                <w:tab w:val="clear" w:pos="425"/>
              </w:tabs>
              <w:jc w:val="center"/>
            </w:pPr>
            <w:r>
              <w:t>Produktbezeichnung</w:t>
            </w:r>
          </w:p>
        </w:tc>
        <w:tc>
          <w:tcPr>
            <w:tcW w:w="4589" w:type="dxa"/>
          </w:tcPr>
          <w:p>
            <w:pPr>
              <w:pStyle w:val="GesAbsatz"/>
              <w:tabs>
                <w:tab w:val="clear" w:pos="425"/>
              </w:tabs>
              <w:jc w:val="center"/>
            </w:pPr>
            <w:r>
              <w:t>Konfiguration</w:t>
            </w:r>
          </w:p>
        </w:tc>
      </w:tr>
      <w:tr>
        <w:tc>
          <w:tcPr>
            <w:tcW w:w="3794" w:type="dxa"/>
          </w:tcPr>
          <w:p>
            <w:pPr>
              <w:pStyle w:val="GesAbsatz"/>
              <w:tabs>
                <w:tab w:val="clear" w:pos="425"/>
              </w:tabs>
            </w:pPr>
            <w:r>
              <w:t>Sensor</w:t>
            </w:r>
          </w:p>
        </w:tc>
        <w:tc>
          <w:tcPr>
            <w:tcW w:w="4589" w:type="dxa"/>
          </w:tcPr>
          <w:p>
            <w:pPr>
              <w:pStyle w:val="GesAbsatz"/>
              <w:tabs>
                <w:tab w:val="clear" w:pos="425"/>
              </w:tabs>
            </w:pPr>
          </w:p>
        </w:tc>
      </w:tr>
      <w:tr>
        <w:tc>
          <w:tcPr>
            <w:tcW w:w="3794" w:type="dxa"/>
          </w:tcPr>
          <w:p>
            <w:pPr>
              <w:pStyle w:val="GesAbsatz"/>
              <w:tabs>
                <w:tab w:val="clear" w:pos="425"/>
              </w:tabs>
            </w:pPr>
            <w:r>
              <w:t>STACKFLOW 200</w:t>
            </w:r>
          </w:p>
        </w:tc>
        <w:tc>
          <w:tcPr>
            <w:tcW w:w="4589" w:type="dxa"/>
          </w:tcPr>
          <w:p>
            <w:pPr>
              <w:pStyle w:val="GesAbsatz"/>
              <w:tabs>
                <w:tab w:val="clear" w:pos="425"/>
              </w:tabs>
            </w:pPr>
            <w:r>
              <w:t>eigenständig</w:t>
            </w:r>
          </w:p>
        </w:tc>
      </w:tr>
      <w:tr>
        <w:tc>
          <w:tcPr>
            <w:tcW w:w="3794" w:type="dxa"/>
          </w:tcPr>
          <w:p>
            <w:pPr>
              <w:pStyle w:val="GesAbsatz"/>
              <w:tabs>
                <w:tab w:val="clear" w:pos="425"/>
              </w:tabs>
            </w:pPr>
            <w:r>
              <w:t>STACKFLOW 200 Standard</w:t>
            </w:r>
          </w:p>
        </w:tc>
        <w:tc>
          <w:tcPr>
            <w:tcW w:w="4589" w:type="dxa"/>
          </w:tcPr>
          <w:p>
            <w:pPr>
              <w:pStyle w:val="GesAbsatz"/>
              <w:tabs>
                <w:tab w:val="clear" w:pos="425"/>
              </w:tabs>
            </w:pPr>
            <w:r>
              <w:t>mit Interface Module</w:t>
            </w:r>
          </w:p>
        </w:tc>
      </w:tr>
      <w:tr>
        <w:tc>
          <w:tcPr>
            <w:tcW w:w="3794" w:type="dxa"/>
          </w:tcPr>
          <w:p>
            <w:pPr>
              <w:pStyle w:val="GesAbsatz"/>
              <w:tabs>
                <w:tab w:val="clear" w:pos="425"/>
              </w:tabs>
            </w:pPr>
            <w:r>
              <w:t>STACKFLOW 200 Plus</w:t>
            </w:r>
          </w:p>
        </w:tc>
        <w:tc>
          <w:tcPr>
            <w:tcW w:w="4589" w:type="dxa"/>
          </w:tcPr>
          <w:p>
            <w:pPr>
              <w:pStyle w:val="GesAbsatz"/>
              <w:tabs>
                <w:tab w:val="clear" w:pos="425"/>
              </w:tabs>
            </w:pPr>
            <w:r>
              <w:t xml:space="preserve">mit </w:t>
            </w:r>
            <w:proofErr w:type="spellStart"/>
            <w:r>
              <w:t>MultiController</w:t>
            </w:r>
            <w:proofErr w:type="spellEnd"/>
          </w:p>
        </w:tc>
      </w:tr>
      <w:tr>
        <w:tc>
          <w:tcPr>
            <w:tcW w:w="3794" w:type="dxa"/>
          </w:tcPr>
          <w:p>
            <w:pPr>
              <w:pStyle w:val="GesAbsatz"/>
              <w:tabs>
                <w:tab w:val="clear" w:pos="425"/>
              </w:tabs>
            </w:pPr>
            <w:r>
              <w:t>STACKFLOW 200 Pro</w:t>
            </w:r>
          </w:p>
        </w:tc>
        <w:tc>
          <w:tcPr>
            <w:tcW w:w="4589" w:type="dxa"/>
          </w:tcPr>
          <w:p>
            <w:pPr>
              <w:pStyle w:val="GesAbsatz"/>
              <w:tabs>
                <w:tab w:val="clear" w:pos="425"/>
              </w:tabs>
            </w:pPr>
            <w:r>
              <w:t xml:space="preserve">mit </w:t>
            </w:r>
            <w:proofErr w:type="spellStart"/>
            <w:r>
              <w:t>ProController</w:t>
            </w:r>
            <w:proofErr w:type="spellEnd"/>
          </w:p>
        </w:tc>
      </w:tr>
    </w:tbl>
    <w:p>
      <w:pPr>
        <w:pStyle w:val="GesAbsatz"/>
      </w:pPr>
      <w:r>
        <w:t>Prüfbericht: TÜV Rheinland Energie und Umwelt GmbH, Köln</w:t>
      </w:r>
    </w:p>
    <w:p>
      <w:pPr>
        <w:pStyle w:val="GesAbsatz"/>
      </w:pPr>
      <w:r>
        <w:t>Bericht-Nr.: 936/21228880/A vom 12. Oktober 2015</w:t>
      </w:r>
    </w:p>
    <w:p>
      <w:pPr>
        <w:pStyle w:val="berschrift2"/>
      </w:pPr>
      <w:bookmarkStart w:id="4" w:name="_Toc446491199"/>
      <w:r>
        <w:t>III.</w:t>
      </w:r>
      <w:r>
        <w:br/>
        <w:t>Eignung von Messeinrichtungen</w:t>
      </w:r>
      <w:r>
        <w:br/>
        <w:t>zur kontinuierlichen Überwachung von Immissionen</w:t>
      </w:r>
      <w:bookmarkEnd w:id="4"/>
    </w:p>
    <w:p>
      <w:pPr>
        <w:pStyle w:val="GesAbsatz"/>
      </w:pPr>
      <w:r>
        <w:t xml:space="preserve">Unter Bezugnahme auf die Nummer 3.2 der Bekanntmachung der für die Durchführung der Richtlinie 2008/50/EG des Europäischen Parlaments und des Rates vom 21. Mai 2008 über die Luftqualität und saubere </w:t>
      </w:r>
      <w:r>
        <w:lastRenderedPageBreak/>
        <w:t>Luft für Europa zuständigen Behörden und Stellen vom 12. Januar 2011 (BAnz. S. 212) wird im Auftrag des Bundesministeriums für Umwelt, Naturschutz, Bau und Reaktorsicherheit die Eignung folgender Messeinrichtungen bekannt gegeben:</w:t>
      </w:r>
    </w:p>
    <w:p>
      <w:pPr>
        <w:pStyle w:val="GesAbsatz"/>
        <w:rPr>
          <w:b/>
        </w:rPr>
      </w:pPr>
      <w:r>
        <w:rPr>
          <w:b/>
        </w:rPr>
        <w:t>1</w:t>
      </w:r>
      <w:r>
        <w:rPr>
          <w:b/>
        </w:rPr>
        <w:tab/>
        <w:t>Kohlenmonoxid</w:t>
      </w:r>
    </w:p>
    <w:p>
      <w:pPr>
        <w:pStyle w:val="GesAbsatz"/>
        <w:rPr>
          <w:b/>
        </w:rPr>
      </w:pPr>
      <w:r>
        <w:rPr>
          <w:b/>
        </w:rPr>
        <w:t>1.1</w:t>
      </w:r>
      <w:r>
        <w:rPr>
          <w:b/>
        </w:rPr>
        <w:tab/>
        <w:t>CO 12e für CO</w:t>
      </w:r>
    </w:p>
    <w:p>
      <w:pPr>
        <w:pStyle w:val="GesAbsatz"/>
      </w:pPr>
      <w:r>
        <w:t>Hersteller:</w:t>
      </w:r>
    </w:p>
    <w:p>
      <w:pPr>
        <w:pStyle w:val="GesAbsatz"/>
      </w:pPr>
      <w:r>
        <w:t>Environnement S. A., Poissy, Frankreich</w:t>
      </w:r>
    </w:p>
    <w:p>
      <w:pPr>
        <w:pStyle w:val="GesAbsatz"/>
      </w:pPr>
      <w:r>
        <w:t>Eignung:</w:t>
      </w:r>
    </w:p>
    <w:p>
      <w:pPr>
        <w:pStyle w:val="GesAbsatz"/>
      </w:pPr>
      <w:r>
        <w:t>Zur kontinuierlichen Bestimmung der Immissionskonzentrationen von Kohlenmonoxid in der Außenluft im stationären Einsatz</w:t>
      </w:r>
    </w:p>
    <w:p>
      <w:pPr>
        <w:pStyle w:val="GesAbsatz"/>
      </w:pPr>
      <w:r>
        <w:t>Messbereiche in der Eignungsprüfung:</w:t>
      </w:r>
    </w:p>
    <w:tbl>
      <w:tblPr>
        <w:tblStyle w:val="Tabellenraster"/>
        <w:tblW w:w="0" w:type="auto"/>
        <w:tblLook w:val="04A0" w:firstRow="1" w:lastRow="0" w:firstColumn="1" w:lastColumn="0" w:noHBand="0" w:noVBand="1"/>
      </w:tblPr>
      <w:tblGrid>
        <w:gridCol w:w="3227"/>
        <w:gridCol w:w="3333"/>
        <w:gridCol w:w="2211"/>
      </w:tblGrid>
      <w:tr>
        <w:tc>
          <w:tcPr>
            <w:tcW w:w="3227" w:type="dxa"/>
          </w:tcPr>
          <w:p>
            <w:pPr>
              <w:pStyle w:val="GesAbsatz"/>
              <w:tabs>
                <w:tab w:val="clear" w:pos="425"/>
              </w:tabs>
              <w:jc w:val="center"/>
            </w:pPr>
            <w:r>
              <w:t>Komponente</w:t>
            </w:r>
          </w:p>
        </w:tc>
        <w:tc>
          <w:tcPr>
            <w:tcW w:w="3333" w:type="dxa"/>
          </w:tcPr>
          <w:p>
            <w:pPr>
              <w:pStyle w:val="GesAbsatz"/>
              <w:tabs>
                <w:tab w:val="clear" w:pos="425"/>
              </w:tabs>
              <w:jc w:val="center"/>
            </w:pPr>
            <w:r>
              <w:t>Zertifizierungsbereich</w:t>
            </w:r>
          </w:p>
        </w:tc>
        <w:tc>
          <w:tcPr>
            <w:tcW w:w="2211" w:type="dxa"/>
          </w:tcPr>
          <w:p>
            <w:pPr>
              <w:pStyle w:val="GesAbsatz"/>
              <w:tabs>
                <w:tab w:val="clear" w:pos="425"/>
              </w:tabs>
              <w:jc w:val="center"/>
            </w:pPr>
            <w:r>
              <w:t>Einheit</w:t>
            </w:r>
          </w:p>
        </w:tc>
      </w:tr>
      <w:tr>
        <w:tc>
          <w:tcPr>
            <w:tcW w:w="3227" w:type="dxa"/>
          </w:tcPr>
          <w:p>
            <w:pPr>
              <w:pStyle w:val="GesAbsatz"/>
              <w:tabs>
                <w:tab w:val="clear" w:pos="425"/>
              </w:tabs>
            </w:pPr>
            <w:r>
              <w:t>Kohlenmonoxid</w:t>
            </w:r>
          </w:p>
        </w:tc>
        <w:tc>
          <w:tcPr>
            <w:tcW w:w="3333" w:type="dxa"/>
          </w:tcPr>
          <w:p>
            <w:pPr>
              <w:pStyle w:val="GesAbsatz"/>
              <w:tabs>
                <w:tab w:val="clear" w:pos="425"/>
              </w:tabs>
              <w:jc w:val="center"/>
            </w:pPr>
            <w:r>
              <w:t>0 – 100</w:t>
            </w:r>
          </w:p>
        </w:tc>
        <w:tc>
          <w:tcPr>
            <w:tcW w:w="2211" w:type="dxa"/>
          </w:tcPr>
          <w:p>
            <w:pPr>
              <w:pStyle w:val="GesAbsatz"/>
              <w:tabs>
                <w:tab w:val="clear" w:pos="425"/>
              </w:tabs>
              <w:jc w:val="center"/>
            </w:pPr>
            <w:r>
              <w:t>mg/m³</w:t>
            </w:r>
          </w:p>
        </w:tc>
      </w:tr>
    </w:tbl>
    <w:p>
      <w:pPr>
        <w:pStyle w:val="GesAbsatz"/>
      </w:pPr>
      <w:r>
        <w:t>Softwareversion: Firmware: 1.0.d</w:t>
      </w:r>
    </w:p>
    <w:p>
      <w:pPr>
        <w:pStyle w:val="GesAbsatz"/>
      </w:pPr>
      <w:r>
        <w:t>Einschränkungen:</w:t>
      </w:r>
    </w:p>
    <w:p>
      <w:pPr>
        <w:pStyle w:val="GesAbsatz"/>
      </w:pPr>
      <w:r>
        <w:t>Keine</w:t>
      </w:r>
    </w:p>
    <w:p>
      <w:pPr>
        <w:pStyle w:val="GesAbsatz"/>
      </w:pPr>
      <w:r>
        <w:t>Hinweise:</w:t>
      </w:r>
    </w:p>
    <w:p>
      <w:pPr>
        <w:pStyle w:val="GesAbsatz"/>
        <w:ind w:left="426" w:hanging="426"/>
      </w:pPr>
      <w:r>
        <w:t>1.</w:t>
      </w:r>
      <w:r>
        <w:tab/>
        <w:t>Die Eignungsprüfung umfasst auch die Version CO 12e* (ohne eigenes Display) der Messeinrichtung. In diesem Fall erfolgt die Messwertanzeige über einen zur Messeinrichtung zugehörigen PC bzw. Laptop.</w:t>
      </w:r>
    </w:p>
    <w:p>
      <w:pPr>
        <w:pStyle w:val="GesAbsatz"/>
      </w:pPr>
      <w:r>
        <w:t>2.</w:t>
      </w:r>
      <w:r>
        <w:tab/>
        <w:t>Der Prüfbericht über die Eignungsprüfung ist im Internet unter www.qal1.de einsehbar.</w:t>
      </w:r>
    </w:p>
    <w:p>
      <w:pPr>
        <w:pStyle w:val="GesAbsatz"/>
      </w:pPr>
      <w:r>
        <w:t>Prüfinstitut: TÜV Rheinland Energie und Umwelt GmbH, Köln</w:t>
      </w:r>
    </w:p>
    <w:p>
      <w:pPr>
        <w:pStyle w:val="GesAbsatz"/>
      </w:pPr>
      <w:r>
        <w:t>Bericht-Nr.: 936/21228317/A vom 9. Oktober 2015</w:t>
      </w:r>
    </w:p>
    <w:p>
      <w:pPr>
        <w:pStyle w:val="berschrift2"/>
      </w:pPr>
      <w:bookmarkStart w:id="5" w:name="_Toc446491200"/>
      <w:r>
        <w:t>IV.</w:t>
      </w:r>
      <w:r>
        <w:br/>
        <w:t>Berichtigungen zur Bundeseinheitlichen Praxis</w:t>
      </w:r>
      <w:r>
        <w:br/>
        <w:t>bei der Überwachung von Emissionen und Immissionen</w:t>
      </w:r>
      <w:bookmarkEnd w:id="5"/>
    </w:p>
    <w:p>
      <w:pPr>
        <w:pStyle w:val="GesAbsatz"/>
        <w:ind w:left="426" w:hanging="426"/>
        <w:rPr>
          <w:b/>
        </w:rPr>
      </w:pPr>
      <w:r>
        <w:rPr>
          <w:b/>
        </w:rPr>
        <w:t>1</w:t>
      </w:r>
      <w:r>
        <w:rPr>
          <w:b/>
        </w:rPr>
        <w:tab/>
        <w:t>Berichtigung zu der Bekanntmachung des Umweltbundesamtes vom 22. Juli 2015 (BAnz AT 26.08.2015 B4, Kapitel I Nummer 3.2)</w:t>
      </w:r>
    </w:p>
    <w:p>
      <w:pPr>
        <w:pStyle w:val="GesAbsatz"/>
      </w:pPr>
      <w:r>
        <w:t>Der in der Tabelle „Messbereiche in der Eignungsprüfung“ angegebene zusätzliche Messbereich von 0 </w:t>
      </w:r>
      <w:r>
        <w:noBreakHyphen/>
        <w:t> 2 000 mg/m³ für das Modul Ultramat 23-7MB2357 für die Komponente CO des modularen Messsystems Set CEM CERT 7 MB1957 der Siemens AG ist nicht richtig. Dieser Messbereich wurde in der Eignungsprüfung und den Ergänzungsprüfungen nicht geprüft und wird ersatzlos gestrichen.</w:t>
      </w:r>
    </w:p>
    <w:p>
      <w:pPr>
        <w:pStyle w:val="GesAbsatz"/>
      </w:pPr>
      <w:r>
        <w:t>Für das Modul Ultramat 23-7MB2357 lauten die Messbereiche richtig wie folgt:</w:t>
      </w:r>
    </w:p>
    <w:tbl>
      <w:tblPr>
        <w:tblStyle w:val="Tabellenraster"/>
        <w:tblW w:w="0" w:type="auto"/>
        <w:tblLook w:val="04A0" w:firstRow="1" w:lastRow="0" w:firstColumn="1" w:lastColumn="0" w:noHBand="0" w:noVBand="1"/>
      </w:tblPr>
      <w:tblGrid>
        <w:gridCol w:w="1504"/>
        <w:gridCol w:w="2502"/>
        <w:gridCol w:w="1951"/>
        <w:gridCol w:w="1660"/>
        <w:gridCol w:w="2011"/>
      </w:tblGrid>
      <w:tr>
        <w:tc>
          <w:tcPr>
            <w:tcW w:w="1526" w:type="dxa"/>
          </w:tcPr>
          <w:p>
            <w:pPr>
              <w:pStyle w:val="GesAbsatz"/>
              <w:tabs>
                <w:tab w:val="clear" w:pos="425"/>
              </w:tabs>
              <w:jc w:val="center"/>
            </w:pPr>
            <w:r>
              <w:t>Komponente</w:t>
            </w:r>
          </w:p>
        </w:tc>
        <w:tc>
          <w:tcPr>
            <w:tcW w:w="2551" w:type="dxa"/>
          </w:tcPr>
          <w:p>
            <w:pPr>
              <w:pStyle w:val="GesAbsatz"/>
              <w:tabs>
                <w:tab w:val="clear" w:pos="425"/>
              </w:tabs>
              <w:jc w:val="center"/>
            </w:pPr>
            <w:r>
              <w:t>Zertifizierungsbereich</w:t>
            </w:r>
          </w:p>
        </w:tc>
        <w:tc>
          <w:tcPr>
            <w:tcW w:w="3689" w:type="dxa"/>
            <w:gridSpan w:val="2"/>
          </w:tcPr>
          <w:p>
            <w:pPr>
              <w:pStyle w:val="GesAbsatz"/>
              <w:tabs>
                <w:tab w:val="clear" w:pos="425"/>
              </w:tabs>
              <w:jc w:val="center"/>
            </w:pPr>
            <w:r>
              <w:t>zusätzliche Messbereiche</w:t>
            </w:r>
          </w:p>
        </w:tc>
        <w:tc>
          <w:tcPr>
            <w:tcW w:w="2046" w:type="dxa"/>
          </w:tcPr>
          <w:p>
            <w:pPr>
              <w:pStyle w:val="GesAbsatz"/>
              <w:tabs>
                <w:tab w:val="clear" w:pos="425"/>
              </w:tabs>
              <w:jc w:val="center"/>
            </w:pPr>
            <w:r>
              <w:t>Einheit</w:t>
            </w:r>
          </w:p>
        </w:tc>
      </w:tr>
      <w:tr>
        <w:tc>
          <w:tcPr>
            <w:tcW w:w="1526" w:type="dxa"/>
          </w:tcPr>
          <w:p>
            <w:pPr>
              <w:pStyle w:val="GesAbsatz"/>
              <w:tabs>
                <w:tab w:val="clear" w:pos="425"/>
              </w:tabs>
            </w:pPr>
            <w:r>
              <w:t>CO</w:t>
            </w:r>
          </w:p>
        </w:tc>
        <w:tc>
          <w:tcPr>
            <w:tcW w:w="2551" w:type="dxa"/>
          </w:tcPr>
          <w:p>
            <w:pPr>
              <w:pStyle w:val="GesAbsatz"/>
              <w:tabs>
                <w:tab w:val="clear" w:pos="425"/>
              </w:tabs>
              <w:jc w:val="center"/>
            </w:pPr>
            <w:r>
              <w:t>0 – 200</w:t>
            </w:r>
          </w:p>
        </w:tc>
        <w:tc>
          <w:tcPr>
            <w:tcW w:w="1991" w:type="dxa"/>
          </w:tcPr>
          <w:p>
            <w:pPr>
              <w:pStyle w:val="GesAbsatz"/>
              <w:tabs>
                <w:tab w:val="clear" w:pos="425"/>
              </w:tabs>
              <w:jc w:val="center"/>
            </w:pPr>
            <w:r>
              <w:t>0 – 1 250</w:t>
            </w:r>
          </w:p>
        </w:tc>
        <w:tc>
          <w:tcPr>
            <w:tcW w:w="1698" w:type="dxa"/>
          </w:tcPr>
          <w:p>
            <w:pPr>
              <w:pStyle w:val="GesAbsatz"/>
              <w:tabs>
                <w:tab w:val="clear" w:pos="425"/>
              </w:tabs>
              <w:jc w:val="center"/>
            </w:pPr>
            <w:r>
              <w:t>–</w:t>
            </w:r>
          </w:p>
        </w:tc>
        <w:tc>
          <w:tcPr>
            <w:tcW w:w="2046" w:type="dxa"/>
          </w:tcPr>
          <w:p>
            <w:pPr>
              <w:pStyle w:val="GesAbsatz"/>
              <w:tabs>
                <w:tab w:val="clear" w:pos="425"/>
              </w:tabs>
              <w:jc w:val="center"/>
            </w:pPr>
            <w:r>
              <w:t>mg/m³</w:t>
            </w:r>
          </w:p>
        </w:tc>
      </w:tr>
    </w:tbl>
    <w:p>
      <w:pPr>
        <w:pStyle w:val="GesAbsatz"/>
      </w:pPr>
      <w:r>
        <w:t xml:space="preserve">Die oben genannte Bekanntgabe basiert auf dem Ergänzungsprüfungsbericht der TÜV Süd Industrie Service GmbH mit der Nummer 2219424 und der dazugehörigen Anlage mit der Nummer 2333430, jeweils mit Erstellungsdatum vom 20. März 2015. Sowohl der Prüfbericht als auch die dazugehörige Anlage wurden bezüglich des oben genannten Fehlers korrigiert und tragen nunmehr das Erstellungsdatum 1. September 2015 und die Nummer 2219424, </w:t>
      </w:r>
      <w:proofErr w:type="spellStart"/>
      <w:r>
        <w:t>rev</w:t>
      </w:r>
      <w:proofErr w:type="spellEnd"/>
      <w:r>
        <w:t xml:space="preserve">. 01 bzw. 2333430, </w:t>
      </w:r>
      <w:proofErr w:type="spellStart"/>
      <w:r>
        <w:t>rev</w:t>
      </w:r>
      <w:proofErr w:type="spellEnd"/>
      <w:r>
        <w:t>. 01 und ersetzen die Dokumente vom 20. März 2015.</w:t>
      </w:r>
    </w:p>
    <w:p>
      <w:pPr>
        <w:pStyle w:val="GesAbsatz"/>
      </w:pPr>
      <w:r>
        <w:t>Stellungnahme der TÜV Süd Industrie Service GmbH vom 15. Oktober 2015</w:t>
      </w:r>
    </w:p>
    <w:p>
      <w:pPr>
        <w:pStyle w:val="berschrift2"/>
      </w:pPr>
      <w:bookmarkStart w:id="6" w:name="_Toc446491201"/>
      <w:r>
        <w:t>V.</w:t>
      </w:r>
      <w:r>
        <w:br/>
        <w:t>Mitteilungen zur</w:t>
      </w:r>
      <w:r>
        <w:br/>
        <w:t>Bundeseinheitlichen Praxis bei der Überwachung von Emissionen und Immissionen</w:t>
      </w:r>
      <w:bookmarkEnd w:id="6"/>
    </w:p>
    <w:p>
      <w:pPr>
        <w:pStyle w:val="GesAbsatz"/>
        <w:ind w:left="426" w:hanging="426"/>
        <w:rPr>
          <w:b/>
        </w:rPr>
      </w:pPr>
      <w:r>
        <w:rPr>
          <w:b/>
        </w:rPr>
        <w:t>1</w:t>
      </w:r>
      <w:r>
        <w:rPr>
          <w:b/>
        </w:rPr>
        <w:tab/>
        <w:t>Mitteilung zu der Bekanntmachung des Umweltbundesamtes vom 17. Juli 2014 (BAnz AT 05.08.2014 B11, Kapitel III Nummer 1.1)</w:t>
      </w:r>
    </w:p>
    <w:p>
      <w:pPr>
        <w:pStyle w:val="GesAbsatz"/>
      </w:pPr>
      <w:r>
        <w:lastRenderedPageBreak/>
        <w:t xml:space="preserve">Die Messeinrichtung Gaschromatograph GC 955 Modell 601 Ausführung PID für Benzol von der Firma </w:t>
      </w:r>
      <w:proofErr w:type="spellStart"/>
      <w:r>
        <w:t>Synspec</w:t>
      </w:r>
      <w:proofErr w:type="spellEnd"/>
      <w:r>
        <w:t xml:space="preserve"> B. V. wurde mit einer neuen Software-Version ausgestattet:</w:t>
      </w:r>
    </w:p>
    <w:p>
      <w:pPr>
        <w:pStyle w:val="GesAbsatz"/>
      </w:pPr>
      <w:r>
        <w:t>V 6.0.9.1</w:t>
      </w:r>
    </w:p>
    <w:p>
      <w:pPr>
        <w:pStyle w:val="GesAbsatz"/>
      </w:pPr>
      <w:r>
        <w:t>Im Rahmen der Einführung der neuen Software wurden folgende Hardwareänderungen eingeführt:</w:t>
      </w:r>
    </w:p>
    <w:p>
      <w:pPr>
        <w:pStyle w:val="GesAbsatz"/>
        <w:ind w:left="426" w:hanging="426"/>
      </w:pPr>
      <w:r>
        <w:t>–</w:t>
      </w:r>
      <w:r>
        <w:tab/>
        <w:t>Neue PC-Platine: Nova-8522-G2-R10 Intel Celeron 600 MHz wird ersetzt durch Nova-PV-D5251-G2L2 Intel Atom 1,6 GHz dual core.</w:t>
      </w:r>
    </w:p>
    <w:p>
      <w:pPr>
        <w:pStyle w:val="GesAbsatz"/>
        <w:ind w:left="426" w:hanging="426"/>
      </w:pPr>
      <w:r>
        <w:t>–</w:t>
      </w:r>
      <w:r>
        <w:tab/>
        <w:t xml:space="preserve">Neue Festplatte: </w:t>
      </w:r>
      <w:proofErr w:type="spellStart"/>
      <w:r>
        <w:t>Transend</w:t>
      </w:r>
      <w:proofErr w:type="spellEnd"/>
      <w:r>
        <w:t xml:space="preserve"> TS-32 GPSD 320 (29,6 GB) wird ersetzt durch Samsung ST 160 LM (160 GB).</w:t>
      </w:r>
    </w:p>
    <w:p>
      <w:pPr>
        <w:pStyle w:val="GesAbsatz"/>
        <w:ind w:left="426" w:hanging="426"/>
      </w:pPr>
      <w:r>
        <w:t>–</w:t>
      </w:r>
      <w:r>
        <w:tab/>
        <w:t>Neues Betriebssystem: Windows XP wird ersetzt durch Windows 7.</w:t>
      </w:r>
    </w:p>
    <w:p>
      <w:pPr>
        <w:pStyle w:val="GesAbsatz"/>
      </w:pPr>
      <w:r>
        <w:t>Stellungnahme der Landesanstalt für Umwelt, Messungen und Naturschutz Baden-Württemberg vom 23. Oktober 2015</w:t>
      </w:r>
    </w:p>
    <w:p>
      <w:pPr>
        <w:pStyle w:val="GesAbsatz"/>
        <w:ind w:left="426" w:hanging="426"/>
        <w:rPr>
          <w:b/>
        </w:rPr>
      </w:pPr>
      <w:r>
        <w:rPr>
          <w:b/>
        </w:rPr>
        <w:t>2</w:t>
      </w:r>
      <w:r>
        <w:rPr>
          <w:b/>
        </w:rPr>
        <w:tab/>
        <w:t>Mitteilung zu den Bekanntmachungen des Umweltbundesamtes vom 3. August 2009 (BAnz. S. 2929, Kapitel II Nummer 3.1) und vom 22. Juli 2015 (BAnz AT 26.08.2015 B4, Kapitel V 52. Mitteilung)</w:t>
      </w:r>
    </w:p>
    <w:p>
      <w:pPr>
        <w:pStyle w:val="GesAbsatz"/>
      </w:pPr>
      <w:r>
        <w:t>Die Messeinrichtung Gaschromatograph GC 5000 BTX Ausführung FID für Benzol der Fa. AMA Instruments GmbH kann auch mit dem neuen Verstärkerboard AMA Instruments Artikel Nr. 2895 und dem neuen Temperaturregler AMA Instruments Artikel Nr. 2853 ausgerüstet werden.</w:t>
      </w:r>
    </w:p>
    <w:p>
      <w:pPr>
        <w:pStyle w:val="GesAbsatz"/>
      </w:pPr>
      <w:r>
        <w:t>Stellungnahme der TÜV Rheinland Energie und Umwelt GmbH vom 21. Oktober 2015</w:t>
      </w:r>
    </w:p>
    <w:p>
      <w:pPr>
        <w:pStyle w:val="GesAbsatz"/>
        <w:ind w:left="426" w:hanging="426"/>
        <w:rPr>
          <w:b/>
        </w:rPr>
      </w:pPr>
      <w:r>
        <w:rPr>
          <w:b/>
        </w:rPr>
        <w:t>3</w:t>
      </w:r>
      <w:r>
        <w:rPr>
          <w:b/>
        </w:rPr>
        <w:tab/>
        <w:t>Mitteilung zu den Bekanntmachungen des Umweltbundesamtes vom 10. Januar 2011 (BAnz. S. 294, Kapitel III Nummer 1.1) und vom 22. Juli 2015 (BAnz AT 26.08.2015 B4, Kapitel V 53. Mitteilung)</w:t>
      </w:r>
    </w:p>
    <w:p>
      <w:pPr>
        <w:pStyle w:val="GesAbsatz"/>
      </w:pPr>
      <w:r>
        <w:t>Die Messeinrichtung Gaschromatograph GC 5000 BTX Ausführung PID für Benzol der Fa. AMA Instruments GmbH kann auch mit dem neuen Verstärkerboard AMA Instruments Artikel Nr. 2895 und dem neuen Temperaturregler AMA Instruments Artikel Nr. 2853 ausgerüstet werden.</w:t>
      </w:r>
    </w:p>
    <w:p>
      <w:pPr>
        <w:pStyle w:val="GesAbsatz"/>
      </w:pPr>
      <w:r>
        <w:t>Stellungnahme der TÜV Rheinland Energie und Umwelt GmbH vom 21. Oktober 2015</w:t>
      </w:r>
    </w:p>
    <w:p>
      <w:pPr>
        <w:pStyle w:val="GesAbsatz"/>
        <w:ind w:left="426" w:hanging="426"/>
        <w:rPr>
          <w:b/>
        </w:rPr>
      </w:pPr>
      <w:r>
        <w:rPr>
          <w:b/>
        </w:rPr>
        <w:t>4</w:t>
      </w:r>
      <w:r>
        <w:rPr>
          <w:b/>
        </w:rPr>
        <w:tab/>
        <w:t>Mitteilung zu den Bekanntmachungen des Umweltbundesamtes vom 17. Juli 2014 (BAnz AT 05.08.2014 B11, Kapitel II Nummer 2.1) und vom 25. Februar 2015 (BAnz AT 02.04.2015 B5, Kapitel IV 1. Mitteilung)</w:t>
      </w:r>
    </w:p>
    <w:p>
      <w:pPr>
        <w:pStyle w:val="GesAbsatz"/>
      </w:pPr>
      <w:r>
        <w:t>Die neue Softwareversion für die Messeinrichtung APM-2 für Schwebstaub PM</w:t>
      </w:r>
      <w:r>
        <w:rPr>
          <w:vertAlign w:val="subscript"/>
        </w:rPr>
        <w:t>10</w:t>
      </w:r>
      <w:r>
        <w:t xml:space="preserve"> und PM</w:t>
      </w:r>
      <w:r>
        <w:rPr>
          <w:vertAlign w:val="subscript"/>
        </w:rPr>
        <w:t>2,5</w:t>
      </w:r>
      <w:r>
        <w:t xml:space="preserve"> der Fa. </w:t>
      </w:r>
      <w:proofErr w:type="spellStart"/>
      <w:r>
        <w:t>Comde-Derenda</w:t>
      </w:r>
      <w:proofErr w:type="spellEnd"/>
      <w:r>
        <w:t xml:space="preserve"> GmbH lautet:</w:t>
      </w:r>
    </w:p>
    <w:p>
      <w:pPr>
        <w:pStyle w:val="GesAbsatz"/>
      </w:pPr>
      <w:r>
        <w:t>Softwareversion: 3.05.002</w:t>
      </w:r>
    </w:p>
    <w:p>
      <w:pPr>
        <w:pStyle w:val="GesAbsatz"/>
      </w:pPr>
      <w:r>
        <w:t>Stellungnahme der TÜV Rheinland Energie und Umwelt GmbH vom 21. Oktober 2015</w:t>
      </w:r>
    </w:p>
    <w:p>
      <w:pPr>
        <w:pStyle w:val="GesAbsatz"/>
        <w:ind w:left="426" w:hanging="426"/>
        <w:rPr>
          <w:b/>
        </w:rPr>
      </w:pPr>
      <w:r>
        <w:rPr>
          <w:b/>
        </w:rPr>
        <w:t>5</w:t>
      </w:r>
      <w:r>
        <w:rPr>
          <w:b/>
        </w:rPr>
        <w:tab/>
        <w:t>Mitteilung zu der Bekanntmachung des Umweltbundesamtes vom 25. Februar 2015 (BAnz AT 02.04.2015 B5, Kapitel III Nummer 3.1)</w:t>
      </w:r>
    </w:p>
    <w:p>
      <w:pPr>
        <w:pStyle w:val="GesAbsatz"/>
      </w:pPr>
      <w:r>
        <w:t>Im Handbuch der Messeinrichtung APDA-372 für PM</w:t>
      </w:r>
      <w:r>
        <w:rPr>
          <w:vertAlign w:val="subscript"/>
        </w:rPr>
        <w:t>10</w:t>
      </w:r>
      <w:r>
        <w:t xml:space="preserve"> und PM</w:t>
      </w:r>
      <w:r>
        <w:rPr>
          <w:vertAlign w:val="subscript"/>
        </w:rPr>
        <w:t>2,5</w:t>
      </w:r>
      <w:r>
        <w:t xml:space="preserve"> der Firma HORIBA Europe GmbH wurde ein Fehler hinsichtlich der Beschreibung der Funktionalität der IADS-Regelung festgestellt. Die Beschreibung muss richtig lauten wie folgt:</w:t>
      </w:r>
    </w:p>
    <w:p>
      <w:pPr>
        <w:pStyle w:val="GesAbsatz"/>
        <w:rPr>
          <w:i/>
        </w:rPr>
      </w:pPr>
      <w:r>
        <w:rPr>
          <w:i/>
        </w:rPr>
        <w:t>„Die Temperatur des IADS wird geregelt in Abhängigkeit von der Umgebungstemperatur und Luftfeuchtigkeit (gemessen mit Wetterstation). Die Minimaltemperatur beträgt 23 °C. Die Feuchtekompensation erfolgt dabei durch eine dynamische Anpassung der IADS-Temperatur bis zu einer maximalen Heizleistung von 90 Watt.“</w:t>
      </w:r>
    </w:p>
    <w:p>
      <w:pPr>
        <w:pStyle w:val="GesAbsatz"/>
      </w:pPr>
      <w:r>
        <w:t>Der Hersteller hat ab Handbuchversion HE0141015 diesen Fehler korrigiert. Der Prüfbericht 936/21226418/A vom 29. September 2014 der TÜV Rheinland Energie und Umwelt GmbH wurde ebenfalls korrigiert und wird durch den Prüfbericht 936/21226418/B vom 15. Oktober 2015 ersetzt.</w:t>
      </w:r>
    </w:p>
    <w:p>
      <w:pPr>
        <w:pStyle w:val="GesAbsatz"/>
      </w:pPr>
      <w:r>
        <w:t>Die Messeinrichtung kann zukünftig alternativ mit der Wetterstation Typ WS300-UMB betrieben werden. Für die Messeinrichtung steht eine verlängerte IADS zur Verfügung, anpassbar für einen Längenbereich von 1,20 m bis 2,10 m.</w:t>
      </w:r>
    </w:p>
    <w:p>
      <w:pPr>
        <w:pStyle w:val="GesAbsatz"/>
      </w:pPr>
      <w:r>
        <w:t>Außerdem ist die Geräteversion APDA-372E mit externem Sensor einsetzbar.</w:t>
      </w:r>
    </w:p>
    <w:p>
      <w:pPr>
        <w:pStyle w:val="GesAbsatz"/>
      </w:pPr>
      <w:r>
        <w:t>Die aktuelle Softwareversion lautet:</w:t>
      </w:r>
    </w:p>
    <w:p>
      <w:pPr>
        <w:pStyle w:val="GesAbsatz"/>
      </w:pPr>
      <w:r>
        <w:t>100396.0014.0001.0001.0011</w:t>
      </w:r>
    </w:p>
    <w:p>
      <w:pPr>
        <w:pStyle w:val="GesAbsatz"/>
      </w:pPr>
      <w:r>
        <w:t>Stellungnahme der TÜV Rheinland Energie und Umwelt GmbH vom 6. November 2015</w:t>
      </w:r>
    </w:p>
    <w:p>
      <w:pPr>
        <w:pStyle w:val="GesAbsatz"/>
        <w:ind w:left="426" w:hanging="426"/>
        <w:rPr>
          <w:b/>
        </w:rPr>
      </w:pPr>
      <w:r>
        <w:rPr>
          <w:b/>
        </w:rPr>
        <w:t>6</w:t>
      </w:r>
      <w:r>
        <w:rPr>
          <w:b/>
        </w:rPr>
        <w:tab/>
        <w:t>Mitteilung zu der Bekanntmachung des Umweltbundesamtes vom 22. Juli 2015 (BAnz AT 26.08.2015 B4, Kapitel III Nummer 2.1)</w:t>
      </w:r>
    </w:p>
    <w:p>
      <w:pPr>
        <w:pStyle w:val="GesAbsatz"/>
      </w:pPr>
      <w:r>
        <w:lastRenderedPageBreak/>
        <w:t xml:space="preserve">Im Handbuch der Messeinrichtung </w:t>
      </w:r>
      <w:proofErr w:type="spellStart"/>
      <w:r>
        <w:t>Fidas</w:t>
      </w:r>
      <w:proofErr w:type="spellEnd"/>
      <w:r>
        <w:t xml:space="preserve">® 200 S bzw. </w:t>
      </w:r>
      <w:proofErr w:type="spellStart"/>
      <w:r>
        <w:t>Fidas</w:t>
      </w:r>
      <w:proofErr w:type="spellEnd"/>
      <w:r>
        <w:t>® 200 für PM</w:t>
      </w:r>
      <w:r>
        <w:rPr>
          <w:vertAlign w:val="subscript"/>
        </w:rPr>
        <w:t>10</w:t>
      </w:r>
      <w:r>
        <w:t xml:space="preserve"> und PM</w:t>
      </w:r>
      <w:r>
        <w:rPr>
          <w:vertAlign w:val="subscript"/>
        </w:rPr>
        <w:t>2,5</w:t>
      </w:r>
      <w:r>
        <w:t xml:space="preserve"> der PALAS GmbH wurde ein Fehler hinsichtlich der Beschreibung der Funktionalität der IADS-Regelung festgestellt. Die Beschreibung muss richtig lauten wie folgt:</w:t>
      </w:r>
    </w:p>
    <w:p>
      <w:pPr>
        <w:pStyle w:val="GesAbsatz"/>
        <w:rPr>
          <w:i/>
        </w:rPr>
      </w:pPr>
      <w:r>
        <w:rPr>
          <w:i/>
        </w:rPr>
        <w:t>„Die Temperatur des IADS wird geregelt in Abhängigkeit von der Umgebungstemperatur und Luftfeuchtigkeit (gemessen mit Wetterstation). Die Minimaltemperatur beträgt 23 °C. Die Feuchtekompensation erfolgt dabei durch eine dynamische Anpassung der IADS-Temperatur bis zu einer maximalen Heizleistung von 90 Watt.“</w:t>
      </w:r>
    </w:p>
    <w:p>
      <w:pPr>
        <w:pStyle w:val="GesAbsatz"/>
      </w:pPr>
      <w:r>
        <w:t>Der Hersteller hat ab Handbuchversion V0140815 diesen Fehler korrigiert. Der Prüfbericht 936/21227195/A vom 9. März 2015 der TÜV Rheinland Energie und Umwelt GmbH wurde ebenfalls korrigiert und wird durch den Prüfbericht 936/21227195/B vom 5. Oktober 2015 ersetzt.</w:t>
      </w:r>
    </w:p>
    <w:p>
      <w:pPr>
        <w:pStyle w:val="GesAbsatz"/>
      </w:pPr>
      <w:r>
        <w:t xml:space="preserve">Die Messeinrichtung kann zukünftig alternativ mit der Wetterstation Typ WS300-UMB betrieben werden. Für die Messeinrichtung steht eine verlängerte IADS zur Verfügung, anpassbar für einen Längenbereich von 1,20 m bis 2,10 m. Außerdem ist die Geräteversion </w:t>
      </w:r>
      <w:proofErr w:type="spellStart"/>
      <w:r>
        <w:t>Fidas</w:t>
      </w:r>
      <w:proofErr w:type="spellEnd"/>
      <w:r>
        <w:t>® 200 E mit externem Sensor einsetzbar.</w:t>
      </w:r>
    </w:p>
    <w:p>
      <w:pPr>
        <w:pStyle w:val="GesAbsatz"/>
      </w:pPr>
      <w:r>
        <w:t>Die aktuelle Softwareversion lautet:</w:t>
      </w:r>
    </w:p>
    <w:p>
      <w:pPr>
        <w:pStyle w:val="GesAbsatz"/>
      </w:pPr>
      <w:r>
        <w:t>100396.0014.0001.0001.0011</w:t>
      </w:r>
    </w:p>
    <w:p>
      <w:pPr>
        <w:pStyle w:val="GesAbsatz"/>
      </w:pPr>
      <w:r>
        <w:t>Stellungnahme der TÜV Rheinland Energie und Umwelt GmbH vom 6. November 2015</w:t>
      </w:r>
    </w:p>
    <w:p>
      <w:pPr>
        <w:pStyle w:val="GesAbsatz"/>
        <w:ind w:left="426" w:hanging="426"/>
        <w:rPr>
          <w:b/>
        </w:rPr>
      </w:pPr>
      <w:r>
        <w:rPr>
          <w:b/>
        </w:rPr>
        <w:t>7</w:t>
      </w:r>
      <w:r>
        <w:rPr>
          <w:b/>
        </w:rPr>
        <w:tab/>
        <w:t>Mitteilung zu den Bekanntmachungen des Umweltbundesamtes vom 23. September 2007 (BAnz. S. 7925, Kapitel II Nummer 1.1) und vom 17. Juli 2014 (BAnz AT 05.08.2014 B11, Kapitel V 17. Mitteilung)</w:t>
      </w:r>
    </w:p>
    <w:p>
      <w:pPr>
        <w:pStyle w:val="GesAbsatz"/>
      </w:pPr>
      <w:r>
        <w:t>Die aktuellen Softwareversionen für die Messeinrichtung 100E/T100 für SO</w:t>
      </w:r>
      <w:r>
        <w:rPr>
          <w:vertAlign w:val="subscript"/>
        </w:rPr>
        <w:t>2</w:t>
      </w:r>
      <w:r>
        <w:t xml:space="preserve"> der Firma Teledyne Advanced Pollution Instrumentation lauten:</w:t>
      </w:r>
    </w:p>
    <w:p>
      <w:pPr>
        <w:pStyle w:val="GesAbsatz"/>
        <w:tabs>
          <w:tab w:val="left" w:pos="1985"/>
        </w:tabs>
      </w:pPr>
      <w:r>
        <w:t>Package Version:</w:t>
      </w:r>
      <w:r>
        <w:tab/>
        <w:t>1.0.4</w:t>
      </w:r>
    </w:p>
    <w:p>
      <w:pPr>
        <w:pStyle w:val="GesAbsatz"/>
        <w:tabs>
          <w:tab w:val="left" w:pos="1985"/>
        </w:tabs>
      </w:pPr>
      <w:r>
        <w:t>Driver Version:</w:t>
      </w:r>
      <w:r>
        <w:tab/>
        <w:t>1.0.12</w:t>
      </w:r>
    </w:p>
    <w:p>
      <w:pPr>
        <w:pStyle w:val="GesAbsatz"/>
      </w:pPr>
      <w:r>
        <w:t>Stellungnahme der TÜV Rheinland Energie und Umwelt GmbH vom 19. Oktober 2015</w:t>
      </w:r>
    </w:p>
    <w:p>
      <w:pPr>
        <w:pStyle w:val="GesAbsatz"/>
        <w:ind w:left="426" w:hanging="426"/>
        <w:rPr>
          <w:b/>
        </w:rPr>
      </w:pPr>
      <w:r>
        <w:rPr>
          <w:b/>
        </w:rPr>
        <w:t>8</w:t>
      </w:r>
      <w:r>
        <w:rPr>
          <w:b/>
        </w:rPr>
        <w:tab/>
        <w:t>Mitteilung zu den Bekanntmachungen des Umweltbundesamtes vom 23. September 2007 (BAnz. S. 7925, Kapitel II Nummer 2.1) und vom 25. Februar 2015 (BAnz AT 02.04.2015 B5, Kapitel IV 15. Mitteilung)</w:t>
      </w:r>
    </w:p>
    <w:p>
      <w:pPr>
        <w:pStyle w:val="GesAbsatz"/>
      </w:pPr>
      <w:r>
        <w:t>Die aktuellen Softwareversionen für die Messeinrichtung 200E/T200 für NO, NO</w:t>
      </w:r>
      <w:r>
        <w:rPr>
          <w:vertAlign w:val="subscript"/>
        </w:rPr>
        <w:t>2</w:t>
      </w:r>
      <w:r>
        <w:t xml:space="preserve"> und NO</w:t>
      </w:r>
      <w:r>
        <w:rPr>
          <w:vertAlign w:val="subscript"/>
        </w:rPr>
        <w:t>x</w:t>
      </w:r>
      <w:r>
        <w:t xml:space="preserve"> der Firma Teledyne </w:t>
      </w:r>
      <w:proofErr w:type="spellStart"/>
      <w:r>
        <w:t>Advanced</w:t>
      </w:r>
      <w:proofErr w:type="spellEnd"/>
      <w:r>
        <w:t xml:space="preserve"> Pollution Instrumentation lauten:</w:t>
      </w:r>
    </w:p>
    <w:p>
      <w:pPr>
        <w:pStyle w:val="GesAbsatz"/>
        <w:tabs>
          <w:tab w:val="left" w:pos="1985"/>
        </w:tabs>
      </w:pPr>
      <w:r>
        <w:t>Package Version:</w:t>
      </w:r>
      <w:r>
        <w:tab/>
        <w:t>1.0.2</w:t>
      </w:r>
    </w:p>
    <w:p>
      <w:pPr>
        <w:pStyle w:val="GesAbsatz"/>
        <w:tabs>
          <w:tab w:val="left" w:pos="1985"/>
        </w:tabs>
      </w:pPr>
      <w:r>
        <w:t>Driver Version:</w:t>
      </w:r>
      <w:r>
        <w:tab/>
        <w:t>1.0.6</w:t>
      </w:r>
    </w:p>
    <w:p>
      <w:pPr>
        <w:pStyle w:val="GesAbsatz"/>
      </w:pPr>
      <w:r>
        <w:t>Stellungnahme der TÜV Rheinland Energie und Umwelt GmbH vom 19. Oktober 2015</w:t>
      </w:r>
    </w:p>
    <w:p>
      <w:pPr>
        <w:pStyle w:val="GesAbsatz"/>
        <w:ind w:left="426" w:hanging="426"/>
        <w:rPr>
          <w:b/>
        </w:rPr>
      </w:pPr>
      <w:r>
        <w:rPr>
          <w:b/>
        </w:rPr>
        <w:t>9</w:t>
      </w:r>
      <w:r>
        <w:rPr>
          <w:b/>
        </w:rPr>
        <w:tab/>
        <w:t>Mitteilung zu den Bekanntmachungen des Umweltbundesamtes vom 25. Juli 2005 (BAnz. S. 15 700, Kapitel IV Nummer 2.1) und vom 17. Juli 2014 (BAnz AT 05.08.2014 B11, Kapitel V 18. Mitteilung)</w:t>
      </w:r>
    </w:p>
    <w:p>
      <w:pPr>
        <w:pStyle w:val="GesAbsatz"/>
      </w:pPr>
      <w:r>
        <w:t>Die aktuellen Softwareversionen für die Messeinrichtung 300E/T300 für CO der Firma Teledyne Advanced Pollution Instrumentation lauten:</w:t>
      </w:r>
    </w:p>
    <w:p>
      <w:pPr>
        <w:pStyle w:val="GesAbsatz"/>
        <w:tabs>
          <w:tab w:val="left" w:pos="1985"/>
        </w:tabs>
      </w:pPr>
      <w:r>
        <w:t>Package Version:</w:t>
      </w:r>
      <w:r>
        <w:tab/>
        <w:t>1.0.1</w:t>
      </w:r>
    </w:p>
    <w:p>
      <w:pPr>
        <w:pStyle w:val="GesAbsatz"/>
        <w:tabs>
          <w:tab w:val="left" w:pos="1985"/>
        </w:tabs>
      </w:pPr>
      <w:r>
        <w:t>Driver Version:</w:t>
      </w:r>
      <w:r>
        <w:tab/>
        <w:t>1.0.6</w:t>
      </w:r>
    </w:p>
    <w:p>
      <w:pPr>
        <w:pStyle w:val="GesAbsatz"/>
      </w:pPr>
      <w:r>
        <w:t>Stellungnahme der TÜV Rheinland Energie und Umwelt GmbH vom 19. Oktober 2015</w:t>
      </w:r>
    </w:p>
    <w:p>
      <w:pPr>
        <w:pStyle w:val="GesAbsatz"/>
        <w:ind w:left="426" w:hanging="426"/>
        <w:rPr>
          <w:b/>
        </w:rPr>
      </w:pPr>
      <w:r>
        <w:rPr>
          <w:b/>
        </w:rPr>
        <w:t>10</w:t>
      </w:r>
      <w:r>
        <w:rPr>
          <w:b/>
        </w:rPr>
        <w:tab/>
        <w:t>Mitteilung zu den Bekanntmachungen des Umweltbundesamtes vom 25. Juli 2005 (BAnz. S. 15 700, Kapitel IV Nummer 3.1) und vom 17. Juli 2014 (BAnz AT 05.08.2014 B11, Kapitel V 19. Mitteilung)</w:t>
      </w:r>
    </w:p>
    <w:p>
      <w:pPr>
        <w:pStyle w:val="GesAbsatz"/>
      </w:pPr>
      <w:r>
        <w:t>Die aktuellen Softwareversionen für die Messeinrichtung 400E/T400 für O</w:t>
      </w:r>
      <w:r>
        <w:rPr>
          <w:vertAlign w:val="subscript"/>
        </w:rPr>
        <w:t>3</w:t>
      </w:r>
      <w:r>
        <w:t xml:space="preserve"> der Firma Teledyne Advanced Pollution Instrumentation lauten:</w:t>
      </w:r>
    </w:p>
    <w:p>
      <w:pPr>
        <w:pStyle w:val="GesAbsatz"/>
        <w:tabs>
          <w:tab w:val="left" w:pos="1985"/>
        </w:tabs>
      </w:pPr>
      <w:r>
        <w:t>Package Version:</w:t>
      </w:r>
      <w:r>
        <w:tab/>
        <w:t>1.0.2</w:t>
      </w:r>
    </w:p>
    <w:p>
      <w:pPr>
        <w:pStyle w:val="GesAbsatz"/>
        <w:tabs>
          <w:tab w:val="left" w:pos="1985"/>
        </w:tabs>
      </w:pPr>
      <w:r>
        <w:t>Driver Version:</w:t>
      </w:r>
      <w:r>
        <w:tab/>
        <w:t>1.0.3</w:t>
      </w:r>
    </w:p>
    <w:p>
      <w:pPr>
        <w:pStyle w:val="GesAbsatz"/>
      </w:pPr>
      <w:r>
        <w:t>Stellungnahme der TÜV Rheinland Energie und Umwelt GmbH vom 19. Oktober 2015</w:t>
      </w:r>
    </w:p>
    <w:p>
      <w:pPr>
        <w:pStyle w:val="GesAbsatz"/>
        <w:ind w:left="426" w:hanging="426"/>
        <w:rPr>
          <w:b/>
        </w:rPr>
      </w:pPr>
      <w:r>
        <w:rPr>
          <w:b/>
        </w:rPr>
        <w:t>11</w:t>
      </w:r>
      <w:r>
        <w:rPr>
          <w:b/>
        </w:rPr>
        <w:tab/>
        <w:t>Mitteilung zu der Bekanntmachung des Umweltbundesamtes vom 22. Juli 2015 (BAnz AT 26.08.2015 B4, Kapitel III Nummer 1.1)</w:t>
      </w:r>
    </w:p>
    <w:p>
      <w:pPr>
        <w:pStyle w:val="GesAbsatz"/>
      </w:pPr>
      <w:r>
        <w:lastRenderedPageBreak/>
        <w:t>Die aktuellen Softwareversionen für die Messeinrichtung T500U für NO</w:t>
      </w:r>
      <w:r>
        <w:rPr>
          <w:vertAlign w:val="subscript"/>
        </w:rPr>
        <w:t>2</w:t>
      </w:r>
      <w:r>
        <w:t xml:space="preserve"> der Firma Teledyne Advanced Pollution Instrumentation lauten:</w:t>
      </w:r>
    </w:p>
    <w:p>
      <w:pPr>
        <w:pStyle w:val="GesAbsatz"/>
        <w:tabs>
          <w:tab w:val="left" w:pos="1985"/>
        </w:tabs>
      </w:pPr>
      <w:r>
        <w:t>Package Version:</w:t>
      </w:r>
      <w:r>
        <w:tab/>
        <w:t>1.0.0</w:t>
      </w:r>
    </w:p>
    <w:p>
      <w:pPr>
        <w:pStyle w:val="GesAbsatz"/>
        <w:tabs>
          <w:tab w:val="left" w:pos="1985"/>
        </w:tabs>
      </w:pPr>
      <w:r>
        <w:t>Driver Version:</w:t>
      </w:r>
      <w:r>
        <w:tab/>
        <w:t>1.0.2</w:t>
      </w:r>
    </w:p>
    <w:p>
      <w:pPr>
        <w:pStyle w:val="GesAbsatz"/>
      </w:pPr>
      <w:r>
        <w:t>Stellungnahme der TÜV Rheinland Energie und Umwelt GmbH vom 19. Oktober 2015</w:t>
      </w:r>
    </w:p>
    <w:p>
      <w:pPr>
        <w:pStyle w:val="GesAbsatz"/>
        <w:ind w:left="426" w:hanging="426"/>
        <w:rPr>
          <w:b/>
        </w:rPr>
      </w:pPr>
      <w:r>
        <w:rPr>
          <w:b/>
        </w:rPr>
        <w:t>12</w:t>
      </w:r>
      <w:r>
        <w:rPr>
          <w:b/>
        </w:rPr>
        <w:tab/>
        <w:t>Mitteilung zu den Bekanntmachungen des Umweltbundesamtes vom 21. Februar 2006 (BAnz. S. 2653, Kapitel IV Nummer 4.1) und vom 25. Februar 2015 (BAnz AT 02.04.2015 B5, Kapitel IV 16. Mitteilung)</w:t>
      </w:r>
    </w:p>
    <w:p>
      <w:pPr>
        <w:pStyle w:val="GesAbsatz"/>
      </w:pPr>
      <w:r>
        <w:t>Die aktuelle Softwareversion der Messeinrichtung Modell 42i für NO, NO</w:t>
      </w:r>
      <w:r>
        <w:rPr>
          <w:vertAlign w:val="subscript"/>
        </w:rPr>
        <w:t>2</w:t>
      </w:r>
      <w:r>
        <w:t xml:space="preserve"> und NO</w:t>
      </w:r>
      <w:r>
        <w:rPr>
          <w:vertAlign w:val="subscript"/>
        </w:rPr>
        <w:t>x</w:t>
      </w:r>
      <w:r>
        <w:t xml:space="preserve"> der Fa. Thermo Fisher Scientific lautet:</w:t>
      </w:r>
    </w:p>
    <w:p>
      <w:pPr>
        <w:pStyle w:val="GesAbsatz"/>
      </w:pPr>
      <w:r>
        <w:t>V 02.02.04</w:t>
      </w:r>
    </w:p>
    <w:p>
      <w:pPr>
        <w:pStyle w:val="GesAbsatz"/>
      </w:pPr>
      <w:r>
        <w:t>Stellungnahme der TÜV Rheinland Energie und Umwelt GmbH vom 22. Oktober 2015</w:t>
      </w:r>
    </w:p>
    <w:p>
      <w:pPr>
        <w:pStyle w:val="GesAbsatz"/>
        <w:ind w:left="426" w:hanging="426"/>
        <w:rPr>
          <w:b/>
        </w:rPr>
      </w:pPr>
      <w:r>
        <w:rPr>
          <w:b/>
        </w:rPr>
        <w:t>13</w:t>
      </w:r>
      <w:r>
        <w:rPr>
          <w:b/>
        </w:rPr>
        <w:tab/>
        <w:t>Mitteilung zu den Bekanntmachungen des Umweltbundesamtes vom 12. September 2006 (BAnz. S. 6715, Kapitel IV Nummer 2.2) und vom 25. Februar 2015 (BAnz AT 02.04.2015 B5, Kapitel IV 17. Mitteilung)</w:t>
      </w:r>
    </w:p>
    <w:p>
      <w:pPr>
        <w:pStyle w:val="GesAbsatz"/>
      </w:pPr>
      <w:r>
        <w:t>Die aktuelle Softwareversion der Messeinrichtung Modell 43i für SO</w:t>
      </w:r>
      <w:r>
        <w:rPr>
          <w:vertAlign w:val="subscript"/>
        </w:rPr>
        <w:t>2</w:t>
      </w:r>
      <w:r>
        <w:t xml:space="preserve"> der Fa. Thermo Fisher Scientific lautet:</w:t>
      </w:r>
    </w:p>
    <w:p>
      <w:pPr>
        <w:pStyle w:val="GesAbsatz"/>
      </w:pPr>
      <w:r>
        <w:t>V 02.02.07</w:t>
      </w:r>
    </w:p>
    <w:p>
      <w:pPr>
        <w:pStyle w:val="GesAbsatz"/>
      </w:pPr>
      <w:r>
        <w:t>Stellungnahme der TÜV Rheinland Energie und Umwelt GmbH vom 22. Oktober 2015</w:t>
      </w:r>
    </w:p>
    <w:p>
      <w:pPr>
        <w:pStyle w:val="GesAbsatz"/>
        <w:ind w:left="426" w:hanging="426"/>
        <w:rPr>
          <w:b/>
        </w:rPr>
      </w:pPr>
      <w:r>
        <w:rPr>
          <w:b/>
        </w:rPr>
        <w:t>14</w:t>
      </w:r>
      <w:r>
        <w:rPr>
          <w:b/>
        </w:rPr>
        <w:tab/>
        <w:t>Mitteilung zu den Bekanntmachungen des Umweltbundesamtes vom 21. Februar 2006 (BAnz. S. 2653, Kapitel IV Nummer 2.2) und vom 25. Februar 2015 (BAnz AT 02.04.2015 B5, Kapitel IV 18. Mitteilung)</w:t>
      </w:r>
    </w:p>
    <w:p>
      <w:pPr>
        <w:pStyle w:val="GesAbsatz"/>
      </w:pPr>
      <w:r>
        <w:t>Die aktuelle Softwareversion der Messeinrichtung Modell 48i für CO der Fa. Thermo Fisher Scientific lautet:</w:t>
      </w:r>
    </w:p>
    <w:p>
      <w:pPr>
        <w:pStyle w:val="GesAbsatz"/>
      </w:pPr>
      <w:r>
        <w:t>V 02.02.03</w:t>
      </w:r>
    </w:p>
    <w:p>
      <w:pPr>
        <w:pStyle w:val="GesAbsatz"/>
      </w:pPr>
      <w:r>
        <w:t>Stellungnahme der TÜV Rheinland Energie und Umwelt GmbH vom 22. Oktober 2015</w:t>
      </w:r>
    </w:p>
    <w:p>
      <w:pPr>
        <w:pStyle w:val="GesAbsatz"/>
        <w:ind w:left="426" w:hanging="426"/>
        <w:rPr>
          <w:b/>
        </w:rPr>
      </w:pPr>
      <w:r>
        <w:rPr>
          <w:b/>
        </w:rPr>
        <w:t>15</w:t>
      </w:r>
      <w:r>
        <w:rPr>
          <w:b/>
        </w:rPr>
        <w:tab/>
        <w:t>Mitteilung zu den Bekanntmachungen des Umweltbundesamtes vom 21. Februar 2006 (BAnz. S. 2653, Kapitel IV Nummer 3.2) und vom 25. Februar 2015 (BAnz AT 02.04.2015 B5, Kapitel IV 19. Mitteilung)</w:t>
      </w:r>
    </w:p>
    <w:p>
      <w:pPr>
        <w:pStyle w:val="GesAbsatz"/>
      </w:pPr>
      <w:r>
        <w:t>Die aktuelle Softwareversion der Messeinrichtung Modell 49i für O</w:t>
      </w:r>
      <w:r>
        <w:rPr>
          <w:vertAlign w:val="subscript"/>
        </w:rPr>
        <w:t>3</w:t>
      </w:r>
      <w:r>
        <w:t xml:space="preserve"> der Fa. Thermo Fisher Scientific lautet:</w:t>
      </w:r>
    </w:p>
    <w:p>
      <w:pPr>
        <w:pStyle w:val="GesAbsatz"/>
      </w:pPr>
      <w:r>
        <w:t>V 02.02.06</w:t>
      </w:r>
    </w:p>
    <w:p>
      <w:pPr>
        <w:pStyle w:val="GesAbsatz"/>
      </w:pPr>
      <w:r>
        <w:t>Es kann der Lüfter EBM-Papst 8314 HL statt dem bisher verbauten Lüfter verwendet werden.</w:t>
      </w:r>
    </w:p>
    <w:p>
      <w:pPr>
        <w:pStyle w:val="GesAbsatz"/>
      </w:pPr>
      <w:r>
        <w:t>Stellungnahme der TÜV Rheinland Energie und Umwelt GmbH vom 22. Oktober 2015</w:t>
      </w:r>
    </w:p>
    <w:p>
      <w:pPr>
        <w:pStyle w:val="GesAbsatz"/>
        <w:ind w:left="426" w:hanging="426"/>
        <w:rPr>
          <w:b/>
        </w:rPr>
      </w:pPr>
      <w:r>
        <w:rPr>
          <w:b/>
        </w:rPr>
        <w:t>16</w:t>
      </w:r>
      <w:r>
        <w:rPr>
          <w:b/>
        </w:rPr>
        <w:tab/>
        <w:t>Mitteilung zu den Bekanntmachungen des Umweltbundesamtes vom 27. Februar 2014 (BAnz AT 01.04.2014 B12, Kapitel IV Nummer 6.2) und vom 25. Februar 2015 (BAnz AT 02.04.2015 B5, Kapitel IV 23. Mitteilung)</w:t>
      </w:r>
    </w:p>
    <w:p>
      <w:pPr>
        <w:pStyle w:val="GesAbsatz"/>
      </w:pPr>
      <w:r>
        <w:t>Die Messeinrichtung 5014i Beta mit PM</w:t>
      </w:r>
      <w:r>
        <w:rPr>
          <w:vertAlign w:val="subscript"/>
        </w:rPr>
        <w:t>2,5</w:t>
      </w:r>
      <w:r>
        <w:t>-Vorabscheider für Schwebstaub PM</w:t>
      </w:r>
      <w:r>
        <w:rPr>
          <w:vertAlign w:val="subscript"/>
        </w:rPr>
        <w:t>2,5</w:t>
      </w:r>
      <w:r>
        <w:t xml:space="preserve"> der Fa. Thermo Fisher Scientific kann auch mit der Vakuumpumpe vom Typ GAST 87R647-PDS-HV-913 betrieben werden.</w:t>
      </w:r>
    </w:p>
    <w:p>
      <w:pPr>
        <w:pStyle w:val="GesAbsatz"/>
      </w:pPr>
      <w:r>
        <w:t>Stellungnahme der TÜV Rheinland Energie und Umwelt GmbH vom 22. Oktober 2015</w:t>
      </w:r>
    </w:p>
    <w:p>
      <w:pPr>
        <w:pStyle w:val="GesAbsatz"/>
        <w:ind w:left="426" w:hanging="426"/>
        <w:rPr>
          <w:b/>
        </w:rPr>
      </w:pPr>
      <w:r>
        <w:rPr>
          <w:b/>
        </w:rPr>
        <w:t>17</w:t>
      </w:r>
      <w:r>
        <w:rPr>
          <w:b/>
        </w:rPr>
        <w:tab/>
        <w:t>Mitteilung zu den Bekanntmachungen des Umweltbundesamtes vom 27. Februar 2014 (BAnz AT 01.04.2014 B12, Kapitel IV Nummer 6.3) und vom 25. Februar 2015 (BAnz AT 02.04.2015 B5, Kapitel IV 25. Mitteilung)</w:t>
      </w:r>
    </w:p>
    <w:p>
      <w:pPr>
        <w:pStyle w:val="GesAbsatz"/>
      </w:pPr>
      <w:r>
        <w:t>Die Messeinrichtung 5030i SHARP mit PM</w:t>
      </w:r>
      <w:r>
        <w:rPr>
          <w:vertAlign w:val="subscript"/>
        </w:rPr>
        <w:t>2,5</w:t>
      </w:r>
      <w:r>
        <w:t>-Vorabscheider für Schwebstaub PM</w:t>
      </w:r>
      <w:r>
        <w:rPr>
          <w:vertAlign w:val="subscript"/>
        </w:rPr>
        <w:t>2,5</w:t>
      </w:r>
      <w:r>
        <w:t xml:space="preserve"> der Fa. Thermo Fisher Scientific kann auch mit der Vakuumpumpe vom Typ GAST 87R647-PDS-HV-913 betrieben werden.</w:t>
      </w:r>
    </w:p>
    <w:p>
      <w:pPr>
        <w:pStyle w:val="GesAbsatz"/>
      </w:pPr>
      <w:r>
        <w:t>Stellungnahme der TÜV Rheinland Energie und Umwelt GmbH vom 22. Oktober 2015</w:t>
      </w:r>
    </w:p>
    <w:p>
      <w:pPr>
        <w:pStyle w:val="GesAbsatz"/>
        <w:ind w:left="426" w:hanging="426"/>
        <w:rPr>
          <w:b/>
        </w:rPr>
      </w:pPr>
      <w:r>
        <w:rPr>
          <w:b/>
        </w:rPr>
        <w:t>18</w:t>
      </w:r>
      <w:r>
        <w:rPr>
          <w:b/>
        </w:rPr>
        <w:tab/>
        <w:t>Mitteilung zu den Bekanntmachungen des Umweltbundesamtes vom 23. Februar 2012 (BAnz. S. 920, Kapitel III Nummer 1.2) und vom 25. Februar 2015 (BAnz AT 02.04.2015 B5, Kapitel IV 30. Mitteilung)</w:t>
      </w:r>
    </w:p>
    <w:p>
      <w:pPr>
        <w:pStyle w:val="GesAbsatz"/>
      </w:pPr>
      <w:r>
        <w:t xml:space="preserve">Die aktuelle Softwareversion der Auswerteeinrichtung D-EMS 2000 der Firma Durag </w:t>
      </w:r>
      <w:proofErr w:type="spellStart"/>
      <w:r>
        <w:t>data</w:t>
      </w:r>
      <w:proofErr w:type="spellEnd"/>
      <w:r>
        <w:t xml:space="preserve"> </w:t>
      </w:r>
      <w:proofErr w:type="spellStart"/>
      <w:r>
        <w:t>systems</w:t>
      </w:r>
      <w:proofErr w:type="spellEnd"/>
      <w:r>
        <w:t xml:space="preserve"> GmbH lautet:</w:t>
      </w:r>
    </w:p>
    <w:p>
      <w:pPr>
        <w:pStyle w:val="GesAbsatz"/>
      </w:pPr>
      <w:r>
        <w:t>V 4.50.12994</w:t>
      </w:r>
    </w:p>
    <w:p>
      <w:pPr>
        <w:pStyle w:val="GesAbsatz"/>
      </w:pPr>
      <w:r>
        <w:t>Stellungnahme der TÜV Rheinland Energie und Umwelt GmbH vom 13. Oktober 2015</w:t>
      </w:r>
    </w:p>
    <w:p>
      <w:pPr>
        <w:pStyle w:val="GesAbsatz"/>
        <w:ind w:left="426" w:hanging="426"/>
        <w:rPr>
          <w:b/>
        </w:rPr>
      </w:pPr>
      <w:r>
        <w:rPr>
          <w:b/>
        </w:rPr>
        <w:lastRenderedPageBreak/>
        <w:t>19</w:t>
      </w:r>
      <w:r>
        <w:rPr>
          <w:b/>
        </w:rPr>
        <w:tab/>
        <w:t>Mitteilung zu den Bekanntmachungen des Umweltbundesamtes vom 12. Februar 2013 (BAnz AT 05.03.2013 B10, Kapitel III Nummer 1.1) und vom 22. Juli 2015 (BAnz AT 26.08.2015 B11, Kapitel V 1. Mitteilung)</w:t>
      </w:r>
    </w:p>
    <w:p>
      <w:pPr>
        <w:pStyle w:val="GesAbsatz"/>
      </w:pPr>
      <w:r>
        <w:t>Die aktuelle Softwareversion des Emissionsrechners MEAC2012 der Firma SICK AG, Hamburg lautet:</w:t>
      </w:r>
    </w:p>
    <w:p>
      <w:pPr>
        <w:pStyle w:val="GesAbsatz"/>
      </w:pPr>
      <w:r>
        <w:t>Version 3.6</w:t>
      </w:r>
    </w:p>
    <w:p>
      <w:pPr>
        <w:pStyle w:val="GesAbsatz"/>
      </w:pPr>
      <w:r>
        <w:t>In Anlagen mit Datenfernübertragung (EFÜ) ist ein Software-Update notwendig. Die Übertragung von Meldungen und Messwertkennungen wird korrigiert.</w:t>
      </w:r>
    </w:p>
    <w:p>
      <w:pPr>
        <w:pStyle w:val="GesAbsatz"/>
      </w:pPr>
      <w:r>
        <w:t>In Anlagen entsprechend der 17. bzw. 30. BImSchV wird ein Software-Update auf die neue Version empfohlen. Die Ausgabe der Meldung „ARE-Ausfall &gt; 60 h“ wird hier korrigiert.</w:t>
      </w:r>
    </w:p>
    <w:p>
      <w:pPr>
        <w:pStyle w:val="GesAbsatz"/>
      </w:pPr>
      <w:r>
        <w:t>Stellungnahme der TÜV Rheinland Energie und Umwelt GmbH vom 14. Oktober 2015</w:t>
      </w:r>
    </w:p>
    <w:p>
      <w:pPr>
        <w:pStyle w:val="GesAbsatz"/>
        <w:ind w:left="426" w:hanging="426"/>
        <w:rPr>
          <w:b/>
        </w:rPr>
      </w:pPr>
      <w:r>
        <w:rPr>
          <w:b/>
        </w:rPr>
        <w:t>20</w:t>
      </w:r>
      <w:r>
        <w:rPr>
          <w:b/>
        </w:rPr>
        <w:tab/>
        <w:t>Mitteilung zu den Bekanntmachungen des Umweltbundesamtes vom 23. Februar 2012 (BAnz. S. 920, Kapitel III Nummer 1.1) und vom 22. Juli 2015 (BAnz AT 26.08.2015 B4, Kapitel V 2. Mitteilung)</w:t>
      </w:r>
    </w:p>
    <w:p>
      <w:pPr>
        <w:pStyle w:val="GesAbsatz"/>
      </w:pPr>
      <w:r>
        <w:t xml:space="preserve">Die Software des Emissionsrechners </w:t>
      </w:r>
      <w:proofErr w:type="spellStart"/>
      <w:r>
        <w:t>UmweltOffice</w:t>
      </w:r>
      <w:proofErr w:type="spellEnd"/>
      <w:r>
        <w:t xml:space="preserve"> der Firma </w:t>
      </w:r>
      <w:proofErr w:type="spellStart"/>
      <w:r>
        <w:t>Siempelkamp</w:t>
      </w:r>
      <w:proofErr w:type="spellEnd"/>
      <w:r>
        <w:t xml:space="preserve"> NIS Ingenieurgesellschaft mbH wurde um die Auswertung der Kalibrierbereichsüberwachung entsprechend der DIN EN 14181 (Ausgabe 2015) ergänzt.</w:t>
      </w:r>
    </w:p>
    <w:p>
      <w:pPr>
        <w:pStyle w:val="GesAbsatz"/>
      </w:pPr>
      <w:r>
        <w:t xml:space="preserve">Weiter wurde die Software des Emissionsrechners </w:t>
      </w:r>
      <w:proofErr w:type="spellStart"/>
      <w:r>
        <w:t>UmweltOffice</w:t>
      </w:r>
      <w:proofErr w:type="spellEnd"/>
      <w:r>
        <w:t xml:space="preserve"> um die digitale Schnittstelle-</w:t>
      </w:r>
      <w:proofErr w:type="spellStart"/>
      <w:r>
        <w:t>Modbus</w:t>
      </w:r>
      <w:proofErr w:type="spellEnd"/>
      <w:r>
        <w:t xml:space="preserve"> (EIA-485, seriell und TCP/IP über Ethernet) entsprechend VDI 4201 Blatt 1 und Blatt 3 erweitert.</w:t>
      </w:r>
    </w:p>
    <w:p>
      <w:pPr>
        <w:pStyle w:val="GesAbsatz"/>
      </w:pPr>
      <w:r>
        <w:t xml:space="preserve">Die aktuellen Softwareversionen des Emissionsrechners </w:t>
      </w:r>
      <w:proofErr w:type="spellStart"/>
      <w:r>
        <w:t>UmweltOffice</w:t>
      </w:r>
      <w:proofErr w:type="spellEnd"/>
      <w:r>
        <w:t xml:space="preserve"> lauten:</w:t>
      </w:r>
    </w:p>
    <w:p>
      <w:pPr>
        <w:pStyle w:val="GesAbsatz"/>
        <w:tabs>
          <w:tab w:val="clear" w:pos="425"/>
          <w:tab w:val="left" w:pos="1985"/>
        </w:tabs>
        <w:rPr>
          <w:lang w:val="en-US"/>
        </w:rPr>
      </w:pPr>
      <w:proofErr w:type="spellStart"/>
      <w:r>
        <w:rPr>
          <w:lang w:val="en-US"/>
        </w:rPr>
        <w:t>UmweltOffice</w:t>
      </w:r>
      <w:proofErr w:type="spellEnd"/>
      <w:r>
        <w:rPr>
          <w:lang w:val="en-US"/>
        </w:rPr>
        <w:tab/>
        <w:t>7.2.00</w:t>
      </w:r>
    </w:p>
    <w:p>
      <w:pPr>
        <w:pStyle w:val="GesAbsatz"/>
        <w:tabs>
          <w:tab w:val="clear" w:pos="425"/>
          <w:tab w:val="left" w:pos="1985"/>
        </w:tabs>
        <w:rPr>
          <w:lang w:val="en-US"/>
        </w:rPr>
      </w:pPr>
      <w:r>
        <w:rPr>
          <w:lang w:val="en-US"/>
        </w:rPr>
        <w:t>Oracle-Datenbank:</w:t>
      </w:r>
      <w:r>
        <w:rPr>
          <w:lang w:val="en-US"/>
        </w:rPr>
        <w:tab/>
        <w:t>11.2</w:t>
      </w:r>
    </w:p>
    <w:p>
      <w:pPr>
        <w:pStyle w:val="GesAbsatz"/>
        <w:tabs>
          <w:tab w:val="clear" w:pos="425"/>
          <w:tab w:val="left" w:pos="1985"/>
        </w:tabs>
        <w:rPr>
          <w:lang w:val="en-US"/>
        </w:rPr>
      </w:pPr>
      <w:r>
        <w:rPr>
          <w:lang w:val="en-US"/>
        </w:rPr>
        <w:t>TALAS/7</w:t>
      </w:r>
      <w:r>
        <w:rPr>
          <w:lang w:val="en-US"/>
        </w:rPr>
        <w:tab/>
        <w:t>7.2 (000)</w:t>
      </w:r>
    </w:p>
    <w:p>
      <w:pPr>
        <w:pStyle w:val="GesAbsatz"/>
        <w:tabs>
          <w:tab w:val="clear" w:pos="425"/>
          <w:tab w:val="left" w:pos="1985"/>
        </w:tabs>
        <w:rPr>
          <w:lang w:val="en-US"/>
        </w:rPr>
      </w:pPr>
      <w:r>
        <w:rPr>
          <w:lang w:val="en-US"/>
        </w:rPr>
        <w:t>TALAS/net</w:t>
      </w:r>
      <w:r>
        <w:rPr>
          <w:lang w:val="en-US"/>
        </w:rPr>
        <w:tab/>
        <w:t>5.2 (027)</w:t>
      </w:r>
    </w:p>
    <w:p>
      <w:pPr>
        <w:pStyle w:val="GesAbsatz"/>
        <w:tabs>
          <w:tab w:val="clear" w:pos="425"/>
          <w:tab w:val="left" w:pos="1985"/>
        </w:tabs>
        <w:rPr>
          <w:lang w:val="en-US"/>
        </w:rPr>
      </w:pPr>
      <w:r>
        <w:rPr>
          <w:lang w:val="en-US"/>
        </w:rPr>
        <w:t>TALAS/e</w:t>
      </w:r>
      <w:r>
        <w:rPr>
          <w:lang w:val="en-US"/>
        </w:rPr>
        <w:tab/>
        <w:t>4.2 (018)</w:t>
      </w:r>
    </w:p>
    <w:p>
      <w:pPr>
        <w:pStyle w:val="GesAbsatz"/>
        <w:tabs>
          <w:tab w:val="clear" w:pos="425"/>
          <w:tab w:val="left" w:pos="1985"/>
        </w:tabs>
        <w:rPr>
          <w:lang w:val="en-US"/>
        </w:rPr>
      </w:pPr>
      <w:proofErr w:type="spellStart"/>
      <w:r>
        <w:rPr>
          <w:lang w:val="en-US"/>
        </w:rPr>
        <w:t>TService</w:t>
      </w:r>
      <w:proofErr w:type="spellEnd"/>
      <w:r>
        <w:rPr>
          <w:lang w:val="en-US"/>
        </w:rPr>
        <w:tab/>
        <w:t>5.3 (013)</w:t>
      </w:r>
    </w:p>
    <w:p>
      <w:pPr>
        <w:pStyle w:val="GesAbsatz"/>
        <w:tabs>
          <w:tab w:val="clear" w:pos="425"/>
          <w:tab w:val="left" w:pos="1985"/>
        </w:tabs>
        <w:rPr>
          <w:lang w:val="en-US"/>
        </w:rPr>
      </w:pPr>
      <w:r>
        <w:rPr>
          <w:lang w:val="en-US"/>
        </w:rPr>
        <w:t>TAP5</w:t>
      </w:r>
      <w:r>
        <w:rPr>
          <w:lang w:val="en-US"/>
        </w:rPr>
        <w:tab/>
        <w:t>5.3 (013)</w:t>
      </w:r>
    </w:p>
    <w:p>
      <w:pPr>
        <w:pStyle w:val="GesAbsatz"/>
        <w:tabs>
          <w:tab w:val="clear" w:pos="425"/>
          <w:tab w:val="left" w:pos="1985"/>
        </w:tabs>
      </w:pPr>
      <w:r>
        <w:t>TAP4</w:t>
      </w:r>
      <w:r>
        <w:tab/>
        <w:t>4.3 (013)</w:t>
      </w:r>
    </w:p>
    <w:p>
      <w:pPr>
        <w:pStyle w:val="GesAbsatz"/>
      </w:pPr>
      <w:r>
        <w:t>Stellungnahme der TÜV Rheinland Energie und Umwelt GmbH vom 15. Oktober 2015</w:t>
      </w:r>
    </w:p>
    <w:p>
      <w:pPr>
        <w:pStyle w:val="GesAbsatz"/>
        <w:ind w:left="426" w:hanging="426"/>
        <w:rPr>
          <w:b/>
        </w:rPr>
      </w:pPr>
      <w:r>
        <w:rPr>
          <w:b/>
        </w:rPr>
        <w:t>21</w:t>
      </w:r>
      <w:r>
        <w:rPr>
          <w:b/>
        </w:rPr>
        <w:tab/>
        <w:t>Mitteilung zu den Bekanntmachungen des Umweltbundesamtes vom 3. Juli 2013 (BAnz AT 23.07.2013 B4, Kapitel II Nummer 2.1) und vom 27. Februar 2014 (BAnz AT 01.04.2014 B12, Kapitel VI 7. Mitteilung)</w:t>
      </w:r>
    </w:p>
    <w:p>
      <w:pPr>
        <w:pStyle w:val="GesAbsatz"/>
      </w:pPr>
      <w:r>
        <w:t xml:space="preserve">Die Messeinrichtung </w:t>
      </w:r>
      <w:proofErr w:type="spellStart"/>
      <w:r>
        <w:t>StackFlowMaster</w:t>
      </w:r>
      <w:proofErr w:type="spellEnd"/>
      <w:r>
        <w:t xml:space="preserve"> für Abgasgeschwindigkeit der Fa. ABB Ltd. kann auch mit dem Drucktransmitter 266CSH betrieben werden.</w:t>
      </w:r>
    </w:p>
    <w:p>
      <w:pPr>
        <w:pStyle w:val="GesAbsatz"/>
      </w:pPr>
      <w:r>
        <w:t xml:space="preserve">Die beiden Elektronikeinheiten, mit denen die Messeinrichtung ABB </w:t>
      </w:r>
      <w:proofErr w:type="spellStart"/>
      <w:r>
        <w:t>StackFlowMaster</w:t>
      </w:r>
      <w:proofErr w:type="spellEnd"/>
      <w:r>
        <w:t xml:space="preserve"> betrieben werden, heißen FPD583 und FPD585 (Version D).</w:t>
      </w:r>
    </w:p>
    <w:p>
      <w:pPr>
        <w:pStyle w:val="GesAbsatz"/>
      </w:pPr>
      <w:r>
        <w:t>Stellungnahme der TÜV Rheinland Energie und Umwelt GmbH vom 11. August 2015</w:t>
      </w:r>
    </w:p>
    <w:p>
      <w:pPr>
        <w:pStyle w:val="GesAbsatz"/>
        <w:ind w:left="426" w:hanging="426"/>
        <w:rPr>
          <w:b/>
        </w:rPr>
      </w:pPr>
      <w:r>
        <w:rPr>
          <w:b/>
        </w:rPr>
        <w:t>22</w:t>
      </w:r>
      <w:r>
        <w:rPr>
          <w:b/>
        </w:rPr>
        <w:tab/>
        <w:t>Mitteilung zu den Bekanntmachungen des Umweltbundesamtes vom 12. Februar 2013 (BAnz AT 05.03.2013 B10, Kapitel I Nummer 4.1) und vom 22. Juli 2015 (BAnz AT 26.08.2015 B4, Kapitel V 27. Mitteilung)</w:t>
      </w:r>
    </w:p>
    <w:p>
      <w:pPr>
        <w:pStyle w:val="GesAbsatz"/>
      </w:pPr>
      <w:r>
        <w:t>Neben der bislang verwendeten Vorverstärkerplatine vom Typ VVS03 kann die Messeinrichtung Emerson NGA 2000 MLT 2 für N</w:t>
      </w:r>
      <w:r>
        <w:rPr>
          <w:vertAlign w:val="subscript"/>
        </w:rPr>
        <w:t>2</w:t>
      </w:r>
      <w:r>
        <w:t xml:space="preserve">O der Fa. Emerson </w:t>
      </w:r>
      <w:proofErr w:type="spellStart"/>
      <w:r>
        <w:t>Process</w:t>
      </w:r>
      <w:proofErr w:type="spellEnd"/>
      <w:r>
        <w:t xml:space="preserve"> Management GmbH &amp; Co. OHG zukünftig auch mit der neuen Vorverstärkerplatine vom Typ NVVS01 ausgerüstet werden.</w:t>
      </w:r>
    </w:p>
    <w:p>
      <w:pPr>
        <w:pStyle w:val="GesAbsatz"/>
      </w:pPr>
      <w:r>
        <w:t>Stellungnahme der TÜV Rheinland Energie und Umwelt GmbH vom 19. Oktober 2015</w:t>
      </w:r>
    </w:p>
    <w:p>
      <w:pPr>
        <w:pStyle w:val="GesAbsatz"/>
        <w:ind w:left="426" w:hanging="426"/>
        <w:rPr>
          <w:b/>
        </w:rPr>
      </w:pPr>
      <w:r>
        <w:rPr>
          <w:b/>
        </w:rPr>
        <w:t>23</w:t>
      </w:r>
      <w:r>
        <w:rPr>
          <w:b/>
        </w:rPr>
        <w:tab/>
        <w:t>Mitteilung zu den Bekanntmachungen des Umweltbundesamtes vom 15. Juli 2011 (BAnz. S. 2725, Kapitel I Nummer 4.3) und vom 23. Februar 2012 (BAnz. S. 920, Kapitel V 8. Mitteilung sowie Kapitel VI 1. Berichtigung)</w:t>
      </w:r>
    </w:p>
    <w:p>
      <w:pPr>
        <w:pStyle w:val="GesAbsatz"/>
      </w:pPr>
      <w:r>
        <w:t>Die Messeinrichtung GCS für CO, NO, NO</w:t>
      </w:r>
      <w:r>
        <w:rPr>
          <w:vertAlign w:val="subscript"/>
        </w:rPr>
        <w:t>2</w:t>
      </w:r>
      <w:r>
        <w:t>, N</w:t>
      </w:r>
      <w:r>
        <w:rPr>
          <w:vertAlign w:val="subscript"/>
        </w:rPr>
        <w:t>2</w:t>
      </w:r>
      <w:r>
        <w:t>O, SO</w:t>
      </w:r>
      <w:r>
        <w:rPr>
          <w:vertAlign w:val="subscript"/>
        </w:rPr>
        <w:t>2</w:t>
      </w:r>
      <w:r>
        <w:t>, HCl, HF, NH</w:t>
      </w:r>
      <w:r>
        <w:rPr>
          <w:vertAlign w:val="subscript"/>
        </w:rPr>
        <w:t>3</w:t>
      </w:r>
      <w:r>
        <w:t>, H</w:t>
      </w:r>
      <w:r>
        <w:rPr>
          <w:vertAlign w:val="subscript"/>
        </w:rPr>
        <w:t>2</w:t>
      </w:r>
      <w:r>
        <w:t>O und CO</w:t>
      </w:r>
      <w:r>
        <w:rPr>
          <w:vertAlign w:val="subscript"/>
        </w:rPr>
        <w:t>2</w:t>
      </w:r>
      <w:r>
        <w:t xml:space="preserve"> der Fa. General </w:t>
      </w:r>
      <w:proofErr w:type="spellStart"/>
      <w:r>
        <w:t>Impianti</w:t>
      </w:r>
      <w:proofErr w:type="spellEnd"/>
      <w:r>
        <w:t xml:space="preserve"> </w:t>
      </w:r>
      <w:proofErr w:type="spellStart"/>
      <w:r>
        <w:t>s.r.l</w:t>
      </w:r>
      <w:proofErr w:type="spellEnd"/>
      <w:r>
        <w:t xml:space="preserve"> kann jetzt auch in dem Geräteschrank ETA mod. ENUX-121808PR eingebaut werden. Für diesen Geräteschrank sind die Klimageräte Kelvin Jet 20 bei Wandmontage und </w:t>
      </w:r>
      <w:proofErr w:type="spellStart"/>
      <w:r>
        <w:t>Stulz</w:t>
      </w:r>
      <w:proofErr w:type="spellEnd"/>
      <w:r>
        <w:t xml:space="preserve"> ETE 20002207000 bei Dachmontage einzusetzen.</w:t>
      </w:r>
    </w:p>
    <w:p>
      <w:pPr>
        <w:pStyle w:val="GesAbsatz"/>
      </w:pPr>
      <w:r>
        <w:lastRenderedPageBreak/>
        <w:t xml:space="preserve">Die neue Adresse des Herstellers lautet Via </w:t>
      </w:r>
      <w:proofErr w:type="spellStart"/>
      <w:r>
        <w:t>Collefreddo</w:t>
      </w:r>
      <w:proofErr w:type="spellEnd"/>
      <w:r>
        <w:t xml:space="preserve"> 8/9 – 60030 </w:t>
      </w:r>
      <w:proofErr w:type="spellStart"/>
      <w:r>
        <w:t>Maiolati</w:t>
      </w:r>
      <w:proofErr w:type="spellEnd"/>
      <w:r>
        <w:t xml:space="preserve"> </w:t>
      </w:r>
      <w:proofErr w:type="spellStart"/>
      <w:r>
        <w:t>Spontini</w:t>
      </w:r>
      <w:proofErr w:type="spellEnd"/>
      <w:r>
        <w:t xml:space="preserve"> (AN), Italien.</w:t>
      </w:r>
    </w:p>
    <w:p>
      <w:pPr>
        <w:pStyle w:val="GesAbsatz"/>
      </w:pPr>
      <w:r>
        <w:t>Stellungnahme der TÜV Rheinland Energie und Umwelt GmbH vom 21. Oktober 2015</w:t>
      </w:r>
    </w:p>
    <w:p>
      <w:pPr>
        <w:pStyle w:val="GesAbsatz"/>
        <w:ind w:left="426" w:hanging="426"/>
        <w:rPr>
          <w:b/>
        </w:rPr>
      </w:pPr>
      <w:r>
        <w:rPr>
          <w:b/>
        </w:rPr>
        <w:t>24</w:t>
      </w:r>
      <w:r>
        <w:rPr>
          <w:b/>
        </w:rPr>
        <w:tab/>
        <w:t>Mitteilung zu der Bekanntmachung des Umweltbundesamtes vom 17. Juli 2014 (BAnz AT 05.08.2014 B11, Kapitel I Nummer 5.1)</w:t>
      </w:r>
    </w:p>
    <w:p>
      <w:pPr>
        <w:pStyle w:val="GesAbsatz"/>
      </w:pPr>
      <w:r>
        <w:t>Die Messeinrichtung CEMS für CO, NO, NO</w:t>
      </w:r>
      <w:r>
        <w:rPr>
          <w:vertAlign w:val="subscript"/>
        </w:rPr>
        <w:t>2</w:t>
      </w:r>
      <w:r>
        <w:t>, NO</w:t>
      </w:r>
      <w:r>
        <w:rPr>
          <w:vertAlign w:val="subscript"/>
        </w:rPr>
        <w:t>x</w:t>
      </w:r>
      <w:r>
        <w:t>, SO</w:t>
      </w:r>
      <w:r>
        <w:rPr>
          <w:vertAlign w:val="subscript"/>
        </w:rPr>
        <w:t>2</w:t>
      </w:r>
      <w:r>
        <w:t>, CO</w:t>
      </w:r>
      <w:r>
        <w:rPr>
          <w:vertAlign w:val="subscript"/>
        </w:rPr>
        <w:t>2</w:t>
      </w:r>
      <w:r>
        <w:t xml:space="preserve"> und O</w:t>
      </w:r>
      <w:r>
        <w:rPr>
          <w:vertAlign w:val="subscript"/>
        </w:rPr>
        <w:t>2</w:t>
      </w:r>
      <w:r>
        <w:t xml:space="preserve"> der Fa. </w:t>
      </w:r>
      <w:proofErr w:type="spellStart"/>
      <w:r>
        <w:t>Kontram</w:t>
      </w:r>
      <w:proofErr w:type="spellEnd"/>
      <w:r>
        <w:t xml:space="preserve"> </w:t>
      </w:r>
      <w:proofErr w:type="spellStart"/>
      <w:r>
        <w:t>Oy</w:t>
      </w:r>
      <w:proofErr w:type="spellEnd"/>
      <w:r>
        <w:t xml:space="preserve"> wurde technisch überarbeitet. In der neuen Version wurde die transparente Fronttür durch eine Stahltür getauscht, auf der ein neues Kontrolldisplay integriert ist. Die Steuerung der Temperaturen der Gasaufbereitung sowie die Aufschaltung der Prüfgase erfolgt zentral über dieses Display. Der zuvor verwendete Druckregler der Firma Fairchild vom Typ 16232 wurde durch den Typ 18112 des gleichen Herstellers ersetzt. Die Ejektorpumpe für die Spülluft des Permeationstrockners wurde in die SCU-Einheit verlegt. Wenn das Messmodul CEMS T60i verbaut wird, kann auf den externen Feuchtesensor verzichtet werden und es wird der interne Feuchtesensor des Moduls CEMS T60i verwendet, um das System vor Wassertropfen zu schützen.</w:t>
      </w:r>
    </w:p>
    <w:p>
      <w:pPr>
        <w:pStyle w:val="GesAbsatz"/>
      </w:pPr>
      <w:r>
        <w:t>Die neue Version der Messeinrichtung mit den oben genannten Änderungen wird umbenannt und trägt nun die Bezeichnung „Smart CEMS“ statt bisher „CEMS“.</w:t>
      </w:r>
    </w:p>
    <w:p>
      <w:pPr>
        <w:pStyle w:val="GesAbsatz"/>
      </w:pPr>
      <w:r>
        <w:t>Die neue Softwareversion des Messmoduls CEMS T60i lautet: 02.02.08.</w:t>
      </w:r>
    </w:p>
    <w:p>
      <w:pPr>
        <w:pStyle w:val="GesAbsatz"/>
      </w:pPr>
      <w:r>
        <w:t>Stellungnahme der TÜV Rheinland Energie und Umwelt GmbH vom 23. Oktober 2015</w:t>
      </w:r>
    </w:p>
    <w:p>
      <w:pPr>
        <w:pStyle w:val="GesAbsatz"/>
        <w:ind w:left="426" w:hanging="426"/>
        <w:rPr>
          <w:b/>
        </w:rPr>
      </w:pPr>
      <w:r>
        <w:rPr>
          <w:b/>
        </w:rPr>
        <w:t>25</w:t>
      </w:r>
      <w:r>
        <w:rPr>
          <w:b/>
        </w:rPr>
        <w:tab/>
        <w:t>Mitteilung zu der Bekanntmachung des Umweltbundesamtes vom 12. Februar 2013 (BAnz AT 05.03.2013 B10, Kapitel I Nummer 1.1)</w:t>
      </w:r>
    </w:p>
    <w:p>
      <w:pPr>
        <w:pStyle w:val="GesAbsatz"/>
      </w:pPr>
      <w:r>
        <w:t>Die aktuellen Softwareversionen der Messeinrichtung PCME QAL 181 für Gesamtstaub der Fa. PCME Ltd. lauten:</w:t>
      </w:r>
    </w:p>
    <w:p>
      <w:pPr>
        <w:pStyle w:val="GesAbsatz"/>
        <w:tabs>
          <w:tab w:val="left" w:pos="1985"/>
        </w:tabs>
      </w:pPr>
      <w:r>
        <w:t>Controller Software:</w:t>
      </w:r>
      <w:r>
        <w:tab/>
        <w:t>8.41</w:t>
      </w:r>
    </w:p>
    <w:p>
      <w:pPr>
        <w:pStyle w:val="GesAbsatz"/>
        <w:tabs>
          <w:tab w:val="left" w:pos="1985"/>
        </w:tabs>
      </w:pPr>
      <w:r>
        <w:t>Sensor Software:</w:t>
      </w:r>
      <w:r>
        <w:tab/>
        <w:t>2.6</w:t>
      </w:r>
    </w:p>
    <w:p>
      <w:pPr>
        <w:pStyle w:val="GesAbsatz"/>
      </w:pPr>
      <w:r>
        <w:t>Stellungnahme der TÜV Rheinland Energie und Umwelt GmbH vom 22. Oktober 2015</w:t>
      </w:r>
    </w:p>
    <w:p>
      <w:pPr>
        <w:pStyle w:val="GesAbsatz"/>
        <w:ind w:left="426" w:hanging="426"/>
        <w:rPr>
          <w:b/>
        </w:rPr>
      </w:pPr>
      <w:r>
        <w:rPr>
          <w:b/>
        </w:rPr>
        <w:t>26</w:t>
      </w:r>
      <w:r>
        <w:rPr>
          <w:b/>
        </w:rPr>
        <w:tab/>
        <w:t>Mitteilung zu den Bekanntmachungen des Umweltbundesamtes vom 23. Februar 2012 (BAnz. S. 920, Kapitel I Nummer 1.2) und vom 6. Juli 2012 (BAnz AT 20.07.2012 B11, Kapitel IV 12. Mitteilung)</w:t>
      </w:r>
    </w:p>
    <w:p>
      <w:pPr>
        <w:pStyle w:val="GesAbsatz"/>
      </w:pPr>
      <w:r>
        <w:t>Die aktuellen Softwareversionen der Messeinrichtung PCME QAL 181 WS für Gesamtstaub der Fa. PCME Ltd. lauten:</w:t>
      </w:r>
    </w:p>
    <w:p>
      <w:pPr>
        <w:pStyle w:val="GesAbsatz"/>
        <w:tabs>
          <w:tab w:val="left" w:pos="1985"/>
        </w:tabs>
      </w:pPr>
      <w:r>
        <w:t>Controller Software:</w:t>
      </w:r>
      <w:r>
        <w:tab/>
        <w:t>8.45</w:t>
      </w:r>
    </w:p>
    <w:p>
      <w:pPr>
        <w:pStyle w:val="GesAbsatz"/>
        <w:tabs>
          <w:tab w:val="left" w:pos="1985"/>
        </w:tabs>
      </w:pPr>
      <w:r>
        <w:t>Sensor Software:</w:t>
      </w:r>
      <w:r>
        <w:tab/>
        <w:t>2.06</w:t>
      </w:r>
    </w:p>
    <w:p>
      <w:pPr>
        <w:pStyle w:val="GesAbsatz"/>
      </w:pPr>
      <w:r>
        <w:t>Stellungnahme der TÜV Rheinland Energie und Umwelt GmbH vom 22. Oktober 2015</w:t>
      </w:r>
    </w:p>
    <w:p>
      <w:pPr>
        <w:pStyle w:val="GesAbsatz"/>
        <w:ind w:left="426" w:hanging="426"/>
        <w:rPr>
          <w:b/>
        </w:rPr>
      </w:pPr>
      <w:r>
        <w:rPr>
          <w:b/>
        </w:rPr>
        <w:t>27</w:t>
      </w:r>
      <w:r>
        <w:rPr>
          <w:b/>
        </w:rPr>
        <w:tab/>
        <w:t>Mitteilung zu der Bekanntmachung des Umweltbundesamtes vom 12. Februar 2013 (BAnz AT 05.03.2013 B10, Kapitel I Nummer 1.2)</w:t>
      </w:r>
    </w:p>
    <w:p>
      <w:pPr>
        <w:pStyle w:val="GesAbsatz"/>
      </w:pPr>
      <w:r>
        <w:t>Die aktuellen Softwareversionen der Messeinrichtung PCME QAL 991 für Gesamtstaub der Fa. PCME Ltd. lauten:</w:t>
      </w:r>
    </w:p>
    <w:p>
      <w:pPr>
        <w:pStyle w:val="GesAbsatz"/>
        <w:tabs>
          <w:tab w:val="left" w:pos="1985"/>
        </w:tabs>
      </w:pPr>
      <w:r>
        <w:t>Controller Software:</w:t>
      </w:r>
      <w:r>
        <w:tab/>
        <w:t>8.41</w:t>
      </w:r>
    </w:p>
    <w:p>
      <w:pPr>
        <w:pStyle w:val="GesAbsatz"/>
        <w:tabs>
          <w:tab w:val="left" w:pos="1985"/>
        </w:tabs>
      </w:pPr>
      <w:r>
        <w:t>Sensor Software:</w:t>
      </w:r>
      <w:r>
        <w:tab/>
        <w:t>4.4</w:t>
      </w:r>
    </w:p>
    <w:p>
      <w:pPr>
        <w:pStyle w:val="GesAbsatz"/>
      </w:pPr>
      <w:r>
        <w:t>Stellungnahme der TÜV Rheinland Energie und Umwelt GmbH vom 22. Oktober 2015</w:t>
      </w:r>
    </w:p>
    <w:p>
      <w:pPr>
        <w:pStyle w:val="GesAbsatz"/>
        <w:ind w:left="426" w:hanging="426"/>
        <w:rPr>
          <w:b/>
        </w:rPr>
      </w:pPr>
      <w:r>
        <w:rPr>
          <w:b/>
        </w:rPr>
        <w:t>28</w:t>
      </w:r>
      <w:r>
        <w:rPr>
          <w:b/>
        </w:rPr>
        <w:tab/>
        <w:t>Mitteilung zu der Bekanntmachung des Umweltbundesamtes vom 22. Juli 2015 (BAnz AT 26.08.2015 B4, Kapitel II Nummer 1.1)</w:t>
      </w:r>
    </w:p>
    <w:p>
      <w:pPr>
        <w:pStyle w:val="GesAbsatz"/>
      </w:pPr>
      <w:r>
        <w:t>Die aktuellen Softwareversionen der Messeinrichtung STACKFLØW 400 für Abgasgeschwindigkeit der Fa. PCME Ltd. lauten:</w:t>
      </w:r>
    </w:p>
    <w:p>
      <w:pPr>
        <w:pStyle w:val="GesAbsatz"/>
        <w:tabs>
          <w:tab w:val="left" w:pos="1985"/>
        </w:tabs>
      </w:pPr>
      <w:r>
        <w:t>Bedieneinheiten:</w:t>
      </w:r>
      <w:r>
        <w:tab/>
        <w:t>8.41</w:t>
      </w:r>
    </w:p>
    <w:p>
      <w:pPr>
        <w:pStyle w:val="GesAbsatz"/>
        <w:tabs>
          <w:tab w:val="left" w:pos="1985"/>
        </w:tabs>
      </w:pPr>
      <w:r>
        <w:t>Sensor Software:</w:t>
      </w:r>
      <w:r>
        <w:tab/>
        <w:t>1.29.2</w:t>
      </w:r>
    </w:p>
    <w:p>
      <w:pPr>
        <w:pStyle w:val="GesAbsatz"/>
      </w:pPr>
      <w:r>
        <w:t>Stellungnahme der TÜV Rheinland Energie und Umwelt GmbH vom 22. Oktober 2015</w:t>
      </w:r>
    </w:p>
    <w:p>
      <w:pPr>
        <w:pStyle w:val="GesAbsatz"/>
        <w:ind w:left="426" w:hanging="426"/>
        <w:rPr>
          <w:b/>
        </w:rPr>
      </w:pPr>
      <w:r>
        <w:rPr>
          <w:b/>
        </w:rPr>
        <w:t>29</w:t>
      </w:r>
      <w:r>
        <w:rPr>
          <w:b/>
        </w:rPr>
        <w:tab/>
        <w:t>Mitteilung zu den Bekanntmachungen des Umweltbundesamtes vom 17. Juli 2014 (BAnz AT 05.08.2014 B11, Kapitel I Nummer 2.1) und vom 22. Juli 2015 (BAnz AT 26.08.2015 B4, Kapitel V 7. Mitteilung)</w:t>
      </w:r>
    </w:p>
    <w:p>
      <w:pPr>
        <w:pStyle w:val="GesAbsatz"/>
      </w:pPr>
      <w:r>
        <w:t>Die aktuellen Hard- und Softwareversionen der Messeinrichtung GM700-2 für HF der Firma SICK AG lauten:</w:t>
      </w:r>
    </w:p>
    <w:p>
      <w:pPr>
        <w:pStyle w:val="GesAbsatz"/>
      </w:pPr>
      <w:r>
        <w:t>9105060 YEK0 (Messkopf)</w:t>
      </w:r>
    </w:p>
    <w:p>
      <w:pPr>
        <w:pStyle w:val="GesAbsatz"/>
      </w:pPr>
      <w:r>
        <w:lastRenderedPageBreak/>
        <w:t>9100821 YKI0 (Auswerteeinheit)</w:t>
      </w:r>
    </w:p>
    <w:p>
      <w:pPr>
        <w:pStyle w:val="GesAbsatz"/>
      </w:pPr>
      <w:r>
        <w:t>9091948 WJ24 (Spülluft)</w:t>
      </w:r>
    </w:p>
    <w:p>
      <w:pPr>
        <w:pStyle w:val="GesAbsatz"/>
      </w:pPr>
      <w:r>
        <w:t>Stellungnahme der TÜV Rheinland Energie und Umwelt GmbH vom 21. Oktober 2015</w:t>
      </w:r>
    </w:p>
    <w:p>
      <w:pPr>
        <w:pStyle w:val="GesAbsatz"/>
        <w:ind w:left="426" w:hanging="426"/>
        <w:rPr>
          <w:b/>
        </w:rPr>
      </w:pPr>
      <w:r>
        <w:rPr>
          <w:b/>
        </w:rPr>
        <w:t>30</w:t>
      </w:r>
      <w:r>
        <w:rPr>
          <w:b/>
        </w:rPr>
        <w:tab/>
        <w:t>Mitteilung zu dem Rundschreiben des BMU vom 5. Oktober 1999 – IG I 3 - 51134/2 – (GMBl 1999 S. 719, Kapitel I Nummer 5.3) und zu der Bekanntmachung des Umweltbundesamtes vom 3. Juli 2013 (BAnz AT 23.07.2013 B4, Kapitel V 12. Mitteilung [Nummer 2])</w:t>
      </w:r>
    </w:p>
    <w:p>
      <w:pPr>
        <w:pStyle w:val="GesAbsatz"/>
      </w:pPr>
      <w:r>
        <w:t>Die aktuelle Softwareversion der Mehrkomponentenmesseinrichtung MCS 100 E HW für SO</w:t>
      </w:r>
      <w:r>
        <w:rPr>
          <w:vertAlign w:val="subscript"/>
        </w:rPr>
        <w:t>2</w:t>
      </w:r>
      <w:r>
        <w:t>, NO, CO, CO</w:t>
      </w:r>
      <w:r>
        <w:rPr>
          <w:vertAlign w:val="subscript"/>
        </w:rPr>
        <w:t>2</w:t>
      </w:r>
      <w:r>
        <w:t>, HCl, NH</w:t>
      </w:r>
      <w:r>
        <w:rPr>
          <w:vertAlign w:val="subscript"/>
        </w:rPr>
        <w:t>3</w:t>
      </w:r>
      <w:r>
        <w:t>, O</w:t>
      </w:r>
      <w:r>
        <w:rPr>
          <w:vertAlign w:val="subscript"/>
        </w:rPr>
        <w:t>2</w:t>
      </w:r>
      <w:r>
        <w:t xml:space="preserve"> und H</w:t>
      </w:r>
      <w:r>
        <w:rPr>
          <w:vertAlign w:val="subscript"/>
        </w:rPr>
        <w:t>2</w:t>
      </w:r>
      <w:r>
        <w:t>O der Firma SICK AG lautet:</w:t>
      </w:r>
    </w:p>
    <w:p>
      <w:pPr>
        <w:pStyle w:val="GesAbsatz"/>
      </w:pPr>
      <w:r>
        <w:t>1.46</w:t>
      </w:r>
    </w:p>
    <w:p>
      <w:pPr>
        <w:pStyle w:val="GesAbsatz"/>
      </w:pPr>
      <w:r>
        <w:t>Stellungnahme der TÜV Rheinland Energie und Umwelt GmbH vom 21. Oktober 2015</w:t>
      </w:r>
    </w:p>
    <w:p>
      <w:pPr>
        <w:pStyle w:val="GesAbsatz"/>
        <w:ind w:left="426" w:hanging="426"/>
        <w:rPr>
          <w:b/>
        </w:rPr>
      </w:pPr>
      <w:r>
        <w:rPr>
          <w:b/>
        </w:rPr>
        <w:t>31</w:t>
      </w:r>
      <w:r>
        <w:rPr>
          <w:b/>
        </w:rPr>
        <w:tab/>
        <w:t>Mitteilung zu dem Rundschreiben des BMU vom 5. Oktober 1999 – IG I 3 - 51134/2 – (GMBl 1999 S. 719, Kapitel I Nummer 5.4) und zu der Bekanntmachung des Umweltbundesamtes vom 3. Juli 2013 (BAnz AT 23.07.2013 B4, Kapitel V 12. Mitteilung [Nummer 3])</w:t>
      </w:r>
    </w:p>
    <w:p>
      <w:pPr>
        <w:pStyle w:val="GesAbsatz"/>
      </w:pPr>
      <w:r>
        <w:t>Die aktuelle Softwareversion der Mehrkomponentenmesseinrichtung MCS 100 E PD für SO</w:t>
      </w:r>
      <w:r>
        <w:rPr>
          <w:vertAlign w:val="subscript"/>
        </w:rPr>
        <w:t>2</w:t>
      </w:r>
      <w:r>
        <w:t>, NO, NO</w:t>
      </w:r>
      <w:r>
        <w:rPr>
          <w:vertAlign w:val="subscript"/>
        </w:rPr>
        <w:t>2</w:t>
      </w:r>
      <w:r>
        <w:t>, CO, HCl, O</w:t>
      </w:r>
      <w:r>
        <w:rPr>
          <w:vertAlign w:val="subscript"/>
        </w:rPr>
        <w:t>2</w:t>
      </w:r>
      <w:r>
        <w:t xml:space="preserve"> und CO</w:t>
      </w:r>
      <w:r>
        <w:rPr>
          <w:vertAlign w:val="subscript"/>
        </w:rPr>
        <w:t>2</w:t>
      </w:r>
      <w:r>
        <w:t xml:space="preserve"> der Firma SICK AG lautet:</w:t>
      </w:r>
    </w:p>
    <w:p>
      <w:pPr>
        <w:pStyle w:val="GesAbsatz"/>
      </w:pPr>
      <w:r>
        <w:t>1.46</w:t>
      </w:r>
    </w:p>
    <w:p>
      <w:pPr>
        <w:pStyle w:val="GesAbsatz"/>
      </w:pPr>
      <w:r>
        <w:t>Stellungnahme der TÜV Rheinland Energie und Umwelt GmbH vom 21. Oktober 2015</w:t>
      </w:r>
    </w:p>
    <w:p>
      <w:pPr>
        <w:pStyle w:val="GesAbsatz"/>
        <w:ind w:left="426" w:hanging="426"/>
        <w:rPr>
          <w:b/>
        </w:rPr>
      </w:pPr>
      <w:r>
        <w:rPr>
          <w:b/>
        </w:rPr>
        <w:t>32</w:t>
      </w:r>
      <w:r>
        <w:rPr>
          <w:b/>
        </w:rPr>
        <w:tab/>
        <w:t>Mitteilung zu den Bekanntmachungen des Umweltbundesamtes vom 10. Januar 2011 (BAnz. S. 294, Kapitel I Nummer 3.1) und vom 22. Juli 2015 (BAnz AT 26.08.2015 B4, Kapitel V 6. Mitteilung)</w:t>
      </w:r>
    </w:p>
    <w:p>
      <w:pPr>
        <w:pStyle w:val="GesAbsatz"/>
      </w:pPr>
      <w:r>
        <w:t>Die aktuellen Softwareversionen der Messeinrichtung MCS100FT für O</w:t>
      </w:r>
      <w:r>
        <w:rPr>
          <w:vertAlign w:val="subscript"/>
        </w:rPr>
        <w:t>2</w:t>
      </w:r>
      <w:r>
        <w:t>, CO, SO</w:t>
      </w:r>
      <w:r>
        <w:rPr>
          <w:vertAlign w:val="subscript"/>
        </w:rPr>
        <w:t>2</w:t>
      </w:r>
      <w:r>
        <w:t>, NO, NO</w:t>
      </w:r>
      <w:r>
        <w:rPr>
          <w:vertAlign w:val="subscript"/>
        </w:rPr>
        <w:t>2</w:t>
      </w:r>
      <w:r>
        <w:t>, HCl, HF, CH</w:t>
      </w:r>
      <w:r>
        <w:rPr>
          <w:vertAlign w:val="subscript"/>
        </w:rPr>
        <w:t>4</w:t>
      </w:r>
      <w:r>
        <w:t>, CO</w:t>
      </w:r>
      <w:r>
        <w:rPr>
          <w:vertAlign w:val="subscript"/>
        </w:rPr>
        <w:t>2</w:t>
      </w:r>
      <w:r>
        <w:t>, H</w:t>
      </w:r>
      <w:r>
        <w:rPr>
          <w:vertAlign w:val="subscript"/>
        </w:rPr>
        <w:t>2</w:t>
      </w:r>
      <w:r>
        <w:t>O, N</w:t>
      </w:r>
      <w:r>
        <w:rPr>
          <w:vertAlign w:val="subscript"/>
        </w:rPr>
        <w:t>2</w:t>
      </w:r>
      <w:r>
        <w:t>O, NH</w:t>
      </w:r>
      <w:r>
        <w:rPr>
          <w:vertAlign w:val="subscript"/>
        </w:rPr>
        <w:t>3</w:t>
      </w:r>
      <w:r>
        <w:t xml:space="preserve"> und Gesamt-Kohlenstoff der Firma SICK AG lauten:</w:t>
      </w:r>
    </w:p>
    <w:p>
      <w:pPr>
        <w:pStyle w:val="GesAbsatz"/>
        <w:tabs>
          <w:tab w:val="left" w:pos="1985"/>
        </w:tabs>
      </w:pPr>
      <w:r>
        <w:t>MCS100FT:</w:t>
      </w:r>
      <w:r>
        <w:tab/>
        <w:t>9191787 YHR2</w:t>
      </w:r>
    </w:p>
    <w:p>
      <w:pPr>
        <w:pStyle w:val="GesAbsatz"/>
        <w:tabs>
          <w:tab w:val="left" w:pos="1985"/>
        </w:tabs>
      </w:pPr>
      <w:r>
        <w:t>SCU-P100:</w:t>
      </w:r>
      <w:r>
        <w:tab/>
        <w:t>9158931 X702</w:t>
      </w:r>
    </w:p>
    <w:p>
      <w:pPr>
        <w:pStyle w:val="GesAbsatz"/>
        <w:tabs>
          <w:tab w:val="clear" w:pos="425"/>
          <w:tab w:val="left" w:pos="1985"/>
        </w:tabs>
      </w:pPr>
      <w:r>
        <w:t>FID:</w:t>
      </w:r>
      <w:r>
        <w:tab/>
        <w:t>9185196 YH27</w:t>
      </w:r>
    </w:p>
    <w:p>
      <w:pPr>
        <w:pStyle w:val="GesAbsatz"/>
      </w:pPr>
      <w:r>
        <w:t>Stellungnahme der TÜV Rheinland Energie und Umwelt GmbH vom 21. Oktober 2015</w:t>
      </w:r>
    </w:p>
    <w:p>
      <w:pPr>
        <w:pStyle w:val="GesAbsatz"/>
        <w:ind w:left="426" w:hanging="426"/>
        <w:rPr>
          <w:b/>
        </w:rPr>
      </w:pPr>
      <w:r>
        <w:rPr>
          <w:b/>
        </w:rPr>
        <w:t>33</w:t>
      </w:r>
      <w:r>
        <w:rPr>
          <w:b/>
        </w:rPr>
        <w:tab/>
        <w:t>Mitteilung zu der Bekanntmachung des Umweltbundesamtes vom 12. Februar 2013 (BAnz AT 05.03.2013 B10, Kapitel I Nummer 2.3) und vom 22. Juli 2015 (BAnz AT 26.08.2015 B4, Kapitel V 5. Mitteilung)</w:t>
      </w:r>
    </w:p>
    <w:p>
      <w:pPr>
        <w:pStyle w:val="GesAbsatz"/>
      </w:pPr>
      <w:r>
        <w:t>Die aktuelle Softwareversion der Messeinrichtung MERCEM300Z für Hg der Firma SICK AG lautet:</w:t>
      </w:r>
    </w:p>
    <w:p>
      <w:pPr>
        <w:pStyle w:val="GesAbsatz"/>
      </w:pPr>
      <w:r>
        <w:t>2061514 – YBR3.</w:t>
      </w:r>
    </w:p>
    <w:p>
      <w:pPr>
        <w:pStyle w:val="GesAbsatz"/>
      </w:pPr>
      <w:r>
        <w:t>Stellungnahme der TÜV Rheinland Energie und Umwelt GmbH vom 21. Oktober 2015</w:t>
      </w:r>
    </w:p>
    <w:p>
      <w:pPr>
        <w:pStyle w:val="GesAbsatz"/>
        <w:ind w:left="426" w:hanging="426"/>
        <w:rPr>
          <w:b/>
        </w:rPr>
      </w:pPr>
      <w:r>
        <w:rPr>
          <w:b/>
        </w:rPr>
        <w:t>34</w:t>
      </w:r>
      <w:r>
        <w:rPr>
          <w:b/>
        </w:rPr>
        <w:tab/>
        <w:t>Mitteilung zu den Bekanntmachungen des Umweltbundesamtes vom 23. Februar 2012 (BAnz. S. 920, Kapitel I Nummer 5.1) und vom 17. Juli 2014 (BAnz AT 05.08.2014 B11, Kapitel V 13. Mitteilung)</w:t>
      </w:r>
    </w:p>
    <w:p>
      <w:pPr>
        <w:pStyle w:val="GesAbsatz"/>
      </w:pPr>
      <w:r>
        <w:t>Die modulare Messeinrichtung MAC GMS800 zur Bestimmung der Messkomponenten CO, NO, NO</w:t>
      </w:r>
      <w:r>
        <w:rPr>
          <w:vertAlign w:val="subscript"/>
        </w:rPr>
        <w:t>2</w:t>
      </w:r>
      <w:r>
        <w:t>, SO</w:t>
      </w:r>
      <w:r>
        <w:rPr>
          <w:vertAlign w:val="subscript"/>
        </w:rPr>
        <w:t>2</w:t>
      </w:r>
      <w:r>
        <w:t>, CH</w:t>
      </w:r>
      <w:r>
        <w:rPr>
          <w:vertAlign w:val="subscript"/>
        </w:rPr>
        <w:t>4</w:t>
      </w:r>
      <w:r>
        <w:t>, N</w:t>
      </w:r>
      <w:r>
        <w:rPr>
          <w:vertAlign w:val="subscript"/>
        </w:rPr>
        <w:t>2</w:t>
      </w:r>
      <w:r>
        <w:t>O, CO</w:t>
      </w:r>
      <w:r>
        <w:rPr>
          <w:vertAlign w:val="subscript"/>
        </w:rPr>
        <w:t>2</w:t>
      </w:r>
      <w:r>
        <w:t xml:space="preserve"> und O</w:t>
      </w:r>
      <w:r>
        <w:rPr>
          <w:vertAlign w:val="subscript"/>
        </w:rPr>
        <w:t>2</w:t>
      </w:r>
      <w:r>
        <w:t xml:space="preserve"> der Firma SICK AG wird ab sofort unter der Bezeichnung PowerCEMS100 vertrieben.</w:t>
      </w:r>
    </w:p>
    <w:p>
      <w:pPr>
        <w:pStyle w:val="GesAbsatz"/>
      </w:pPr>
      <w:r>
        <w:t>Für die Standardanwendung im PowerCEMS100 wird das 19“ Einschubgehäuse mit integrierter BCU (GMS810) sowie ohne integrierte BCU (GMS811) verwendet.</w:t>
      </w:r>
    </w:p>
    <w:p>
      <w:pPr>
        <w:pStyle w:val="GesAbsatz"/>
      </w:pPr>
      <w:r>
        <w:t>Im modularen System PowerCEMS100 wir die Steuerung der gesamten Messeinrichtung über eine zentrale BCU sowie einer nachgeschalteten zentralen Signaleinheit erfolgen. Die einzelnen Messmodule werden nun nicht wie bisher an die SCU/BCU sondern einzeln an die Signal-I/O-Einheit angeschlossen. Die BCU ist dabei weiterhin über CAN-Bus mit den Mess- und den I/O-Modulen verbunden.</w:t>
      </w:r>
    </w:p>
    <w:p>
      <w:pPr>
        <w:pStyle w:val="GesAbsatz"/>
      </w:pPr>
      <w:r>
        <w:t>Stellungnahme der TÜV Rheinland Energie und Umwelt GmbH vom 9. Oktober 2015</w:t>
      </w:r>
    </w:p>
    <w:p>
      <w:pPr>
        <w:pStyle w:val="GesAbsatz"/>
        <w:ind w:left="426" w:hanging="426"/>
        <w:rPr>
          <w:b/>
        </w:rPr>
      </w:pPr>
      <w:r>
        <w:rPr>
          <w:b/>
        </w:rPr>
        <w:t>35</w:t>
      </w:r>
      <w:r>
        <w:rPr>
          <w:b/>
        </w:rPr>
        <w:tab/>
        <w:t>Mitteilung zu den Bekanntmachungen des Umweltbundesamtes vom 22. April 2003 (BAnz. S. 10 742, Kapitel I Nummer 3.1) und vom 31. März 2005 (BAnz. S. 6892, Kapitel III 3. Mitteilung)</w:t>
      </w:r>
    </w:p>
    <w:p>
      <w:pPr>
        <w:pStyle w:val="GesAbsatz"/>
      </w:pPr>
      <w:r>
        <w:t>Die aktuelle Software-Version für das Analysatormodul (SNE1) der Messeinrichtungen AO2020-MultiFID14 und AO2040-MultiFID14 für Gesamtkohlenstoff der Fa. ABB Automation GmbH lautet 2.0.6.</w:t>
      </w:r>
    </w:p>
    <w:p>
      <w:pPr>
        <w:pStyle w:val="GesAbsatz"/>
      </w:pPr>
      <w:r>
        <w:t>Die aktuelle Software-Version für die Zentraleinheit (</w:t>
      </w:r>
      <w:proofErr w:type="spellStart"/>
      <w:r>
        <w:t>Syscon</w:t>
      </w:r>
      <w:proofErr w:type="spellEnd"/>
      <w:r>
        <w:t xml:space="preserve"> II) der Messeinrichtungen AO2020-MultiFID14 und AO2040-MultiFID14 lautet 4.0.2. Die Version 4.0.2 schließt die ebenfalls zulässige Version 4.0.1 ein.</w:t>
      </w:r>
    </w:p>
    <w:p>
      <w:pPr>
        <w:pStyle w:val="GesAbsatz"/>
      </w:pPr>
      <w:r>
        <w:t>Stellungnahme der TÜV Süd Industrie Service GmbH vom 1. Dezember 2015</w:t>
      </w:r>
    </w:p>
    <w:p>
      <w:pPr>
        <w:pStyle w:val="GesAbsatz"/>
        <w:ind w:left="426" w:hanging="426"/>
        <w:rPr>
          <w:b/>
        </w:rPr>
      </w:pPr>
      <w:r>
        <w:rPr>
          <w:b/>
        </w:rPr>
        <w:lastRenderedPageBreak/>
        <w:t>36</w:t>
      </w:r>
      <w:r>
        <w:rPr>
          <w:b/>
        </w:rPr>
        <w:tab/>
        <w:t>Mitteilung zu den Bekanntmachungen des Umweltbundesamtes vom 22. April 2003 (BAnz. S. 10 742, Kapitel I Nummer 2.4) und vom 31. März 2005 (BAnz. S. 6892, Kapitel III 2. Mitteilung)</w:t>
      </w:r>
    </w:p>
    <w:p>
      <w:pPr>
        <w:pStyle w:val="GesAbsatz"/>
      </w:pPr>
      <w:r>
        <w:t>Die aktuelle Software-Version für das Analysatormodul (SNE1) der Messeinrichtungen AO2020-Limas11UV und AO2040-Limas11UV für NO, SO</w:t>
      </w:r>
      <w:r>
        <w:rPr>
          <w:vertAlign w:val="subscript"/>
        </w:rPr>
        <w:t>2</w:t>
      </w:r>
      <w:r>
        <w:t xml:space="preserve"> und O</w:t>
      </w:r>
      <w:r>
        <w:rPr>
          <w:vertAlign w:val="subscript"/>
        </w:rPr>
        <w:t>2</w:t>
      </w:r>
      <w:r>
        <w:t xml:space="preserve"> der Fa. ABB Automation GmbH lautet 2.0.6.</w:t>
      </w:r>
    </w:p>
    <w:p>
      <w:pPr>
        <w:pStyle w:val="GesAbsatz"/>
      </w:pPr>
      <w:r>
        <w:t>Die aktuelle Software-Version für die Zentraleinheit (</w:t>
      </w:r>
      <w:proofErr w:type="spellStart"/>
      <w:r>
        <w:t>Syscon</w:t>
      </w:r>
      <w:proofErr w:type="spellEnd"/>
      <w:r>
        <w:t xml:space="preserve"> II) der Messeinrichtungen AO2020-Limas11UV und AO2040-Limas11UV lautet 4.0.2. Die Version 4.0.2 schließt die ebenfalls zulässige Version 4.0.1 ein.</w:t>
      </w:r>
    </w:p>
    <w:p>
      <w:pPr>
        <w:pStyle w:val="GesAbsatz"/>
      </w:pPr>
      <w:r>
        <w:t>Stellungnahme der TÜV Süd Industrie Service GmbH vom 1. Dezember 2015</w:t>
      </w:r>
    </w:p>
    <w:p>
      <w:pPr>
        <w:pStyle w:val="GesAbsatz"/>
        <w:ind w:left="426" w:hanging="426"/>
        <w:rPr>
          <w:b/>
        </w:rPr>
      </w:pPr>
      <w:r>
        <w:rPr>
          <w:b/>
        </w:rPr>
        <w:t>37</w:t>
      </w:r>
      <w:r>
        <w:rPr>
          <w:b/>
        </w:rPr>
        <w:tab/>
        <w:t>Mitteilung zu den Bekanntmachungen des Umweltbundesamtes vom 22. April 2003 (BAnz. S. 10 742, Kapitel II Nummer 1.1) und vom 31. März 2005 (BAnz. S. 6892, Kapitel III 4. Mitteilung)</w:t>
      </w:r>
    </w:p>
    <w:p>
      <w:pPr>
        <w:pStyle w:val="GesAbsatz"/>
      </w:pPr>
      <w:r>
        <w:t>Die aktuelle Software-Version für das Analysatormodul (SNE1) der Messeinrichtungen AO2020-Magnos106 und AO2040-Magnos106 für O</w:t>
      </w:r>
      <w:r>
        <w:rPr>
          <w:vertAlign w:val="subscript"/>
        </w:rPr>
        <w:t>2</w:t>
      </w:r>
      <w:r>
        <w:t xml:space="preserve"> der Fa. ABB Automation GmbH lautet 2.0.6.</w:t>
      </w:r>
    </w:p>
    <w:p>
      <w:pPr>
        <w:pStyle w:val="GesAbsatz"/>
      </w:pPr>
      <w:r>
        <w:t>Die aktuelle Software-Version für die Zentraleinheit (</w:t>
      </w:r>
      <w:proofErr w:type="spellStart"/>
      <w:r>
        <w:t>Syscon</w:t>
      </w:r>
      <w:proofErr w:type="spellEnd"/>
      <w:r>
        <w:t xml:space="preserve"> II) der Messeinrichtungen AO2020-Magnos106 und AO2040-Magnos106 lautet 4.0.2. Die Version 4.0.2 schließt die ebenfalls zulässige Version 4.0.1 ein.</w:t>
      </w:r>
    </w:p>
    <w:p>
      <w:pPr>
        <w:pStyle w:val="GesAbsatz"/>
      </w:pPr>
      <w:r>
        <w:t>Stellungnahme der TÜV Süd Industrie Service GmbH vom 1. Dezember 2015</w:t>
      </w:r>
    </w:p>
    <w:p>
      <w:pPr>
        <w:pStyle w:val="GesAbsatz"/>
        <w:ind w:left="426" w:hanging="426"/>
        <w:rPr>
          <w:b/>
        </w:rPr>
      </w:pPr>
      <w:r>
        <w:rPr>
          <w:b/>
        </w:rPr>
        <w:t>38</w:t>
      </w:r>
      <w:r>
        <w:rPr>
          <w:b/>
        </w:rPr>
        <w:tab/>
        <w:t>Mitteilung zu den Bekanntmachungen des Umweltbundesamtes vom 23. Februar 2012 (BAnz. S. 920, Kapitel IV Nummer 1.1) und vom 22. Juli 2015 (BAnz AT 26.08.2015 B4, Kapitel V 39. Mitteilung)</w:t>
      </w:r>
    </w:p>
    <w:p>
      <w:pPr>
        <w:pStyle w:val="GesAbsatz"/>
      </w:pPr>
      <w:r>
        <w:t>Die Messeinrichtung TEOM 1405-F Ambient Particulate Monitor mit PM</w:t>
      </w:r>
      <w:r>
        <w:rPr>
          <w:vertAlign w:val="subscript"/>
        </w:rPr>
        <w:t>10</w:t>
      </w:r>
      <w:r>
        <w:t>-Vorabscheider der Fa. Thermo Fisher Scientific für die Messkomponente Schwebstaub PM</w:t>
      </w:r>
      <w:r>
        <w:rPr>
          <w:vertAlign w:val="subscript"/>
        </w:rPr>
        <w:t>10</w:t>
      </w:r>
      <w:r>
        <w:t xml:space="preserve"> erfüllt die Anforderungen der DIN CEN/TS 16450 (Ausgabe August 2013). Ein Addendum zum Prüfbericht mit der Berichtsnummer 936/21221597/B ist im Internet unter www.qal1.de einsehbar.</w:t>
      </w:r>
    </w:p>
    <w:p>
      <w:pPr>
        <w:pStyle w:val="GesAbsatz"/>
      </w:pPr>
      <w:r>
        <w:t>Stellungnahme der TÜV Rheinland Energie und Umwelt GmbH vom 20. November 2015</w:t>
      </w:r>
    </w:p>
    <w:p>
      <w:pPr>
        <w:pStyle w:val="GesAbsatz"/>
        <w:ind w:left="426" w:hanging="426"/>
        <w:rPr>
          <w:b/>
        </w:rPr>
      </w:pPr>
      <w:r>
        <w:rPr>
          <w:b/>
        </w:rPr>
        <w:t>39</w:t>
      </w:r>
      <w:r>
        <w:rPr>
          <w:b/>
        </w:rPr>
        <w:tab/>
        <w:t>Mitteilung zu den Bekanntmachungen des Umweltbundesamtes vom 6. Juli 2012 (BAnz AT 20.07.2012 B11, Kapitel III Nummer 1.1) und vom 22. Juli 2015 (BAnz AT 26.08.2015 B4, Kapitel V 40. Mitteilung)</w:t>
      </w:r>
    </w:p>
    <w:p>
      <w:pPr>
        <w:pStyle w:val="GesAbsatz"/>
      </w:pPr>
      <w:r>
        <w:t>Die Messeinrichtung TEOM 1405-F Ambient Particulate Monitor mit PM</w:t>
      </w:r>
      <w:r>
        <w:rPr>
          <w:vertAlign w:val="subscript"/>
        </w:rPr>
        <w:t>2,5</w:t>
      </w:r>
      <w:r>
        <w:t>-Vorabscheider der Fa. Thermo Fisher Scientific für die Messkomponente Schwebstaub PM</w:t>
      </w:r>
      <w:r>
        <w:rPr>
          <w:vertAlign w:val="subscript"/>
        </w:rPr>
        <w:t>2,5</w:t>
      </w:r>
      <w:r>
        <w:t xml:space="preserve"> erfüllt die Anforderungen der DIN CEN/TS 16450 (Ausgabe August 2013). Ein Addendum zum Prüfbericht mit der Berichtsnummer 936/21221597/C ist im Internet unter www.qal1.de einsehbar.</w:t>
      </w:r>
    </w:p>
    <w:p>
      <w:pPr>
        <w:pStyle w:val="GesAbsatz"/>
      </w:pPr>
      <w:r>
        <w:t>Stellungnahme der TÜV Rheinland Energie und Umwelt GmbH vom 20. November 2015</w:t>
      </w:r>
    </w:p>
    <w:p>
      <w:pPr>
        <w:pStyle w:val="GesAbsatz"/>
        <w:ind w:left="426" w:hanging="426"/>
        <w:rPr>
          <w:b/>
        </w:rPr>
      </w:pPr>
      <w:r>
        <w:rPr>
          <w:b/>
        </w:rPr>
        <w:t>40</w:t>
      </w:r>
      <w:r>
        <w:rPr>
          <w:b/>
        </w:rPr>
        <w:tab/>
        <w:t>Mitteilung zu den Bekanntmachungen des Umweltbundesamtes vom 6. Juli 2012 (BAnz AT 20.07.2012 B11, Kapitel III Nummer 2.1) und vom 22. Juli 2015 (BAnz AT 26.08.2015 B4, Kapitel V 41. Mitteilung)</w:t>
      </w:r>
    </w:p>
    <w:p>
      <w:pPr>
        <w:pStyle w:val="GesAbsatz"/>
      </w:pPr>
      <w:r>
        <w:t>Die aktuelle Softwareversion der Messeinrichtung TEOM 1405-DF Ambient Particulate Monitor mit PM</w:t>
      </w:r>
      <w:r>
        <w:rPr>
          <w:vertAlign w:val="subscript"/>
        </w:rPr>
        <w:t>10</w:t>
      </w:r>
      <w:r>
        <w:t>-Vorabscheider und virtuellem Impaktor der Fa. Thermo Fisher Scientific für die Messkomponenten Schwebstaub PM</w:t>
      </w:r>
      <w:r>
        <w:rPr>
          <w:vertAlign w:val="subscript"/>
        </w:rPr>
        <w:t>10</w:t>
      </w:r>
      <w:r>
        <w:t xml:space="preserve"> und PM</w:t>
      </w:r>
      <w:r>
        <w:rPr>
          <w:vertAlign w:val="subscript"/>
        </w:rPr>
        <w:t>2,5</w:t>
      </w:r>
      <w:r>
        <w:t xml:space="preserve"> erfüllt die Anforderungen der DIN CEN/TS 16450 (Ausgabe August 2013). Ein Addendum zum Prüfbericht mit der Berichtsnummer 936/21221597/A ist im Internet unter www.qal1.de einsehbar.</w:t>
      </w:r>
    </w:p>
    <w:p>
      <w:pPr>
        <w:pStyle w:val="GesAbsatz"/>
      </w:pPr>
      <w:r>
        <w:t>Stellungnahme der TÜV Rheinland Energie und Umwelt GmbH vom 20. November 2015</w:t>
      </w:r>
    </w:p>
    <w:p>
      <w:pPr>
        <w:pStyle w:val="GesAbsatz"/>
        <w:ind w:left="426" w:hanging="426"/>
        <w:rPr>
          <w:b/>
        </w:rPr>
      </w:pPr>
      <w:r>
        <w:rPr>
          <w:b/>
        </w:rPr>
        <w:t>41</w:t>
      </w:r>
      <w:r>
        <w:rPr>
          <w:b/>
        </w:rPr>
        <w:tab/>
        <w:t>Mitteilung zu den Bekanntmachungen des Umweltbundesamtes vom 23. Februar 2012 (BAnz. S. 920, Kapitel I Nummer 2.1) und vom 3. Juli 2013 (BAnz AT 23.07.2013 B4, Kapitel V 12. Mitteilung [Nummer 13])</w:t>
      </w:r>
    </w:p>
    <w:p>
      <w:pPr>
        <w:pStyle w:val="GesAbsatz"/>
      </w:pPr>
      <w:r>
        <w:t>Die Messeinrichtung GMS810-FIDOR der Firma SICK AG für die Messkomponente Gesamt-Kohlenstoff wird unter der Bezeichnung GMS810-FIDORi mit internem Katalysator zur Reinigung der Instrumentenluft vertrieben. Der externe Katalysator kann bei dieser Version entfallen. Das Wartungsintervall der Messeinrichtung GMS810-FIDORi beträgt vier Wochen.</w:t>
      </w:r>
    </w:p>
    <w:p>
      <w:pPr>
        <w:pStyle w:val="GesAbsatz"/>
      </w:pPr>
      <w:r>
        <w:t xml:space="preserve">Die Messeinrichtungen GMS810-FIDOR und GMS810-FIDORi können auch alternativ mit der Probenahmesonde des Typs SP 180-H der M&amp;C </w:t>
      </w:r>
      <w:proofErr w:type="spellStart"/>
      <w:r>
        <w:t>TechGroup</w:t>
      </w:r>
      <w:proofErr w:type="spellEnd"/>
      <w:r>
        <w:t xml:space="preserve"> Germany GmbH betrieben werden.</w:t>
      </w:r>
    </w:p>
    <w:p>
      <w:pPr>
        <w:pStyle w:val="GesAbsatz"/>
      </w:pPr>
      <w:r>
        <w:t>Die Ergebnisse der Untersuchungen zum neuen Sondentyp und der Geräteversion GMS810-FIDORi mit internem Katalysator sind im Bericht 936/21229847/B vom 21. Januar 2016 der TÜV Rheinland Energie und Umwelt GmbH beschrieben.</w:t>
      </w:r>
    </w:p>
    <w:p>
      <w:pPr>
        <w:pStyle w:val="GesAbsatz"/>
      </w:pPr>
      <w:r>
        <w:t>Stellungnahme der TÜV Rheinland Energie und Umwelt GmbH vom 21. Januar 2016</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18.02.2016 (BAnz AT v. 14.03.2016 B7)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61.4-69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5C0C98-1C35-400E-A9DA-9127FE4F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9F88-EBC6-45C2-80A1-A2053DCC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6498</Words>
  <Characters>39014</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13</cp:revision>
  <cp:lastPrinted>2016-03-23T14:51:00Z</cp:lastPrinted>
  <dcterms:created xsi:type="dcterms:W3CDTF">2016-03-23T09:20:00Z</dcterms:created>
  <dcterms:modified xsi:type="dcterms:W3CDTF">2024-06-07T07:28:00Z</dcterms:modified>
</cp:coreProperties>
</file>