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86" w:rsidRDefault="00B47286" w:rsidP="007B0C37">
      <w:pPr>
        <w:pStyle w:val="berschrift1"/>
      </w:pPr>
      <w:r>
        <w:t>Bekanntmachung</w:t>
      </w:r>
      <w:r w:rsidR="007B0C37">
        <w:t xml:space="preserve"> </w:t>
      </w:r>
      <w:r>
        <w:t>über die bundeseinheitliche Praxis bei der</w:t>
      </w:r>
      <w:r w:rsidR="007B0C37">
        <w:br/>
      </w:r>
      <w:r>
        <w:t>Überwachung der Emissionen</w:t>
      </w:r>
      <w:r w:rsidR="007B0C37">
        <w:t xml:space="preserve"> </w:t>
      </w:r>
      <w:r>
        <w:t>und der Immissionen</w:t>
      </w:r>
    </w:p>
    <w:p w:rsidR="00B47286" w:rsidRDefault="007B0C37" w:rsidP="007B0C37">
      <w:pPr>
        <w:pStyle w:val="GesAbsatz"/>
        <w:jc w:val="center"/>
      </w:pPr>
      <w:r>
        <w:t>v</w:t>
      </w:r>
      <w:r w:rsidR="00B47286">
        <w:t>om 22. Juli 2015</w:t>
      </w:r>
    </w:p>
    <w:p w:rsidR="007B0C37" w:rsidRDefault="007B0C37" w:rsidP="00B47286">
      <w:pPr>
        <w:pStyle w:val="GesAbsatz"/>
      </w:pPr>
    </w:p>
    <w:p w:rsidR="007B0C37" w:rsidRDefault="007B0C37" w:rsidP="00B47286">
      <w:pPr>
        <w:pStyle w:val="GesAbsatz"/>
      </w:pPr>
    </w:p>
    <w:p w:rsidR="00B47286" w:rsidRDefault="00B47286" w:rsidP="007B0C37">
      <w:pPr>
        <w:pStyle w:val="berschrift2"/>
      </w:pPr>
      <w:r>
        <w:t>I.</w:t>
      </w:r>
      <w:r w:rsidR="007B0C37">
        <w:br/>
      </w:r>
      <w:r>
        <w:t>Eignung von Messeinrichtungen zur kontinuierlichen Überwachung von Emissionen</w:t>
      </w:r>
    </w:p>
    <w:p w:rsidR="00B47286" w:rsidRDefault="00B47286" w:rsidP="00B47286">
      <w:pPr>
        <w:pStyle w:val="GesAbsatz"/>
      </w:pPr>
      <w:r>
        <w:t>Die obersten Immissionsschutzbehörden der Länder haben die Ergebnisse der Eignungsprüfungen begu</w:t>
      </w:r>
      <w:r>
        <w:t>t</w:t>
      </w:r>
      <w:r>
        <w:t>achtet und</w:t>
      </w:r>
      <w:r w:rsidR="00692F93">
        <w:t xml:space="preserve"> </w:t>
      </w:r>
      <w:r>
        <w:t>sind zu einem positiven Gesamturteil gelangt.</w:t>
      </w:r>
    </w:p>
    <w:p w:rsidR="00B47286" w:rsidRDefault="00B47286" w:rsidP="00B47286">
      <w:pPr>
        <w:pStyle w:val="GesAbsatz"/>
      </w:pPr>
      <w:r>
        <w:t>Unter Bezugnahme auf Nummer 3 der Richtlinie über die Bundeseinheitliche Praxis bei der Überwachung der</w:t>
      </w:r>
      <w:r w:rsidR="00692F93">
        <w:t xml:space="preserve"> </w:t>
      </w:r>
      <w:r>
        <w:t>Emissionen – Rundschreiben des Bundesministeriums für Umwelt, Naturschutz und Reaktorsicherheit (BMU) –</w:t>
      </w:r>
      <w:r w:rsidR="00692F93">
        <w:t xml:space="preserve"> </w:t>
      </w:r>
      <w:r>
        <w:t>IG I 2 – 45053/5 (GMBl 2005 S. 795), zuletzt geändert am 4. August 2010 (GMBl 2010 S. 1172) erfolgt die Eignungsbekanntgabe.</w:t>
      </w:r>
    </w:p>
    <w:p w:rsidR="00B47286" w:rsidRPr="00692F93" w:rsidRDefault="00B47286" w:rsidP="00B47286">
      <w:pPr>
        <w:pStyle w:val="GesAbsatz"/>
        <w:rPr>
          <w:b/>
        </w:rPr>
      </w:pPr>
      <w:r w:rsidRPr="00692F93">
        <w:rPr>
          <w:b/>
        </w:rPr>
        <w:t>1</w:t>
      </w:r>
      <w:r w:rsidR="00692F93" w:rsidRPr="00692F93">
        <w:rPr>
          <w:b/>
        </w:rPr>
        <w:tab/>
      </w:r>
      <w:r w:rsidRPr="00692F93">
        <w:rPr>
          <w:b/>
        </w:rPr>
        <w:t>Staub</w:t>
      </w:r>
    </w:p>
    <w:p w:rsidR="00B47286" w:rsidRPr="00692F93" w:rsidRDefault="00B47286" w:rsidP="00B47286">
      <w:pPr>
        <w:pStyle w:val="GesAbsatz"/>
        <w:rPr>
          <w:b/>
        </w:rPr>
      </w:pPr>
      <w:r w:rsidRPr="00692F93">
        <w:rPr>
          <w:b/>
        </w:rPr>
        <w:t>1.1</w:t>
      </w:r>
      <w:r w:rsidR="00692F93" w:rsidRPr="00692F93">
        <w:rPr>
          <w:b/>
        </w:rPr>
        <w:tab/>
      </w:r>
      <w:r w:rsidRPr="00692F93">
        <w:rPr>
          <w:b/>
        </w:rPr>
        <w:t>D-R 320 für Staub</w:t>
      </w:r>
    </w:p>
    <w:p w:rsidR="00B47286" w:rsidRDefault="00B47286" w:rsidP="00B47286">
      <w:pPr>
        <w:pStyle w:val="GesAbsatz"/>
      </w:pPr>
      <w:r>
        <w:t>Hersteller:</w:t>
      </w:r>
    </w:p>
    <w:p w:rsidR="00B47286" w:rsidRDefault="00B47286" w:rsidP="00B47286">
      <w:pPr>
        <w:pStyle w:val="GesAbsatz"/>
      </w:pPr>
      <w:r>
        <w:t>DURAG GmbH, Hamburg</w:t>
      </w:r>
    </w:p>
    <w:p w:rsidR="00B47286" w:rsidRDefault="00B47286" w:rsidP="00B47286">
      <w:pPr>
        <w:pStyle w:val="GesAbsatz"/>
      </w:pPr>
      <w:r>
        <w:t>Eignung:</w:t>
      </w:r>
    </w:p>
    <w:p w:rsidR="00B47286" w:rsidRDefault="00B47286" w:rsidP="00B47286">
      <w:pPr>
        <w:pStyle w:val="GesAbsatz"/>
      </w:pPr>
      <w:r>
        <w:t>Für genehmigungsbedürftige Anlagen sowie Anlagen der 27. BImSchV</w:t>
      </w:r>
    </w:p>
    <w:p w:rsidR="00B47286" w:rsidRDefault="00B47286" w:rsidP="00B47286"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3435"/>
        <w:gridCol w:w="2500"/>
      </w:tblGrid>
      <w:tr w:rsidR="00692F93" w:rsidRPr="00692F93" w:rsidTr="00692F93">
        <w:tc>
          <w:tcPr>
            <w:tcW w:w="2093" w:type="dxa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Komponente</w:t>
            </w:r>
          </w:p>
        </w:tc>
        <w:tc>
          <w:tcPr>
            <w:tcW w:w="3435" w:type="dxa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Zertifizierungsbereich</w:t>
            </w:r>
          </w:p>
        </w:tc>
        <w:tc>
          <w:tcPr>
            <w:tcW w:w="2500" w:type="dxa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Einheit</w:t>
            </w:r>
          </w:p>
        </w:tc>
      </w:tr>
      <w:tr w:rsidR="00692F93" w:rsidRPr="00692F93" w:rsidTr="00692F93">
        <w:tc>
          <w:tcPr>
            <w:tcW w:w="2093" w:type="dxa"/>
          </w:tcPr>
          <w:p w:rsidR="00692F93" w:rsidRPr="00692F93" w:rsidRDefault="00692F93" w:rsidP="004D17B4">
            <w:pPr>
              <w:pStyle w:val="GesAbsatz"/>
              <w:tabs>
                <w:tab w:val="clear" w:pos="425"/>
              </w:tabs>
            </w:pPr>
            <w:r w:rsidRPr="00692F93">
              <w:t>Staub</w:t>
            </w:r>
          </w:p>
        </w:tc>
        <w:tc>
          <w:tcPr>
            <w:tcW w:w="3435" w:type="dxa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0 – 7,5*</w:t>
            </w:r>
          </w:p>
        </w:tc>
        <w:tc>
          <w:tcPr>
            <w:tcW w:w="2500" w:type="dxa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mg/m³</w:t>
            </w:r>
          </w:p>
        </w:tc>
      </w:tr>
    </w:tbl>
    <w:p w:rsidR="00B47286" w:rsidRDefault="00B47286" w:rsidP="00B47286">
      <w:pPr>
        <w:pStyle w:val="GesAbsatz"/>
      </w:pPr>
      <w:r>
        <w:t>* entspricht 0 – 500 SL</w:t>
      </w:r>
    </w:p>
    <w:p w:rsidR="00692F93" w:rsidRDefault="00692F93" w:rsidP="00B47286">
      <w:pPr>
        <w:pStyle w:val="GesAbsatz"/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668"/>
        <w:gridCol w:w="1805"/>
        <w:gridCol w:w="1663"/>
        <w:gridCol w:w="1664"/>
        <w:gridCol w:w="1664"/>
        <w:gridCol w:w="1425"/>
      </w:tblGrid>
      <w:tr w:rsidR="00692F93" w:rsidRPr="00692F93" w:rsidTr="00692F93">
        <w:tc>
          <w:tcPr>
            <w:tcW w:w="1668" w:type="dxa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Komponente</w:t>
            </w:r>
          </w:p>
        </w:tc>
        <w:tc>
          <w:tcPr>
            <w:tcW w:w="6796" w:type="dxa"/>
            <w:gridSpan w:val="4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zusätzliche Messbereiche</w:t>
            </w:r>
          </w:p>
        </w:tc>
        <w:tc>
          <w:tcPr>
            <w:tcW w:w="1425" w:type="dxa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Einheit</w:t>
            </w:r>
          </w:p>
        </w:tc>
      </w:tr>
      <w:tr w:rsidR="00692F93" w:rsidTr="00692F93">
        <w:tc>
          <w:tcPr>
            <w:tcW w:w="1668" w:type="dxa"/>
          </w:tcPr>
          <w:p w:rsidR="00692F93" w:rsidRPr="00692F93" w:rsidRDefault="00692F93" w:rsidP="004D17B4">
            <w:pPr>
              <w:pStyle w:val="GesAbsatz"/>
              <w:tabs>
                <w:tab w:val="clear" w:pos="425"/>
              </w:tabs>
            </w:pPr>
            <w:r w:rsidRPr="00692F93">
              <w:t>Staub</w:t>
            </w:r>
          </w:p>
        </w:tc>
        <w:tc>
          <w:tcPr>
            <w:tcW w:w="1805" w:type="dxa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0 – 1 000</w:t>
            </w:r>
          </w:p>
        </w:tc>
        <w:tc>
          <w:tcPr>
            <w:tcW w:w="1663" w:type="dxa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0 – 4 000</w:t>
            </w:r>
          </w:p>
        </w:tc>
        <w:tc>
          <w:tcPr>
            <w:tcW w:w="1664" w:type="dxa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0 – 20 000</w:t>
            </w:r>
          </w:p>
        </w:tc>
        <w:tc>
          <w:tcPr>
            <w:tcW w:w="1664" w:type="dxa"/>
          </w:tcPr>
          <w:p w:rsidR="00692F93" w:rsidRP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0 – 100</w:t>
            </w:r>
          </w:p>
        </w:tc>
        <w:tc>
          <w:tcPr>
            <w:tcW w:w="1425" w:type="dxa"/>
          </w:tcPr>
          <w:p w:rsidR="00692F93" w:rsidRDefault="00692F93" w:rsidP="00692F93">
            <w:pPr>
              <w:pStyle w:val="GesAbsatz"/>
              <w:tabs>
                <w:tab w:val="clear" w:pos="425"/>
              </w:tabs>
              <w:jc w:val="center"/>
            </w:pPr>
            <w:r w:rsidRPr="00692F93">
              <w:t>SL</w:t>
            </w:r>
          </w:p>
        </w:tc>
      </w:tr>
    </w:tbl>
    <w:p w:rsidR="00B47286" w:rsidRDefault="00B47286" w:rsidP="00B47286">
      <w:pPr>
        <w:pStyle w:val="GesAbsatz"/>
      </w:pPr>
    </w:p>
    <w:p w:rsidR="00B47286" w:rsidRDefault="00B47286" w:rsidP="00692F93">
      <w:pPr>
        <w:pStyle w:val="GesAbsatz"/>
        <w:tabs>
          <w:tab w:val="left" w:pos="2127"/>
          <w:tab w:val="left" w:pos="3969"/>
        </w:tabs>
      </w:pPr>
      <w:r>
        <w:t>Softwareversionen:</w:t>
      </w:r>
      <w:r w:rsidR="00692F93">
        <w:tab/>
      </w:r>
      <w:r>
        <w:t>D-R 320:</w:t>
      </w:r>
      <w:r w:rsidR="00692F93">
        <w:tab/>
      </w:r>
      <w:r>
        <w:t>01.02R000</w:t>
      </w:r>
    </w:p>
    <w:p w:rsidR="00B47286" w:rsidRDefault="00692F93" w:rsidP="00692F93">
      <w:pPr>
        <w:pStyle w:val="GesAbsatz"/>
        <w:tabs>
          <w:tab w:val="clear" w:pos="425"/>
          <w:tab w:val="left" w:pos="2127"/>
          <w:tab w:val="left" w:pos="3969"/>
        </w:tabs>
      </w:pPr>
      <w:r>
        <w:tab/>
      </w:r>
      <w:r w:rsidR="00B47286">
        <w:t>D-ISC 100:</w:t>
      </w:r>
      <w:r>
        <w:tab/>
      </w:r>
      <w:r w:rsidR="00B47286">
        <w:t>01.03R0000</w:t>
      </w:r>
    </w:p>
    <w:p w:rsidR="00B47286" w:rsidRDefault="00692F93" w:rsidP="00692F93">
      <w:pPr>
        <w:pStyle w:val="GesAbsatz"/>
        <w:tabs>
          <w:tab w:val="clear" w:pos="425"/>
          <w:tab w:val="left" w:pos="2127"/>
          <w:tab w:val="left" w:pos="3969"/>
        </w:tabs>
      </w:pPr>
      <w:r>
        <w:tab/>
      </w:r>
      <w:r w:rsidR="00B47286">
        <w:t>D-ESI 100:</w:t>
      </w:r>
      <w:r>
        <w:tab/>
      </w:r>
      <w:r w:rsidR="00B47286">
        <w:t>1.1.015</w:t>
      </w:r>
    </w:p>
    <w:p w:rsidR="00B47286" w:rsidRDefault="00B47286" w:rsidP="00B47286">
      <w:pPr>
        <w:pStyle w:val="GesAbsatz"/>
      </w:pPr>
      <w:r>
        <w:t>Einschränkungen:</w:t>
      </w:r>
    </w:p>
    <w:p w:rsidR="00B47286" w:rsidRDefault="00B47286" w:rsidP="00B47286">
      <w:pPr>
        <w:pStyle w:val="GesAbsatz"/>
      </w:pPr>
      <w:r>
        <w:t>Keine</w:t>
      </w:r>
    </w:p>
    <w:p w:rsidR="00B47286" w:rsidRDefault="00B47286" w:rsidP="00B47286">
      <w:pPr>
        <w:pStyle w:val="GesAbsatz"/>
      </w:pPr>
      <w:r>
        <w:t>Hinweise:</w:t>
      </w:r>
    </w:p>
    <w:p w:rsidR="00B47286" w:rsidRDefault="00B47286" w:rsidP="00B47286">
      <w:pPr>
        <w:pStyle w:val="GesAbsatz"/>
      </w:pPr>
      <w:r>
        <w:t>1.</w:t>
      </w:r>
      <w:r w:rsidR="00692F93">
        <w:tab/>
      </w:r>
      <w:r>
        <w:t>Das Wartungsintervall beträgt sechs Monate.</w:t>
      </w:r>
    </w:p>
    <w:p w:rsidR="00B47286" w:rsidRDefault="00B47286" w:rsidP="00692F93">
      <w:pPr>
        <w:pStyle w:val="GesAbsatz"/>
        <w:ind w:left="426" w:hanging="426"/>
      </w:pPr>
      <w:r>
        <w:t>2.</w:t>
      </w:r>
      <w:r w:rsidR="00692F93">
        <w:tab/>
      </w:r>
      <w:r>
        <w:t>Die Messeinrichtung kann mit der Auswerteeinheit D-ISC 100 oder mit der Versorgungseinheit D-TB 200 oder mit der</w:t>
      </w:r>
      <w:r w:rsidR="00692F93">
        <w:t xml:space="preserve"> </w:t>
      </w:r>
      <w:r>
        <w:t>Versorgungseinheit D-TB 100 betrieben werden.</w:t>
      </w:r>
    </w:p>
    <w:p w:rsidR="00B47286" w:rsidRDefault="00B47286" w:rsidP="00692F93">
      <w:pPr>
        <w:pStyle w:val="GesAbsatz"/>
        <w:ind w:left="426" w:hanging="426"/>
      </w:pPr>
      <w:r>
        <w:t>3.</w:t>
      </w:r>
      <w:r w:rsidR="00692F93">
        <w:tab/>
      </w:r>
      <w:r>
        <w:t>Die Messeinrichtung kann entweder über die Versorgungseinheit D-TB 200 oder extern mit Spülluft versorgt werden.</w:t>
      </w:r>
    </w:p>
    <w:p w:rsidR="00B47286" w:rsidRDefault="00B47286" w:rsidP="00692F93">
      <w:pPr>
        <w:pStyle w:val="GesAbsatz"/>
        <w:ind w:left="426" w:hanging="426"/>
      </w:pPr>
      <w:r>
        <w:t>4.</w:t>
      </w:r>
      <w:r w:rsidR="00692F93">
        <w:tab/>
      </w:r>
      <w:r>
        <w:t xml:space="preserve">Die Universal-Steuereinheit D-ISC 100 verfügt über die digitalen Schnittstellen </w:t>
      </w:r>
      <w:proofErr w:type="spellStart"/>
      <w:r>
        <w:t>Modbus</w:t>
      </w:r>
      <w:proofErr w:type="spellEnd"/>
      <w:r>
        <w:t xml:space="preserve"> RTU und </w:t>
      </w:r>
      <w:proofErr w:type="spellStart"/>
      <w:r>
        <w:t>Modbus</w:t>
      </w:r>
      <w:proofErr w:type="spellEnd"/>
      <w:r>
        <w:t xml:space="preserve"> TCP nach</w:t>
      </w:r>
      <w:r w:rsidR="00692F93">
        <w:t xml:space="preserve"> </w:t>
      </w:r>
      <w:r>
        <w:t>VDI 4201 Blatt 1 und 3 (EIA-485, seriell und TCP/IP, Ethernet).</w:t>
      </w:r>
    </w:p>
    <w:p w:rsidR="00B47286" w:rsidRDefault="00B47286" w:rsidP="00692F93">
      <w:pPr>
        <w:pStyle w:val="GesAbsatz"/>
        <w:ind w:left="426" w:hanging="426"/>
      </w:pPr>
      <w:r>
        <w:t>5.</w:t>
      </w:r>
      <w:r w:rsidR="00692F93">
        <w:tab/>
      </w:r>
      <w:r>
        <w:t xml:space="preserve">Die Messeinrichtung D-R 320 verfügt über die digitale Schnittstelle </w:t>
      </w:r>
      <w:proofErr w:type="spellStart"/>
      <w:r>
        <w:t>Modbus</w:t>
      </w:r>
      <w:proofErr w:type="spellEnd"/>
      <w:r>
        <w:t xml:space="preserve"> RTU entsprechend VDI</w:t>
      </w:r>
      <w:r w:rsidR="00692F93">
        <w:t> </w:t>
      </w:r>
      <w:r>
        <w:t>4201 Blatt 1 und 3</w:t>
      </w:r>
      <w:r w:rsidR="00692F93">
        <w:t xml:space="preserve"> </w:t>
      </w:r>
      <w:r>
        <w:t>(EIA-485, seriell).</w:t>
      </w:r>
    </w:p>
    <w:p w:rsidR="00B47286" w:rsidRDefault="00B47286" w:rsidP="00692F93">
      <w:pPr>
        <w:pStyle w:val="GesAbsatz"/>
        <w:ind w:left="426" w:hanging="426"/>
      </w:pPr>
      <w:r>
        <w:t>6.</w:t>
      </w:r>
      <w:r w:rsidR="00692F93">
        <w:tab/>
      </w:r>
      <w:r>
        <w:t xml:space="preserve">Bei Kombination der Messeinrichtung D-R 320 mit der Universal-Steuereinheit D-ISC 100 ist die </w:t>
      </w:r>
      <w:proofErr w:type="spellStart"/>
      <w:r>
        <w:t>Modbus</w:t>
      </w:r>
      <w:proofErr w:type="spellEnd"/>
      <w:r>
        <w:t>-Schnittstelle</w:t>
      </w:r>
      <w:r w:rsidR="00692F93">
        <w:t xml:space="preserve"> </w:t>
      </w:r>
      <w:r>
        <w:t>der Messeinrichtung D-R 320 nicht nutzbar. Stattdessen wird die digitale Schnit</w:t>
      </w:r>
      <w:r>
        <w:t>t</w:t>
      </w:r>
      <w:r>
        <w:t xml:space="preserve">stelle </w:t>
      </w:r>
      <w:proofErr w:type="spellStart"/>
      <w:r>
        <w:t>Modbus</w:t>
      </w:r>
      <w:proofErr w:type="spellEnd"/>
      <w:r>
        <w:t xml:space="preserve"> der Universal-Steuereinheit D-ISC 100 verwendet.</w:t>
      </w:r>
    </w:p>
    <w:p w:rsidR="00B47286" w:rsidRDefault="00B47286" w:rsidP="00692F93">
      <w:pPr>
        <w:pStyle w:val="GesAbsatz"/>
        <w:ind w:left="426" w:hanging="426"/>
      </w:pPr>
      <w:r>
        <w:lastRenderedPageBreak/>
        <w:t>7.</w:t>
      </w:r>
      <w:r w:rsidR="00692F93">
        <w:tab/>
      </w:r>
      <w:r>
        <w:t>Wenn die Messeinrichtung ohne die Auswerteeinheit D-ISC 100 betrieben wird, erfolgt die Bedienung der Messeinrichtung</w:t>
      </w:r>
      <w:r w:rsidR="00692F93">
        <w:t xml:space="preserve"> </w:t>
      </w:r>
      <w:r>
        <w:t>mit der Software D-ESI 100 auf einem handelsüblichen PC/Notebook/Tablet.</w:t>
      </w:r>
    </w:p>
    <w:p w:rsidR="00B47286" w:rsidRDefault="00B47286" w:rsidP="00692F93">
      <w:pPr>
        <w:pStyle w:val="GesAbsatz"/>
        <w:ind w:left="426" w:hanging="426"/>
      </w:pPr>
      <w:r>
        <w:t>8.</w:t>
      </w:r>
      <w:r w:rsidR="00692F93">
        <w:tab/>
      </w:r>
      <w:r>
        <w:t>Die Anforderung bei der Eignungsprüfung nach DIN EN 15267-3 an den Korrelationskoeffizienten R2 der Kalibrierfunktion</w:t>
      </w:r>
      <w:r w:rsidR="00692F93">
        <w:t xml:space="preserve"> </w:t>
      </w:r>
      <w:r>
        <w:t>wurde nicht erfüllt.</w:t>
      </w:r>
    </w:p>
    <w:p w:rsidR="00B47286" w:rsidRDefault="00B47286" w:rsidP="00692F93">
      <w:pPr>
        <w:pStyle w:val="GesAbsatz"/>
        <w:ind w:left="426" w:hanging="426"/>
      </w:pPr>
      <w:r>
        <w:t>9.</w:t>
      </w:r>
      <w:r w:rsidR="00692F93">
        <w:tab/>
      </w:r>
      <w:r>
        <w:t>Ergänzungsprüfung (Verlängerung des Wartungsintervalls) zu der Bekanntmachung des Umweltbu</w:t>
      </w:r>
      <w:r>
        <w:t>n</w:t>
      </w:r>
      <w:r>
        <w:t>desamtes vom</w:t>
      </w:r>
      <w:r w:rsidR="00692F93">
        <w:t xml:space="preserve"> </w:t>
      </w:r>
      <w:r>
        <w:t>17. Juli 2014 (BAnz AT 05.08.2014 B11, Kapitel I Nummer 1.1 und Kapitel IV Bericht</w:t>
      </w:r>
      <w:r>
        <w:t>i</w:t>
      </w:r>
      <w:r>
        <w:t>gung 1).</w:t>
      </w:r>
    </w:p>
    <w:p w:rsidR="00B47286" w:rsidRDefault="00B47286" w:rsidP="00B47286">
      <w:pPr>
        <w:pStyle w:val="GesAbsatz"/>
      </w:pPr>
      <w:r>
        <w:t>Prüfbericht: TÜV Rheinland Energie und Umwelt GmbH, Köln</w:t>
      </w:r>
    </w:p>
    <w:p w:rsidR="00B47286" w:rsidRDefault="00B47286" w:rsidP="00B47286">
      <w:pPr>
        <w:pStyle w:val="GesAbsatz"/>
      </w:pPr>
      <w:r>
        <w:t>Bericht-Nr.: 936/21225028/B vom 2. März 2015</w:t>
      </w:r>
    </w:p>
    <w:p w:rsidR="00B47286" w:rsidRPr="00692F93" w:rsidRDefault="00B47286" w:rsidP="00B47286">
      <w:pPr>
        <w:pStyle w:val="GesAbsatz"/>
        <w:rPr>
          <w:b/>
        </w:rPr>
      </w:pPr>
      <w:r w:rsidRPr="00692F93">
        <w:rPr>
          <w:b/>
        </w:rPr>
        <w:t>2</w:t>
      </w:r>
      <w:r w:rsidR="00692F93" w:rsidRPr="00692F93">
        <w:rPr>
          <w:b/>
        </w:rPr>
        <w:tab/>
      </w:r>
      <w:r w:rsidRPr="00692F93">
        <w:rPr>
          <w:b/>
        </w:rPr>
        <w:t>Mehrkomponentenmesseinrichtungen</w:t>
      </w:r>
    </w:p>
    <w:p w:rsidR="00B47286" w:rsidRPr="00692F93" w:rsidRDefault="00B47286" w:rsidP="00B47286">
      <w:pPr>
        <w:pStyle w:val="GesAbsatz"/>
        <w:rPr>
          <w:b/>
        </w:rPr>
      </w:pPr>
      <w:r w:rsidRPr="00692F93">
        <w:rPr>
          <w:b/>
        </w:rPr>
        <w:t>2.1</w:t>
      </w:r>
      <w:r w:rsidR="00692F93" w:rsidRPr="00692F93">
        <w:rPr>
          <w:b/>
        </w:rPr>
        <w:tab/>
      </w:r>
      <w:proofErr w:type="spellStart"/>
      <w:r w:rsidRPr="00692F93">
        <w:rPr>
          <w:b/>
        </w:rPr>
        <w:t>LaserGas</w:t>
      </w:r>
      <w:proofErr w:type="spellEnd"/>
      <w:r w:rsidRPr="00692F93">
        <w:rPr>
          <w:b/>
        </w:rPr>
        <w:t xml:space="preserve"> II für NH</w:t>
      </w:r>
      <w:r w:rsidRPr="00692F93">
        <w:rPr>
          <w:b/>
          <w:vertAlign w:val="subscript"/>
        </w:rPr>
        <w:t>3</w:t>
      </w:r>
      <w:r w:rsidRPr="00692F93">
        <w:rPr>
          <w:b/>
        </w:rPr>
        <w:t xml:space="preserve"> und H</w:t>
      </w:r>
      <w:r w:rsidRPr="00692F93">
        <w:rPr>
          <w:b/>
          <w:vertAlign w:val="subscript"/>
        </w:rPr>
        <w:t>2</w:t>
      </w:r>
      <w:r w:rsidRPr="00692F93">
        <w:rPr>
          <w:b/>
        </w:rPr>
        <w:t>O</w:t>
      </w:r>
    </w:p>
    <w:p w:rsidR="00B47286" w:rsidRDefault="00B47286" w:rsidP="00B47286">
      <w:pPr>
        <w:pStyle w:val="GesAbsatz"/>
      </w:pPr>
      <w:r>
        <w:t>Hersteller:</w:t>
      </w:r>
    </w:p>
    <w:p w:rsidR="00B47286" w:rsidRDefault="00B47286" w:rsidP="00B47286">
      <w:pPr>
        <w:pStyle w:val="GesAbsatz"/>
      </w:pPr>
      <w:r>
        <w:t xml:space="preserve">NEO Monitors AS, </w:t>
      </w:r>
      <w:proofErr w:type="spellStart"/>
      <w:r>
        <w:t>Skedsmokorset</w:t>
      </w:r>
      <w:proofErr w:type="spellEnd"/>
      <w:r>
        <w:t>, Norwegen</w:t>
      </w:r>
    </w:p>
    <w:p w:rsidR="00B47286" w:rsidRDefault="00B47286" w:rsidP="00B47286">
      <w:pPr>
        <w:pStyle w:val="GesAbsatz"/>
      </w:pPr>
      <w:r>
        <w:t>Eignung:</w:t>
      </w:r>
    </w:p>
    <w:p w:rsidR="00B47286" w:rsidRDefault="00B47286" w:rsidP="00B47286">
      <w:pPr>
        <w:pStyle w:val="GesAbsatz"/>
      </w:pPr>
      <w:r>
        <w:t>Für genehmigungsbedürftige Anlagen sowie Anlagen der 27. BImSchV</w:t>
      </w:r>
    </w:p>
    <w:p w:rsidR="00B47286" w:rsidRDefault="00B47286" w:rsidP="00B47286"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298"/>
        <w:gridCol w:w="1846"/>
        <w:gridCol w:w="1701"/>
        <w:gridCol w:w="2048"/>
      </w:tblGrid>
      <w:tr w:rsidR="00946086" w:rsidRPr="00946086" w:rsidTr="00946086">
        <w:tc>
          <w:tcPr>
            <w:tcW w:w="1668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Komponente</w:t>
            </w:r>
          </w:p>
        </w:tc>
        <w:tc>
          <w:tcPr>
            <w:tcW w:w="2298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Zertifizierungsbereich</w:t>
            </w:r>
          </w:p>
        </w:tc>
        <w:tc>
          <w:tcPr>
            <w:tcW w:w="3547" w:type="dxa"/>
            <w:gridSpan w:val="2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zusätzliche Messbereiche</w:t>
            </w:r>
          </w:p>
        </w:tc>
        <w:tc>
          <w:tcPr>
            <w:tcW w:w="2048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Einheit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</w:pPr>
            <w:r w:rsidRPr="00946086">
              <w:t>NH</w:t>
            </w:r>
            <w:r w:rsidRPr="00946086">
              <w:rPr>
                <w:vertAlign w:val="subscript"/>
              </w:rPr>
              <w:t>3</w:t>
            </w:r>
          </w:p>
        </w:tc>
        <w:tc>
          <w:tcPr>
            <w:tcW w:w="2298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10*</w:t>
            </w:r>
          </w:p>
        </w:tc>
        <w:tc>
          <w:tcPr>
            <w:tcW w:w="18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15*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–</w:t>
            </w:r>
          </w:p>
        </w:tc>
        <w:tc>
          <w:tcPr>
            <w:tcW w:w="2048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mg/m</w:t>
            </w:r>
            <w:r>
              <w:t>³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</w:pPr>
            <w:r w:rsidRPr="00946086">
              <w:t>H</w:t>
            </w:r>
            <w:r w:rsidRPr="00946086">
              <w:rPr>
                <w:vertAlign w:val="subscript"/>
              </w:rPr>
              <w:t>2</w:t>
            </w:r>
            <w:r w:rsidRPr="00946086">
              <w:t>O</w:t>
            </w:r>
          </w:p>
        </w:tc>
        <w:tc>
          <w:tcPr>
            <w:tcW w:w="2298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40*</w:t>
            </w:r>
          </w:p>
        </w:tc>
        <w:tc>
          <w:tcPr>
            <w:tcW w:w="18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30*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50*</w:t>
            </w:r>
          </w:p>
        </w:tc>
        <w:tc>
          <w:tcPr>
            <w:tcW w:w="2048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Vol.-%</w:t>
            </w:r>
          </w:p>
        </w:tc>
      </w:tr>
    </w:tbl>
    <w:p w:rsidR="00B47286" w:rsidRDefault="00B47286" w:rsidP="00B47286">
      <w:pPr>
        <w:pStyle w:val="GesAbsatz"/>
      </w:pPr>
      <w:r>
        <w:t>* bei einer Messweglänge von 1 m</w:t>
      </w:r>
    </w:p>
    <w:p w:rsidR="00B47286" w:rsidRDefault="00B47286" w:rsidP="00632C0D">
      <w:pPr>
        <w:pStyle w:val="GesAbsatz"/>
        <w:tabs>
          <w:tab w:val="left" w:pos="2127"/>
        </w:tabs>
      </w:pPr>
      <w:r>
        <w:t>Softwareversion:</w:t>
      </w:r>
      <w:r w:rsidR="00632C0D">
        <w:tab/>
      </w:r>
      <w:r>
        <w:t>GM 6.1f1-6</w:t>
      </w:r>
    </w:p>
    <w:p w:rsidR="00B47286" w:rsidRDefault="00B47286" w:rsidP="00B47286">
      <w:pPr>
        <w:pStyle w:val="GesAbsatz"/>
      </w:pPr>
      <w:r>
        <w:t>Einschränkung:</w:t>
      </w:r>
    </w:p>
    <w:p w:rsidR="00B47286" w:rsidRDefault="00B47286" w:rsidP="00B47286">
      <w:pPr>
        <w:pStyle w:val="GesAbsatz"/>
      </w:pPr>
      <w:r>
        <w:t>Keine</w:t>
      </w:r>
    </w:p>
    <w:p w:rsidR="00B47286" w:rsidRDefault="00B47286" w:rsidP="00B47286">
      <w:pPr>
        <w:pStyle w:val="GesAbsatz"/>
      </w:pPr>
      <w:r>
        <w:t>Hinweise:</w:t>
      </w:r>
    </w:p>
    <w:p w:rsidR="00B47286" w:rsidRDefault="00B47286" w:rsidP="00B47286">
      <w:pPr>
        <w:pStyle w:val="GesAbsatz"/>
      </w:pPr>
      <w:r>
        <w:t>1.</w:t>
      </w:r>
      <w:r w:rsidR="00946086">
        <w:tab/>
      </w:r>
      <w:r>
        <w:t>Das Wartungsintervall beträgt sechs Monate.</w:t>
      </w:r>
    </w:p>
    <w:p w:rsidR="00B47286" w:rsidRDefault="00B47286" w:rsidP="00B47286">
      <w:pPr>
        <w:pStyle w:val="GesAbsatz"/>
      </w:pPr>
      <w:r>
        <w:t>2.</w:t>
      </w:r>
      <w:r w:rsidR="00946086">
        <w:tab/>
      </w:r>
      <w:r>
        <w:t>Die aktive Messweglänge in der Eignungsprüfung betrug im Labortest 0,513 m und im Feldtest 1,0 m.</w:t>
      </w:r>
    </w:p>
    <w:p w:rsidR="00B47286" w:rsidRDefault="00B47286" w:rsidP="00946086">
      <w:pPr>
        <w:pStyle w:val="GesAbsatz"/>
        <w:ind w:left="426" w:hanging="426"/>
      </w:pPr>
      <w:r>
        <w:t>3.</w:t>
      </w:r>
      <w:r w:rsidR="00946086">
        <w:tab/>
      </w:r>
      <w:r>
        <w:t>Trockene Prüfgase können in Verbindung mit einer unbeheizten Messzelle für die Überprüfung von NH</w:t>
      </w:r>
      <w:r w:rsidRPr="00946086">
        <w:rPr>
          <w:vertAlign w:val="subscript"/>
        </w:rPr>
        <w:t>3</w:t>
      </w:r>
      <w:r>
        <w:t xml:space="preserve"> eingesetzt</w:t>
      </w:r>
      <w:r w:rsidR="00946086">
        <w:t xml:space="preserve"> </w:t>
      </w:r>
      <w:r>
        <w:t>werden.</w:t>
      </w:r>
    </w:p>
    <w:p w:rsidR="00B47286" w:rsidRDefault="00B47286" w:rsidP="00946086">
      <w:pPr>
        <w:pStyle w:val="GesAbsatz"/>
        <w:ind w:left="426" w:hanging="426"/>
      </w:pPr>
      <w:r>
        <w:t>4.</w:t>
      </w:r>
      <w:r w:rsidR="00946086">
        <w:tab/>
      </w:r>
      <w:r>
        <w:t>Die Messeinrichtung enthält eine interne Zelle zur automatischen Referenzpunktprüfung von NH3.</w:t>
      </w:r>
    </w:p>
    <w:p w:rsidR="00B47286" w:rsidRDefault="00B47286" w:rsidP="00946086">
      <w:pPr>
        <w:pStyle w:val="GesAbsatz"/>
        <w:ind w:left="426" w:hanging="426"/>
      </w:pPr>
      <w:r>
        <w:t>5.</w:t>
      </w:r>
      <w:r w:rsidR="00946086">
        <w:tab/>
      </w:r>
      <w:r>
        <w:t>Ergänzungsprüfung (Überführung in die DIN EN 15267) zu der Bekanntmachung des Umweltbunde</w:t>
      </w:r>
      <w:r>
        <w:t>s</w:t>
      </w:r>
      <w:r>
        <w:t>amtes vom</w:t>
      </w:r>
      <w:r w:rsidR="00946086">
        <w:t xml:space="preserve"> </w:t>
      </w:r>
      <w:r>
        <w:t>19. Februar 2009 (BAnz. S. 899, Kapitel I Nummer 2.3) und vom 17. Juli 2014 (BAnz AT 05.08.2014 B11, Kapitel V</w:t>
      </w:r>
      <w:r w:rsidR="00946086">
        <w:t xml:space="preserve"> </w:t>
      </w:r>
      <w:r>
        <w:t>9. Mitteilung).</w:t>
      </w:r>
    </w:p>
    <w:p w:rsidR="00B47286" w:rsidRDefault="00B47286" w:rsidP="00B47286">
      <w:pPr>
        <w:pStyle w:val="GesAbsatz"/>
      </w:pPr>
      <w:r>
        <w:t>Prüfbericht: TÜV Rheinland Energie und Umwelt GmbH, Köln</w:t>
      </w:r>
    </w:p>
    <w:p w:rsidR="00B47286" w:rsidRDefault="00B47286" w:rsidP="00B47286">
      <w:pPr>
        <w:pStyle w:val="GesAbsatz"/>
      </w:pPr>
      <w:r>
        <w:t>Bericht-Nr.: 936/21228113/A vom 12. März 2015</w:t>
      </w:r>
    </w:p>
    <w:p w:rsidR="00B47286" w:rsidRPr="004D17B4" w:rsidRDefault="00B47286" w:rsidP="00B47286">
      <w:pPr>
        <w:pStyle w:val="GesAbsatz"/>
        <w:rPr>
          <w:b/>
        </w:rPr>
      </w:pPr>
      <w:r w:rsidRPr="004D17B4">
        <w:rPr>
          <w:b/>
        </w:rPr>
        <w:t>2.2</w:t>
      </w:r>
      <w:r w:rsidR="00946086" w:rsidRPr="004D17B4">
        <w:rPr>
          <w:b/>
        </w:rPr>
        <w:tab/>
      </w:r>
      <w:r w:rsidRPr="004D17B4">
        <w:rPr>
          <w:b/>
        </w:rPr>
        <w:t xml:space="preserve">MCA 10-HWIR </w:t>
      </w:r>
      <w:r w:rsidRPr="00946086">
        <w:rPr>
          <w:b/>
        </w:rPr>
        <w:t xml:space="preserve">für </w:t>
      </w:r>
      <w:r w:rsidRPr="004D17B4">
        <w:rPr>
          <w:b/>
        </w:rPr>
        <w:t>CO, NO, SO</w:t>
      </w:r>
      <w:r w:rsidRPr="004D17B4">
        <w:rPr>
          <w:b/>
          <w:vertAlign w:val="subscript"/>
        </w:rPr>
        <w:t>2</w:t>
      </w:r>
      <w:r w:rsidRPr="004D17B4">
        <w:rPr>
          <w:b/>
        </w:rPr>
        <w:t>, NO</w:t>
      </w:r>
      <w:r w:rsidRPr="004D17B4">
        <w:rPr>
          <w:b/>
          <w:vertAlign w:val="subscript"/>
        </w:rPr>
        <w:t>2</w:t>
      </w:r>
      <w:r w:rsidRPr="004D17B4">
        <w:rPr>
          <w:b/>
        </w:rPr>
        <w:t>, N</w:t>
      </w:r>
      <w:r w:rsidRPr="004D17B4">
        <w:rPr>
          <w:b/>
          <w:vertAlign w:val="subscript"/>
        </w:rPr>
        <w:t>2</w:t>
      </w:r>
      <w:r w:rsidRPr="004D17B4">
        <w:rPr>
          <w:b/>
        </w:rPr>
        <w:t>O, HCl, NH</w:t>
      </w:r>
      <w:r w:rsidRPr="004D17B4">
        <w:rPr>
          <w:b/>
          <w:vertAlign w:val="subscript"/>
        </w:rPr>
        <w:t>3</w:t>
      </w:r>
      <w:r w:rsidRPr="004D17B4">
        <w:rPr>
          <w:b/>
        </w:rPr>
        <w:t>, CH</w:t>
      </w:r>
      <w:r w:rsidRPr="004D17B4">
        <w:rPr>
          <w:b/>
          <w:vertAlign w:val="subscript"/>
        </w:rPr>
        <w:t>4</w:t>
      </w:r>
      <w:r w:rsidRPr="004D17B4">
        <w:rPr>
          <w:b/>
        </w:rPr>
        <w:t>, CO</w:t>
      </w:r>
      <w:r w:rsidRPr="004D17B4">
        <w:rPr>
          <w:b/>
          <w:vertAlign w:val="subscript"/>
        </w:rPr>
        <w:t>2</w:t>
      </w:r>
      <w:r w:rsidRPr="004D17B4">
        <w:rPr>
          <w:b/>
        </w:rPr>
        <w:t>, O</w:t>
      </w:r>
      <w:r w:rsidRPr="004D17B4">
        <w:rPr>
          <w:b/>
          <w:vertAlign w:val="subscript"/>
        </w:rPr>
        <w:t>2</w:t>
      </w:r>
      <w:r w:rsidRPr="004D17B4">
        <w:rPr>
          <w:b/>
        </w:rPr>
        <w:t xml:space="preserve"> und </w:t>
      </w:r>
      <w:r w:rsidRPr="00946086">
        <w:rPr>
          <w:b/>
        </w:rPr>
        <w:t>Feuchte</w:t>
      </w:r>
    </w:p>
    <w:p w:rsidR="00B47286" w:rsidRDefault="00B47286" w:rsidP="00B47286">
      <w:pPr>
        <w:pStyle w:val="GesAbsatz"/>
      </w:pPr>
      <w:r>
        <w:t>Hersteller:</w:t>
      </w:r>
    </w:p>
    <w:p w:rsidR="00B47286" w:rsidRDefault="00B47286" w:rsidP="00B47286">
      <w:pPr>
        <w:pStyle w:val="GesAbsatz"/>
      </w:pPr>
      <w:r>
        <w:t xml:space="preserve">Dr. </w:t>
      </w:r>
      <w:proofErr w:type="spellStart"/>
      <w:r>
        <w:t>Födisch</w:t>
      </w:r>
      <w:proofErr w:type="spellEnd"/>
      <w:r>
        <w:t xml:space="preserve"> Umweltmesstechnik AG, Markranstädt</w:t>
      </w:r>
    </w:p>
    <w:p w:rsidR="00B47286" w:rsidRDefault="00B47286" w:rsidP="00B47286">
      <w:pPr>
        <w:pStyle w:val="GesAbsatz"/>
      </w:pPr>
      <w:r>
        <w:t>Eignung:</w:t>
      </w:r>
    </w:p>
    <w:p w:rsidR="00B47286" w:rsidRDefault="00B47286" w:rsidP="00B47286">
      <w:pPr>
        <w:pStyle w:val="GesAbsatz"/>
      </w:pPr>
      <w:r>
        <w:t>Für genehmigungsbedürftige Anlagen und Anlagen der 27. BImSchV</w:t>
      </w:r>
    </w:p>
    <w:p w:rsidR="00B47286" w:rsidRDefault="00B47286" w:rsidP="00B47286">
      <w:pPr>
        <w:pStyle w:val="GesAbsatz"/>
      </w:pPr>
      <w:r>
        <w:t>Messbereiche in der Eignungsprüfung:</w:t>
      </w:r>
    </w:p>
    <w:tbl>
      <w:tblPr>
        <w:tblStyle w:val="Tabellenraster"/>
        <w:tblW w:w="9525" w:type="dxa"/>
        <w:tblLook w:val="04A0" w:firstRow="1" w:lastRow="0" w:firstColumn="1" w:lastColumn="0" w:noHBand="0" w:noVBand="1"/>
      </w:tblPr>
      <w:tblGrid>
        <w:gridCol w:w="1668"/>
        <w:gridCol w:w="2297"/>
        <w:gridCol w:w="1813"/>
        <w:gridCol w:w="1701"/>
        <w:gridCol w:w="2046"/>
      </w:tblGrid>
      <w:tr w:rsidR="00946086" w:rsidRPr="00946086" w:rsidTr="00B03573">
        <w:trPr>
          <w:tblHeader/>
        </w:trPr>
        <w:tc>
          <w:tcPr>
            <w:tcW w:w="1668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Komponente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Zertifizierungsbereich</w:t>
            </w:r>
          </w:p>
        </w:tc>
        <w:tc>
          <w:tcPr>
            <w:tcW w:w="3514" w:type="dxa"/>
            <w:gridSpan w:val="2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zusätzliche Messbereiche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Einheit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</w:pPr>
            <w:r w:rsidRPr="00946086">
              <w:t>CO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75</w:t>
            </w:r>
          </w:p>
        </w:tc>
        <w:tc>
          <w:tcPr>
            <w:tcW w:w="1813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300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5 000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mg/m</w:t>
            </w:r>
            <w:r>
              <w:t>³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946086">
              <w:rPr>
                <w:lang w:val="en-US"/>
              </w:rPr>
              <w:t>CO</w:t>
            </w:r>
            <w:r w:rsidRPr="00946086">
              <w:rPr>
                <w:vertAlign w:val="subscript"/>
                <w:lang w:val="en-US"/>
              </w:rPr>
              <w:t>2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0 – 25</w:t>
            </w:r>
          </w:p>
        </w:tc>
        <w:tc>
          <w:tcPr>
            <w:tcW w:w="1813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0 – 50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–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Vol.-%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946086">
              <w:rPr>
                <w:lang w:val="en-US"/>
              </w:rPr>
              <w:t>NO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0 – 200</w:t>
            </w:r>
          </w:p>
        </w:tc>
        <w:tc>
          <w:tcPr>
            <w:tcW w:w="1813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0 – 400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0 – 3 000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mg/m</w:t>
            </w:r>
            <w:r>
              <w:t>³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946086">
              <w:rPr>
                <w:lang w:val="en-US"/>
              </w:rPr>
              <w:lastRenderedPageBreak/>
              <w:t>NO</w:t>
            </w:r>
            <w:r w:rsidRPr="00946086">
              <w:rPr>
                <w:vertAlign w:val="subscript"/>
                <w:lang w:val="en-US"/>
              </w:rPr>
              <w:t>2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0 – 50</w:t>
            </w:r>
          </w:p>
        </w:tc>
        <w:tc>
          <w:tcPr>
            <w:tcW w:w="1813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0 – 500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–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mg/m</w:t>
            </w:r>
            <w:r>
              <w:t>³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</w:pPr>
            <w:r w:rsidRPr="00946086">
              <w:t>N</w:t>
            </w:r>
            <w:r w:rsidRPr="00946086">
              <w:rPr>
                <w:vertAlign w:val="subscript"/>
              </w:rPr>
              <w:t>2</w:t>
            </w:r>
            <w:r w:rsidRPr="00946086">
              <w:t>O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50</w:t>
            </w:r>
          </w:p>
        </w:tc>
        <w:tc>
          <w:tcPr>
            <w:tcW w:w="1813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3 000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–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mg/m</w:t>
            </w:r>
            <w:r>
              <w:t>³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</w:pPr>
            <w:r w:rsidRPr="00946086">
              <w:t>NH</w:t>
            </w:r>
            <w:r w:rsidRPr="00946086">
              <w:rPr>
                <w:vertAlign w:val="subscript"/>
              </w:rPr>
              <w:t>3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10</w:t>
            </w:r>
          </w:p>
        </w:tc>
        <w:tc>
          <w:tcPr>
            <w:tcW w:w="1813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50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500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mg/m</w:t>
            </w:r>
            <w:r>
              <w:t>³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</w:pPr>
            <w:r w:rsidRPr="00946086">
              <w:t>SO</w:t>
            </w:r>
            <w:r w:rsidRPr="00946086">
              <w:rPr>
                <w:vertAlign w:val="subscript"/>
              </w:rPr>
              <w:t>2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75</w:t>
            </w:r>
          </w:p>
        </w:tc>
        <w:tc>
          <w:tcPr>
            <w:tcW w:w="1813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300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2 500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mg/m</w:t>
            </w:r>
            <w:r>
              <w:t>³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</w:pPr>
            <w:r w:rsidRPr="00946086">
              <w:t>HCl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15</w:t>
            </w:r>
          </w:p>
        </w:tc>
        <w:tc>
          <w:tcPr>
            <w:tcW w:w="1813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90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0 – 5 000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</w:pPr>
            <w:r w:rsidRPr="00946086">
              <w:t>mg/m</w:t>
            </w:r>
            <w:r>
              <w:t>³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946086">
              <w:rPr>
                <w:lang w:val="en-US"/>
              </w:rPr>
              <w:t>H</w:t>
            </w:r>
            <w:r w:rsidRPr="00946086">
              <w:rPr>
                <w:vertAlign w:val="subscript"/>
                <w:lang w:val="en-US"/>
              </w:rPr>
              <w:t>2</w:t>
            </w:r>
            <w:r w:rsidRPr="00946086">
              <w:rPr>
                <w:lang w:val="en-US"/>
              </w:rPr>
              <w:t>O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0 – 40</w:t>
            </w:r>
          </w:p>
        </w:tc>
        <w:tc>
          <w:tcPr>
            <w:tcW w:w="1813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–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–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Vol.-%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946086">
              <w:rPr>
                <w:lang w:val="en-US"/>
              </w:rPr>
              <w:t>CH</w:t>
            </w:r>
            <w:r w:rsidRPr="00946086">
              <w:rPr>
                <w:vertAlign w:val="subscript"/>
                <w:lang w:val="en-US"/>
              </w:rPr>
              <w:t>4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0 – 50</w:t>
            </w:r>
          </w:p>
        </w:tc>
        <w:tc>
          <w:tcPr>
            <w:tcW w:w="1813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0 – 500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–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mg/m</w:t>
            </w:r>
            <w:r>
              <w:t>³</w:t>
            </w:r>
          </w:p>
        </w:tc>
      </w:tr>
      <w:tr w:rsidR="00946086" w:rsidRPr="00946086" w:rsidTr="00946086">
        <w:tc>
          <w:tcPr>
            <w:tcW w:w="1668" w:type="dxa"/>
          </w:tcPr>
          <w:p w:rsidR="00946086" w:rsidRPr="00946086" w:rsidRDefault="00946086" w:rsidP="004D17B4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946086">
              <w:rPr>
                <w:lang w:val="en-US"/>
              </w:rPr>
              <w:t>O</w:t>
            </w:r>
            <w:r w:rsidRPr="00946086">
              <w:rPr>
                <w:vertAlign w:val="subscript"/>
                <w:lang w:val="en-US"/>
              </w:rPr>
              <w:t>2</w:t>
            </w:r>
          </w:p>
        </w:tc>
        <w:tc>
          <w:tcPr>
            <w:tcW w:w="2297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0 – 25</w:t>
            </w:r>
          </w:p>
        </w:tc>
        <w:tc>
          <w:tcPr>
            <w:tcW w:w="1813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–</w:t>
            </w:r>
          </w:p>
        </w:tc>
        <w:tc>
          <w:tcPr>
            <w:tcW w:w="1701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–</w:t>
            </w:r>
          </w:p>
        </w:tc>
        <w:tc>
          <w:tcPr>
            <w:tcW w:w="2046" w:type="dxa"/>
          </w:tcPr>
          <w:p w:rsidR="00946086" w:rsidRPr="00946086" w:rsidRDefault="00946086" w:rsidP="00946086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946086">
              <w:rPr>
                <w:lang w:val="en-US"/>
              </w:rPr>
              <w:t>Vol.-%</w:t>
            </w:r>
          </w:p>
        </w:tc>
      </w:tr>
    </w:tbl>
    <w:p w:rsidR="00637B1E" w:rsidRDefault="00637B1E" w:rsidP="00B47286">
      <w:pPr>
        <w:pStyle w:val="GesAbsatz"/>
      </w:pPr>
    </w:p>
    <w:p w:rsidR="00B47286" w:rsidRDefault="00B47286" w:rsidP="00632C0D">
      <w:pPr>
        <w:pStyle w:val="GesAbsatz"/>
        <w:tabs>
          <w:tab w:val="left" w:pos="2127"/>
        </w:tabs>
      </w:pPr>
      <w:r>
        <w:t>Softwareversion:</w:t>
      </w:r>
      <w:r w:rsidR="00632C0D">
        <w:tab/>
      </w:r>
      <w:r>
        <w:t>MCA 10-HWIR: V 3.61|3.61.|3.61</w:t>
      </w:r>
    </w:p>
    <w:p w:rsidR="00B47286" w:rsidRDefault="00B47286" w:rsidP="00B47286">
      <w:pPr>
        <w:pStyle w:val="GesAbsatz"/>
      </w:pPr>
      <w:r>
        <w:t>Einschränkungen:</w:t>
      </w:r>
    </w:p>
    <w:p w:rsidR="00B47286" w:rsidRDefault="00B47286" w:rsidP="00B47286">
      <w:pPr>
        <w:pStyle w:val="GesAbsatz"/>
      </w:pPr>
      <w:r>
        <w:t>Keine</w:t>
      </w:r>
    </w:p>
    <w:p w:rsidR="00B47286" w:rsidRDefault="00B47286" w:rsidP="00B47286">
      <w:pPr>
        <w:pStyle w:val="GesAbsatz"/>
      </w:pPr>
      <w:r>
        <w:t>Hinweise:</w:t>
      </w:r>
    </w:p>
    <w:p w:rsidR="00B47286" w:rsidRDefault="00B47286" w:rsidP="00B47286">
      <w:pPr>
        <w:pStyle w:val="GesAbsatz"/>
      </w:pPr>
      <w:r>
        <w:t>1.</w:t>
      </w:r>
      <w:r w:rsidR="00637B1E">
        <w:tab/>
      </w:r>
      <w:r>
        <w:t>Das Wartungsintervall beträgt sechs Monate.</w:t>
      </w:r>
    </w:p>
    <w:p w:rsidR="00B47286" w:rsidRDefault="00B47286" w:rsidP="00B47286">
      <w:pPr>
        <w:pStyle w:val="GesAbsatz"/>
      </w:pPr>
      <w:r>
        <w:t>2.</w:t>
      </w:r>
      <w:r w:rsidR="00637B1E">
        <w:tab/>
      </w:r>
      <w:r>
        <w:t xml:space="preserve">Die Messeinrichtung ermittelt die Gaskonzentrationen im feuchten </w:t>
      </w:r>
      <w:proofErr w:type="spellStart"/>
      <w:r>
        <w:t>Messgas</w:t>
      </w:r>
      <w:proofErr w:type="spellEnd"/>
      <w:r>
        <w:t>.</w:t>
      </w:r>
    </w:p>
    <w:p w:rsidR="00B47286" w:rsidRDefault="00B47286" w:rsidP="00B47286">
      <w:pPr>
        <w:pStyle w:val="GesAbsatz"/>
      </w:pPr>
      <w:r>
        <w:t>3.</w:t>
      </w:r>
      <w:r w:rsidR="00637B1E">
        <w:tab/>
      </w:r>
      <w:r>
        <w:t>Der Analysator ist mit aktivierter Thermo-AUTOCAL-Funktion zu betreiben.</w:t>
      </w:r>
    </w:p>
    <w:p w:rsidR="00B47286" w:rsidRDefault="00B47286" w:rsidP="00637B1E">
      <w:pPr>
        <w:pStyle w:val="GesAbsatz"/>
        <w:ind w:left="426" w:hanging="426"/>
      </w:pPr>
      <w:r>
        <w:t>4.</w:t>
      </w:r>
      <w:r w:rsidR="00637B1E">
        <w:tab/>
      </w:r>
      <w:r>
        <w:t>Bei Temperaturen am Aufstellungsort des Messschrankes unter 20 °C ist der Messschrank mit einer Zusatzheizung</w:t>
      </w:r>
      <w:r w:rsidR="00637B1E">
        <w:t xml:space="preserve"> </w:t>
      </w:r>
      <w:r>
        <w:t>auszustatten.</w:t>
      </w:r>
    </w:p>
    <w:p w:rsidR="00B47286" w:rsidRDefault="00B47286" w:rsidP="00637B1E">
      <w:pPr>
        <w:pStyle w:val="GesAbsatz"/>
        <w:ind w:left="426" w:hanging="426"/>
      </w:pPr>
      <w:r>
        <w:t>5.</w:t>
      </w:r>
      <w:r w:rsidR="00637B1E">
        <w:tab/>
      </w:r>
      <w:r>
        <w:t>Die Messeinrichtung ist mit einem Intervall von 12 h für die automatische Nullpunktjustierung zu betre</w:t>
      </w:r>
      <w:r>
        <w:t>i</w:t>
      </w:r>
      <w:r>
        <w:t>ben.</w:t>
      </w:r>
    </w:p>
    <w:p w:rsidR="00B47286" w:rsidRDefault="00B47286" w:rsidP="00637B1E">
      <w:pPr>
        <w:pStyle w:val="GesAbsatz"/>
        <w:ind w:left="426" w:hanging="426"/>
      </w:pPr>
      <w:r>
        <w:t>6.</w:t>
      </w:r>
      <w:r w:rsidR="00637B1E">
        <w:tab/>
      </w:r>
      <w:r>
        <w:t>Bei den Applikationen mit HCl, NO</w:t>
      </w:r>
      <w:r w:rsidRPr="00637B1E">
        <w:rPr>
          <w:vertAlign w:val="subscript"/>
        </w:rPr>
        <w:t>2</w:t>
      </w:r>
      <w:r>
        <w:t xml:space="preserve"> oder NH</w:t>
      </w:r>
      <w:r w:rsidRPr="00637B1E">
        <w:rPr>
          <w:vertAlign w:val="subscript"/>
        </w:rPr>
        <w:t>3</w:t>
      </w:r>
      <w:r>
        <w:t xml:space="preserve"> wird die automatische Nullpunktjustierung durch lokale Nullgasaufgabe</w:t>
      </w:r>
      <w:r w:rsidR="00637B1E">
        <w:t xml:space="preserve"> </w:t>
      </w:r>
      <w:r>
        <w:t xml:space="preserve">am </w:t>
      </w:r>
      <w:proofErr w:type="spellStart"/>
      <w:r>
        <w:t>Injektorblock</w:t>
      </w:r>
      <w:proofErr w:type="spellEnd"/>
      <w:r>
        <w:t xml:space="preserve"> durchgeführt.</w:t>
      </w:r>
    </w:p>
    <w:p w:rsidR="00B47286" w:rsidRDefault="00B47286" w:rsidP="00637B1E">
      <w:pPr>
        <w:pStyle w:val="GesAbsatz"/>
        <w:ind w:left="426" w:hanging="426"/>
      </w:pPr>
      <w:r>
        <w:t>7.</w:t>
      </w:r>
      <w:r w:rsidR="00637B1E">
        <w:tab/>
      </w:r>
      <w:r>
        <w:t>Bei Kontrolle und Justierung der Referenzpunkte für NO</w:t>
      </w:r>
      <w:r w:rsidRPr="00637B1E">
        <w:rPr>
          <w:vertAlign w:val="subscript"/>
        </w:rPr>
        <w:t>2</w:t>
      </w:r>
      <w:r>
        <w:t>, HCl und NH</w:t>
      </w:r>
      <w:r w:rsidRPr="00637B1E">
        <w:rPr>
          <w:vertAlign w:val="subscript"/>
        </w:rPr>
        <w:t>3</w:t>
      </w:r>
      <w:r>
        <w:t xml:space="preserve"> wird die Prüfgasaufgabe lokal am </w:t>
      </w:r>
      <w:proofErr w:type="spellStart"/>
      <w:r>
        <w:t>Injektorblock</w:t>
      </w:r>
      <w:proofErr w:type="spellEnd"/>
      <w:r w:rsidR="00637B1E">
        <w:t xml:space="preserve"> </w:t>
      </w:r>
      <w:r>
        <w:t>durchgeführt.</w:t>
      </w:r>
    </w:p>
    <w:p w:rsidR="00B47286" w:rsidRDefault="00B47286" w:rsidP="00B47286">
      <w:pPr>
        <w:pStyle w:val="GesAbsatz"/>
      </w:pPr>
      <w:r>
        <w:t>8.</w:t>
      </w:r>
      <w:r w:rsidR="00637B1E">
        <w:tab/>
      </w:r>
      <w:r>
        <w:t>Die Spezifikationen des Herstellers zur Instrumentenluftversorgung sind einzuhalten.</w:t>
      </w:r>
    </w:p>
    <w:p w:rsidR="00B47286" w:rsidRDefault="00B47286" w:rsidP="00B47286">
      <w:pPr>
        <w:pStyle w:val="GesAbsatz"/>
      </w:pPr>
      <w:r>
        <w:t>Prüfbericht: TÜV SÜD Industrie Service GmbH, München</w:t>
      </w:r>
    </w:p>
    <w:p w:rsidR="00B47286" w:rsidRDefault="00B47286" w:rsidP="00B47286">
      <w:pPr>
        <w:pStyle w:val="GesAbsatz"/>
      </w:pPr>
      <w:r>
        <w:t>Bericht-Nr.: 1729865 vom 10. Juni 2015</w:t>
      </w:r>
    </w:p>
    <w:p w:rsidR="00B47286" w:rsidRPr="00637B1E" w:rsidRDefault="00B47286" w:rsidP="00B47286">
      <w:pPr>
        <w:pStyle w:val="GesAbsatz"/>
        <w:rPr>
          <w:b/>
        </w:rPr>
      </w:pPr>
      <w:r w:rsidRPr="00637B1E">
        <w:rPr>
          <w:b/>
        </w:rPr>
        <w:t>3</w:t>
      </w:r>
      <w:r w:rsidR="00637B1E" w:rsidRPr="00637B1E">
        <w:rPr>
          <w:b/>
        </w:rPr>
        <w:tab/>
      </w:r>
      <w:r w:rsidRPr="00637B1E">
        <w:rPr>
          <w:b/>
        </w:rPr>
        <w:t>Messeinrichtungen mit modularem Aufbau</w:t>
      </w:r>
    </w:p>
    <w:p w:rsidR="00B47286" w:rsidRPr="00637B1E" w:rsidRDefault="00B47286" w:rsidP="00B47286">
      <w:pPr>
        <w:pStyle w:val="GesAbsatz"/>
        <w:rPr>
          <w:b/>
        </w:rPr>
      </w:pPr>
      <w:r w:rsidRPr="00637B1E">
        <w:rPr>
          <w:b/>
        </w:rPr>
        <w:t>3.1</w:t>
      </w:r>
      <w:r w:rsidR="00637B1E" w:rsidRPr="00637B1E">
        <w:rPr>
          <w:b/>
        </w:rPr>
        <w:tab/>
      </w:r>
      <w:proofErr w:type="spellStart"/>
      <w:r w:rsidRPr="00637B1E">
        <w:rPr>
          <w:b/>
        </w:rPr>
        <w:t>CEMSelect</w:t>
      </w:r>
      <w:proofErr w:type="spellEnd"/>
      <w:r w:rsidRPr="00637B1E">
        <w:rPr>
          <w:b/>
        </w:rPr>
        <w:t xml:space="preserve"> OEM</w:t>
      </w:r>
    </w:p>
    <w:p w:rsidR="00B47286" w:rsidRDefault="00B47286" w:rsidP="00B47286">
      <w:pPr>
        <w:pStyle w:val="GesAbsatz"/>
      </w:pPr>
      <w:r>
        <w:t>Hersteller:</w:t>
      </w:r>
    </w:p>
    <w:p w:rsidR="00B47286" w:rsidRDefault="00B47286" w:rsidP="00B47286">
      <w:pPr>
        <w:pStyle w:val="GesAbsatz"/>
      </w:pPr>
      <w:r>
        <w:t>Bühler Technologies GmbH, Ratingen</w:t>
      </w:r>
    </w:p>
    <w:p w:rsidR="00B47286" w:rsidRDefault="00B47286" w:rsidP="00B47286">
      <w:pPr>
        <w:pStyle w:val="GesAbsatz"/>
      </w:pPr>
      <w:r>
        <w:t>Eignung:</w:t>
      </w:r>
    </w:p>
    <w:p w:rsidR="00B47286" w:rsidRDefault="00B47286" w:rsidP="00B47286">
      <w:pPr>
        <w:pStyle w:val="GesAbsatz"/>
      </w:pPr>
      <w:r>
        <w:t>Modulares Messsystem für Anlagen der 13. und 27. BImSchV sowie Anlagen der TA Luft</w:t>
      </w:r>
    </w:p>
    <w:p w:rsidR="00B47286" w:rsidRDefault="00B47286" w:rsidP="00B47286">
      <w:pPr>
        <w:pStyle w:val="GesAbsatz"/>
      </w:pPr>
      <w:r>
        <w:t xml:space="preserve">Messbereiche des modularen Systems </w:t>
      </w:r>
      <w:proofErr w:type="spellStart"/>
      <w:r>
        <w:t>CEMSelect</w:t>
      </w:r>
      <w:proofErr w:type="spellEnd"/>
      <w:r>
        <w:t xml:space="preserve"> OEM, Modul BA5000-7MB2358 in der Eignungsprüfung: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128"/>
        <w:gridCol w:w="1415"/>
        <w:gridCol w:w="1276"/>
        <w:gridCol w:w="1134"/>
      </w:tblGrid>
      <w:tr w:rsidR="004D17B4" w:rsidRPr="00634585" w:rsidTr="00B03573">
        <w:trPr>
          <w:tblHeader/>
        </w:trPr>
        <w:tc>
          <w:tcPr>
            <w:tcW w:w="1526" w:type="dxa"/>
          </w:tcPr>
          <w:p w:rsidR="004D17B4" w:rsidRPr="00634585" w:rsidRDefault="004D17B4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Komponente</w:t>
            </w:r>
          </w:p>
        </w:tc>
        <w:tc>
          <w:tcPr>
            <w:tcW w:w="1843" w:type="dxa"/>
          </w:tcPr>
          <w:p w:rsidR="004D17B4" w:rsidRPr="00634585" w:rsidRDefault="004D17B4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Modul-Variante</w:t>
            </w:r>
          </w:p>
        </w:tc>
        <w:tc>
          <w:tcPr>
            <w:tcW w:w="2128" w:type="dxa"/>
          </w:tcPr>
          <w:p w:rsidR="004D17B4" w:rsidRPr="00634585" w:rsidRDefault="004D17B4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Zertifizierungsbereich</w:t>
            </w:r>
          </w:p>
        </w:tc>
        <w:tc>
          <w:tcPr>
            <w:tcW w:w="2691" w:type="dxa"/>
            <w:gridSpan w:val="2"/>
          </w:tcPr>
          <w:p w:rsidR="004D17B4" w:rsidRPr="00634585" w:rsidRDefault="004D17B4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zusätzliche Messbereiche</w:t>
            </w:r>
          </w:p>
        </w:tc>
        <w:tc>
          <w:tcPr>
            <w:tcW w:w="1134" w:type="dxa"/>
          </w:tcPr>
          <w:p w:rsidR="004D17B4" w:rsidRPr="00634585" w:rsidRDefault="004D17B4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Einheit</w:t>
            </w:r>
          </w:p>
        </w:tc>
      </w:tr>
      <w:tr w:rsidR="004D17B4" w:rsidRPr="00634585" w:rsidTr="00634585">
        <w:tc>
          <w:tcPr>
            <w:tcW w:w="1526" w:type="dxa"/>
            <w:vMerge w:val="restart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634585">
              <w:rPr>
                <w:sz w:val="18"/>
                <w:szCs w:val="18"/>
                <w:lang w:val="en-US"/>
              </w:rPr>
              <w:t>CO</w:t>
            </w:r>
          </w:p>
        </w:tc>
        <w:tc>
          <w:tcPr>
            <w:tcW w:w="1843" w:type="dxa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634585">
              <w:rPr>
                <w:sz w:val="18"/>
                <w:szCs w:val="18"/>
                <w:lang w:val="en-US"/>
              </w:rPr>
              <w:t>BA 5000-7MB2358–Z–T13</w:t>
            </w:r>
          </w:p>
        </w:tc>
        <w:tc>
          <w:tcPr>
            <w:tcW w:w="2128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634585">
              <w:rPr>
                <w:sz w:val="18"/>
                <w:szCs w:val="18"/>
                <w:lang w:val="en-US"/>
              </w:rPr>
              <w:t>0 – 250</w:t>
            </w:r>
          </w:p>
        </w:tc>
        <w:tc>
          <w:tcPr>
            <w:tcW w:w="1415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634585">
              <w:rPr>
                <w:sz w:val="18"/>
                <w:szCs w:val="18"/>
                <w:lang w:val="en-US"/>
              </w:rPr>
              <w:t>0 – 1 250</w:t>
            </w:r>
          </w:p>
        </w:tc>
        <w:tc>
          <w:tcPr>
            <w:tcW w:w="1276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634585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134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634585">
              <w:rPr>
                <w:sz w:val="18"/>
                <w:szCs w:val="18"/>
                <w:lang w:val="en-US"/>
              </w:rPr>
              <w:t>mg/m³</w:t>
            </w:r>
          </w:p>
        </w:tc>
      </w:tr>
      <w:tr w:rsidR="004D17B4" w:rsidRPr="00634585" w:rsidTr="00634585">
        <w:tc>
          <w:tcPr>
            <w:tcW w:w="1526" w:type="dxa"/>
            <w:vMerge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BA 5000-7MB2358–Z–T23</w:t>
            </w:r>
          </w:p>
        </w:tc>
        <w:tc>
          <w:tcPr>
            <w:tcW w:w="2128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250</w:t>
            </w:r>
          </w:p>
        </w:tc>
        <w:tc>
          <w:tcPr>
            <w:tcW w:w="1415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1 250</w:t>
            </w:r>
          </w:p>
        </w:tc>
        <w:tc>
          <w:tcPr>
            <w:tcW w:w="1276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mg/m³</w:t>
            </w:r>
          </w:p>
        </w:tc>
      </w:tr>
      <w:tr w:rsidR="004D17B4" w:rsidRPr="00634585" w:rsidTr="00634585">
        <w:tc>
          <w:tcPr>
            <w:tcW w:w="1526" w:type="dxa"/>
            <w:vMerge w:val="restart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NO</w:t>
            </w:r>
          </w:p>
        </w:tc>
        <w:tc>
          <w:tcPr>
            <w:tcW w:w="1843" w:type="dxa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BA 5000-7MB2358–Z–T13</w:t>
            </w:r>
          </w:p>
        </w:tc>
        <w:tc>
          <w:tcPr>
            <w:tcW w:w="2128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400</w:t>
            </w:r>
          </w:p>
        </w:tc>
        <w:tc>
          <w:tcPr>
            <w:tcW w:w="1415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2 000</w:t>
            </w:r>
          </w:p>
        </w:tc>
        <w:tc>
          <w:tcPr>
            <w:tcW w:w="1276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mg/m³</w:t>
            </w:r>
          </w:p>
        </w:tc>
      </w:tr>
      <w:tr w:rsidR="004D17B4" w:rsidRPr="00634585" w:rsidTr="00634585">
        <w:tc>
          <w:tcPr>
            <w:tcW w:w="1526" w:type="dxa"/>
            <w:vMerge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BA 5000-7MB2358–Z–T23</w:t>
            </w:r>
          </w:p>
        </w:tc>
        <w:tc>
          <w:tcPr>
            <w:tcW w:w="2128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400</w:t>
            </w:r>
          </w:p>
        </w:tc>
        <w:tc>
          <w:tcPr>
            <w:tcW w:w="1415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2 000</w:t>
            </w:r>
          </w:p>
        </w:tc>
        <w:tc>
          <w:tcPr>
            <w:tcW w:w="1276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mg/m³</w:t>
            </w:r>
          </w:p>
        </w:tc>
      </w:tr>
      <w:tr w:rsidR="004D17B4" w:rsidRPr="00634585" w:rsidTr="00634585">
        <w:tc>
          <w:tcPr>
            <w:tcW w:w="1526" w:type="dxa"/>
            <w:vMerge w:val="restart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SO</w:t>
            </w:r>
            <w:r w:rsidRPr="00634585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43" w:type="dxa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BA 5000-7MB2358–Z–T13</w:t>
            </w:r>
          </w:p>
        </w:tc>
        <w:tc>
          <w:tcPr>
            <w:tcW w:w="2128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400</w:t>
            </w:r>
          </w:p>
        </w:tc>
        <w:tc>
          <w:tcPr>
            <w:tcW w:w="1415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2 000</w:t>
            </w:r>
          </w:p>
        </w:tc>
        <w:tc>
          <w:tcPr>
            <w:tcW w:w="1276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7 000</w:t>
            </w:r>
          </w:p>
        </w:tc>
        <w:tc>
          <w:tcPr>
            <w:tcW w:w="1134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mg/m³</w:t>
            </w:r>
          </w:p>
        </w:tc>
      </w:tr>
      <w:tr w:rsidR="004D17B4" w:rsidRPr="00634585" w:rsidTr="00634585">
        <w:tc>
          <w:tcPr>
            <w:tcW w:w="1526" w:type="dxa"/>
            <w:vMerge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BA 5000-7MB2358–Z–T23</w:t>
            </w:r>
          </w:p>
        </w:tc>
        <w:tc>
          <w:tcPr>
            <w:tcW w:w="2128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400</w:t>
            </w:r>
          </w:p>
        </w:tc>
        <w:tc>
          <w:tcPr>
            <w:tcW w:w="1415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2 000</w:t>
            </w:r>
          </w:p>
        </w:tc>
        <w:tc>
          <w:tcPr>
            <w:tcW w:w="1276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7 000</w:t>
            </w:r>
          </w:p>
        </w:tc>
        <w:tc>
          <w:tcPr>
            <w:tcW w:w="1134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mg/m³</w:t>
            </w:r>
          </w:p>
        </w:tc>
      </w:tr>
      <w:tr w:rsidR="004D17B4" w:rsidRPr="00634585" w:rsidTr="00634585">
        <w:tc>
          <w:tcPr>
            <w:tcW w:w="1526" w:type="dxa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O</w:t>
            </w:r>
            <w:r w:rsidRPr="00634585">
              <w:rPr>
                <w:sz w:val="18"/>
                <w:szCs w:val="18"/>
                <w:vertAlign w:val="subscript"/>
              </w:rPr>
              <w:t>2, paramagnetisch</w:t>
            </w:r>
          </w:p>
        </w:tc>
        <w:tc>
          <w:tcPr>
            <w:tcW w:w="1843" w:type="dxa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BA 5000-7MB2358–Z–T13</w:t>
            </w:r>
          </w:p>
        </w:tc>
        <w:tc>
          <w:tcPr>
            <w:tcW w:w="2128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25</w:t>
            </w:r>
          </w:p>
        </w:tc>
        <w:tc>
          <w:tcPr>
            <w:tcW w:w="1415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Vol.-%</w:t>
            </w:r>
          </w:p>
        </w:tc>
      </w:tr>
      <w:tr w:rsidR="004D17B4" w:rsidRPr="00634585" w:rsidTr="00634585">
        <w:tc>
          <w:tcPr>
            <w:tcW w:w="1526" w:type="dxa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O</w:t>
            </w:r>
            <w:r w:rsidRPr="00634585">
              <w:rPr>
                <w:sz w:val="18"/>
                <w:szCs w:val="18"/>
                <w:vertAlign w:val="subscript"/>
              </w:rPr>
              <w:t>2, elektrochemisch</w:t>
            </w:r>
          </w:p>
        </w:tc>
        <w:tc>
          <w:tcPr>
            <w:tcW w:w="1843" w:type="dxa"/>
          </w:tcPr>
          <w:p w:rsidR="004D17B4" w:rsidRPr="00634585" w:rsidRDefault="004D17B4" w:rsidP="004D17B4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BA 5000-7MB2358–Z–T23</w:t>
            </w:r>
          </w:p>
        </w:tc>
        <w:tc>
          <w:tcPr>
            <w:tcW w:w="2128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25</w:t>
            </w:r>
          </w:p>
        </w:tc>
        <w:tc>
          <w:tcPr>
            <w:tcW w:w="1415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4D17B4" w:rsidRPr="00634585" w:rsidRDefault="004D17B4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Vol.-%</w:t>
            </w:r>
          </w:p>
        </w:tc>
      </w:tr>
    </w:tbl>
    <w:p w:rsidR="004D17B4" w:rsidRDefault="004D17B4" w:rsidP="00B47286">
      <w:pPr>
        <w:pStyle w:val="GesAbsatz"/>
      </w:pPr>
    </w:p>
    <w:p w:rsidR="00B47286" w:rsidRDefault="00B47286" w:rsidP="00B47286">
      <w:pPr>
        <w:pStyle w:val="GesAbsatz"/>
      </w:pPr>
      <w:r>
        <w:t xml:space="preserve">Messbereiche des modularen Systems </w:t>
      </w:r>
      <w:proofErr w:type="spellStart"/>
      <w:r>
        <w:t>CEMSelect</w:t>
      </w:r>
      <w:proofErr w:type="spellEnd"/>
      <w:r>
        <w:t xml:space="preserve"> OEM, Modul </w:t>
      </w:r>
      <w:proofErr w:type="spellStart"/>
      <w:r>
        <w:t>Ultramat</w:t>
      </w:r>
      <w:proofErr w:type="spellEnd"/>
      <w:r>
        <w:t xml:space="preserve"> 23-7MB2358 in der Eignungspr</w:t>
      </w:r>
      <w:r>
        <w:t>ü</w:t>
      </w:r>
      <w:r>
        <w:t>fung: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128"/>
        <w:gridCol w:w="1386"/>
        <w:gridCol w:w="1305"/>
        <w:gridCol w:w="1134"/>
      </w:tblGrid>
      <w:tr w:rsidR="00E11BF0" w:rsidRPr="00634585" w:rsidTr="00B03573">
        <w:trPr>
          <w:tblHeader/>
        </w:trPr>
        <w:tc>
          <w:tcPr>
            <w:tcW w:w="1526" w:type="dxa"/>
          </w:tcPr>
          <w:p w:rsidR="00E11BF0" w:rsidRPr="00634585" w:rsidRDefault="00E11BF0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Komponente</w:t>
            </w:r>
          </w:p>
        </w:tc>
        <w:tc>
          <w:tcPr>
            <w:tcW w:w="1843" w:type="dxa"/>
          </w:tcPr>
          <w:p w:rsidR="00E11BF0" w:rsidRPr="00634585" w:rsidRDefault="00E11BF0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Modul-Variante</w:t>
            </w:r>
          </w:p>
        </w:tc>
        <w:tc>
          <w:tcPr>
            <w:tcW w:w="2128" w:type="dxa"/>
          </w:tcPr>
          <w:p w:rsidR="00E11BF0" w:rsidRPr="00634585" w:rsidRDefault="00E11BF0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Zertifizierungsbereich</w:t>
            </w:r>
          </w:p>
        </w:tc>
        <w:tc>
          <w:tcPr>
            <w:tcW w:w="2691" w:type="dxa"/>
            <w:gridSpan w:val="2"/>
          </w:tcPr>
          <w:p w:rsidR="00E11BF0" w:rsidRPr="00634585" w:rsidRDefault="00E11BF0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zusätzliche Messbereiche</w:t>
            </w:r>
          </w:p>
        </w:tc>
        <w:tc>
          <w:tcPr>
            <w:tcW w:w="1134" w:type="dxa"/>
          </w:tcPr>
          <w:p w:rsidR="00E11BF0" w:rsidRPr="00634585" w:rsidRDefault="00E11BF0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Einheit</w:t>
            </w:r>
          </w:p>
        </w:tc>
      </w:tr>
      <w:tr w:rsidR="00E11BF0" w:rsidRPr="00634585" w:rsidTr="00B03573">
        <w:tc>
          <w:tcPr>
            <w:tcW w:w="1526" w:type="dxa"/>
            <w:vMerge w:val="restart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CO</w:t>
            </w:r>
          </w:p>
        </w:tc>
        <w:tc>
          <w:tcPr>
            <w:tcW w:w="1843" w:type="dxa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4585">
              <w:rPr>
                <w:sz w:val="18"/>
                <w:szCs w:val="18"/>
              </w:rPr>
              <w:t>Ultramat</w:t>
            </w:r>
            <w:proofErr w:type="spellEnd"/>
            <w:r w:rsidRPr="00634585">
              <w:rPr>
                <w:sz w:val="18"/>
                <w:szCs w:val="18"/>
              </w:rPr>
              <w:t xml:space="preserve"> 23-7MB2358–Z–T13</w:t>
            </w:r>
          </w:p>
        </w:tc>
        <w:tc>
          <w:tcPr>
            <w:tcW w:w="2128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250</w:t>
            </w:r>
          </w:p>
        </w:tc>
        <w:tc>
          <w:tcPr>
            <w:tcW w:w="1386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1 250</w:t>
            </w:r>
          </w:p>
        </w:tc>
        <w:tc>
          <w:tcPr>
            <w:tcW w:w="1305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mg/m³</w:t>
            </w:r>
          </w:p>
        </w:tc>
      </w:tr>
      <w:tr w:rsidR="00E11BF0" w:rsidRPr="00634585" w:rsidTr="00B03573">
        <w:tc>
          <w:tcPr>
            <w:tcW w:w="1526" w:type="dxa"/>
            <w:vMerge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4585">
              <w:rPr>
                <w:sz w:val="18"/>
                <w:szCs w:val="18"/>
              </w:rPr>
              <w:t>Ultramat</w:t>
            </w:r>
            <w:proofErr w:type="spellEnd"/>
            <w:r w:rsidRPr="00634585">
              <w:rPr>
                <w:sz w:val="18"/>
                <w:szCs w:val="18"/>
              </w:rPr>
              <w:t xml:space="preserve"> 23-7MB2358–Z–T23</w:t>
            </w:r>
          </w:p>
        </w:tc>
        <w:tc>
          <w:tcPr>
            <w:tcW w:w="2128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250</w:t>
            </w:r>
          </w:p>
        </w:tc>
        <w:tc>
          <w:tcPr>
            <w:tcW w:w="1386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1 250</w:t>
            </w:r>
          </w:p>
        </w:tc>
        <w:tc>
          <w:tcPr>
            <w:tcW w:w="1305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mg/m³</w:t>
            </w:r>
          </w:p>
        </w:tc>
      </w:tr>
      <w:tr w:rsidR="00E11BF0" w:rsidRPr="00634585" w:rsidTr="00B03573">
        <w:tc>
          <w:tcPr>
            <w:tcW w:w="1526" w:type="dxa"/>
            <w:vMerge w:val="restart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NO</w:t>
            </w:r>
          </w:p>
        </w:tc>
        <w:tc>
          <w:tcPr>
            <w:tcW w:w="1843" w:type="dxa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4585">
              <w:rPr>
                <w:sz w:val="18"/>
                <w:szCs w:val="18"/>
              </w:rPr>
              <w:t>Ultramat</w:t>
            </w:r>
            <w:proofErr w:type="spellEnd"/>
            <w:r w:rsidRPr="00634585">
              <w:rPr>
                <w:sz w:val="18"/>
                <w:szCs w:val="18"/>
              </w:rPr>
              <w:t xml:space="preserve"> 23-7MB2358–Z–T13</w:t>
            </w:r>
          </w:p>
        </w:tc>
        <w:tc>
          <w:tcPr>
            <w:tcW w:w="2128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400</w:t>
            </w:r>
          </w:p>
        </w:tc>
        <w:tc>
          <w:tcPr>
            <w:tcW w:w="1386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2 000</w:t>
            </w:r>
          </w:p>
        </w:tc>
        <w:tc>
          <w:tcPr>
            <w:tcW w:w="1305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mg/m³</w:t>
            </w:r>
          </w:p>
        </w:tc>
      </w:tr>
      <w:tr w:rsidR="00E11BF0" w:rsidRPr="00634585" w:rsidTr="00B03573">
        <w:tc>
          <w:tcPr>
            <w:tcW w:w="1526" w:type="dxa"/>
            <w:vMerge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4585">
              <w:rPr>
                <w:sz w:val="18"/>
                <w:szCs w:val="18"/>
              </w:rPr>
              <w:t>Ultramat</w:t>
            </w:r>
            <w:proofErr w:type="spellEnd"/>
            <w:r w:rsidRPr="00634585">
              <w:rPr>
                <w:sz w:val="18"/>
                <w:szCs w:val="18"/>
              </w:rPr>
              <w:t xml:space="preserve"> 23-7MB2358–Z–T23</w:t>
            </w:r>
          </w:p>
        </w:tc>
        <w:tc>
          <w:tcPr>
            <w:tcW w:w="2128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400</w:t>
            </w:r>
          </w:p>
        </w:tc>
        <w:tc>
          <w:tcPr>
            <w:tcW w:w="1386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2 000</w:t>
            </w:r>
          </w:p>
        </w:tc>
        <w:tc>
          <w:tcPr>
            <w:tcW w:w="1305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mg/m³</w:t>
            </w:r>
          </w:p>
        </w:tc>
      </w:tr>
      <w:tr w:rsidR="00E11BF0" w:rsidRPr="00634585" w:rsidTr="00B03573">
        <w:tc>
          <w:tcPr>
            <w:tcW w:w="1526" w:type="dxa"/>
            <w:vMerge w:val="restart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SO</w:t>
            </w:r>
            <w:r w:rsidRPr="00634585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43" w:type="dxa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4585">
              <w:rPr>
                <w:sz w:val="18"/>
                <w:szCs w:val="18"/>
              </w:rPr>
              <w:t>Ultramat</w:t>
            </w:r>
            <w:proofErr w:type="spellEnd"/>
            <w:r w:rsidRPr="00634585">
              <w:rPr>
                <w:sz w:val="18"/>
                <w:szCs w:val="18"/>
              </w:rPr>
              <w:t xml:space="preserve"> 23-7MB2358–Z–T13</w:t>
            </w:r>
          </w:p>
        </w:tc>
        <w:tc>
          <w:tcPr>
            <w:tcW w:w="2128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400</w:t>
            </w:r>
          </w:p>
        </w:tc>
        <w:tc>
          <w:tcPr>
            <w:tcW w:w="1386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2 000</w:t>
            </w:r>
          </w:p>
        </w:tc>
        <w:tc>
          <w:tcPr>
            <w:tcW w:w="1305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7 000</w:t>
            </w:r>
          </w:p>
        </w:tc>
        <w:tc>
          <w:tcPr>
            <w:tcW w:w="1134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mg/m³</w:t>
            </w:r>
          </w:p>
        </w:tc>
      </w:tr>
      <w:tr w:rsidR="00E11BF0" w:rsidRPr="00634585" w:rsidTr="00B03573">
        <w:tc>
          <w:tcPr>
            <w:tcW w:w="1526" w:type="dxa"/>
            <w:vMerge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4585">
              <w:rPr>
                <w:sz w:val="18"/>
                <w:szCs w:val="18"/>
              </w:rPr>
              <w:t>Ultramat</w:t>
            </w:r>
            <w:proofErr w:type="spellEnd"/>
            <w:r w:rsidRPr="00634585">
              <w:rPr>
                <w:sz w:val="18"/>
                <w:szCs w:val="18"/>
              </w:rPr>
              <w:t xml:space="preserve"> 23-7MB2358–Z–T23</w:t>
            </w:r>
          </w:p>
        </w:tc>
        <w:tc>
          <w:tcPr>
            <w:tcW w:w="2128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400</w:t>
            </w:r>
          </w:p>
        </w:tc>
        <w:tc>
          <w:tcPr>
            <w:tcW w:w="1386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2 000</w:t>
            </w:r>
          </w:p>
        </w:tc>
        <w:tc>
          <w:tcPr>
            <w:tcW w:w="1305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7 000</w:t>
            </w:r>
          </w:p>
        </w:tc>
        <w:tc>
          <w:tcPr>
            <w:tcW w:w="1134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mg/m³</w:t>
            </w:r>
          </w:p>
        </w:tc>
      </w:tr>
      <w:tr w:rsidR="00E11BF0" w:rsidRPr="00634585" w:rsidTr="00B03573">
        <w:tc>
          <w:tcPr>
            <w:tcW w:w="1526" w:type="dxa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O</w:t>
            </w:r>
            <w:r w:rsidRPr="00634585">
              <w:rPr>
                <w:sz w:val="18"/>
                <w:szCs w:val="18"/>
                <w:vertAlign w:val="subscript"/>
              </w:rPr>
              <w:t>2, paramagnetisch</w:t>
            </w:r>
          </w:p>
        </w:tc>
        <w:tc>
          <w:tcPr>
            <w:tcW w:w="1843" w:type="dxa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4585">
              <w:rPr>
                <w:sz w:val="18"/>
                <w:szCs w:val="18"/>
              </w:rPr>
              <w:t>Ultramat</w:t>
            </w:r>
            <w:proofErr w:type="spellEnd"/>
            <w:r w:rsidRPr="00634585">
              <w:rPr>
                <w:sz w:val="18"/>
                <w:szCs w:val="18"/>
              </w:rPr>
              <w:t xml:space="preserve"> 23-7MB2358–Z–T13</w:t>
            </w:r>
          </w:p>
        </w:tc>
        <w:tc>
          <w:tcPr>
            <w:tcW w:w="2128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25</w:t>
            </w:r>
          </w:p>
        </w:tc>
        <w:tc>
          <w:tcPr>
            <w:tcW w:w="1386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305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Vol.-%</w:t>
            </w:r>
          </w:p>
        </w:tc>
      </w:tr>
      <w:tr w:rsidR="00E11BF0" w:rsidRPr="00634585" w:rsidTr="00B03573">
        <w:tc>
          <w:tcPr>
            <w:tcW w:w="1526" w:type="dxa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O</w:t>
            </w:r>
            <w:r w:rsidRPr="00634585">
              <w:rPr>
                <w:sz w:val="18"/>
                <w:szCs w:val="18"/>
                <w:vertAlign w:val="subscript"/>
              </w:rPr>
              <w:t>2, elektrochemisch</w:t>
            </w:r>
          </w:p>
        </w:tc>
        <w:tc>
          <w:tcPr>
            <w:tcW w:w="1843" w:type="dxa"/>
          </w:tcPr>
          <w:p w:rsidR="00E11BF0" w:rsidRPr="00634585" w:rsidRDefault="00E11BF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4585">
              <w:rPr>
                <w:sz w:val="18"/>
                <w:szCs w:val="18"/>
              </w:rPr>
              <w:t>Ultramat</w:t>
            </w:r>
            <w:proofErr w:type="spellEnd"/>
            <w:r w:rsidRPr="00634585">
              <w:rPr>
                <w:sz w:val="18"/>
                <w:szCs w:val="18"/>
              </w:rPr>
              <w:t xml:space="preserve"> 23-7MB2358–Z–T23</w:t>
            </w:r>
          </w:p>
        </w:tc>
        <w:tc>
          <w:tcPr>
            <w:tcW w:w="2128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0 – 25</w:t>
            </w:r>
          </w:p>
        </w:tc>
        <w:tc>
          <w:tcPr>
            <w:tcW w:w="1386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305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E11BF0" w:rsidRPr="00634585" w:rsidRDefault="00E11BF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4585">
              <w:rPr>
                <w:sz w:val="18"/>
                <w:szCs w:val="18"/>
              </w:rPr>
              <w:t>Vol.-%</w:t>
            </w:r>
          </w:p>
        </w:tc>
      </w:tr>
    </w:tbl>
    <w:p w:rsidR="00B47286" w:rsidRDefault="00B47286" w:rsidP="00B47286">
      <w:pPr>
        <w:pStyle w:val="GesAbsatz"/>
      </w:pPr>
    </w:p>
    <w:p w:rsidR="00B47286" w:rsidRDefault="00B47286" w:rsidP="00B47286">
      <w:pPr>
        <w:pStyle w:val="GesAbsatz"/>
      </w:pPr>
      <w:r>
        <w:t xml:space="preserve">Messbereiche des modularen Systems </w:t>
      </w:r>
      <w:proofErr w:type="spellStart"/>
      <w:r>
        <w:t>CEMSelect</w:t>
      </w:r>
      <w:proofErr w:type="spellEnd"/>
      <w:r>
        <w:t xml:space="preserve"> OEM, Modul BA5000-7MB2357 in der Eignungsprüfung: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517"/>
        <w:gridCol w:w="1852"/>
        <w:gridCol w:w="2126"/>
        <w:gridCol w:w="1417"/>
        <w:gridCol w:w="1276"/>
        <w:gridCol w:w="1134"/>
      </w:tblGrid>
      <w:tr w:rsidR="00950A00" w:rsidRPr="00950A00" w:rsidTr="00B03573">
        <w:trPr>
          <w:tblHeader/>
        </w:trPr>
        <w:tc>
          <w:tcPr>
            <w:tcW w:w="1517" w:type="dxa"/>
          </w:tcPr>
          <w:p w:rsidR="00950A00" w:rsidRPr="00950A00" w:rsidRDefault="00950A00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Komponente</w:t>
            </w:r>
          </w:p>
        </w:tc>
        <w:tc>
          <w:tcPr>
            <w:tcW w:w="1852" w:type="dxa"/>
          </w:tcPr>
          <w:p w:rsidR="00950A00" w:rsidRPr="00950A00" w:rsidRDefault="00950A00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Modul-Variante</w:t>
            </w:r>
          </w:p>
        </w:tc>
        <w:tc>
          <w:tcPr>
            <w:tcW w:w="2126" w:type="dxa"/>
          </w:tcPr>
          <w:p w:rsidR="00950A00" w:rsidRPr="00950A00" w:rsidRDefault="00950A00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Zertifizierungsbereich</w:t>
            </w:r>
          </w:p>
        </w:tc>
        <w:tc>
          <w:tcPr>
            <w:tcW w:w="2693" w:type="dxa"/>
            <w:gridSpan w:val="2"/>
          </w:tcPr>
          <w:p w:rsidR="00950A00" w:rsidRPr="00950A00" w:rsidRDefault="00950A00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zusätzliche Messbereiche</w:t>
            </w:r>
          </w:p>
        </w:tc>
        <w:tc>
          <w:tcPr>
            <w:tcW w:w="1134" w:type="dxa"/>
          </w:tcPr>
          <w:p w:rsidR="00950A00" w:rsidRPr="00950A00" w:rsidRDefault="00950A00" w:rsidP="00950A0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Einheit</w:t>
            </w:r>
          </w:p>
        </w:tc>
      </w:tr>
      <w:tr w:rsidR="00DF7CD3" w:rsidRPr="00950A00" w:rsidTr="00950A00">
        <w:tc>
          <w:tcPr>
            <w:tcW w:w="1517" w:type="dxa"/>
            <w:vMerge w:val="restart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CO</w:t>
            </w:r>
            <w:r w:rsidRPr="00950A00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852" w:type="dxa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BA 5000-7MB2357–Z–T13</w:t>
            </w:r>
          </w:p>
        </w:tc>
        <w:tc>
          <w:tcPr>
            <w:tcW w:w="212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0 – 200</w:t>
            </w:r>
          </w:p>
        </w:tc>
        <w:tc>
          <w:tcPr>
            <w:tcW w:w="1417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0 – 1 250</w:t>
            </w:r>
          </w:p>
        </w:tc>
        <w:tc>
          <w:tcPr>
            <w:tcW w:w="127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134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mg/m³</w:t>
            </w:r>
          </w:p>
        </w:tc>
      </w:tr>
      <w:tr w:rsidR="00DF7CD3" w:rsidRPr="00950A00" w:rsidTr="00950A00">
        <w:tc>
          <w:tcPr>
            <w:tcW w:w="1517" w:type="dxa"/>
            <w:vMerge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BA 5000-7MB2357–Z–T23</w:t>
            </w:r>
          </w:p>
        </w:tc>
        <w:tc>
          <w:tcPr>
            <w:tcW w:w="212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200</w:t>
            </w:r>
          </w:p>
        </w:tc>
        <w:tc>
          <w:tcPr>
            <w:tcW w:w="1417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1 250</w:t>
            </w:r>
          </w:p>
        </w:tc>
        <w:tc>
          <w:tcPr>
            <w:tcW w:w="127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mg/m³</w:t>
            </w:r>
          </w:p>
        </w:tc>
      </w:tr>
      <w:tr w:rsidR="00DF7CD3" w:rsidRPr="00950A00" w:rsidTr="00950A00">
        <w:tc>
          <w:tcPr>
            <w:tcW w:w="1517" w:type="dxa"/>
            <w:vMerge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BA 5000-7MB2357–Z–T33</w:t>
            </w:r>
          </w:p>
        </w:tc>
        <w:tc>
          <w:tcPr>
            <w:tcW w:w="212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200</w:t>
            </w:r>
          </w:p>
        </w:tc>
        <w:tc>
          <w:tcPr>
            <w:tcW w:w="1417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1 250</w:t>
            </w:r>
          </w:p>
        </w:tc>
        <w:tc>
          <w:tcPr>
            <w:tcW w:w="127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mg/m³</w:t>
            </w:r>
          </w:p>
        </w:tc>
      </w:tr>
      <w:tr w:rsidR="00DF7CD3" w:rsidRPr="00950A00" w:rsidTr="00950A00">
        <w:tc>
          <w:tcPr>
            <w:tcW w:w="1517" w:type="dxa"/>
            <w:vMerge w:val="restart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NO</w:t>
            </w:r>
            <w:r w:rsidRPr="00950A00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852" w:type="dxa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BA 5000-7MB2357–Z–T13</w:t>
            </w:r>
          </w:p>
        </w:tc>
        <w:tc>
          <w:tcPr>
            <w:tcW w:w="212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0 – 150</w:t>
            </w:r>
          </w:p>
        </w:tc>
        <w:tc>
          <w:tcPr>
            <w:tcW w:w="1417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0 – 750</w:t>
            </w:r>
          </w:p>
        </w:tc>
        <w:tc>
          <w:tcPr>
            <w:tcW w:w="127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0 – 2 000</w:t>
            </w:r>
          </w:p>
        </w:tc>
        <w:tc>
          <w:tcPr>
            <w:tcW w:w="1134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950A00">
              <w:rPr>
                <w:sz w:val="18"/>
                <w:szCs w:val="18"/>
                <w:lang w:val="en-US"/>
              </w:rPr>
              <w:t>mg/m³</w:t>
            </w:r>
          </w:p>
        </w:tc>
      </w:tr>
      <w:tr w:rsidR="00DF7CD3" w:rsidRPr="00950A00" w:rsidTr="00950A00">
        <w:tc>
          <w:tcPr>
            <w:tcW w:w="1517" w:type="dxa"/>
            <w:vMerge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BA 5000-7MB2357–Z–T23</w:t>
            </w:r>
          </w:p>
        </w:tc>
        <w:tc>
          <w:tcPr>
            <w:tcW w:w="212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150</w:t>
            </w:r>
          </w:p>
        </w:tc>
        <w:tc>
          <w:tcPr>
            <w:tcW w:w="1417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750</w:t>
            </w:r>
          </w:p>
        </w:tc>
        <w:tc>
          <w:tcPr>
            <w:tcW w:w="127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2 000</w:t>
            </w:r>
          </w:p>
        </w:tc>
        <w:tc>
          <w:tcPr>
            <w:tcW w:w="1134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mg/m³</w:t>
            </w:r>
          </w:p>
        </w:tc>
      </w:tr>
      <w:tr w:rsidR="00DF7CD3" w:rsidRPr="00950A00" w:rsidTr="00950A00">
        <w:tc>
          <w:tcPr>
            <w:tcW w:w="1517" w:type="dxa"/>
            <w:vMerge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BA 5000-7MB2357–Z–T33</w:t>
            </w:r>
          </w:p>
        </w:tc>
        <w:tc>
          <w:tcPr>
            <w:tcW w:w="212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150</w:t>
            </w:r>
          </w:p>
        </w:tc>
        <w:tc>
          <w:tcPr>
            <w:tcW w:w="1417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750</w:t>
            </w:r>
          </w:p>
        </w:tc>
        <w:tc>
          <w:tcPr>
            <w:tcW w:w="127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2 000</w:t>
            </w:r>
          </w:p>
        </w:tc>
        <w:tc>
          <w:tcPr>
            <w:tcW w:w="1134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mg/m³</w:t>
            </w:r>
          </w:p>
        </w:tc>
      </w:tr>
      <w:tr w:rsidR="00DF7CD3" w:rsidRPr="00950A00" w:rsidTr="00950A00">
        <w:tc>
          <w:tcPr>
            <w:tcW w:w="1517" w:type="dxa"/>
            <w:vMerge w:val="restart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SO</w:t>
            </w:r>
            <w:r w:rsidRPr="00950A00">
              <w:rPr>
                <w:sz w:val="18"/>
                <w:szCs w:val="18"/>
                <w:vertAlign w:val="subscript"/>
              </w:rPr>
              <w:t>2</w:t>
            </w:r>
            <w:r w:rsidRPr="00950A00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52" w:type="dxa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BA 5000-7MB2357–Z–T13</w:t>
            </w:r>
          </w:p>
        </w:tc>
        <w:tc>
          <w:tcPr>
            <w:tcW w:w="212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400</w:t>
            </w:r>
          </w:p>
        </w:tc>
        <w:tc>
          <w:tcPr>
            <w:tcW w:w="1417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2 000</w:t>
            </w:r>
          </w:p>
        </w:tc>
        <w:tc>
          <w:tcPr>
            <w:tcW w:w="127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7 000</w:t>
            </w:r>
          </w:p>
        </w:tc>
        <w:tc>
          <w:tcPr>
            <w:tcW w:w="1134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mg/m³</w:t>
            </w:r>
          </w:p>
        </w:tc>
      </w:tr>
      <w:tr w:rsidR="00DF7CD3" w:rsidRPr="00950A00" w:rsidTr="00950A00">
        <w:tc>
          <w:tcPr>
            <w:tcW w:w="1517" w:type="dxa"/>
            <w:vMerge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BA 5000-7MB2357–Z–T23</w:t>
            </w:r>
          </w:p>
        </w:tc>
        <w:tc>
          <w:tcPr>
            <w:tcW w:w="212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400</w:t>
            </w:r>
          </w:p>
        </w:tc>
        <w:tc>
          <w:tcPr>
            <w:tcW w:w="1417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2 000</w:t>
            </w:r>
          </w:p>
        </w:tc>
        <w:tc>
          <w:tcPr>
            <w:tcW w:w="127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7 000</w:t>
            </w:r>
          </w:p>
        </w:tc>
        <w:tc>
          <w:tcPr>
            <w:tcW w:w="1134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mg/m³</w:t>
            </w:r>
          </w:p>
        </w:tc>
      </w:tr>
      <w:tr w:rsidR="00DF7CD3" w:rsidRPr="00950A00" w:rsidTr="00950A00">
        <w:tc>
          <w:tcPr>
            <w:tcW w:w="1517" w:type="dxa"/>
            <w:vMerge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DF7CD3" w:rsidRPr="00950A00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BA 5000-7MB2357–Z–T33</w:t>
            </w:r>
          </w:p>
        </w:tc>
        <w:tc>
          <w:tcPr>
            <w:tcW w:w="212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400</w:t>
            </w:r>
          </w:p>
        </w:tc>
        <w:tc>
          <w:tcPr>
            <w:tcW w:w="1417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2 000</w:t>
            </w:r>
          </w:p>
        </w:tc>
        <w:tc>
          <w:tcPr>
            <w:tcW w:w="1276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7 000</w:t>
            </w:r>
          </w:p>
        </w:tc>
        <w:tc>
          <w:tcPr>
            <w:tcW w:w="1134" w:type="dxa"/>
          </w:tcPr>
          <w:p w:rsidR="00DF7CD3" w:rsidRPr="00950A00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mg/m³</w:t>
            </w:r>
          </w:p>
        </w:tc>
      </w:tr>
      <w:tr w:rsidR="00950A00" w:rsidRPr="00950A00" w:rsidTr="00950A00">
        <w:tc>
          <w:tcPr>
            <w:tcW w:w="1517" w:type="dxa"/>
          </w:tcPr>
          <w:p w:rsidR="00950A00" w:rsidRPr="00950A00" w:rsidRDefault="00950A0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O</w:t>
            </w:r>
            <w:r w:rsidRPr="002273BA">
              <w:rPr>
                <w:sz w:val="18"/>
                <w:szCs w:val="18"/>
                <w:vertAlign w:val="subscript"/>
              </w:rPr>
              <w:t>2, paramagnetisch</w:t>
            </w:r>
          </w:p>
        </w:tc>
        <w:tc>
          <w:tcPr>
            <w:tcW w:w="1852" w:type="dxa"/>
          </w:tcPr>
          <w:p w:rsidR="00950A00" w:rsidRPr="00950A00" w:rsidRDefault="00950A0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BA 5000-7MB2357–Z–T13</w:t>
            </w:r>
          </w:p>
        </w:tc>
        <w:tc>
          <w:tcPr>
            <w:tcW w:w="2126" w:type="dxa"/>
          </w:tcPr>
          <w:p w:rsidR="00950A00" w:rsidRPr="00950A00" w:rsidRDefault="00950A0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25</w:t>
            </w:r>
          </w:p>
        </w:tc>
        <w:tc>
          <w:tcPr>
            <w:tcW w:w="1417" w:type="dxa"/>
          </w:tcPr>
          <w:p w:rsidR="00950A00" w:rsidRPr="00950A00" w:rsidRDefault="00950A0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</w:tcPr>
          <w:p w:rsidR="00950A00" w:rsidRPr="00950A00" w:rsidRDefault="00950A0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950A00" w:rsidRPr="00950A00" w:rsidRDefault="00950A0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Vol.-%</w:t>
            </w:r>
          </w:p>
        </w:tc>
      </w:tr>
      <w:tr w:rsidR="00950A00" w:rsidRPr="00950A00" w:rsidTr="00950A00">
        <w:tc>
          <w:tcPr>
            <w:tcW w:w="1517" w:type="dxa"/>
          </w:tcPr>
          <w:p w:rsidR="00950A00" w:rsidRPr="00950A00" w:rsidRDefault="00950A0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O</w:t>
            </w:r>
            <w:r w:rsidRPr="002273BA">
              <w:rPr>
                <w:sz w:val="18"/>
                <w:szCs w:val="18"/>
                <w:vertAlign w:val="subscript"/>
              </w:rPr>
              <w:t>2, elektrochemisch</w:t>
            </w:r>
          </w:p>
        </w:tc>
        <w:tc>
          <w:tcPr>
            <w:tcW w:w="1852" w:type="dxa"/>
          </w:tcPr>
          <w:p w:rsidR="00950A00" w:rsidRPr="00950A00" w:rsidRDefault="00950A00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BA 5000-7MB2357–Z–T23</w:t>
            </w:r>
          </w:p>
        </w:tc>
        <w:tc>
          <w:tcPr>
            <w:tcW w:w="2126" w:type="dxa"/>
          </w:tcPr>
          <w:p w:rsidR="00950A00" w:rsidRPr="00950A00" w:rsidRDefault="00950A0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0 – 25</w:t>
            </w:r>
          </w:p>
        </w:tc>
        <w:tc>
          <w:tcPr>
            <w:tcW w:w="1417" w:type="dxa"/>
          </w:tcPr>
          <w:p w:rsidR="00950A00" w:rsidRPr="00950A00" w:rsidRDefault="00950A0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</w:tcPr>
          <w:p w:rsidR="00950A00" w:rsidRPr="00950A00" w:rsidRDefault="00950A0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950A00" w:rsidRPr="00950A00" w:rsidRDefault="00950A00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950A00">
              <w:rPr>
                <w:sz w:val="18"/>
                <w:szCs w:val="18"/>
              </w:rPr>
              <w:t>Vol.-%</w:t>
            </w:r>
          </w:p>
        </w:tc>
      </w:tr>
    </w:tbl>
    <w:p w:rsidR="00B47286" w:rsidRDefault="00B47286" w:rsidP="00B47286">
      <w:pPr>
        <w:pStyle w:val="GesAbsatz"/>
      </w:pPr>
      <w:r w:rsidRPr="002273BA">
        <w:rPr>
          <w:vertAlign w:val="superscript"/>
        </w:rPr>
        <w:t>1</w:t>
      </w:r>
      <w:r>
        <w:t xml:space="preserve"> Es können die Kombinationen CO/NO oder CO/SO</w:t>
      </w:r>
      <w:r w:rsidRPr="002273BA">
        <w:rPr>
          <w:vertAlign w:val="subscript"/>
        </w:rPr>
        <w:t>2</w:t>
      </w:r>
      <w:r>
        <w:t xml:space="preserve"> oder NO/SO</w:t>
      </w:r>
      <w:r w:rsidRPr="002273BA">
        <w:rPr>
          <w:vertAlign w:val="subscript"/>
        </w:rPr>
        <w:t>2</w:t>
      </w:r>
      <w:r>
        <w:t xml:space="preserve"> gemessen werden.</w:t>
      </w:r>
    </w:p>
    <w:p w:rsidR="002273BA" w:rsidRDefault="002273BA" w:rsidP="00B47286">
      <w:pPr>
        <w:pStyle w:val="GesAbsatz"/>
      </w:pPr>
    </w:p>
    <w:p w:rsidR="00B47286" w:rsidRDefault="00B47286" w:rsidP="00B47286">
      <w:pPr>
        <w:pStyle w:val="GesAbsatz"/>
      </w:pPr>
      <w:r>
        <w:t xml:space="preserve">Messbereiche des modularen Systems </w:t>
      </w:r>
      <w:proofErr w:type="spellStart"/>
      <w:r>
        <w:t>CEMSelect</w:t>
      </w:r>
      <w:proofErr w:type="spellEnd"/>
      <w:r>
        <w:t xml:space="preserve"> OEM, Modul </w:t>
      </w:r>
      <w:proofErr w:type="spellStart"/>
      <w:r>
        <w:t>Ultramat</w:t>
      </w:r>
      <w:proofErr w:type="spellEnd"/>
      <w:r>
        <w:t xml:space="preserve"> 23-7MB2357 in der Eignungspr</w:t>
      </w:r>
      <w:r>
        <w:t>ü</w:t>
      </w:r>
      <w:r>
        <w:t>fung: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417"/>
        <w:gridCol w:w="1276"/>
        <w:gridCol w:w="1134"/>
      </w:tblGrid>
      <w:tr w:rsidR="00DF7CD3" w:rsidRPr="00DF7CD3" w:rsidTr="00632C0D">
        <w:tc>
          <w:tcPr>
            <w:tcW w:w="1526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Komponente</w:t>
            </w: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Modul-Variante</w:t>
            </w:r>
          </w:p>
        </w:tc>
        <w:tc>
          <w:tcPr>
            <w:tcW w:w="2126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Zertifizierungsbereich</w:t>
            </w:r>
          </w:p>
        </w:tc>
        <w:tc>
          <w:tcPr>
            <w:tcW w:w="2693" w:type="dxa"/>
            <w:gridSpan w:val="2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zusätzliche Messbereiche</w:t>
            </w:r>
          </w:p>
        </w:tc>
        <w:tc>
          <w:tcPr>
            <w:tcW w:w="1134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Einheit</w:t>
            </w:r>
          </w:p>
        </w:tc>
      </w:tr>
      <w:tr w:rsidR="00DF7CD3" w:rsidRPr="00DF7CD3" w:rsidTr="00DF7CD3">
        <w:tc>
          <w:tcPr>
            <w:tcW w:w="1526" w:type="dxa"/>
            <w:vMerge w:val="restart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CO</w:t>
            </w:r>
            <w:r w:rsidRPr="00DF7CD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DF7CD3">
              <w:rPr>
                <w:sz w:val="18"/>
                <w:szCs w:val="18"/>
              </w:rPr>
              <w:t>Ultramat</w:t>
            </w:r>
            <w:proofErr w:type="spellEnd"/>
            <w:r w:rsidRPr="00DF7CD3">
              <w:rPr>
                <w:sz w:val="18"/>
                <w:szCs w:val="18"/>
              </w:rPr>
              <w:t xml:space="preserve"> 23-7MB2357–Z–T13</w:t>
            </w:r>
          </w:p>
        </w:tc>
        <w:tc>
          <w:tcPr>
            <w:tcW w:w="212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200</w:t>
            </w:r>
          </w:p>
        </w:tc>
        <w:tc>
          <w:tcPr>
            <w:tcW w:w="1417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1 250</w:t>
            </w:r>
          </w:p>
        </w:tc>
        <w:tc>
          <w:tcPr>
            <w:tcW w:w="127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mg/m³</w:t>
            </w:r>
          </w:p>
        </w:tc>
      </w:tr>
      <w:tr w:rsidR="00DF7CD3" w:rsidRPr="00DF7CD3" w:rsidTr="00DF7CD3">
        <w:tc>
          <w:tcPr>
            <w:tcW w:w="1526" w:type="dxa"/>
            <w:vMerge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DF7CD3">
              <w:rPr>
                <w:sz w:val="18"/>
                <w:szCs w:val="18"/>
              </w:rPr>
              <w:t>Ultramat</w:t>
            </w:r>
            <w:proofErr w:type="spellEnd"/>
            <w:r w:rsidRPr="00DF7CD3">
              <w:rPr>
                <w:sz w:val="18"/>
                <w:szCs w:val="18"/>
              </w:rPr>
              <w:t xml:space="preserve"> 23-7MB2357–Z–T23</w:t>
            </w:r>
          </w:p>
        </w:tc>
        <w:tc>
          <w:tcPr>
            <w:tcW w:w="212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200</w:t>
            </w:r>
          </w:p>
        </w:tc>
        <w:tc>
          <w:tcPr>
            <w:tcW w:w="1417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1 250</w:t>
            </w:r>
          </w:p>
        </w:tc>
        <w:tc>
          <w:tcPr>
            <w:tcW w:w="127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mg/m³</w:t>
            </w:r>
          </w:p>
        </w:tc>
      </w:tr>
      <w:tr w:rsidR="00DF7CD3" w:rsidRPr="00DF7CD3" w:rsidTr="00DF7CD3">
        <w:tc>
          <w:tcPr>
            <w:tcW w:w="1526" w:type="dxa"/>
            <w:vMerge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DF7CD3">
              <w:rPr>
                <w:sz w:val="18"/>
                <w:szCs w:val="18"/>
              </w:rPr>
              <w:t>Ultramat</w:t>
            </w:r>
            <w:proofErr w:type="spellEnd"/>
            <w:r w:rsidRPr="00DF7CD3">
              <w:rPr>
                <w:sz w:val="18"/>
                <w:szCs w:val="18"/>
              </w:rPr>
              <w:t xml:space="preserve"> 23-7MB2357–Z–T33</w:t>
            </w:r>
          </w:p>
        </w:tc>
        <w:tc>
          <w:tcPr>
            <w:tcW w:w="212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200</w:t>
            </w:r>
          </w:p>
        </w:tc>
        <w:tc>
          <w:tcPr>
            <w:tcW w:w="1417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1 250</w:t>
            </w:r>
          </w:p>
        </w:tc>
        <w:tc>
          <w:tcPr>
            <w:tcW w:w="127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mg/m³</w:t>
            </w:r>
          </w:p>
        </w:tc>
      </w:tr>
      <w:tr w:rsidR="00DF7CD3" w:rsidRPr="00DF7CD3" w:rsidTr="00DF7CD3">
        <w:tc>
          <w:tcPr>
            <w:tcW w:w="1526" w:type="dxa"/>
            <w:vMerge w:val="restart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NO</w:t>
            </w:r>
            <w:r w:rsidRPr="00DF7CD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DF7CD3">
              <w:rPr>
                <w:sz w:val="18"/>
                <w:szCs w:val="18"/>
              </w:rPr>
              <w:t>Ultramat</w:t>
            </w:r>
            <w:proofErr w:type="spellEnd"/>
            <w:r w:rsidRPr="00DF7CD3">
              <w:rPr>
                <w:sz w:val="18"/>
                <w:szCs w:val="18"/>
              </w:rPr>
              <w:t xml:space="preserve"> 23-7MB2357–Z–T13</w:t>
            </w:r>
          </w:p>
        </w:tc>
        <w:tc>
          <w:tcPr>
            <w:tcW w:w="212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150</w:t>
            </w:r>
          </w:p>
        </w:tc>
        <w:tc>
          <w:tcPr>
            <w:tcW w:w="1417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750</w:t>
            </w:r>
          </w:p>
        </w:tc>
        <w:tc>
          <w:tcPr>
            <w:tcW w:w="127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2 000</w:t>
            </w:r>
          </w:p>
        </w:tc>
        <w:tc>
          <w:tcPr>
            <w:tcW w:w="1134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mg/m³</w:t>
            </w:r>
          </w:p>
        </w:tc>
      </w:tr>
      <w:tr w:rsidR="00DF7CD3" w:rsidRPr="00DF7CD3" w:rsidTr="00DF7CD3">
        <w:tc>
          <w:tcPr>
            <w:tcW w:w="1526" w:type="dxa"/>
            <w:vMerge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DF7CD3">
              <w:rPr>
                <w:sz w:val="18"/>
                <w:szCs w:val="18"/>
              </w:rPr>
              <w:t>Ultramat</w:t>
            </w:r>
            <w:proofErr w:type="spellEnd"/>
            <w:r w:rsidRPr="00DF7CD3">
              <w:rPr>
                <w:sz w:val="18"/>
                <w:szCs w:val="18"/>
              </w:rPr>
              <w:t xml:space="preserve"> 23-7MB2357–Z–T23</w:t>
            </w:r>
          </w:p>
        </w:tc>
        <w:tc>
          <w:tcPr>
            <w:tcW w:w="212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150</w:t>
            </w:r>
          </w:p>
        </w:tc>
        <w:tc>
          <w:tcPr>
            <w:tcW w:w="1417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750</w:t>
            </w:r>
          </w:p>
        </w:tc>
        <w:tc>
          <w:tcPr>
            <w:tcW w:w="127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2 000</w:t>
            </w:r>
          </w:p>
        </w:tc>
        <w:tc>
          <w:tcPr>
            <w:tcW w:w="1134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mg/m³</w:t>
            </w:r>
          </w:p>
        </w:tc>
      </w:tr>
      <w:tr w:rsidR="00DF7CD3" w:rsidRPr="00DF7CD3" w:rsidTr="00DF7CD3">
        <w:tc>
          <w:tcPr>
            <w:tcW w:w="1526" w:type="dxa"/>
            <w:vMerge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DF7CD3">
              <w:rPr>
                <w:sz w:val="18"/>
                <w:szCs w:val="18"/>
              </w:rPr>
              <w:t>Ultramat</w:t>
            </w:r>
            <w:proofErr w:type="spellEnd"/>
            <w:r w:rsidRPr="00DF7CD3">
              <w:rPr>
                <w:sz w:val="18"/>
                <w:szCs w:val="18"/>
              </w:rPr>
              <w:t xml:space="preserve"> 23-7MB2357–Z–T33</w:t>
            </w:r>
          </w:p>
        </w:tc>
        <w:tc>
          <w:tcPr>
            <w:tcW w:w="212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150</w:t>
            </w:r>
          </w:p>
        </w:tc>
        <w:tc>
          <w:tcPr>
            <w:tcW w:w="1417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750</w:t>
            </w:r>
          </w:p>
        </w:tc>
        <w:tc>
          <w:tcPr>
            <w:tcW w:w="127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2 000</w:t>
            </w:r>
          </w:p>
        </w:tc>
        <w:tc>
          <w:tcPr>
            <w:tcW w:w="1134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mg/m³</w:t>
            </w:r>
          </w:p>
        </w:tc>
      </w:tr>
      <w:tr w:rsidR="00DF7CD3" w:rsidRPr="00DF7CD3" w:rsidTr="00DF7CD3">
        <w:tc>
          <w:tcPr>
            <w:tcW w:w="1526" w:type="dxa"/>
            <w:vMerge w:val="restart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SO</w:t>
            </w:r>
            <w:r w:rsidRPr="00DF7CD3">
              <w:rPr>
                <w:sz w:val="18"/>
                <w:szCs w:val="18"/>
                <w:vertAlign w:val="subscript"/>
              </w:rPr>
              <w:t>2</w:t>
            </w:r>
            <w:r w:rsidRPr="00DF7CD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DF7CD3">
              <w:rPr>
                <w:sz w:val="18"/>
                <w:szCs w:val="18"/>
              </w:rPr>
              <w:t>Ultramat</w:t>
            </w:r>
            <w:proofErr w:type="spellEnd"/>
            <w:r w:rsidRPr="00DF7CD3">
              <w:rPr>
                <w:sz w:val="18"/>
                <w:szCs w:val="18"/>
              </w:rPr>
              <w:t xml:space="preserve"> 23-7MB2357–Z–T13</w:t>
            </w:r>
          </w:p>
        </w:tc>
        <w:tc>
          <w:tcPr>
            <w:tcW w:w="212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400</w:t>
            </w:r>
          </w:p>
        </w:tc>
        <w:tc>
          <w:tcPr>
            <w:tcW w:w="1417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2 000</w:t>
            </w:r>
          </w:p>
        </w:tc>
        <w:tc>
          <w:tcPr>
            <w:tcW w:w="127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7 000</w:t>
            </w:r>
          </w:p>
        </w:tc>
        <w:tc>
          <w:tcPr>
            <w:tcW w:w="1134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mg/m³</w:t>
            </w:r>
          </w:p>
        </w:tc>
      </w:tr>
      <w:tr w:rsidR="00DF7CD3" w:rsidRPr="00DF7CD3" w:rsidTr="00DF7CD3">
        <w:tc>
          <w:tcPr>
            <w:tcW w:w="1526" w:type="dxa"/>
            <w:vMerge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DF7CD3">
              <w:rPr>
                <w:sz w:val="18"/>
                <w:szCs w:val="18"/>
              </w:rPr>
              <w:t>Ultramat</w:t>
            </w:r>
            <w:proofErr w:type="spellEnd"/>
            <w:r w:rsidRPr="00DF7CD3">
              <w:rPr>
                <w:sz w:val="18"/>
                <w:szCs w:val="18"/>
              </w:rPr>
              <w:t xml:space="preserve"> 23-7MB2357–Z–T23</w:t>
            </w:r>
          </w:p>
        </w:tc>
        <w:tc>
          <w:tcPr>
            <w:tcW w:w="212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400</w:t>
            </w:r>
          </w:p>
        </w:tc>
        <w:tc>
          <w:tcPr>
            <w:tcW w:w="1417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2 000</w:t>
            </w:r>
          </w:p>
        </w:tc>
        <w:tc>
          <w:tcPr>
            <w:tcW w:w="127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7 000</w:t>
            </w:r>
          </w:p>
        </w:tc>
        <w:tc>
          <w:tcPr>
            <w:tcW w:w="1134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mg/m³</w:t>
            </w:r>
          </w:p>
        </w:tc>
      </w:tr>
      <w:tr w:rsidR="00DF7CD3" w:rsidRPr="00DF7CD3" w:rsidTr="00DF7CD3">
        <w:tc>
          <w:tcPr>
            <w:tcW w:w="1526" w:type="dxa"/>
            <w:vMerge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DF7CD3">
              <w:rPr>
                <w:sz w:val="18"/>
                <w:szCs w:val="18"/>
              </w:rPr>
              <w:t>Ultramat</w:t>
            </w:r>
            <w:proofErr w:type="spellEnd"/>
            <w:r w:rsidRPr="00DF7CD3">
              <w:rPr>
                <w:sz w:val="18"/>
                <w:szCs w:val="18"/>
              </w:rPr>
              <w:t xml:space="preserve"> 23-7MB2357–Z–T33</w:t>
            </w:r>
          </w:p>
        </w:tc>
        <w:tc>
          <w:tcPr>
            <w:tcW w:w="212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400</w:t>
            </w:r>
          </w:p>
        </w:tc>
        <w:tc>
          <w:tcPr>
            <w:tcW w:w="1417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2 000</w:t>
            </w:r>
          </w:p>
        </w:tc>
        <w:tc>
          <w:tcPr>
            <w:tcW w:w="127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7 000</w:t>
            </w:r>
          </w:p>
        </w:tc>
        <w:tc>
          <w:tcPr>
            <w:tcW w:w="1134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mg/m³</w:t>
            </w:r>
          </w:p>
        </w:tc>
      </w:tr>
      <w:tr w:rsidR="00DF7CD3" w:rsidRPr="00DF7CD3" w:rsidTr="00DF7CD3">
        <w:tc>
          <w:tcPr>
            <w:tcW w:w="1526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O</w:t>
            </w:r>
            <w:r w:rsidRPr="00DF7CD3">
              <w:rPr>
                <w:sz w:val="18"/>
                <w:szCs w:val="18"/>
                <w:vertAlign w:val="subscript"/>
              </w:rPr>
              <w:t>2, paramagnetisch</w:t>
            </w: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DF7CD3">
              <w:rPr>
                <w:sz w:val="18"/>
                <w:szCs w:val="18"/>
              </w:rPr>
              <w:t>Ultramat</w:t>
            </w:r>
            <w:proofErr w:type="spellEnd"/>
            <w:r w:rsidRPr="00DF7CD3">
              <w:rPr>
                <w:sz w:val="18"/>
                <w:szCs w:val="18"/>
              </w:rPr>
              <w:t xml:space="preserve"> 23-7MB2357–Z–T13</w:t>
            </w:r>
          </w:p>
        </w:tc>
        <w:tc>
          <w:tcPr>
            <w:tcW w:w="212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25</w:t>
            </w:r>
          </w:p>
        </w:tc>
        <w:tc>
          <w:tcPr>
            <w:tcW w:w="1417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Vol.-%</w:t>
            </w:r>
          </w:p>
        </w:tc>
      </w:tr>
      <w:tr w:rsidR="00DF7CD3" w:rsidRPr="00DF7CD3" w:rsidTr="00DF7CD3">
        <w:tc>
          <w:tcPr>
            <w:tcW w:w="1526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O</w:t>
            </w:r>
            <w:r w:rsidRPr="00DF7CD3">
              <w:rPr>
                <w:sz w:val="18"/>
                <w:szCs w:val="18"/>
                <w:vertAlign w:val="subscript"/>
              </w:rPr>
              <w:t>2, elektrochemisch</w:t>
            </w:r>
          </w:p>
        </w:tc>
        <w:tc>
          <w:tcPr>
            <w:tcW w:w="1843" w:type="dxa"/>
          </w:tcPr>
          <w:p w:rsidR="00DF7CD3" w:rsidRPr="00DF7CD3" w:rsidRDefault="00DF7CD3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DF7CD3">
              <w:rPr>
                <w:sz w:val="18"/>
                <w:szCs w:val="18"/>
              </w:rPr>
              <w:t>Ultramat</w:t>
            </w:r>
            <w:proofErr w:type="spellEnd"/>
            <w:r w:rsidRPr="00DF7CD3">
              <w:rPr>
                <w:sz w:val="18"/>
                <w:szCs w:val="18"/>
              </w:rPr>
              <w:t xml:space="preserve"> 23-7MB2357–Z–T23</w:t>
            </w:r>
          </w:p>
        </w:tc>
        <w:tc>
          <w:tcPr>
            <w:tcW w:w="212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0 – 25</w:t>
            </w:r>
          </w:p>
        </w:tc>
        <w:tc>
          <w:tcPr>
            <w:tcW w:w="1417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–</w:t>
            </w:r>
          </w:p>
        </w:tc>
        <w:tc>
          <w:tcPr>
            <w:tcW w:w="1134" w:type="dxa"/>
          </w:tcPr>
          <w:p w:rsidR="00DF7CD3" w:rsidRPr="00DF7CD3" w:rsidRDefault="00DF7CD3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F7CD3">
              <w:rPr>
                <w:sz w:val="18"/>
                <w:szCs w:val="18"/>
              </w:rPr>
              <w:t>Vol.-%</w:t>
            </w:r>
          </w:p>
        </w:tc>
      </w:tr>
    </w:tbl>
    <w:p w:rsidR="00B47286" w:rsidRDefault="00B47286" w:rsidP="00B47286">
      <w:pPr>
        <w:pStyle w:val="GesAbsatz"/>
      </w:pPr>
      <w:r w:rsidRPr="00232EC6">
        <w:rPr>
          <w:vertAlign w:val="superscript"/>
        </w:rPr>
        <w:t>1</w:t>
      </w:r>
      <w:r>
        <w:t xml:space="preserve"> Es können die Kombinationen CO/NO oder CO/SO</w:t>
      </w:r>
      <w:r w:rsidRPr="00232EC6">
        <w:rPr>
          <w:vertAlign w:val="subscript"/>
        </w:rPr>
        <w:t>2</w:t>
      </w:r>
      <w:r>
        <w:t xml:space="preserve"> oder NO/SO</w:t>
      </w:r>
      <w:r w:rsidRPr="00232EC6">
        <w:rPr>
          <w:vertAlign w:val="subscript"/>
        </w:rPr>
        <w:t>2</w:t>
      </w:r>
      <w:r>
        <w:t xml:space="preserve"> gemessen werden.</w:t>
      </w:r>
    </w:p>
    <w:p w:rsidR="00C2773D" w:rsidRDefault="00C2773D" w:rsidP="00B47286">
      <w:pPr>
        <w:pStyle w:val="GesAbsatz"/>
      </w:pPr>
    </w:p>
    <w:p w:rsidR="00B47286" w:rsidRDefault="00B47286" w:rsidP="00B47286">
      <w:pPr>
        <w:pStyle w:val="GesAbsatz"/>
      </w:pPr>
      <w:r>
        <w:t xml:space="preserve">Messbereiche des modularen Systems </w:t>
      </w:r>
      <w:proofErr w:type="spellStart"/>
      <w:r>
        <w:t>CEMSelect</w:t>
      </w:r>
      <w:proofErr w:type="spellEnd"/>
      <w:r>
        <w:t xml:space="preserve"> OEM, Modul BA5000-7MB2355 in der Eignungsprüfung: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526"/>
        <w:gridCol w:w="1843"/>
        <w:gridCol w:w="2128"/>
        <w:gridCol w:w="1415"/>
        <w:gridCol w:w="1329"/>
        <w:gridCol w:w="1081"/>
      </w:tblGrid>
      <w:tr w:rsidR="00C2773D" w:rsidRPr="00C2773D" w:rsidTr="00B03573">
        <w:trPr>
          <w:tblHeader/>
        </w:trPr>
        <w:tc>
          <w:tcPr>
            <w:tcW w:w="1526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Komponente</w:t>
            </w: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Modul-Variante</w:t>
            </w:r>
          </w:p>
        </w:tc>
        <w:tc>
          <w:tcPr>
            <w:tcW w:w="2128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Zertifizierungsbereich</w:t>
            </w:r>
          </w:p>
        </w:tc>
        <w:tc>
          <w:tcPr>
            <w:tcW w:w="2744" w:type="dxa"/>
            <w:gridSpan w:val="2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zusätzliche Messbereiche</w:t>
            </w:r>
          </w:p>
        </w:tc>
        <w:tc>
          <w:tcPr>
            <w:tcW w:w="1081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Einheit</w:t>
            </w:r>
          </w:p>
        </w:tc>
      </w:tr>
      <w:tr w:rsidR="00C2773D" w:rsidRPr="00C2773D" w:rsidTr="00C2773D">
        <w:tc>
          <w:tcPr>
            <w:tcW w:w="1526" w:type="dxa"/>
            <w:vMerge w:val="restart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CO</w:t>
            </w:r>
            <w:r w:rsidRPr="00C2773D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BA 5000-7MB2355–Z–T13</w:t>
            </w:r>
          </w:p>
        </w:tc>
        <w:tc>
          <w:tcPr>
            <w:tcW w:w="2128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0 – 200</w:t>
            </w:r>
          </w:p>
        </w:tc>
        <w:tc>
          <w:tcPr>
            <w:tcW w:w="1415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0 – 1 250</w:t>
            </w:r>
          </w:p>
        </w:tc>
        <w:tc>
          <w:tcPr>
            <w:tcW w:w="1329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081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mg/m³</w:t>
            </w:r>
          </w:p>
        </w:tc>
      </w:tr>
      <w:tr w:rsidR="00C2773D" w:rsidRPr="00C2773D" w:rsidTr="00C2773D">
        <w:tc>
          <w:tcPr>
            <w:tcW w:w="1526" w:type="dxa"/>
            <w:vMerge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BA 5000-7MB2355–Z–T23</w:t>
            </w:r>
          </w:p>
        </w:tc>
        <w:tc>
          <w:tcPr>
            <w:tcW w:w="2128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200</w:t>
            </w:r>
          </w:p>
        </w:tc>
        <w:tc>
          <w:tcPr>
            <w:tcW w:w="1415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1 250</w:t>
            </w:r>
          </w:p>
        </w:tc>
        <w:tc>
          <w:tcPr>
            <w:tcW w:w="1329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–</w:t>
            </w:r>
          </w:p>
        </w:tc>
        <w:tc>
          <w:tcPr>
            <w:tcW w:w="1081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mg/m³</w:t>
            </w:r>
          </w:p>
        </w:tc>
      </w:tr>
      <w:tr w:rsidR="00C2773D" w:rsidRPr="00C2773D" w:rsidTr="00C2773D">
        <w:tc>
          <w:tcPr>
            <w:tcW w:w="1526" w:type="dxa"/>
            <w:vMerge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BA 5000-7MB2355–Z–T33</w:t>
            </w:r>
          </w:p>
        </w:tc>
        <w:tc>
          <w:tcPr>
            <w:tcW w:w="2128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200</w:t>
            </w:r>
          </w:p>
        </w:tc>
        <w:tc>
          <w:tcPr>
            <w:tcW w:w="1415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1 250</w:t>
            </w:r>
          </w:p>
        </w:tc>
        <w:tc>
          <w:tcPr>
            <w:tcW w:w="1329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–</w:t>
            </w:r>
          </w:p>
        </w:tc>
        <w:tc>
          <w:tcPr>
            <w:tcW w:w="1081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mg/m³</w:t>
            </w:r>
          </w:p>
        </w:tc>
      </w:tr>
      <w:tr w:rsidR="00C2773D" w:rsidRPr="00C2773D" w:rsidTr="00C2773D">
        <w:tc>
          <w:tcPr>
            <w:tcW w:w="1526" w:type="dxa"/>
            <w:vMerge w:val="restart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NO</w:t>
            </w:r>
            <w:r w:rsidRPr="00C2773D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BA 5000-7MB2355–Z–T13</w:t>
            </w:r>
          </w:p>
        </w:tc>
        <w:tc>
          <w:tcPr>
            <w:tcW w:w="2128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0 – 150</w:t>
            </w:r>
          </w:p>
        </w:tc>
        <w:tc>
          <w:tcPr>
            <w:tcW w:w="1415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0 – 750</w:t>
            </w:r>
          </w:p>
        </w:tc>
        <w:tc>
          <w:tcPr>
            <w:tcW w:w="1329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0 – 2 000</w:t>
            </w:r>
          </w:p>
        </w:tc>
        <w:tc>
          <w:tcPr>
            <w:tcW w:w="1081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C2773D">
              <w:rPr>
                <w:sz w:val="18"/>
                <w:szCs w:val="18"/>
                <w:lang w:val="en-US"/>
              </w:rPr>
              <w:t>mg/m³</w:t>
            </w:r>
          </w:p>
        </w:tc>
      </w:tr>
      <w:tr w:rsidR="00C2773D" w:rsidRPr="00C2773D" w:rsidTr="00C2773D">
        <w:tc>
          <w:tcPr>
            <w:tcW w:w="1526" w:type="dxa"/>
            <w:vMerge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BA 5000-7MB2355–Z–T23</w:t>
            </w:r>
          </w:p>
        </w:tc>
        <w:tc>
          <w:tcPr>
            <w:tcW w:w="2128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150</w:t>
            </w:r>
          </w:p>
        </w:tc>
        <w:tc>
          <w:tcPr>
            <w:tcW w:w="1415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750</w:t>
            </w:r>
          </w:p>
        </w:tc>
        <w:tc>
          <w:tcPr>
            <w:tcW w:w="1329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2 000</w:t>
            </w:r>
          </w:p>
        </w:tc>
        <w:tc>
          <w:tcPr>
            <w:tcW w:w="1081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mg/m³</w:t>
            </w:r>
          </w:p>
        </w:tc>
      </w:tr>
      <w:tr w:rsidR="00C2773D" w:rsidRPr="00C2773D" w:rsidTr="00C2773D">
        <w:tc>
          <w:tcPr>
            <w:tcW w:w="1526" w:type="dxa"/>
            <w:vMerge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BA 5000-7MB2355–Z–T33</w:t>
            </w:r>
          </w:p>
        </w:tc>
        <w:tc>
          <w:tcPr>
            <w:tcW w:w="2128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150</w:t>
            </w:r>
          </w:p>
        </w:tc>
        <w:tc>
          <w:tcPr>
            <w:tcW w:w="1415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750</w:t>
            </w:r>
          </w:p>
        </w:tc>
        <w:tc>
          <w:tcPr>
            <w:tcW w:w="1329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2 000</w:t>
            </w:r>
          </w:p>
        </w:tc>
        <w:tc>
          <w:tcPr>
            <w:tcW w:w="1081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mg/m³</w:t>
            </w:r>
          </w:p>
        </w:tc>
      </w:tr>
      <w:tr w:rsidR="00C2773D" w:rsidRPr="00C2773D" w:rsidTr="00C2773D">
        <w:tc>
          <w:tcPr>
            <w:tcW w:w="1526" w:type="dxa"/>
            <w:vMerge w:val="restart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SO</w:t>
            </w:r>
            <w:r w:rsidRPr="00C2773D">
              <w:rPr>
                <w:sz w:val="18"/>
                <w:szCs w:val="18"/>
                <w:vertAlign w:val="subscript"/>
              </w:rPr>
              <w:t>2</w:t>
            </w:r>
            <w:r w:rsidRPr="00C2773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BA 5000-7MB2355–Z–T13</w:t>
            </w:r>
          </w:p>
        </w:tc>
        <w:tc>
          <w:tcPr>
            <w:tcW w:w="2128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400</w:t>
            </w:r>
          </w:p>
        </w:tc>
        <w:tc>
          <w:tcPr>
            <w:tcW w:w="1415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2 000</w:t>
            </w:r>
          </w:p>
        </w:tc>
        <w:tc>
          <w:tcPr>
            <w:tcW w:w="1329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7 000</w:t>
            </w:r>
          </w:p>
        </w:tc>
        <w:tc>
          <w:tcPr>
            <w:tcW w:w="1081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mg/m³</w:t>
            </w:r>
          </w:p>
        </w:tc>
      </w:tr>
      <w:tr w:rsidR="00C2773D" w:rsidRPr="00C2773D" w:rsidTr="00C2773D">
        <w:tc>
          <w:tcPr>
            <w:tcW w:w="1526" w:type="dxa"/>
            <w:vMerge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BA 5000-7MB2355–Z–T23</w:t>
            </w:r>
          </w:p>
        </w:tc>
        <w:tc>
          <w:tcPr>
            <w:tcW w:w="2128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400</w:t>
            </w:r>
          </w:p>
        </w:tc>
        <w:tc>
          <w:tcPr>
            <w:tcW w:w="1415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2 000</w:t>
            </w:r>
          </w:p>
        </w:tc>
        <w:tc>
          <w:tcPr>
            <w:tcW w:w="1329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7 000</w:t>
            </w:r>
          </w:p>
        </w:tc>
        <w:tc>
          <w:tcPr>
            <w:tcW w:w="1081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mg/m³</w:t>
            </w:r>
          </w:p>
        </w:tc>
      </w:tr>
      <w:tr w:rsidR="00C2773D" w:rsidRPr="00C2773D" w:rsidTr="00C2773D">
        <w:tc>
          <w:tcPr>
            <w:tcW w:w="1526" w:type="dxa"/>
            <w:vMerge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BA 5000-7MB2355–Z–T33</w:t>
            </w:r>
          </w:p>
        </w:tc>
        <w:tc>
          <w:tcPr>
            <w:tcW w:w="2128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400</w:t>
            </w:r>
          </w:p>
        </w:tc>
        <w:tc>
          <w:tcPr>
            <w:tcW w:w="1415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2 000</w:t>
            </w:r>
          </w:p>
        </w:tc>
        <w:tc>
          <w:tcPr>
            <w:tcW w:w="1329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7 000</w:t>
            </w:r>
          </w:p>
        </w:tc>
        <w:tc>
          <w:tcPr>
            <w:tcW w:w="1081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mg/m³</w:t>
            </w:r>
          </w:p>
        </w:tc>
      </w:tr>
      <w:tr w:rsidR="00C2773D" w:rsidRPr="00C2773D" w:rsidTr="00C2773D">
        <w:tc>
          <w:tcPr>
            <w:tcW w:w="1526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O</w:t>
            </w:r>
            <w:r w:rsidRPr="00C2773D">
              <w:rPr>
                <w:sz w:val="18"/>
                <w:szCs w:val="18"/>
                <w:vertAlign w:val="subscript"/>
              </w:rPr>
              <w:t>2, paramagnetisch</w:t>
            </w: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BA 5000-7MB2355–Z–T13</w:t>
            </w:r>
          </w:p>
        </w:tc>
        <w:tc>
          <w:tcPr>
            <w:tcW w:w="2128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25</w:t>
            </w:r>
          </w:p>
        </w:tc>
        <w:tc>
          <w:tcPr>
            <w:tcW w:w="1415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–</w:t>
            </w:r>
          </w:p>
        </w:tc>
        <w:tc>
          <w:tcPr>
            <w:tcW w:w="1329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–</w:t>
            </w:r>
          </w:p>
        </w:tc>
        <w:tc>
          <w:tcPr>
            <w:tcW w:w="1081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Vol.-%</w:t>
            </w:r>
          </w:p>
        </w:tc>
      </w:tr>
      <w:tr w:rsidR="00C2773D" w:rsidRPr="00C2773D" w:rsidTr="00C2773D">
        <w:tc>
          <w:tcPr>
            <w:tcW w:w="1526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O</w:t>
            </w:r>
            <w:r w:rsidRPr="00C2773D">
              <w:rPr>
                <w:sz w:val="18"/>
                <w:szCs w:val="18"/>
                <w:vertAlign w:val="subscript"/>
              </w:rPr>
              <w:t>2, elektrochemisch</w:t>
            </w:r>
          </w:p>
        </w:tc>
        <w:tc>
          <w:tcPr>
            <w:tcW w:w="1843" w:type="dxa"/>
          </w:tcPr>
          <w:p w:rsidR="00C2773D" w:rsidRPr="00C2773D" w:rsidRDefault="00C2773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BA 5000-7MB2355–Z–T23</w:t>
            </w:r>
          </w:p>
        </w:tc>
        <w:tc>
          <w:tcPr>
            <w:tcW w:w="2128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0 – 25</w:t>
            </w:r>
          </w:p>
        </w:tc>
        <w:tc>
          <w:tcPr>
            <w:tcW w:w="1415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–</w:t>
            </w:r>
          </w:p>
        </w:tc>
        <w:tc>
          <w:tcPr>
            <w:tcW w:w="1329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–</w:t>
            </w:r>
          </w:p>
        </w:tc>
        <w:tc>
          <w:tcPr>
            <w:tcW w:w="1081" w:type="dxa"/>
          </w:tcPr>
          <w:p w:rsidR="00C2773D" w:rsidRPr="00C2773D" w:rsidRDefault="00C2773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C2773D">
              <w:rPr>
                <w:sz w:val="18"/>
                <w:szCs w:val="18"/>
              </w:rPr>
              <w:t>Vol.-%</w:t>
            </w:r>
          </w:p>
        </w:tc>
      </w:tr>
    </w:tbl>
    <w:p w:rsidR="00B47286" w:rsidRDefault="00B47286" w:rsidP="00B47286">
      <w:pPr>
        <w:pStyle w:val="GesAbsatz"/>
      </w:pPr>
      <w:r w:rsidRPr="00C2773D">
        <w:rPr>
          <w:vertAlign w:val="superscript"/>
        </w:rPr>
        <w:t>2</w:t>
      </w:r>
      <w:r>
        <w:t xml:space="preserve"> Es kann entweder CO, NO oder SO</w:t>
      </w:r>
      <w:r w:rsidRPr="00C2773D">
        <w:rPr>
          <w:vertAlign w:val="subscript"/>
        </w:rPr>
        <w:t>2</w:t>
      </w:r>
      <w:r>
        <w:t xml:space="preserve"> gemessen werden.</w:t>
      </w:r>
    </w:p>
    <w:p w:rsidR="00B47286" w:rsidRDefault="00B47286" w:rsidP="00B47286">
      <w:pPr>
        <w:pStyle w:val="GesAbsatz"/>
      </w:pPr>
    </w:p>
    <w:p w:rsidR="00B47286" w:rsidRDefault="00B47286" w:rsidP="00B47286">
      <w:pPr>
        <w:pStyle w:val="GesAbsatz"/>
      </w:pPr>
      <w:r>
        <w:t xml:space="preserve">Messbereiche des modularen Systems </w:t>
      </w:r>
      <w:proofErr w:type="spellStart"/>
      <w:r>
        <w:t>CEMSelect</w:t>
      </w:r>
      <w:proofErr w:type="spellEnd"/>
      <w:r>
        <w:t xml:space="preserve"> OEM, Modul </w:t>
      </w:r>
      <w:proofErr w:type="spellStart"/>
      <w:r>
        <w:t>Ultramat</w:t>
      </w:r>
      <w:proofErr w:type="spellEnd"/>
      <w:r>
        <w:t xml:space="preserve"> 23-7MB2355 in der Eignungspr</w:t>
      </w:r>
      <w:r>
        <w:t>ü</w:t>
      </w:r>
      <w:r>
        <w:t>fung: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517"/>
        <w:gridCol w:w="1852"/>
        <w:gridCol w:w="2126"/>
        <w:gridCol w:w="1417"/>
        <w:gridCol w:w="1343"/>
        <w:gridCol w:w="1067"/>
      </w:tblGrid>
      <w:tr w:rsidR="00632C0D" w:rsidRPr="00632C0D" w:rsidTr="00632C0D">
        <w:tc>
          <w:tcPr>
            <w:tcW w:w="1517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Komponente</w:t>
            </w: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Modul-Variante</w:t>
            </w:r>
          </w:p>
        </w:tc>
        <w:tc>
          <w:tcPr>
            <w:tcW w:w="2126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Zertifizierungsbereich</w:t>
            </w:r>
          </w:p>
        </w:tc>
        <w:tc>
          <w:tcPr>
            <w:tcW w:w="2760" w:type="dxa"/>
            <w:gridSpan w:val="2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zusätzliche Messbereiche</w:t>
            </w:r>
          </w:p>
        </w:tc>
        <w:tc>
          <w:tcPr>
            <w:tcW w:w="1067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Einheit</w:t>
            </w:r>
          </w:p>
        </w:tc>
      </w:tr>
      <w:tr w:rsidR="00632C0D" w:rsidRPr="00632C0D" w:rsidTr="00632C0D">
        <w:tc>
          <w:tcPr>
            <w:tcW w:w="1517" w:type="dxa"/>
            <w:vMerge w:val="restart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CO</w:t>
            </w:r>
            <w:r w:rsidRPr="00632C0D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2C0D">
              <w:rPr>
                <w:sz w:val="18"/>
                <w:szCs w:val="18"/>
              </w:rPr>
              <w:t>Ultramat</w:t>
            </w:r>
            <w:proofErr w:type="spellEnd"/>
            <w:r w:rsidRPr="00632C0D">
              <w:rPr>
                <w:sz w:val="18"/>
                <w:szCs w:val="18"/>
              </w:rPr>
              <w:t xml:space="preserve"> 23-7MB2355–Z–T13</w:t>
            </w:r>
          </w:p>
        </w:tc>
        <w:tc>
          <w:tcPr>
            <w:tcW w:w="2126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200</w:t>
            </w:r>
          </w:p>
        </w:tc>
        <w:tc>
          <w:tcPr>
            <w:tcW w:w="141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1 250</w:t>
            </w:r>
          </w:p>
        </w:tc>
        <w:tc>
          <w:tcPr>
            <w:tcW w:w="1343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–</w:t>
            </w:r>
          </w:p>
        </w:tc>
        <w:tc>
          <w:tcPr>
            <w:tcW w:w="106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mg/m³</w:t>
            </w:r>
          </w:p>
        </w:tc>
      </w:tr>
      <w:tr w:rsidR="00632C0D" w:rsidRPr="00632C0D" w:rsidTr="00632C0D">
        <w:tc>
          <w:tcPr>
            <w:tcW w:w="1517" w:type="dxa"/>
            <w:vMerge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2C0D">
              <w:rPr>
                <w:sz w:val="18"/>
                <w:szCs w:val="18"/>
              </w:rPr>
              <w:t>Ultramat</w:t>
            </w:r>
            <w:proofErr w:type="spellEnd"/>
            <w:r w:rsidRPr="00632C0D">
              <w:rPr>
                <w:sz w:val="18"/>
                <w:szCs w:val="18"/>
              </w:rPr>
              <w:t xml:space="preserve"> 23-7MB2355–Z–T23</w:t>
            </w:r>
          </w:p>
        </w:tc>
        <w:tc>
          <w:tcPr>
            <w:tcW w:w="2126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200</w:t>
            </w:r>
          </w:p>
        </w:tc>
        <w:tc>
          <w:tcPr>
            <w:tcW w:w="141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1 250</w:t>
            </w:r>
          </w:p>
        </w:tc>
        <w:tc>
          <w:tcPr>
            <w:tcW w:w="1343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–</w:t>
            </w:r>
          </w:p>
        </w:tc>
        <w:tc>
          <w:tcPr>
            <w:tcW w:w="106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mg/m³</w:t>
            </w:r>
          </w:p>
        </w:tc>
      </w:tr>
      <w:tr w:rsidR="00632C0D" w:rsidRPr="00632C0D" w:rsidTr="00632C0D">
        <w:tc>
          <w:tcPr>
            <w:tcW w:w="1517" w:type="dxa"/>
            <w:vMerge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2C0D">
              <w:rPr>
                <w:sz w:val="18"/>
                <w:szCs w:val="18"/>
              </w:rPr>
              <w:t>Ultramat</w:t>
            </w:r>
            <w:proofErr w:type="spellEnd"/>
            <w:r w:rsidRPr="00632C0D">
              <w:rPr>
                <w:sz w:val="18"/>
                <w:szCs w:val="18"/>
              </w:rPr>
              <w:t xml:space="preserve"> 23-7MB2355–Z–T33</w:t>
            </w:r>
          </w:p>
        </w:tc>
        <w:tc>
          <w:tcPr>
            <w:tcW w:w="2126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200</w:t>
            </w:r>
          </w:p>
        </w:tc>
        <w:tc>
          <w:tcPr>
            <w:tcW w:w="141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1 250</w:t>
            </w:r>
          </w:p>
        </w:tc>
        <w:tc>
          <w:tcPr>
            <w:tcW w:w="1343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–</w:t>
            </w:r>
          </w:p>
        </w:tc>
        <w:tc>
          <w:tcPr>
            <w:tcW w:w="106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mg/m³</w:t>
            </w:r>
          </w:p>
        </w:tc>
      </w:tr>
      <w:tr w:rsidR="00632C0D" w:rsidRPr="00632C0D" w:rsidTr="00632C0D">
        <w:tc>
          <w:tcPr>
            <w:tcW w:w="1517" w:type="dxa"/>
            <w:vMerge w:val="restart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NO</w:t>
            </w:r>
            <w:r w:rsidRPr="00632C0D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2C0D">
              <w:rPr>
                <w:sz w:val="18"/>
                <w:szCs w:val="18"/>
              </w:rPr>
              <w:t>Ultramat</w:t>
            </w:r>
            <w:proofErr w:type="spellEnd"/>
            <w:r w:rsidRPr="00632C0D">
              <w:rPr>
                <w:sz w:val="18"/>
                <w:szCs w:val="18"/>
              </w:rPr>
              <w:t xml:space="preserve"> 23-7MB2355–Z–T13</w:t>
            </w:r>
          </w:p>
        </w:tc>
        <w:tc>
          <w:tcPr>
            <w:tcW w:w="2126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150</w:t>
            </w:r>
          </w:p>
        </w:tc>
        <w:tc>
          <w:tcPr>
            <w:tcW w:w="141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750</w:t>
            </w:r>
          </w:p>
        </w:tc>
        <w:tc>
          <w:tcPr>
            <w:tcW w:w="1343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2 000</w:t>
            </w:r>
          </w:p>
        </w:tc>
        <w:tc>
          <w:tcPr>
            <w:tcW w:w="106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mg/m³</w:t>
            </w:r>
          </w:p>
        </w:tc>
      </w:tr>
      <w:tr w:rsidR="00632C0D" w:rsidRPr="00632C0D" w:rsidTr="00632C0D">
        <w:tc>
          <w:tcPr>
            <w:tcW w:w="1517" w:type="dxa"/>
            <w:vMerge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2C0D">
              <w:rPr>
                <w:sz w:val="18"/>
                <w:szCs w:val="18"/>
              </w:rPr>
              <w:t>Ultramat</w:t>
            </w:r>
            <w:proofErr w:type="spellEnd"/>
            <w:r w:rsidRPr="00632C0D">
              <w:rPr>
                <w:sz w:val="18"/>
                <w:szCs w:val="18"/>
              </w:rPr>
              <w:t xml:space="preserve"> 23-7MB2355–Z–T23</w:t>
            </w:r>
          </w:p>
        </w:tc>
        <w:tc>
          <w:tcPr>
            <w:tcW w:w="2126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150</w:t>
            </w:r>
          </w:p>
        </w:tc>
        <w:tc>
          <w:tcPr>
            <w:tcW w:w="141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750</w:t>
            </w:r>
          </w:p>
        </w:tc>
        <w:tc>
          <w:tcPr>
            <w:tcW w:w="1343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2 000</w:t>
            </w:r>
          </w:p>
        </w:tc>
        <w:tc>
          <w:tcPr>
            <w:tcW w:w="106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mg/m³</w:t>
            </w:r>
          </w:p>
        </w:tc>
      </w:tr>
      <w:tr w:rsidR="00632C0D" w:rsidRPr="00632C0D" w:rsidTr="00632C0D">
        <w:tc>
          <w:tcPr>
            <w:tcW w:w="1517" w:type="dxa"/>
            <w:vMerge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2C0D">
              <w:rPr>
                <w:sz w:val="18"/>
                <w:szCs w:val="18"/>
              </w:rPr>
              <w:t>Ultramat</w:t>
            </w:r>
            <w:proofErr w:type="spellEnd"/>
            <w:r w:rsidRPr="00632C0D">
              <w:rPr>
                <w:sz w:val="18"/>
                <w:szCs w:val="18"/>
              </w:rPr>
              <w:t xml:space="preserve"> 23-7MB2355–Z–T33</w:t>
            </w:r>
          </w:p>
        </w:tc>
        <w:tc>
          <w:tcPr>
            <w:tcW w:w="2126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150</w:t>
            </w:r>
          </w:p>
        </w:tc>
        <w:tc>
          <w:tcPr>
            <w:tcW w:w="141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750</w:t>
            </w:r>
          </w:p>
        </w:tc>
        <w:tc>
          <w:tcPr>
            <w:tcW w:w="1343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2 000</w:t>
            </w:r>
          </w:p>
        </w:tc>
        <w:tc>
          <w:tcPr>
            <w:tcW w:w="106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mg/m³</w:t>
            </w:r>
          </w:p>
        </w:tc>
      </w:tr>
      <w:tr w:rsidR="00632C0D" w:rsidRPr="00632C0D" w:rsidTr="00632C0D">
        <w:tc>
          <w:tcPr>
            <w:tcW w:w="1517" w:type="dxa"/>
            <w:vMerge w:val="restart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SO</w:t>
            </w:r>
            <w:r w:rsidRPr="00632C0D">
              <w:rPr>
                <w:sz w:val="18"/>
                <w:szCs w:val="18"/>
                <w:vertAlign w:val="subscript"/>
              </w:rPr>
              <w:t>2</w:t>
            </w:r>
            <w:r w:rsidRPr="00632C0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2C0D">
              <w:rPr>
                <w:sz w:val="18"/>
                <w:szCs w:val="18"/>
              </w:rPr>
              <w:t>Ultramat</w:t>
            </w:r>
            <w:proofErr w:type="spellEnd"/>
            <w:r w:rsidRPr="00632C0D">
              <w:rPr>
                <w:sz w:val="18"/>
                <w:szCs w:val="18"/>
              </w:rPr>
              <w:t xml:space="preserve"> 23-7MB2355–Z–T13</w:t>
            </w:r>
          </w:p>
        </w:tc>
        <w:tc>
          <w:tcPr>
            <w:tcW w:w="2126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400</w:t>
            </w:r>
          </w:p>
        </w:tc>
        <w:tc>
          <w:tcPr>
            <w:tcW w:w="141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2 000</w:t>
            </w:r>
          </w:p>
        </w:tc>
        <w:tc>
          <w:tcPr>
            <w:tcW w:w="1343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7 000</w:t>
            </w:r>
          </w:p>
        </w:tc>
        <w:tc>
          <w:tcPr>
            <w:tcW w:w="106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mg/m³</w:t>
            </w:r>
          </w:p>
        </w:tc>
      </w:tr>
      <w:tr w:rsidR="00632C0D" w:rsidRPr="00632C0D" w:rsidTr="00632C0D">
        <w:tc>
          <w:tcPr>
            <w:tcW w:w="1517" w:type="dxa"/>
            <w:vMerge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2C0D">
              <w:rPr>
                <w:sz w:val="18"/>
                <w:szCs w:val="18"/>
              </w:rPr>
              <w:t>Ultramat</w:t>
            </w:r>
            <w:proofErr w:type="spellEnd"/>
            <w:r w:rsidRPr="00632C0D">
              <w:rPr>
                <w:sz w:val="18"/>
                <w:szCs w:val="18"/>
              </w:rPr>
              <w:t xml:space="preserve"> 23-7MB2355–Z–T23</w:t>
            </w:r>
          </w:p>
        </w:tc>
        <w:tc>
          <w:tcPr>
            <w:tcW w:w="2126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400</w:t>
            </w:r>
          </w:p>
        </w:tc>
        <w:tc>
          <w:tcPr>
            <w:tcW w:w="141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2 000</w:t>
            </w:r>
          </w:p>
        </w:tc>
        <w:tc>
          <w:tcPr>
            <w:tcW w:w="1343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7 000</w:t>
            </w:r>
          </w:p>
        </w:tc>
        <w:tc>
          <w:tcPr>
            <w:tcW w:w="106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mg/m³</w:t>
            </w:r>
          </w:p>
        </w:tc>
      </w:tr>
      <w:tr w:rsidR="00632C0D" w:rsidRPr="00632C0D" w:rsidTr="00632C0D">
        <w:tc>
          <w:tcPr>
            <w:tcW w:w="1517" w:type="dxa"/>
            <w:vMerge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2C0D">
              <w:rPr>
                <w:sz w:val="18"/>
                <w:szCs w:val="18"/>
              </w:rPr>
              <w:t>Ultramat</w:t>
            </w:r>
            <w:proofErr w:type="spellEnd"/>
            <w:r w:rsidRPr="00632C0D">
              <w:rPr>
                <w:sz w:val="18"/>
                <w:szCs w:val="18"/>
              </w:rPr>
              <w:t xml:space="preserve"> 23-7MB2355–Z–T33</w:t>
            </w:r>
          </w:p>
        </w:tc>
        <w:tc>
          <w:tcPr>
            <w:tcW w:w="2126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400</w:t>
            </w:r>
          </w:p>
        </w:tc>
        <w:tc>
          <w:tcPr>
            <w:tcW w:w="141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2 000</w:t>
            </w:r>
          </w:p>
        </w:tc>
        <w:tc>
          <w:tcPr>
            <w:tcW w:w="1343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7 000</w:t>
            </w:r>
          </w:p>
        </w:tc>
        <w:tc>
          <w:tcPr>
            <w:tcW w:w="106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mg/m³</w:t>
            </w:r>
          </w:p>
        </w:tc>
      </w:tr>
      <w:tr w:rsidR="00632C0D" w:rsidRPr="00632C0D" w:rsidTr="00632C0D">
        <w:tc>
          <w:tcPr>
            <w:tcW w:w="1517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O</w:t>
            </w:r>
            <w:r w:rsidRPr="00632C0D">
              <w:rPr>
                <w:sz w:val="18"/>
                <w:szCs w:val="18"/>
                <w:vertAlign w:val="subscript"/>
              </w:rPr>
              <w:t>2, paramagnetisch</w:t>
            </w: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2C0D">
              <w:rPr>
                <w:sz w:val="18"/>
                <w:szCs w:val="18"/>
              </w:rPr>
              <w:t>Ultramat</w:t>
            </w:r>
            <w:proofErr w:type="spellEnd"/>
            <w:r w:rsidRPr="00632C0D">
              <w:rPr>
                <w:sz w:val="18"/>
                <w:szCs w:val="18"/>
              </w:rPr>
              <w:t xml:space="preserve"> 23-7MB2355–Z–T13</w:t>
            </w:r>
          </w:p>
        </w:tc>
        <w:tc>
          <w:tcPr>
            <w:tcW w:w="2126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25</w:t>
            </w:r>
          </w:p>
        </w:tc>
        <w:tc>
          <w:tcPr>
            <w:tcW w:w="141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–</w:t>
            </w:r>
          </w:p>
        </w:tc>
        <w:tc>
          <w:tcPr>
            <w:tcW w:w="1343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–</w:t>
            </w:r>
          </w:p>
        </w:tc>
        <w:tc>
          <w:tcPr>
            <w:tcW w:w="106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Vol.-%</w:t>
            </w:r>
          </w:p>
        </w:tc>
      </w:tr>
      <w:tr w:rsidR="00632C0D" w:rsidRPr="00632C0D" w:rsidTr="00632C0D">
        <w:tc>
          <w:tcPr>
            <w:tcW w:w="1517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O</w:t>
            </w:r>
            <w:r w:rsidRPr="00632C0D">
              <w:rPr>
                <w:sz w:val="18"/>
                <w:szCs w:val="18"/>
                <w:vertAlign w:val="subscript"/>
              </w:rPr>
              <w:t>2, elektrochemisch</w:t>
            </w:r>
          </w:p>
        </w:tc>
        <w:tc>
          <w:tcPr>
            <w:tcW w:w="1852" w:type="dxa"/>
          </w:tcPr>
          <w:p w:rsidR="00632C0D" w:rsidRPr="00632C0D" w:rsidRDefault="00632C0D" w:rsidP="00632C0D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632C0D">
              <w:rPr>
                <w:sz w:val="18"/>
                <w:szCs w:val="18"/>
              </w:rPr>
              <w:t>Ultramat</w:t>
            </w:r>
            <w:proofErr w:type="spellEnd"/>
            <w:r w:rsidRPr="00632C0D">
              <w:rPr>
                <w:sz w:val="18"/>
                <w:szCs w:val="18"/>
              </w:rPr>
              <w:t xml:space="preserve"> 23-7MB2355–Z–T23</w:t>
            </w:r>
          </w:p>
        </w:tc>
        <w:tc>
          <w:tcPr>
            <w:tcW w:w="2126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0 – 25</w:t>
            </w:r>
          </w:p>
        </w:tc>
        <w:tc>
          <w:tcPr>
            <w:tcW w:w="141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–</w:t>
            </w:r>
          </w:p>
        </w:tc>
        <w:tc>
          <w:tcPr>
            <w:tcW w:w="1343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–</w:t>
            </w:r>
          </w:p>
        </w:tc>
        <w:tc>
          <w:tcPr>
            <w:tcW w:w="1067" w:type="dxa"/>
          </w:tcPr>
          <w:p w:rsidR="00632C0D" w:rsidRPr="00632C0D" w:rsidRDefault="00632C0D" w:rsidP="00B0357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632C0D">
              <w:rPr>
                <w:sz w:val="18"/>
                <w:szCs w:val="18"/>
              </w:rPr>
              <w:t>Vol.-%</w:t>
            </w:r>
          </w:p>
        </w:tc>
      </w:tr>
    </w:tbl>
    <w:p w:rsidR="00B47286" w:rsidRDefault="00B47286" w:rsidP="00B47286">
      <w:pPr>
        <w:pStyle w:val="GesAbsatz"/>
      </w:pPr>
      <w:r w:rsidRPr="00632C0D">
        <w:rPr>
          <w:vertAlign w:val="superscript"/>
        </w:rPr>
        <w:t>2</w:t>
      </w:r>
      <w:r>
        <w:t xml:space="preserve"> Es kann entweder CO, NO oder SO</w:t>
      </w:r>
      <w:r w:rsidRPr="00632C0D">
        <w:rPr>
          <w:vertAlign w:val="subscript"/>
        </w:rPr>
        <w:t>2</w:t>
      </w:r>
      <w:r>
        <w:t xml:space="preserve"> gemessen werden.</w:t>
      </w:r>
    </w:p>
    <w:p w:rsidR="00632C0D" w:rsidRDefault="00632C0D" w:rsidP="00B47286">
      <w:pPr>
        <w:pStyle w:val="GesAbsatz"/>
      </w:pPr>
    </w:p>
    <w:p w:rsidR="00B47286" w:rsidRDefault="00B47286" w:rsidP="00632C0D">
      <w:pPr>
        <w:pStyle w:val="GesAbsatz"/>
        <w:tabs>
          <w:tab w:val="left" w:pos="2127"/>
        </w:tabs>
      </w:pPr>
      <w:r>
        <w:t>Softwareversionen:</w:t>
      </w:r>
      <w:r w:rsidR="00632C0D">
        <w:tab/>
      </w:r>
      <w:proofErr w:type="spellStart"/>
      <w:r>
        <w:t>Ultramat</w:t>
      </w:r>
      <w:proofErr w:type="spellEnd"/>
      <w:r>
        <w:t xml:space="preserve"> 23-7MB2358/BA 5000-7MB2358: 2.15.05</w:t>
      </w:r>
    </w:p>
    <w:p w:rsidR="00B47286" w:rsidRPr="007B0C37" w:rsidRDefault="00B47286" w:rsidP="00632C0D">
      <w:pPr>
        <w:pStyle w:val="GesAbsatz"/>
        <w:ind w:left="2127"/>
        <w:rPr>
          <w:lang w:val="en-US"/>
        </w:rPr>
      </w:pPr>
      <w:proofErr w:type="spellStart"/>
      <w:r w:rsidRPr="007B0C37">
        <w:rPr>
          <w:lang w:val="en-US"/>
        </w:rPr>
        <w:t>Ultramat</w:t>
      </w:r>
      <w:proofErr w:type="spellEnd"/>
      <w:r w:rsidRPr="007B0C37">
        <w:rPr>
          <w:lang w:val="en-US"/>
        </w:rPr>
        <w:t xml:space="preserve"> 23-7MB2357/BA 5000-7MB2357: 2.15.00</w:t>
      </w:r>
    </w:p>
    <w:p w:rsidR="00B47286" w:rsidRPr="007B0C37" w:rsidRDefault="00B47286" w:rsidP="00632C0D">
      <w:pPr>
        <w:pStyle w:val="GesAbsatz"/>
        <w:ind w:left="2127"/>
        <w:rPr>
          <w:lang w:val="en-US"/>
        </w:rPr>
      </w:pPr>
      <w:proofErr w:type="spellStart"/>
      <w:r w:rsidRPr="007B0C37">
        <w:rPr>
          <w:lang w:val="en-US"/>
        </w:rPr>
        <w:t>Ultramat</w:t>
      </w:r>
      <w:proofErr w:type="spellEnd"/>
      <w:r w:rsidRPr="007B0C37">
        <w:rPr>
          <w:lang w:val="en-US"/>
        </w:rPr>
        <w:t xml:space="preserve"> 23-7MB2355/BA 5000-7MB2355: 2.15.00</w:t>
      </w:r>
    </w:p>
    <w:p w:rsidR="00B47286" w:rsidRPr="007B0C37" w:rsidRDefault="00B47286" w:rsidP="00632C0D">
      <w:pPr>
        <w:pStyle w:val="GesAbsatz"/>
        <w:ind w:left="2127"/>
        <w:rPr>
          <w:lang w:val="en-US"/>
        </w:rPr>
      </w:pPr>
      <w:r w:rsidRPr="007B0C37">
        <w:rPr>
          <w:lang w:val="en-US"/>
        </w:rPr>
        <w:t>SPS: Set CEM CERT Rev. 1.0</w:t>
      </w:r>
    </w:p>
    <w:p w:rsidR="00B47286" w:rsidRDefault="00B47286" w:rsidP="00B47286">
      <w:pPr>
        <w:pStyle w:val="GesAbsatz"/>
      </w:pPr>
      <w:r>
        <w:t>Einschränkungen:</w:t>
      </w:r>
    </w:p>
    <w:p w:rsidR="00B47286" w:rsidRDefault="00B47286" w:rsidP="00632C0D">
      <w:pPr>
        <w:pStyle w:val="GesAbsatz"/>
        <w:ind w:left="426" w:hanging="426"/>
      </w:pPr>
      <w:r>
        <w:t>1.</w:t>
      </w:r>
      <w:r w:rsidR="00632C0D">
        <w:tab/>
      </w:r>
      <w:r>
        <w:t>Die Anforderung an die Gesamtunsicherheit bei der Eignungsprüfung nach DIN EN 15267 wird für die Komponente</w:t>
      </w:r>
      <w:r w:rsidR="00632C0D">
        <w:t xml:space="preserve"> </w:t>
      </w:r>
      <w:r>
        <w:t>CO nicht erfüllt und für die Komponente SO</w:t>
      </w:r>
      <w:r w:rsidRPr="00632C0D">
        <w:rPr>
          <w:vertAlign w:val="subscript"/>
        </w:rPr>
        <w:t>2</w:t>
      </w:r>
      <w:r>
        <w:t xml:space="preserve"> nur teilweise erfüllt.</w:t>
      </w:r>
    </w:p>
    <w:p w:rsidR="00B47286" w:rsidRDefault="00B47286" w:rsidP="00632C0D">
      <w:pPr>
        <w:pStyle w:val="GesAbsatz"/>
        <w:ind w:left="426" w:hanging="426"/>
      </w:pPr>
      <w:r>
        <w:t>2.</w:t>
      </w:r>
      <w:r w:rsidR="00632C0D">
        <w:tab/>
      </w:r>
      <w:r>
        <w:t>Die Gehäuseschutzklasse beträgt lediglich IP 20. Sollten die Einsatzbedingungen eine höhere Gehä</w:t>
      </w:r>
      <w:r>
        <w:t>u</w:t>
      </w:r>
      <w:r>
        <w:t>seschutzklasse</w:t>
      </w:r>
      <w:r w:rsidR="00632C0D">
        <w:t xml:space="preserve"> </w:t>
      </w:r>
      <w:r>
        <w:t>erfordern, so sind die Analysenmodule in einen Messschrank mit entsprechender Schutzklasse zu integrieren.</w:t>
      </w:r>
    </w:p>
    <w:p w:rsidR="00B47286" w:rsidRDefault="00B47286" w:rsidP="00B47286">
      <w:pPr>
        <w:pStyle w:val="GesAbsatz"/>
      </w:pPr>
      <w:r>
        <w:t>Hinweise:</w:t>
      </w:r>
    </w:p>
    <w:p w:rsidR="00B47286" w:rsidRDefault="00B47286" w:rsidP="00B47286">
      <w:pPr>
        <w:pStyle w:val="GesAbsatz"/>
      </w:pPr>
      <w:r>
        <w:t>1.</w:t>
      </w:r>
      <w:r w:rsidR="00632C0D">
        <w:tab/>
      </w:r>
      <w:r>
        <w:t>Die Messeinrichtungen sind mit einem Intervall von 24 h für die automatische Justierung zu betreiben.</w:t>
      </w:r>
    </w:p>
    <w:p w:rsidR="00B47286" w:rsidRDefault="00B47286" w:rsidP="006A6EC8">
      <w:pPr>
        <w:pStyle w:val="GesAbsatz"/>
        <w:ind w:left="426" w:hanging="426"/>
      </w:pPr>
      <w:r>
        <w:t>2.</w:t>
      </w:r>
      <w:r w:rsidR="00632C0D">
        <w:tab/>
      </w:r>
      <w:r>
        <w:t>Um die Querempfindlichkeit am Messkanal CO gegenüber CO</w:t>
      </w:r>
      <w:r w:rsidRPr="00632C0D">
        <w:rPr>
          <w:vertAlign w:val="subscript"/>
        </w:rPr>
        <w:t>2</w:t>
      </w:r>
      <w:r>
        <w:t xml:space="preserve"> zu optimieren, werden die Module </w:t>
      </w:r>
      <w:proofErr w:type="spellStart"/>
      <w:r>
        <w:t>Ul</w:t>
      </w:r>
      <w:r>
        <w:t>t</w:t>
      </w:r>
      <w:r>
        <w:t>ramat</w:t>
      </w:r>
      <w:proofErr w:type="spellEnd"/>
      <w:r w:rsidR="00632C0D">
        <w:t xml:space="preserve"> </w:t>
      </w:r>
      <w:r>
        <w:t xml:space="preserve">23-7MB2358, </w:t>
      </w:r>
      <w:proofErr w:type="spellStart"/>
      <w:r>
        <w:t>Ultramat</w:t>
      </w:r>
      <w:proofErr w:type="spellEnd"/>
      <w:r>
        <w:t xml:space="preserve"> 23-7MB2357 und </w:t>
      </w:r>
      <w:proofErr w:type="spellStart"/>
      <w:r>
        <w:t>Ultramat</w:t>
      </w:r>
      <w:proofErr w:type="spellEnd"/>
      <w:r>
        <w:t xml:space="preserve"> 23-7MB2355 bzw. BA 5000-7MB2358, BA 5000-7MB2357 und</w:t>
      </w:r>
      <w:r w:rsidR="00632C0D">
        <w:t xml:space="preserve"> </w:t>
      </w:r>
      <w:r>
        <w:t xml:space="preserve">BA 5000-7MB2355 der Messeinrichtung </w:t>
      </w:r>
      <w:proofErr w:type="spellStart"/>
      <w:r>
        <w:t>CEMSelect</w:t>
      </w:r>
      <w:proofErr w:type="spellEnd"/>
      <w:r>
        <w:t xml:space="preserve"> OEM ab dem Fertigungsmonat April</w:t>
      </w:r>
      <w:r w:rsidR="00632C0D">
        <w:t> </w:t>
      </w:r>
      <w:r>
        <w:t>2014 kenntlich gemacht in</w:t>
      </w:r>
      <w:r w:rsidR="00632C0D">
        <w:t xml:space="preserve"> </w:t>
      </w:r>
      <w:r>
        <w:t>der Seriennummer ab E4 im Mittelblock, mit geändertem CO-Empfänger vertrieben.</w:t>
      </w:r>
    </w:p>
    <w:p w:rsidR="00B47286" w:rsidRDefault="00B47286" w:rsidP="006A6EC8">
      <w:pPr>
        <w:pStyle w:val="GesAbsatz"/>
        <w:ind w:left="426" w:hanging="426"/>
      </w:pPr>
      <w:r>
        <w:t>3.</w:t>
      </w:r>
      <w:r w:rsidR="00632C0D">
        <w:tab/>
      </w:r>
      <w:r>
        <w:t>Der Analysator ist mit aktivierter Thermo-AUTOCAL-Funktion zu betreiben.</w:t>
      </w:r>
    </w:p>
    <w:p w:rsidR="00B47286" w:rsidRDefault="00B47286" w:rsidP="006A6EC8">
      <w:pPr>
        <w:pStyle w:val="GesAbsatz"/>
        <w:ind w:left="426" w:hanging="426"/>
      </w:pPr>
      <w:r>
        <w:t>4.</w:t>
      </w:r>
      <w:r w:rsidR="00632C0D">
        <w:tab/>
      </w:r>
      <w:r>
        <w:t xml:space="preserve">Das modulare Messsystem </w:t>
      </w:r>
      <w:proofErr w:type="spellStart"/>
      <w:r>
        <w:t>CEMSelect</w:t>
      </w:r>
      <w:proofErr w:type="spellEnd"/>
      <w:r>
        <w:t xml:space="preserve"> OEM kann mit einem Messgaskühler der Firma Bühler Techn</w:t>
      </w:r>
      <w:r>
        <w:t>o</w:t>
      </w:r>
      <w:r>
        <w:t>logies GmbH</w:t>
      </w:r>
      <w:r w:rsidR="00632C0D">
        <w:t xml:space="preserve"> </w:t>
      </w:r>
      <w:r>
        <w:t>ausgestattet sein.</w:t>
      </w:r>
    </w:p>
    <w:p w:rsidR="00B47286" w:rsidRDefault="00B47286" w:rsidP="006A6EC8">
      <w:pPr>
        <w:pStyle w:val="GesAbsatz"/>
        <w:ind w:left="426" w:hanging="426"/>
      </w:pPr>
      <w:r>
        <w:t>5.</w:t>
      </w:r>
      <w:r w:rsidR="00632C0D">
        <w:tab/>
      </w:r>
      <w:r>
        <w:t xml:space="preserve">Das Wartungsintervall der Module </w:t>
      </w:r>
      <w:proofErr w:type="spellStart"/>
      <w:r>
        <w:t>Ultramat</w:t>
      </w:r>
      <w:proofErr w:type="spellEnd"/>
      <w:r>
        <w:t xml:space="preserve"> 23-7MB2357 und </w:t>
      </w:r>
      <w:proofErr w:type="spellStart"/>
      <w:r>
        <w:t>Ultramat</w:t>
      </w:r>
      <w:proofErr w:type="spellEnd"/>
      <w:r>
        <w:t xml:space="preserve"> 23-7MB2355 bzw. BA 5000-7MB2357 und</w:t>
      </w:r>
      <w:r w:rsidR="00632C0D">
        <w:t xml:space="preserve"> </w:t>
      </w:r>
      <w:r>
        <w:t xml:space="preserve">BA 5000-7MB2355 beträgt vier Wochen. Das Wartungsintervall der Module </w:t>
      </w:r>
      <w:proofErr w:type="spellStart"/>
      <w:r>
        <w:t>Ultramat</w:t>
      </w:r>
      <w:proofErr w:type="spellEnd"/>
      <w:r>
        <w:t xml:space="preserve"> 23-7MB2358 bzw.</w:t>
      </w:r>
      <w:r w:rsidR="00632C0D">
        <w:t xml:space="preserve"> </w:t>
      </w:r>
      <w:r>
        <w:t xml:space="preserve">BA 5000-7MB2358 beträgt drei Monate. Im Falle einer Erweiterung um weitere Module des </w:t>
      </w:r>
      <w:proofErr w:type="spellStart"/>
      <w:r>
        <w:t>CEMSelect</w:t>
      </w:r>
      <w:proofErr w:type="spellEnd"/>
      <w:r>
        <w:t xml:space="preserve"> OEM ist die</w:t>
      </w:r>
      <w:r w:rsidR="00632C0D">
        <w:t xml:space="preserve"> </w:t>
      </w:r>
      <w:r>
        <w:t>Funktionsfähigkeit der jeweiligen Zusammenstellung der Module im Ra</w:t>
      </w:r>
      <w:r>
        <w:t>h</w:t>
      </w:r>
      <w:r>
        <w:t>men der Prüfung des ordnungsgemäßen</w:t>
      </w:r>
      <w:r w:rsidR="00632C0D">
        <w:t xml:space="preserve"> </w:t>
      </w:r>
      <w:r>
        <w:t>Einbaus zu prüfen und das Wartungsintervall zu bestimmen.</w:t>
      </w:r>
    </w:p>
    <w:p w:rsidR="00B47286" w:rsidRDefault="00B47286" w:rsidP="006A6EC8">
      <w:pPr>
        <w:pStyle w:val="GesAbsatz"/>
        <w:ind w:left="426" w:hanging="426"/>
      </w:pPr>
      <w:r>
        <w:t>6.</w:t>
      </w:r>
      <w:r w:rsidR="00632C0D">
        <w:tab/>
      </w:r>
      <w:r>
        <w:t xml:space="preserve">Die Messeinrichtung wurde umbenannt von Bühler </w:t>
      </w:r>
      <w:proofErr w:type="spellStart"/>
      <w:r>
        <w:t>CEMSelect</w:t>
      </w:r>
      <w:proofErr w:type="spellEnd"/>
      <w:r>
        <w:t xml:space="preserve"> OEM in </w:t>
      </w:r>
      <w:proofErr w:type="spellStart"/>
      <w:r>
        <w:t>CEMSelect</w:t>
      </w:r>
      <w:proofErr w:type="spellEnd"/>
      <w:r>
        <w:t xml:space="preserve"> OEM. Die Module wurden umbenannt</w:t>
      </w:r>
      <w:r w:rsidR="00632C0D">
        <w:t xml:space="preserve"> </w:t>
      </w:r>
      <w:r>
        <w:t>von BA5000-EN15267-3IR-P bzw. BA5000-EN15267-3IR-E in BA 5000-7MB2358–Z–T13 bzw.</w:t>
      </w:r>
      <w:r w:rsidR="00632C0D">
        <w:t xml:space="preserve"> </w:t>
      </w:r>
      <w:r>
        <w:t>BA 5000-7MB2358–Z–T23.</w:t>
      </w:r>
    </w:p>
    <w:p w:rsidR="00B47286" w:rsidRDefault="00B47286" w:rsidP="006A6EC8">
      <w:pPr>
        <w:pStyle w:val="GesAbsatz"/>
        <w:ind w:left="426" w:hanging="426"/>
      </w:pPr>
      <w:r>
        <w:t>7.</w:t>
      </w:r>
      <w:r w:rsidR="00632C0D">
        <w:tab/>
      </w:r>
      <w:r>
        <w:t>Ergänzungsprüfung (zusätzliche Module, Namensänderung) zu der Bekanntmachung des Umweltbu</w:t>
      </w:r>
      <w:r>
        <w:t>n</w:t>
      </w:r>
      <w:r>
        <w:t>desamtes vom</w:t>
      </w:r>
      <w:r w:rsidR="00632C0D">
        <w:t xml:space="preserve"> </w:t>
      </w:r>
      <w:r>
        <w:t>17. Juli 2014 (BAnz AT 05.08.2014 B11, Kapitel I Nummer 5.2).</w:t>
      </w:r>
    </w:p>
    <w:p w:rsidR="00B47286" w:rsidRDefault="00B47286" w:rsidP="00B47286">
      <w:pPr>
        <w:pStyle w:val="GesAbsatz"/>
      </w:pPr>
      <w:r>
        <w:t>Prüfbericht: TÜV Rheinland Energie und Umwelt GmbH, Köln</w:t>
      </w:r>
    </w:p>
    <w:p w:rsidR="00B47286" w:rsidRDefault="00B47286" w:rsidP="00B47286">
      <w:pPr>
        <w:pStyle w:val="GesAbsatz"/>
      </w:pPr>
      <w:r>
        <w:t>Bericht-Nr.: 936/21224909/B vom 26. März 2015</w:t>
      </w:r>
    </w:p>
    <w:p w:rsidR="00B47286" w:rsidRPr="006A6EC8" w:rsidRDefault="00B47286" w:rsidP="00B47286">
      <w:pPr>
        <w:pStyle w:val="GesAbsatz"/>
        <w:rPr>
          <w:b/>
          <w:lang w:val="en-US"/>
        </w:rPr>
      </w:pPr>
      <w:r w:rsidRPr="006A6EC8">
        <w:rPr>
          <w:b/>
          <w:lang w:val="en-US"/>
        </w:rPr>
        <w:t>3.2</w:t>
      </w:r>
      <w:r w:rsidR="006A6EC8" w:rsidRPr="006A6EC8">
        <w:rPr>
          <w:b/>
          <w:lang w:val="en-US"/>
        </w:rPr>
        <w:tab/>
      </w:r>
      <w:r w:rsidRPr="006A6EC8">
        <w:rPr>
          <w:b/>
          <w:lang w:val="en-US"/>
        </w:rPr>
        <w:t xml:space="preserve">Set CEM CERT 7MB1957 </w:t>
      </w:r>
      <w:r w:rsidRPr="00B90F66">
        <w:rPr>
          <w:b/>
        </w:rPr>
        <w:t>für</w:t>
      </w:r>
      <w:r w:rsidRPr="006A6EC8">
        <w:rPr>
          <w:b/>
          <w:lang w:val="en-US"/>
        </w:rPr>
        <w:t xml:space="preserve"> CO, NO, NO</w:t>
      </w:r>
      <w:r w:rsidRPr="006A6EC8">
        <w:rPr>
          <w:b/>
          <w:vertAlign w:val="subscript"/>
          <w:lang w:val="en-US"/>
        </w:rPr>
        <w:t>x</w:t>
      </w:r>
      <w:r w:rsidRPr="006A6EC8">
        <w:rPr>
          <w:b/>
          <w:lang w:val="en-US"/>
        </w:rPr>
        <w:t>, NO</w:t>
      </w:r>
      <w:r w:rsidRPr="006A6EC8">
        <w:rPr>
          <w:b/>
          <w:vertAlign w:val="subscript"/>
          <w:lang w:val="en-US"/>
        </w:rPr>
        <w:t>2</w:t>
      </w:r>
      <w:r w:rsidRPr="006A6EC8">
        <w:rPr>
          <w:b/>
          <w:lang w:val="en-US"/>
        </w:rPr>
        <w:t>, SO</w:t>
      </w:r>
      <w:r w:rsidRPr="006A6EC8">
        <w:rPr>
          <w:b/>
          <w:vertAlign w:val="subscript"/>
          <w:lang w:val="en-US"/>
        </w:rPr>
        <w:t>2</w:t>
      </w:r>
      <w:r w:rsidRPr="006A6EC8">
        <w:rPr>
          <w:b/>
          <w:lang w:val="en-US"/>
        </w:rPr>
        <w:t xml:space="preserve"> und O</w:t>
      </w:r>
      <w:r w:rsidRPr="006A6EC8">
        <w:rPr>
          <w:b/>
          <w:vertAlign w:val="subscript"/>
          <w:lang w:val="en-US"/>
        </w:rPr>
        <w:t>2</w:t>
      </w:r>
    </w:p>
    <w:p w:rsidR="00B47286" w:rsidRDefault="00B47286" w:rsidP="00B47286">
      <w:pPr>
        <w:pStyle w:val="GesAbsatz"/>
      </w:pPr>
      <w:r>
        <w:t>Hersteller:</w:t>
      </w:r>
    </w:p>
    <w:p w:rsidR="00B47286" w:rsidRDefault="00B47286" w:rsidP="00B47286">
      <w:pPr>
        <w:pStyle w:val="GesAbsatz"/>
      </w:pPr>
      <w:r>
        <w:t>Siemens AG, Karlsruhe</w:t>
      </w:r>
    </w:p>
    <w:p w:rsidR="00B47286" w:rsidRDefault="00B47286" w:rsidP="00B47286">
      <w:pPr>
        <w:pStyle w:val="GesAbsatz"/>
      </w:pPr>
      <w:r>
        <w:t>Eignung:</w:t>
      </w:r>
    </w:p>
    <w:p w:rsidR="00B47286" w:rsidRDefault="00B47286" w:rsidP="00B47286">
      <w:pPr>
        <w:pStyle w:val="GesAbsatz"/>
      </w:pPr>
      <w:r>
        <w:t>Modulares Messsystem für Anlagen der 13. und 27. BImSchV sowie Anlagen der TA Luft</w:t>
      </w:r>
    </w:p>
    <w:p w:rsidR="00B47286" w:rsidRDefault="00B47286" w:rsidP="00B47286">
      <w:pPr>
        <w:pStyle w:val="GesAbsatz"/>
      </w:pPr>
      <w:r>
        <w:t>Messbereiche in der Eignungsprüfung</w:t>
      </w:r>
    </w:p>
    <w:p w:rsidR="00B47286" w:rsidRDefault="00B47286" w:rsidP="00B47286">
      <w:pPr>
        <w:pStyle w:val="GesAbsatz"/>
      </w:pPr>
      <w:r>
        <w:t xml:space="preserve">Modul </w:t>
      </w:r>
      <w:proofErr w:type="spellStart"/>
      <w:r>
        <w:t>Ultramat</w:t>
      </w:r>
      <w:proofErr w:type="spellEnd"/>
      <w:r>
        <w:t xml:space="preserve"> 23-7MB2355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2"/>
        <w:gridCol w:w="2281"/>
        <w:gridCol w:w="2100"/>
        <w:gridCol w:w="1882"/>
        <w:gridCol w:w="1929"/>
      </w:tblGrid>
      <w:tr w:rsidR="006A6EC8" w:rsidRPr="006A6EC8" w:rsidTr="006A6EC8">
        <w:tc>
          <w:tcPr>
            <w:tcW w:w="1662" w:type="dxa"/>
          </w:tcPr>
          <w:p w:rsidR="006A6EC8" w:rsidRPr="006A6EC8" w:rsidRDefault="006A6EC8" w:rsidP="006A6EC8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Komponente</w:t>
            </w:r>
          </w:p>
        </w:tc>
        <w:tc>
          <w:tcPr>
            <w:tcW w:w="2281" w:type="dxa"/>
          </w:tcPr>
          <w:p w:rsidR="006A6EC8" w:rsidRPr="006A6EC8" w:rsidRDefault="006A6EC8" w:rsidP="006A6EC8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Zertifizierungsbereich</w:t>
            </w:r>
          </w:p>
        </w:tc>
        <w:tc>
          <w:tcPr>
            <w:tcW w:w="3982" w:type="dxa"/>
            <w:gridSpan w:val="2"/>
          </w:tcPr>
          <w:p w:rsidR="006A6EC8" w:rsidRPr="006A6EC8" w:rsidRDefault="006A6EC8" w:rsidP="006A6EC8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zusätzliche Messbereiche</w:t>
            </w:r>
          </w:p>
        </w:tc>
        <w:tc>
          <w:tcPr>
            <w:tcW w:w="1929" w:type="dxa"/>
          </w:tcPr>
          <w:p w:rsidR="006A6EC8" w:rsidRPr="006A6EC8" w:rsidRDefault="006A6EC8" w:rsidP="006A6EC8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Einheit</w:t>
            </w:r>
          </w:p>
        </w:tc>
      </w:tr>
      <w:tr w:rsidR="006A6EC8" w:rsidRPr="006A6EC8" w:rsidTr="006A6EC8">
        <w:tc>
          <w:tcPr>
            <w:tcW w:w="1662" w:type="dxa"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6A6EC8">
              <w:rPr>
                <w:lang w:val="en-US"/>
              </w:rPr>
              <w:t>CO</w:t>
            </w:r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6A6EC8">
              <w:rPr>
                <w:lang w:val="en-US"/>
              </w:rPr>
              <w:t>0 – 200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6A6EC8">
              <w:rPr>
                <w:lang w:val="en-US"/>
              </w:rPr>
              <w:t>0 – 1 250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6A6EC8">
              <w:rPr>
                <w:lang w:val="en-US"/>
              </w:rPr>
              <w:t>–</w:t>
            </w:r>
          </w:p>
        </w:tc>
        <w:tc>
          <w:tcPr>
            <w:tcW w:w="1929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6A6EC8">
              <w:rPr>
                <w:lang w:val="en-US"/>
              </w:rPr>
              <w:t>mg/m³</w:t>
            </w:r>
          </w:p>
        </w:tc>
      </w:tr>
      <w:tr w:rsidR="006A6EC8" w:rsidRPr="006A6EC8" w:rsidTr="006A6EC8">
        <w:tc>
          <w:tcPr>
            <w:tcW w:w="1662" w:type="dxa"/>
            <w:vMerge w:val="restart"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6A6EC8">
              <w:rPr>
                <w:lang w:val="en-US"/>
              </w:rPr>
              <w:t>NO</w:t>
            </w:r>
            <w:r w:rsidRPr="006A6EC8">
              <w:rPr>
                <w:vertAlign w:val="subscript"/>
                <w:lang w:val="en-US"/>
              </w:rPr>
              <w:t>x</w:t>
            </w:r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6A6EC8">
              <w:rPr>
                <w:lang w:val="en-US"/>
              </w:rPr>
              <w:t>0 – 150</w:t>
            </w:r>
            <w:r w:rsidRPr="006A6EC8">
              <w:rPr>
                <w:vertAlign w:val="superscript"/>
                <w:lang w:val="en-US"/>
              </w:rPr>
              <w:t>1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6A6EC8">
              <w:rPr>
                <w:lang w:val="en-US"/>
              </w:rPr>
              <w:t>0 – 750</w:t>
            </w:r>
            <w:r w:rsidRPr="006A6EC8">
              <w:rPr>
                <w:vertAlign w:val="superscript"/>
                <w:lang w:val="en-US"/>
              </w:rPr>
              <w:t>1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6A6EC8">
              <w:rPr>
                <w:lang w:val="en-US"/>
              </w:rPr>
              <w:t>0 – 2 000</w:t>
            </w:r>
            <w:r w:rsidRPr="006A6EC8">
              <w:rPr>
                <w:vertAlign w:val="superscript"/>
                <w:lang w:val="en-US"/>
              </w:rPr>
              <w:t>1</w:t>
            </w:r>
          </w:p>
        </w:tc>
        <w:tc>
          <w:tcPr>
            <w:tcW w:w="1929" w:type="dxa"/>
            <w:vMerge w:val="restart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6A6EC8">
              <w:rPr>
                <w:lang w:val="en-US"/>
              </w:rPr>
              <w:t>mg/m³</w:t>
            </w:r>
          </w:p>
        </w:tc>
      </w:tr>
      <w:tr w:rsidR="006A6EC8" w:rsidRPr="006A6EC8" w:rsidTr="006A6EC8">
        <w:tc>
          <w:tcPr>
            <w:tcW w:w="1662" w:type="dxa"/>
            <w:vMerge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230</w:t>
            </w:r>
            <w:r w:rsidRPr="006A6EC8">
              <w:rPr>
                <w:vertAlign w:val="superscript"/>
              </w:rPr>
              <w:t>2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1 150</w:t>
            </w:r>
            <w:r w:rsidRPr="006A6EC8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3 067</w:t>
            </w:r>
            <w:r w:rsidRPr="006A6EC8">
              <w:rPr>
                <w:vertAlign w:val="superscript"/>
              </w:rPr>
              <w:t>2</w:t>
            </w:r>
          </w:p>
        </w:tc>
        <w:tc>
          <w:tcPr>
            <w:tcW w:w="1929" w:type="dxa"/>
            <w:vMerge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</w:p>
        </w:tc>
      </w:tr>
      <w:tr w:rsidR="006A6EC8" w:rsidRPr="006A6EC8" w:rsidTr="006A6EC8">
        <w:tc>
          <w:tcPr>
            <w:tcW w:w="1662" w:type="dxa"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</w:pPr>
            <w:r w:rsidRPr="006A6EC8">
              <w:t>SO</w:t>
            </w:r>
            <w:r w:rsidRPr="006A6EC8">
              <w:rPr>
                <w:vertAlign w:val="subscript"/>
              </w:rPr>
              <w:t>2</w:t>
            </w:r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400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2 000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7 000</w:t>
            </w:r>
          </w:p>
        </w:tc>
        <w:tc>
          <w:tcPr>
            <w:tcW w:w="1929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mg/m³</w:t>
            </w:r>
          </w:p>
        </w:tc>
      </w:tr>
      <w:tr w:rsidR="006A6EC8" w:rsidRPr="006A6EC8" w:rsidTr="006A6EC8">
        <w:tc>
          <w:tcPr>
            <w:tcW w:w="1662" w:type="dxa"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</w:pPr>
            <w:r w:rsidRPr="006A6EC8">
              <w:t>O</w:t>
            </w:r>
            <w:r w:rsidRPr="006A6EC8">
              <w:rPr>
                <w:vertAlign w:val="subscript"/>
              </w:rPr>
              <w:t>2, paramagnetisch</w:t>
            </w:r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25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–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–</w:t>
            </w:r>
          </w:p>
        </w:tc>
        <w:tc>
          <w:tcPr>
            <w:tcW w:w="1929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Vol.-%</w:t>
            </w:r>
          </w:p>
        </w:tc>
      </w:tr>
      <w:tr w:rsidR="006A6EC8" w:rsidRPr="006A6EC8" w:rsidTr="006A6EC8">
        <w:tc>
          <w:tcPr>
            <w:tcW w:w="1662" w:type="dxa"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</w:pPr>
            <w:r w:rsidRPr="006A6EC8">
              <w:t>O</w:t>
            </w:r>
            <w:r w:rsidRPr="006A6EC8">
              <w:rPr>
                <w:vertAlign w:val="subscript"/>
              </w:rPr>
              <w:t>2, elektrochemisch</w:t>
            </w:r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25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–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–</w:t>
            </w:r>
          </w:p>
        </w:tc>
        <w:tc>
          <w:tcPr>
            <w:tcW w:w="1929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Vol.-%</w:t>
            </w:r>
          </w:p>
        </w:tc>
      </w:tr>
    </w:tbl>
    <w:p w:rsidR="006A6EC8" w:rsidRDefault="006A6EC8" w:rsidP="00B47286">
      <w:pPr>
        <w:pStyle w:val="GesAbsatz"/>
      </w:pPr>
    </w:p>
    <w:p w:rsidR="00B47286" w:rsidRDefault="00B47286" w:rsidP="00B47286">
      <w:pPr>
        <w:pStyle w:val="GesAbsatz"/>
      </w:pPr>
      <w:r>
        <w:t xml:space="preserve">Modul </w:t>
      </w:r>
      <w:proofErr w:type="spellStart"/>
      <w:r>
        <w:t>Ultramat</w:t>
      </w:r>
      <w:proofErr w:type="spellEnd"/>
      <w:r>
        <w:t xml:space="preserve"> 23-7MB2357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2"/>
        <w:gridCol w:w="2281"/>
        <w:gridCol w:w="2100"/>
        <w:gridCol w:w="1882"/>
        <w:gridCol w:w="1929"/>
      </w:tblGrid>
      <w:tr w:rsidR="006A6EC8" w:rsidRPr="006A6EC8" w:rsidTr="006A6EC8">
        <w:tc>
          <w:tcPr>
            <w:tcW w:w="1662" w:type="dxa"/>
          </w:tcPr>
          <w:p w:rsidR="006A6EC8" w:rsidRPr="006A6EC8" w:rsidRDefault="006A6EC8" w:rsidP="006A6EC8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Komponente</w:t>
            </w:r>
          </w:p>
        </w:tc>
        <w:tc>
          <w:tcPr>
            <w:tcW w:w="2281" w:type="dxa"/>
          </w:tcPr>
          <w:p w:rsidR="006A6EC8" w:rsidRPr="006A6EC8" w:rsidRDefault="006A6EC8" w:rsidP="006A6EC8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Zertifizierungsbereich</w:t>
            </w:r>
          </w:p>
        </w:tc>
        <w:tc>
          <w:tcPr>
            <w:tcW w:w="3982" w:type="dxa"/>
            <w:gridSpan w:val="2"/>
          </w:tcPr>
          <w:p w:rsidR="006A6EC8" w:rsidRPr="006A6EC8" w:rsidRDefault="006A6EC8" w:rsidP="006A6EC8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zusätzliche Messbereiche</w:t>
            </w:r>
          </w:p>
        </w:tc>
        <w:tc>
          <w:tcPr>
            <w:tcW w:w="1929" w:type="dxa"/>
          </w:tcPr>
          <w:p w:rsidR="006A6EC8" w:rsidRPr="006A6EC8" w:rsidRDefault="006A6EC8" w:rsidP="006A6EC8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Einheit</w:t>
            </w:r>
          </w:p>
        </w:tc>
      </w:tr>
      <w:tr w:rsidR="006A6EC8" w:rsidRPr="006A6EC8" w:rsidTr="006A6EC8">
        <w:tc>
          <w:tcPr>
            <w:tcW w:w="1662" w:type="dxa"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</w:pPr>
            <w:r w:rsidRPr="006A6EC8">
              <w:t>CO</w:t>
            </w:r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200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1 250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2 000</w:t>
            </w:r>
          </w:p>
        </w:tc>
        <w:tc>
          <w:tcPr>
            <w:tcW w:w="1929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mg/m³</w:t>
            </w:r>
          </w:p>
        </w:tc>
      </w:tr>
      <w:tr w:rsidR="006A6EC8" w:rsidRPr="006A6EC8" w:rsidTr="006A6EC8">
        <w:tc>
          <w:tcPr>
            <w:tcW w:w="1662" w:type="dxa"/>
            <w:vMerge w:val="restart"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</w:pPr>
            <w:proofErr w:type="spellStart"/>
            <w:r w:rsidRPr="006A6EC8">
              <w:t>NO</w:t>
            </w:r>
            <w:r w:rsidRPr="006A6EC8">
              <w:rPr>
                <w:vertAlign w:val="subscript"/>
              </w:rPr>
              <w:t>x</w:t>
            </w:r>
            <w:proofErr w:type="spellEnd"/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150</w:t>
            </w:r>
            <w:r w:rsidRPr="006A6EC8">
              <w:rPr>
                <w:vertAlign w:val="superscript"/>
              </w:rPr>
              <w:t>1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750</w:t>
            </w:r>
            <w:r w:rsidRPr="006A6EC8">
              <w:rPr>
                <w:vertAlign w:val="superscript"/>
              </w:rPr>
              <w:t>1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2 000</w:t>
            </w:r>
            <w:r w:rsidRPr="006A6EC8">
              <w:rPr>
                <w:vertAlign w:val="superscript"/>
              </w:rPr>
              <w:t>1</w:t>
            </w:r>
          </w:p>
        </w:tc>
        <w:tc>
          <w:tcPr>
            <w:tcW w:w="1929" w:type="dxa"/>
            <w:vMerge w:val="restart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mg/m³</w:t>
            </w:r>
          </w:p>
        </w:tc>
      </w:tr>
      <w:tr w:rsidR="006A6EC8" w:rsidRPr="006A6EC8" w:rsidTr="006A6EC8">
        <w:tc>
          <w:tcPr>
            <w:tcW w:w="1662" w:type="dxa"/>
            <w:vMerge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</w:pPr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230</w:t>
            </w:r>
            <w:r w:rsidRPr="006A6EC8">
              <w:rPr>
                <w:vertAlign w:val="superscript"/>
              </w:rPr>
              <w:t>2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1 150</w:t>
            </w:r>
            <w:r w:rsidRPr="006A6EC8">
              <w:rPr>
                <w:vertAlign w:val="superscript"/>
              </w:rPr>
              <w:t>2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3 067</w:t>
            </w:r>
            <w:r w:rsidRPr="006A6EC8">
              <w:rPr>
                <w:vertAlign w:val="superscript"/>
              </w:rPr>
              <w:t>2</w:t>
            </w:r>
          </w:p>
        </w:tc>
        <w:tc>
          <w:tcPr>
            <w:tcW w:w="1929" w:type="dxa"/>
            <w:vMerge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</w:p>
        </w:tc>
      </w:tr>
      <w:tr w:rsidR="006A6EC8" w:rsidRPr="006A6EC8" w:rsidTr="006A6EC8">
        <w:tc>
          <w:tcPr>
            <w:tcW w:w="1662" w:type="dxa"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</w:pPr>
            <w:r w:rsidRPr="006A6EC8">
              <w:t>SO</w:t>
            </w:r>
            <w:r w:rsidRPr="006A6EC8">
              <w:rPr>
                <w:vertAlign w:val="superscript"/>
              </w:rPr>
              <w:t>2</w:t>
            </w:r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400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2 000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7 000</w:t>
            </w:r>
          </w:p>
        </w:tc>
        <w:tc>
          <w:tcPr>
            <w:tcW w:w="1929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mg/m³</w:t>
            </w:r>
          </w:p>
        </w:tc>
      </w:tr>
      <w:tr w:rsidR="006A6EC8" w:rsidRPr="006A6EC8" w:rsidTr="006A6EC8">
        <w:tc>
          <w:tcPr>
            <w:tcW w:w="1662" w:type="dxa"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</w:pPr>
            <w:r w:rsidRPr="006A6EC8">
              <w:t>O</w:t>
            </w:r>
            <w:r w:rsidRPr="006A6EC8">
              <w:rPr>
                <w:vertAlign w:val="subscript"/>
              </w:rPr>
              <w:t>2, paramagnetisch</w:t>
            </w:r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25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–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–</w:t>
            </w:r>
          </w:p>
        </w:tc>
        <w:tc>
          <w:tcPr>
            <w:tcW w:w="1929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Vol.-%</w:t>
            </w:r>
          </w:p>
        </w:tc>
      </w:tr>
      <w:tr w:rsidR="006A6EC8" w:rsidRPr="006A6EC8" w:rsidTr="006A6EC8">
        <w:tc>
          <w:tcPr>
            <w:tcW w:w="1662" w:type="dxa"/>
          </w:tcPr>
          <w:p w:rsidR="006A6EC8" w:rsidRPr="006A6EC8" w:rsidRDefault="006A6EC8" w:rsidP="00D27B7B">
            <w:pPr>
              <w:pStyle w:val="GesAbsatz"/>
              <w:tabs>
                <w:tab w:val="clear" w:pos="425"/>
              </w:tabs>
            </w:pPr>
            <w:r w:rsidRPr="006A6EC8">
              <w:t>O</w:t>
            </w:r>
            <w:r w:rsidRPr="006A6EC8">
              <w:rPr>
                <w:vertAlign w:val="subscript"/>
              </w:rPr>
              <w:t>2, elektrochemisch</w:t>
            </w:r>
          </w:p>
        </w:tc>
        <w:tc>
          <w:tcPr>
            <w:tcW w:w="2281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0 – 25</w:t>
            </w:r>
          </w:p>
        </w:tc>
        <w:tc>
          <w:tcPr>
            <w:tcW w:w="2100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–</w:t>
            </w:r>
          </w:p>
        </w:tc>
        <w:tc>
          <w:tcPr>
            <w:tcW w:w="1882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–</w:t>
            </w:r>
          </w:p>
        </w:tc>
        <w:tc>
          <w:tcPr>
            <w:tcW w:w="1929" w:type="dxa"/>
          </w:tcPr>
          <w:p w:rsidR="006A6EC8" w:rsidRPr="006A6EC8" w:rsidRDefault="006A6EC8" w:rsidP="00B03573">
            <w:pPr>
              <w:pStyle w:val="GesAbsatz"/>
              <w:tabs>
                <w:tab w:val="clear" w:pos="425"/>
              </w:tabs>
              <w:jc w:val="center"/>
            </w:pPr>
            <w:r w:rsidRPr="006A6EC8">
              <w:t>Vol.-%</w:t>
            </w:r>
          </w:p>
        </w:tc>
      </w:tr>
    </w:tbl>
    <w:p w:rsidR="006A6EC8" w:rsidRDefault="006A6EC8" w:rsidP="00B47286">
      <w:pPr>
        <w:pStyle w:val="GesAbsatz"/>
      </w:pPr>
    </w:p>
    <w:p w:rsidR="00B47286" w:rsidRDefault="00B47286" w:rsidP="00B47286">
      <w:pPr>
        <w:pStyle w:val="GesAbsatz"/>
      </w:pPr>
      <w:r>
        <w:t xml:space="preserve">Modul </w:t>
      </w:r>
      <w:proofErr w:type="spellStart"/>
      <w:r>
        <w:t>Ultramat</w:t>
      </w:r>
      <w:proofErr w:type="spellEnd"/>
      <w:r>
        <w:t xml:space="preserve"> 23-7MB2358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2"/>
        <w:gridCol w:w="2282"/>
        <w:gridCol w:w="2106"/>
        <w:gridCol w:w="1865"/>
        <w:gridCol w:w="1939"/>
      </w:tblGrid>
      <w:tr w:rsidR="005F594C" w:rsidRPr="005F594C" w:rsidTr="005F594C">
        <w:tc>
          <w:tcPr>
            <w:tcW w:w="1662" w:type="dxa"/>
          </w:tcPr>
          <w:p w:rsidR="005F594C" w:rsidRPr="005F594C" w:rsidRDefault="005F594C" w:rsidP="005F594C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Komponente</w:t>
            </w:r>
          </w:p>
        </w:tc>
        <w:tc>
          <w:tcPr>
            <w:tcW w:w="2282" w:type="dxa"/>
          </w:tcPr>
          <w:p w:rsidR="005F594C" w:rsidRPr="005F594C" w:rsidRDefault="005F594C" w:rsidP="005F594C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Zertifizierungsbereich</w:t>
            </w:r>
          </w:p>
        </w:tc>
        <w:tc>
          <w:tcPr>
            <w:tcW w:w="3971" w:type="dxa"/>
            <w:gridSpan w:val="2"/>
          </w:tcPr>
          <w:p w:rsidR="005F594C" w:rsidRPr="005F594C" w:rsidRDefault="005F594C" w:rsidP="005F594C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zusätzliche Messbereiche</w:t>
            </w:r>
          </w:p>
        </w:tc>
        <w:tc>
          <w:tcPr>
            <w:tcW w:w="1939" w:type="dxa"/>
          </w:tcPr>
          <w:p w:rsidR="005F594C" w:rsidRPr="005F594C" w:rsidRDefault="005F594C" w:rsidP="005F594C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Einheit</w:t>
            </w:r>
          </w:p>
        </w:tc>
      </w:tr>
      <w:tr w:rsidR="005F594C" w:rsidRPr="005F594C" w:rsidTr="005F594C">
        <w:tc>
          <w:tcPr>
            <w:tcW w:w="1662" w:type="dxa"/>
          </w:tcPr>
          <w:p w:rsidR="005F594C" w:rsidRPr="005F594C" w:rsidRDefault="005F594C" w:rsidP="00D27B7B">
            <w:pPr>
              <w:pStyle w:val="GesAbsatz"/>
              <w:tabs>
                <w:tab w:val="clear" w:pos="425"/>
              </w:tabs>
            </w:pPr>
            <w:r w:rsidRPr="005F594C">
              <w:t>CO</w:t>
            </w:r>
          </w:p>
        </w:tc>
        <w:tc>
          <w:tcPr>
            <w:tcW w:w="2282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0 – 250</w:t>
            </w:r>
          </w:p>
        </w:tc>
        <w:tc>
          <w:tcPr>
            <w:tcW w:w="2106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0 – 1 250</w:t>
            </w:r>
          </w:p>
        </w:tc>
        <w:tc>
          <w:tcPr>
            <w:tcW w:w="1865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–</w:t>
            </w:r>
          </w:p>
        </w:tc>
        <w:tc>
          <w:tcPr>
            <w:tcW w:w="1939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mg/m³</w:t>
            </w:r>
          </w:p>
        </w:tc>
      </w:tr>
      <w:tr w:rsidR="005F594C" w:rsidRPr="005F594C" w:rsidTr="005F594C">
        <w:tc>
          <w:tcPr>
            <w:tcW w:w="1662" w:type="dxa"/>
            <w:vMerge w:val="restart"/>
          </w:tcPr>
          <w:p w:rsidR="005F594C" w:rsidRPr="005F594C" w:rsidRDefault="005F594C" w:rsidP="00D27B7B">
            <w:pPr>
              <w:pStyle w:val="GesAbsatz"/>
              <w:tabs>
                <w:tab w:val="clear" w:pos="425"/>
              </w:tabs>
            </w:pPr>
            <w:proofErr w:type="spellStart"/>
            <w:r w:rsidRPr="005F594C">
              <w:t>NO</w:t>
            </w:r>
            <w:r w:rsidRPr="005F594C">
              <w:rPr>
                <w:vertAlign w:val="subscript"/>
              </w:rPr>
              <w:t>x</w:t>
            </w:r>
            <w:proofErr w:type="spellEnd"/>
          </w:p>
        </w:tc>
        <w:tc>
          <w:tcPr>
            <w:tcW w:w="2282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0 – 400</w:t>
            </w:r>
            <w:r w:rsidRPr="005F594C">
              <w:rPr>
                <w:vertAlign w:val="superscript"/>
              </w:rPr>
              <w:t>1</w:t>
            </w:r>
          </w:p>
        </w:tc>
        <w:tc>
          <w:tcPr>
            <w:tcW w:w="2106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0 – 2 000</w:t>
            </w:r>
            <w:r w:rsidRPr="005F594C">
              <w:rPr>
                <w:vertAlign w:val="superscript"/>
              </w:rPr>
              <w:t>1</w:t>
            </w:r>
          </w:p>
        </w:tc>
        <w:tc>
          <w:tcPr>
            <w:tcW w:w="1865" w:type="dxa"/>
            <w:vMerge w:val="restart"/>
          </w:tcPr>
          <w:p w:rsidR="005F594C" w:rsidRPr="005F594C" w:rsidRDefault="005F594C" w:rsidP="00B03573">
            <w:pPr>
              <w:pStyle w:val="GesAbsatz"/>
              <w:jc w:val="center"/>
            </w:pPr>
            <w:r w:rsidRPr="005F594C">
              <w:t>–</w:t>
            </w:r>
          </w:p>
        </w:tc>
        <w:tc>
          <w:tcPr>
            <w:tcW w:w="1939" w:type="dxa"/>
            <w:vMerge w:val="restart"/>
          </w:tcPr>
          <w:p w:rsidR="005F594C" w:rsidRPr="005F594C" w:rsidRDefault="005F594C" w:rsidP="00B03573">
            <w:pPr>
              <w:pStyle w:val="GesAbsatz"/>
              <w:jc w:val="center"/>
            </w:pPr>
            <w:r w:rsidRPr="005F594C">
              <w:t>mg/m³</w:t>
            </w:r>
          </w:p>
        </w:tc>
      </w:tr>
      <w:tr w:rsidR="005F594C" w:rsidRPr="005F594C" w:rsidTr="005F594C">
        <w:tc>
          <w:tcPr>
            <w:tcW w:w="1662" w:type="dxa"/>
            <w:vMerge/>
          </w:tcPr>
          <w:p w:rsidR="005F594C" w:rsidRPr="005F594C" w:rsidRDefault="005F594C" w:rsidP="00D27B7B">
            <w:pPr>
              <w:pStyle w:val="GesAbsatz"/>
              <w:tabs>
                <w:tab w:val="clear" w:pos="425"/>
              </w:tabs>
            </w:pPr>
          </w:p>
        </w:tc>
        <w:tc>
          <w:tcPr>
            <w:tcW w:w="2282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0 – 613</w:t>
            </w:r>
            <w:r w:rsidRPr="005F594C">
              <w:rPr>
                <w:vertAlign w:val="superscript"/>
              </w:rPr>
              <w:t>2</w:t>
            </w:r>
          </w:p>
        </w:tc>
        <w:tc>
          <w:tcPr>
            <w:tcW w:w="2106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0 – 3 067</w:t>
            </w:r>
            <w:r w:rsidRPr="005F594C">
              <w:rPr>
                <w:vertAlign w:val="superscript"/>
              </w:rPr>
              <w:t>2</w:t>
            </w:r>
          </w:p>
        </w:tc>
        <w:tc>
          <w:tcPr>
            <w:tcW w:w="1865" w:type="dxa"/>
            <w:vMerge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1939" w:type="dxa"/>
            <w:vMerge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</w:p>
        </w:tc>
      </w:tr>
      <w:tr w:rsidR="005F594C" w:rsidRPr="005F594C" w:rsidTr="005F594C">
        <w:tc>
          <w:tcPr>
            <w:tcW w:w="1662" w:type="dxa"/>
          </w:tcPr>
          <w:p w:rsidR="005F594C" w:rsidRPr="005F594C" w:rsidRDefault="005F594C" w:rsidP="00D27B7B">
            <w:pPr>
              <w:pStyle w:val="GesAbsatz"/>
              <w:tabs>
                <w:tab w:val="clear" w:pos="425"/>
              </w:tabs>
            </w:pPr>
            <w:r w:rsidRPr="005F594C">
              <w:t>SO</w:t>
            </w:r>
            <w:r w:rsidRPr="005F594C">
              <w:rPr>
                <w:vertAlign w:val="subscript"/>
              </w:rPr>
              <w:t>2</w:t>
            </w:r>
          </w:p>
        </w:tc>
        <w:tc>
          <w:tcPr>
            <w:tcW w:w="2282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0 – 400</w:t>
            </w:r>
          </w:p>
        </w:tc>
        <w:tc>
          <w:tcPr>
            <w:tcW w:w="2106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0 – 2 000</w:t>
            </w:r>
          </w:p>
        </w:tc>
        <w:tc>
          <w:tcPr>
            <w:tcW w:w="1865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0 – 7 000</w:t>
            </w:r>
          </w:p>
        </w:tc>
        <w:tc>
          <w:tcPr>
            <w:tcW w:w="1939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mg/m³</w:t>
            </w:r>
          </w:p>
        </w:tc>
      </w:tr>
      <w:tr w:rsidR="005F594C" w:rsidRPr="005F594C" w:rsidTr="005F594C">
        <w:tc>
          <w:tcPr>
            <w:tcW w:w="1662" w:type="dxa"/>
          </w:tcPr>
          <w:p w:rsidR="005F594C" w:rsidRPr="005F594C" w:rsidRDefault="005F594C" w:rsidP="00D27B7B">
            <w:pPr>
              <w:pStyle w:val="GesAbsatz"/>
              <w:tabs>
                <w:tab w:val="clear" w:pos="425"/>
              </w:tabs>
            </w:pPr>
            <w:r w:rsidRPr="005F594C">
              <w:t>O</w:t>
            </w:r>
            <w:r w:rsidRPr="005F594C">
              <w:rPr>
                <w:vertAlign w:val="subscript"/>
              </w:rPr>
              <w:t>2, paramagnetisch</w:t>
            </w:r>
          </w:p>
        </w:tc>
        <w:tc>
          <w:tcPr>
            <w:tcW w:w="2282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0 – 25</w:t>
            </w:r>
          </w:p>
        </w:tc>
        <w:tc>
          <w:tcPr>
            <w:tcW w:w="2106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–</w:t>
            </w:r>
          </w:p>
        </w:tc>
        <w:tc>
          <w:tcPr>
            <w:tcW w:w="1865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–</w:t>
            </w:r>
          </w:p>
        </w:tc>
        <w:tc>
          <w:tcPr>
            <w:tcW w:w="1939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Vol.-%</w:t>
            </w:r>
          </w:p>
        </w:tc>
      </w:tr>
      <w:tr w:rsidR="005F594C" w:rsidRPr="005F594C" w:rsidTr="005F594C">
        <w:tc>
          <w:tcPr>
            <w:tcW w:w="1662" w:type="dxa"/>
          </w:tcPr>
          <w:p w:rsidR="005F594C" w:rsidRPr="005F594C" w:rsidRDefault="005F594C" w:rsidP="00D27B7B">
            <w:pPr>
              <w:pStyle w:val="GesAbsatz"/>
              <w:tabs>
                <w:tab w:val="clear" w:pos="425"/>
              </w:tabs>
            </w:pPr>
            <w:r w:rsidRPr="005F594C">
              <w:t>O</w:t>
            </w:r>
            <w:r w:rsidRPr="005F594C">
              <w:rPr>
                <w:vertAlign w:val="subscript"/>
              </w:rPr>
              <w:t>2, elektrochemisch</w:t>
            </w:r>
          </w:p>
        </w:tc>
        <w:tc>
          <w:tcPr>
            <w:tcW w:w="2282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0 – 25</w:t>
            </w:r>
          </w:p>
        </w:tc>
        <w:tc>
          <w:tcPr>
            <w:tcW w:w="2106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–</w:t>
            </w:r>
          </w:p>
        </w:tc>
        <w:tc>
          <w:tcPr>
            <w:tcW w:w="1865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–</w:t>
            </w:r>
          </w:p>
        </w:tc>
        <w:tc>
          <w:tcPr>
            <w:tcW w:w="1939" w:type="dxa"/>
          </w:tcPr>
          <w:p w:rsidR="005F594C" w:rsidRPr="005F594C" w:rsidRDefault="005F594C" w:rsidP="00B03573">
            <w:pPr>
              <w:pStyle w:val="GesAbsatz"/>
              <w:tabs>
                <w:tab w:val="clear" w:pos="425"/>
              </w:tabs>
              <w:jc w:val="center"/>
            </w:pPr>
            <w:r w:rsidRPr="005F594C">
              <w:t>Vol.-%</w:t>
            </w:r>
          </w:p>
        </w:tc>
      </w:tr>
    </w:tbl>
    <w:p w:rsidR="00B03573" w:rsidRDefault="00B03573" w:rsidP="00B47286">
      <w:pPr>
        <w:pStyle w:val="GesAbsatz"/>
      </w:pPr>
    </w:p>
    <w:p w:rsidR="00B47286" w:rsidRDefault="00B47286" w:rsidP="00B47286">
      <w:pPr>
        <w:pStyle w:val="GesAbsatz"/>
      </w:pPr>
      <w:r>
        <w:t>Modul SIPROCESS UV600-7MB2621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668"/>
        <w:gridCol w:w="2297"/>
        <w:gridCol w:w="2097"/>
        <w:gridCol w:w="1843"/>
        <w:gridCol w:w="1984"/>
      </w:tblGrid>
      <w:tr w:rsidR="00B03573" w:rsidRPr="00B03573" w:rsidTr="00B03573">
        <w:tc>
          <w:tcPr>
            <w:tcW w:w="1668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Komponente</w:t>
            </w:r>
          </w:p>
        </w:tc>
        <w:tc>
          <w:tcPr>
            <w:tcW w:w="2297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Zertifizierungsbereich</w:t>
            </w:r>
          </w:p>
        </w:tc>
        <w:tc>
          <w:tcPr>
            <w:tcW w:w="3940" w:type="dxa"/>
            <w:gridSpan w:val="2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zusätzliche Messbereiche</w:t>
            </w:r>
          </w:p>
        </w:tc>
        <w:tc>
          <w:tcPr>
            <w:tcW w:w="1984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Einheit</w:t>
            </w:r>
          </w:p>
        </w:tc>
      </w:tr>
      <w:tr w:rsidR="00B03573" w:rsidRPr="00B03573" w:rsidTr="00B03573">
        <w:tc>
          <w:tcPr>
            <w:tcW w:w="1668" w:type="dxa"/>
          </w:tcPr>
          <w:p w:rsidR="00B03573" w:rsidRPr="00B03573" w:rsidRDefault="00B03573" w:rsidP="00D27B7B">
            <w:pPr>
              <w:pStyle w:val="GesAbsatz"/>
              <w:tabs>
                <w:tab w:val="clear" w:pos="425"/>
              </w:tabs>
            </w:pPr>
            <w:r w:rsidRPr="00B03573">
              <w:t>NO</w:t>
            </w:r>
          </w:p>
        </w:tc>
        <w:tc>
          <w:tcPr>
            <w:tcW w:w="2297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0 – 50</w:t>
            </w:r>
          </w:p>
        </w:tc>
        <w:tc>
          <w:tcPr>
            <w:tcW w:w="2097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0 – 200</w:t>
            </w:r>
          </w:p>
        </w:tc>
        <w:tc>
          <w:tcPr>
            <w:tcW w:w="1843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0 – 2 000</w:t>
            </w:r>
          </w:p>
        </w:tc>
        <w:tc>
          <w:tcPr>
            <w:tcW w:w="1984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mg/m³</w:t>
            </w:r>
          </w:p>
        </w:tc>
      </w:tr>
      <w:tr w:rsidR="00B03573" w:rsidRPr="00B03573" w:rsidTr="00B03573">
        <w:tc>
          <w:tcPr>
            <w:tcW w:w="1668" w:type="dxa"/>
          </w:tcPr>
          <w:p w:rsidR="00B03573" w:rsidRPr="00B03573" w:rsidRDefault="00B03573" w:rsidP="00D27B7B">
            <w:pPr>
              <w:pStyle w:val="GesAbsatz"/>
              <w:tabs>
                <w:tab w:val="clear" w:pos="425"/>
              </w:tabs>
            </w:pPr>
            <w:r w:rsidRPr="00B03573">
              <w:t>NO</w:t>
            </w:r>
            <w:r w:rsidRPr="00B03573">
              <w:rPr>
                <w:vertAlign w:val="subscript"/>
              </w:rPr>
              <w:t>2</w:t>
            </w:r>
          </w:p>
        </w:tc>
        <w:tc>
          <w:tcPr>
            <w:tcW w:w="2297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0 – 50</w:t>
            </w:r>
          </w:p>
        </w:tc>
        <w:tc>
          <w:tcPr>
            <w:tcW w:w="2097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0 – 500</w:t>
            </w:r>
          </w:p>
        </w:tc>
        <w:tc>
          <w:tcPr>
            <w:tcW w:w="1843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–</w:t>
            </w:r>
          </w:p>
        </w:tc>
        <w:tc>
          <w:tcPr>
            <w:tcW w:w="1984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mg/m³</w:t>
            </w:r>
          </w:p>
        </w:tc>
      </w:tr>
      <w:tr w:rsidR="00B03573" w:rsidRPr="00B03573" w:rsidTr="00B03573">
        <w:tc>
          <w:tcPr>
            <w:tcW w:w="1668" w:type="dxa"/>
          </w:tcPr>
          <w:p w:rsidR="00B03573" w:rsidRPr="00B03573" w:rsidRDefault="00B03573" w:rsidP="00D27B7B">
            <w:pPr>
              <w:pStyle w:val="GesAbsatz"/>
              <w:tabs>
                <w:tab w:val="clear" w:pos="425"/>
              </w:tabs>
            </w:pPr>
            <w:r w:rsidRPr="00B03573">
              <w:t>SO</w:t>
            </w:r>
            <w:r w:rsidRPr="00B03573">
              <w:rPr>
                <w:vertAlign w:val="subscript"/>
              </w:rPr>
              <w:t>2</w:t>
            </w:r>
          </w:p>
        </w:tc>
        <w:tc>
          <w:tcPr>
            <w:tcW w:w="2297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0 – 75</w:t>
            </w:r>
          </w:p>
        </w:tc>
        <w:tc>
          <w:tcPr>
            <w:tcW w:w="2097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0 – 130</w:t>
            </w:r>
          </w:p>
        </w:tc>
        <w:tc>
          <w:tcPr>
            <w:tcW w:w="1843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0 – 2 000</w:t>
            </w:r>
          </w:p>
        </w:tc>
        <w:tc>
          <w:tcPr>
            <w:tcW w:w="1984" w:type="dxa"/>
          </w:tcPr>
          <w:p w:rsidR="00B03573" w:rsidRPr="00B03573" w:rsidRDefault="00B03573" w:rsidP="00B03573">
            <w:pPr>
              <w:pStyle w:val="GesAbsatz"/>
              <w:tabs>
                <w:tab w:val="clear" w:pos="425"/>
              </w:tabs>
              <w:jc w:val="center"/>
            </w:pPr>
            <w:r w:rsidRPr="00B03573">
              <w:t>mg/m³</w:t>
            </w:r>
          </w:p>
        </w:tc>
      </w:tr>
    </w:tbl>
    <w:p w:rsidR="00B47286" w:rsidRDefault="00B47286" w:rsidP="00B47286">
      <w:pPr>
        <w:pStyle w:val="GesAbsatz"/>
      </w:pPr>
      <w:r w:rsidRPr="00B03573">
        <w:rPr>
          <w:vertAlign w:val="superscript"/>
        </w:rPr>
        <w:t>1</w:t>
      </w:r>
      <w:r>
        <w:t xml:space="preserve"> angegeben als NO</w:t>
      </w:r>
    </w:p>
    <w:p w:rsidR="00B47286" w:rsidRDefault="00B47286" w:rsidP="00B47286">
      <w:pPr>
        <w:pStyle w:val="GesAbsatz"/>
      </w:pPr>
      <w:r w:rsidRPr="00B03573">
        <w:rPr>
          <w:vertAlign w:val="superscript"/>
        </w:rPr>
        <w:t>2</w:t>
      </w:r>
      <w:r>
        <w:t xml:space="preserve"> angegeben als NO</w:t>
      </w:r>
      <w:r w:rsidRPr="00B03573">
        <w:rPr>
          <w:vertAlign w:val="subscript"/>
        </w:rPr>
        <w:t>2</w:t>
      </w:r>
    </w:p>
    <w:p w:rsidR="00B03573" w:rsidRDefault="00B03573" w:rsidP="00B47286">
      <w:pPr>
        <w:pStyle w:val="GesAbsatz"/>
      </w:pPr>
    </w:p>
    <w:p w:rsidR="00B47286" w:rsidRDefault="00B47286" w:rsidP="00B47286">
      <w:pPr>
        <w:pStyle w:val="GesAbsatz"/>
      </w:pPr>
      <w:r>
        <w:t>Messbereiche des modularen Systems Set CEM CERT 7MB1957 in der Eignungsprüfung: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525"/>
        <w:gridCol w:w="1842"/>
        <w:gridCol w:w="2132"/>
        <w:gridCol w:w="8"/>
        <w:gridCol w:w="1405"/>
        <w:gridCol w:w="1390"/>
        <w:gridCol w:w="1020"/>
      </w:tblGrid>
      <w:tr w:rsidR="00F434E0" w:rsidRPr="002A7983" w:rsidTr="000B6EC6">
        <w:trPr>
          <w:tblHeader/>
        </w:trPr>
        <w:tc>
          <w:tcPr>
            <w:tcW w:w="1525" w:type="dxa"/>
          </w:tcPr>
          <w:p w:rsidR="00F434E0" w:rsidRPr="002A7983" w:rsidRDefault="00F434E0" w:rsidP="00F434E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Komponente</w:t>
            </w:r>
          </w:p>
        </w:tc>
        <w:tc>
          <w:tcPr>
            <w:tcW w:w="1842" w:type="dxa"/>
          </w:tcPr>
          <w:p w:rsidR="00F434E0" w:rsidRPr="002A7983" w:rsidRDefault="00F434E0" w:rsidP="00F434E0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Modul-Variante</w:t>
            </w:r>
          </w:p>
        </w:tc>
        <w:tc>
          <w:tcPr>
            <w:tcW w:w="2132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Zertifizierungsbereich</w:t>
            </w:r>
          </w:p>
        </w:tc>
        <w:tc>
          <w:tcPr>
            <w:tcW w:w="2803" w:type="dxa"/>
            <w:gridSpan w:val="3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zusätzliche Messbereiche</w:t>
            </w:r>
          </w:p>
        </w:tc>
        <w:tc>
          <w:tcPr>
            <w:tcW w:w="102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Einheit</w:t>
            </w:r>
          </w:p>
        </w:tc>
      </w:tr>
      <w:tr w:rsidR="00F434E0" w:rsidRPr="002A7983" w:rsidTr="000B6EC6">
        <w:tc>
          <w:tcPr>
            <w:tcW w:w="1525" w:type="dxa"/>
            <w:vMerge w:val="restart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CO</w:t>
            </w:r>
          </w:p>
        </w:tc>
        <w:tc>
          <w:tcPr>
            <w:tcW w:w="1842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23-7MB2355 – Z – T13</w:t>
            </w:r>
          </w:p>
        </w:tc>
        <w:tc>
          <w:tcPr>
            <w:tcW w:w="2132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200</w:t>
            </w:r>
          </w:p>
        </w:tc>
        <w:tc>
          <w:tcPr>
            <w:tcW w:w="1413" w:type="dxa"/>
            <w:gridSpan w:val="2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1 250</w:t>
            </w:r>
          </w:p>
        </w:tc>
        <w:tc>
          <w:tcPr>
            <w:tcW w:w="139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F434E0" w:rsidRPr="002A7983" w:rsidTr="000B6EC6">
        <w:tc>
          <w:tcPr>
            <w:tcW w:w="1525" w:type="dxa"/>
            <w:vMerge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23-7MB2357 – Z – T13</w:t>
            </w:r>
          </w:p>
        </w:tc>
        <w:tc>
          <w:tcPr>
            <w:tcW w:w="2132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200</w:t>
            </w:r>
          </w:p>
        </w:tc>
        <w:tc>
          <w:tcPr>
            <w:tcW w:w="1413" w:type="dxa"/>
            <w:gridSpan w:val="2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1 250</w:t>
            </w:r>
          </w:p>
        </w:tc>
        <w:tc>
          <w:tcPr>
            <w:tcW w:w="139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F434E0" w:rsidRPr="002A7983" w:rsidTr="000B6EC6">
        <w:tc>
          <w:tcPr>
            <w:tcW w:w="1525" w:type="dxa"/>
            <w:vMerge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23-7MB2358 – Z – T13</w:t>
            </w:r>
          </w:p>
        </w:tc>
        <w:tc>
          <w:tcPr>
            <w:tcW w:w="2132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250</w:t>
            </w:r>
          </w:p>
        </w:tc>
        <w:tc>
          <w:tcPr>
            <w:tcW w:w="1413" w:type="dxa"/>
            <w:gridSpan w:val="2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1 250</w:t>
            </w:r>
          </w:p>
        </w:tc>
        <w:tc>
          <w:tcPr>
            <w:tcW w:w="139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F434E0" w:rsidRPr="002A7983" w:rsidTr="000B6EC6">
        <w:tc>
          <w:tcPr>
            <w:tcW w:w="1525" w:type="dxa"/>
            <w:vMerge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23-7MB2355 – Z – T23</w:t>
            </w:r>
          </w:p>
        </w:tc>
        <w:tc>
          <w:tcPr>
            <w:tcW w:w="2132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200</w:t>
            </w:r>
          </w:p>
        </w:tc>
        <w:tc>
          <w:tcPr>
            <w:tcW w:w="1413" w:type="dxa"/>
            <w:gridSpan w:val="2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1 250</w:t>
            </w:r>
          </w:p>
        </w:tc>
        <w:tc>
          <w:tcPr>
            <w:tcW w:w="139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F434E0" w:rsidRPr="002A7983" w:rsidTr="000B6EC6">
        <w:tc>
          <w:tcPr>
            <w:tcW w:w="1525" w:type="dxa"/>
            <w:vMerge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23-7MB2357 – Z – T23</w:t>
            </w:r>
          </w:p>
        </w:tc>
        <w:tc>
          <w:tcPr>
            <w:tcW w:w="2132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200</w:t>
            </w:r>
          </w:p>
        </w:tc>
        <w:tc>
          <w:tcPr>
            <w:tcW w:w="1413" w:type="dxa"/>
            <w:gridSpan w:val="2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1 250</w:t>
            </w:r>
          </w:p>
        </w:tc>
        <w:tc>
          <w:tcPr>
            <w:tcW w:w="139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F434E0" w:rsidRPr="002A7983" w:rsidTr="000B6EC6">
        <w:tc>
          <w:tcPr>
            <w:tcW w:w="1525" w:type="dxa"/>
            <w:vMerge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23-7MB2358 – Z – T23</w:t>
            </w:r>
          </w:p>
        </w:tc>
        <w:tc>
          <w:tcPr>
            <w:tcW w:w="2132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250</w:t>
            </w:r>
          </w:p>
        </w:tc>
        <w:tc>
          <w:tcPr>
            <w:tcW w:w="1413" w:type="dxa"/>
            <w:gridSpan w:val="2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1 250</w:t>
            </w:r>
          </w:p>
        </w:tc>
        <w:tc>
          <w:tcPr>
            <w:tcW w:w="139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F434E0" w:rsidRPr="002A7983" w:rsidTr="000B6EC6">
        <w:tc>
          <w:tcPr>
            <w:tcW w:w="1525" w:type="dxa"/>
            <w:vMerge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23-7MB2355 – Z – T33</w:t>
            </w:r>
          </w:p>
        </w:tc>
        <w:tc>
          <w:tcPr>
            <w:tcW w:w="2132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200</w:t>
            </w:r>
          </w:p>
        </w:tc>
        <w:tc>
          <w:tcPr>
            <w:tcW w:w="1413" w:type="dxa"/>
            <w:gridSpan w:val="2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1 250</w:t>
            </w:r>
          </w:p>
        </w:tc>
        <w:tc>
          <w:tcPr>
            <w:tcW w:w="139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F434E0" w:rsidRPr="002A7983" w:rsidTr="000B6EC6">
        <w:tc>
          <w:tcPr>
            <w:tcW w:w="1525" w:type="dxa"/>
            <w:vMerge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23-7MB2357 – Z – T33</w:t>
            </w:r>
          </w:p>
        </w:tc>
        <w:tc>
          <w:tcPr>
            <w:tcW w:w="2132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200</w:t>
            </w:r>
          </w:p>
        </w:tc>
        <w:tc>
          <w:tcPr>
            <w:tcW w:w="1413" w:type="dxa"/>
            <w:gridSpan w:val="2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1 250</w:t>
            </w:r>
          </w:p>
        </w:tc>
        <w:tc>
          <w:tcPr>
            <w:tcW w:w="139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NO</w:t>
            </w:r>
            <w:r w:rsidRPr="002A7983">
              <w:rPr>
                <w:sz w:val="18"/>
                <w:szCs w:val="18"/>
                <w:vertAlign w:val="subscript"/>
              </w:rPr>
              <w:t>x</w:t>
            </w:r>
            <w:proofErr w:type="spellEnd"/>
          </w:p>
        </w:tc>
        <w:tc>
          <w:tcPr>
            <w:tcW w:w="1842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23-7MB2355 – Z – T13</w:t>
            </w: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150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750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20" w:type="dxa"/>
            <w:vMerge w:val="restart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230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1 150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3 067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20" w:type="dxa"/>
            <w:vMerge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23-7MB2357 – Z – T13</w:t>
            </w: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150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750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20" w:type="dxa"/>
            <w:vMerge w:val="restart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230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1 150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3 067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20" w:type="dxa"/>
            <w:vMerge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23-7MB2358 – Z – T13</w:t>
            </w: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400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  <w:vMerge w:val="restart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613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3 067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23-7MB2355 – Z – T23</w:t>
            </w: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150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750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20" w:type="dxa"/>
            <w:vMerge w:val="restart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230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1 150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3 067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20" w:type="dxa"/>
            <w:vMerge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23-7MB2357 – Z – T23</w:t>
            </w: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150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750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20" w:type="dxa"/>
            <w:vMerge w:val="restart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230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1 150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3 067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20" w:type="dxa"/>
            <w:vMerge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23-7MB2358 – Z – T23</w:t>
            </w: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400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  <w:vMerge w:val="restart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613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3 067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23-7MB2355 – Z – T33</w:t>
            </w: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150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750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20" w:type="dxa"/>
            <w:vMerge w:val="restart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230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1 150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3 067</w:t>
            </w:r>
            <w:r w:rsidRPr="002A798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20" w:type="dxa"/>
            <w:vMerge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23-7MB2357 – Z – T33</w:t>
            </w: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150</w:t>
            </w:r>
            <w:r w:rsidRPr="002A798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  <w:lang w:val="en-US"/>
              </w:rPr>
              <w:t>0 – 750</w:t>
            </w:r>
            <w:r w:rsidRPr="002A7983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  <w:lang w:val="en-US"/>
              </w:rPr>
              <w:t>0 – 2 000</w:t>
            </w:r>
            <w:r w:rsidRPr="002A7983">
              <w:rPr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  <w:lang w:val="en-US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132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  <w:lang w:val="en-US"/>
              </w:rPr>
              <w:t>0 – 230</w:t>
            </w:r>
            <w:r w:rsidRPr="002A7983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413" w:type="dxa"/>
            <w:gridSpan w:val="2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  <w:lang w:val="en-US"/>
              </w:rPr>
              <w:t>0 – 1 150</w:t>
            </w:r>
            <w:r w:rsidRPr="002A7983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  <w:lang w:val="en-US"/>
              </w:rPr>
              <w:t>0 – 3 067</w:t>
            </w:r>
            <w:r w:rsidRPr="002A7983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</w:p>
        </w:tc>
      </w:tr>
      <w:tr w:rsidR="00F434E0" w:rsidRPr="002A7983" w:rsidTr="000B6EC6">
        <w:tc>
          <w:tcPr>
            <w:tcW w:w="1525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842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SIPROCESS UV600-7MB2621-Z-Y17</w:t>
            </w:r>
          </w:p>
        </w:tc>
        <w:tc>
          <w:tcPr>
            <w:tcW w:w="2140" w:type="dxa"/>
            <w:gridSpan w:val="2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0 – 50</w:t>
            </w:r>
          </w:p>
        </w:tc>
        <w:tc>
          <w:tcPr>
            <w:tcW w:w="1405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0 – 200</w:t>
            </w:r>
          </w:p>
        </w:tc>
        <w:tc>
          <w:tcPr>
            <w:tcW w:w="139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0 – 2 000</w:t>
            </w:r>
          </w:p>
        </w:tc>
        <w:tc>
          <w:tcPr>
            <w:tcW w:w="102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mg/m³</w:t>
            </w:r>
          </w:p>
        </w:tc>
      </w:tr>
      <w:tr w:rsidR="00F434E0" w:rsidRPr="002A7983" w:rsidTr="000B6EC6">
        <w:tc>
          <w:tcPr>
            <w:tcW w:w="1525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NO</w:t>
            </w:r>
            <w:r w:rsidRPr="002A7983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842" w:type="dxa"/>
          </w:tcPr>
          <w:p w:rsidR="00F434E0" w:rsidRPr="002A7983" w:rsidRDefault="00F434E0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SIPROCESS UV600-7MB2621-Z-Y17</w:t>
            </w:r>
          </w:p>
        </w:tc>
        <w:tc>
          <w:tcPr>
            <w:tcW w:w="2140" w:type="dxa"/>
            <w:gridSpan w:val="2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0 – 50</w:t>
            </w:r>
          </w:p>
        </w:tc>
        <w:tc>
          <w:tcPr>
            <w:tcW w:w="1405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0 – 500</w:t>
            </w:r>
          </w:p>
        </w:tc>
        <w:tc>
          <w:tcPr>
            <w:tcW w:w="139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020" w:type="dxa"/>
          </w:tcPr>
          <w:p w:rsidR="00F434E0" w:rsidRPr="002A7983" w:rsidRDefault="00F434E0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SO</w:t>
            </w:r>
            <w:r w:rsidRPr="002A7983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23-7MB2355 – Z – T13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400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7 000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23-7MB2357 – Z – T13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400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7 000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23-7MB2358 – Z – T13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400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7 000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23-7MB2355 – Z – T23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400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7 000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23-7MB2357 – Z – T23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400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7 000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23-7MB2358 – Z – T23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400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7 000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23-7MB2355 – Z – T33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400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7 000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23-7MB2357 – Z – T33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400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2 000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7 000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SIPROCESS UV600-7MB2621-Z-Y17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0 – 75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0 – 130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0 – 2 000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2A7983">
              <w:rPr>
                <w:sz w:val="18"/>
                <w:szCs w:val="18"/>
                <w:lang w:val="en-US"/>
              </w:rPr>
              <w:t>mg/m³</w:t>
            </w:r>
          </w:p>
        </w:tc>
      </w:tr>
      <w:tr w:rsidR="002A7983" w:rsidRPr="002A7983" w:rsidTr="000B6EC6">
        <w:tc>
          <w:tcPr>
            <w:tcW w:w="1525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O</w:t>
            </w:r>
            <w:r w:rsidRPr="002A7983">
              <w:rPr>
                <w:sz w:val="18"/>
                <w:szCs w:val="18"/>
                <w:vertAlign w:val="subscript"/>
              </w:rPr>
              <w:t>2, paramagnetisch</w:t>
            </w: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23-7MB2355– Z – T13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25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Vol.-%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23-7MB2357 – Z – T13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25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Vol.-%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23-7MB2358 – Z – T13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25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Vol.-%</w:t>
            </w:r>
          </w:p>
        </w:tc>
      </w:tr>
      <w:tr w:rsidR="002A7983" w:rsidRPr="002A7983" w:rsidTr="000B6EC6">
        <w:tc>
          <w:tcPr>
            <w:tcW w:w="1525" w:type="dxa"/>
            <w:vMerge w:val="restart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O</w:t>
            </w:r>
            <w:r w:rsidRPr="002A7983">
              <w:rPr>
                <w:sz w:val="18"/>
                <w:szCs w:val="18"/>
                <w:vertAlign w:val="subscript"/>
              </w:rPr>
              <w:t>2, elektrochemisch</w:t>
            </w: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23-7MB2355 – Z – T23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25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Vol.-%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23-7MB2357 – Z – T23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25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Vol.-%</w:t>
            </w:r>
          </w:p>
        </w:tc>
      </w:tr>
      <w:tr w:rsidR="002A7983" w:rsidRPr="002A7983" w:rsidTr="000B6EC6">
        <w:tc>
          <w:tcPr>
            <w:tcW w:w="1525" w:type="dxa"/>
            <w:vMerge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2A7983" w:rsidRPr="002A7983" w:rsidRDefault="002A7983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2A7983">
              <w:rPr>
                <w:sz w:val="18"/>
                <w:szCs w:val="18"/>
              </w:rPr>
              <w:t>Ultramat</w:t>
            </w:r>
            <w:proofErr w:type="spellEnd"/>
            <w:r w:rsidRPr="002A7983">
              <w:rPr>
                <w:sz w:val="18"/>
                <w:szCs w:val="18"/>
              </w:rPr>
              <w:t xml:space="preserve"> 23-7MB2358 – Z – T23</w:t>
            </w:r>
          </w:p>
        </w:tc>
        <w:tc>
          <w:tcPr>
            <w:tcW w:w="2140" w:type="dxa"/>
            <w:gridSpan w:val="2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0 – 25</w:t>
            </w:r>
          </w:p>
        </w:tc>
        <w:tc>
          <w:tcPr>
            <w:tcW w:w="1405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39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–</w:t>
            </w:r>
          </w:p>
        </w:tc>
        <w:tc>
          <w:tcPr>
            <w:tcW w:w="1020" w:type="dxa"/>
          </w:tcPr>
          <w:p w:rsidR="002A7983" w:rsidRPr="002A7983" w:rsidRDefault="002A7983" w:rsidP="002A798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2A7983">
              <w:rPr>
                <w:sz w:val="18"/>
                <w:szCs w:val="18"/>
              </w:rPr>
              <w:t>Vol.-%</w:t>
            </w:r>
          </w:p>
        </w:tc>
      </w:tr>
    </w:tbl>
    <w:p w:rsidR="00B47286" w:rsidRDefault="00B47286" w:rsidP="00B47286">
      <w:pPr>
        <w:pStyle w:val="GesAbsatz"/>
      </w:pPr>
      <w:r w:rsidRPr="00B619EE">
        <w:rPr>
          <w:vertAlign w:val="superscript"/>
        </w:rPr>
        <w:t>1</w:t>
      </w:r>
      <w:r>
        <w:t xml:space="preserve"> angegeben als NO</w:t>
      </w:r>
    </w:p>
    <w:p w:rsidR="00B47286" w:rsidRDefault="00B47286" w:rsidP="00B47286">
      <w:pPr>
        <w:pStyle w:val="GesAbsatz"/>
      </w:pPr>
      <w:r w:rsidRPr="00B619EE">
        <w:rPr>
          <w:vertAlign w:val="superscript"/>
        </w:rPr>
        <w:t>2</w:t>
      </w:r>
      <w:r>
        <w:t xml:space="preserve"> angegeben als NO</w:t>
      </w:r>
      <w:r w:rsidRPr="00B619EE">
        <w:rPr>
          <w:vertAlign w:val="subscript"/>
        </w:rPr>
        <w:t>2</w:t>
      </w:r>
    </w:p>
    <w:p w:rsidR="00B619EE" w:rsidRDefault="00B619EE" w:rsidP="00B47286">
      <w:pPr>
        <w:pStyle w:val="GesAbsatz"/>
      </w:pPr>
    </w:p>
    <w:p w:rsidR="00B47286" w:rsidRDefault="00B47286" w:rsidP="00B47286">
      <w:pPr>
        <w:pStyle w:val="GesAbsatz"/>
      </w:pPr>
      <w:r>
        <w:t>Die Eignungsprüfung des Systems Set CEM CERT 7MB1957 umfasst vier Module, die in Abhängigkeit der jeweiligen</w:t>
      </w:r>
      <w:r w:rsidR="00D27B7B">
        <w:t xml:space="preserve"> </w:t>
      </w:r>
      <w:r>
        <w:t>Modul-Variante, für die Messung mit folgenden Komponenten ausgestattet sind: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1587"/>
        <w:gridCol w:w="1559"/>
        <w:gridCol w:w="1559"/>
        <w:gridCol w:w="1816"/>
      </w:tblGrid>
      <w:tr w:rsidR="00D27B7B" w:rsidRPr="003D7A67" w:rsidTr="003D7A67">
        <w:tc>
          <w:tcPr>
            <w:tcW w:w="3085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Modul-Variante</w:t>
            </w:r>
          </w:p>
        </w:tc>
        <w:tc>
          <w:tcPr>
            <w:tcW w:w="1587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Komponente 1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Komponente 2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Komponente 3</w:t>
            </w:r>
          </w:p>
        </w:tc>
        <w:tc>
          <w:tcPr>
            <w:tcW w:w="1816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Komponente 4</w:t>
            </w:r>
          </w:p>
        </w:tc>
      </w:tr>
      <w:tr w:rsidR="00D27B7B" w:rsidRPr="003D7A67" w:rsidTr="003D7A67">
        <w:tc>
          <w:tcPr>
            <w:tcW w:w="3085" w:type="dxa"/>
          </w:tcPr>
          <w:p w:rsidR="00D27B7B" w:rsidRPr="003D7A67" w:rsidRDefault="00D27B7B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3D7A67">
              <w:rPr>
                <w:sz w:val="18"/>
                <w:szCs w:val="18"/>
              </w:rPr>
              <w:t>Ultramat</w:t>
            </w:r>
            <w:proofErr w:type="spellEnd"/>
            <w:r w:rsidRPr="003D7A67">
              <w:rPr>
                <w:sz w:val="18"/>
                <w:szCs w:val="18"/>
              </w:rPr>
              <w:t xml:space="preserve"> 23-7MB2355 – Z – T13</w:t>
            </w:r>
            <w:r w:rsidRPr="000B6EC6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87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CO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NO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SO</w:t>
            </w:r>
            <w:r w:rsidRPr="003D7A67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16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O</w:t>
            </w:r>
            <w:r w:rsidRPr="003D7A67">
              <w:rPr>
                <w:sz w:val="18"/>
                <w:szCs w:val="18"/>
                <w:vertAlign w:val="subscript"/>
              </w:rPr>
              <w:t>2, paramagnetisch</w:t>
            </w:r>
          </w:p>
        </w:tc>
      </w:tr>
      <w:tr w:rsidR="00D27B7B" w:rsidRPr="003D7A67" w:rsidTr="003D7A67">
        <w:tc>
          <w:tcPr>
            <w:tcW w:w="3085" w:type="dxa"/>
          </w:tcPr>
          <w:p w:rsidR="00D27B7B" w:rsidRPr="003D7A67" w:rsidRDefault="00D27B7B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3D7A67">
              <w:rPr>
                <w:sz w:val="18"/>
                <w:szCs w:val="18"/>
              </w:rPr>
              <w:t>Ultramat</w:t>
            </w:r>
            <w:proofErr w:type="spellEnd"/>
            <w:r w:rsidRPr="003D7A67">
              <w:rPr>
                <w:sz w:val="18"/>
                <w:szCs w:val="18"/>
              </w:rPr>
              <w:t xml:space="preserve"> 23-7MB2355 – Z – T23</w:t>
            </w:r>
            <w:r w:rsidRPr="000B6EC6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87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CO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NO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SO</w:t>
            </w:r>
            <w:r w:rsidRPr="003D7A67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16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O</w:t>
            </w:r>
            <w:r w:rsidRPr="003D7A67">
              <w:rPr>
                <w:sz w:val="18"/>
                <w:szCs w:val="18"/>
                <w:vertAlign w:val="subscript"/>
              </w:rPr>
              <w:t>2, elektrochemisch</w:t>
            </w:r>
          </w:p>
        </w:tc>
      </w:tr>
      <w:tr w:rsidR="00D27B7B" w:rsidRPr="003D7A67" w:rsidTr="003D7A67">
        <w:tc>
          <w:tcPr>
            <w:tcW w:w="3085" w:type="dxa"/>
          </w:tcPr>
          <w:p w:rsidR="00D27B7B" w:rsidRPr="003D7A67" w:rsidRDefault="00D27B7B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3D7A67">
              <w:rPr>
                <w:sz w:val="18"/>
                <w:szCs w:val="18"/>
              </w:rPr>
              <w:t>Ultramat</w:t>
            </w:r>
            <w:proofErr w:type="spellEnd"/>
            <w:r w:rsidRPr="003D7A67">
              <w:rPr>
                <w:sz w:val="18"/>
                <w:szCs w:val="18"/>
              </w:rPr>
              <w:t xml:space="preserve"> 23-7MB2355 – Z – T33</w:t>
            </w:r>
            <w:r w:rsidRPr="000B6EC6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87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CO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NO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SO</w:t>
            </w:r>
            <w:r w:rsidRPr="003D7A67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16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–</w:t>
            </w:r>
          </w:p>
        </w:tc>
      </w:tr>
      <w:tr w:rsidR="00D27B7B" w:rsidRPr="003D7A67" w:rsidTr="003D7A67">
        <w:tc>
          <w:tcPr>
            <w:tcW w:w="3085" w:type="dxa"/>
          </w:tcPr>
          <w:p w:rsidR="00D27B7B" w:rsidRPr="003D7A67" w:rsidRDefault="00D27B7B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3D7A67">
              <w:rPr>
                <w:sz w:val="18"/>
                <w:szCs w:val="18"/>
              </w:rPr>
              <w:t>Ultramat</w:t>
            </w:r>
            <w:proofErr w:type="spellEnd"/>
            <w:r w:rsidRPr="003D7A67">
              <w:rPr>
                <w:sz w:val="18"/>
                <w:szCs w:val="18"/>
              </w:rPr>
              <w:t xml:space="preserve"> 23-7MB2357 – Z – T13</w:t>
            </w:r>
            <w:r w:rsidRPr="000B6EC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CO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NO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SO</w:t>
            </w:r>
            <w:r w:rsidRPr="003D7A67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16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O</w:t>
            </w:r>
            <w:r w:rsidRPr="003D7A67">
              <w:rPr>
                <w:sz w:val="18"/>
                <w:szCs w:val="18"/>
                <w:vertAlign w:val="subscript"/>
              </w:rPr>
              <w:t>2, paramagnetisch</w:t>
            </w:r>
          </w:p>
        </w:tc>
      </w:tr>
      <w:tr w:rsidR="00D27B7B" w:rsidRPr="003D7A67" w:rsidTr="003D7A67">
        <w:tc>
          <w:tcPr>
            <w:tcW w:w="3085" w:type="dxa"/>
          </w:tcPr>
          <w:p w:rsidR="00D27B7B" w:rsidRPr="003D7A67" w:rsidRDefault="00D27B7B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3D7A67">
              <w:rPr>
                <w:sz w:val="18"/>
                <w:szCs w:val="18"/>
              </w:rPr>
              <w:t>Ultramat</w:t>
            </w:r>
            <w:proofErr w:type="spellEnd"/>
            <w:r w:rsidRPr="003D7A67">
              <w:rPr>
                <w:sz w:val="18"/>
                <w:szCs w:val="18"/>
              </w:rPr>
              <w:t xml:space="preserve"> 23-7MB2357 – Z – T23</w:t>
            </w:r>
            <w:r w:rsidRPr="000B6EC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CO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NO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SO</w:t>
            </w:r>
            <w:r w:rsidRPr="003D7A67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16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O</w:t>
            </w:r>
            <w:r w:rsidRPr="003D7A67">
              <w:rPr>
                <w:sz w:val="18"/>
                <w:szCs w:val="18"/>
                <w:vertAlign w:val="subscript"/>
              </w:rPr>
              <w:t>2, elektrochemisch</w:t>
            </w:r>
          </w:p>
        </w:tc>
      </w:tr>
      <w:tr w:rsidR="00D27B7B" w:rsidRPr="003D7A67" w:rsidTr="003D7A67">
        <w:tc>
          <w:tcPr>
            <w:tcW w:w="3085" w:type="dxa"/>
          </w:tcPr>
          <w:p w:rsidR="00D27B7B" w:rsidRPr="003D7A67" w:rsidRDefault="00D27B7B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3D7A67">
              <w:rPr>
                <w:sz w:val="18"/>
                <w:szCs w:val="18"/>
              </w:rPr>
              <w:t>Ultramat</w:t>
            </w:r>
            <w:proofErr w:type="spellEnd"/>
            <w:r w:rsidRPr="003D7A67">
              <w:rPr>
                <w:sz w:val="18"/>
                <w:szCs w:val="18"/>
              </w:rPr>
              <w:t xml:space="preserve"> 23-7MB2357 – Z – T33</w:t>
            </w:r>
            <w:r w:rsidRPr="000B6EC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CO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NO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SO</w:t>
            </w:r>
            <w:r w:rsidRPr="003D7A67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16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3D7A67">
              <w:rPr>
                <w:sz w:val="18"/>
                <w:szCs w:val="18"/>
              </w:rPr>
              <w:t>–</w:t>
            </w:r>
          </w:p>
        </w:tc>
      </w:tr>
      <w:tr w:rsidR="00D27B7B" w:rsidRPr="003D7A67" w:rsidTr="003D7A67">
        <w:tc>
          <w:tcPr>
            <w:tcW w:w="3085" w:type="dxa"/>
          </w:tcPr>
          <w:p w:rsidR="00D27B7B" w:rsidRPr="003D7A67" w:rsidRDefault="00D27B7B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3D7A67">
              <w:rPr>
                <w:sz w:val="18"/>
                <w:szCs w:val="18"/>
                <w:lang w:val="en-US"/>
              </w:rPr>
              <w:t>Ultramat</w:t>
            </w:r>
            <w:proofErr w:type="spellEnd"/>
            <w:r w:rsidRPr="003D7A67">
              <w:rPr>
                <w:sz w:val="18"/>
                <w:szCs w:val="18"/>
                <w:lang w:val="en-US"/>
              </w:rPr>
              <w:t xml:space="preserve"> 23-7MB2358 – Z – T13</w:t>
            </w:r>
            <w:r w:rsidRPr="000B6EC6">
              <w:rPr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587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  <w:lang w:val="en-US"/>
              </w:rPr>
              <w:t>CO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559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  <w:lang w:val="en-US"/>
              </w:rPr>
              <w:t>SO</w:t>
            </w:r>
            <w:r w:rsidRPr="003D7A67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816" w:type="dxa"/>
          </w:tcPr>
          <w:p w:rsidR="00D27B7B" w:rsidRPr="003D7A67" w:rsidRDefault="00D27B7B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  <w:lang w:val="en-US"/>
              </w:rPr>
              <w:t>O</w:t>
            </w:r>
            <w:r w:rsidRPr="003D7A67">
              <w:rPr>
                <w:sz w:val="18"/>
                <w:szCs w:val="18"/>
                <w:vertAlign w:val="subscript"/>
                <w:lang w:val="en-US"/>
              </w:rPr>
              <w:t xml:space="preserve">2, </w:t>
            </w:r>
            <w:r w:rsidRPr="003D7A67">
              <w:rPr>
                <w:sz w:val="18"/>
                <w:szCs w:val="18"/>
                <w:vertAlign w:val="subscript"/>
              </w:rPr>
              <w:t>paramagnetisch</w:t>
            </w:r>
          </w:p>
        </w:tc>
      </w:tr>
      <w:tr w:rsidR="003D7A67" w:rsidRPr="003D7A67" w:rsidTr="003D7A67">
        <w:tc>
          <w:tcPr>
            <w:tcW w:w="3085" w:type="dxa"/>
          </w:tcPr>
          <w:p w:rsidR="003D7A67" w:rsidRPr="003D7A67" w:rsidRDefault="003D7A67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3D7A67">
              <w:rPr>
                <w:sz w:val="18"/>
                <w:szCs w:val="18"/>
              </w:rPr>
              <w:t>Ultramat</w:t>
            </w:r>
            <w:proofErr w:type="spellEnd"/>
            <w:r w:rsidRPr="003D7A67">
              <w:rPr>
                <w:sz w:val="18"/>
                <w:szCs w:val="18"/>
              </w:rPr>
              <w:t xml:space="preserve"> 23-7MB2358 – Z – T23</w:t>
            </w:r>
            <w:r w:rsidRPr="000B6EC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87" w:type="dxa"/>
          </w:tcPr>
          <w:p w:rsidR="003D7A67" w:rsidRPr="003D7A67" w:rsidRDefault="003D7A67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</w:rPr>
              <w:t>CO</w:t>
            </w:r>
          </w:p>
        </w:tc>
        <w:tc>
          <w:tcPr>
            <w:tcW w:w="1559" w:type="dxa"/>
          </w:tcPr>
          <w:p w:rsidR="003D7A67" w:rsidRPr="003D7A67" w:rsidRDefault="003D7A67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</w:rPr>
              <w:t>NO</w:t>
            </w:r>
          </w:p>
        </w:tc>
        <w:tc>
          <w:tcPr>
            <w:tcW w:w="1559" w:type="dxa"/>
          </w:tcPr>
          <w:p w:rsidR="003D7A67" w:rsidRPr="003D7A67" w:rsidRDefault="003D7A67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</w:rPr>
              <w:t>SO</w:t>
            </w:r>
            <w:r w:rsidRPr="003D7A67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16" w:type="dxa"/>
          </w:tcPr>
          <w:p w:rsidR="003D7A67" w:rsidRPr="003D7A67" w:rsidRDefault="003D7A67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</w:rPr>
              <w:t>O</w:t>
            </w:r>
            <w:r w:rsidRPr="003D7A67">
              <w:rPr>
                <w:sz w:val="18"/>
                <w:szCs w:val="18"/>
                <w:vertAlign w:val="subscript"/>
              </w:rPr>
              <w:t>2, elektrochemisch</w:t>
            </w:r>
          </w:p>
        </w:tc>
      </w:tr>
      <w:tr w:rsidR="003D7A67" w:rsidRPr="003D7A67" w:rsidTr="003D7A67">
        <w:tc>
          <w:tcPr>
            <w:tcW w:w="3085" w:type="dxa"/>
          </w:tcPr>
          <w:p w:rsidR="003D7A67" w:rsidRPr="003D7A67" w:rsidRDefault="003D7A67" w:rsidP="00D27B7B">
            <w:pPr>
              <w:pStyle w:val="GesAbsatz"/>
              <w:tabs>
                <w:tab w:val="clear" w:pos="425"/>
              </w:tabs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  <w:lang w:val="en-US"/>
              </w:rPr>
              <w:t>SIPROCESS UV600-7MB2621-Z-Y17</w:t>
            </w:r>
          </w:p>
        </w:tc>
        <w:tc>
          <w:tcPr>
            <w:tcW w:w="1587" w:type="dxa"/>
          </w:tcPr>
          <w:p w:rsidR="003D7A67" w:rsidRPr="003D7A67" w:rsidRDefault="003D7A67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559" w:type="dxa"/>
          </w:tcPr>
          <w:p w:rsidR="003D7A67" w:rsidRPr="003D7A67" w:rsidRDefault="003D7A67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  <w:lang w:val="en-US"/>
              </w:rPr>
              <w:t>NO</w:t>
            </w:r>
            <w:r w:rsidRPr="003D7A67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</w:tcPr>
          <w:p w:rsidR="003D7A67" w:rsidRPr="003D7A67" w:rsidRDefault="003D7A67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  <w:lang w:val="en-US"/>
              </w:rPr>
              <w:t>SO</w:t>
            </w:r>
            <w:r w:rsidRPr="003D7A67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816" w:type="dxa"/>
          </w:tcPr>
          <w:p w:rsidR="003D7A67" w:rsidRPr="003D7A67" w:rsidRDefault="003D7A67" w:rsidP="003D7A67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  <w:lang w:val="en-US"/>
              </w:rPr>
            </w:pPr>
            <w:r w:rsidRPr="003D7A67">
              <w:rPr>
                <w:sz w:val="18"/>
                <w:szCs w:val="18"/>
                <w:lang w:val="en-US"/>
              </w:rPr>
              <w:t>–</w:t>
            </w:r>
          </w:p>
        </w:tc>
      </w:tr>
    </w:tbl>
    <w:p w:rsidR="00B47286" w:rsidRDefault="00B47286" w:rsidP="00B47286">
      <w:pPr>
        <w:pStyle w:val="GesAbsatz"/>
      </w:pPr>
      <w:r w:rsidRPr="000B6EC6">
        <w:rPr>
          <w:vertAlign w:val="superscript"/>
        </w:rPr>
        <w:t>1</w:t>
      </w:r>
      <w:r>
        <w:t xml:space="preserve"> jeweils eine Komponente aus 1 bis 3</w:t>
      </w:r>
    </w:p>
    <w:p w:rsidR="00B47286" w:rsidRDefault="00B47286" w:rsidP="00B47286">
      <w:pPr>
        <w:pStyle w:val="GesAbsatz"/>
      </w:pPr>
      <w:r w:rsidRPr="000B6EC6">
        <w:rPr>
          <w:vertAlign w:val="superscript"/>
        </w:rPr>
        <w:t>2</w:t>
      </w:r>
      <w:r>
        <w:t xml:space="preserve"> jeweils zwei Komponenten aus 1 bis 3</w:t>
      </w:r>
    </w:p>
    <w:p w:rsidR="00B47286" w:rsidRDefault="00B47286" w:rsidP="00B47286">
      <w:pPr>
        <w:pStyle w:val="GesAbsatz"/>
      </w:pPr>
      <w:r w:rsidRPr="000B6EC6">
        <w:rPr>
          <w:vertAlign w:val="superscript"/>
        </w:rPr>
        <w:t>3</w:t>
      </w:r>
      <w:r>
        <w:t xml:space="preserve"> jeweils alle drei Komponenten aus 1 bis 3</w:t>
      </w:r>
    </w:p>
    <w:p w:rsidR="009D4CF5" w:rsidRDefault="009D4CF5" w:rsidP="00B47286">
      <w:pPr>
        <w:pStyle w:val="GesAbsatz"/>
      </w:pPr>
    </w:p>
    <w:p w:rsidR="00B47286" w:rsidRDefault="00B47286" w:rsidP="009D4CF5">
      <w:pPr>
        <w:pStyle w:val="GesAbsatz"/>
        <w:tabs>
          <w:tab w:val="left" w:pos="2127"/>
        </w:tabs>
      </w:pPr>
      <w:r>
        <w:t>Softwareversionen:</w:t>
      </w:r>
      <w:r w:rsidR="009D4CF5">
        <w:tab/>
      </w:r>
      <w:proofErr w:type="spellStart"/>
      <w:r>
        <w:t>Ultramat</w:t>
      </w:r>
      <w:proofErr w:type="spellEnd"/>
      <w:r>
        <w:t xml:space="preserve"> 23-7MB2355: 2.15.05</w:t>
      </w:r>
    </w:p>
    <w:p w:rsidR="00B47286" w:rsidRDefault="00B47286" w:rsidP="009D4CF5">
      <w:pPr>
        <w:pStyle w:val="GesAbsatz"/>
        <w:ind w:left="2127"/>
      </w:pPr>
      <w:proofErr w:type="spellStart"/>
      <w:r>
        <w:t>Ultramat</w:t>
      </w:r>
      <w:proofErr w:type="spellEnd"/>
      <w:r>
        <w:t xml:space="preserve"> 23-7MB2357: 2.15.05</w:t>
      </w:r>
    </w:p>
    <w:p w:rsidR="00B47286" w:rsidRPr="007B0C37" w:rsidRDefault="00B47286" w:rsidP="009D4CF5">
      <w:pPr>
        <w:pStyle w:val="GesAbsatz"/>
        <w:ind w:left="2127"/>
        <w:rPr>
          <w:lang w:val="en-US"/>
        </w:rPr>
      </w:pPr>
      <w:proofErr w:type="spellStart"/>
      <w:r w:rsidRPr="007B0C37">
        <w:rPr>
          <w:lang w:val="en-US"/>
        </w:rPr>
        <w:t>Ultramat</w:t>
      </w:r>
      <w:proofErr w:type="spellEnd"/>
      <w:r w:rsidRPr="007B0C37">
        <w:rPr>
          <w:lang w:val="en-US"/>
        </w:rPr>
        <w:t xml:space="preserve"> 23-7MB2358: 2.15.05</w:t>
      </w:r>
    </w:p>
    <w:p w:rsidR="00B47286" w:rsidRPr="007B0C37" w:rsidRDefault="00B47286" w:rsidP="009D4CF5">
      <w:pPr>
        <w:pStyle w:val="GesAbsatz"/>
        <w:ind w:left="2127"/>
        <w:rPr>
          <w:lang w:val="en-US"/>
        </w:rPr>
      </w:pPr>
      <w:r w:rsidRPr="007B0C37">
        <w:rPr>
          <w:lang w:val="en-US"/>
        </w:rPr>
        <w:t>SIPROCESS UV600-7MB2621</w:t>
      </w:r>
    </w:p>
    <w:p w:rsidR="00B47286" w:rsidRPr="007B0C37" w:rsidRDefault="00B47286" w:rsidP="009D4CF5">
      <w:pPr>
        <w:pStyle w:val="GesAbsatz"/>
        <w:ind w:left="2552"/>
        <w:rPr>
          <w:lang w:val="en-US"/>
        </w:rPr>
      </w:pPr>
      <w:r w:rsidRPr="007B0C37">
        <w:rPr>
          <w:lang w:val="en-US"/>
        </w:rPr>
        <w:t>BCU: 9150883_3.003</w:t>
      </w:r>
    </w:p>
    <w:p w:rsidR="00B47286" w:rsidRPr="007B0C37" w:rsidRDefault="00B47286" w:rsidP="009D4CF5">
      <w:pPr>
        <w:pStyle w:val="GesAbsatz"/>
        <w:ind w:left="2552"/>
        <w:rPr>
          <w:lang w:val="en-US"/>
        </w:rPr>
      </w:pPr>
      <w:proofErr w:type="spellStart"/>
      <w:r w:rsidRPr="007B0C37">
        <w:rPr>
          <w:lang w:val="en-US"/>
        </w:rPr>
        <w:t>Gasmodul</w:t>
      </w:r>
      <w:proofErr w:type="spellEnd"/>
      <w:r w:rsidRPr="007B0C37">
        <w:rPr>
          <w:lang w:val="en-US"/>
        </w:rPr>
        <w:t xml:space="preserve"> 9137582_3.002</w:t>
      </w:r>
    </w:p>
    <w:p w:rsidR="00B47286" w:rsidRPr="007B0C37" w:rsidRDefault="00B47286" w:rsidP="009D4CF5">
      <w:pPr>
        <w:pStyle w:val="GesAbsatz"/>
        <w:ind w:left="2552"/>
        <w:rPr>
          <w:lang w:val="en-US"/>
        </w:rPr>
      </w:pPr>
      <w:r w:rsidRPr="007B0C37">
        <w:rPr>
          <w:lang w:val="en-US"/>
        </w:rPr>
        <w:t>UV-Modul 9139736_3.003</w:t>
      </w:r>
    </w:p>
    <w:p w:rsidR="00B47286" w:rsidRPr="007B0C37" w:rsidRDefault="00B47286" w:rsidP="009D4CF5">
      <w:pPr>
        <w:pStyle w:val="GesAbsatz"/>
        <w:ind w:left="2127"/>
        <w:rPr>
          <w:lang w:val="en-US"/>
        </w:rPr>
      </w:pPr>
      <w:r w:rsidRPr="007B0C37">
        <w:rPr>
          <w:lang w:val="en-US"/>
        </w:rPr>
        <w:t>SPS: Set CEM CERT Rev. 1.0</w:t>
      </w:r>
    </w:p>
    <w:p w:rsidR="00B47286" w:rsidRDefault="00B47286" w:rsidP="00B47286">
      <w:pPr>
        <w:pStyle w:val="GesAbsatz"/>
      </w:pPr>
      <w:r>
        <w:t>Einschränkungen:</w:t>
      </w:r>
    </w:p>
    <w:p w:rsidR="00B47286" w:rsidRDefault="00B47286" w:rsidP="009D4CF5">
      <w:pPr>
        <w:pStyle w:val="GesAbsatz"/>
        <w:ind w:left="426" w:hanging="426"/>
      </w:pPr>
      <w:r>
        <w:t>1.</w:t>
      </w:r>
      <w:r w:rsidR="009D4CF5">
        <w:tab/>
      </w:r>
      <w:r>
        <w:t>Die Anforderung an die Gesamtunsicherheit bei der Eignungsprüfung nach DIN EN 15267 wird im M</w:t>
      </w:r>
      <w:r>
        <w:t>o</w:t>
      </w:r>
      <w:r>
        <w:t xml:space="preserve">dul </w:t>
      </w:r>
      <w:proofErr w:type="spellStart"/>
      <w:r>
        <w:t>Ultramat</w:t>
      </w:r>
      <w:proofErr w:type="spellEnd"/>
      <w:r w:rsidR="009D4CF5">
        <w:t xml:space="preserve"> </w:t>
      </w:r>
      <w:r>
        <w:t>23-7MB2358 für die Komponente CO nicht erfüllt und für die Komponente SO</w:t>
      </w:r>
      <w:r w:rsidRPr="009D4CF5">
        <w:rPr>
          <w:vertAlign w:val="subscript"/>
        </w:rPr>
        <w:t>2</w:t>
      </w:r>
      <w:r>
        <w:t xml:space="preserve"> nur teilwe</w:t>
      </w:r>
      <w:r>
        <w:t>i</w:t>
      </w:r>
      <w:r>
        <w:t>se erfüllt.</w:t>
      </w:r>
    </w:p>
    <w:p w:rsidR="00B47286" w:rsidRDefault="00B47286" w:rsidP="009D4CF5">
      <w:pPr>
        <w:pStyle w:val="GesAbsatz"/>
        <w:ind w:left="426" w:hanging="426"/>
      </w:pPr>
      <w:r>
        <w:t>2.</w:t>
      </w:r>
      <w:r w:rsidR="009D4CF5">
        <w:tab/>
      </w:r>
      <w:r>
        <w:t xml:space="preserve">Die Gehäuseschutzklasse beträgt für die Module </w:t>
      </w:r>
      <w:proofErr w:type="spellStart"/>
      <w:r>
        <w:t>Ultramat</w:t>
      </w:r>
      <w:proofErr w:type="spellEnd"/>
      <w:r>
        <w:t xml:space="preserve"> 23-7MB2355, </w:t>
      </w:r>
      <w:proofErr w:type="spellStart"/>
      <w:r>
        <w:t>Ultramat</w:t>
      </w:r>
      <w:proofErr w:type="spellEnd"/>
      <w:r>
        <w:t xml:space="preserve"> 23-7MB2357 und </w:t>
      </w:r>
      <w:proofErr w:type="spellStart"/>
      <w:r>
        <w:t>Ultramat</w:t>
      </w:r>
      <w:proofErr w:type="spellEnd"/>
      <w:r w:rsidR="009D4CF5">
        <w:t xml:space="preserve"> </w:t>
      </w:r>
      <w:r>
        <w:t>23-7MB2358 IP 20. Sollten die Einsatzbedingungen eine höhere Gehäuseschutzklasse erfo</w:t>
      </w:r>
      <w:r>
        <w:t>r</w:t>
      </w:r>
      <w:r>
        <w:t>dern, so sind die Analysenmodule</w:t>
      </w:r>
      <w:r w:rsidR="009D4CF5">
        <w:t xml:space="preserve"> </w:t>
      </w:r>
      <w:r>
        <w:t>in einen Messschrank mit entsprechender Schutzklasse zu integri</w:t>
      </w:r>
      <w:r>
        <w:t>e</w:t>
      </w:r>
      <w:r>
        <w:t>ren.</w:t>
      </w:r>
    </w:p>
    <w:p w:rsidR="00B47286" w:rsidRDefault="00B47286" w:rsidP="00B47286">
      <w:pPr>
        <w:pStyle w:val="GesAbsatz"/>
      </w:pPr>
      <w:r>
        <w:t>Hinweise:</w:t>
      </w:r>
    </w:p>
    <w:p w:rsidR="00B47286" w:rsidRDefault="00B47286" w:rsidP="009D4CF5">
      <w:pPr>
        <w:pStyle w:val="GesAbsatz"/>
        <w:ind w:left="426" w:hanging="426"/>
      </w:pPr>
      <w:r>
        <w:t>1.</w:t>
      </w:r>
      <w:r w:rsidR="009D4CF5">
        <w:tab/>
      </w:r>
      <w:r>
        <w:t>Das modulare Messsystem Set CEM CERT 7MB1957 kann bei Ausstattung mit dem Modul SIPR</w:t>
      </w:r>
      <w:r>
        <w:t>O</w:t>
      </w:r>
      <w:r>
        <w:t>CESS</w:t>
      </w:r>
      <w:r w:rsidR="009D4CF5">
        <w:t xml:space="preserve"> </w:t>
      </w:r>
      <w:r>
        <w:t>UV600-7MB2621 für die Überwachung der Komponenten NO, NO</w:t>
      </w:r>
      <w:r w:rsidRPr="009D4CF5">
        <w:rPr>
          <w:vertAlign w:val="subscript"/>
        </w:rPr>
        <w:t>2</w:t>
      </w:r>
      <w:r>
        <w:t xml:space="preserve"> und SO</w:t>
      </w:r>
      <w:r w:rsidRPr="009D4CF5">
        <w:rPr>
          <w:vertAlign w:val="subscript"/>
        </w:rPr>
        <w:t>2</w:t>
      </w:r>
      <w:r>
        <w:t xml:space="preserve"> auch an Anlagen gemäß der</w:t>
      </w:r>
      <w:r w:rsidR="009D4CF5">
        <w:t xml:space="preserve"> </w:t>
      </w:r>
      <w:r>
        <w:t>17. BImSchV eingesetzt werden.</w:t>
      </w:r>
    </w:p>
    <w:p w:rsidR="00B47286" w:rsidRDefault="00B47286" w:rsidP="009D4CF5">
      <w:pPr>
        <w:pStyle w:val="GesAbsatz"/>
        <w:ind w:left="426" w:hanging="426"/>
      </w:pPr>
      <w:r>
        <w:t>2.</w:t>
      </w:r>
      <w:r w:rsidR="009D4CF5">
        <w:tab/>
      </w:r>
      <w:r>
        <w:t>Die Module (ausgenommen SIPROCESS UV600-7MB2621) sind mit einem Intervall von 24 h für die automatische</w:t>
      </w:r>
      <w:r w:rsidR="009D4CF5">
        <w:t xml:space="preserve"> </w:t>
      </w:r>
      <w:r>
        <w:t>Justierung zu betreiben.</w:t>
      </w:r>
    </w:p>
    <w:p w:rsidR="00B47286" w:rsidRDefault="00B47286" w:rsidP="009D4CF5">
      <w:pPr>
        <w:pStyle w:val="GesAbsatz"/>
        <w:ind w:left="426" w:hanging="426"/>
      </w:pPr>
      <w:r>
        <w:t>3.</w:t>
      </w:r>
      <w:r w:rsidR="009D4CF5">
        <w:tab/>
      </w:r>
      <w:r>
        <w:t>Um die Querempfindlichkeit am Messkanal CO gegenüber CO</w:t>
      </w:r>
      <w:r w:rsidRPr="009D4CF5">
        <w:rPr>
          <w:vertAlign w:val="subscript"/>
        </w:rPr>
        <w:t>2</w:t>
      </w:r>
      <w:r>
        <w:t xml:space="preserve"> zu optimieren, werden die Module </w:t>
      </w:r>
      <w:proofErr w:type="spellStart"/>
      <w:r>
        <w:t>Ul</w:t>
      </w:r>
      <w:r>
        <w:t>t</w:t>
      </w:r>
      <w:r>
        <w:t>ramat</w:t>
      </w:r>
      <w:proofErr w:type="spellEnd"/>
      <w:r w:rsidR="009D4CF5">
        <w:t xml:space="preserve"> </w:t>
      </w:r>
      <w:r>
        <w:t xml:space="preserve">23-7MB2355, </w:t>
      </w:r>
      <w:proofErr w:type="spellStart"/>
      <w:r>
        <w:t>Ultramat</w:t>
      </w:r>
      <w:proofErr w:type="spellEnd"/>
      <w:r>
        <w:t xml:space="preserve"> 23-7MB2357 und </w:t>
      </w:r>
      <w:proofErr w:type="spellStart"/>
      <w:r>
        <w:t>Ultramat</w:t>
      </w:r>
      <w:proofErr w:type="spellEnd"/>
      <w:r>
        <w:t xml:space="preserve"> 23-7MB2358 der Messeinrichtung Set CEM CERT 7MB1957</w:t>
      </w:r>
      <w:r w:rsidR="009D4CF5">
        <w:t xml:space="preserve"> </w:t>
      </w:r>
      <w:r>
        <w:t>ab dem Fertigungsmonat April 2014, kenntlich gemacht in der Seriennummer ab E4 im Mittelblock, mit geändertem</w:t>
      </w:r>
      <w:r w:rsidR="009D4CF5">
        <w:t xml:space="preserve"> </w:t>
      </w:r>
      <w:r>
        <w:t>CO-Empfänger vertrieben.</w:t>
      </w:r>
    </w:p>
    <w:p w:rsidR="00B47286" w:rsidRDefault="00B47286" w:rsidP="009D4CF5">
      <w:pPr>
        <w:pStyle w:val="GesAbsatz"/>
        <w:ind w:left="426" w:hanging="426"/>
      </w:pPr>
      <w:r>
        <w:t>4.</w:t>
      </w:r>
      <w:r w:rsidR="009D4CF5">
        <w:tab/>
      </w:r>
      <w:r>
        <w:t>Die Module (ausgenommen SIPROCESS UV600-7MB2621) sind mit aktivierter Thermo-AUTOCAL-Funktion zu betreiben.</w:t>
      </w:r>
    </w:p>
    <w:p w:rsidR="00B47286" w:rsidRDefault="00B47286" w:rsidP="009D4CF5">
      <w:pPr>
        <w:pStyle w:val="GesAbsatz"/>
        <w:ind w:left="426" w:hanging="426"/>
      </w:pPr>
      <w:r>
        <w:t>5.</w:t>
      </w:r>
      <w:r w:rsidR="009D4CF5">
        <w:tab/>
      </w:r>
      <w:r>
        <w:t>Das modulare Messsystem Set CEM CERT 7MB1957 kann alternativ mit einer Messgasentnahmeso</w:t>
      </w:r>
      <w:r>
        <w:t>n</w:t>
      </w:r>
      <w:r>
        <w:t>de (SP2000-H)</w:t>
      </w:r>
      <w:r w:rsidR="009D4CF5">
        <w:t xml:space="preserve"> </w:t>
      </w:r>
      <w:r>
        <w:t xml:space="preserve">der Firma M&amp;C </w:t>
      </w:r>
      <w:proofErr w:type="spellStart"/>
      <w:r>
        <w:t>TechGroup</w:t>
      </w:r>
      <w:proofErr w:type="spellEnd"/>
      <w:r>
        <w:t xml:space="preserve"> Germany GmbH und einem Messgaskühler (EGK 2-19) der Firma Bühler Technologies</w:t>
      </w:r>
      <w:r w:rsidR="009D4CF5">
        <w:t xml:space="preserve"> </w:t>
      </w:r>
      <w:r>
        <w:t>GmbH ausgestattet sein.</w:t>
      </w:r>
    </w:p>
    <w:p w:rsidR="00B47286" w:rsidRDefault="00B47286" w:rsidP="009D4CF5">
      <w:pPr>
        <w:pStyle w:val="GesAbsatz"/>
        <w:ind w:left="426" w:hanging="426"/>
      </w:pPr>
      <w:r>
        <w:t>6.</w:t>
      </w:r>
      <w:r w:rsidR="009D4CF5">
        <w:tab/>
      </w:r>
      <w:r>
        <w:t>Im modularen Messsystem Set CEM CERT 7MB1957 kann der Messgaskühler (EGK 2-19) der Firma Bühler Technologies</w:t>
      </w:r>
      <w:r w:rsidR="009D4CF5">
        <w:t xml:space="preserve"> </w:t>
      </w:r>
      <w:r>
        <w:t>GmbH mit PVDF- oder Glaskühlkörper ausgestattet sein. Für das Modul SIPR</w:t>
      </w:r>
      <w:r>
        <w:t>O</w:t>
      </w:r>
      <w:r>
        <w:t>CESS UV600-7MB2621 ist</w:t>
      </w:r>
      <w:r w:rsidR="009D4CF5">
        <w:t xml:space="preserve"> </w:t>
      </w:r>
      <w:r>
        <w:t>immer der Glaskühlkörper einzusetzen.</w:t>
      </w:r>
    </w:p>
    <w:p w:rsidR="00B47286" w:rsidRDefault="00B47286" w:rsidP="009D4CF5">
      <w:pPr>
        <w:pStyle w:val="GesAbsatz"/>
        <w:ind w:left="426" w:hanging="426"/>
      </w:pPr>
      <w:r>
        <w:t>7.</w:t>
      </w:r>
      <w:r w:rsidR="009D4CF5">
        <w:tab/>
      </w:r>
      <w:r>
        <w:t xml:space="preserve">Das modulare Messsystem Set CEM CERT 7MB1957 ist für die Bestimmung von </w:t>
      </w:r>
      <w:proofErr w:type="spellStart"/>
      <w:r>
        <w:t>NO</w:t>
      </w:r>
      <w:r w:rsidRPr="009D4CF5">
        <w:rPr>
          <w:vertAlign w:val="subscript"/>
        </w:rPr>
        <w:t>x</w:t>
      </w:r>
      <w:proofErr w:type="spellEnd"/>
      <w:r>
        <w:t xml:space="preserve"> mit einem </w:t>
      </w:r>
      <w:proofErr w:type="spellStart"/>
      <w:r>
        <w:t>NO</w:t>
      </w:r>
      <w:r w:rsidRPr="009D4CF5">
        <w:rPr>
          <w:vertAlign w:val="subscript"/>
        </w:rPr>
        <w:t>x</w:t>
      </w:r>
      <w:proofErr w:type="spellEnd"/>
      <w:r>
        <w:t>-Konverter der</w:t>
      </w:r>
      <w:r w:rsidR="009D4CF5">
        <w:t xml:space="preserve"> </w:t>
      </w:r>
      <w:r>
        <w:t xml:space="preserve">Firma M&amp;C </w:t>
      </w:r>
      <w:proofErr w:type="spellStart"/>
      <w:r>
        <w:t>TechGroup</w:t>
      </w:r>
      <w:proofErr w:type="spellEnd"/>
      <w:r>
        <w:t xml:space="preserve"> Germany GmbH, Typ Gas Konverter CG-2, ausgestattet.</w:t>
      </w:r>
    </w:p>
    <w:p w:rsidR="00B47286" w:rsidRDefault="00B47286" w:rsidP="009D4CF5">
      <w:pPr>
        <w:pStyle w:val="GesAbsatz"/>
        <w:ind w:left="426" w:hanging="426"/>
      </w:pPr>
      <w:r>
        <w:t>8.</w:t>
      </w:r>
      <w:r w:rsidR="009D4CF5">
        <w:tab/>
      </w:r>
      <w:r>
        <w:t xml:space="preserve">Das Wartungsintervall des Moduls </w:t>
      </w:r>
      <w:proofErr w:type="spellStart"/>
      <w:r>
        <w:t>Ultramat</w:t>
      </w:r>
      <w:proofErr w:type="spellEnd"/>
      <w:r>
        <w:t xml:space="preserve"> 23-7MB2358 beträgt drei Monate. Im Falle einer Erweit</w:t>
      </w:r>
      <w:r>
        <w:t>e</w:t>
      </w:r>
      <w:r>
        <w:t>rung um weitere</w:t>
      </w:r>
      <w:r w:rsidR="009D4CF5">
        <w:t xml:space="preserve"> </w:t>
      </w:r>
      <w:r>
        <w:t>Module des Set CEM CERT 7MB1957 ist die Funktionsfähigkeit der jeweiligen Z</w:t>
      </w:r>
      <w:r>
        <w:t>u</w:t>
      </w:r>
      <w:r>
        <w:t>sammenstellung der Module</w:t>
      </w:r>
      <w:r w:rsidR="009D4CF5">
        <w:t xml:space="preserve"> </w:t>
      </w:r>
      <w:r>
        <w:t>im Rahmen der Prüfung des ordnungsgemäßen Einbaus zu prüfen und das Wartungsintervall zu bestimmen.</w:t>
      </w:r>
    </w:p>
    <w:p w:rsidR="00B47286" w:rsidRDefault="00B47286" w:rsidP="009D4CF5">
      <w:pPr>
        <w:pStyle w:val="GesAbsatz"/>
        <w:ind w:left="426" w:hanging="426"/>
      </w:pPr>
      <w:r>
        <w:t>9.</w:t>
      </w:r>
      <w:r w:rsidR="009D4CF5">
        <w:tab/>
      </w:r>
      <w:r>
        <w:t xml:space="preserve">Das Wartungsintervall der Module </w:t>
      </w:r>
      <w:proofErr w:type="spellStart"/>
      <w:r>
        <w:t>Ultramat</w:t>
      </w:r>
      <w:proofErr w:type="spellEnd"/>
      <w:r>
        <w:t xml:space="preserve"> 23-7MB2355 und </w:t>
      </w:r>
      <w:proofErr w:type="spellStart"/>
      <w:r>
        <w:t>Ultramat</w:t>
      </w:r>
      <w:proofErr w:type="spellEnd"/>
      <w:r>
        <w:t xml:space="preserve"> 23-7MB2357 beträgt vier W</w:t>
      </w:r>
      <w:r>
        <w:t>o</w:t>
      </w:r>
      <w:r>
        <w:t>chen. Im Fall</w:t>
      </w:r>
      <w:r w:rsidR="009D4CF5">
        <w:t xml:space="preserve"> </w:t>
      </w:r>
      <w:r>
        <w:t>einer Erweiterung um weitere Module des Set CEM CERT 7MB1957 ist die Funktionsf</w:t>
      </w:r>
      <w:r>
        <w:t>ä</w:t>
      </w:r>
      <w:r>
        <w:t>higkeit der jeweiligen Zusammenstellung</w:t>
      </w:r>
      <w:r w:rsidR="009D4CF5">
        <w:t xml:space="preserve"> </w:t>
      </w:r>
      <w:r>
        <w:t>der Module im Rahmen der Prüfung des ordnungsgemäßen Einbaus zu prüfen und das Wartungsintervall</w:t>
      </w:r>
      <w:r w:rsidR="009D4CF5">
        <w:t xml:space="preserve"> </w:t>
      </w:r>
      <w:r>
        <w:t>zu bestimmen.</w:t>
      </w:r>
    </w:p>
    <w:p w:rsidR="00B47286" w:rsidRDefault="00B47286" w:rsidP="009D4CF5">
      <w:pPr>
        <w:pStyle w:val="GesAbsatz"/>
        <w:ind w:left="426" w:hanging="426"/>
      </w:pPr>
      <w:r>
        <w:t>10.</w:t>
      </w:r>
      <w:r w:rsidR="009D4CF5">
        <w:tab/>
      </w:r>
      <w:r>
        <w:t>Das Wartungsintervall für das Modul SIPROCESS UV600-7MB2621 beträgt zwei Wochen. Im Fall einer Erweiterung</w:t>
      </w:r>
      <w:r w:rsidR="009D4CF5">
        <w:t xml:space="preserve"> </w:t>
      </w:r>
      <w:r>
        <w:t>um weitere Module des Set CEM CERT 7MB1957 ist die Funktionsfähigkeit der jeweiligen Zusammenstellung der</w:t>
      </w:r>
      <w:r w:rsidR="009D4CF5">
        <w:t xml:space="preserve"> </w:t>
      </w:r>
      <w:r>
        <w:t>Module im Rahmen der Prüfung des ordnungsgemäßen Einbaus zu prüfen und das Wartungsintervall zu bestimmen.</w:t>
      </w:r>
    </w:p>
    <w:p w:rsidR="00B47286" w:rsidRDefault="00B47286" w:rsidP="009D4CF5">
      <w:pPr>
        <w:pStyle w:val="GesAbsatz"/>
        <w:ind w:left="426" w:hanging="426"/>
      </w:pPr>
      <w:r>
        <w:t>11.</w:t>
      </w:r>
      <w:r w:rsidR="009D4CF5">
        <w:tab/>
      </w:r>
      <w:r>
        <w:t>Ergänzungsprüfung (Zulassung des Moduls SIPROCESS UV600-7MB2621, Zulassung des modifizie</w:t>
      </w:r>
      <w:r>
        <w:t>r</w:t>
      </w:r>
      <w:r>
        <w:t>ten Kühlers</w:t>
      </w:r>
      <w:r w:rsidR="009D4CF5">
        <w:t xml:space="preserve"> </w:t>
      </w:r>
      <w:r>
        <w:t>mit Glaskühlkörper) zu der Bekanntmachung des Umweltbundesamtes vom 25. Febr</w:t>
      </w:r>
      <w:r>
        <w:t>u</w:t>
      </w:r>
      <w:r>
        <w:t>ar</w:t>
      </w:r>
      <w:r w:rsidR="009D4CF5">
        <w:t> </w:t>
      </w:r>
      <w:r>
        <w:t>2015 (BAnz AT 02.04.2015</w:t>
      </w:r>
      <w:r w:rsidR="009D4CF5">
        <w:t xml:space="preserve"> </w:t>
      </w:r>
      <w:r>
        <w:t>B5, Kapitel 1 Nummer 4.1 sowie Kapitel IV 43. Mitteilung).</w:t>
      </w:r>
    </w:p>
    <w:p w:rsidR="00B47286" w:rsidRDefault="00B47286" w:rsidP="00B47286">
      <w:pPr>
        <w:pStyle w:val="GesAbsatz"/>
      </w:pPr>
      <w:r>
        <w:t>Prüfbericht: TÜV SÜD Industrie Service GmbH, München</w:t>
      </w:r>
    </w:p>
    <w:p w:rsidR="00B47286" w:rsidRDefault="00B47286" w:rsidP="00B47286">
      <w:pPr>
        <w:pStyle w:val="GesAbsatz"/>
      </w:pPr>
      <w:r>
        <w:t>Bericht-Nr.: 2219424 vom 20. März 2015</w:t>
      </w:r>
    </w:p>
    <w:p w:rsidR="00B47286" w:rsidRDefault="00B47286" w:rsidP="009D4CF5">
      <w:pPr>
        <w:pStyle w:val="berschrift2"/>
      </w:pPr>
      <w:r>
        <w:t>II.</w:t>
      </w:r>
      <w:r w:rsidR="009D4CF5">
        <w:br/>
      </w:r>
      <w:r>
        <w:t>Eignung für Messeinrichtungen zur kontinuierlichen Messung</w:t>
      </w:r>
      <w:r w:rsidR="009D4CF5">
        <w:br/>
      </w:r>
      <w:r>
        <w:t>von Bezugsgrößen/Betriebsgrößen</w:t>
      </w:r>
    </w:p>
    <w:p w:rsidR="00B47286" w:rsidRPr="009D4CF5" w:rsidRDefault="00B47286" w:rsidP="00B47286">
      <w:pPr>
        <w:pStyle w:val="GesAbsatz"/>
        <w:rPr>
          <w:b/>
        </w:rPr>
      </w:pPr>
      <w:r w:rsidRPr="009D4CF5">
        <w:rPr>
          <w:b/>
        </w:rPr>
        <w:t>1</w:t>
      </w:r>
      <w:r w:rsidR="009D4CF5" w:rsidRPr="009D4CF5">
        <w:rPr>
          <w:b/>
        </w:rPr>
        <w:tab/>
      </w:r>
      <w:r w:rsidRPr="009D4CF5">
        <w:rPr>
          <w:b/>
        </w:rPr>
        <w:t>Abgasgeschwindigkeit</w:t>
      </w:r>
    </w:p>
    <w:p w:rsidR="00B47286" w:rsidRPr="009D4CF5" w:rsidRDefault="00B47286" w:rsidP="00B47286">
      <w:pPr>
        <w:pStyle w:val="GesAbsatz"/>
        <w:rPr>
          <w:b/>
        </w:rPr>
      </w:pPr>
      <w:r w:rsidRPr="009D4CF5">
        <w:rPr>
          <w:b/>
        </w:rPr>
        <w:t>1.1</w:t>
      </w:r>
      <w:r w:rsidR="009D4CF5" w:rsidRPr="009D4CF5">
        <w:rPr>
          <w:b/>
        </w:rPr>
        <w:tab/>
      </w:r>
      <w:r w:rsidRPr="009D4CF5">
        <w:rPr>
          <w:b/>
        </w:rPr>
        <w:t>STACKFLØW 400 für Abgasgeschwindigkeit</w:t>
      </w:r>
    </w:p>
    <w:p w:rsidR="00B47286" w:rsidRDefault="00B47286" w:rsidP="00B47286">
      <w:pPr>
        <w:pStyle w:val="GesAbsatz"/>
      </w:pPr>
      <w:r>
        <w:t>Hersteller: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PCME Ltd., St. Ives, UK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B90F66">
        <w:t>Eignung</w:t>
      </w:r>
      <w:r w:rsidRPr="007B0C37">
        <w:rPr>
          <w:lang w:val="en-US"/>
        </w:rPr>
        <w:t>:</w:t>
      </w:r>
    </w:p>
    <w:p w:rsidR="00B47286" w:rsidRDefault="00B47286" w:rsidP="00B47286">
      <w:pPr>
        <w:pStyle w:val="GesAbsatz"/>
      </w:pPr>
      <w:r>
        <w:t>Messungen an genehmigungsbedürftigen Anlagen sowie Anlagen der 27. BImSchV</w:t>
      </w:r>
    </w:p>
    <w:p w:rsidR="00B47286" w:rsidRDefault="00B47286" w:rsidP="00B47286">
      <w:pPr>
        <w:pStyle w:val="GesAbsatz"/>
      </w:pPr>
      <w:r>
        <w:t>Messbereiche in der Eignungsprüfung:</w:t>
      </w:r>
    </w:p>
    <w:tbl>
      <w:tblPr>
        <w:tblStyle w:val="Tabellenraster"/>
        <w:tblW w:w="9491" w:type="dxa"/>
        <w:tblLook w:val="04A0" w:firstRow="1" w:lastRow="0" w:firstColumn="1" w:lastColumn="0" w:noHBand="0" w:noVBand="1"/>
      </w:tblPr>
      <w:tblGrid>
        <w:gridCol w:w="2518"/>
        <w:gridCol w:w="2552"/>
        <w:gridCol w:w="2693"/>
        <w:gridCol w:w="1728"/>
      </w:tblGrid>
      <w:tr w:rsidR="0000140A" w:rsidRPr="0000140A" w:rsidTr="0000140A">
        <w:tc>
          <w:tcPr>
            <w:tcW w:w="2518" w:type="dxa"/>
          </w:tcPr>
          <w:p w:rsidR="0000140A" w:rsidRPr="0000140A" w:rsidRDefault="0000140A" w:rsidP="0000140A">
            <w:pPr>
              <w:pStyle w:val="GesAbsatz"/>
              <w:tabs>
                <w:tab w:val="clear" w:pos="425"/>
              </w:tabs>
              <w:jc w:val="center"/>
            </w:pPr>
            <w:r w:rsidRPr="0000140A">
              <w:t>Komponente</w:t>
            </w:r>
          </w:p>
        </w:tc>
        <w:tc>
          <w:tcPr>
            <w:tcW w:w="2552" w:type="dxa"/>
          </w:tcPr>
          <w:p w:rsidR="0000140A" w:rsidRPr="0000140A" w:rsidRDefault="0000140A" w:rsidP="0000140A">
            <w:pPr>
              <w:pStyle w:val="GesAbsatz"/>
              <w:tabs>
                <w:tab w:val="clear" w:pos="425"/>
              </w:tabs>
              <w:jc w:val="center"/>
            </w:pPr>
            <w:r w:rsidRPr="0000140A">
              <w:t>Zertifizierungsbereich</w:t>
            </w:r>
          </w:p>
        </w:tc>
        <w:tc>
          <w:tcPr>
            <w:tcW w:w="2693" w:type="dxa"/>
          </w:tcPr>
          <w:p w:rsidR="0000140A" w:rsidRPr="0000140A" w:rsidRDefault="0000140A" w:rsidP="0000140A">
            <w:pPr>
              <w:pStyle w:val="GesAbsatz"/>
              <w:tabs>
                <w:tab w:val="clear" w:pos="425"/>
              </w:tabs>
              <w:jc w:val="center"/>
            </w:pPr>
            <w:r w:rsidRPr="0000140A">
              <w:t>zusätzlicher Messbereich</w:t>
            </w:r>
          </w:p>
        </w:tc>
        <w:tc>
          <w:tcPr>
            <w:tcW w:w="1728" w:type="dxa"/>
          </w:tcPr>
          <w:p w:rsidR="0000140A" w:rsidRPr="0000140A" w:rsidRDefault="0000140A" w:rsidP="0000140A">
            <w:pPr>
              <w:pStyle w:val="GesAbsatz"/>
              <w:tabs>
                <w:tab w:val="clear" w:pos="425"/>
              </w:tabs>
              <w:jc w:val="center"/>
            </w:pPr>
            <w:r w:rsidRPr="0000140A">
              <w:t>Einheit</w:t>
            </w:r>
          </w:p>
        </w:tc>
      </w:tr>
      <w:tr w:rsidR="0000140A" w:rsidRPr="0000140A" w:rsidTr="0000140A">
        <w:tc>
          <w:tcPr>
            <w:tcW w:w="2518" w:type="dxa"/>
          </w:tcPr>
          <w:p w:rsidR="0000140A" w:rsidRPr="0000140A" w:rsidRDefault="0000140A" w:rsidP="00D60AB1">
            <w:pPr>
              <w:pStyle w:val="GesAbsatz"/>
              <w:tabs>
                <w:tab w:val="clear" w:pos="425"/>
              </w:tabs>
            </w:pPr>
            <w:r w:rsidRPr="0000140A">
              <w:t>Abgasgeschwindigkeit</w:t>
            </w:r>
          </w:p>
        </w:tc>
        <w:tc>
          <w:tcPr>
            <w:tcW w:w="2552" w:type="dxa"/>
          </w:tcPr>
          <w:p w:rsidR="0000140A" w:rsidRPr="0000140A" w:rsidRDefault="0000140A" w:rsidP="0000140A">
            <w:pPr>
              <w:pStyle w:val="GesAbsatz"/>
              <w:tabs>
                <w:tab w:val="clear" w:pos="425"/>
              </w:tabs>
              <w:jc w:val="center"/>
            </w:pPr>
            <w:r w:rsidRPr="0000140A">
              <w:t>0 – 30</w:t>
            </w:r>
          </w:p>
        </w:tc>
        <w:tc>
          <w:tcPr>
            <w:tcW w:w="2693" w:type="dxa"/>
          </w:tcPr>
          <w:p w:rsidR="0000140A" w:rsidRPr="0000140A" w:rsidRDefault="0000140A" w:rsidP="0000140A">
            <w:pPr>
              <w:pStyle w:val="GesAbsatz"/>
              <w:tabs>
                <w:tab w:val="clear" w:pos="425"/>
              </w:tabs>
              <w:jc w:val="center"/>
            </w:pPr>
            <w:r w:rsidRPr="0000140A">
              <w:t>0 – 50</w:t>
            </w:r>
          </w:p>
        </w:tc>
        <w:tc>
          <w:tcPr>
            <w:tcW w:w="1728" w:type="dxa"/>
          </w:tcPr>
          <w:p w:rsidR="0000140A" w:rsidRPr="0000140A" w:rsidRDefault="0000140A" w:rsidP="0000140A">
            <w:pPr>
              <w:pStyle w:val="GesAbsatz"/>
              <w:tabs>
                <w:tab w:val="clear" w:pos="425"/>
              </w:tabs>
              <w:jc w:val="center"/>
            </w:pPr>
            <w:r w:rsidRPr="0000140A">
              <w:t>m/s</w:t>
            </w:r>
          </w:p>
        </w:tc>
      </w:tr>
    </w:tbl>
    <w:p w:rsidR="0000140A" w:rsidRDefault="0000140A" w:rsidP="00B47286">
      <w:pPr>
        <w:pStyle w:val="GesAbsatz"/>
      </w:pPr>
    </w:p>
    <w:p w:rsidR="00B47286" w:rsidRDefault="00B47286" w:rsidP="0000140A">
      <w:pPr>
        <w:pStyle w:val="GesAbsatz"/>
        <w:tabs>
          <w:tab w:val="left" w:pos="2127"/>
        </w:tabs>
      </w:pPr>
      <w:r>
        <w:t>Softwareversionen:</w:t>
      </w:r>
      <w:r w:rsidR="0000140A">
        <w:tab/>
      </w:r>
      <w:r>
        <w:t>Sensor: 1.25</w:t>
      </w:r>
    </w:p>
    <w:p w:rsidR="00B47286" w:rsidRDefault="00B47286" w:rsidP="0000140A">
      <w:pPr>
        <w:pStyle w:val="GesAbsatz"/>
        <w:tabs>
          <w:tab w:val="left" w:pos="2127"/>
        </w:tabs>
        <w:ind w:left="2127"/>
      </w:pPr>
      <w:r>
        <w:t>Bedieneinheiten: 8.23</w:t>
      </w:r>
    </w:p>
    <w:p w:rsidR="00B47286" w:rsidRDefault="00B47286" w:rsidP="0000140A">
      <w:pPr>
        <w:pStyle w:val="GesAbsatz"/>
        <w:tabs>
          <w:tab w:val="left" w:pos="2127"/>
        </w:tabs>
        <w:ind w:left="2127"/>
      </w:pPr>
      <w:r>
        <w:t>PC-ME DUST TOOLS: 2.31</w:t>
      </w:r>
    </w:p>
    <w:p w:rsidR="00B47286" w:rsidRDefault="00B47286" w:rsidP="00B47286">
      <w:pPr>
        <w:pStyle w:val="GesAbsatz"/>
      </w:pPr>
      <w:r>
        <w:t>Einschränkungen:</w:t>
      </w:r>
    </w:p>
    <w:p w:rsidR="00B47286" w:rsidRDefault="00B47286" w:rsidP="00B47286">
      <w:pPr>
        <w:pStyle w:val="GesAbsatz"/>
      </w:pPr>
      <w:r>
        <w:t>Keine</w:t>
      </w:r>
    </w:p>
    <w:p w:rsidR="00B47286" w:rsidRDefault="00B47286" w:rsidP="00B47286">
      <w:pPr>
        <w:pStyle w:val="GesAbsatz"/>
      </w:pPr>
      <w:r>
        <w:t>Hinweise:</w:t>
      </w:r>
    </w:p>
    <w:p w:rsidR="00B47286" w:rsidRDefault="00B47286" w:rsidP="00B47286">
      <w:pPr>
        <w:pStyle w:val="GesAbsatz"/>
      </w:pPr>
      <w:r>
        <w:t>1.</w:t>
      </w:r>
      <w:r w:rsidR="0000140A">
        <w:tab/>
      </w:r>
      <w:r>
        <w:t>Das Wartungsintervall beträgt drei Monate.</w:t>
      </w:r>
    </w:p>
    <w:p w:rsidR="00B47286" w:rsidRDefault="00B47286" w:rsidP="00B47286">
      <w:pPr>
        <w:pStyle w:val="GesAbsatz"/>
      </w:pPr>
      <w:r>
        <w:t>2.</w:t>
      </w:r>
      <w:r w:rsidR="0000140A">
        <w:tab/>
      </w:r>
      <w:r>
        <w:t>Die Messeinrichtung STACKFLØW 400 ist in verschiedenen Konfigurationen erhältlich: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4589"/>
      </w:tblGrid>
      <w:tr w:rsidR="00F86F83" w:rsidRPr="00F86F83" w:rsidTr="00F86F83">
        <w:tc>
          <w:tcPr>
            <w:tcW w:w="421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Produktbezeichnung</w:t>
            </w:r>
          </w:p>
        </w:tc>
        <w:tc>
          <w:tcPr>
            <w:tcW w:w="458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Konfiguration</w:t>
            </w:r>
          </w:p>
        </w:tc>
      </w:tr>
      <w:tr w:rsidR="00F86F83" w:rsidRPr="00F86F83" w:rsidTr="00D60AB1">
        <w:tc>
          <w:tcPr>
            <w:tcW w:w="8808" w:type="dxa"/>
            <w:gridSpan w:val="2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Sensor gerade</w:t>
            </w:r>
          </w:p>
        </w:tc>
      </w:tr>
      <w:tr w:rsidR="00F86F83" w:rsidRPr="00F86F83" w:rsidTr="00F86F83">
        <w:tc>
          <w:tcPr>
            <w:tcW w:w="421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STACKFLØW 400</w:t>
            </w:r>
          </w:p>
        </w:tc>
        <w:tc>
          <w:tcPr>
            <w:tcW w:w="458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eigenständig</w:t>
            </w:r>
          </w:p>
        </w:tc>
      </w:tr>
      <w:tr w:rsidR="00F86F83" w:rsidRPr="00F86F83" w:rsidTr="00F86F83">
        <w:tc>
          <w:tcPr>
            <w:tcW w:w="421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STACKFLØW 400 Standard</w:t>
            </w:r>
          </w:p>
        </w:tc>
        <w:tc>
          <w:tcPr>
            <w:tcW w:w="458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mit Interface Module</w:t>
            </w:r>
          </w:p>
        </w:tc>
      </w:tr>
      <w:tr w:rsidR="00F86F83" w:rsidRPr="00F86F83" w:rsidTr="00F86F83">
        <w:tc>
          <w:tcPr>
            <w:tcW w:w="421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STACKFLØW 400 Plus</w:t>
            </w:r>
          </w:p>
        </w:tc>
        <w:tc>
          <w:tcPr>
            <w:tcW w:w="458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 xml:space="preserve">mit </w:t>
            </w:r>
            <w:proofErr w:type="spellStart"/>
            <w:r w:rsidRPr="00F86F83">
              <w:t>MultiController</w:t>
            </w:r>
            <w:proofErr w:type="spellEnd"/>
          </w:p>
        </w:tc>
      </w:tr>
      <w:tr w:rsidR="00F86F83" w:rsidRPr="00F86F83" w:rsidTr="00D60AB1">
        <w:tc>
          <w:tcPr>
            <w:tcW w:w="8808" w:type="dxa"/>
            <w:gridSpan w:val="2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Sensor angewinkelt</w:t>
            </w:r>
          </w:p>
        </w:tc>
      </w:tr>
      <w:tr w:rsidR="00F86F83" w:rsidRPr="00F86F83" w:rsidTr="00F86F83">
        <w:tc>
          <w:tcPr>
            <w:tcW w:w="421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STACKFLØW 400A</w:t>
            </w:r>
          </w:p>
        </w:tc>
        <w:tc>
          <w:tcPr>
            <w:tcW w:w="458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eigenständig</w:t>
            </w:r>
          </w:p>
        </w:tc>
      </w:tr>
      <w:tr w:rsidR="00F86F83" w:rsidRPr="00F86F83" w:rsidTr="00F86F83">
        <w:tc>
          <w:tcPr>
            <w:tcW w:w="421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STACKFLØW 400A Standard</w:t>
            </w:r>
          </w:p>
        </w:tc>
        <w:tc>
          <w:tcPr>
            <w:tcW w:w="458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mit Interface Module</w:t>
            </w:r>
          </w:p>
        </w:tc>
      </w:tr>
      <w:tr w:rsidR="00F86F83" w:rsidRPr="00F86F83" w:rsidTr="00F86F83">
        <w:tc>
          <w:tcPr>
            <w:tcW w:w="421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STACKFLØW 400A Plus</w:t>
            </w:r>
          </w:p>
        </w:tc>
        <w:tc>
          <w:tcPr>
            <w:tcW w:w="4589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 xml:space="preserve">mit </w:t>
            </w:r>
            <w:proofErr w:type="spellStart"/>
            <w:r w:rsidRPr="00F86F83">
              <w:t>MultiController</w:t>
            </w:r>
            <w:proofErr w:type="spellEnd"/>
          </w:p>
        </w:tc>
      </w:tr>
    </w:tbl>
    <w:p w:rsidR="00F86F83" w:rsidRDefault="00F86F83" w:rsidP="00B47286">
      <w:pPr>
        <w:pStyle w:val="GesAbsatz"/>
      </w:pPr>
    </w:p>
    <w:p w:rsidR="00B47286" w:rsidRDefault="00B47286" w:rsidP="00F86F83">
      <w:pPr>
        <w:pStyle w:val="GesAbsatz"/>
        <w:ind w:left="426" w:hanging="426"/>
      </w:pPr>
      <w:r>
        <w:t>3.</w:t>
      </w:r>
      <w:r w:rsidR="00F86F83">
        <w:tab/>
      </w:r>
      <w:r>
        <w:t>Ergänzungsprüfung (Wartungsintervallverlängerung) zu der Bekanntmachung des Umweltbundesamtes vom 25. Februar</w:t>
      </w:r>
      <w:r w:rsidR="00F86F83">
        <w:t xml:space="preserve"> </w:t>
      </w:r>
      <w:r>
        <w:t>2015 (BAnz AT 02.04.2015 B5, Kapitel II Nummer 1.2).</w:t>
      </w:r>
    </w:p>
    <w:p w:rsidR="00B47286" w:rsidRDefault="00B47286" w:rsidP="00B47286">
      <w:pPr>
        <w:pStyle w:val="GesAbsatz"/>
      </w:pPr>
      <w:r>
        <w:t>Prüfbericht: TÜV Rheinland Energie und Umwelt GmbH, Köln</w:t>
      </w:r>
    </w:p>
    <w:p w:rsidR="00B47286" w:rsidRDefault="00B47286" w:rsidP="00B47286">
      <w:pPr>
        <w:pStyle w:val="GesAbsatz"/>
      </w:pPr>
      <w:r>
        <w:t>Bericht-Nr.: 936/21225290/B vom 2. Februar 2015</w:t>
      </w:r>
    </w:p>
    <w:p w:rsidR="00B47286" w:rsidRDefault="00B47286" w:rsidP="00F86F83">
      <w:pPr>
        <w:pStyle w:val="berschrift2"/>
      </w:pPr>
      <w:r>
        <w:t>III.</w:t>
      </w:r>
      <w:r w:rsidR="00F86F83">
        <w:br/>
      </w:r>
      <w:r>
        <w:t>Eignung von Messeinrichtungen zur kontinuierlichen</w:t>
      </w:r>
      <w:r w:rsidR="00F86F83">
        <w:br/>
      </w:r>
      <w:r>
        <w:t>Überwachung von Immissionen</w:t>
      </w:r>
    </w:p>
    <w:p w:rsidR="00B47286" w:rsidRDefault="00B47286" w:rsidP="00B47286">
      <w:pPr>
        <w:pStyle w:val="GesAbsatz"/>
      </w:pPr>
      <w:r>
        <w:t>Unter Bezugnahme auf die Nummer 3.2 der Bekanntmachung der für die Durchführung der Richtl</w:t>
      </w:r>
      <w:r>
        <w:t>i</w:t>
      </w:r>
      <w:r>
        <w:t>nie</w:t>
      </w:r>
      <w:r w:rsidR="00F86F83">
        <w:t> </w:t>
      </w:r>
      <w:r>
        <w:t>2008/50/EG des</w:t>
      </w:r>
      <w:r w:rsidR="00F86F83">
        <w:t xml:space="preserve"> </w:t>
      </w:r>
      <w:r>
        <w:t>Europäischen Parlaments und des Rates vom 21. Mai 2008 über die Luftqualität und saubere Luft für Europa zuständigen</w:t>
      </w:r>
      <w:r w:rsidR="00F86F83">
        <w:t xml:space="preserve"> </w:t>
      </w:r>
      <w:r>
        <w:t>Behörden und Stellen vom 12. Januar 2011 (BAnz. S. 212) wird im Auftrag des Bundesministeriums für Umwelt,</w:t>
      </w:r>
      <w:r w:rsidR="00F86F83">
        <w:t xml:space="preserve"> </w:t>
      </w:r>
      <w:r>
        <w:t>Naturschutz, Bau und Reaktorsicherheit die Eignung folgender Messeinrichtungen bekannt gegeben:</w:t>
      </w:r>
    </w:p>
    <w:p w:rsidR="00B47286" w:rsidRPr="00F86F83" w:rsidRDefault="00B47286" w:rsidP="00B47286">
      <w:pPr>
        <w:pStyle w:val="GesAbsatz"/>
        <w:rPr>
          <w:b/>
        </w:rPr>
      </w:pPr>
      <w:r w:rsidRPr="00F86F83">
        <w:rPr>
          <w:b/>
        </w:rPr>
        <w:t>1</w:t>
      </w:r>
      <w:r w:rsidR="00F86F83" w:rsidRPr="00F86F83">
        <w:rPr>
          <w:b/>
        </w:rPr>
        <w:tab/>
      </w:r>
      <w:r w:rsidRPr="00F86F83">
        <w:rPr>
          <w:b/>
        </w:rPr>
        <w:t>Stickstoffoxide</w:t>
      </w:r>
    </w:p>
    <w:p w:rsidR="00B47286" w:rsidRPr="00F86F83" w:rsidRDefault="00B47286" w:rsidP="00B47286">
      <w:pPr>
        <w:pStyle w:val="GesAbsatz"/>
        <w:rPr>
          <w:b/>
        </w:rPr>
      </w:pPr>
      <w:r w:rsidRPr="00F86F83">
        <w:rPr>
          <w:b/>
        </w:rPr>
        <w:t>1.1</w:t>
      </w:r>
      <w:r w:rsidR="00F86F83" w:rsidRPr="00F86F83">
        <w:rPr>
          <w:b/>
        </w:rPr>
        <w:tab/>
      </w:r>
      <w:r w:rsidRPr="00F86F83">
        <w:rPr>
          <w:b/>
        </w:rPr>
        <w:t>T500U für NO</w:t>
      </w:r>
      <w:r w:rsidRPr="00F86F83">
        <w:rPr>
          <w:b/>
          <w:vertAlign w:val="subscript"/>
        </w:rPr>
        <w:t>2</w:t>
      </w:r>
    </w:p>
    <w:p w:rsidR="00B47286" w:rsidRDefault="00B47286" w:rsidP="00B47286">
      <w:pPr>
        <w:pStyle w:val="GesAbsatz"/>
      </w:pPr>
      <w:r>
        <w:t>Hersteller:</w:t>
      </w:r>
    </w:p>
    <w:p w:rsidR="00B47286" w:rsidRDefault="00B47286" w:rsidP="00B47286">
      <w:pPr>
        <w:pStyle w:val="GesAbsatz"/>
      </w:pPr>
      <w:proofErr w:type="spellStart"/>
      <w:r>
        <w:t>Teledyne</w:t>
      </w:r>
      <w:proofErr w:type="spellEnd"/>
      <w:r>
        <w:t xml:space="preserve"> API, San Diego, USA</w:t>
      </w:r>
    </w:p>
    <w:p w:rsidR="00B47286" w:rsidRDefault="00B47286" w:rsidP="00B47286">
      <w:pPr>
        <w:pStyle w:val="GesAbsatz"/>
      </w:pPr>
      <w:r>
        <w:t>Eignung:</w:t>
      </w:r>
    </w:p>
    <w:p w:rsidR="00B47286" w:rsidRDefault="00B47286" w:rsidP="00B47286">
      <w:pPr>
        <w:pStyle w:val="GesAbsatz"/>
      </w:pPr>
      <w:r>
        <w:t>Zur kontinuierlichen Bestimmung der Immissionskonzentration von Stickstoffdioxid in der Außenluft im stat</w:t>
      </w:r>
      <w:r>
        <w:t>i</w:t>
      </w:r>
      <w:r>
        <w:t>onären</w:t>
      </w:r>
      <w:r w:rsidR="00F86F83">
        <w:t xml:space="preserve"> </w:t>
      </w:r>
      <w:r>
        <w:t>Einsatz</w:t>
      </w:r>
    </w:p>
    <w:p w:rsidR="00B47286" w:rsidRDefault="00B47286" w:rsidP="00B47286">
      <w:pPr>
        <w:pStyle w:val="GesAbsatz"/>
      </w:pPr>
      <w:r>
        <w:t>Messbereich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2238"/>
      </w:tblGrid>
      <w:tr w:rsidR="00F86F83" w:rsidRPr="00F86F83" w:rsidTr="00F86F83">
        <w:tc>
          <w:tcPr>
            <w:tcW w:w="2660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</w:pPr>
            <w:r w:rsidRPr="00F86F83">
              <w:t>Komponente</w:t>
            </w:r>
          </w:p>
        </w:tc>
        <w:tc>
          <w:tcPr>
            <w:tcW w:w="3544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</w:pPr>
            <w:r w:rsidRPr="00F86F83">
              <w:t>Zertifizierungsbereich</w:t>
            </w:r>
          </w:p>
        </w:tc>
        <w:tc>
          <w:tcPr>
            <w:tcW w:w="2238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</w:pPr>
            <w:r w:rsidRPr="00F86F83">
              <w:t>Einheit</w:t>
            </w:r>
          </w:p>
        </w:tc>
      </w:tr>
      <w:tr w:rsidR="00F86F83" w:rsidRPr="00F86F83" w:rsidTr="00F86F83">
        <w:tc>
          <w:tcPr>
            <w:tcW w:w="2660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</w:pPr>
            <w:r w:rsidRPr="00F86F83">
              <w:t>Stickstoffdioxid</w:t>
            </w:r>
          </w:p>
        </w:tc>
        <w:tc>
          <w:tcPr>
            <w:tcW w:w="3544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</w:pPr>
            <w:r w:rsidRPr="00F86F83">
              <w:t>0 – 500</w:t>
            </w:r>
          </w:p>
        </w:tc>
        <w:tc>
          <w:tcPr>
            <w:tcW w:w="2238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</w:pPr>
            <w:r w:rsidRPr="00F86F83">
              <w:t>μg/m3</w:t>
            </w:r>
          </w:p>
        </w:tc>
      </w:tr>
    </w:tbl>
    <w:p w:rsidR="00F86F83" w:rsidRDefault="00F86F83" w:rsidP="00B47286">
      <w:pPr>
        <w:pStyle w:val="GesAbsatz"/>
      </w:pPr>
    </w:p>
    <w:p w:rsidR="00B47286" w:rsidRDefault="00B47286" w:rsidP="00B47286">
      <w:pPr>
        <w:pStyle w:val="GesAbsatz"/>
      </w:pPr>
      <w:r>
        <w:t xml:space="preserve">Softwareversion: </w:t>
      </w:r>
      <w:proofErr w:type="spellStart"/>
      <w:r>
        <w:t>Rev</w:t>
      </w:r>
      <w:proofErr w:type="spellEnd"/>
      <w:r>
        <w:t xml:space="preserve">. 1.0.2 </w:t>
      </w:r>
      <w:proofErr w:type="spellStart"/>
      <w:r>
        <w:t>bld</w:t>
      </w:r>
      <w:proofErr w:type="spellEnd"/>
      <w:r>
        <w:t xml:space="preserve"> 22</w:t>
      </w:r>
    </w:p>
    <w:p w:rsidR="00B47286" w:rsidRDefault="00B47286" w:rsidP="00B47286">
      <w:pPr>
        <w:pStyle w:val="GesAbsatz"/>
      </w:pPr>
      <w:r>
        <w:t>Einschränkungen:</w:t>
      </w:r>
    </w:p>
    <w:p w:rsidR="00B47286" w:rsidRDefault="00B47286" w:rsidP="00B47286">
      <w:pPr>
        <w:pStyle w:val="GesAbsatz"/>
      </w:pPr>
      <w:r>
        <w:t>Keine</w:t>
      </w:r>
    </w:p>
    <w:p w:rsidR="00B47286" w:rsidRDefault="00B47286" w:rsidP="00B47286">
      <w:pPr>
        <w:pStyle w:val="GesAbsatz"/>
      </w:pPr>
      <w:r>
        <w:t>Hinweise:</w:t>
      </w:r>
    </w:p>
    <w:p w:rsidR="00B47286" w:rsidRDefault="00B47286" w:rsidP="00B47286">
      <w:pPr>
        <w:pStyle w:val="GesAbsatz"/>
      </w:pPr>
      <w:r>
        <w:t>1.</w:t>
      </w:r>
      <w:r w:rsidR="00F86F83">
        <w:tab/>
      </w:r>
      <w:r>
        <w:t>Der Prüfbericht über die Eignungsprüfung ist im Internet unter www.qal1.de einsehbar.</w:t>
      </w:r>
    </w:p>
    <w:p w:rsidR="00B47286" w:rsidRDefault="00B47286" w:rsidP="00F86F83">
      <w:pPr>
        <w:pStyle w:val="GesAbsatz"/>
        <w:ind w:left="426" w:hanging="426"/>
      </w:pPr>
      <w:r>
        <w:t>2.</w:t>
      </w:r>
      <w:r w:rsidR="00F86F83">
        <w:tab/>
      </w:r>
      <w:r>
        <w:t xml:space="preserve">Die Gleichwertigkeit zum Referenzverfahren gemäß den Anforderungen des Leitfadens „Demonstration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Equivalence</w:t>
      </w:r>
      <w:proofErr w:type="spellEnd"/>
      <w:r w:rsidR="00F86F83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Ambient</w:t>
      </w:r>
      <w:proofErr w:type="spellEnd"/>
      <w:r>
        <w:t xml:space="preserve"> Air Monitoring </w:t>
      </w:r>
      <w:proofErr w:type="spellStart"/>
      <w:r>
        <w:t>Methods</w:t>
      </w:r>
      <w:proofErr w:type="spellEnd"/>
      <w:r>
        <w:t>“ wurde für die Komponente NO</w:t>
      </w:r>
      <w:r w:rsidRPr="00F86F83">
        <w:rPr>
          <w:vertAlign w:val="subscript"/>
        </w:rPr>
        <w:t>2</w:t>
      </w:r>
      <w:r>
        <w:t xml:space="preserve"> nachgewiesen.</w:t>
      </w:r>
    </w:p>
    <w:p w:rsidR="00B47286" w:rsidRDefault="00B47286" w:rsidP="00F86F83">
      <w:pPr>
        <w:pStyle w:val="GesAbsatz"/>
        <w:ind w:left="426" w:hanging="426"/>
      </w:pPr>
      <w:r>
        <w:t>3.</w:t>
      </w:r>
      <w:r w:rsidR="00F86F83">
        <w:tab/>
      </w:r>
      <w:r>
        <w:t>Ergänzungsprüfung (Nachweis der Gleichwertigkeit gegenüber dem Referenzmessverfahren) zu der Bekanntmachung</w:t>
      </w:r>
      <w:r w:rsidR="00F86F83">
        <w:t xml:space="preserve"> </w:t>
      </w:r>
      <w:r>
        <w:t>des Umweltbundesamtes vom 25. Februar 2015 (BAnz AT 02.04.2015 B5, Kapitel III Nummer 2.1).</w:t>
      </w:r>
    </w:p>
    <w:p w:rsidR="00B47286" w:rsidRDefault="00B47286" w:rsidP="00B47286">
      <w:pPr>
        <w:pStyle w:val="GesAbsatz"/>
      </w:pPr>
      <w:r>
        <w:t>Prüfinstitut: TÜV Rheinland Energie und Umwelt GmbH, Köln</w:t>
      </w:r>
    </w:p>
    <w:p w:rsidR="00B47286" w:rsidRDefault="00B47286" w:rsidP="00B47286">
      <w:pPr>
        <w:pStyle w:val="GesAbsatz"/>
      </w:pPr>
      <w:r>
        <w:t>Bericht-Nr.: 936/21224798/B vom 3. März 2015</w:t>
      </w:r>
    </w:p>
    <w:p w:rsidR="00B47286" w:rsidRPr="00F86F83" w:rsidRDefault="00B47286" w:rsidP="00B47286">
      <w:pPr>
        <w:pStyle w:val="GesAbsatz"/>
        <w:rPr>
          <w:b/>
        </w:rPr>
      </w:pPr>
      <w:r w:rsidRPr="00F86F83">
        <w:rPr>
          <w:b/>
        </w:rPr>
        <w:t>2</w:t>
      </w:r>
      <w:r w:rsidR="00F86F83" w:rsidRPr="00F86F83">
        <w:rPr>
          <w:b/>
        </w:rPr>
        <w:tab/>
      </w:r>
      <w:r w:rsidRPr="00F86F83">
        <w:rPr>
          <w:b/>
        </w:rPr>
        <w:t>Schwebstaub (PM</w:t>
      </w:r>
      <w:r w:rsidRPr="00F86F83">
        <w:rPr>
          <w:b/>
          <w:vertAlign w:val="subscript"/>
        </w:rPr>
        <w:t>2,5</w:t>
      </w:r>
      <w:r w:rsidRPr="00F86F83">
        <w:rPr>
          <w:b/>
        </w:rPr>
        <w:t>- und PM</w:t>
      </w:r>
      <w:r w:rsidRPr="00F86F83">
        <w:rPr>
          <w:b/>
          <w:vertAlign w:val="subscript"/>
        </w:rPr>
        <w:t>10</w:t>
      </w:r>
      <w:r w:rsidRPr="00F86F83">
        <w:rPr>
          <w:b/>
        </w:rPr>
        <w:t>-Fraktion)</w:t>
      </w:r>
    </w:p>
    <w:p w:rsidR="00B47286" w:rsidRPr="00F86F83" w:rsidRDefault="00B47286" w:rsidP="00B47286">
      <w:pPr>
        <w:pStyle w:val="GesAbsatz"/>
        <w:rPr>
          <w:b/>
        </w:rPr>
      </w:pPr>
      <w:r w:rsidRPr="00F86F83">
        <w:rPr>
          <w:b/>
        </w:rPr>
        <w:t>2.1</w:t>
      </w:r>
      <w:r w:rsidR="00F86F83" w:rsidRPr="00F86F83">
        <w:rPr>
          <w:b/>
        </w:rPr>
        <w:tab/>
      </w:r>
      <w:proofErr w:type="spellStart"/>
      <w:r w:rsidRPr="00F86F83">
        <w:rPr>
          <w:b/>
        </w:rPr>
        <w:t>Fidas</w:t>
      </w:r>
      <w:proofErr w:type="spellEnd"/>
      <w:r w:rsidRPr="00F86F83">
        <w:rPr>
          <w:b/>
        </w:rPr>
        <w:t xml:space="preserve">® 200 S bzw. </w:t>
      </w:r>
      <w:proofErr w:type="spellStart"/>
      <w:r w:rsidRPr="00F86F83">
        <w:rPr>
          <w:b/>
        </w:rPr>
        <w:t>Fidas</w:t>
      </w:r>
      <w:proofErr w:type="spellEnd"/>
      <w:r w:rsidRPr="00F86F83">
        <w:rPr>
          <w:b/>
        </w:rPr>
        <w:t>® 200 für Schwebstaub PM</w:t>
      </w:r>
      <w:r w:rsidRPr="00F86F83">
        <w:rPr>
          <w:b/>
          <w:vertAlign w:val="subscript"/>
        </w:rPr>
        <w:t>10</w:t>
      </w:r>
      <w:r w:rsidRPr="00F86F83">
        <w:rPr>
          <w:b/>
        </w:rPr>
        <w:t xml:space="preserve"> und PM</w:t>
      </w:r>
      <w:r w:rsidRPr="00F86F83">
        <w:rPr>
          <w:b/>
          <w:vertAlign w:val="subscript"/>
        </w:rPr>
        <w:t>2,5</w:t>
      </w:r>
    </w:p>
    <w:p w:rsidR="00B47286" w:rsidRDefault="00B47286" w:rsidP="00B47286">
      <w:pPr>
        <w:pStyle w:val="GesAbsatz"/>
      </w:pPr>
      <w:r>
        <w:t>Hersteller:</w:t>
      </w:r>
    </w:p>
    <w:p w:rsidR="00B47286" w:rsidRDefault="00B47286" w:rsidP="00B47286">
      <w:pPr>
        <w:pStyle w:val="GesAbsatz"/>
      </w:pPr>
      <w:r>
        <w:t>PALAS GmbH, Karlsruhe</w:t>
      </w:r>
    </w:p>
    <w:p w:rsidR="00B47286" w:rsidRDefault="00B47286" w:rsidP="00B47286">
      <w:pPr>
        <w:pStyle w:val="GesAbsatz"/>
      </w:pPr>
      <w:r>
        <w:t>Eignung:</w:t>
      </w:r>
    </w:p>
    <w:p w:rsidR="00B47286" w:rsidRDefault="00B47286" w:rsidP="00B47286">
      <w:pPr>
        <w:pStyle w:val="GesAbsatz"/>
      </w:pPr>
      <w:r>
        <w:t>Zur kontinuierlichen parallelen Immissionsmessung der PM</w:t>
      </w:r>
      <w:r w:rsidRPr="00F86F83">
        <w:rPr>
          <w:vertAlign w:val="subscript"/>
        </w:rPr>
        <w:t>10</w:t>
      </w:r>
      <w:r>
        <w:t>- und der PM</w:t>
      </w:r>
      <w:r w:rsidRPr="00F86F83">
        <w:rPr>
          <w:vertAlign w:val="subscript"/>
        </w:rPr>
        <w:t>2,5</w:t>
      </w:r>
      <w:r>
        <w:t>-Fraktion im Schwebstaub im stationären</w:t>
      </w:r>
      <w:r w:rsidR="00F86F83">
        <w:t xml:space="preserve"> </w:t>
      </w:r>
      <w:r>
        <w:t>Einsatz</w:t>
      </w:r>
    </w:p>
    <w:p w:rsidR="00B47286" w:rsidRDefault="00B47286" w:rsidP="00B47286"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2268"/>
      </w:tblGrid>
      <w:tr w:rsidR="00F86F83" w:rsidRPr="00F86F83" w:rsidTr="00F86F83">
        <w:tc>
          <w:tcPr>
            <w:tcW w:w="2660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</w:pPr>
            <w:r w:rsidRPr="00F86F83">
              <w:t>Komponente</w:t>
            </w:r>
          </w:p>
        </w:tc>
        <w:tc>
          <w:tcPr>
            <w:tcW w:w="3544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</w:pPr>
            <w:r w:rsidRPr="00F86F83">
              <w:t>Zertifizierungsbereich</w:t>
            </w:r>
          </w:p>
        </w:tc>
        <w:tc>
          <w:tcPr>
            <w:tcW w:w="2268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</w:pPr>
            <w:r w:rsidRPr="00F86F83">
              <w:t>Einheit</w:t>
            </w:r>
          </w:p>
        </w:tc>
      </w:tr>
      <w:tr w:rsidR="00F86F83" w:rsidRPr="00F86F83" w:rsidTr="00F86F83">
        <w:tc>
          <w:tcPr>
            <w:tcW w:w="2660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F86F83">
              <w:rPr>
                <w:lang w:val="en-US"/>
              </w:rPr>
              <w:t>PM</w:t>
            </w:r>
            <w:r w:rsidRPr="00B90F66">
              <w:rPr>
                <w:vertAlign w:val="subscript"/>
                <w:lang w:val="en-US"/>
              </w:rPr>
              <w:t>10</w:t>
            </w:r>
          </w:p>
        </w:tc>
        <w:tc>
          <w:tcPr>
            <w:tcW w:w="3544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F86F83">
              <w:rPr>
                <w:lang w:val="en-US"/>
              </w:rPr>
              <w:t>0 – 10 000</w:t>
            </w:r>
          </w:p>
        </w:tc>
        <w:tc>
          <w:tcPr>
            <w:tcW w:w="2268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F86F83">
              <w:t>μ</w:t>
            </w:r>
            <w:r w:rsidRPr="00F86F83">
              <w:rPr>
                <w:lang w:val="en-US"/>
              </w:rPr>
              <w:t>g/m³</w:t>
            </w:r>
          </w:p>
        </w:tc>
      </w:tr>
      <w:tr w:rsidR="00F86F83" w:rsidRPr="00F86F83" w:rsidTr="00F86F83">
        <w:tc>
          <w:tcPr>
            <w:tcW w:w="2660" w:type="dxa"/>
          </w:tcPr>
          <w:p w:rsidR="00F86F83" w:rsidRPr="00F86F83" w:rsidRDefault="00F86F83" w:rsidP="00D60AB1">
            <w:pPr>
              <w:pStyle w:val="GesAbsatz"/>
              <w:tabs>
                <w:tab w:val="clear" w:pos="425"/>
              </w:tabs>
              <w:rPr>
                <w:lang w:val="en-US"/>
              </w:rPr>
            </w:pPr>
            <w:r w:rsidRPr="00F86F83">
              <w:rPr>
                <w:lang w:val="en-US"/>
              </w:rPr>
              <w:t>PM</w:t>
            </w:r>
            <w:r w:rsidRPr="00B90F66">
              <w:rPr>
                <w:vertAlign w:val="subscript"/>
                <w:lang w:val="en-US"/>
              </w:rPr>
              <w:t>2,5</w:t>
            </w:r>
          </w:p>
        </w:tc>
        <w:tc>
          <w:tcPr>
            <w:tcW w:w="3544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</w:pPr>
            <w:r w:rsidRPr="00F86F83">
              <w:rPr>
                <w:lang w:val="en-US"/>
              </w:rPr>
              <w:t>0 – 10 000</w:t>
            </w:r>
          </w:p>
        </w:tc>
        <w:tc>
          <w:tcPr>
            <w:tcW w:w="2268" w:type="dxa"/>
          </w:tcPr>
          <w:p w:rsidR="00F86F83" w:rsidRPr="00F86F83" w:rsidRDefault="00F86F83" w:rsidP="00F86F83">
            <w:pPr>
              <w:pStyle w:val="GesAbsatz"/>
              <w:tabs>
                <w:tab w:val="clear" w:pos="425"/>
              </w:tabs>
              <w:jc w:val="center"/>
              <w:rPr>
                <w:lang w:val="en-US"/>
              </w:rPr>
            </w:pPr>
            <w:r w:rsidRPr="00F86F83">
              <w:t>μ</w:t>
            </w:r>
            <w:r w:rsidRPr="00F86F83">
              <w:rPr>
                <w:lang w:val="en-US"/>
              </w:rPr>
              <w:t>g/m³</w:t>
            </w:r>
          </w:p>
        </w:tc>
      </w:tr>
    </w:tbl>
    <w:p w:rsidR="00F86F83" w:rsidRDefault="00F86F83" w:rsidP="00B47286">
      <w:pPr>
        <w:pStyle w:val="GesAbsatz"/>
      </w:pPr>
    </w:p>
    <w:p w:rsidR="00B47286" w:rsidRDefault="00B47286" w:rsidP="00B47286">
      <w:pPr>
        <w:pStyle w:val="GesAbsatz"/>
      </w:pPr>
      <w:r>
        <w:t>Softwareversion: 100380.0014.0001.0001.0011</w:t>
      </w:r>
    </w:p>
    <w:p w:rsidR="00B47286" w:rsidRDefault="00B47286" w:rsidP="00B47286">
      <w:pPr>
        <w:pStyle w:val="GesAbsatz"/>
      </w:pPr>
      <w:r>
        <w:t>Einschränkungen:</w:t>
      </w:r>
    </w:p>
    <w:p w:rsidR="00B47286" w:rsidRDefault="00B47286" w:rsidP="00B47286">
      <w:pPr>
        <w:pStyle w:val="GesAbsatz"/>
      </w:pPr>
      <w:r>
        <w:t>Kein</w:t>
      </w:r>
      <w:bookmarkStart w:id="0" w:name="_GoBack"/>
      <w:bookmarkEnd w:id="0"/>
      <w:r>
        <w:t>e</w:t>
      </w:r>
    </w:p>
    <w:p w:rsidR="00B47286" w:rsidRDefault="00B47286" w:rsidP="00B47286">
      <w:pPr>
        <w:pStyle w:val="GesAbsatz"/>
      </w:pPr>
      <w:r>
        <w:t>Hinweise:</w:t>
      </w:r>
    </w:p>
    <w:p w:rsidR="00B47286" w:rsidRDefault="00B47286" w:rsidP="00FF4B55">
      <w:pPr>
        <w:pStyle w:val="GesAbsatz"/>
        <w:ind w:left="426" w:hanging="426"/>
      </w:pPr>
      <w:r>
        <w:t>1.</w:t>
      </w:r>
      <w:r w:rsidR="00FF4B55">
        <w:tab/>
      </w:r>
      <w:r>
        <w:t xml:space="preserve">Die Messeinrichtung </w:t>
      </w:r>
      <w:proofErr w:type="spellStart"/>
      <w:r>
        <w:t>Fidas</w:t>
      </w:r>
      <w:proofErr w:type="spellEnd"/>
      <w:r>
        <w:t xml:space="preserve">® 200 S ist auch als </w:t>
      </w:r>
      <w:proofErr w:type="spellStart"/>
      <w:r>
        <w:t>Indoor</w:t>
      </w:r>
      <w:proofErr w:type="spellEnd"/>
      <w:r>
        <w:t>-Variante zur Installation an temperaturkontrollie</w:t>
      </w:r>
      <w:r>
        <w:t>r</w:t>
      </w:r>
      <w:r>
        <w:t>ten Orten</w:t>
      </w:r>
      <w:r w:rsidR="00FF4B55">
        <w:t xml:space="preserve"> </w:t>
      </w:r>
      <w:r>
        <w:t xml:space="preserve">unter der Bezeichnung </w:t>
      </w:r>
      <w:proofErr w:type="spellStart"/>
      <w:r>
        <w:t>Fidas</w:t>
      </w:r>
      <w:proofErr w:type="spellEnd"/>
      <w:r>
        <w:t>® 200 verfügbar.</w:t>
      </w:r>
    </w:p>
    <w:p w:rsidR="00B47286" w:rsidRDefault="00B47286" w:rsidP="00FF4B55">
      <w:pPr>
        <w:pStyle w:val="GesAbsatz"/>
        <w:ind w:left="426" w:hanging="426"/>
      </w:pPr>
      <w:r>
        <w:t>2.</w:t>
      </w:r>
      <w:r w:rsidR="00FF4B55">
        <w:tab/>
      </w:r>
      <w:r>
        <w:t xml:space="preserve">Die Anforderungen gemäß des Leitfadens „Demonstration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Equivalence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Ambient</w:t>
      </w:r>
      <w:proofErr w:type="spellEnd"/>
      <w:r>
        <w:t xml:space="preserve"> Air Monitoring </w:t>
      </w:r>
      <w:proofErr w:type="spellStart"/>
      <w:r>
        <w:t>Methods</w:t>
      </w:r>
      <w:proofErr w:type="spellEnd"/>
      <w:r>
        <w:t>“</w:t>
      </w:r>
      <w:r w:rsidR="00FF4B55">
        <w:t xml:space="preserve"> </w:t>
      </w:r>
      <w:r>
        <w:t>werden sowohl für die vier Vergleichskampagnen (Erstprüfung) wie auch für die sechs Ve</w:t>
      </w:r>
      <w:r>
        <w:t>r</w:t>
      </w:r>
      <w:r>
        <w:t>gleichskampagnen (Ergänzungsprüfung)</w:t>
      </w:r>
      <w:r w:rsidR="00FF4B55">
        <w:t xml:space="preserve"> </w:t>
      </w:r>
      <w:r>
        <w:t>für die Messkomponenten PM</w:t>
      </w:r>
      <w:r w:rsidRPr="00FF4B55">
        <w:rPr>
          <w:vertAlign w:val="subscript"/>
        </w:rPr>
        <w:t>10</w:t>
      </w:r>
      <w:r>
        <w:t xml:space="preserve"> und PM</w:t>
      </w:r>
      <w:r w:rsidRPr="00FF4B55">
        <w:rPr>
          <w:vertAlign w:val="subscript"/>
        </w:rPr>
        <w:t>2,5</w:t>
      </w:r>
      <w:r>
        <w:t xml:space="preserve"> eingehalten.</w:t>
      </w:r>
    </w:p>
    <w:p w:rsidR="00B47286" w:rsidRDefault="00B47286" w:rsidP="00FF4B55">
      <w:pPr>
        <w:pStyle w:val="GesAbsatz"/>
        <w:ind w:left="426" w:hanging="426"/>
      </w:pPr>
      <w:r>
        <w:t>3.</w:t>
      </w:r>
      <w:r w:rsidR="00FF4B55">
        <w:tab/>
      </w:r>
      <w:r>
        <w:t>Die Anforderungen an den Variationskoeffizienten R</w:t>
      </w:r>
      <w:r w:rsidRPr="00FF4B55">
        <w:rPr>
          <w:vertAlign w:val="superscript"/>
        </w:rPr>
        <w:t>2</w:t>
      </w:r>
      <w:r>
        <w:t xml:space="preserve"> gemäß Richtlinie EN 12341 (Ausgabe: 1998) wu</w:t>
      </w:r>
      <w:r>
        <w:t>r</w:t>
      </w:r>
      <w:r>
        <w:t>den für den</w:t>
      </w:r>
      <w:r w:rsidR="00FF4B55">
        <w:t xml:space="preserve"> </w:t>
      </w:r>
      <w:r>
        <w:t>Standort Köln, Sommer für einen der beiden Prüflinge nicht eingehalten.</w:t>
      </w:r>
    </w:p>
    <w:p w:rsidR="00B47286" w:rsidRDefault="00B47286" w:rsidP="00FF4B55">
      <w:pPr>
        <w:pStyle w:val="GesAbsatz"/>
        <w:ind w:left="426" w:hanging="426"/>
      </w:pPr>
      <w:r>
        <w:t>4.</w:t>
      </w:r>
      <w:r w:rsidR="00FF4B55">
        <w:tab/>
      </w:r>
      <w:r>
        <w:t xml:space="preserve">Die Empfindlichkeit des Partikelsensors muss monatlich mit </w:t>
      </w:r>
      <w:proofErr w:type="spellStart"/>
      <w:r>
        <w:t>CalDust</w:t>
      </w:r>
      <w:proofErr w:type="spellEnd"/>
      <w:r>
        <w:t xml:space="preserve"> 1100 oder MonoDust1500 übe</w:t>
      </w:r>
      <w:r>
        <w:t>r</w:t>
      </w:r>
      <w:r>
        <w:t>prüft werden.</w:t>
      </w:r>
    </w:p>
    <w:p w:rsidR="00B47286" w:rsidRDefault="00B47286" w:rsidP="00FF4B55">
      <w:pPr>
        <w:pStyle w:val="GesAbsatz"/>
        <w:ind w:left="426" w:hanging="426"/>
      </w:pPr>
      <w:r>
        <w:t>5.</w:t>
      </w:r>
      <w:r w:rsidR="00FF4B55">
        <w:tab/>
      </w:r>
      <w:r>
        <w:t>Die Messeinrichtung ist mit dem gravimetrischen Referenzverfahren für die Bestimmung von PM</w:t>
      </w:r>
      <w:r w:rsidRPr="00FF4B55">
        <w:rPr>
          <w:vertAlign w:val="subscript"/>
        </w:rPr>
        <w:t>2</w:t>
      </w:r>
      <w:proofErr w:type="gramStart"/>
      <w:r w:rsidRPr="00FF4B55">
        <w:rPr>
          <w:vertAlign w:val="subscript"/>
        </w:rPr>
        <w:t>,5</w:t>
      </w:r>
      <w:proofErr w:type="gramEnd"/>
      <w:r>
        <w:t xml:space="preserve"> und PM</w:t>
      </w:r>
      <w:r w:rsidRPr="00FF4B55">
        <w:rPr>
          <w:vertAlign w:val="subscript"/>
        </w:rPr>
        <w:t>10</w:t>
      </w:r>
      <w:r>
        <w:t xml:space="preserve"> nach</w:t>
      </w:r>
      <w:r w:rsidR="00FF4B55">
        <w:t xml:space="preserve"> </w:t>
      </w:r>
      <w:r>
        <w:t>DIN EN 12341 (Ausgabe: 2014) regelmäßig am Standort zu kalibrieren.</w:t>
      </w:r>
    </w:p>
    <w:p w:rsidR="00B47286" w:rsidRDefault="00B47286" w:rsidP="00FF4B55">
      <w:pPr>
        <w:pStyle w:val="GesAbsatz"/>
        <w:ind w:left="426" w:hanging="426"/>
      </w:pPr>
      <w:r>
        <w:t>6.</w:t>
      </w:r>
      <w:r w:rsidR="00FF4B55">
        <w:tab/>
      </w:r>
      <w:r>
        <w:t>Der Prüfbericht über die Eignungsprüfung ist im Internet unter www.qal1.de einsehbar.</w:t>
      </w:r>
    </w:p>
    <w:p w:rsidR="00B47286" w:rsidRDefault="00B47286" w:rsidP="00FF4B55">
      <w:pPr>
        <w:pStyle w:val="GesAbsatz"/>
        <w:ind w:left="426" w:hanging="426"/>
      </w:pPr>
      <w:r>
        <w:t>7.</w:t>
      </w:r>
      <w:r w:rsidR="00FF4B55">
        <w:tab/>
      </w:r>
      <w:r>
        <w:t>Ergänzungsprüfung (Erweiterung Äquivalenzprüfung, Darstellung Geräteänderungen, Aufnahme Prü</w:t>
      </w:r>
      <w:r>
        <w:t>f</w:t>
      </w:r>
      <w:r>
        <w:t>standard Mono-Dust1500) zu den Bekanntmachungen des Umweltbundesamtes vom 27. Februar 2014 (BAnz AT 01.04.2014 B12,</w:t>
      </w:r>
      <w:r w:rsidR="00FF4B55">
        <w:t xml:space="preserve"> </w:t>
      </w:r>
      <w:r>
        <w:t>Kapitel IV Nummer 5.1) und vom 25. Februar 2015 (BAnz AT 02.04.2015 B5, Kapitel IV 14. Mitteilung).</w:t>
      </w:r>
    </w:p>
    <w:p w:rsidR="00B47286" w:rsidRDefault="00B47286" w:rsidP="00B47286">
      <w:pPr>
        <w:pStyle w:val="GesAbsatz"/>
      </w:pPr>
      <w:r>
        <w:t>Prüfinstitut: TÜV Rheinland Energie und Umwelt GmbH, Köln</w:t>
      </w:r>
    </w:p>
    <w:p w:rsidR="00B47286" w:rsidRDefault="00B47286" w:rsidP="00B47286">
      <w:pPr>
        <w:pStyle w:val="GesAbsatz"/>
      </w:pPr>
      <w:r>
        <w:t>Bericht-Nr.: 936/21227195/A vom 9. März 2015</w:t>
      </w:r>
    </w:p>
    <w:p w:rsidR="00B47286" w:rsidRDefault="00B47286" w:rsidP="00FF4B55">
      <w:pPr>
        <w:pStyle w:val="berschrift2"/>
      </w:pPr>
      <w:r>
        <w:t>IV.</w:t>
      </w:r>
      <w:r w:rsidR="00FF4B55">
        <w:br/>
      </w:r>
      <w:r>
        <w:t>Berichtigungen zur Bundeseinheitlichen Praxis</w:t>
      </w:r>
      <w:r w:rsidR="00FF4B55">
        <w:br/>
      </w:r>
      <w:r>
        <w:t>bei der Überwachung von Emissionen und Immissionen</w:t>
      </w:r>
    </w:p>
    <w:p w:rsidR="00B47286" w:rsidRPr="00FF4B55" w:rsidRDefault="00B47286" w:rsidP="003A1C1C">
      <w:pPr>
        <w:pStyle w:val="GesAbsatz"/>
        <w:ind w:left="426" w:hanging="426"/>
        <w:rPr>
          <w:b/>
        </w:rPr>
      </w:pPr>
      <w:r w:rsidRPr="00FF4B55">
        <w:rPr>
          <w:b/>
        </w:rPr>
        <w:t>1</w:t>
      </w:r>
      <w:r w:rsidR="00FF4B55" w:rsidRPr="00FF4B55">
        <w:rPr>
          <w:b/>
        </w:rPr>
        <w:tab/>
      </w:r>
      <w:r w:rsidRPr="00FF4B55">
        <w:rPr>
          <w:b/>
        </w:rPr>
        <w:t>Berichtigung zu der Bekanntmachung des Umweltbundesamtes vom 25. Februar 2015 (BAnz AT 02.04.2015</w:t>
      </w:r>
      <w:r w:rsidR="00FF4B55">
        <w:rPr>
          <w:b/>
        </w:rPr>
        <w:t xml:space="preserve"> </w:t>
      </w:r>
      <w:r w:rsidRPr="00FF4B55">
        <w:rPr>
          <w:b/>
        </w:rPr>
        <w:t>B5, Kapitel I Nummer 4.1 sowie Kapitel IV 43. Mitteilung)</w:t>
      </w:r>
    </w:p>
    <w:p w:rsidR="00B47286" w:rsidRDefault="00B47286" w:rsidP="00B47286">
      <w:pPr>
        <w:pStyle w:val="GesAbsatz"/>
      </w:pPr>
      <w:r>
        <w:t>Unter der Angabe der Messbereiche aus der Eignungsprüfung des modularen Systems Set CEM CERT 7MB1957 der</w:t>
      </w:r>
      <w:r w:rsidR="00FF4B55">
        <w:t xml:space="preserve"> </w:t>
      </w:r>
      <w:r>
        <w:t xml:space="preserve">Firma Siemens AG fehlt in der oben genannten Bekanntmachung für die Komponente </w:t>
      </w:r>
      <w:proofErr w:type="spellStart"/>
      <w:r>
        <w:t>NO</w:t>
      </w:r>
      <w:r w:rsidRPr="00FF4B55">
        <w:rPr>
          <w:vertAlign w:val="subscript"/>
        </w:rPr>
        <w:t>x</w:t>
      </w:r>
      <w:proofErr w:type="spellEnd"/>
      <w:r>
        <w:t xml:space="preserve"> in der Modulvariante </w:t>
      </w:r>
      <w:proofErr w:type="spellStart"/>
      <w:r>
        <w:t>Ultramat</w:t>
      </w:r>
      <w:proofErr w:type="spellEnd"/>
      <w:r w:rsidR="00FF4B55">
        <w:t xml:space="preserve"> </w:t>
      </w:r>
      <w:r>
        <w:t>23-7MB2357-Z-T13 der zweite zusätzliche Messbereich.</w:t>
      </w:r>
    </w:p>
    <w:p w:rsidR="00B47286" w:rsidRDefault="00B47286" w:rsidP="00B47286">
      <w:pPr>
        <w:pStyle w:val="GesAbsatz"/>
      </w:pPr>
      <w:r>
        <w:t xml:space="preserve">Die Messbereiche für die Komponente </w:t>
      </w:r>
      <w:proofErr w:type="spellStart"/>
      <w:r>
        <w:t>NOx</w:t>
      </w:r>
      <w:proofErr w:type="spellEnd"/>
      <w:r>
        <w:t xml:space="preserve"> in Verbindung mit der Modulvariante </w:t>
      </w:r>
      <w:proofErr w:type="spellStart"/>
      <w:r>
        <w:t>Ultramat</w:t>
      </w:r>
      <w:proofErr w:type="spellEnd"/>
      <w:r>
        <w:t xml:space="preserve"> 23-7MB2357-Z-T13 lauten</w:t>
      </w:r>
      <w:r w:rsidR="00FF4B55">
        <w:t xml:space="preserve"> </w:t>
      </w:r>
      <w:r>
        <w:t>richtig wie folgt: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526"/>
        <w:gridCol w:w="1843"/>
        <w:gridCol w:w="2128"/>
        <w:gridCol w:w="1415"/>
        <w:gridCol w:w="1476"/>
        <w:gridCol w:w="934"/>
      </w:tblGrid>
      <w:tr w:rsidR="00FF4B55" w:rsidRPr="00FF4B55" w:rsidTr="00FF4B55">
        <w:tc>
          <w:tcPr>
            <w:tcW w:w="1526" w:type="dxa"/>
          </w:tcPr>
          <w:p w:rsidR="00FF4B55" w:rsidRPr="00FF4B55" w:rsidRDefault="00FF4B55" w:rsidP="00FF4B55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Komponente</w:t>
            </w:r>
          </w:p>
        </w:tc>
        <w:tc>
          <w:tcPr>
            <w:tcW w:w="1843" w:type="dxa"/>
          </w:tcPr>
          <w:p w:rsidR="00FF4B55" w:rsidRPr="00FF4B55" w:rsidRDefault="00FF4B55" w:rsidP="00FF4B55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Modul-Variante</w:t>
            </w:r>
          </w:p>
        </w:tc>
        <w:tc>
          <w:tcPr>
            <w:tcW w:w="2128" w:type="dxa"/>
          </w:tcPr>
          <w:p w:rsidR="00FF4B55" w:rsidRPr="00FF4B55" w:rsidRDefault="00FF4B55" w:rsidP="00FF4B55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Zertifizierungsbereich</w:t>
            </w:r>
          </w:p>
        </w:tc>
        <w:tc>
          <w:tcPr>
            <w:tcW w:w="2891" w:type="dxa"/>
            <w:gridSpan w:val="2"/>
          </w:tcPr>
          <w:p w:rsidR="00FF4B55" w:rsidRPr="00FF4B55" w:rsidRDefault="00FF4B55" w:rsidP="00FF4B55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zusätzliche Messbereiche</w:t>
            </w:r>
          </w:p>
        </w:tc>
        <w:tc>
          <w:tcPr>
            <w:tcW w:w="934" w:type="dxa"/>
          </w:tcPr>
          <w:p w:rsidR="00FF4B55" w:rsidRPr="00FF4B55" w:rsidRDefault="00FF4B55" w:rsidP="00FF4B55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Einheit</w:t>
            </w:r>
          </w:p>
        </w:tc>
      </w:tr>
      <w:tr w:rsidR="00FF4B55" w:rsidRPr="00FF4B55" w:rsidTr="00FF4B55">
        <w:tc>
          <w:tcPr>
            <w:tcW w:w="1526" w:type="dxa"/>
            <w:vMerge w:val="restart"/>
          </w:tcPr>
          <w:p w:rsidR="00FF4B55" w:rsidRPr="00FF4B55" w:rsidRDefault="00FF4B55" w:rsidP="00D60AB1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FF4B55">
              <w:rPr>
                <w:sz w:val="18"/>
                <w:szCs w:val="18"/>
              </w:rPr>
              <w:t>NO</w:t>
            </w:r>
            <w:r w:rsidRPr="00FF4B55">
              <w:rPr>
                <w:sz w:val="18"/>
                <w:szCs w:val="18"/>
                <w:vertAlign w:val="subscript"/>
              </w:rPr>
              <w:t>x</w:t>
            </w:r>
            <w:proofErr w:type="spellEnd"/>
          </w:p>
        </w:tc>
        <w:tc>
          <w:tcPr>
            <w:tcW w:w="1843" w:type="dxa"/>
            <w:vMerge w:val="restart"/>
          </w:tcPr>
          <w:p w:rsidR="00FF4B55" w:rsidRPr="00FF4B55" w:rsidRDefault="00FF4B55" w:rsidP="00D60AB1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FF4B55">
              <w:rPr>
                <w:sz w:val="18"/>
                <w:szCs w:val="18"/>
              </w:rPr>
              <w:t>Ultramat</w:t>
            </w:r>
            <w:proofErr w:type="spellEnd"/>
            <w:r w:rsidRPr="00FF4B55">
              <w:rPr>
                <w:sz w:val="18"/>
                <w:szCs w:val="18"/>
              </w:rPr>
              <w:t xml:space="preserve"> 23-7MB2357-Z-T13</w:t>
            </w:r>
          </w:p>
        </w:tc>
        <w:tc>
          <w:tcPr>
            <w:tcW w:w="2128" w:type="dxa"/>
          </w:tcPr>
          <w:p w:rsidR="00FF4B55" w:rsidRPr="00FF4B55" w:rsidRDefault="00FF4B55" w:rsidP="00FF4B55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0 – 150</w:t>
            </w:r>
            <w:r w:rsidRPr="00FF4B5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5" w:type="dxa"/>
          </w:tcPr>
          <w:p w:rsidR="00FF4B55" w:rsidRPr="00FF4B55" w:rsidRDefault="00FF4B55" w:rsidP="00FF4B55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0 – 750</w:t>
            </w:r>
            <w:r w:rsidRPr="00FF4B5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76" w:type="dxa"/>
          </w:tcPr>
          <w:p w:rsidR="00FF4B55" w:rsidRPr="00FF4B55" w:rsidRDefault="00FF4B55" w:rsidP="00FF4B55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0 – 2 000</w:t>
            </w:r>
            <w:r w:rsidRPr="00FF4B5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34" w:type="dxa"/>
            <w:vMerge w:val="restart"/>
          </w:tcPr>
          <w:p w:rsidR="00FF4B55" w:rsidRPr="00FF4B55" w:rsidRDefault="00FF4B55" w:rsidP="00FF4B55">
            <w:pPr>
              <w:pStyle w:val="GesAbsatz"/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mg/m³</w:t>
            </w:r>
          </w:p>
        </w:tc>
      </w:tr>
      <w:tr w:rsidR="00FF4B55" w:rsidRPr="00FF4B55" w:rsidTr="00FF4B55">
        <w:tc>
          <w:tcPr>
            <w:tcW w:w="1526" w:type="dxa"/>
            <w:vMerge/>
          </w:tcPr>
          <w:p w:rsidR="00FF4B55" w:rsidRPr="00FF4B55" w:rsidRDefault="00FF4B55" w:rsidP="00D60AB1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F4B55" w:rsidRPr="00FF4B55" w:rsidRDefault="00FF4B55" w:rsidP="00D60AB1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2128" w:type="dxa"/>
          </w:tcPr>
          <w:p w:rsidR="00FF4B55" w:rsidRPr="00FF4B55" w:rsidRDefault="00FF4B55" w:rsidP="00FF4B55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0 – 230</w:t>
            </w:r>
            <w:r w:rsidRPr="00FF4B5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5" w:type="dxa"/>
          </w:tcPr>
          <w:p w:rsidR="00FF4B55" w:rsidRPr="00FF4B55" w:rsidRDefault="00FF4B55" w:rsidP="00FF4B55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0 – 1 150</w:t>
            </w:r>
            <w:r w:rsidRPr="00FF4B5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FF4B55" w:rsidRPr="00FF4B55" w:rsidRDefault="00FF4B55" w:rsidP="00FF4B55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FF4B55">
              <w:rPr>
                <w:sz w:val="18"/>
                <w:szCs w:val="18"/>
              </w:rPr>
              <w:t>0 – 3 067</w:t>
            </w:r>
            <w:r w:rsidRPr="00FF4B5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34" w:type="dxa"/>
            <w:vMerge/>
          </w:tcPr>
          <w:p w:rsidR="00FF4B55" w:rsidRPr="00FF4B55" w:rsidRDefault="00FF4B55" w:rsidP="00D60AB1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</w:tbl>
    <w:p w:rsidR="00B47286" w:rsidRDefault="00B47286" w:rsidP="00B47286">
      <w:pPr>
        <w:pStyle w:val="GesAbsatz"/>
      </w:pPr>
      <w:r w:rsidRPr="006D642D">
        <w:rPr>
          <w:vertAlign w:val="superscript"/>
        </w:rPr>
        <w:t>1</w:t>
      </w:r>
      <w:r>
        <w:t xml:space="preserve"> angegeben als NO</w:t>
      </w:r>
    </w:p>
    <w:p w:rsidR="00B47286" w:rsidRDefault="00B47286" w:rsidP="00B47286">
      <w:pPr>
        <w:pStyle w:val="GesAbsatz"/>
      </w:pPr>
      <w:r w:rsidRPr="006D642D">
        <w:rPr>
          <w:vertAlign w:val="superscript"/>
        </w:rPr>
        <w:t>2</w:t>
      </w:r>
      <w:r>
        <w:t xml:space="preserve"> angegeben als NO</w:t>
      </w:r>
      <w:r w:rsidRPr="006D642D">
        <w:rPr>
          <w:vertAlign w:val="subscript"/>
        </w:rPr>
        <w:t>2</w:t>
      </w:r>
    </w:p>
    <w:p w:rsidR="00B47286" w:rsidRDefault="00B47286" w:rsidP="006D642D">
      <w:pPr>
        <w:pStyle w:val="berschrift2"/>
      </w:pPr>
      <w:r>
        <w:t>V.</w:t>
      </w:r>
      <w:r w:rsidR="006D642D">
        <w:br/>
      </w:r>
      <w:r>
        <w:t>Mitteilungen zur Bundeseinheitlichen Praxis</w:t>
      </w:r>
      <w:r w:rsidR="006D642D">
        <w:br/>
      </w:r>
      <w:r>
        <w:t>bei der Überwachung von Emissionen und Immissionen</w:t>
      </w:r>
    </w:p>
    <w:p w:rsidR="00B47286" w:rsidRPr="003A1C1C" w:rsidRDefault="00B47286" w:rsidP="003A1C1C">
      <w:pPr>
        <w:pStyle w:val="GesAbsatz"/>
        <w:ind w:left="426" w:hanging="426"/>
        <w:rPr>
          <w:b/>
        </w:rPr>
      </w:pPr>
      <w:r w:rsidRPr="003A1C1C">
        <w:rPr>
          <w:b/>
        </w:rPr>
        <w:t>1</w:t>
      </w:r>
      <w:r w:rsidR="003A1C1C">
        <w:rPr>
          <w:b/>
        </w:rPr>
        <w:tab/>
      </w:r>
      <w:r w:rsidRPr="003A1C1C">
        <w:rPr>
          <w:b/>
        </w:rPr>
        <w:t>Mitteilung zu den Bekanntmachungen des Umweltbundesamtes vom 12. Februar 2013 (BAnz AT 05.03.2013</w:t>
      </w:r>
      <w:r w:rsidR="003A1C1C">
        <w:rPr>
          <w:b/>
        </w:rPr>
        <w:t xml:space="preserve"> </w:t>
      </w:r>
      <w:r w:rsidRPr="003A1C1C">
        <w:rPr>
          <w:b/>
        </w:rPr>
        <w:t>B10, Kapitel III Nummer 1.1) und vom 17. Juli 2014 (BAnz AT 05.08.2014 B11, Kapitel V 28. Mitteilung)</w:t>
      </w:r>
    </w:p>
    <w:p w:rsidR="00B47286" w:rsidRDefault="00B47286" w:rsidP="00B47286">
      <w:pPr>
        <w:pStyle w:val="GesAbsatz"/>
      </w:pPr>
      <w:r>
        <w:t>Die aktuelle Softwareversion des Emissionsrechners MEAC2012 der Firma SICK AG, Hamburg lautet:</w:t>
      </w:r>
    </w:p>
    <w:p w:rsidR="00B47286" w:rsidRDefault="00B47286" w:rsidP="00B47286">
      <w:pPr>
        <w:pStyle w:val="GesAbsatz"/>
      </w:pPr>
      <w:r>
        <w:t>Version 3.5</w:t>
      </w:r>
    </w:p>
    <w:p w:rsidR="00B47286" w:rsidRDefault="00B47286" w:rsidP="00B47286">
      <w:pPr>
        <w:pStyle w:val="GesAbsatz"/>
      </w:pPr>
      <w:r>
        <w:t>In Anlagen entsprechend der 13. BImSchV, die mit berechneten Grenzwerten bei Mischfeuerungen arbeiten, sowie</w:t>
      </w:r>
      <w:r w:rsidR="005B3E8A">
        <w:t xml:space="preserve"> </w:t>
      </w:r>
      <w:r>
        <w:t>Anlagen der 30. BImSchV ist die neue Software-Version zu verwenden.</w:t>
      </w:r>
    </w:p>
    <w:p w:rsidR="00B47286" w:rsidRDefault="00B47286" w:rsidP="00B47286">
      <w:pPr>
        <w:pStyle w:val="GesAbsatz"/>
      </w:pPr>
      <w:r>
        <w:t>Stellungnahme der TÜV Rheinland Energie und Umwelt GmbH vom 24. März 2015.</w:t>
      </w:r>
    </w:p>
    <w:p w:rsidR="00B47286" w:rsidRPr="005B3E8A" w:rsidRDefault="00B47286" w:rsidP="005B3E8A">
      <w:pPr>
        <w:pStyle w:val="GesAbsatz"/>
        <w:ind w:left="426" w:hanging="426"/>
        <w:rPr>
          <w:b/>
        </w:rPr>
      </w:pPr>
      <w:r w:rsidRPr="005B3E8A">
        <w:rPr>
          <w:b/>
        </w:rPr>
        <w:t>2</w:t>
      </w:r>
      <w:r w:rsidR="005B3E8A" w:rsidRPr="005B3E8A">
        <w:rPr>
          <w:b/>
        </w:rPr>
        <w:tab/>
      </w:r>
      <w:r w:rsidRPr="005B3E8A">
        <w:rPr>
          <w:b/>
        </w:rPr>
        <w:t>Mitteilung zu den Bekanntmachungen des Umweltbundesamtes vom 23. Februar 2012 (BAnz. S. 920, Kapitel</w:t>
      </w:r>
      <w:r w:rsidR="005B3E8A" w:rsidRPr="005B3E8A">
        <w:rPr>
          <w:b/>
        </w:rPr>
        <w:t xml:space="preserve"> </w:t>
      </w:r>
      <w:r w:rsidRPr="005B3E8A">
        <w:rPr>
          <w:b/>
        </w:rPr>
        <w:t>III Nummer 1.1) und vom 17. Juli 2014 (BAnz AT 05.08.2014 B11, Kapitel V 29. Mitte</w:t>
      </w:r>
      <w:r w:rsidRPr="005B3E8A">
        <w:rPr>
          <w:b/>
        </w:rPr>
        <w:t>i</w:t>
      </w:r>
      <w:r w:rsidRPr="005B3E8A">
        <w:rPr>
          <w:b/>
        </w:rPr>
        <w:t>lung)</w:t>
      </w:r>
    </w:p>
    <w:p w:rsidR="00B47286" w:rsidRDefault="00B47286" w:rsidP="00B47286">
      <w:pPr>
        <w:pStyle w:val="GesAbsatz"/>
      </w:pPr>
      <w:r>
        <w:t xml:space="preserve">Die aktuellen Softwareversionen des Emissionsrechners </w:t>
      </w:r>
      <w:proofErr w:type="spellStart"/>
      <w:r>
        <w:t>UmweltOffice</w:t>
      </w:r>
      <w:proofErr w:type="spellEnd"/>
      <w:r>
        <w:t xml:space="preserve"> der Firma NIS Ingenieurgesellschaft mbH sind:</w:t>
      </w:r>
    </w:p>
    <w:p w:rsidR="00B47286" w:rsidRPr="007B0C37" w:rsidRDefault="00B47286" w:rsidP="005B3E8A">
      <w:pPr>
        <w:pStyle w:val="GesAbsatz"/>
        <w:tabs>
          <w:tab w:val="left" w:pos="2127"/>
        </w:tabs>
        <w:rPr>
          <w:lang w:val="en-US"/>
        </w:rPr>
      </w:pPr>
      <w:proofErr w:type="spellStart"/>
      <w:r w:rsidRPr="007B0C37">
        <w:rPr>
          <w:lang w:val="en-US"/>
        </w:rPr>
        <w:t>UmweltOffice</w:t>
      </w:r>
      <w:proofErr w:type="spellEnd"/>
      <w:r w:rsidR="005B3E8A">
        <w:rPr>
          <w:lang w:val="en-US"/>
        </w:rPr>
        <w:tab/>
      </w:r>
      <w:r w:rsidRPr="007B0C37">
        <w:rPr>
          <w:lang w:val="en-US"/>
        </w:rPr>
        <w:t>7.1.11</w:t>
      </w:r>
    </w:p>
    <w:p w:rsidR="00B47286" w:rsidRPr="007B0C37" w:rsidRDefault="00B47286" w:rsidP="005B3E8A">
      <w:pPr>
        <w:pStyle w:val="GesAbsatz"/>
        <w:tabs>
          <w:tab w:val="left" w:pos="2127"/>
        </w:tabs>
        <w:rPr>
          <w:lang w:val="en-US"/>
        </w:rPr>
      </w:pPr>
      <w:r w:rsidRPr="007B0C37">
        <w:rPr>
          <w:lang w:val="en-US"/>
        </w:rPr>
        <w:t>Oracle-</w:t>
      </w:r>
      <w:proofErr w:type="spellStart"/>
      <w:r w:rsidRPr="007B0C37">
        <w:rPr>
          <w:lang w:val="en-US"/>
        </w:rPr>
        <w:t>Datenbank</w:t>
      </w:r>
      <w:proofErr w:type="spellEnd"/>
      <w:r w:rsidRPr="007B0C37">
        <w:rPr>
          <w:lang w:val="en-US"/>
        </w:rPr>
        <w:t>:</w:t>
      </w:r>
      <w:r w:rsidR="005B3E8A">
        <w:rPr>
          <w:lang w:val="en-US"/>
        </w:rPr>
        <w:tab/>
      </w:r>
      <w:r w:rsidRPr="007B0C37">
        <w:rPr>
          <w:lang w:val="en-US"/>
        </w:rPr>
        <w:t>11.2</w:t>
      </w:r>
    </w:p>
    <w:p w:rsidR="00B47286" w:rsidRPr="007B0C37" w:rsidRDefault="00B47286" w:rsidP="005B3E8A">
      <w:pPr>
        <w:pStyle w:val="GesAbsatz"/>
        <w:tabs>
          <w:tab w:val="left" w:pos="2127"/>
        </w:tabs>
        <w:rPr>
          <w:lang w:val="en-US"/>
        </w:rPr>
      </w:pPr>
      <w:r w:rsidRPr="007B0C37">
        <w:rPr>
          <w:lang w:val="en-US"/>
        </w:rPr>
        <w:t>TALAS/7</w:t>
      </w:r>
      <w:r w:rsidR="005B3E8A">
        <w:rPr>
          <w:lang w:val="en-US"/>
        </w:rPr>
        <w:tab/>
      </w:r>
      <w:r w:rsidRPr="007B0C37">
        <w:rPr>
          <w:lang w:val="en-US"/>
        </w:rPr>
        <w:t>7.1 (011)</w:t>
      </w:r>
    </w:p>
    <w:p w:rsidR="00B47286" w:rsidRPr="007B0C37" w:rsidRDefault="00B47286" w:rsidP="005B3E8A">
      <w:pPr>
        <w:pStyle w:val="GesAbsatz"/>
        <w:tabs>
          <w:tab w:val="left" w:pos="2127"/>
        </w:tabs>
        <w:rPr>
          <w:lang w:val="en-US"/>
        </w:rPr>
      </w:pPr>
      <w:r w:rsidRPr="007B0C37">
        <w:rPr>
          <w:lang w:val="en-US"/>
        </w:rPr>
        <w:t>TALAS/net</w:t>
      </w:r>
      <w:r w:rsidR="005B3E8A">
        <w:rPr>
          <w:lang w:val="en-US"/>
        </w:rPr>
        <w:tab/>
      </w:r>
      <w:r w:rsidRPr="007B0C37">
        <w:rPr>
          <w:lang w:val="en-US"/>
        </w:rPr>
        <w:t>5.2 (026)</w:t>
      </w:r>
    </w:p>
    <w:p w:rsidR="00B47286" w:rsidRPr="007B0C37" w:rsidRDefault="00B47286" w:rsidP="005B3E8A">
      <w:pPr>
        <w:pStyle w:val="GesAbsatz"/>
        <w:tabs>
          <w:tab w:val="left" w:pos="2127"/>
        </w:tabs>
        <w:rPr>
          <w:lang w:val="en-US"/>
        </w:rPr>
      </w:pPr>
      <w:r w:rsidRPr="007B0C37">
        <w:rPr>
          <w:lang w:val="en-US"/>
        </w:rPr>
        <w:t>TALAS/e</w:t>
      </w:r>
      <w:r w:rsidR="005B3E8A">
        <w:rPr>
          <w:lang w:val="en-US"/>
        </w:rPr>
        <w:tab/>
      </w:r>
      <w:r w:rsidRPr="007B0C37">
        <w:rPr>
          <w:lang w:val="en-US"/>
        </w:rPr>
        <w:t>4.2 (018)</w:t>
      </w:r>
    </w:p>
    <w:p w:rsidR="00B47286" w:rsidRPr="007B0C37" w:rsidRDefault="00B47286" w:rsidP="005B3E8A">
      <w:pPr>
        <w:pStyle w:val="GesAbsatz"/>
        <w:tabs>
          <w:tab w:val="left" w:pos="2127"/>
        </w:tabs>
        <w:rPr>
          <w:lang w:val="en-US"/>
        </w:rPr>
      </w:pPr>
      <w:proofErr w:type="spellStart"/>
      <w:r w:rsidRPr="007B0C37">
        <w:rPr>
          <w:lang w:val="en-US"/>
        </w:rPr>
        <w:t>TService</w:t>
      </w:r>
      <w:proofErr w:type="spellEnd"/>
      <w:r w:rsidR="005B3E8A">
        <w:rPr>
          <w:lang w:val="en-US"/>
        </w:rPr>
        <w:tab/>
      </w:r>
      <w:r w:rsidRPr="007B0C37">
        <w:rPr>
          <w:lang w:val="en-US"/>
        </w:rPr>
        <w:t>5.3 (010)</w:t>
      </w:r>
    </w:p>
    <w:p w:rsidR="00B47286" w:rsidRDefault="00B47286" w:rsidP="005B3E8A">
      <w:pPr>
        <w:pStyle w:val="GesAbsatz"/>
        <w:tabs>
          <w:tab w:val="left" w:pos="2127"/>
        </w:tabs>
      </w:pPr>
      <w:r>
        <w:t>TAP5</w:t>
      </w:r>
      <w:r w:rsidR="005B3E8A">
        <w:tab/>
      </w:r>
      <w:r>
        <w:t>5.3 (005)</w:t>
      </w:r>
    </w:p>
    <w:p w:rsidR="00B47286" w:rsidRDefault="00B47286" w:rsidP="005B3E8A">
      <w:pPr>
        <w:pStyle w:val="GesAbsatz"/>
        <w:tabs>
          <w:tab w:val="left" w:pos="2127"/>
        </w:tabs>
      </w:pPr>
      <w:r>
        <w:t>TAP4</w:t>
      </w:r>
      <w:r w:rsidR="005B3E8A">
        <w:tab/>
      </w:r>
      <w:r>
        <w:t>4.3 (005)</w:t>
      </w:r>
    </w:p>
    <w:p w:rsidR="00B47286" w:rsidRDefault="00B47286" w:rsidP="00B47286">
      <w:pPr>
        <w:pStyle w:val="GesAbsatz"/>
      </w:pPr>
      <w:r>
        <w:t>Stellungnahme der TÜV Rheinland Energie und Umwelt GmbH vom 8. Dezember 2014.</w:t>
      </w:r>
    </w:p>
    <w:p w:rsidR="00B47286" w:rsidRPr="005B3E8A" w:rsidRDefault="00B47286" w:rsidP="005B3E8A">
      <w:pPr>
        <w:pStyle w:val="GesAbsatz"/>
        <w:ind w:left="426" w:hanging="426"/>
        <w:rPr>
          <w:b/>
        </w:rPr>
      </w:pPr>
      <w:r w:rsidRPr="005B3E8A">
        <w:rPr>
          <w:b/>
        </w:rPr>
        <w:t>3</w:t>
      </w:r>
      <w:r w:rsidR="005B3E8A" w:rsidRPr="005B3E8A">
        <w:rPr>
          <w:b/>
        </w:rPr>
        <w:tab/>
      </w:r>
      <w:r w:rsidRPr="005B3E8A">
        <w:rPr>
          <w:b/>
        </w:rPr>
        <w:t>Mitteilung zu den Bekanntmachungen des Umweltbundesamtes vom 12. Februar 2013 (BAnz AT 05.03.2013</w:t>
      </w:r>
      <w:r w:rsidR="005B3E8A" w:rsidRPr="005B3E8A">
        <w:rPr>
          <w:b/>
        </w:rPr>
        <w:t xml:space="preserve"> </w:t>
      </w:r>
      <w:r w:rsidRPr="005B3E8A">
        <w:rPr>
          <w:b/>
        </w:rPr>
        <w:t>B10, Kapitel II Nummer 2.2) und dem 3. Juli 2013 (BAnz AT 23.07.2013 B10, Kapitel V 14. Mitteilung)</w:t>
      </w:r>
    </w:p>
    <w:p w:rsidR="00B47286" w:rsidRDefault="00B47286" w:rsidP="00B47286">
      <w:pPr>
        <w:pStyle w:val="GesAbsatz"/>
      </w:pPr>
      <w:r>
        <w:t xml:space="preserve">Die aktuellen Softwareversionen der Messeinrichtung </w:t>
      </w:r>
      <w:proofErr w:type="spellStart"/>
      <w:r>
        <w:t>Flowsic</w:t>
      </w:r>
      <w:proofErr w:type="spellEnd"/>
      <w:r>
        <w:t xml:space="preserve"> 100 für Abgasgeschwindigkeit der Firma SICK Engineering</w:t>
      </w:r>
      <w:r w:rsidR="005B3E8A">
        <w:t xml:space="preserve"> </w:t>
      </w:r>
      <w:r>
        <w:t>GmbH lauten:</w:t>
      </w:r>
    </w:p>
    <w:p w:rsidR="005B3E8A" w:rsidRPr="00B90F66" w:rsidRDefault="00B47286" w:rsidP="005B3E8A">
      <w:pPr>
        <w:pStyle w:val="GesAbsatz"/>
        <w:tabs>
          <w:tab w:val="left" w:pos="2127"/>
        </w:tabs>
        <w:rPr>
          <w:lang w:val="en-US"/>
        </w:rPr>
      </w:pPr>
      <w:r w:rsidRPr="00B90F66">
        <w:rPr>
          <w:lang w:val="en-US"/>
        </w:rPr>
        <w:t>MCU</w:t>
      </w:r>
      <w:r w:rsidR="005B3E8A" w:rsidRPr="00B90F66">
        <w:rPr>
          <w:lang w:val="en-US"/>
        </w:rPr>
        <w:tab/>
        <w:t>01.12.00</w:t>
      </w:r>
    </w:p>
    <w:p w:rsidR="00B47286" w:rsidRPr="00B90F66" w:rsidRDefault="005B3E8A" w:rsidP="00B47286">
      <w:pPr>
        <w:pStyle w:val="GesAbsatz"/>
        <w:rPr>
          <w:lang w:val="en-US"/>
        </w:rPr>
      </w:pPr>
      <w:r w:rsidRPr="00B90F66">
        <w:rPr>
          <w:lang w:val="en-US"/>
        </w:rPr>
        <w:t>Firmware:</w:t>
      </w:r>
    </w:p>
    <w:p w:rsidR="005B3E8A" w:rsidRPr="005B3E8A" w:rsidRDefault="005B3E8A" w:rsidP="005B3E8A">
      <w:pPr>
        <w:pStyle w:val="GesAbsatz"/>
        <w:tabs>
          <w:tab w:val="left" w:pos="2127"/>
          <w:tab w:val="left" w:pos="5387"/>
        </w:tabs>
        <w:rPr>
          <w:lang w:val="en-US"/>
        </w:rPr>
      </w:pPr>
      <w:r w:rsidRPr="00B90F66">
        <w:rPr>
          <w:lang w:val="en-US"/>
        </w:rPr>
        <w:t>Software</w:t>
      </w:r>
      <w:r w:rsidRPr="00B90F66">
        <w:rPr>
          <w:lang w:val="en-US"/>
        </w:rPr>
        <w:tab/>
        <w:t>Typ PR, PR-AC und S:</w:t>
      </w:r>
      <w:r w:rsidRPr="00B90F66">
        <w:rPr>
          <w:lang w:val="en-US"/>
        </w:rPr>
        <w:tab/>
      </w:r>
      <w:r w:rsidRPr="005B3E8A">
        <w:rPr>
          <w:lang w:val="en-US"/>
        </w:rPr>
        <w:t>1.06.00</w:t>
      </w:r>
    </w:p>
    <w:p w:rsidR="00B47286" w:rsidRPr="005B3E8A" w:rsidRDefault="005B3E8A" w:rsidP="00B47286">
      <w:pPr>
        <w:pStyle w:val="GesAbsatz"/>
        <w:rPr>
          <w:lang w:val="en-US"/>
        </w:rPr>
      </w:pPr>
      <w:r w:rsidRPr="005B3E8A">
        <w:rPr>
          <w:lang w:val="en-US"/>
        </w:rPr>
        <w:t>Sensor</w:t>
      </w:r>
    </w:p>
    <w:p w:rsidR="00B47286" w:rsidRPr="005B3E8A" w:rsidRDefault="00B47286" w:rsidP="005B3E8A">
      <w:pPr>
        <w:pStyle w:val="GesAbsatz"/>
        <w:tabs>
          <w:tab w:val="left" w:pos="5387"/>
        </w:tabs>
        <w:ind w:left="2127"/>
        <w:rPr>
          <w:lang w:val="en-US"/>
        </w:rPr>
      </w:pPr>
      <w:proofErr w:type="spellStart"/>
      <w:r w:rsidRPr="005B3E8A">
        <w:rPr>
          <w:lang w:val="en-US"/>
        </w:rPr>
        <w:t>Typ</w:t>
      </w:r>
      <w:proofErr w:type="spellEnd"/>
      <w:r w:rsidRPr="005B3E8A">
        <w:rPr>
          <w:lang w:val="en-US"/>
        </w:rPr>
        <w:t xml:space="preserve"> M, M-AC, H, H-AC, PM, PH,</w:t>
      </w:r>
      <w:r w:rsidR="005B3E8A">
        <w:rPr>
          <w:lang w:val="en-US"/>
        </w:rPr>
        <w:tab/>
      </w:r>
      <w:r w:rsidRPr="005B3E8A">
        <w:rPr>
          <w:lang w:val="en-US"/>
        </w:rPr>
        <w:t>21.06.00</w:t>
      </w:r>
    </w:p>
    <w:p w:rsidR="005B3E8A" w:rsidRPr="005B3E8A" w:rsidRDefault="005B3E8A" w:rsidP="005B3E8A">
      <w:pPr>
        <w:pStyle w:val="GesAbsatz"/>
        <w:ind w:left="2127"/>
      </w:pPr>
      <w:r w:rsidRPr="005B3E8A">
        <w:t>PH-S:</w:t>
      </w:r>
    </w:p>
    <w:p w:rsidR="00B47286" w:rsidRDefault="00B47286" w:rsidP="00B47286">
      <w:pPr>
        <w:pStyle w:val="GesAbsatz"/>
      </w:pPr>
      <w:r>
        <w:t>Zur vollständigen Bedienung der Messeinrichtung ist die Softwareplattform SOPAS ET in einer bekannt g</w:t>
      </w:r>
      <w:r>
        <w:t>e</w:t>
      </w:r>
      <w:r>
        <w:t>gebenen</w:t>
      </w:r>
      <w:r w:rsidR="005B3E8A">
        <w:t xml:space="preserve"> </w:t>
      </w:r>
      <w:r>
        <w:t>Version erforderlich. Die letzte bekannt gegebene Version lautet: SOPAS ET 2.38</w:t>
      </w:r>
    </w:p>
    <w:p w:rsidR="00B47286" w:rsidRDefault="00B47286" w:rsidP="00B47286">
      <w:pPr>
        <w:pStyle w:val="GesAbsatz"/>
      </w:pPr>
      <w:r>
        <w:t>Die Messeinrichtung erfüllt auch die Anforderungen der DIN EN ISO 16911-2 (Ausgabe: Juni 2013).</w:t>
      </w:r>
    </w:p>
    <w:p w:rsidR="00B47286" w:rsidRDefault="00B47286" w:rsidP="00B47286">
      <w:pPr>
        <w:pStyle w:val="GesAbsatz"/>
      </w:pPr>
      <w:r>
        <w:t>Stellungnahme der TÜV Rheinland Energie und Umwelt GmbH vom 24. März 2015.</w:t>
      </w:r>
    </w:p>
    <w:p w:rsidR="00B47286" w:rsidRPr="005B3E8A" w:rsidRDefault="00B47286" w:rsidP="005B3E8A">
      <w:pPr>
        <w:pStyle w:val="GesAbsatz"/>
        <w:ind w:left="426" w:hanging="426"/>
        <w:rPr>
          <w:b/>
        </w:rPr>
      </w:pPr>
      <w:r w:rsidRPr="005B3E8A">
        <w:rPr>
          <w:b/>
        </w:rPr>
        <w:t>4</w:t>
      </w:r>
      <w:r w:rsidR="005B3E8A" w:rsidRPr="005B3E8A">
        <w:rPr>
          <w:b/>
        </w:rPr>
        <w:tab/>
      </w:r>
      <w:r w:rsidRPr="005B3E8A">
        <w:rPr>
          <w:b/>
        </w:rPr>
        <w:t>Mitteilung zu den Bekanntmachungen des Umweltbundesamtes vom 17. Oktober 2003 (BAnz. S. 23 997,</w:t>
      </w:r>
      <w:r w:rsidR="005B3E8A" w:rsidRPr="005B3E8A">
        <w:rPr>
          <w:b/>
        </w:rPr>
        <w:t xml:space="preserve"> </w:t>
      </w:r>
      <w:r w:rsidRPr="005B3E8A">
        <w:rPr>
          <w:b/>
        </w:rPr>
        <w:t>Kapitel I Nummer 3.2) und vom 3. Juli 2013 (BAnz AT 23.07.2013 B4, Kapitel V 12. Mitte</w:t>
      </w:r>
      <w:r w:rsidRPr="005B3E8A">
        <w:rPr>
          <w:b/>
        </w:rPr>
        <w:t>i</w:t>
      </w:r>
      <w:r w:rsidRPr="005B3E8A">
        <w:rPr>
          <w:b/>
        </w:rPr>
        <w:t>lung [Nummer 5])</w:t>
      </w:r>
    </w:p>
    <w:p w:rsidR="00B47286" w:rsidRDefault="00B47286" w:rsidP="00B47286">
      <w:pPr>
        <w:pStyle w:val="GesAbsatz"/>
      </w:pPr>
      <w:r>
        <w:t xml:space="preserve">Die aktuelle Softwareversion der S700er Modulgeräteserie </w:t>
      </w:r>
      <w:proofErr w:type="spellStart"/>
      <w:r>
        <w:t>Multor</w:t>
      </w:r>
      <w:proofErr w:type="spellEnd"/>
      <w:r>
        <w:t xml:space="preserve"> S700 für CO, NO, SO</w:t>
      </w:r>
      <w:r w:rsidRPr="005B3E8A">
        <w:rPr>
          <w:vertAlign w:val="subscript"/>
        </w:rPr>
        <w:t>2</w:t>
      </w:r>
      <w:r>
        <w:t xml:space="preserve">, </w:t>
      </w:r>
      <w:proofErr w:type="spellStart"/>
      <w:r>
        <w:t>Unor</w:t>
      </w:r>
      <w:proofErr w:type="spellEnd"/>
      <w:r>
        <w:t xml:space="preserve"> für CO, NO, SO</w:t>
      </w:r>
      <w:r w:rsidRPr="005B3E8A">
        <w:rPr>
          <w:vertAlign w:val="subscript"/>
        </w:rPr>
        <w:t>2</w:t>
      </w:r>
      <w:r>
        <w:t xml:space="preserve"> und</w:t>
      </w:r>
      <w:r w:rsidR="005B3E8A">
        <w:t xml:space="preserve"> </w:t>
      </w:r>
      <w:proofErr w:type="spellStart"/>
      <w:r>
        <w:t>Oxor</w:t>
      </w:r>
      <w:proofErr w:type="spellEnd"/>
      <w:r>
        <w:t xml:space="preserve"> für O</w:t>
      </w:r>
      <w:r w:rsidRPr="005B3E8A">
        <w:rPr>
          <w:vertAlign w:val="subscript"/>
        </w:rPr>
        <w:t>2</w:t>
      </w:r>
      <w:r>
        <w:t xml:space="preserve"> der Firma SICK AG lautet: Version 1.36.</w:t>
      </w:r>
    </w:p>
    <w:p w:rsidR="00B47286" w:rsidRDefault="00B47286" w:rsidP="00B47286">
      <w:pPr>
        <w:pStyle w:val="GesAbsatz"/>
      </w:pPr>
      <w:r>
        <w:t>Stellungnahme der TÜV Rheinland Energie und Umwelt GmbH vom 26. März 2015.</w:t>
      </w:r>
    </w:p>
    <w:p w:rsidR="00B47286" w:rsidRPr="005B3E8A" w:rsidRDefault="00B47286" w:rsidP="005B3E8A">
      <w:pPr>
        <w:pStyle w:val="GesAbsatz"/>
        <w:ind w:left="426" w:hanging="426"/>
        <w:rPr>
          <w:b/>
        </w:rPr>
      </w:pPr>
      <w:r w:rsidRPr="005B3E8A">
        <w:rPr>
          <w:b/>
        </w:rPr>
        <w:t>5</w:t>
      </w:r>
      <w:r w:rsidR="005B3E8A" w:rsidRPr="005B3E8A">
        <w:rPr>
          <w:b/>
        </w:rPr>
        <w:tab/>
      </w:r>
      <w:r w:rsidRPr="005B3E8A">
        <w:rPr>
          <w:b/>
        </w:rPr>
        <w:t>Mitteilung zu der Bekanntmachung des Umweltbundesamtes vom 12. Februar 2013 (BAnz AT 05.03.2013 B10,</w:t>
      </w:r>
      <w:r w:rsidR="005B3E8A" w:rsidRPr="005B3E8A">
        <w:rPr>
          <w:b/>
        </w:rPr>
        <w:t xml:space="preserve"> </w:t>
      </w:r>
      <w:r w:rsidRPr="005B3E8A">
        <w:rPr>
          <w:b/>
        </w:rPr>
        <w:t>Kapitel I Nummer 2.3) und vom 17. Juli 2014 (BAnz AT 05.08.2014 B11, Kapitel V 14. Mitteilung)</w:t>
      </w:r>
    </w:p>
    <w:p w:rsidR="00B47286" w:rsidRDefault="00B47286" w:rsidP="00B47286">
      <w:pPr>
        <w:pStyle w:val="GesAbsatz"/>
      </w:pPr>
      <w:r>
        <w:t xml:space="preserve">Die aktuelle Softwareversion der Messeinrichtung MERCEM300Z für </w:t>
      </w:r>
      <w:proofErr w:type="spellStart"/>
      <w:r>
        <w:t>Hg</w:t>
      </w:r>
      <w:proofErr w:type="spellEnd"/>
      <w:r>
        <w:t xml:space="preserve"> der Firma SICK AG lautet: 9162140 YDU4.</w:t>
      </w:r>
    </w:p>
    <w:p w:rsidR="00B47286" w:rsidRDefault="00B47286" w:rsidP="00B47286">
      <w:pPr>
        <w:pStyle w:val="GesAbsatz"/>
      </w:pPr>
      <w:r>
        <w:t>Stellungnahme der TÜV Rheinland Energie und Umwelt GmbH vom 27. März 2015.</w:t>
      </w:r>
    </w:p>
    <w:p w:rsidR="00B47286" w:rsidRPr="005B3E8A" w:rsidRDefault="00B47286" w:rsidP="005B3E8A">
      <w:pPr>
        <w:pStyle w:val="GesAbsatz"/>
        <w:ind w:left="426" w:hanging="426"/>
        <w:rPr>
          <w:b/>
        </w:rPr>
      </w:pPr>
      <w:r w:rsidRPr="005B3E8A">
        <w:rPr>
          <w:b/>
        </w:rPr>
        <w:t>6</w:t>
      </w:r>
      <w:r w:rsidR="005B3E8A" w:rsidRPr="005B3E8A">
        <w:rPr>
          <w:b/>
        </w:rPr>
        <w:tab/>
      </w:r>
      <w:r w:rsidRPr="005B3E8A">
        <w:rPr>
          <w:b/>
        </w:rPr>
        <w:t>Mitteilung zu den Bekanntmachungen des Umweltbundesamtes vom 10. Januar 2011 (BAnz. S. 294, Kapitel I</w:t>
      </w:r>
      <w:r w:rsidR="005B3E8A" w:rsidRPr="005B3E8A">
        <w:rPr>
          <w:b/>
        </w:rPr>
        <w:t xml:space="preserve"> </w:t>
      </w:r>
      <w:r w:rsidRPr="005B3E8A">
        <w:rPr>
          <w:b/>
        </w:rPr>
        <w:t>Nummer 3.1) und vom 27. Februar 2014 (BAnz AT 01.04.2014 B12, Kapitel VI 17. Mitteilung)</w:t>
      </w:r>
    </w:p>
    <w:p w:rsidR="00B47286" w:rsidRDefault="00B47286" w:rsidP="00B47286">
      <w:pPr>
        <w:pStyle w:val="GesAbsatz"/>
      </w:pPr>
      <w:r>
        <w:t>Die aktuellen Softwareversionen der Messeinrichtung MCS100FT für O</w:t>
      </w:r>
      <w:r w:rsidRPr="005B3E8A">
        <w:rPr>
          <w:vertAlign w:val="subscript"/>
        </w:rPr>
        <w:t>2</w:t>
      </w:r>
      <w:r>
        <w:t>, CO, SO</w:t>
      </w:r>
      <w:r w:rsidRPr="005B3E8A">
        <w:rPr>
          <w:vertAlign w:val="subscript"/>
        </w:rPr>
        <w:t>2</w:t>
      </w:r>
      <w:r>
        <w:t>, NO, NO</w:t>
      </w:r>
      <w:r w:rsidRPr="005B3E8A">
        <w:rPr>
          <w:vertAlign w:val="subscript"/>
        </w:rPr>
        <w:t>2</w:t>
      </w:r>
      <w:r>
        <w:t>, HCl, HF, CH</w:t>
      </w:r>
      <w:r w:rsidRPr="005B3E8A">
        <w:rPr>
          <w:vertAlign w:val="subscript"/>
        </w:rPr>
        <w:t>4</w:t>
      </w:r>
      <w:r>
        <w:t>, CO</w:t>
      </w:r>
      <w:r w:rsidRPr="005B3E8A">
        <w:rPr>
          <w:vertAlign w:val="subscript"/>
        </w:rPr>
        <w:t>2</w:t>
      </w:r>
      <w:r>
        <w:t>, H</w:t>
      </w:r>
      <w:r w:rsidRPr="005B3E8A">
        <w:rPr>
          <w:vertAlign w:val="subscript"/>
        </w:rPr>
        <w:t>2</w:t>
      </w:r>
      <w:r>
        <w:t>O,</w:t>
      </w:r>
      <w:r w:rsidR="005B3E8A">
        <w:t xml:space="preserve"> </w:t>
      </w:r>
      <w:r>
        <w:t>N</w:t>
      </w:r>
      <w:r w:rsidRPr="005B3E8A">
        <w:rPr>
          <w:vertAlign w:val="subscript"/>
        </w:rPr>
        <w:t>2</w:t>
      </w:r>
      <w:r>
        <w:t>O, NH</w:t>
      </w:r>
      <w:r w:rsidRPr="005B3E8A">
        <w:rPr>
          <w:vertAlign w:val="subscript"/>
        </w:rPr>
        <w:t>3</w:t>
      </w:r>
      <w:r>
        <w:t xml:space="preserve"> und Gesamt-Kohlenstoff der Firma SICK AG lauten:</w:t>
      </w:r>
    </w:p>
    <w:p w:rsidR="00B47286" w:rsidRPr="00B90F66" w:rsidRDefault="00B47286" w:rsidP="005B3E8A">
      <w:pPr>
        <w:pStyle w:val="GesAbsatz"/>
        <w:tabs>
          <w:tab w:val="left" w:pos="2127"/>
        </w:tabs>
        <w:rPr>
          <w:lang w:val="en-US"/>
        </w:rPr>
      </w:pPr>
      <w:r w:rsidRPr="00B90F66">
        <w:rPr>
          <w:lang w:val="en-US"/>
        </w:rPr>
        <w:t>MCS100FT:</w:t>
      </w:r>
      <w:r w:rsidR="005B3E8A" w:rsidRPr="00B90F66">
        <w:rPr>
          <w:lang w:val="en-US"/>
        </w:rPr>
        <w:tab/>
      </w:r>
      <w:r w:rsidRPr="00B90F66">
        <w:rPr>
          <w:lang w:val="en-US"/>
        </w:rPr>
        <w:t>9191787 YHR2</w:t>
      </w:r>
    </w:p>
    <w:p w:rsidR="00B47286" w:rsidRPr="00B90F66" w:rsidRDefault="00B47286" w:rsidP="005B3E8A">
      <w:pPr>
        <w:pStyle w:val="GesAbsatz"/>
        <w:tabs>
          <w:tab w:val="left" w:pos="2127"/>
        </w:tabs>
        <w:rPr>
          <w:lang w:val="en-US"/>
        </w:rPr>
      </w:pPr>
      <w:r w:rsidRPr="00B90F66">
        <w:rPr>
          <w:lang w:val="en-US"/>
        </w:rPr>
        <w:t>SCU-P100:</w:t>
      </w:r>
      <w:r w:rsidR="005B3E8A" w:rsidRPr="00B90F66">
        <w:rPr>
          <w:lang w:val="en-US"/>
        </w:rPr>
        <w:tab/>
      </w:r>
      <w:r w:rsidRPr="00B90F66">
        <w:rPr>
          <w:lang w:val="en-US"/>
        </w:rPr>
        <w:t>9158931 X702</w:t>
      </w:r>
    </w:p>
    <w:p w:rsidR="00B47286" w:rsidRPr="00B90F66" w:rsidRDefault="00B47286" w:rsidP="005B3E8A">
      <w:pPr>
        <w:pStyle w:val="GesAbsatz"/>
        <w:tabs>
          <w:tab w:val="clear" w:pos="425"/>
          <w:tab w:val="left" w:pos="2127"/>
        </w:tabs>
        <w:rPr>
          <w:lang w:val="en-US"/>
        </w:rPr>
      </w:pPr>
      <w:r w:rsidRPr="00B90F66">
        <w:rPr>
          <w:lang w:val="en-US"/>
        </w:rPr>
        <w:t>FID:</w:t>
      </w:r>
      <w:r w:rsidR="005B3E8A" w:rsidRPr="00B90F66">
        <w:rPr>
          <w:lang w:val="en-US"/>
        </w:rPr>
        <w:tab/>
      </w:r>
      <w:r w:rsidRPr="00B90F66">
        <w:rPr>
          <w:lang w:val="en-US"/>
        </w:rPr>
        <w:t>Wk16_120917_1400</w:t>
      </w:r>
    </w:p>
    <w:p w:rsidR="00B47286" w:rsidRDefault="00B47286" w:rsidP="00B47286">
      <w:pPr>
        <w:pStyle w:val="GesAbsatz"/>
      </w:pPr>
      <w:r>
        <w:t>Stellungnahme der TÜV Rheinland Energie und Umwelt GmbH vom 27. März 2015.</w:t>
      </w:r>
    </w:p>
    <w:p w:rsidR="00B47286" w:rsidRPr="005B3E8A" w:rsidRDefault="00B47286" w:rsidP="005B3E8A">
      <w:pPr>
        <w:pStyle w:val="GesAbsatz"/>
        <w:ind w:left="426" w:hanging="426"/>
        <w:rPr>
          <w:b/>
        </w:rPr>
      </w:pPr>
      <w:r w:rsidRPr="005B3E8A">
        <w:rPr>
          <w:b/>
        </w:rPr>
        <w:t>7</w:t>
      </w:r>
      <w:r w:rsidR="005B3E8A" w:rsidRPr="005B3E8A">
        <w:rPr>
          <w:b/>
        </w:rPr>
        <w:tab/>
      </w:r>
      <w:r w:rsidRPr="005B3E8A">
        <w:rPr>
          <w:b/>
        </w:rPr>
        <w:t>Mitteilung zu der Bekanntmachung des Umweltbundesamtes vom 17. Juli 2014 (BAnz AT 05.08.2014 B11,</w:t>
      </w:r>
      <w:r w:rsidR="005B3E8A" w:rsidRPr="005B3E8A">
        <w:rPr>
          <w:b/>
        </w:rPr>
        <w:t xml:space="preserve"> </w:t>
      </w:r>
      <w:r w:rsidRPr="005B3E8A">
        <w:rPr>
          <w:b/>
        </w:rPr>
        <w:t>Kapitel I Nummer 2.1)</w:t>
      </w:r>
    </w:p>
    <w:p w:rsidR="00B47286" w:rsidRDefault="00B47286" w:rsidP="00B47286">
      <w:pPr>
        <w:pStyle w:val="GesAbsatz"/>
      </w:pPr>
      <w:r>
        <w:t>Die aktuellen Softwareversionen der Messeinrichtung GM700-2 für HF der Firma SICK AG lauten:</w:t>
      </w:r>
    </w:p>
    <w:p w:rsidR="00B47286" w:rsidRDefault="00B47286" w:rsidP="00B47286">
      <w:pPr>
        <w:pStyle w:val="GesAbsatz"/>
      </w:pPr>
      <w:r>
        <w:t>9105060 YEK0 (Messkopf)</w:t>
      </w:r>
    </w:p>
    <w:p w:rsidR="00B47286" w:rsidRDefault="00B47286" w:rsidP="00B47286">
      <w:pPr>
        <w:pStyle w:val="GesAbsatz"/>
      </w:pPr>
      <w:r>
        <w:t>9100821 WN42 (Auswerteeinheit)</w:t>
      </w:r>
    </w:p>
    <w:p w:rsidR="00B47286" w:rsidRDefault="00B47286" w:rsidP="00B47286">
      <w:pPr>
        <w:pStyle w:val="GesAbsatz"/>
      </w:pPr>
      <w:r>
        <w:t>9091948 WJ24 (Spülluft)</w:t>
      </w:r>
    </w:p>
    <w:p w:rsidR="00B47286" w:rsidRDefault="00B47286" w:rsidP="00B47286">
      <w:pPr>
        <w:pStyle w:val="GesAbsatz"/>
      </w:pPr>
      <w:r>
        <w:t>Stellungnahme der TÜV Rheinland Energie und Umwelt GmbH vom 27. März 2015.</w:t>
      </w:r>
    </w:p>
    <w:p w:rsidR="00B47286" w:rsidRPr="005B3E8A" w:rsidRDefault="00B47286" w:rsidP="005B3E8A">
      <w:pPr>
        <w:pStyle w:val="GesAbsatz"/>
        <w:ind w:left="426" w:hanging="426"/>
        <w:rPr>
          <w:b/>
        </w:rPr>
      </w:pPr>
      <w:r w:rsidRPr="005B3E8A">
        <w:rPr>
          <w:b/>
        </w:rPr>
        <w:t>8</w:t>
      </w:r>
      <w:r w:rsidR="005B3E8A" w:rsidRPr="005B3E8A">
        <w:rPr>
          <w:b/>
        </w:rPr>
        <w:tab/>
      </w:r>
      <w:r w:rsidRPr="005B3E8A">
        <w:rPr>
          <w:b/>
        </w:rPr>
        <w:t>Mitteilung zu den Bekanntmachungen des Umweltbundesamtes vom 3. August 2009 (BAnz. S. 2929, Kapitel I</w:t>
      </w:r>
      <w:r w:rsidR="005B3E8A" w:rsidRPr="005B3E8A">
        <w:rPr>
          <w:b/>
        </w:rPr>
        <w:t xml:space="preserve"> </w:t>
      </w:r>
      <w:r w:rsidRPr="005B3E8A">
        <w:rPr>
          <w:b/>
        </w:rPr>
        <w:t>Nummer 2.1) und vom 3. Juli 2013 (BAnz AT 23.07.2013 B4, Kapitel V 13. Mitte</w:t>
      </w:r>
      <w:r w:rsidRPr="005B3E8A">
        <w:rPr>
          <w:b/>
        </w:rPr>
        <w:t>i</w:t>
      </w:r>
      <w:r w:rsidRPr="005B3E8A">
        <w:rPr>
          <w:b/>
        </w:rPr>
        <w:t>lung [Nummer 5])</w:t>
      </w:r>
    </w:p>
    <w:p w:rsidR="00B47286" w:rsidRDefault="00B47286" w:rsidP="00B47286">
      <w:pPr>
        <w:pStyle w:val="GesAbsatz"/>
      </w:pPr>
      <w:r>
        <w:t>Die aktuellen Softwareversionen der Messeinrichtung DUSTHUNTER C200 für Staub der Firma SICK Eng</w:t>
      </w:r>
      <w:r>
        <w:t>i</w:t>
      </w:r>
      <w:r>
        <w:t>neering</w:t>
      </w:r>
      <w:r w:rsidR="005B3E8A">
        <w:t xml:space="preserve"> </w:t>
      </w:r>
      <w:r>
        <w:t>GmbH lauten:</w:t>
      </w:r>
    </w:p>
    <w:p w:rsidR="00B47286" w:rsidRDefault="00B47286" w:rsidP="005B3E8A">
      <w:pPr>
        <w:pStyle w:val="GesAbsatz"/>
        <w:tabs>
          <w:tab w:val="left" w:pos="2127"/>
        </w:tabs>
      </w:pPr>
      <w:r>
        <w:t>MCU Firmware:</w:t>
      </w:r>
      <w:r w:rsidR="005B3E8A">
        <w:tab/>
      </w:r>
      <w:r>
        <w:t>01.12.00</w:t>
      </w:r>
    </w:p>
    <w:p w:rsidR="00B47286" w:rsidRDefault="00B47286" w:rsidP="005B3E8A">
      <w:pPr>
        <w:pStyle w:val="GesAbsatz"/>
        <w:tabs>
          <w:tab w:val="left" w:pos="2127"/>
        </w:tabs>
      </w:pPr>
      <w:r>
        <w:t>Software Sensor:</w:t>
      </w:r>
      <w:r w:rsidR="005B3E8A">
        <w:tab/>
      </w:r>
      <w:r>
        <w:t>1.10.02</w:t>
      </w:r>
    </w:p>
    <w:p w:rsidR="00B47286" w:rsidRDefault="00B47286" w:rsidP="00B47286">
      <w:pPr>
        <w:pStyle w:val="GesAbsatz"/>
      </w:pPr>
      <w:r>
        <w:t>Zur Steuerung der Messeinrichtung ist die Softwareplattform SOPAS ET in einer bekannt gegebenen Vers</w:t>
      </w:r>
      <w:r>
        <w:t>i</w:t>
      </w:r>
      <w:r>
        <w:t>on erforderlich.</w:t>
      </w:r>
      <w:r w:rsidR="005B3E8A">
        <w:t xml:space="preserve"> </w:t>
      </w:r>
      <w:r>
        <w:t>Die letzte bekannt gegebene Version lautet: SOPAS ET 2.38</w:t>
      </w:r>
    </w:p>
    <w:p w:rsidR="00B47286" w:rsidRDefault="00B47286" w:rsidP="00B47286">
      <w:pPr>
        <w:pStyle w:val="GesAbsatz"/>
      </w:pPr>
      <w:r>
        <w:t>Stellungnahme der TÜV Rheinland Energie und Umwelt GmbH vom 24. März 2015.</w:t>
      </w:r>
    </w:p>
    <w:p w:rsidR="00B47286" w:rsidRPr="005B3E8A" w:rsidRDefault="00B47286" w:rsidP="005B3E8A">
      <w:pPr>
        <w:pStyle w:val="GesAbsatz"/>
        <w:ind w:left="426" w:hanging="426"/>
        <w:rPr>
          <w:b/>
        </w:rPr>
      </w:pPr>
      <w:r w:rsidRPr="005B3E8A">
        <w:rPr>
          <w:b/>
        </w:rPr>
        <w:t>9</w:t>
      </w:r>
      <w:r w:rsidR="005B3E8A" w:rsidRPr="005B3E8A">
        <w:rPr>
          <w:b/>
        </w:rPr>
        <w:tab/>
      </w:r>
      <w:r w:rsidRPr="005B3E8A">
        <w:rPr>
          <w:b/>
        </w:rPr>
        <w:t>Mitteilung zu den Bekanntmachungen des Umweltbundesamtes vom 12. Februar 2013 (BAnz AT 05.03.2013</w:t>
      </w:r>
      <w:r w:rsidR="005B3E8A" w:rsidRPr="005B3E8A">
        <w:rPr>
          <w:b/>
        </w:rPr>
        <w:t xml:space="preserve"> </w:t>
      </w:r>
      <w:r w:rsidRPr="005B3E8A">
        <w:rPr>
          <w:b/>
        </w:rPr>
        <w:t>B10, Kapitel I Nummer 1.6) und vom 3. Juli 2013 (BAnz AT 23.07.2013 B4, Kapitel V 10. Mitteilung und 13. Mitteilung</w:t>
      </w:r>
      <w:r w:rsidR="005B3E8A" w:rsidRPr="005B3E8A">
        <w:rPr>
          <w:b/>
        </w:rPr>
        <w:t xml:space="preserve"> </w:t>
      </w:r>
      <w:r w:rsidRPr="005B3E8A">
        <w:rPr>
          <w:b/>
        </w:rPr>
        <w:t>[Nummer 6])</w:t>
      </w:r>
    </w:p>
    <w:p w:rsidR="00B47286" w:rsidRDefault="00B47286" w:rsidP="00B47286">
      <w:pPr>
        <w:pStyle w:val="GesAbsatz"/>
      </w:pPr>
      <w:r>
        <w:t>Die aktuellen Softwareversionen der Messeinrichtung DUSTHUNTER SB100 für Staub der Firma SICK E</w:t>
      </w:r>
      <w:r>
        <w:t>n</w:t>
      </w:r>
      <w:r>
        <w:t>gineering</w:t>
      </w:r>
      <w:r w:rsidR="005B3E8A">
        <w:t xml:space="preserve"> </w:t>
      </w:r>
      <w:r>
        <w:t>GmbH lauten:</w:t>
      </w:r>
    </w:p>
    <w:p w:rsidR="00B47286" w:rsidRDefault="00B47286" w:rsidP="005B3E8A">
      <w:pPr>
        <w:pStyle w:val="GesAbsatz"/>
        <w:tabs>
          <w:tab w:val="left" w:pos="2127"/>
        </w:tabs>
      </w:pPr>
      <w:r>
        <w:t>MCU Firmware:</w:t>
      </w:r>
      <w:r w:rsidR="005B3E8A">
        <w:tab/>
      </w:r>
      <w:r>
        <w:t>01.12.00</w:t>
      </w:r>
    </w:p>
    <w:p w:rsidR="00B47286" w:rsidRDefault="00B47286" w:rsidP="005B3E8A">
      <w:pPr>
        <w:pStyle w:val="GesAbsatz"/>
        <w:tabs>
          <w:tab w:val="left" w:pos="2127"/>
        </w:tabs>
      </w:pPr>
      <w:r>
        <w:t>Software Sensor:</w:t>
      </w:r>
      <w:r w:rsidR="005B3E8A">
        <w:tab/>
      </w:r>
      <w:r>
        <w:t>1.06.00</w:t>
      </w:r>
    </w:p>
    <w:p w:rsidR="00B47286" w:rsidRDefault="00B47286" w:rsidP="00B47286">
      <w:pPr>
        <w:pStyle w:val="GesAbsatz"/>
      </w:pPr>
      <w:r>
        <w:t>Zur Steuerung der Messeinrichtung ist die Softwareplattform SOPAS ET in einer bekannt gegebenen Vers</w:t>
      </w:r>
      <w:r>
        <w:t>i</w:t>
      </w:r>
      <w:r>
        <w:t>on erforderlich.</w:t>
      </w:r>
      <w:r w:rsidR="005B3E8A">
        <w:t xml:space="preserve"> </w:t>
      </w:r>
      <w:r>
        <w:t>Die letzte bekannt gegebene Version lautet: SOPAS ET 2.38</w:t>
      </w:r>
    </w:p>
    <w:p w:rsidR="00B47286" w:rsidRDefault="00B47286" w:rsidP="00B47286">
      <w:pPr>
        <w:pStyle w:val="GesAbsatz"/>
      </w:pPr>
      <w:r>
        <w:t>Stellungnahme der TÜV Rheinland Energie und Umwelt GmbH vom 24. März 2015.</w:t>
      </w:r>
    </w:p>
    <w:p w:rsidR="00B47286" w:rsidRPr="005B3E8A" w:rsidRDefault="00B47286" w:rsidP="005B3E8A">
      <w:pPr>
        <w:pStyle w:val="GesAbsatz"/>
        <w:ind w:left="426" w:hanging="426"/>
        <w:rPr>
          <w:b/>
        </w:rPr>
      </w:pPr>
      <w:r w:rsidRPr="005B3E8A">
        <w:rPr>
          <w:b/>
        </w:rPr>
        <w:t>10</w:t>
      </w:r>
      <w:r w:rsidR="005B3E8A" w:rsidRPr="005B3E8A">
        <w:rPr>
          <w:b/>
        </w:rPr>
        <w:tab/>
      </w:r>
      <w:r w:rsidRPr="005B3E8A">
        <w:rPr>
          <w:b/>
        </w:rPr>
        <w:t>Mitteilung zu den Bekanntmachungen des Umweltbundesamtes vom 3. August 2009 (BAnz. S. 2929, Kapitel I</w:t>
      </w:r>
      <w:r w:rsidR="005B3E8A" w:rsidRPr="005B3E8A">
        <w:rPr>
          <w:b/>
        </w:rPr>
        <w:t xml:space="preserve"> </w:t>
      </w:r>
      <w:r w:rsidRPr="005B3E8A">
        <w:rPr>
          <w:b/>
        </w:rPr>
        <w:t>Nummer 2.2) und vom 3. Juli 2013 (BAnz AT 23.07.2013 B4, Kapitel V 13. Mitte</w:t>
      </w:r>
      <w:r w:rsidRPr="005B3E8A">
        <w:rPr>
          <w:b/>
        </w:rPr>
        <w:t>i</w:t>
      </w:r>
      <w:r w:rsidRPr="005B3E8A">
        <w:rPr>
          <w:b/>
        </w:rPr>
        <w:t>lung [Nummer 4])</w:t>
      </w:r>
    </w:p>
    <w:p w:rsidR="00B47286" w:rsidRDefault="00B47286" w:rsidP="00B47286">
      <w:pPr>
        <w:pStyle w:val="GesAbsatz"/>
      </w:pPr>
      <w:r>
        <w:t>Die aktuellen Softwareversionen der Messeinrichtung DUSTHUNTER SF100 für Staub der Firma SICK E</w:t>
      </w:r>
      <w:r>
        <w:t>n</w:t>
      </w:r>
      <w:r>
        <w:t>gineering</w:t>
      </w:r>
      <w:r w:rsidR="005B3E8A">
        <w:t xml:space="preserve"> </w:t>
      </w:r>
      <w:r>
        <w:t>GmbH lauten:</w:t>
      </w:r>
    </w:p>
    <w:p w:rsidR="00B47286" w:rsidRDefault="00B47286" w:rsidP="005B3E8A">
      <w:pPr>
        <w:pStyle w:val="GesAbsatz"/>
        <w:tabs>
          <w:tab w:val="left" w:pos="2127"/>
        </w:tabs>
      </w:pPr>
      <w:r>
        <w:t>MCU Firmware:</w:t>
      </w:r>
      <w:r w:rsidR="005B3E8A">
        <w:tab/>
      </w:r>
      <w:r>
        <w:t>01.12.00</w:t>
      </w:r>
    </w:p>
    <w:p w:rsidR="00B47286" w:rsidRDefault="00B47286" w:rsidP="005B3E8A">
      <w:pPr>
        <w:pStyle w:val="GesAbsatz"/>
        <w:tabs>
          <w:tab w:val="left" w:pos="2127"/>
        </w:tabs>
      </w:pPr>
      <w:r>
        <w:t>Software Sensor:</w:t>
      </w:r>
      <w:r w:rsidR="005B3E8A">
        <w:tab/>
      </w:r>
      <w:r>
        <w:t>1.10.02</w:t>
      </w:r>
    </w:p>
    <w:p w:rsidR="00B47286" w:rsidRDefault="00B47286" w:rsidP="00B47286">
      <w:pPr>
        <w:pStyle w:val="GesAbsatz"/>
      </w:pPr>
      <w:r>
        <w:t>Zur Steuerung der Messeinrichtung ist die Softwareplattform SOPAS ET in einer bekannt gegebenen Vers</w:t>
      </w:r>
      <w:r>
        <w:t>i</w:t>
      </w:r>
      <w:r>
        <w:t>on erforderlich.</w:t>
      </w:r>
      <w:r w:rsidR="005B3E8A">
        <w:t xml:space="preserve"> </w:t>
      </w:r>
      <w:r>
        <w:t>Die letzte bekannt gegebene Version lautet: SOPAS ET 2.38</w:t>
      </w:r>
    </w:p>
    <w:p w:rsidR="00B47286" w:rsidRDefault="00B47286" w:rsidP="00B47286">
      <w:pPr>
        <w:pStyle w:val="GesAbsatz"/>
      </w:pPr>
      <w:r>
        <w:t>Stellungnahme der TÜV Rheinland Energie und Umwelt GmbH vom 24. März 2015.</w:t>
      </w:r>
    </w:p>
    <w:p w:rsidR="00B47286" w:rsidRPr="005B3E8A" w:rsidRDefault="00B47286" w:rsidP="005B3E8A">
      <w:pPr>
        <w:pStyle w:val="GesAbsatz"/>
        <w:ind w:left="426" w:hanging="426"/>
        <w:rPr>
          <w:b/>
        </w:rPr>
      </w:pPr>
      <w:r w:rsidRPr="005B3E8A">
        <w:rPr>
          <w:b/>
        </w:rPr>
        <w:t>11</w:t>
      </w:r>
      <w:r w:rsidR="005B3E8A" w:rsidRPr="005B3E8A">
        <w:rPr>
          <w:b/>
        </w:rPr>
        <w:tab/>
      </w:r>
      <w:r w:rsidRPr="005B3E8A">
        <w:rPr>
          <w:b/>
        </w:rPr>
        <w:t>Mitteilung zu den Bekanntmachungen des Umweltbundesamtes vom 12. Februar 2013 (BAnz AT 05.03.2013</w:t>
      </w:r>
      <w:r w:rsidR="005B3E8A" w:rsidRPr="005B3E8A">
        <w:rPr>
          <w:b/>
        </w:rPr>
        <w:t xml:space="preserve"> </w:t>
      </w:r>
      <w:r w:rsidRPr="005B3E8A">
        <w:rPr>
          <w:b/>
        </w:rPr>
        <w:t>B10, Kapitel I Nummer 1.5) und vom 3. Juli 2013 (BAnz AT 23.07.2013 B4, Kapitel V 11. und 13. Mitteilung)</w:t>
      </w:r>
    </w:p>
    <w:p w:rsidR="00B47286" w:rsidRDefault="00B47286" w:rsidP="00B47286">
      <w:pPr>
        <w:pStyle w:val="GesAbsatz"/>
      </w:pPr>
      <w:r>
        <w:t>Die aktuellen Softwareversionen der Messeinrichtung DUSTHUNTER SP100 für Staub der Firma SICK E</w:t>
      </w:r>
      <w:r>
        <w:t>n</w:t>
      </w:r>
      <w:r>
        <w:t>gineering</w:t>
      </w:r>
      <w:r w:rsidR="005B3E8A">
        <w:t xml:space="preserve"> </w:t>
      </w:r>
      <w:r>
        <w:t>GmbH lauten:</w:t>
      </w:r>
    </w:p>
    <w:p w:rsidR="00B47286" w:rsidRDefault="00B47286" w:rsidP="005B3E8A">
      <w:pPr>
        <w:pStyle w:val="GesAbsatz"/>
        <w:tabs>
          <w:tab w:val="left" w:pos="2127"/>
        </w:tabs>
      </w:pPr>
      <w:r>
        <w:t>MCU Firmware:</w:t>
      </w:r>
      <w:r w:rsidR="005B3E8A">
        <w:tab/>
      </w:r>
      <w:r>
        <w:t>01.12.00</w:t>
      </w:r>
    </w:p>
    <w:p w:rsidR="00B47286" w:rsidRDefault="00B47286" w:rsidP="005B3E8A">
      <w:pPr>
        <w:pStyle w:val="GesAbsatz"/>
        <w:tabs>
          <w:tab w:val="left" w:pos="2127"/>
        </w:tabs>
      </w:pPr>
      <w:r>
        <w:t>Software Sensor:</w:t>
      </w:r>
      <w:r w:rsidR="005B3E8A">
        <w:tab/>
      </w:r>
      <w:r>
        <w:t>1.06.02</w:t>
      </w:r>
    </w:p>
    <w:p w:rsidR="00B47286" w:rsidRDefault="00B47286" w:rsidP="00B47286">
      <w:pPr>
        <w:pStyle w:val="GesAbsatz"/>
      </w:pPr>
      <w:r>
        <w:t>Zur Steuerung der Messeinrichtung ist die Softwareplattform SOPAS ET in einer bekannt gegebenen Vers</w:t>
      </w:r>
      <w:r>
        <w:t>i</w:t>
      </w:r>
      <w:r>
        <w:t>on erforderlich.</w:t>
      </w:r>
      <w:r w:rsidR="00D60AB1">
        <w:t xml:space="preserve"> </w:t>
      </w:r>
      <w:r>
        <w:t>Die letzte bekannt gegebene Version lautet: SOPAS ET 2.38</w:t>
      </w:r>
    </w:p>
    <w:p w:rsidR="00B47286" w:rsidRDefault="00B47286" w:rsidP="00B47286">
      <w:pPr>
        <w:pStyle w:val="GesAbsatz"/>
      </w:pPr>
      <w:r>
        <w:t>Stellungnahme der TÜV Rheinland Energie und Umwelt GmbH vom 24.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12</w:t>
      </w:r>
      <w:r w:rsidR="00D60AB1" w:rsidRPr="00D60AB1">
        <w:rPr>
          <w:b/>
        </w:rPr>
        <w:tab/>
      </w:r>
      <w:r w:rsidRPr="00D60AB1">
        <w:rPr>
          <w:b/>
        </w:rPr>
        <w:t>Mitteilung zu den Bekanntmachungen des Umweltbundesamtes vom 11. März 2009 (BAnz. S. 899, Kapitel I</w:t>
      </w:r>
      <w:r w:rsidR="00D60AB1" w:rsidRPr="00D60AB1">
        <w:rPr>
          <w:b/>
        </w:rPr>
        <w:t xml:space="preserve"> </w:t>
      </w:r>
      <w:r w:rsidRPr="00D60AB1">
        <w:rPr>
          <w:b/>
        </w:rPr>
        <w:t>Nummer 1.5) und vom 3. Juli 2013 (BAnz AT 23.07.2013 B4, Kapitel V 13. Mitteilung [Nummer 1])</w:t>
      </w:r>
    </w:p>
    <w:p w:rsidR="00B47286" w:rsidRDefault="00B47286" w:rsidP="00B47286">
      <w:pPr>
        <w:pStyle w:val="GesAbsatz"/>
      </w:pPr>
      <w:r>
        <w:t>Die aktuellen Softwareversionen der Messeinrichtung DUSTHUNTER T100 für Staub der Firma SICK Eng</w:t>
      </w:r>
      <w:r>
        <w:t>i</w:t>
      </w:r>
      <w:r>
        <w:t>neering</w:t>
      </w:r>
      <w:r w:rsidR="00D60AB1">
        <w:t xml:space="preserve"> </w:t>
      </w:r>
      <w:r>
        <w:t>GmbH lauten:</w:t>
      </w:r>
    </w:p>
    <w:p w:rsidR="00B47286" w:rsidRDefault="00B47286" w:rsidP="00D60AB1">
      <w:pPr>
        <w:pStyle w:val="GesAbsatz"/>
        <w:tabs>
          <w:tab w:val="left" w:pos="2127"/>
        </w:tabs>
      </w:pPr>
      <w:r>
        <w:t>MCU Firmware:</w:t>
      </w:r>
      <w:r w:rsidR="00D60AB1">
        <w:tab/>
      </w:r>
      <w:r>
        <w:t>01.12.00</w:t>
      </w:r>
    </w:p>
    <w:p w:rsidR="00B47286" w:rsidRDefault="00B47286" w:rsidP="00D60AB1">
      <w:pPr>
        <w:pStyle w:val="GesAbsatz"/>
        <w:tabs>
          <w:tab w:val="left" w:pos="2127"/>
        </w:tabs>
      </w:pPr>
      <w:r>
        <w:t>Software Sensor:</w:t>
      </w:r>
      <w:r w:rsidR="00D60AB1">
        <w:tab/>
      </w:r>
      <w:r>
        <w:t>1.10.02</w:t>
      </w:r>
    </w:p>
    <w:p w:rsidR="00B47286" w:rsidRDefault="00B47286" w:rsidP="00B47286">
      <w:pPr>
        <w:pStyle w:val="GesAbsatz"/>
      </w:pPr>
      <w:r>
        <w:t>Zur Steuerung der Messeinrichtung ist die Softwareplattform SOPAS ET in einer bekannt gegebenen Vers</w:t>
      </w:r>
      <w:r>
        <w:t>i</w:t>
      </w:r>
      <w:r>
        <w:t>on erforderlich.</w:t>
      </w:r>
      <w:r w:rsidR="00D60AB1">
        <w:t xml:space="preserve"> </w:t>
      </w:r>
      <w:r>
        <w:t>Die letzte bekannt gegebene Version lautet: SOPAS ET 2.38</w:t>
      </w:r>
    </w:p>
    <w:p w:rsidR="00B47286" w:rsidRDefault="00B47286" w:rsidP="00B47286">
      <w:pPr>
        <w:pStyle w:val="GesAbsatz"/>
      </w:pPr>
      <w:r>
        <w:t>Stellungnahme der TÜV Rheinland Energie und Umwelt GmbH vom 24.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13</w:t>
      </w:r>
      <w:r w:rsidR="00D60AB1" w:rsidRPr="00D60AB1">
        <w:rPr>
          <w:b/>
        </w:rPr>
        <w:tab/>
      </w:r>
      <w:r w:rsidRPr="00D60AB1">
        <w:rPr>
          <w:b/>
        </w:rPr>
        <w:t>Mitteilung zu den Bekanntmachungen des Umweltbundesamtes vom 3. August 2009 (BAnz. S. 2929, Kapitel I</w:t>
      </w:r>
      <w:r w:rsidR="00D60AB1" w:rsidRPr="00D60AB1">
        <w:rPr>
          <w:b/>
        </w:rPr>
        <w:t xml:space="preserve"> </w:t>
      </w:r>
      <w:r w:rsidRPr="00D60AB1">
        <w:rPr>
          <w:b/>
        </w:rPr>
        <w:t>Nummer 2.3) und vom 3. Juli 2013 (BAnz AT 23.07.2013 B4, Kapitel V 13. Mitte</w:t>
      </w:r>
      <w:r w:rsidRPr="00D60AB1">
        <w:rPr>
          <w:b/>
        </w:rPr>
        <w:t>i</w:t>
      </w:r>
      <w:r w:rsidRPr="00D60AB1">
        <w:rPr>
          <w:b/>
        </w:rPr>
        <w:t>lung [Nummer 2])</w:t>
      </w:r>
    </w:p>
    <w:p w:rsidR="00B47286" w:rsidRDefault="00B47286" w:rsidP="00B47286">
      <w:pPr>
        <w:pStyle w:val="GesAbsatz"/>
      </w:pPr>
      <w:r>
        <w:t>Die aktuellen Softwareversionen der Messeinrichtung DUSTHUNTER T200 für Staub der Firma SICK Eng</w:t>
      </w:r>
      <w:r>
        <w:t>i</w:t>
      </w:r>
      <w:r>
        <w:t>neering</w:t>
      </w:r>
      <w:r w:rsidR="00D60AB1">
        <w:t xml:space="preserve"> </w:t>
      </w:r>
      <w:r>
        <w:t>GmbH lauten:</w:t>
      </w:r>
    </w:p>
    <w:p w:rsidR="00B47286" w:rsidRDefault="00B47286" w:rsidP="00D60AB1">
      <w:pPr>
        <w:pStyle w:val="GesAbsatz"/>
        <w:tabs>
          <w:tab w:val="left" w:pos="2127"/>
        </w:tabs>
      </w:pPr>
      <w:r>
        <w:t>MCU Firmware:</w:t>
      </w:r>
      <w:r w:rsidR="00D60AB1">
        <w:tab/>
      </w:r>
      <w:r>
        <w:t>01.12.00</w:t>
      </w:r>
    </w:p>
    <w:p w:rsidR="00B47286" w:rsidRDefault="00B47286" w:rsidP="00D60AB1">
      <w:pPr>
        <w:pStyle w:val="GesAbsatz"/>
        <w:tabs>
          <w:tab w:val="left" w:pos="2127"/>
        </w:tabs>
      </w:pPr>
      <w:r>
        <w:t>Software Sensor:</w:t>
      </w:r>
      <w:r w:rsidR="00D60AB1">
        <w:tab/>
      </w:r>
      <w:r>
        <w:t>1.10.02</w:t>
      </w:r>
    </w:p>
    <w:p w:rsidR="00B47286" w:rsidRDefault="00B47286" w:rsidP="00B47286">
      <w:pPr>
        <w:pStyle w:val="GesAbsatz"/>
      </w:pPr>
      <w:r>
        <w:t>Zur Steuerung der Messeinrichtung ist die Softwareplattform SOPAS ET in einer bekannt gegebenen Vers</w:t>
      </w:r>
      <w:r>
        <w:t>i</w:t>
      </w:r>
      <w:r>
        <w:t>on erforderlich.</w:t>
      </w:r>
      <w:r w:rsidR="00D60AB1">
        <w:t xml:space="preserve"> </w:t>
      </w:r>
      <w:r>
        <w:t>Die letzte bekannt gegebene Version lautet: SOPAS ET 2.38</w:t>
      </w:r>
    </w:p>
    <w:p w:rsidR="00B47286" w:rsidRDefault="00B47286" w:rsidP="00B47286">
      <w:pPr>
        <w:pStyle w:val="GesAbsatz"/>
      </w:pPr>
      <w:r>
        <w:t>Stellungnahme der TÜV Rheinland Energie und Umwelt GmbH vom 24.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14</w:t>
      </w:r>
      <w:r w:rsidR="00D60AB1" w:rsidRPr="00D60AB1">
        <w:rPr>
          <w:b/>
        </w:rPr>
        <w:tab/>
      </w:r>
      <w:r w:rsidRPr="00D60AB1">
        <w:rPr>
          <w:b/>
        </w:rPr>
        <w:t>Mitteilung zu den Bekanntmachungen des Umweltbundesamtes vom 23. Februar 2012 (BAnz. S. 920, Kapitel</w:t>
      </w:r>
      <w:r w:rsidR="00D60AB1" w:rsidRPr="00D60AB1">
        <w:rPr>
          <w:b/>
        </w:rPr>
        <w:t xml:space="preserve"> </w:t>
      </w:r>
      <w:r w:rsidRPr="00D60AB1">
        <w:rPr>
          <w:b/>
        </w:rPr>
        <w:t>I Nummer 4.7) und vom 17. Juli 2014 (BAnz AT 05.08.2014 B11, Kapitel IV 12. Mitte</w:t>
      </w:r>
      <w:r w:rsidRPr="00D60AB1">
        <w:rPr>
          <w:b/>
        </w:rPr>
        <w:t>i</w:t>
      </w:r>
      <w:r w:rsidRPr="00D60AB1">
        <w:rPr>
          <w:b/>
        </w:rPr>
        <w:t>lung)</w:t>
      </w:r>
    </w:p>
    <w:p w:rsidR="00B47286" w:rsidRDefault="00B47286" w:rsidP="00B47286">
      <w:pPr>
        <w:pStyle w:val="GesAbsatz"/>
      </w:pPr>
      <w:r>
        <w:t>Die Messeinrichtung SERVOTOUGH Laser Model 2930 für NH</w:t>
      </w:r>
      <w:r w:rsidRPr="00D60AB1">
        <w:rPr>
          <w:vertAlign w:val="subscript"/>
        </w:rPr>
        <w:t>3</w:t>
      </w:r>
      <w:r>
        <w:t xml:space="preserve"> und H</w:t>
      </w:r>
      <w:r w:rsidRPr="00D60AB1">
        <w:rPr>
          <w:vertAlign w:val="subscript"/>
        </w:rPr>
        <w:t>2</w:t>
      </w:r>
      <w:r>
        <w:t xml:space="preserve">O der Firma </w:t>
      </w:r>
      <w:proofErr w:type="spellStart"/>
      <w:r>
        <w:t>Servomex</w:t>
      </w:r>
      <w:proofErr w:type="spellEnd"/>
      <w:r>
        <w:t xml:space="preserve"> Group Ltd. kann alternativ</w:t>
      </w:r>
      <w:r w:rsidR="00D60AB1">
        <w:t xml:space="preserve"> </w:t>
      </w:r>
      <w:r>
        <w:t>auch mit einem Detektor vom Typ IG17X3000G1i der Firma Laser Components ausgestattet sein.</w:t>
      </w:r>
    </w:p>
    <w:p w:rsidR="00B47286" w:rsidRDefault="00B47286" w:rsidP="00B47286">
      <w:pPr>
        <w:pStyle w:val="GesAbsatz"/>
      </w:pPr>
      <w:r>
        <w:t>Stellungnahme der TÜV Rheinland Energie und Umwelt GmbH vom 20.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15</w:t>
      </w:r>
      <w:r w:rsidR="00D60AB1" w:rsidRPr="00D60AB1">
        <w:rPr>
          <w:b/>
        </w:rPr>
        <w:tab/>
      </w:r>
      <w:r w:rsidRPr="00D60AB1">
        <w:rPr>
          <w:b/>
        </w:rPr>
        <w:t>Mitteilung zu den Bekanntmachungen des Umweltbundesamtes vom 17. Juli 2014 (BAnz AT 05.08.2014 B11,</w:t>
      </w:r>
      <w:r w:rsidR="00D60AB1" w:rsidRPr="00D60AB1">
        <w:rPr>
          <w:b/>
        </w:rPr>
        <w:t xml:space="preserve"> </w:t>
      </w:r>
      <w:r w:rsidRPr="00D60AB1">
        <w:rPr>
          <w:b/>
        </w:rPr>
        <w:t>Kapitel I Nummer 4.2) und vom 25. Februar 2015 (BAnz AT 02.04.2015 B5, Kapitel IV 36. Mitteilung)</w:t>
      </w:r>
    </w:p>
    <w:p w:rsidR="00B47286" w:rsidRDefault="00B47286" w:rsidP="00B47286">
      <w:pPr>
        <w:pStyle w:val="GesAbsatz"/>
      </w:pPr>
      <w:r>
        <w:t>Die Messeinrichtung AR602Z/N für SO</w:t>
      </w:r>
      <w:r w:rsidRPr="00D60AB1">
        <w:rPr>
          <w:vertAlign w:val="subscript"/>
        </w:rPr>
        <w:t>2</w:t>
      </w:r>
      <w:r>
        <w:t>, NO, NO</w:t>
      </w:r>
      <w:r w:rsidRPr="00D60AB1">
        <w:rPr>
          <w:vertAlign w:val="subscript"/>
        </w:rPr>
        <w:t>2</w:t>
      </w:r>
      <w:r>
        <w:t xml:space="preserve"> und NH</w:t>
      </w:r>
      <w:r w:rsidRPr="00D60AB1">
        <w:rPr>
          <w:vertAlign w:val="subscript"/>
        </w:rPr>
        <w:t>3</w:t>
      </w:r>
      <w:r>
        <w:t xml:space="preserve"> bzw. AR602Z/</w:t>
      </w:r>
      <w:proofErr w:type="spellStart"/>
      <w:r>
        <w:t>NHg</w:t>
      </w:r>
      <w:proofErr w:type="spellEnd"/>
      <w:r>
        <w:t xml:space="preserve"> für SO</w:t>
      </w:r>
      <w:r w:rsidRPr="00D60AB1">
        <w:rPr>
          <w:vertAlign w:val="subscript"/>
        </w:rPr>
        <w:t>2</w:t>
      </w:r>
      <w:r>
        <w:t>, NO, NO</w:t>
      </w:r>
      <w:r w:rsidRPr="00D60AB1">
        <w:rPr>
          <w:vertAlign w:val="subscript"/>
        </w:rPr>
        <w:t>2</w:t>
      </w:r>
      <w:r>
        <w:t>, NH</w:t>
      </w:r>
      <w:r w:rsidRPr="00D60AB1">
        <w:rPr>
          <w:vertAlign w:val="subscript"/>
        </w:rPr>
        <w:t>3</w:t>
      </w:r>
      <w:r>
        <w:t xml:space="preserve"> und </w:t>
      </w:r>
      <w:proofErr w:type="spellStart"/>
      <w:r>
        <w:t>Hg</w:t>
      </w:r>
      <w:proofErr w:type="spellEnd"/>
      <w:r>
        <w:t xml:space="preserve"> der Firma</w:t>
      </w:r>
      <w:r w:rsidR="00D60AB1">
        <w:t xml:space="preserve"> </w:t>
      </w:r>
      <w:proofErr w:type="spellStart"/>
      <w:r>
        <w:t>Opsis</w:t>
      </w:r>
      <w:proofErr w:type="spellEnd"/>
      <w:r>
        <w:t xml:space="preserve"> AB kann mit der Option „ER060/062AUTO mit automatischem QAL3-Prüfsystem“ zur automatischen, regelmäßigen</w:t>
      </w:r>
      <w:r w:rsidR="00D60AB1">
        <w:t xml:space="preserve"> </w:t>
      </w:r>
      <w:r>
        <w:t>Funktionsüberprüfung anhand der Leitkomponente NO ausgestattet werden. Die Option „ER060/062AUTO</w:t>
      </w:r>
      <w:r w:rsidR="00D60AB1">
        <w:t xml:space="preserve"> </w:t>
      </w:r>
      <w:r>
        <w:t>mit automatischem QAL3-Prüfsystem“ wird nicht zum Abgleich der Messei</w:t>
      </w:r>
      <w:r>
        <w:t>n</w:t>
      </w:r>
      <w:r>
        <w:t>richtung verwendet und ersetzt nicht</w:t>
      </w:r>
      <w:r w:rsidR="00D60AB1">
        <w:t xml:space="preserve"> </w:t>
      </w:r>
      <w:r>
        <w:t>die notwendigen manuellen Null- und Referenzpunktüberprüfungen im Wartungsintervall. Sie liefert lediglich Zusatzinformationen</w:t>
      </w:r>
      <w:r w:rsidR="00D60AB1">
        <w:t xml:space="preserve"> </w:t>
      </w:r>
      <w:r>
        <w:t>zum Status der Messeinrichtung zwischen den externen Prüfgasaufgaben.</w:t>
      </w:r>
    </w:p>
    <w:p w:rsidR="00B47286" w:rsidRDefault="00B47286" w:rsidP="00B47286">
      <w:pPr>
        <w:pStyle w:val="GesAbsatz"/>
      </w:pPr>
      <w:r>
        <w:t>Stellungnahme der TÜV Rheinland Energie und Umwelt GmbH vom 23.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16</w:t>
      </w:r>
      <w:r w:rsidR="00D60AB1" w:rsidRPr="00D60AB1">
        <w:rPr>
          <w:b/>
        </w:rPr>
        <w:tab/>
      </w:r>
      <w:r w:rsidRPr="00D60AB1">
        <w:rPr>
          <w:b/>
        </w:rPr>
        <w:t>Mitteilung zu den Bekanntmachungen des Umweltbundesamtes vom 17. Juli 2014 (BAnz AT 05.08.2014 B11,</w:t>
      </w:r>
      <w:r w:rsidR="00D60AB1" w:rsidRPr="00D60AB1">
        <w:rPr>
          <w:b/>
        </w:rPr>
        <w:t xml:space="preserve"> </w:t>
      </w:r>
      <w:r w:rsidRPr="00D60AB1">
        <w:rPr>
          <w:b/>
        </w:rPr>
        <w:t>Kapitel I Nummer 4.1) und vom 25. Februar 2015 (BAnz AT 02.04.2015 B5, Kapitel IV 37. Mitteilung)</w:t>
      </w:r>
    </w:p>
    <w:p w:rsidR="00B47286" w:rsidRDefault="00B47286" w:rsidP="00B47286">
      <w:pPr>
        <w:pStyle w:val="GesAbsatz"/>
      </w:pPr>
      <w:r>
        <w:t>Die Messeinrichtung AR650/N für CO, HCl, H</w:t>
      </w:r>
      <w:r w:rsidRPr="00D60AB1">
        <w:rPr>
          <w:vertAlign w:val="subscript"/>
        </w:rPr>
        <w:t>2</w:t>
      </w:r>
      <w:r>
        <w:t>O, CO</w:t>
      </w:r>
      <w:r w:rsidRPr="00D60AB1">
        <w:rPr>
          <w:vertAlign w:val="subscript"/>
        </w:rPr>
        <w:t>2</w:t>
      </w:r>
      <w:r>
        <w:t>, N</w:t>
      </w:r>
      <w:r w:rsidRPr="00D60AB1">
        <w:rPr>
          <w:vertAlign w:val="subscript"/>
        </w:rPr>
        <w:t>2</w:t>
      </w:r>
      <w:r>
        <w:t>O und CH</w:t>
      </w:r>
      <w:r w:rsidRPr="00D60AB1">
        <w:rPr>
          <w:vertAlign w:val="subscript"/>
        </w:rPr>
        <w:t>4</w:t>
      </w:r>
      <w:r>
        <w:t xml:space="preserve"> der Firma </w:t>
      </w:r>
      <w:proofErr w:type="spellStart"/>
      <w:r>
        <w:t>Opsis</w:t>
      </w:r>
      <w:proofErr w:type="spellEnd"/>
      <w:r>
        <w:t xml:space="preserve"> AB kann mit der Option</w:t>
      </w:r>
      <w:r w:rsidR="00D60AB1">
        <w:t xml:space="preserve"> </w:t>
      </w:r>
      <w:r>
        <w:t>„ER060/062AUTO mit automatischem QAL3-Prüfsystem“ zur automatischen, regelmäßigen Funktionsübe</w:t>
      </w:r>
      <w:r>
        <w:t>r</w:t>
      </w:r>
      <w:r>
        <w:t>prüfung</w:t>
      </w:r>
      <w:r w:rsidR="00D60AB1">
        <w:t xml:space="preserve"> </w:t>
      </w:r>
      <w:r>
        <w:t>anhand der Leitkomponente CO ausgestattet werden. Die Option „ER060/062AUTO mit automat</w:t>
      </w:r>
      <w:r>
        <w:t>i</w:t>
      </w:r>
      <w:r>
        <w:t>schem QAL3-Prüfsystem“</w:t>
      </w:r>
      <w:r w:rsidR="00D60AB1">
        <w:t xml:space="preserve"> </w:t>
      </w:r>
      <w:r>
        <w:t>wird nicht zum Abgleich der Messeinrichtung verwendet und ersetzt nicht die no</w:t>
      </w:r>
      <w:r>
        <w:t>t</w:t>
      </w:r>
      <w:r>
        <w:t>wendigen manuellen Null</w:t>
      </w:r>
      <w:r w:rsidR="00D60AB1">
        <w:t xml:space="preserve">- </w:t>
      </w:r>
      <w:r>
        <w:t>und</w:t>
      </w:r>
      <w:r w:rsidR="00D60AB1">
        <w:t xml:space="preserve"> </w:t>
      </w:r>
      <w:r>
        <w:t>Referenzpunktüberprüfungen im Wartungsintervall. Sie liefert lediglich Z</w:t>
      </w:r>
      <w:r>
        <w:t>u</w:t>
      </w:r>
      <w:r>
        <w:t>satzinformationen zum Status der Messeinrichtung</w:t>
      </w:r>
      <w:r w:rsidR="00D60AB1">
        <w:t xml:space="preserve"> </w:t>
      </w:r>
      <w:r>
        <w:t>zwischen den externen Prüfgasaufgaben.</w:t>
      </w:r>
    </w:p>
    <w:p w:rsidR="00B47286" w:rsidRDefault="00B47286" w:rsidP="00B47286">
      <w:pPr>
        <w:pStyle w:val="GesAbsatz"/>
      </w:pPr>
      <w:r>
        <w:t>Stellungnahme der TÜV Rheinland Energie und Umwelt GmbH vom 23.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17</w:t>
      </w:r>
      <w:r w:rsidR="00D60AB1" w:rsidRPr="00D60AB1">
        <w:rPr>
          <w:b/>
        </w:rPr>
        <w:tab/>
      </w:r>
      <w:r w:rsidRPr="00D60AB1">
        <w:rPr>
          <w:b/>
        </w:rPr>
        <w:t>Mitteilung zu den Bekanntmachungen des Umweltbundesamtes vom 19. Februar 2009 (BAnz. S. 899, Kapitel</w:t>
      </w:r>
      <w:r w:rsidR="00D60AB1" w:rsidRPr="00D60AB1">
        <w:rPr>
          <w:b/>
        </w:rPr>
        <w:t xml:space="preserve"> </w:t>
      </w:r>
      <w:r w:rsidRPr="00D60AB1">
        <w:rPr>
          <w:b/>
        </w:rPr>
        <w:t>I Nummer 2.3) und vom 17. Juli 2014 (BAnz AT 05.08.2014 B11, Kapitel IV 9. Mitte</w:t>
      </w:r>
      <w:r w:rsidRPr="00D60AB1">
        <w:rPr>
          <w:b/>
        </w:rPr>
        <w:t>i</w:t>
      </w:r>
      <w:r w:rsidRPr="00D60AB1">
        <w:rPr>
          <w:b/>
        </w:rPr>
        <w:t>lung)</w:t>
      </w:r>
    </w:p>
    <w:p w:rsidR="00B47286" w:rsidRDefault="00B47286" w:rsidP="00B47286">
      <w:pPr>
        <w:pStyle w:val="GesAbsatz"/>
      </w:pPr>
      <w:r>
        <w:t xml:space="preserve">Die Messeinrichtung </w:t>
      </w:r>
      <w:proofErr w:type="spellStart"/>
      <w:r>
        <w:t>LaserGas</w:t>
      </w:r>
      <w:proofErr w:type="spellEnd"/>
      <w:r>
        <w:t xml:space="preserve"> II für H</w:t>
      </w:r>
      <w:r w:rsidRPr="00D60AB1">
        <w:rPr>
          <w:vertAlign w:val="subscript"/>
        </w:rPr>
        <w:t>2</w:t>
      </w:r>
      <w:r>
        <w:t>O und NH</w:t>
      </w:r>
      <w:r w:rsidRPr="00D60AB1">
        <w:rPr>
          <w:vertAlign w:val="subscript"/>
        </w:rPr>
        <w:t>3</w:t>
      </w:r>
      <w:r>
        <w:t xml:space="preserve"> der Firma NEO Monitors AS kann alternativ auch mit e</w:t>
      </w:r>
      <w:r>
        <w:t>i</w:t>
      </w:r>
      <w:r>
        <w:t>nem Detektor</w:t>
      </w:r>
      <w:r w:rsidR="00D60AB1">
        <w:t xml:space="preserve"> </w:t>
      </w:r>
      <w:r>
        <w:t>vom Typ IG17X3000G1i der Firma Laser Components ausgestattet sein.</w:t>
      </w:r>
    </w:p>
    <w:p w:rsidR="00B47286" w:rsidRDefault="00B47286" w:rsidP="00B47286">
      <w:pPr>
        <w:pStyle w:val="GesAbsatz"/>
      </w:pPr>
      <w:r>
        <w:t>Stellungnahme der TÜV Rheinland Energie und Umwelt GmbH vom 18.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18</w:t>
      </w:r>
      <w:r w:rsidR="00D60AB1" w:rsidRPr="00D60AB1">
        <w:rPr>
          <w:b/>
        </w:rPr>
        <w:tab/>
      </w:r>
      <w:r w:rsidRPr="00D60AB1">
        <w:rPr>
          <w:b/>
        </w:rPr>
        <w:t>Mitteilung zu den Bekanntmachungen des Umweltbundesamtes vom 23. Februar 2012 (BAnz. S. 920, Kapitel</w:t>
      </w:r>
      <w:r w:rsidR="00D60AB1" w:rsidRPr="00D60AB1">
        <w:rPr>
          <w:b/>
        </w:rPr>
        <w:t xml:space="preserve"> </w:t>
      </w:r>
      <w:r w:rsidRPr="00D60AB1">
        <w:rPr>
          <w:b/>
        </w:rPr>
        <w:t>I Nummer 4.6) und vom 17. Juli 2014 (BAnz AT 05.08.2014 B11, Kapitel IV 10. Mitte</w:t>
      </w:r>
      <w:r w:rsidRPr="00D60AB1">
        <w:rPr>
          <w:b/>
        </w:rPr>
        <w:t>i</w:t>
      </w:r>
      <w:r w:rsidRPr="00D60AB1">
        <w:rPr>
          <w:b/>
        </w:rPr>
        <w:t>lung)</w:t>
      </w:r>
    </w:p>
    <w:p w:rsidR="00B47286" w:rsidRDefault="00B47286" w:rsidP="00B47286">
      <w:pPr>
        <w:pStyle w:val="GesAbsatz"/>
      </w:pPr>
      <w:r>
        <w:t xml:space="preserve">Die Messeinrichtung </w:t>
      </w:r>
      <w:proofErr w:type="spellStart"/>
      <w:r>
        <w:t>LaserGas</w:t>
      </w:r>
      <w:proofErr w:type="spellEnd"/>
      <w:r>
        <w:t xml:space="preserve"> II für H</w:t>
      </w:r>
      <w:r w:rsidRPr="00D60AB1">
        <w:rPr>
          <w:vertAlign w:val="subscript"/>
        </w:rPr>
        <w:t>2</w:t>
      </w:r>
      <w:r>
        <w:t>O und HCl der Firma NEO Monitors AS kann alternativ auch mit e</w:t>
      </w:r>
      <w:r>
        <w:t>i</w:t>
      </w:r>
      <w:r>
        <w:t>nem Detektor</w:t>
      </w:r>
      <w:r w:rsidR="00D60AB1">
        <w:t xml:space="preserve"> </w:t>
      </w:r>
      <w:r>
        <w:t>vom Typ G12181-020K der Firma Hamamatsu ausgestattet sein.</w:t>
      </w:r>
    </w:p>
    <w:p w:rsidR="00B47286" w:rsidRDefault="00B47286" w:rsidP="00B47286">
      <w:pPr>
        <w:pStyle w:val="GesAbsatz"/>
      </w:pPr>
      <w:r>
        <w:t>Stellungnahme der TÜV Rheinland Energie und Umwelt GmbH vom 19.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19</w:t>
      </w:r>
      <w:r w:rsidR="00D60AB1" w:rsidRPr="00D60AB1">
        <w:rPr>
          <w:b/>
        </w:rPr>
        <w:tab/>
      </w:r>
      <w:r w:rsidRPr="00D60AB1">
        <w:rPr>
          <w:b/>
        </w:rPr>
        <w:t>Mitteilung zu den Bekanntmachungen des Umweltbundesamtes vom 12. Februar 2013 (BAnz AT 05.03.2013</w:t>
      </w:r>
      <w:r w:rsidR="00D60AB1" w:rsidRPr="00D60AB1">
        <w:rPr>
          <w:b/>
        </w:rPr>
        <w:t xml:space="preserve"> </w:t>
      </w:r>
      <w:r w:rsidRPr="00D60AB1">
        <w:rPr>
          <w:b/>
        </w:rPr>
        <w:t>B10 Kapitel I Nummer 3.1) und vom 17. Juli 2014 (BAnz AT 05.08.2014 B11, Kapitel IV 11. Mitteilung)</w:t>
      </w:r>
    </w:p>
    <w:p w:rsidR="00B47286" w:rsidRDefault="00B47286" w:rsidP="00B47286">
      <w:pPr>
        <w:pStyle w:val="GesAbsatz"/>
      </w:pPr>
      <w:r>
        <w:t xml:space="preserve">Die Messeinrichtung </w:t>
      </w:r>
      <w:proofErr w:type="spellStart"/>
      <w:r>
        <w:t>LaserGas</w:t>
      </w:r>
      <w:proofErr w:type="spellEnd"/>
      <w:r>
        <w:t xml:space="preserve"> II für HF der Firma NEO Monitors AS kann alternativ auch mit einem Detektor vom Typ</w:t>
      </w:r>
      <w:r w:rsidR="00D60AB1">
        <w:t xml:space="preserve"> </w:t>
      </w:r>
      <w:r>
        <w:t>IG17X3000G1i der Firma Laser Components ausgestattet sein.</w:t>
      </w:r>
    </w:p>
    <w:p w:rsidR="00B47286" w:rsidRDefault="00B47286" w:rsidP="00B47286">
      <w:pPr>
        <w:pStyle w:val="GesAbsatz"/>
      </w:pPr>
      <w:r>
        <w:t>Stellungnahme der TÜV Rheinland Energie und Umwelt GmbH vom 19.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20</w:t>
      </w:r>
      <w:r w:rsidR="00D60AB1" w:rsidRPr="00D60AB1">
        <w:rPr>
          <w:b/>
        </w:rPr>
        <w:tab/>
      </w:r>
      <w:r w:rsidRPr="00D60AB1">
        <w:rPr>
          <w:b/>
        </w:rPr>
        <w:t>Mitteilung zu der Bekanntmachung des Umweltbundesamtes vom 17. Juli 2014 (BAnz AT 05.08.2014 B11,</w:t>
      </w:r>
      <w:r w:rsidR="00D60AB1" w:rsidRPr="00D60AB1">
        <w:rPr>
          <w:b/>
        </w:rPr>
        <w:t xml:space="preserve"> </w:t>
      </w:r>
      <w:r w:rsidRPr="00D60AB1">
        <w:rPr>
          <w:b/>
        </w:rPr>
        <w:t>Kapitel I Nummer 4.3)</w:t>
      </w:r>
    </w:p>
    <w:p w:rsidR="00B47286" w:rsidRDefault="00B47286" w:rsidP="00B47286">
      <w:pPr>
        <w:pStyle w:val="GesAbsatz"/>
      </w:pPr>
      <w:r>
        <w:t>Das Netzteil und das Vorverstärkerboard der Mehrkomponenten-Messeinrichtung MGS300 der Firma MKS Instruments</w:t>
      </w:r>
      <w:r w:rsidR="00D60AB1">
        <w:t xml:space="preserve"> </w:t>
      </w:r>
      <w:r>
        <w:t>Inc. wurden überarbeitet. Die Versionsnummer des neuen Vorverstärkerboards lautet 1040912-002. Die Bauteilnummer</w:t>
      </w:r>
      <w:r w:rsidR="00D60AB1">
        <w:t xml:space="preserve"> </w:t>
      </w:r>
      <w:r>
        <w:t>des neuen Netzteils lautet 1053932.</w:t>
      </w:r>
    </w:p>
    <w:p w:rsidR="00B47286" w:rsidRDefault="00B47286" w:rsidP="00B47286">
      <w:pPr>
        <w:pStyle w:val="GesAbsatz"/>
      </w:pPr>
      <w:r>
        <w:t>Stellungnahme der TÜV Rheinland Energie und Umwelt GmbH vom 25.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21</w:t>
      </w:r>
      <w:r w:rsidR="00D60AB1" w:rsidRPr="00D60AB1">
        <w:rPr>
          <w:b/>
        </w:rPr>
        <w:tab/>
      </w:r>
      <w:r w:rsidRPr="00D60AB1">
        <w:rPr>
          <w:b/>
        </w:rPr>
        <w:t>Mitteilung zu den Bekanntmachungen des Umweltbundesamtes vom 25. Januar 2010 (BAnz. S. 552, Kapitel</w:t>
      </w:r>
      <w:r w:rsidR="00D60AB1" w:rsidRPr="00D60AB1">
        <w:rPr>
          <w:b/>
        </w:rPr>
        <w:t xml:space="preserve"> </w:t>
      </w:r>
      <w:r w:rsidRPr="00D60AB1">
        <w:rPr>
          <w:b/>
        </w:rPr>
        <w:t>II Nummer 1.1) und vom 23. Februar 2012 (BAnz. S. 920, Kapitel V 4. Mitteilung)</w:t>
      </w:r>
    </w:p>
    <w:p w:rsidR="00B47286" w:rsidRDefault="00B47286" w:rsidP="00B47286">
      <w:pPr>
        <w:pStyle w:val="GesAbsatz"/>
      </w:pPr>
      <w:r>
        <w:t>Die Messeinrichtung ZFK8 + ZKM für O</w:t>
      </w:r>
      <w:r w:rsidRPr="00D60AB1">
        <w:rPr>
          <w:vertAlign w:val="subscript"/>
        </w:rPr>
        <w:t>2</w:t>
      </w:r>
      <w:r>
        <w:t xml:space="preserve"> der Firma Fuji </w:t>
      </w:r>
      <w:proofErr w:type="spellStart"/>
      <w:r>
        <w:t>Electric</w:t>
      </w:r>
      <w:proofErr w:type="spellEnd"/>
      <w:r>
        <w:t xml:space="preserve"> Co., Ltd. wurde mit einem neuen Display ausgestattet.</w:t>
      </w:r>
      <w:r w:rsidR="00D60AB1">
        <w:t xml:space="preserve"> </w:t>
      </w:r>
      <w:r>
        <w:t>Das neue Display unterscheidet sich vom Vorgängermodell durch die Hintergrundfarbe. Die aktuelle Softwareversion</w:t>
      </w:r>
      <w:r w:rsidR="00D60AB1">
        <w:t xml:space="preserve"> </w:t>
      </w:r>
      <w:r>
        <w:t>der Messeinrichtung lautet:</w:t>
      </w:r>
    </w:p>
    <w:p w:rsidR="00B47286" w:rsidRDefault="00B47286" w:rsidP="00B47286">
      <w:pPr>
        <w:pStyle w:val="GesAbsatz"/>
      </w:pPr>
      <w:r>
        <w:t>V 3.00</w:t>
      </w:r>
    </w:p>
    <w:p w:rsidR="00B47286" w:rsidRDefault="00B47286" w:rsidP="00B47286">
      <w:pPr>
        <w:pStyle w:val="GesAbsatz"/>
      </w:pPr>
      <w:r>
        <w:t>Stellungnahme der TÜV Rheinland Energie und Umwelt GmbH vom 25.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22</w:t>
      </w:r>
      <w:r w:rsidR="00D60AB1" w:rsidRPr="00D60AB1">
        <w:rPr>
          <w:b/>
        </w:rPr>
        <w:tab/>
      </w:r>
      <w:r w:rsidRPr="00D60AB1">
        <w:rPr>
          <w:b/>
        </w:rPr>
        <w:t>Mitteilung zu der Bekanntmachung des Umweltbundesamtes vom 27. Februar 2014 (BAnz AT 01.04.2014</w:t>
      </w:r>
      <w:r w:rsidR="00D60AB1" w:rsidRPr="00D60AB1">
        <w:rPr>
          <w:b/>
        </w:rPr>
        <w:t xml:space="preserve"> </w:t>
      </w:r>
      <w:r w:rsidRPr="00D60AB1">
        <w:rPr>
          <w:b/>
        </w:rPr>
        <w:t>B12, Kapitel III Nummer 1.1)</w:t>
      </w:r>
    </w:p>
    <w:p w:rsidR="00B47286" w:rsidRDefault="00B47286" w:rsidP="00B47286">
      <w:pPr>
        <w:pStyle w:val="GesAbsatz"/>
      </w:pPr>
      <w:r>
        <w:t xml:space="preserve">Die aktuelle Softwareversion der </w:t>
      </w:r>
      <w:proofErr w:type="spellStart"/>
      <w:r>
        <w:t>Langzeitprobenahmeeinrichtung</w:t>
      </w:r>
      <w:proofErr w:type="spellEnd"/>
      <w:r>
        <w:t xml:space="preserve"> AMESA-D für Dioxine/Furane der Firma </w:t>
      </w:r>
      <w:proofErr w:type="spellStart"/>
      <w:r>
        <w:t>Environnement</w:t>
      </w:r>
      <w:proofErr w:type="spellEnd"/>
      <w:r w:rsidR="00D60AB1">
        <w:t xml:space="preserve"> </w:t>
      </w:r>
      <w:r>
        <w:t>S.A. Deutschland lautet:</w:t>
      </w:r>
    </w:p>
    <w:p w:rsidR="00B47286" w:rsidRDefault="00B47286" w:rsidP="00B47286">
      <w:pPr>
        <w:pStyle w:val="GesAbsatz"/>
      </w:pPr>
      <w:r>
        <w:t>P86.019.9</w:t>
      </w:r>
    </w:p>
    <w:p w:rsidR="00B47286" w:rsidRDefault="00B47286" w:rsidP="00B47286">
      <w:pPr>
        <w:pStyle w:val="GesAbsatz"/>
      </w:pPr>
      <w:r>
        <w:t>Stellungnahme der TÜV Rheinland Energie und Umwelt GmbH vom 25.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23</w:t>
      </w:r>
      <w:r w:rsidR="00D60AB1" w:rsidRPr="00D60AB1">
        <w:rPr>
          <w:b/>
        </w:rPr>
        <w:tab/>
      </w:r>
      <w:r w:rsidRPr="00D60AB1">
        <w:rPr>
          <w:b/>
        </w:rPr>
        <w:t>Mitteilung zu der Bekanntmachung des Umweltbundesamtes vom 27. Februar 2014 (BAnz AT 01.04.2014</w:t>
      </w:r>
      <w:r w:rsidR="00D60AB1" w:rsidRPr="00D60AB1">
        <w:rPr>
          <w:b/>
        </w:rPr>
        <w:t xml:space="preserve"> </w:t>
      </w:r>
      <w:r w:rsidRPr="00D60AB1">
        <w:rPr>
          <w:b/>
        </w:rPr>
        <w:t>B12, Kapitel I Nummer 3.5)</w:t>
      </w:r>
    </w:p>
    <w:p w:rsidR="00B47286" w:rsidRPr="00D60AB1" w:rsidRDefault="00B47286" w:rsidP="00B47286">
      <w:pPr>
        <w:pStyle w:val="GesAbsatz"/>
      </w:pPr>
      <w:r>
        <w:t>Die aktuelle Softwareversion der Messeinrichtung MIR9000H für CO, NO, NO</w:t>
      </w:r>
      <w:r w:rsidRPr="00D60AB1">
        <w:rPr>
          <w:vertAlign w:val="subscript"/>
        </w:rPr>
        <w:t>2</w:t>
      </w:r>
      <w:r>
        <w:t>, SO</w:t>
      </w:r>
      <w:r w:rsidRPr="00D60AB1">
        <w:rPr>
          <w:vertAlign w:val="subscript"/>
        </w:rPr>
        <w:t>2</w:t>
      </w:r>
      <w:r>
        <w:t>, NH</w:t>
      </w:r>
      <w:r w:rsidRPr="00D60AB1">
        <w:rPr>
          <w:vertAlign w:val="subscript"/>
        </w:rPr>
        <w:t>3</w:t>
      </w:r>
      <w:r>
        <w:t>, H</w:t>
      </w:r>
      <w:r w:rsidRPr="00D60AB1">
        <w:rPr>
          <w:vertAlign w:val="subscript"/>
        </w:rPr>
        <w:t>2</w:t>
      </w:r>
      <w:r>
        <w:t>O, CO</w:t>
      </w:r>
      <w:r w:rsidRPr="00D60AB1">
        <w:rPr>
          <w:vertAlign w:val="subscript"/>
        </w:rPr>
        <w:t>2</w:t>
      </w:r>
      <w:r>
        <w:t xml:space="preserve"> und O</w:t>
      </w:r>
      <w:r w:rsidRPr="00D60AB1">
        <w:rPr>
          <w:vertAlign w:val="subscript"/>
        </w:rPr>
        <w:t>2</w:t>
      </w:r>
      <w:r>
        <w:t xml:space="preserve"> der Firma</w:t>
      </w:r>
      <w:r w:rsidR="00D60AB1">
        <w:t xml:space="preserve"> </w:t>
      </w:r>
      <w:proofErr w:type="spellStart"/>
      <w:r w:rsidRPr="00D60AB1">
        <w:t>Environnement</w:t>
      </w:r>
      <w:proofErr w:type="spellEnd"/>
      <w:r w:rsidRPr="00D60AB1">
        <w:t xml:space="preserve"> S.A. lautet: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v7.1.d (Calculation Process)</w:t>
      </w:r>
    </w:p>
    <w:p w:rsidR="00B47286" w:rsidRPr="00B90F66" w:rsidRDefault="00B47286" w:rsidP="00B47286">
      <w:pPr>
        <w:pStyle w:val="GesAbsatz"/>
        <w:rPr>
          <w:lang w:val="en-US"/>
        </w:rPr>
      </w:pPr>
      <w:r w:rsidRPr="00B90F66">
        <w:rPr>
          <w:lang w:val="en-US"/>
        </w:rPr>
        <w:t>v3.4.r (Display Process)</w:t>
      </w:r>
    </w:p>
    <w:p w:rsidR="00B47286" w:rsidRDefault="00B47286" w:rsidP="00B47286">
      <w:pPr>
        <w:pStyle w:val="GesAbsatz"/>
      </w:pPr>
      <w:r>
        <w:t>Stellungnahme der TÜV Rheinland Energie und Umwelt GmbH vom 14. März 2015.</w:t>
      </w:r>
    </w:p>
    <w:p w:rsidR="00B47286" w:rsidRPr="00D60AB1" w:rsidRDefault="00B47286" w:rsidP="00D60AB1">
      <w:pPr>
        <w:pStyle w:val="GesAbsatz"/>
        <w:ind w:left="426" w:hanging="426"/>
        <w:rPr>
          <w:b/>
        </w:rPr>
      </w:pPr>
      <w:r w:rsidRPr="00D60AB1">
        <w:rPr>
          <w:b/>
        </w:rPr>
        <w:t>24</w:t>
      </w:r>
      <w:r w:rsidR="00D60AB1" w:rsidRPr="00D60AB1">
        <w:rPr>
          <w:b/>
        </w:rPr>
        <w:tab/>
      </w:r>
      <w:r w:rsidRPr="00D60AB1">
        <w:rPr>
          <w:b/>
        </w:rPr>
        <w:t>Mitteilung zu der Bekanntmachung des Umweltbundesamtes vom 12. Februar 2013 (BAnz AT 05.03.2013</w:t>
      </w:r>
      <w:r w:rsidR="00D60AB1" w:rsidRPr="00D60AB1">
        <w:rPr>
          <w:b/>
        </w:rPr>
        <w:t xml:space="preserve"> </w:t>
      </w:r>
      <w:r w:rsidRPr="00D60AB1">
        <w:rPr>
          <w:b/>
        </w:rPr>
        <w:t>B10, Kapitel I Nummer 5.3)</w:t>
      </w:r>
    </w:p>
    <w:p w:rsidR="00B47286" w:rsidRDefault="00B47286" w:rsidP="00B47286">
      <w:pPr>
        <w:pStyle w:val="GesAbsatz"/>
      </w:pPr>
      <w:r>
        <w:t>Die aktuelle Softwareversion der Messeinrichtung MIR 9000 CLD Option für NO/</w:t>
      </w:r>
      <w:proofErr w:type="spellStart"/>
      <w:r>
        <w:t>NO</w:t>
      </w:r>
      <w:r w:rsidRPr="00B06066">
        <w:rPr>
          <w:vertAlign w:val="subscript"/>
        </w:rPr>
        <w:t>x</w:t>
      </w:r>
      <w:proofErr w:type="spellEnd"/>
      <w:r>
        <w:t>, NO</w:t>
      </w:r>
      <w:r w:rsidRPr="00B06066">
        <w:rPr>
          <w:vertAlign w:val="subscript"/>
        </w:rPr>
        <w:t>2</w:t>
      </w:r>
      <w:r>
        <w:t>, CO</w:t>
      </w:r>
      <w:r w:rsidRPr="00B06066">
        <w:rPr>
          <w:vertAlign w:val="subscript"/>
        </w:rPr>
        <w:t>2</w:t>
      </w:r>
      <w:r>
        <w:t>, O</w:t>
      </w:r>
      <w:r w:rsidRPr="00B06066">
        <w:rPr>
          <w:vertAlign w:val="subscript"/>
        </w:rPr>
        <w:t>2</w:t>
      </w:r>
      <w:r>
        <w:t>, N</w:t>
      </w:r>
      <w:r w:rsidRPr="00B06066">
        <w:rPr>
          <w:vertAlign w:val="subscript"/>
        </w:rPr>
        <w:t>2</w:t>
      </w:r>
      <w:r>
        <w:t>O und CH</w:t>
      </w:r>
      <w:r w:rsidRPr="00B06066">
        <w:rPr>
          <w:vertAlign w:val="subscript"/>
        </w:rPr>
        <w:t>4</w:t>
      </w:r>
      <w:r>
        <w:t xml:space="preserve"> der</w:t>
      </w:r>
      <w:r w:rsidR="00D60AB1">
        <w:t xml:space="preserve"> </w:t>
      </w:r>
      <w:r>
        <w:t xml:space="preserve">Firma </w:t>
      </w:r>
      <w:proofErr w:type="spellStart"/>
      <w:r>
        <w:t>Environnement</w:t>
      </w:r>
      <w:proofErr w:type="spellEnd"/>
      <w:r>
        <w:t xml:space="preserve"> S.A. lautet: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v6.58 (Calculation Process)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v3.3.l (Display Process)</w:t>
      </w:r>
    </w:p>
    <w:p w:rsidR="00B47286" w:rsidRDefault="00B47286" w:rsidP="00B47286">
      <w:pPr>
        <w:pStyle w:val="GesAbsatz"/>
      </w:pPr>
      <w:r>
        <w:t>Stellungnahme der TÜV Rheinland Energie und Umwelt GmbH vom 14. März 2015.</w:t>
      </w:r>
    </w:p>
    <w:p w:rsidR="00B47286" w:rsidRPr="00C0454E" w:rsidRDefault="00B47286" w:rsidP="00C0454E">
      <w:pPr>
        <w:pStyle w:val="GesAbsatz"/>
        <w:ind w:left="426" w:hanging="426"/>
        <w:rPr>
          <w:b/>
        </w:rPr>
      </w:pPr>
      <w:r w:rsidRPr="00C0454E">
        <w:rPr>
          <w:b/>
        </w:rPr>
        <w:t>25</w:t>
      </w:r>
      <w:r w:rsidR="00C0454E" w:rsidRPr="00C0454E">
        <w:rPr>
          <w:b/>
        </w:rPr>
        <w:tab/>
      </w:r>
      <w:r w:rsidRPr="00C0454E">
        <w:rPr>
          <w:b/>
        </w:rPr>
        <w:t>Mitteilung zu der Bekanntmachung des Umweltbundesamtes vom 12. Februar 2013 (BAnz AT 05.03.2013</w:t>
      </w:r>
      <w:r w:rsidR="00C0454E" w:rsidRPr="00C0454E">
        <w:rPr>
          <w:b/>
        </w:rPr>
        <w:t xml:space="preserve"> </w:t>
      </w:r>
      <w:r w:rsidRPr="00C0454E">
        <w:rPr>
          <w:b/>
        </w:rPr>
        <w:t>B10, Kapitel I Nummer 5.4)</w:t>
      </w:r>
    </w:p>
    <w:p w:rsidR="00B47286" w:rsidRPr="00C0454E" w:rsidRDefault="00B47286" w:rsidP="00B47286">
      <w:pPr>
        <w:pStyle w:val="GesAbsatz"/>
      </w:pPr>
      <w:r>
        <w:t>Die aktuelle Softwareversion der Messeinrichtung MIR 9000 für CO, HCl, SO</w:t>
      </w:r>
      <w:r w:rsidRPr="00C0454E">
        <w:rPr>
          <w:vertAlign w:val="subscript"/>
        </w:rPr>
        <w:t>2</w:t>
      </w:r>
      <w:r>
        <w:t xml:space="preserve"> und NO der Firma </w:t>
      </w:r>
      <w:proofErr w:type="spellStart"/>
      <w:r>
        <w:t>Enviro</w:t>
      </w:r>
      <w:r>
        <w:t>n</w:t>
      </w:r>
      <w:r>
        <w:t>nement</w:t>
      </w:r>
      <w:proofErr w:type="spellEnd"/>
      <w:r>
        <w:t xml:space="preserve"> S.A.</w:t>
      </w:r>
      <w:r w:rsidR="00C0454E">
        <w:t xml:space="preserve"> </w:t>
      </w:r>
      <w:r w:rsidRPr="00C0454E">
        <w:t>lautet: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v1.8.d (Calculation Process)</w:t>
      </w:r>
    </w:p>
    <w:p w:rsidR="00B47286" w:rsidRPr="00B90F66" w:rsidRDefault="00B47286" w:rsidP="00B47286">
      <w:pPr>
        <w:pStyle w:val="GesAbsatz"/>
        <w:rPr>
          <w:lang w:val="en-US"/>
        </w:rPr>
      </w:pPr>
      <w:r w:rsidRPr="00B90F66">
        <w:rPr>
          <w:lang w:val="en-US"/>
        </w:rPr>
        <w:t>v3.4.d (Display Process)</w:t>
      </w:r>
    </w:p>
    <w:p w:rsidR="00B47286" w:rsidRDefault="00B47286" w:rsidP="00B47286">
      <w:pPr>
        <w:pStyle w:val="GesAbsatz"/>
      </w:pPr>
      <w:r>
        <w:t>Stellungnahme der TÜV Rheinland Energie und Umwelt GmbH vom 14. März 2015.</w:t>
      </w:r>
    </w:p>
    <w:p w:rsidR="00B47286" w:rsidRPr="00C0454E" w:rsidRDefault="00B47286" w:rsidP="00C0454E">
      <w:pPr>
        <w:pStyle w:val="GesAbsatz"/>
        <w:ind w:left="426" w:hanging="426"/>
        <w:rPr>
          <w:b/>
        </w:rPr>
      </w:pPr>
      <w:r w:rsidRPr="00C0454E">
        <w:rPr>
          <w:b/>
        </w:rPr>
        <w:t>26</w:t>
      </w:r>
      <w:r w:rsidR="00C0454E" w:rsidRPr="00C0454E">
        <w:rPr>
          <w:b/>
        </w:rPr>
        <w:tab/>
      </w:r>
      <w:r w:rsidRPr="00C0454E">
        <w:rPr>
          <w:b/>
        </w:rPr>
        <w:t>Mitteilung zu der Bekanntmachung des Umweltbundesamtes vom 23. Februar 2012 (BAnz. S. 920, Kapitel I</w:t>
      </w:r>
      <w:r w:rsidR="00C0454E" w:rsidRPr="00C0454E">
        <w:rPr>
          <w:b/>
        </w:rPr>
        <w:t xml:space="preserve"> </w:t>
      </w:r>
      <w:r w:rsidRPr="00C0454E">
        <w:rPr>
          <w:b/>
        </w:rPr>
        <w:t>Nummer 2.2)</w:t>
      </w:r>
    </w:p>
    <w:p w:rsidR="00B47286" w:rsidRPr="00C0454E" w:rsidRDefault="00B47286" w:rsidP="00B47286">
      <w:pPr>
        <w:pStyle w:val="GesAbsatz"/>
      </w:pPr>
      <w:r>
        <w:t xml:space="preserve">Die aktuelle Softwareversion der Messeinrichtung GRAPHITE 52M für Gesamt-Kohlenstoff der Firma </w:t>
      </w:r>
      <w:proofErr w:type="spellStart"/>
      <w:r>
        <w:t>E</w:t>
      </w:r>
      <w:r>
        <w:t>n</w:t>
      </w:r>
      <w:r>
        <w:t>vironnement</w:t>
      </w:r>
      <w:proofErr w:type="spellEnd"/>
      <w:r w:rsidR="00C0454E">
        <w:t xml:space="preserve"> </w:t>
      </w:r>
      <w:r w:rsidRPr="00C0454E">
        <w:t>S.A. lautet: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v2.21 (Calculation Process)</w:t>
      </w:r>
    </w:p>
    <w:p w:rsidR="00B47286" w:rsidRPr="00B90F66" w:rsidRDefault="00B47286" w:rsidP="00B47286">
      <w:pPr>
        <w:pStyle w:val="GesAbsatz"/>
        <w:rPr>
          <w:lang w:val="en-US"/>
        </w:rPr>
      </w:pPr>
      <w:r w:rsidRPr="00B90F66">
        <w:rPr>
          <w:lang w:val="en-US"/>
        </w:rPr>
        <w:t>v3.1.b (Display Process)</w:t>
      </w:r>
    </w:p>
    <w:p w:rsidR="00B47286" w:rsidRDefault="00B47286" w:rsidP="00B47286">
      <w:pPr>
        <w:pStyle w:val="GesAbsatz"/>
      </w:pPr>
      <w:r>
        <w:t xml:space="preserve">Das Material zur thermischen Isolierung des Ofens wurde von </w:t>
      </w:r>
      <w:proofErr w:type="spellStart"/>
      <w:r>
        <w:t>Kerlane</w:t>
      </w:r>
      <w:proofErr w:type="spellEnd"/>
      <w:r>
        <w:t xml:space="preserve"> auf Glasfaser geändert.</w:t>
      </w:r>
    </w:p>
    <w:p w:rsidR="00B47286" w:rsidRDefault="00B47286" w:rsidP="00B47286">
      <w:pPr>
        <w:pStyle w:val="GesAbsatz"/>
      </w:pPr>
      <w:r>
        <w:t>Stellungnahme der TÜV Rheinland Energie und Umwelt GmbH vom 14. März 2015.</w:t>
      </w:r>
    </w:p>
    <w:p w:rsidR="00B47286" w:rsidRPr="00C0454E" w:rsidRDefault="00B47286" w:rsidP="00C0454E">
      <w:pPr>
        <w:pStyle w:val="GesAbsatz"/>
        <w:ind w:left="426" w:hanging="426"/>
        <w:rPr>
          <w:b/>
        </w:rPr>
      </w:pPr>
      <w:r w:rsidRPr="00C0454E">
        <w:rPr>
          <w:b/>
        </w:rPr>
        <w:t>27</w:t>
      </w:r>
      <w:r w:rsidR="00C0454E" w:rsidRPr="00C0454E">
        <w:rPr>
          <w:b/>
        </w:rPr>
        <w:tab/>
      </w:r>
      <w:r w:rsidRPr="00C0454E">
        <w:rPr>
          <w:b/>
        </w:rPr>
        <w:t>Mitteilung zu den Bekanntmachungen des Umweltbundesamtes vom 12. Februar 2013 (BAnz AT 05.03.2013</w:t>
      </w:r>
      <w:r w:rsidR="00C0454E" w:rsidRPr="00C0454E">
        <w:rPr>
          <w:b/>
        </w:rPr>
        <w:t xml:space="preserve"> </w:t>
      </w:r>
      <w:r w:rsidRPr="00C0454E">
        <w:rPr>
          <w:b/>
        </w:rPr>
        <w:t>B10, Kapitel I Nummer 4.1) und vom 3. Juli 2013 (BAnz AT 23.07.2013 B4, Kapitel IV Berichtigung 2)</w:t>
      </w:r>
    </w:p>
    <w:p w:rsidR="00B47286" w:rsidRDefault="00B47286" w:rsidP="00B47286">
      <w:pPr>
        <w:pStyle w:val="GesAbsatz"/>
      </w:pPr>
      <w:r>
        <w:t xml:space="preserve">Neben dem bislang verwendeten </w:t>
      </w:r>
      <w:proofErr w:type="spellStart"/>
      <w:r>
        <w:t>Chopper</w:t>
      </w:r>
      <w:proofErr w:type="spellEnd"/>
      <w:r>
        <w:t xml:space="preserve"> mit UCC Drehzahlregelung kann die Messeinrichtung Emerson NGA 2000</w:t>
      </w:r>
      <w:r w:rsidR="00C0454E">
        <w:t xml:space="preserve"> </w:t>
      </w:r>
      <w:r>
        <w:t>MLT 2 für N</w:t>
      </w:r>
      <w:r w:rsidRPr="00C0454E">
        <w:rPr>
          <w:vertAlign w:val="subscript"/>
        </w:rPr>
        <w:t>2</w:t>
      </w:r>
      <w:r>
        <w:t xml:space="preserve">O der Firma Emerson </w:t>
      </w:r>
      <w:proofErr w:type="spellStart"/>
      <w:r>
        <w:t>Process</w:t>
      </w:r>
      <w:proofErr w:type="spellEnd"/>
      <w:r>
        <w:t xml:space="preserve"> Management GmbH &amp; Co. OHG zukünftig auch mit dem neuen </w:t>
      </w:r>
      <w:proofErr w:type="spellStart"/>
      <w:r>
        <w:t>Chopper</w:t>
      </w:r>
      <w:proofErr w:type="spellEnd"/>
      <w:r>
        <w:t xml:space="preserve"> mit</w:t>
      </w:r>
      <w:r w:rsidR="00C0454E">
        <w:t xml:space="preserve"> </w:t>
      </w:r>
      <w:r>
        <w:t>FAMOS Drehzahlregelung ausgerüstet werden.</w:t>
      </w:r>
    </w:p>
    <w:p w:rsidR="00B47286" w:rsidRDefault="00B47286" w:rsidP="00B47286">
      <w:pPr>
        <w:pStyle w:val="GesAbsatz"/>
      </w:pPr>
      <w:r>
        <w:t>Stellungnahme der TÜV Rheinland Energie und Umwelt GmbH vom 24. März 2015.</w:t>
      </w:r>
    </w:p>
    <w:p w:rsidR="00B47286" w:rsidRPr="00C0454E" w:rsidRDefault="00B47286" w:rsidP="00C0454E">
      <w:pPr>
        <w:pStyle w:val="GesAbsatz"/>
        <w:ind w:left="426" w:hanging="426"/>
        <w:rPr>
          <w:b/>
        </w:rPr>
      </w:pPr>
      <w:r w:rsidRPr="00C0454E">
        <w:rPr>
          <w:b/>
        </w:rPr>
        <w:t>28</w:t>
      </w:r>
      <w:r w:rsidR="00C0454E" w:rsidRPr="00C0454E">
        <w:rPr>
          <w:b/>
        </w:rPr>
        <w:tab/>
      </w:r>
      <w:r w:rsidRPr="00C0454E">
        <w:rPr>
          <w:b/>
        </w:rPr>
        <w:t>Mitteilung zu den Bekanntmachungen des Umweltbundesamtes vom 10. Januar 2011 (BAnz. S. 294, Kapitel I</w:t>
      </w:r>
      <w:r w:rsidR="00C0454E" w:rsidRPr="00C0454E">
        <w:rPr>
          <w:b/>
        </w:rPr>
        <w:t xml:space="preserve"> </w:t>
      </w:r>
      <w:r w:rsidRPr="00C0454E">
        <w:rPr>
          <w:b/>
        </w:rPr>
        <w:t>Nummer 1.2) und vom 25. Februar 2015 (BAnz AT 02.04.2015 B5, Kapitel IV 28. Mi</w:t>
      </w:r>
      <w:r w:rsidRPr="00C0454E">
        <w:rPr>
          <w:b/>
        </w:rPr>
        <w:t>t</w:t>
      </w:r>
      <w:r w:rsidRPr="00C0454E">
        <w:rPr>
          <w:b/>
        </w:rPr>
        <w:t>teilung)</w:t>
      </w:r>
    </w:p>
    <w:p w:rsidR="00B47286" w:rsidRDefault="00B47286" w:rsidP="00B47286">
      <w:pPr>
        <w:pStyle w:val="GesAbsatz"/>
      </w:pPr>
      <w:r>
        <w:t>Die Messeinrichtung D-R 290 für Staub der Firma DURAG GmbH wurde mit einem überarbeiteten Messkopf ausgestattet.</w:t>
      </w:r>
      <w:r w:rsidR="00C0454E">
        <w:t xml:space="preserve"> </w:t>
      </w:r>
      <w:r>
        <w:t>Der Messkopf trägt jetzt die Bezeichnung D-R 290 M EC2. Mit dem neuen Messkopf entfällt für die Messeinrichtung</w:t>
      </w:r>
      <w:r w:rsidR="00C0454E">
        <w:t xml:space="preserve"> </w:t>
      </w:r>
      <w:r>
        <w:t>die Auswerteeinheit D-R 290 AW.</w:t>
      </w:r>
    </w:p>
    <w:p w:rsidR="00B47286" w:rsidRDefault="00B47286" w:rsidP="00B47286">
      <w:pPr>
        <w:pStyle w:val="GesAbsatz"/>
      </w:pPr>
      <w:r>
        <w:t>Für die Messeinrichtung mit dem neuen Messkopf D-R 290 M EC2 gilt:</w:t>
      </w:r>
    </w:p>
    <w:p w:rsidR="00B47286" w:rsidRDefault="00B47286" w:rsidP="00C0454E">
      <w:pPr>
        <w:pStyle w:val="GesAbsatz"/>
        <w:ind w:left="426" w:hanging="426"/>
      </w:pPr>
      <w:r>
        <w:t>–</w:t>
      </w:r>
      <w:r w:rsidR="00C0454E">
        <w:tab/>
      </w:r>
      <w:r>
        <w:t>Die Messeinrichtung kann mit der Auswerteeinheit D-ISC 100 oder mit der Versorgungseinheit D-TB 100 betrieben</w:t>
      </w:r>
      <w:r w:rsidR="00C0454E">
        <w:t xml:space="preserve"> </w:t>
      </w:r>
      <w:r>
        <w:t>werden.</w:t>
      </w:r>
    </w:p>
    <w:p w:rsidR="00B47286" w:rsidRDefault="00B47286" w:rsidP="00C0454E">
      <w:pPr>
        <w:pStyle w:val="GesAbsatz"/>
        <w:ind w:left="426" w:hanging="426"/>
      </w:pPr>
      <w:r>
        <w:t>–</w:t>
      </w:r>
      <w:r w:rsidR="00C0454E">
        <w:tab/>
      </w:r>
      <w:r>
        <w:t xml:space="preserve">Die Universal-Steuereinheit D-ISC 100 verfügt über die digitalen Schnittstellen </w:t>
      </w:r>
      <w:proofErr w:type="spellStart"/>
      <w:r>
        <w:t>Modbus</w:t>
      </w:r>
      <w:proofErr w:type="spellEnd"/>
      <w:r>
        <w:t xml:space="preserve"> RTU und </w:t>
      </w:r>
      <w:proofErr w:type="spellStart"/>
      <w:r>
        <w:t>Modbus</w:t>
      </w:r>
      <w:proofErr w:type="spellEnd"/>
      <w:r>
        <w:t xml:space="preserve"> TCP nach</w:t>
      </w:r>
      <w:r w:rsidR="00C0454E">
        <w:t xml:space="preserve"> </w:t>
      </w:r>
      <w:r>
        <w:t>VDI 4201 Blatt 1 und 3 (EIA-485, seriell und TCP/IP, Ethernet).</w:t>
      </w:r>
    </w:p>
    <w:p w:rsidR="00B47286" w:rsidRDefault="00B47286" w:rsidP="00C0454E">
      <w:pPr>
        <w:pStyle w:val="GesAbsatz"/>
        <w:ind w:left="426" w:hanging="426"/>
      </w:pPr>
      <w:r>
        <w:t>–</w:t>
      </w:r>
      <w:r w:rsidR="00C0454E">
        <w:tab/>
      </w:r>
      <w:r>
        <w:t xml:space="preserve">Die Messeinrichtung D-R 290 verfügt über die digitale Schnittstelle </w:t>
      </w:r>
      <w:proofErr w:type="spellStart"/>
      <w:r>
        <w:t>Modbus</w:t>
      </w:r>
      <w:proofErr w:type="spellEnd"/>
      <w:r>
        <w:t xml:space="preserve"> RTU entsprechend VDI 4201 Blatt 1</w:t>
      </w:r>
      <w:r w:rsidR="00C0454E">
        <w:t xml:space="preserve"> </w:t>
      </w:r>
      <w:r>
        <w:t>und 3 (EIA-485, seriell).</w:t>
      </w:r>
    </w:p>
    <w:p w:rsidR="00B47286" w:rsidRDefault="00B47286" w:rsidP="00C0454E">
      <w:pPr>
        <w:pStyle w:val="GesAbsatz"/>
        <w:ind w:left="426" w:hanging="426"/>
      </w:pPr>
      <w:r>
        <w:t>–</w:t>
      </w:r>
      <w:r w:rsidR="00C0454E">
        <w:tab/>
      </w:r>
      <w:r>
        <w:t xml:space="preserve">Bei Kombination der Messeinrichtung D-R 290 mit der Universal-Steuereinheit D-ISC 100 ist die </w:t>
      </w:r>
      <w:proofErr w:type="spellStart"/>
      <w:r>
        <w:t>Modbus</w:t>
      </w:r>
      <w:proofErr w:type="spellEnd"/>
      <w:r>
        <w:t>-Schnittstelle</w:t>
      </w:r>
      <w:r w:rsidR="00C0454E">
        <w:t xml:space="preserve"> </w:t>
      </w:r>
      <w:r>
        <w:t>der Messeinrichtung D-R 290 nicht nutzbar. Stattdessen wird die digitale Schnit</w:t>
      </w:r>
      <w:r>
        <w:t>t</w:t>
      </w:r>
      <w:r>
        <w:t xml:space="preserve">stelle </w:t>
      </w:r>
      <w:proofErr w:type="spellStart"/>
      <w:r>
        <w:t>Modbus</w:t>
      </w:r>
      <w:proofErr w:type="spellEnd"/>
      <w:r>
        <w:t xml:space="preserve"> der Universal-Steuereinheit D-ISC 100 verwendet.</w:t>
      </w:r>
    </w:p>
    <w:p w:rsidR="00B47286" w:rsidRDefault="00B47286" w:rsidP="00C0454E">
      <w:pPr>
        <w:pStyle w:val="GesAbsatz"/>
        <w:ind w:left="426" w:hanging="426"/>
      </w:pPr>
      <w:r>
        <w:t>–</w:t>
      </w:r>
      <w:r w:rsidR="00C0454E">
        <w:tab/>
      </w:r>
      <w:r>
        <w:t>Wenn die Messeinrichtung ohne die Auswerteeinheit D-ISC 100 betrieben wird, erfolgt die Bedienung der Messeinrichtung</w:t>
      </w:r>
      <w:r w:rsidR="00C0454E">
        <w:t xml:space="preserve"> </w:t>
      </w:r>
      <w:r>
        <w:t>mit der Software D-ESI 100 auf einem handelsüblichen PC/Notebook/Tablet.</w:t>
      </w:r>
    </w:p>
    <w:p w:rsidR="00B47286" w:rsidRDefault="00B47286" w:rsidP="00B47286">
      <w:pPr>
        <w:pStyle w:val="GesAbsatz"/>
      </w:pPr>
      <w:r>
        <w:t>–</w:t>
      </w:r>
      <w:r w:rsidR="00C0454E">
        <w:tab/>
      </w:r>
      <w:r>
        <w:t>Der zulässige Umgebungstemperaturbereich für die Messeinrichtung beträgt –40 °C bis 60 °C.</w:t>
      </w:r>
    </w:p>
    <w:p w:rsidR="00B47286" w:rsidRDefault="00B47286" w:rsidP="00B47286">
      <w:pPr>
        <w:pStyle w:val="GesAbsatz"/>
      </w:pPr>
      <w:r>
        <w:t>Unabhängig von der Änderung ist weiter der Reflektor D-R 290 R und eine geeignete Spülluftversorgung für die Messeinrichtung</w:t>
      </w:r>
      <w:r w:rsidR="00C0454E">
        <w:t xml:space="preserve"> </w:t>
      </w:r>
      <w:r>
        <w:t>erforderlich.</w:t>
      </w:r>
    </w:p>
    <w:p w:rsidR="00B47286" w:rsidRDefault="00B47286" w:rsidP="00B47286">
      <w:pPr>
        <w:pStyle w:val="GesAbsatz"/>
      </w:pPr>
      <w:r>
        <w:t>Die aktuellen Softwareversionen der Messeinrichtung D-R 290 der Firma DURAG GmbH lauten:</w:t>
      </w:r>
    </w:p>
    <w:p w:rsidR="00B47286" w:rsidRDefault="00B47286" w:rsidP="00C0454E">
      <w:pPr>
        <w:pStyle w:val="GesAbsatz"/>
        <w:tabs>
          <w:tab w:val="left" w:pos="2127"/>
        </w:tabs>
      </w:pPr>
      <w:r>
        <w:t>D-R 290:</w:t>
      </w:r>
      <w:r w:rsidR="00C0454E">
        <w:tab/>
      </w:r>
      <w:r>
        <w:t>05.00R0000</w:t>
      </w:r>
    </w:p>
    <w:p w:rsidR="00B47286" w:rsidRDefault="00B47286" w:rsidP="00C0454E">
      <w:pPr>
        <w:pStyle w:val="GesAbsatz"/>
        <w:tabs>
          <w:tab w:val="left" w:pos="2127"/>
        </w:tabs>
      </w:pPr>
      <w:r>
        <w:t>D-ISC 100:</w:t>
      </w:r>
      <w:r w:rsidR="00C0454E">
        <w:tab/>
      </w:r>
      <w:r>
        <w:t>01.03R0000</w:t>
      </w:r>
    </w:p>
    <w:p w:rsidR="00B47286" w:rsidRDefault="00B47286" w:rsidP="00C0454E">
      <w:pPr>
        <w:pStyle w:val="GesAbsatz"/>
        <w:tabs>
          <w:tab w:val="left" w:pos="2127"/>
        </w:tabs>
      </w:pPr>
      <w:r>
        <w:t>D-ESI 100:</w:t>
      </w:r>
      <w:r w:rsidR="00C0454E">
        <w:tab/>
      </w:r>
      <w:r>
        <w:t>1.1.015</w:t>
      </w:r>
    </w:p>
    <w:p w:rsidR="00B47286" w:rsidRDefault="00B47286" w:rsidP="00B47286">
      <w:pPr>
        <w:pStyle w:val="GesAbsatz"/>
      </w:pPr>
      <w:r>
        <w:t>Stellungnahme vom 26. März 2015 und Prüfbericht 936/21226948/A vom 26. März 2015 der TÜV Rheinland Energie</w:t>
      </w:r>
      <w:r w:rsidR="00C0454E">
        <w:t xml:space="preserve"> </w:t>
      </w:r>
      <w:r>
        <w:t>und Umwelt GmbH.</w:t>
      </w:r>
    </w:p>
    <w:p w:rsidR="00B47286" w:rsidRPr="00C0454E" w:rsidRDefault="00B47286" w:rsidP="00C0454E">
      <w:pPr>
        <w:pStyle w:val="GesAbsatz"/>
        <w:ind w:left="426" w:hanging="426"/>
        <w:rPr>
          <w:b/>
        </w:rPr>
      </w:pPr>
      <w:r w:rsidRPr="00C0454E">
        <w:rPr>
          <w:b/>
        </w:rPr>
        <w:t>29</w:t>
      </w:r>
      <w:r w:rsidR="00C0454E" w:rsidRPr="00C0454E">
        <w:rPr>
          <w:b/>
        </w:rPr>
        <w:tab/>
      </w:r>
      <w:r w:rsidRPr="00C0454E">
        <w:rPr>
          <w:b/>
        </w:rPr>
        <w:t>Mitteilung zu der Bekanntmachung des Umweltbundesamtes vom 17. Juli 2014 (BAnz AT 05.08.2014 B11,</w:t>
      </w:r>
      <w:r w:rsidR="00C0454E" w:rsidRPr="00C0454E">
        <w:rPr>
          <w:b/>
        </w:rPr>
        <w:t xml:space="preserve"> </w:t>
      </w:r>
      <w:r w:rsidRPr="00C0454E">
        <w:rPr>
          <w:b/>
        </w:rPr>
        <w:t>Kapitel I Nummer 3.1 und Kapitel V 4. Mitteilung)</w:t>
      </w:r>
    </w:p>
    <w:p w:rsidR="00B47286" w:rsidRDefault="00B47286" w:rsidP="00B47286">
      <w:pPr>
        <w:pStyle w:val="GesAbsatz"/>
      </w:pPr>
      <w:r>
        <w:t>Die Messeinrichtung HM-1400 TRX für Quecksilber der Firma DURAG GmbH kann auch mit der neuen Steuereinheit</w:t>
      </w:r>
      <w:r w:rsidR="00C0454E">
        <w:t xml:space="preserve"> </w:t>
      </w:r>
      <w:r>
        <w:t>(SPS) des Herstellers OMRON vom Typ CJ2M ausgerüstet werden.</w:t>
      </w:r>
    </w:p>
    <w:p w:rsidR="00B47286" w:rsidRDefault="00B47286" w:rsidP="00B47286">
      <w:pPr>
        <w:pStyle w:val="GesAbsatz"/>
      </w:pPr>
      <w:r>
        <w:t>Zusätzlich ist im Schaltschrank das Relais PT570024 durch das Relais RIF-0-RPT-24DC/21 ersetzt worden und es sind</w:t>
      </w:r>
      <w:r w:rsidR="00C0454E">
        <w:t xml:space="preserve"> </w:t>
      </w:r>
      <w:r>
        <w:t>Schraubklemmen durch Steckklemmen ersetzt worden.</w:t>
      </w:r>
    </w:p>
    <w:p w:rsidR="00B47286" w:rsidRDefault="00B47286" w:rsidP="00B47286">
      <w:pPr>
        <w:pStyle w:val="GesAbsatz"/>
      </w:pPr>
      <w:r>
        <w:t>Stellungnahme der TÜV Rheinland Energie und Umwelt GmbH vom 26. März 2015.</w:t>
      </w:r>
    </w:p>
    <w:p w:rsidR="00B47286" w:rsidRPr="00074BF7" w:rsidRDefault="00B47286" w:rsidP="00074BF7">
      <w:pPr>
        <w:pStyle w:val="GesAbsatz"/>
        <w:ind w:left="426" w:hanging="426"/>
        <w:rPr>
          <w:b/>
        </w:rPr>
      </w:pPr>
      <w:r w:rsidRPr="00074BF7">
        <w:rPr>
          <w:b/>
        </w:rPr>
        <w:t>30</w:t>
      </w:r>
      <w:r w:rsidR="00074BF7" w:rsidRPr="00074BF7">
        <w:rPr>
          <w:b/>
        </w:rPr>
        <w:tab/>
      </w:r>
      <w:r w:rsidRPr="00074BF7">
        <w:rPr>
          <w:b/>
        </w:rPr>
        <w:t>Mitteilung zu der Bekanntmachung des Umweltbundesamtes vom 6. Juli 2012 (BAnz AT 20.07.2012 B11,</w:t>
      </w:r>
      <w:r w:rsidR="00074BF7" w:rsidRPr="00074BF7">
        <w:rPr>
          <w:b/>
        </w:rPr>
        <w:t xml:space="preserve"> </w:t>
      </w:r>
      <w:r w:rsidRPr="00074BF7">
        <w:rPr>
          <w:b/>
        </w:rPr>
        <w:t>Kapitel I Nummer 1.1)</w:t>
      </w:r>
    </w:p>
    <w:p w:rsidR="00B47286" w:rsidRDefault="00B47286" w:rsidP="00B47286">
      <w:pPr>
        <w:pStyle w:val="GesAbsatz"/>
      </w:pPr>
      <w:r>
        <w:t>Die aktuelle Softwareversion der Messeinrichtung D-R 820F für Staub der Firma DURAG GmbH lautet:</w:t>
      </w:r>
    </w:p>
    <w:p w:rsidR="00B47286" w:rsidRDefault="00B47286" w:rsidP="00B47286">
      <w:pPr>
        <w:pStyle w:val="GesAbsatz"/>
      </w:pPr>
      <w:r>
        <w:t>1.15j.</w:t>
      </w:r>
    </w:p>
    <w:p w:rsidR="00B47286" w:rsidRDefault="00B47286" w:rsidP="00B47286">
      <w:pPr>
        <w:pStyle w:val="GesAbsatz"/>
      </w:pPr>
      <w:r>
        <w:t>Stellungnahme der TÜV Rheinland Energie und Umwelt GmbH vom 25. März 2015.</w:t>
      </w:r>
    </w:p>
    <w:p w:rsidR="00B47286" w:rsidRPr="00074BF7" w:rsidRDefault="00B47286" w:rsidP="00074BF7">
      <w:pPr>
        <w:pStyle w:val="GesAbsatz"/>
        <w:ind w:left="426" w:hanging="426"/>
        <w:rPr>
          <w:b/>
        </w:rPr>
      </w:pPr>
      <w:r w:rsidRPr="00074BF7">
        <w:rPr>
          <w:b/>
        </w:rPr>
        <w:t>31</w:t>
      </w:r>
      <w:r w:rsidR="00074BF7" w:rsidRPr="00074BF7">
        <w:rPr>
          <w:b/>
        </w:rPr>
        <w:tab/>
      </w:r>
      <w:r w:rsidRPr="00074BF7">
        <w:rPr>
          <w:b/>
        </w:rPr>
        <w:t>Mitteilung zu der Bekanntmachung des Umweltbundesamtes vom 27. Februar 2014 (BAnz AT 01.04.2014</w:t>
      </w:r>
      <w:r w:rsidR="00074BF7" w:rsidRPr="00074BF7">
        <w:rPr>
          <w:b/>
        </w:rPr>
        <w:t xml:space="preserve"> </w:t>
      </w:r>
      <w:r w:rsidRPr="00074BF7">
        <w:rPr>
          <w:b/>
        </w:rPr>
        <w:t>B12, Kapitel I Nummer 3.4)</w:t>
      </w:r>
    </w:p>
    <w:p w:rsidR="00B47286" w:rsidRDefault="00B47286" w:rsidP="00B47286">
      <w:pPr>
        <w:pStyle w:val="GesAbsatz"/>
      </w:pPr>
      <w:r>
        <w:t>Die aktuelle Softwareversion der Messeinrichtung MGA12 für CO, NO, SO</w:t>
      </w:r>
      <w:r w:rsidRPr="00210A1A">
        <w:rPr>
          <w:vertAlign w:val="subscript"/>
        </w:rPr>
        <w:t>2</w:t>
      </w:r>
      <w:r>
        <w:t>, O</w:t>
      </w:r>
      <w:r w:rsidRPr="00210A1A">
        <w:rPr>
          <w:vertAlign w:val="subscript"/>
        </w:rPr>
        <w:t>2</w:t>
      </w:r>
      <w:r>
        <w:t>, und CO</w:t>
      </w:r>
      <w:r w:rsidRPr="00210A1A">
        <w:rPr>
          <w:vertAlign w:val="subscript"/>
        </w:rPr>
        <w:t>2</w:t>
      </w:r>
      <w:r>
        <w:t xml:space="preserve"> der Firma Dr. </w:t>
      </w:r>
      <w:proofErr w:type="spellStart"/>
      <w:r>
        <w:t>F</w:t>
      </w:r>
      <w:r>
        <w:t>ö</w:t>
      </w:r>
      <w:r>
        <w:t>disch</w:t>
      </w:r>
      <w:proofErr w:type="spellEnd"/>
      <w:r>
        <w:t xml:space="preserve"> Umweltmesstechnik</w:t>
      </w:r>
      <w:r w:rsidR="00210A1A">
        <w:t xml:space="preserve"> </w:t>
      </w:r>
      <w:r>
        <w:t>AG lautet:</w:t>
      </w:r>
    </w:p>
    <w:p w:rsidR="00B47286" w:rsidRDefault="00B47286" w:rsidP="00B47286">
      <w:pPr>
        <w:pStyle w:val="GesAbsatz"/>
      </w:pPr>
      <w:r>
        <w:t>1.50.</w:t>
      </w:r>
    </w:p>
    <w:p w:rsidR="00B47286" w:rsidRDefault="00B47286" w:rsidP="00B47286">
      <w:pPr>
        <w:pStyle w:val="GesAbsatz"/>
      </w:pPr>
      <w:r>
        <w:t>Stellungnahme der TÜV Rheinland Energie und Umwelt GmbH vom 18. Februar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32</w:t>
      </w:r>
      <w:r w:rsidR="00210A1A" w:rsidRPr="00210A1A">
        <w:rPr>
          <w:b/>
        </w:rPr>
        <w:tab/>
      </w:r>
      <w:r w:rsidRPr="00210A1A">
        <w:rPr>
          <w:b/>
        </w:rPr>
        <w:t>Mitteilung zu der Bekanntmachung des Umweltbundesamtes vom 17. Juli 2014 (BAnz AT 05.08.2014 B11,</w:t>
      </w:r>
      <w:r w:rsidR="00210A1A" w:rsidRPr="00210A1A">
        <w:rPr>
          <w:b/>
        </w:rPr>
        <w:t xml:space="preserve"> </w:t>
      </w:r>
      <w:r w:rsidRPr="00210A1A">
        <w:rPr>
          <w:b/>
        </w:rPr>
        <w:t>Kapitel I Nummer 4.4)</w:t>
      </w:r>
    </w:p>
    <w:p w:rsidR="00B47286" w:rsidRDefault="00B47286" w:rsidP="00B47286">
      <w:pPr>
        <w:pStyle w:val="GesAbsatz"/>
      </w:pPr>
      <w:r>
        <w:t>Die aktuelle Softwareversion der Messeinrichtung MGA12 HR für CO, NO, SO</w:t>
      </w:r>
      <w:r w:rsidRPr="00210A1A">
        <w:rPr>
          <w:vertAlign w:val="subscript"/>
        </w:rPr>
        <w:t>2</w:t>
      </w:r>
      <w:r>
        <w:t xml:space="preserve"> und O</w:t>
      </w:r>
      <w:r w:rsidRPr="00210A1A">
        <w:rPr>
          <w:vertAlign w:val="subscript"/>
        </w:rPr>
        <w:t>2</w:t>
      </w:r>
      <w:r>
        <w:t xml:space="preserve"> der Firma Dr. </w:t>
      </w:r>
      <w:proofErr w:type="spellStart"/>
      <w:r>
        <w:t>F</w:t>
      </w:r>
      <w:r>
        <w:t>ö</w:t>
      </w:r>
      <w:r>
        <w:t>disch</w:t>
      </w:r>
      <w:proofErr w:type="spellEnd"/>
      <w:r>
        <w:t xml:space="preserve"> Umweltmesstechnik</w:t>
      </w:r>
      <w:r w:rsidR="00210A1A">
        <w:t xml:space="preserve"> </w:t>
      </w:r>
      <w:r>
        <w:t>AG lautet:</w:t>
      </w:r>
    </w:p>
    <w:p w:rsidR="00B47286" w:rsidRDefault="00B47286" w:rsidP="00B47286">
      <w:pPr>
        <w:pStyle w:val="GesAbsatz"/>
      </w:pPr>
      <w:r>
        <w:t>1.50.</w:t>
      </w:r>
    </w:p>
    <w:p w:rsidR="00B47286" w:rsidRDefault="00B47286" w:rsidP="00B47286">
      <w:pPr>
        <w:pStyle w:val="GesAbsatz"/>
      </w:pPr>
      <w:r>
        <w:t>Stellungnahme der TÜV Rheinland Energie und Umwelt GmbH vom 18. Februar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33</w:t>
      </w:r>
      <w:r w:rsidR="00210A1A" w:rsidRPr="00210A1A">
        <w:rPr>
          <w:b/>
        </w:rPr>
        <w:tab/>
      </w:r>
      <w:r w:rsidRPr="00210A1A">
        <w:rPr>
          <w:b/>
        </w:rPr>
        <w:t>Mitteilung zu der Bekanntmachung des Umweltbundesamtes vom 6. Juli 2012 (BAnz AT 20.07.2012 B11,</w:t>
      </w:r>
      <w:r w:rsidR="00210A1A" w:rsidRPr="00210A1A">
        <w:rPr>
          <w:b/>
        </w:rPr>
        <w:t xml:space="preserve"> </w:t>
      </w:r>
      <w:r w:rsidRPr="00210A1A">
        <w:rPr>
          <w:b/>
        </w:rPr>
        <w:t>Kapitel I Nummer 1.2)</w:t>
      </w:r>
    </w:p>
    <w:p w:rsidR="00B47286" w:rsidRDefault="00B47286" w:rsidP="00B47286">
      <w:pPr>
        <w:pStyle w:val="GesAbsatz"/>
      </w:pPr>
      <w:r>
        <w:t xml:space="preserve">Die aktuelle Softwareversion der Messeinrichtung PFM 06 ED für Staub der Firma Dr. </w:t>
      </w:r>
      <w:proofErr w:type="spellStart"/>
      <w:r>
        <w:t>Födisch</w:t>
      </w:r>
      <w:proofErr w:type="spellEnd"/>
      <w:r>
        <w:t xml:space="preserve"> Umweltmes</w:t>
      </w:r>
      <w:r>
        <w:t>s</w:t>
      </w:r>
      <w:r>
        <w:t>technik AG</w:t>
      </w:r>
      <w:r w:rsidR="00210A1A">
        <w:t xml:space="preserve"> </w:t>
      </w:r>
      <w:r>
        <w:t>lautet:</w:t>
      </w:r>
    </w:p>
    <w:p w:rsidR="00B47286" w:rsidRDefault="00B47286" w:rsidP="00B47286">
      <w:pPr>
        <w:pStyle w:val="GesAbsatz"/>
      </w:pPr>
      <w:r>
        <w:t>1.15j.</w:t>
      </w:r>
    </w:p>
    <w:p w:rsidR="00B47286" w:rsidRDefault="00B47286" w:rsidP="00B47286">
      <w:pPr>
        <w:pStyle w:val="GesAbsatz"/>
      </w:pPr>
      <w:r>
        <w:t>Stellungnahme der TÜV Rheinland Energie und Umwelt GmbH vom 18. Februar 2015.</w:t>
      </w:r>
    </w:p>
    <w:p w:rsidR="00B47286" w:rsidRPr="00210A1A" w:rsidRDefault="00B47286" w:rsidP="00B47286">
      <w:pPr>
        <w:pStyle w:val="GesAbsatz"/>
        <w:rPr>
          <w:b/>
        </w:rPr>
      </w:pPr>
      <w:r w:rsidRPr="00210A1A">
        <w:rPr>
          <w:b/>
        </w:rPr>
        <w:t>34</w:t>
      </w:r>
      <w:r w:rsidR="00210A1A" w:rsidRPr="00210A1A">
        <w:rPr>
          <w:b/>
        </w:rPr>
        <w:tab/>
      </w:r>
      <w:r w:rsidRPr="00210A1A">
        <w:rPr>
          <w:b/>
        </w:rPr>
        <w:t>Mitteilung zu der Bekanntmachung des Umweltbundesamtes vom 25. Februar 2015 (BAnz AT 02.04.2015 B5,</w:t>
      </w:r>
      <w:r w:rsidR="00210A1A" w:rsidRPr="00210A1A">
        <w:rPr>
          <w:b/>
        </w:rPr>
        <w:t xml:space="preserve"> </w:t>
      </w:r>
      <w:r w:rsidRPr="00210A1A">
        <w:rPr>
          <w:b/>
        </w:rPr>
        <w:t>Kapitel I Nummer 1.1)</w:t>
      </w:r>
    </w:p>
    <w:p w:rsidR="00B47286" w:rsidRDefault="00B47286" w:rsidP="00B47286">
      <w:pPr>
        <w:pStyle w:val="GesAbsatz"/>
      </w:pPr>
      <w:r>
        <w:t xml:space="preserve">Zur Erhöhung der Wartungsfreundlichkeit kann die Messeinrichtung D-CEM2100 für Staub der Firma </w:t>
      </w:r>
      <w:proofErr w:type="spellStart"/>
      <w:r>
        <w:t>Codel</w:t>
      </w:r>
      <w:proofErr w:type="spellEnd"/>
      <w:r>
        <w:t xml:space="preserve"> International</w:t>
      </w:r>
      <w:r w:rsidR="00210A1A">
        <w:t xml:space="preserve"> </w:t>
      </w:r>
      <w:r>
        <w:t>Ltd. alternativ auch mit den überarbeiteten Kugelventilen mit der Teilenummer 903.090A au</w:t>
      </w:r>
      <w:r>
        <w:t>s</w:t>
      </w:r>
      <w:r>
        <w:t>gestattet werden.</w:t>
      </w:r>
    </w:p>
    <w:p w:rsidR="00B47286" w:rsidRDefault="00B47286" w:rsidP="00B47286">
      <w:pPr>
        <w:pStyle w:val="GesAbsatz"/>
      </w:pPr>
      <w:r>
        <w:t>Stellungnahme der TÜV Rheinland Energie und Umwelt GmbH vom 25.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35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3. August 2009 (BAnz. S. 2929, Kapitel I</w:t>
      </w:r>
      <w:r w:rsidR="00210A1A" w:rsidRPr="00210A1A">
        <w:rPr>
          <w:b/>
        </w:rPr>
        <w:t xml:space="preserve"> </w:t>
      </w:r>
      <w:r w:rsidRPr="00210A1A">
        <w:rPr>
          <w:b/>
        </w:rPr>
        <w:t>Nummer 3.2) und vom 27. Februar 2014 (BAnz AT 01.04.2014 B12, Kapitel VI 15. Mitteilung)</w:t>
      </w:r>
    </w:p>
    <w:p w:rsidR="00B47286" w:rsidRDefault="00B47286" w:rsidP="00B47286">
      <w:pPr>
        <w:pStyle w:val="GesAbsatz"/>
      </w:pPr>
      <w:r>
        <w:t xml:space="preserve">Die Spezifikation für die Empfindlichkeit der </w:t>
      </w:r>
      <w:proofErr w:type="spellStart"/>
      <w:r>
        <w:t>Diodenzeile</w:t>
      </w:r>
      <w:proofErr w:type="spellEnd"/>
      <w:r>
        <w:t xml:space="preserve"> der Emissions-Messeinrichtung GM 32 In-Situ Gasanalysator</w:t>
      </w:r>
      <w:r w:rsidR="00210A1A">
        <w:t xml:space="preserve"> </w:t>
      </w:r>
      <w:r>
        <w:t xml:space="preserve">in der Ausführung Cross </w:t>
      </w:r>
      <w:proofErr w:type="spellStart"/>
      <w:r>
        <w:t>Duct</w:t>
      </w:r>
      <w:proofErr w:type="spellEnd"/>
      <w:r>
        <w:t>, für NO und SO</w:t>
      </w:r>
      <w:r w:rsidRPr="00210A1A">
        <w:rPr>
          <w:vertAlign w:val="subscript"/>
        </w:rPr>
        <w:t>2</w:t>
      </w:r>
      <w:r>
        <w:t xml:space="preserve"> der Firma Sick AG wurde bei einer Wellenlä</w:t>
      </w:r>
      <w:r>
        <w:t>n</w:t>
      </w:r>
      <w:r>
        <w:t>ge von 210 nm von 49 mA/W</w:t>
      </w:r>
      <w:r w:rsidR="00210A1A">
        <w:t xml:space="preserve"> </w:t>
      </w:r>
      <w:r>
        <w:t>auf 36 mA/W abgesenkt. Das Bauteil selbst bleibt unverändert. Die Änderung hat keinen signifikanten Einfluss auf die</w:t>
      </w:r>
      <w:r w:rsidR="00210A1A">
        <w:t xml:space="preserve"> </w:t>
      </w:r>
      <w:r>
        <w:t>Leistungsfähigkeit der Messeinrichtung.</w:t>
      </w:r>
    </w:p>
    <w:p w:rsidR="00B47286" w:rsidRDefault="00B47286" w:rsidP="00B47286">
      <w:pPr>
        <w:pStyle w:val="GesAbsatz"/>
      </w:pPr>
      <w:r>
        <w:t>Stellungnahme der TÜV Rheinland Energie und Umwelt GmbH vom 22. Mai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36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3. August 2009 (BAnz. S. 2929, Kapitel I</w:t>
      </w:r>
      <w:r w:rsidR="00210A1A" w:rsidRPr="00210A1A">
        <w:rPr>
          <w:b/>
        </w:rPr>
        <w:t xml:space="preserve"> </w:t>
      </w:r>
      <w:r w:rsidRPr="00210A1A">
        <w:rPr>
          <w:b/>
        </w:rPr>
        <w:t>Nummer 3.3) und vom 27. Februar 2014 (BAnz AT 01.04.2014 B12, Kapitel VI 16. Mitteilung)</w:t>
      </w:r>
    </w:p>
    <w:p w:rsidR="00B47286" w:rsidRDefault="00B47286" w:rsidP="00B47286">
      <w:pPr>
        <w:pStyle w:val="GesAbsatz"/>
      </w:pPr>
      <w:r>
        <w:t xml:space="preserve">Die Spezifikation für die Empfindlichkeit der </w:t>
      </w:r>
      <w:proofErr w:type="spellStart"/>
      <w:r>
        <w:t>Diodenzeile</w:t>
      </w:r>
      <w:proofErr w:type="spellEnd"/>
      <w:r>
        <w:t xml:space="preserve"> der Emissions-Messeinrichtung GM 32 In-Situ Gasanalysator</w:t>
      </w:r>
      <w:r w:rsidR="00210A1A">
        <w:t xml:space="preserve"> </w:t>
      </w:r>
      <w:r>
        <w:t>in der Ausführung Messlanze GMP, für NO und SO</w:t>
      </w:r>
      <w:r w:rsidRPr="00210A1A">
        <w:rPr>
          <w:vertAlign w:val="subscript"/>
        </w:rPr>
        <w:t>2</w:t>
      </w:r>
      <w:r>
        <w:t xml:space="preserve"> der Firma Sick AG wurde bei einer We</w:t>
      </w:r>
      <w:r>
        <w:t>l</w:t>
      </w:r>
      <w:r>
        <w:t>lenlänge von 210 nm von</w:t>
      </w:r>
      <w:r w:rsidR="00210A1A">
        <w:t xml:space="preserve"> </w:t>
      </w:r>
      <w:r>
        <w:t>49 mA/W auf 36 mA/W abgesenkt. Das Bauteil selbst bleibt unverändert. Die Ä</w:t>
      </w:r>
      <w:r>
        <w:t>n</w:t>
      </w:r>
      <w:r>
        <w:t>derung hat keinen signifikanten Einfluss</w:t>
      </w:r>
      <w:r w:rsidR="00210A1A">
        <w:t xml:space="preserve"> </w:t>
      </w:r>
      <w:r>
        <w:t>auf die Leistungsfähigkeit der Messeinrichtung.</w:t>
      </w:r>
    </w:p>
    <w:p w:rsidR="00B47286" w:rsidRDefault="00B47286" w:rsidP="00B47286">
      <w:pPr>
        <w:pStyle w:val="GesAbsatz"/>
      </w:pPr>
      <w:r>
        <w:t>Stellungnahme der TÜV Rheinland Energie und Umwelt GmbH vom 22. Mai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37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12. September 2006 (BAnz. S. 6715,</w:t>
      </w:r>
      <w:r w:rsidR="00210A1A" w:rsidRPr="00210A1A">
        <w:rPr>
          <w:b/>
        </w:rPr>
        <w:t xml:space="preserve"> </w:t>
      </w:r>
      <w:r w:rsidRPr="00210A1A">
        <w:rPr>
          <w:b/>
        </w:rPr>
        <w:t>Kapitel IV Nummer 1.1) und vom 17. Juli 2014 (BAnz AT 05.08.2014 B11, Kapitel IV 16. Mitteilung)</w:t>
      </w:r>
    </w:p>
    <w:p w:rsidR="00B47286" w:rsidRDefault="00B47286" w:rsidP="00B47286">
      <w:pPr>
        <w:pStyle w:val="GesAbsatz"/>
      </w:pPr>
      <w:r>
        <w:t>Die Herstellung und das Qualitätsmanagement der Messeinrichtung F701-20 der Firma DURAG GmbH für die Messkomponente</w:t>
      </w:r>
      <w:r w:rsidR="00210A1A">
        <w:t xml:space="preserve"> </w:t>
      </w:r>
      <w:r>
        <w:t>Schwebstaub PM</w:t>
      </w:r>
      <w:r w:rsidRPr="00210A1A">
        <w:rPr>
          <w:vertAlign w:val="subscript"/>
        </w:rPr>
        <w:t>10</w:t>
      </w:r>
      <w:r>
        <w:t xml:space="preserve"> erfüllt die Anforderungen der DIN EN 15267.</w:t>
      </w:r>
    </w:p>
    <w:p w:rsidR="00B47286" w:rsidRDefault="00B47286" w:rsidP="00B47286">
      <w:pPr>
        <w:pStyle w:val="GesAbsatz"/>
      </w:pPr>
      <w:r>
        <w:t>Der Prüfbericht über die Eignungsprüfung mit der Berichtsnummer 720 349 ist im Internet unter www.qal1.de einsehbar.</w:t>
      </w:r>
    </w:p>
    <w:p w:rsidR="00B47286" w:rsidRDefault="00B47286" w:rsidP="00B47286">
      <w:pPr>
        <w:pStyle w:val="GesAbsatz"/>
      </w:pPr>
      <w:r>
        <w:t>Stellungnahme der TÜV Rheinland Energie und Umwelt GmbH vom 18.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38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12. April 2007 (BAnz. S. 4139, Kapitel III</w:t>
      </w:r>
      <w:r w:rsidR="00210A1A" w:rsidRPr="00210A1A">
        <w:rPr>
          <w:b/>
        </w:rPr>
        <w:t xml:space="preserve"> </w:t>
      </w:r>
      <w:r w:rsidRPr="00210A1A">
        <w:rPr>
          <w:b/>
        </w:rPr>
        <w:t>Nummer 1.1 und Nummer 2.1) und vom 12. Februar 2013 (BAnz AT 05.03.2013 B10, Kapitel V 13. Mitteilung)</w:t>
      </w:r>
    </w:p>
    <w:p w:rsidR="00B47286" w:rsidRDefault="00B47286" w:rsidP="00B47286">
      <w:pPr>
        <w:pStyle w:val="GesAbsatz"/>
      </w:pPr>
      <w:r>
        <w:t>Die aktuelle Softwareversion der Immissions-Messeinrichtung Modell 5030 SHARP MONITOR mit PM</w:t>
      </w:r>
      <w:r w:rsidRPr="00210A1A">
        <w:rPr>
          <w:vertAlign w:val="subscript"/>
        </w:rPr>
        <w:t>10</w:t>
      </w:r>
      <w:r>
        <w:t>- und mit</w:t>
      </w:r>
      <w:r w:rsidR="00210A1A">
        <w:t xml:space="preserve"> </w:t>
      </w:r>
      <w:r>
        <w:t>PM</w:t>
      </w:r>
      <w:r w:rsidRPr="00210A1A">
        <w:rPr>
          <w:vertAlign w:val="subscript"/>
        </w:rPr>
        <w:t>2</w:t>
      </w:r>
      <w:proofErr w:type="gramStart"/>
      <w:r w:rsidRPr="00210A1A">
        <w:rPr>
          <w:vertAlign w:val="subscript"/>
        </w:rPr>
        <w:t>,5</w:t>
      </w:r>
      <w:proofErr w:type="gramEnd"/>
      <w:r>
        <w:t xml:space="preserve">-Vorabscheider der Firma </w:t>
      </w:r>
      <w:proofErr w:type="spellStart"/>
      <w:r>
        <w:t>Thermo</w:t>
      </w:r>
      <w:proofErr w:type="spellEnd"/>
      <w:r>
        <w:t xml:space="preserve"> Fisher Scientific ist:</w:t>
      </w:r>
    </w:p>
    <w:p w:rsidR="00B47286" w:rsidRDefault="00B47286" w:rsidP="00B47286">
      <w:pPr>
        <w:pStyle w:val="GesAbsatz"/>
      </w:pPr>
      <w:r>
        <w:t>v1.22</w:t>
      </w:r>
    </w:p>
    <w:p w:rsidR="00B47286" w:rsidRDefault="00B47286" w:rsidP="00B47286">
      <w:pPr>
        <w:pStyle w:val="GesAbsatz"/>
      </w:pPr>
      <w:r>
        <w:t>Stellungnahme der TÜV Rheinland Energie und Umwelt GmbH vom 17.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39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23. Februar 2012 (BAnz. S. 920, Kapitel</w:t>
      </w:r>
      <w:r w:rsidR="00210A1A" w:rsidRPr="00210A1A">
        <w:rPr>
          <w:b/>
        </w:rPr>
        <w:t xml:space="preserve"> </w:t>
      </w:r>
      <w:r w:rsidRPr="00210A1A">
        <w:rPr>
          <w:b/>
        </w:rPr>
        <w:t>IV Nummer 1.1) und vom 25. Februar 2015 (BAnz AT 02.04.2015 B5, Kapitel IV 20. Mitteilung)</w:t>
      </w:r>
    </w:p>
    <w:p w:rsidR="00B47286" w:rsidRDefault="00B47286" w:rsidP="00B47286">
      <w:pPr>
        <w:pStyle w:val="GesAbsatz"/>
      </w:pPr>
      <w:r>
        <w:t xml:space="preserve">Die aktuelle Softwareversion für die Immissionsmesseinrichtung TEOM 1405-F </w:t>
      </w:r>
      <w:proofErr w:type="spellStart"/>
      <w:r>
        <w:t>Ambient</w:t>
      </w:r>
      <w:proofErr w:type="spellEnd"/>
      <w:r>
        <w:t xml:space="preserve"> </w:t>
      </w:r>
      <w:proofErr w:type="spellStart"/>
      <w:r>
        <w:t>Particulate</w:t>
      </w:r>
      <w:proofErr w:type="spellEnd"/>
      <w:r>
        <w:t xml:space="preserve"> Monitor mit PM</w:t>
      </w:r>
      <w:r w:rsidRPr="00210A1A">
        <w:rPr>
          <w:vertAlign w:val="subscript"/>
        </w:rPr>
        <w:t>10</w:t>
      </w:r>
      <w:r>
        <w:t>-Vorabscheider für Schwebstaub PM</w:t>
      </w:r>
      <w:r w:rsidRPr="00210A1A">
        <w:rPr>
          <w:vertAlign w:val="subscript"/>
        </w:rPr>
        <w:t>10</w:t>
      </w:r>
      <w:r>
        <w:t xml:space="preserve"> der Firma </w:t>
      </w:r>
      <w:proofErr w:type="spellStart"/>
      <w:r>
        <w:t>Thermo</w:t>
      </w:r>
      <w:proofErr w:type="spellEnd"/>
      <w:r>
        <w:t xml:space="preserve"> Fisher Scientific lautet:</w:t>
      </w:r>
    </w:p>
    <w:p w:rsidR="00B47286" w:rsidRDefault="00B47286" w:rsidP="00B47286">
      <w:pPr>
        <w:pStyle w:val="GesAbsatz"/>
      </w:pPr>
      <w:r>
        <w:t>1.71</w:t>
      </w:r>
    </w:p>
    <w:p w:rsidR="00B47286" w:rsidRDefault="00B47286" w:rsidP="00B47286">
      <w:pPr>
        <w:pStyle w:val="GesAbsatz"/>
      </w:pPr>
      <w:r>
        <w:t>Das Umschaltventil der FDMS-Einheit wurde hinsichtlich seiner mechanischen Stabilität überarbeitet.</w:t>
      </w:r>
    </w:p>
    <w:p w:rsidR="00B47286" w:rsidRDefault="00B47286" w:rsidP="00B47286">
      <w:pPr>
        <w:pStyle w:val="GesAbsatz"/>
      </w:pPr>
      <w:r>
        <w:t>Die Messeinrichtung kann auch mit der Vakuumpumpe vom Typ GAST 87R647-PDS-HV-913 betrieben we</w:t>
      </w:r>
      <w:r>
        <w:t>r</w:t>
      </w:r>
      <w:r>
        <w:t>den.</w:t>
      </w:r>
    </w:p>
    <w:p w:rsidR="00B47286" w:rsidRDefault="00B47286" w:rsidP="00B47286">
      <w:pPr>
        <w:pStyle w:val="GesAbsatz"/>
      </w:pPr>
      <w:r>
        <w:t>Stellungnahme der TÜV Rheinland Energie und Umwelt GmbH vom 17.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40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6. Juli 2012 (BAnz AT 20.07.2012 B11,</w:t>
      </w:r>
      <w:r w:rsidR="00210A1A" w:rsidRPr="00210A1A">
        <w:rPr>
          <w:b/>
        </w:rPr>
        <w:t xml:space="preserve"> </w:t>
      </w:r>
      <w:r w:rsidRPr="00210A1A">
        <w:rPr>
          <w:b/>
        </w:rPr>
        <w:t>Kapitel III Nummer 1.1) und vom 25. Februar 2015 (BAnz AT 02.04.2015 B5, Kap</w:t>
      </w:r>
      <w:r w:rsidRPr="00210A1A">
        <w:rPr>
          <w:b/>
        </w:rPr>
        <w:t>i</w:t>
      </w:r>
      <w:r w:rsidRPr="00210A1A">
        <w:rPr>
          <w:b/>
        </w:rPr>
        <w:t>tel IV 21. Mitteilung)</w:t>
      </w:r>
    </w:p>
    <w:p w:rsidR="00B47286" w:rsidRDefault="00B47286" w:rsidP="00B47286">
      <w:pPr>
        <w:pStyle w:val="GesAbsatz"/>
      </w:pPr>
      <w:r>
        <w:t xml:space="preserve">Die Immissionsmesseinrichtung TEOM 1405-F </w:t>
      </w:r>
      <w:proofErr w:type="spellStart"/>
      <w:r>
        <w:t>Ambient</w:t>
      </w:r>
      <w:proofErr w:type="spellEnd"/>
      <w:r>
        <w:t xml:space="preserve"> </w:t>
      </w:r>
      <w:proofErr w:type="spellStart"/>
      <w:r>
        <w:t>Particulate</w:t>
      </w:r>
      <w:proofErr w:type="spellEnd"/>
      <w:r>
        <w:t xml:space="preserve"> Monitor mit PM</w:t>
      </w:r>
      <w:r w:rsidRPr="00210A1A">
        <w:rPr>
          <w:vertAlign w:val="subscript"/>
        </w:rPr>
        <w:t>2</w:t>
      </w:r>
      <w:proofErr w:type="gramStart"/>
      <w:r w:rsidRPr="00210A1A">
        <w:rPr>
          <w:vertAlign w:val="subscript"/>
        </w:rPr>
        <w:t>,5</w:t>
      </w:r>
      <w:proofErr w:type="gramEnd"/>
      <w:r>
        <w:t>-Vorabscheider für Schwebstaub</w:t>
      </w:r>
      <w:r w:rsidR="00210A1A">
        <w:t xml:space="preserve"> </w:t>
      </w:r>
      <w:r>
        <w:t>PM</w:t>
      </w:r>
      <w:r w:rsidRPr="00210A1A">
        <w:rPr>
          <w:vertAlign w:val="subscript"/>
        </w:rPr>
        <w:t>2,5</w:t>
      </w:r>
      <w:r>
        <w:t xml:space="preserve"> der Firma </w:t>
      </w:r>
      <w:proofErr w:type="spellStart"/>
      <w:r>
        <w:t>Thermo</w:t>
      </w:r>
      <w:proofErr w:type="spellEnd"/>
      <w:r>
        <w:t xml:space="preserve"> Fisher Scientific lautet:</w:t>
      </w:r>
    </w:p>
    <w:p w:rsidR="00B47286" w:rsidRDefault="00B47286" w:rsidP="00B47286">
      <w:pPr>
        <w:pStyle w:val="GesAbsatz"/>
      </w:pPr>
      <w:r>
        <w:t>1.71</w:t>
      </w:r>
    </w:p>
    <w:p w:rsidR="00B47286" w:rsidRDefault="00B47286" w:rsidP="00B47286">
      <w:pPr>
        <w:pStyle w:val="GesAbsatz"/>
      </w:pPr>
      <w:r>
        <w:t>Das Umschaltventil der FDMS-Einheit wurde hinsichtlich seiner mechanischen Stabilität überarbeitet.</w:t>
      </w:r>
    </w:p>
    <w:p w:rsidR="00B47286" w:rsidRDefault="00B47286" w:rsidP="00B47286">
      <w:pPr>
        <w:pStyle w:val="GesAbsatz"/>
      </w:pPr>
      <w:r>
        <w:t>Die Messeinrichtung kann auch mit der Vakuumpumpe vom Typ GAST 87R647-PDS-HV-913 betrieben we</w:t>
      </w:r>
      <w:r>
        <w:t>r</w:t>
      </w:r>
      <w:r>
        <w:t>den.</w:t>
      </w:r>
    </w:p>
    <w:p w:rsidR="00B47286" w:rsidRDefault="00B47286" w:rsidP="00B47286">
      <w:pPr>
        <w:pStyle w:val="GesAbsatz"/>
      </w:pPr>
      <w:r>
        <w:t>Stellungnahme der TÜV Rheinland Energie und Umwelt GmbH vom 17.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41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6. Juli 2012 (BAnz AT 20.07.2012 B11,</w:t>
      </w:r>
      <w:r w:rsidR="00210A1A" w:rsidRPr="00210A1A">
        <w:rPr>
          <w:b/>
        </w:rPr>
        <w:t xml:space="preserve"> </w:t>
      </w:r>
      <w:r w:rsidRPr="00210A1A">
        <w:rPr>
          <w:b/>
        </w:rPr>
        <w:t>Kapitel III Nummer 2.1) und vom 25. Februar 2015 (BAnz AT 02.04.2015 B5, Kap</w:t>
      </w:r>
      <w:r w:rsidRPr="00210A1A">
        <w:rPr>
          <w:b/>
        </w:rPr>
        <w:t>i</w:t>
      </w:r>
      <w:r w:rsidRPr="00210A1A">
        <w:rPr>
          <w:b/>
        </w:rPr>
        <w:t>tel IV 22. Mitteilung)</w:t>
      </w:r>
    </w:p>
    <w:p w:rsidR="00B47286" w:rsidRDefault="00B47286" w:rsidP="00B47286">
      <w:pPr>
        <w:pStyle w:val="GesAbsatz"/>
      </w:pPr>
      <w:r>
        <w:t xml:space="preserve">Die Immissionsmesseinrichtung TEOM 1405-DF </w:t>
      </w:r>
      <w:proofErr w:type="spellStart"/>
      <w:r>
        <w:t>Ambient</w:t>
      </w:r>
      <w:proofErr w:type="spellEnd"/>
      <w:r>
        <w:t xml:space="preserve"> </w:t>
      </w:r>
      <w:proofErr w:type="spellStart"/>
      <w:r>
        <w:t>Particulate</w:t>
      </w:r>
      <w:proofErr w:type="spellEnd"/>
      <w:r>
        <w:t xml:space="preserve"> Monitor mit PM</w:t>
      </w:r>
      <w:r w:rsidRPr="00210A1A">
        <w:rPr>
          <w:vertAlign w:val="subscript"/>
        </w:rPr>
        <w:t>10</w:t>
      </w:r>
      <w:r>
        <w:t>-Vorabscheider und virtuellem</w:t>
      </w:r>
      <w:r w:rsidR="00210A1A">
        <w:t xml:space="preserve"> </w:t>
      </w:r>
      <w:proofErr w:type="spellStart"/>
      <w:r>
        <w:t>Impaktor</w:t>
      </w:r>
      <w:proofErr w:type="spellEnd"/>
      <w:r>
        <w:t xml:space="preserve"> für Schwebstaub PM</w:t>
      </w:r>
      <w:r w:rsidRPr="00210A1A">
        <w:rPr>
          <w:vertAlign w:val="subscript"/>
        </w:rPr>
        <w:t>10</w:t>
      </w:r>
      <w:r>
        <w:t xml:space="preserve"> und PM</w:t>
      </w:r>
      <w:r w:rsidRPr="00210A1A">
        <w:rPr>
          <w:vertAlign w:val="subscript"/>
        </w:rPr>
        <w:t>2</w:t>
      </w:r>
      <w:proofErr w:type="gramStart"/>
      <w:r w:rsidRPr="00210A1A">
        <w:rPr>
          <w:vertAlign w:val="subscript"/>
        </w:rPr>
        <w:t>,5</w:t>
      </w:r>
      <w:proofErr w:type="gramEnd"/>
      <w:r>
        <w:t xml:space="preserve"> der Firma </w:t>
      </w:r>
      <w:proofErr w:type="spellStart"/>
      <w:r>
        <w:t>Thermo</w:t>
      </w:r>
      <w:proofErr w:type="spellEnd"/>
      <w:r>
        <w:t xml:space="preserve"> Fisher Scientific lautet:</w:t>
      </w:r>
    </w:p>
    <w:p w:rsidR="00B47286" w:rsidRDefault="00B47286" w:rsidP="00B47286">
      <w:pPr>
        <w:pStyle w:val="GesAbsatz"/>
      </w:pPr>
      <w:r>
        <w:t>1.71</w:t>
      </w:r>
    </w:p>
    <w:p w:rsidR="00B47286" w:rsidRDefault="00B47286" w:rsidP="00B47286">
      <w:pPr>
        <w:pStyle w:val="GesAbsatz"/>
      </w:pPr>
      <w:r>
        <w:t>Das Umschaltventil der FDMS-Einheit wurde hinsichtlich seiner mechanischen Stabilität überarbeitet.</w:t>
      </w:r>
    </w:p>
    <w:p w:rsidR="00B47286" w:rsidRDefault="00B47286" w:rsidP="00B47286">
      <w:pPr>
        <w:pStyle w:val="GesAbsatz"/>
      </w:pPr>
      <w:r>
        <w:t>Die Messeinrichtung kann auch mit der Vakuumpumpe vom Typ GAST 87R647-PDS-HV-913 betrieben we</w:t>
      </w:r>
      <w:r>
        <w:t>r</w:t>
      </w:r>
      <w:r>
        <w:t>den.</w:t>
      </w:r>
    </w:p>
    <w:p w:rsidR="00B47286" w:rsidRDefault="00B47286" w:rsidP="00B47286">
      <w:pPr>
        <w:pStyle w:val="GesAbsatz"/>
      </w:pPr>
      <w:r>
        <w:t>Stellungnahme der TÜV Rheinland Energie und Umwelt GmbH vom 17.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42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3. Juli 2013 (BAnz AT 23.07.2013 B4,</w:t>
      </w:r>
      <w:r w:rsidR="00210A1A" w:rsidRPr="00210A1A">
        <w:rPr>
          <w:b/>
        </w:rPr>
        <w:t xml:space="preserve"> </w:t>
      </w:r>
      <w:r w:rsidRPr="00210A1A">
        <w:rPr>
          <w:b/>
        </w:rPr>
        <w:t>Kapitel III Nummer 3.1) und vom 25. Februar 2015 (BAnz AT 02.04.2015 B5, Kapitel IV 9. Mitteilung)</w:t>
      </w:r>
    </w:p>
    <w:p w:rsidR="00B47286" w:rsidRDefault="00B47286" w:rsidP="00B47286">
      <w:pPr>
        <w:pStyle w:val="GesAbsatz"/>
      </w:pPr>
      <w:r>
        <w:t>Die Immissionsmesseinrichtung APDA-371 mit PM</w:t>
      </w:r>
      <w:r w:rsidRPr="00210A1A">
        <w:rPr>
          <w:vertAlign w:val="subscript"/>
        </w:rPr>
        <w:t>10</w:t>
      </w:r>
      <w:r>
        <w:t>-Vorabscheider der Firma HORIBA Europe GmbH kann auch mit</w:t>
      </w:r>
      <w:r w:rsidR="00210A1A">
        <w:t xml:space="preserve"> </w:t>
      </w:r>
      <w:r>
        <w:t>der Vakuumpumpe vom Typ BECKER VT 4.4 betrieben werden.</w:t>
      </w:r>
    </w:p>
    <w:p w:rsidR="00B47286" w:rsidRDefault="00B47286" w:rsidP="00B47286">
      <w:pPr>
        <w:pStyle w:val="GesAbsatz"/>
      </w:pPr>
      <w:r>
        <w:t>Stellungnahme der TÜV Rheinland Energie und Umwelt GmbH vom 23.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43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3. Juli 2013 (BAnz AT 23.07.2013 B4,</w:t>
      </w:r>
      <w:r w:rsidR="00210A1A" w:rsidRPr="00210A1A">
        <w:rPr>
          <w:b/>
        </w:rPr>
        <w:t xml:space="preserve"> </w:t>
      </w:r>
      <w:r w:rsidRPr="00210A1A">
        <w:rPr>
          <w:b/>
        </w:rPr>
        <w:t>Kapitel III Nummer 2.1) und vom 25. Februar 2015 (BAnz AT 02.04.2015 B5, Kapitel IV 10. Mitteilung)</w:t>
      </w:r>
    </w:p>
    <w:p w:rsidR="00B47286" w:rsidRDefault="00B47286" w:rsidP="00B47286">
      <w:pPr>
        <w:pStyle w:val="GesAbsatz"/>
      </w:pPr>
      <w:r>
        <w:t>Die Immissionsmesseinrichtung APDA-371 mit PM</w:t>
      </w:r>
      <w:r w:rsidRPr="00210A1A">
        <w:rPr>
          <w:vertAlign w:val="subscript"/>
        </w:rPr>
        <w:t>2</w:t>
      </w:r>
      <w:proofErr w:type="gramStart"/>
      <w:r w:rsidRPr="00210A1A">
        <w:rPr>
          <w:vertAlign w:val="subscript"/>
        </w:rPr>
        <w:t>,5</w:t>
      </w:r>
      <w:proofErr w:type="gramEnd"/>
      <w:r>
        <w:t>-Vorabscheider der Firma HORIBA Europe GmbH kann auch mit</w:t>
      </w:r>
      <w:r w:rsidR="00210A1A">
        <w:t xml:space="preserve"> </w:t>
      </w:r>
      <w:r>
        <w:t>der Vakuumpumpe vom Typ BECKER VT 4.4 betrieben werden.</w:t>
      </w:r>
    </w:p>
    <w:p w:rsidR="00B47286" w:rsidRDefault="00B47286" w:rsidP="00B47286">
      <w:pPr>
        <w:pStyle w:val="GesAbsatz"/>
      </w:pPr>
      <w:r>
        <w:t>Stellungnahme der TÜV Rheinland Energie und Umwelt GmbH vom 23.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44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3. August 2009 (BAnz. S. 2934, Kapitel</w:t>
      </w:r>
      <w:r w:rsidR="00210A1A" w:rsidRPr="00210A1A">
        <w:rPr>
          <w:b/>
        </w:rPr>
        <w:t xml:space="preserve"> </w:t>
      </w:r>
      <w:r w:rsidRPr="00210A1A">
        <w:rPr>
          <w:b/>
        </w:rPr>
        <w:t>II Nummer 2.1) und vom 25. Februar 2015 (BAnz AT 02.04.2015 B5, Kapitel IV 8. Mi</w:t>
      </w:r>
      <w:r w:rsidRPr="00210A1A">
        <w:rPr>
          <w:b/>
        </w:rPr>
        <w:t>t</w:t>
      </w:r>
      <w:r w:rsidRPr="00210A1A">
        <w:rPr>
          <w:b/>
        </w:rPr>
        <w:t>teilung)</w:t>
      </w:r>
    </w:p>
    <w:p w:rsidR="00B47286" w:rsidRDefault="00B47286" w:rsidP="00B47286">
      <w:pPr>
        <w:pStyle w:val="GesAbsatz"/>
      </w:pPr>
      <w:r>
        <w:t>Für die Messeinrichtungen SWAM 5a Dual Channel Monitor für PM</w:t>
      </w:r>
      <w:r w:rsidRPr="00210A1A">
        <w:rPr>
          <w:vertAlign w:val="subscript"/>
        </w:rPr>
        <w:t>10</w:t>
      </w:r>
      <w:r>
        <w:t xml:space="preserve"> und PM</w:t>
      </w:r>
      <w:r w:rsidRPr="00210A1A">
        <w:rPr>
          <w:vertAlign w:val="subscript"/>
        </w:rPr>
        <w:t>2</w:t>
      </w:r>
      <w:proofErr w:type="gramStart"/>
      <w:r w:rsidRPr="00210A1A">
        <w:rPr>
          <w:vertAlign w:val="subscript"/>
        </w:rPr>
        <w:t>,5</w:t>
      </w:r>
      <w:proofErr w:type="gramEnd"/>
      <w:r>
        <w:t xml:space="preserve">, SWAM 5a Dual Channel </w:t>
      </w:r>
      <w:proofErr w:type="spellStart"/>
      <w:r>
        <w:t>Hourly</w:t>
      </w:r>
      <w:proofErr w:type="spellEnd"/>
      <w:r>
        <w:t xml:space="preserve"> Mode</w:t>
      </w:r>
      <w:r w:rsidR="00210A1A">
        <w:t xml:space="preserve"> </w:t>
      </w:r>
      <w:r>
        <w:t>Monitor für PM</w:t>
      </w:r>
      <w:r w:rsidRPr="00210A1A">
        <w:rPr>
          <w:vertAlign w:val="subscript"/>
        </w:rPr>
        <w:t>10</w:t>
      </w:r>
      <w:r>
        <w:t xml:space="preserve"> und PM</w:t>
      </w:r>
      <w:r w:rsidRPr="00210A1A">
        <w:rPr>
          <w:vertAlign w:val="subscript"/>
        </w:rPr>
        <w:t>2,5</w:t>
      </w:r>
      <w:r>
        <w:t xml:space="preserve"> und SWAM 5a Monitor für PM</w:t>
      </w:r>
      <w:r w:rsidRPr="00210A1A">
        <w:rPr>
          <w:vertAlign w:val="subscript"/>
        </w:rPr>
        <w:t>10</w:t>
      </w:r>
      <w:r>
        <w:t xml:space="preserve"> oder PM</w:t>
      </w:r>
      <w:r w:rsidRPr="00210A1A">
        <w:rPr>
          <w:vertAlign w:val="subscript"/>
        </w:rPr>
        <w:t>2,5</w:t>
      </w:r>
      <w:r>
        <w:t xml:space="preserve"> der Firma FAI Instr</w:t>
      </w:r>
      <w:r>
        <w:t>u</w:t>
      </w:r>
      <w:r>
        <w:t xml:space="preserve">ments </w:t>
      </w:r>
      <w:proofErr w:type="spellStart"/>
      <w:r>
        <w:t>srl</w:t>
      </w:r>
      <w:proofErr w:type="spellEnd"/>
      <w:r>
        <w:t>. sind auch</w:t>
      </w:r>
      <w:r w:rsidR="00210A1A">
        <w:t xml:space="preserve"> </w:t>
      </w:r>
      <w:r>
        <w:t>Standard-Probeneinlässe gemäß Anhang A der Richtlinie DIN EN 12341 (Ausgabe: August 2014) unter den Bezeichnungen</w:t>
      </w:r>
      <w:r w:rsidR="00210A1A">
        <w:t xml:space="preserve"> </w:t>
      </w:r>
      <w:r>
        <w:t>PM10-EN12341-2014 bzw. PM2.5-EN12341-2014 verfügbar.</w:t>
      </w:r>
    </w:p>
    <w:p w:rsidR="00B47286" w:rsidRDefault="00B47286" w:rsidP="00B47286">
      <w:pPr>
        <w:pStyle w:val="GesAbsatz"/>
      </w:pPr>
      <w:r>
        <w:t>Stellungnahme der TÜV Rheinland Energie und Umwelt GmbH vom 17.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45</w:t>
      </w:r>
      <w:r w:rsidR="00210A1A" w:rsidRPr="00210A1A">
        <w:rPr>
          <w:b/>
        </w:rPr>
        <w:tab/>
      </w:r>
      <w:r w:rsidRPr="00210A1A">
        <w:rPr>
          <w:b/>
        </w:rPr>
        <w:t>Mitteilung zu der Bekanntmachung des Umweltbundesamtes vom 12. Februar 2013 (BAnz AT 05.03.2013</w:t>
      </w:r>
      <w:r w:rsidR="00210A1A" w:rsidRPr="00210A1A">
        <w:rPr>
          <w:b/>
        </w:rPr>
        <w:t xml:space="preserve"> </w:t>
      </w:r>
      <w:r w:rsidRPr="00210A1A">
        <w:rPr>
          <w:b/>
        </w:rPr>
        <w:t>B10, Kapitel IV Nummer 1.1)</w:t>
      </w:r>
    </w:p>
    <w:p w:rsidR="00B47286" w:rsidRDefault="00B47286" w:rsidP="00B47286">
      <w:pPr>
        <w:pStyle w:val="GesAbsatz"/>
      </w:pPr>
      <w:r>
        <w:t xml:space="preserve">Die aktuelle Softwareversion der Messeinrichtung VOC72M für Benzol der Firma </w:t>
      </w:r>
      <w:proofErr w:type="spellStart"/>
      <w:r>
        <w:t>Environnement</w:t>
      </w:r>
      <w:proofErr w:type="spellEnd"/>
      <w:r>
        <w:t xml:space="preserve"> S.A. lautet:</w:t>
      </w:r>
    </w:p>
    <w:p w:rsidR="00B47286" w:rsidRDefault="00B47286" w:rsidP="00B47286">
      <w:pPr>
        <w:pStyle w:val="GesAbsatz"/>
      </w:pPr>
      <w:r>
        <w:t>v3.3.8</w:t>
      </w:r>
    </w:p>
    <w:p w:rsidR="00B47286" w:rsidRDefault="00B47286" w:rsidP="00B47286">
      <w:pPr>
        <w:pStyle w:val="GesAbsatz"/>
      </w:pPr>
      <w:r>
        <w:t>Die Probengaspumpe vom Typ KNF PMF1476-86 wurde ersetzt durch eine Probengaspumpe vom Typ KNF PMF1559-86.</w:t>
      </w:r>
    </w:p>
    <w:p w:rsidR="00B47286" w:rsidRDefault="00B47286" w:rsidP="00B47286">
      <w:pPr>
        <w:pStyle w:val="GesAbsatz"/>
      </w:pPr>
      <w:r>
        <w:t>Die Pumpe zur Kühlung der Trennsäule vom Typ KNF PML9399-NF25 wurde ersetzt durch eine Pumpe zur Kühlung der</w:t>
      </w:r>
      <w:r w:rsidR="00210A1A">
        <w:t xml:space="preserve"> </w:t>
      </w:r>
      <w:r>
        <w:t>Trennsäule vom Typ KNF PML10386-NF25.</w:t>
      </w:r>
    </w:p>
    <w:p w:rsidR="00B47286" w:rsidRDefault="00B47286" w:rsidP="00B47286">
      <w:pPr>
        <w:pStyle w:val="GesAbsatz"/>
      </w:pPr>
      <w:r>
        <w:t>Stellungnahme der TÜV Rheinland Energie und Umwelt GmbH vom 16.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46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12. April 2007 (BAnz. S. 4139, Kapitel III</w:t>
      </w:r>
      <w:r w:rsidR="00210A1A" w:rsidRPr="00210A1A">
        <w:rPr>
          <w:b/>
        </w:rPr>
        <w:t xml:space="preserve"> </w:t>
      </w:r>
      <w:r w:rsidRPr="00210A1A">
        <w:rPr>
          <w:b/>
        </w:rPr>
        <w:t>Nummer 3.1) und vom 27. Februar 2014 (BAnz AT 01.04.2014 B12, Kapitel VI 21. Mitteilung)</w:t>
      </w:r>
    </w:p>
    <w:p w:rsidR="00B47286" w:rsidRDefault="00B47286" w:rsidP="00B47286">
      <w:pPr>
        <w:pStyle w:val="GesAbsatz"/>
      </w:pPr>
      <w:r>
        <w:t>Die aktuelle Softwareversion der Messeinrichtung O342M für O</w:t>
      </w:r>
      <w:r w:rsidRPr="00210A1A">
        <w:rPr>
          <w:vertAlign w:val="subscript"/>
        </w:rPr>
        <w:t>3</w:t>
      </w:r>
      <w:r>
        <w:t xml:space="preserve"> der Firma </w:t>
      </w:r>
      <w:proofErr w:type="spellStart"/>
      <w:r>
        <w:t>Environnement</w:t>
      </w:r>
      <w:proofErr w:type="spellEnd"/>
      <w:r>
        <w:t xml:space="preserve"> S.A. lautet: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v1.0.5 (Calculation Process)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v3.6.b (Display Process)</w:t>
      </w:r>
    </w:p>
    <w:p w:rsidR="00B47286" w:rsidRDefault="00B47286" w:rsidP="00B47286">
      <w:pPr>
        <w:pStyle w:val="GesAbsatz"/>
      </w:pPr>
      <w:r>
        <w:t>Die Messeinrichtung erhält zur Erweiterung der Kommunikationsmöglichkeiten eine USB-Schnittstelle und eine TCP/IP</w:t>
      </w:r>
      <w:r w:rsidR="00210A1A">
        <w:t>-</w:t>
      </w:r>
      <w:r>
        <w:t>Schnittstelle.</w:t>
      </w:r>
    </w:p>
    <w:p w:rsidR="00B47286" w:rsidRDefault="00B47286" w:rsidP="00B47286">
      <w:pPr>
        <w:pStyle w:val="GesAbsatz"/>
      </w:pPr>
      <w:r>
        <w:t>Stellungnahme der TÜV Rheinland Energie und Umwelt GmbH vom 16.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47</w:t>
      </w:r>
      <w:r w:rsidR="00210A1A" w:rsidRPr="00210A1A">
        <w:rPr>
          <w:b/>
        </w:rPr>
        <w:tab/>
      </w:r>
      <w:r w:rsidRPr="00210A1A">
        <w:rPr>
          <w:b/>
        </w:rPr>
        <w:t>Mitteilung zu der Bekanntmachung des Umweltbundesamtes vom 25. Februar 2015 (BAnz AT 02.04.2015 B5,</w:t>
      </w:r>
      <w:r w:rsidR="00210A1A" w:rsidRPr="00210A1A">
        <w:rPr>
          <w:b/>
        </w:rPr>
        <w:t xml:space="preserve"> </w:t>
      </w:r>
      <w:r w:rsidRPr="00210A1A">
        <w:rPr>
          <w:b/>
        </w:rPr>
        <w:t>Kapitel III Nummer 1.1)</w:t>
      </w:r>
    </w:p>
    <w:p w:rsidR="00B47286" w:rsidRDefault="00B47286" w:rsidP="00B47286">
      <w:pPr>
        <w:pStyle w:val="GesAbsatz"/>
      </w:pPr>
      <w:r>
        <w:t>Die aktuellen Softwareversionen der Messeinrichtungen O342e bzw. O342e* für O</w:t>
      </w:r>
      <w:r w:rsidRPr="00210A1A">
        <w:rPr>
          <w:vertAlign w:val="subscript"/>
        </w:rPr>
        <w:t>3</w:t>
      </w:r>
      <w:r>
        <w:t xml:space="preserve"> der Firma </w:t>
      </w:r>
      <w:proofErr w:type="spellStart"/>
      <w:r>
        <w:t>Environn</w:t>
      </w:r>
      <w:r>
        <w:t>e</w:t>
      </w:r>
      <w:r>
        <w:t>ment</w:t>
      </w:r>
      <w:proofErr w:type="spellEnd"/>
      <w:r>
        <w:t xml:space="preserve"> S.A.</w:t>
      </w:r>
    </w:p>
    <w:p w:rsidR="00B47286" w:rsidRDefault="00B47286" w:rsidP="00B47286">
      <w:pPr>
        <w:pStyle w:val="GesAbsatz"/>
      </w:pPr>
      <w:r>
        <w:t>lauten:</w:t>
      </w:r>
    </w:p>
    <w:p w:rsidR="00B47286" w:rsidRDefault="00B47286" w:rsidP="00B47286">
      <w:pPr>
        <w:pStyle w:val="GesAbsatz"/>
      </w:pPr>
      <w:r>
        <w:t>O342e: 1.0.4</w:t>
      </w:r>
    </w:p>
    <w:p w:rsidR="00B47286" w:rsidRDefault="00B47286" w:rsidP="00B47286">
      <w:pPr>
        <w:pStyle w:val="GesAbsatz"/>
      </w:pPr>
      <w:r>
        <w:t>O342e*: 1.0.3</w:t>
      </w:r>
    </w:p>
    <w:p w:rsidR="00B47286" w:rsidRDefault="00B47286" w:rsidP="00B47286">
      <w:pPr>
        <w:pStyle w:val="GesAbsatz"/>
      </w:pPr>
      <w:r>
        <w:t>Stellungnahme der TÜV Rheinland Energie und Umwelt GmbH vom 16.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48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12. August 2008 (BAnz. S. 3243, Kapitel</w:t>
      </w:r>
      <w:r w:rsidR="00210A1A" w:rsidRPr="00210A1A">
        <w:rPr>
          <w:b/>
        </w:rPr>
        <w:t xml:space="preserve"> </w:t>
      </w:r>
      <w:r w:rsidRPr="00210A1A">
        <w:rPr>
          <w:b/>
        </w:rPr>
        <w:t>III Nummer 1.1) und vom 27. Februar 2014 (BAnz AT 01.04.2014 B12, Kapitel VI 20. Mitteilung)</w:t>
      </w:r>
    </w:p>
    <w:p w:rsidR="00B47286" w:rsidRDefault="00B47286" w:rsidP="00B47286">
      <w:pPr>
        <w:pStyle w:val="GesAbsatz"/>
      </w:pPr>
      <w:r>
        <w:t xml:space="preserve">Die aktuelle Softwareversion der Messeinrichtung CO12M für CO der Firma </w:t>
      </w:r>
      <w:proofErr w:type="spellStart"/>
      <w:r>
        <w:t>Environnement</w:t>
      </w:r>
      <w:proofErr w:type="spellEnd"/>
      <w:r>
        <w:t xml:space="preserve"> S.A. lautet: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v1.0.d (Calculation Process)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v3.6.c (Display Process)</w:t>
      </w:r>
    </w:p>
    <w:p w:rsidR="00B47286" w:rsidRDefault="00B47286" w:rsidP="00B47286">
      <w:pPr>
        <w:pStyle w:val="GesAbsatz"/>
      </w:pPr>
      <w:r>
        <w:t>Die Messeinrichtung erhält zur Erweiterung der Kommunikationsmöglichkeiten eine USB-Schnittstelle und eine TCP/IP</w:t>
      </w:r>
      <w:r w:rsidR="00210A1A">
        <w:t>-</w:t>
      </w:r>
      <w:r>
        <w:t>Schnittstelle.</w:t>
      </w:r>
    </w:p>
    <w:p w:rsidR="00B47286" w:rsidRDefault="00B47286" w:rsidP="00B47286">
      <w:pPr>
        <w:pStyle w:val="GesAbsatz"/>
      </w:pPr>
      <w:r>
        <w:t xml:space="preserve">Der Filterradmotor vom Typ </w:t>
      </w:r>
      <w:proofErr w:type="spellStart"/>
      <w:r>
        <w:t>Maxon</w:t>
      </w:r>
      <w:proofErr w:type="spellEnd"/>
      <w:r>
        <w:t xml:space="preserve"> DC Type A-</w:t>
      </w:r>
      <w:proofErr w:type="spellStart"/>
      <w:r>
        <w:t>max</w:t>
      </w:r>
      <w:proofErr w:type="spellEnd"/>
      <w:r>
        <w:t xml:space="preserve"> 22 wurde ersetzt durch einen bürstenlosen Filterradm</w:t>
      </w:r>
      <w:r>
        <w:t>o</w:t>
      </w:r>
      <w:r>
        <w:t>tor vom Typ</w:t>
      </w:r>
      <w:r w:rsidR="00210A1A">
        <w:t xml:space="preserve"> </w:t>
      </w:r>
      <w:proofErr w:type="spellStart"/>
      <w:r>
        <w:t>Deltaline</w:t>
      </w:r>
      <w:proofErr w:type="spellEnd"/>
      <w:r>
        <w:t xml:space="preserve"> 26BC-6A-107.101.</w:t>
      </w:r>
    </w:p>
    <w:p w:rsidR="00B47286" w:rsidRDefault="00B47286" w:rsidP="00B47286">
      <w:pPr>
        <w:pStyle w:val="GesAbsatz"/>
      </w:pPr>
      <w:r>
        <w:t>Stellungnahme der TÜV Rheinland Energie und Umwelt GmbH vom 16.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49</w:t>
      </w:r>
      <w:r w:rsidR="00210A1A" w:rsidRPr="00210A1A">
        <w:rPr>
          <w:b/>
        </w:rPr>
        <w:tab/>
      </w:r>
      <w:r w:rsidRPr="00210A1A">
        <w:rPr>
          <w:b/>
        </w:rPr>
        <w:t>Mitteilung zu der Bekanntmachung des Umweltbundesamtes vom 27. Februar 2014 (BAnz AT 01.04.2014</w:t>
      </w:r>
      <w:r w:rsidR="00210A1A" w:rsidRPr="00210A1A">
        <w:rPr>
          <w:b/>
        </w:rPr>
        <w:t xml:space="preserve"> </w:t>
      </w:r>
      <w:r w:rsidRPr="00210A1A">
        <w:rPr>
          <w:b/>
        </w:rPr>
        <w:t>B12, Kapitel IV Nummer 4.2)</w:t>
      </w:r>
    </w:p>
    <w:p w:rsidR="00B47286" w:rsidRDefault="00B47286" w:rsidP="00B47286">
      <w:pPr>
        <w:pStyle w:val="GesAbsatz"/>
      </w:pPr>
      <w:r>
        <w:t>Die aktuelle Softwareversion der Messeinrichtung AS32M für NO</w:t>
      </w:r>
      <w:r w:rsidRPr="00210A1A">
        <w:rPr>
          <w:vertAlign w:val="subscript"/>
        </w:rPr>
        <w:t>2</w:t>
      </w:r>
      <w:r>
        <w:t xml:space="preserve"> der Firma </w:t>
      </w:r>
      <w:proofErr w:type="spellStart"/>
      <w:r>
        <w:t>Environnement</w:t>
      </w:r>
      <w:proofErr w:type="spellEnd"/>
      <w:r>
        <w:t xml:space="preserve"> S.A. lautet: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v1.05 (Calculation Process)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v3.6.h (Display Process)</w:t>
      </w:r>
    </w:p>
    <w:p w:rsidR="00B47286" w:rsidRDefault="00B47286" w:rsidP="00B47286">
      <w:pPr>
        <w:pStyle w:val="GesAbsatz"/>
      </w:pPr>
      <w:r>
        <w:t>Zur Erzielung einer erhöhten Dichtigkeit wurde der Durchmesser der Blende von 0,35 mm auf 0,36 mm g</w:t>
      </w:r>
      <w:r>
        <w:t>e</w:t>
      </w:r>
      <w:r>
        <w:t>ändert.</w:t>
      </w:r>
    </w:p>
    <w:p w:rsidR="00B47286" w:rsidRDefault="00B47286" w:rsidP="00B47286">
      <w:pPr>
        <w:pStyle w:val="GesAbsatz"/>
      </w:pPr>
      <w:r>
        <w:t>Stellungnahme der TÜV Rheinland Energie und Umwelt GmbH vom 14.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50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14. Februar 2008 (BAnz. S. 901, Kapitel</w:t>
      </w:r>
      <w:r w:rsidR="00210A1A" w:rsidRPr="00210A1A">
        <w:rPr>
          <w:b/>
        </w:rPr>
        <w:t xml:space="preserve"> </w:t>
      </w:r>
      <w:r w:rsidRPr="00210A1A">
        <w:rPr>
          <w:b/>
        </w:rPr>
        <w:t>III Nummer 1.1) und vom 27. Februar 2014 (BAnz AT 01.04.2014 B12, Kapitel VI 19. Mitteilung)</w:t>
      </w:r>
    </w:p>
    <w:p w:rsidR="00B47286" w:rsidRDefault="00B47286" w:rsidP="00B47286">
      <w:pPr>
        <w:pStyle w:val="GesAbsatz"/>
      </w:pPr>
      <w:r>
        <w:t>Die aktuelle Softwareversion der Messeinrichtung AF22M für SO</w:t>
      </w:r>
      <w:r w:rsidRPr="00210A1A">
        <w:rPr>
          <w:vertAlign w:val="subscript"/>
        </w:rPr>
        <w:t>2</w:t>
      </w:r>
      <w:r>
        <w:t xml:space="preserve"> der Firma </w:t>
      </w:r>
      <w:proofErr w:type="spellStart"/>
      <w:r>
        <w:t>Environnement</w:t>
      </w:r>
      <w:proofErr w:type="spellEnd"/>
      <w:r>
        <w:t xml:space="preserve"> S.A. lautet: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v1.0.4 (Calculation Process)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v3.6.f (Display Process)</w:t>
      </w:r>
    </w:p>
    <w:p w:rsidR="00B47286" w:rsidRDefault="00B47286" w:rsidP="00B47286">
      <w:pPr>
        <w:pStyle w:val="GesAbsatz"/>
      </w:pPr>
      <w:r>
        <w:t>Die Messeinrichtung erhält zur Erweiterung der Kommunikationsmöglichkeiten eine USB-Schnittstelle und eine TCP/IP</w:t>
      </w:r>
      <w:r w:rsidR="00210A1A">
        <w:t>-</w:t>
      </w:r>
      <w:r>
        <w:t>Schnittstelle.</w:t>
      </w:r>
    </w:p>
    <w:p w:rsidR="00B47286" w:rsidRDefault="00B47286" w:rsidP="00B47286">
      <w:pPr>
        <w:pStyle w:val="GesAbsatz"/>
      </w:pPr>
      <w:r>
        <w:t>Der Halter der UV-Lampe wurde um eine Schutzvorrichtung ergänzt.</w:t>
      </w:r>
    </w:p>
    <w:p w:rsidR="00B47286" w:rsidRDefault="00B47286" w:rsidP="00B47286">
      <w:pPr>
        <w:pStyle w:val="GesAbsatz"/>
      </w:pPr>
      <w:r>
        <w:t>Stellungnahme der TÜV Rheinland Energie und Umwelt GmbH vom 14. März 2015.</w:t>
      </w:r>
    </w:p>
    <w:p w:rsidR="00B47286" w:rsidRPr="00210A1A" w:rsidRDefault="00B47286" w:rsidP="00210A1A">
      <w:pPr>
        <w:pStyle w:val="GesAbsatz"/>
        <w:ind w:left="426" w:hanging="426"/>
        <w:rPr>
          <w:b/>
        </w:rPr>
      </w:pPr>
      <w:r w:rsidRPr="00210A1A">
        <w:rPr>
          <w:b/>
        </w:rPr>
        <w:t>51</w:t>
      </w:r>
      <w:r w:rsidR="00210A1A" w:rsidRPr="00210A1A">
        <w:rPr>
          <w:b/>
        </w:rPr>
        <w:tab/>
      </w:r>
      <w:r w:rsidRPr="00210A1A">
        <w:rPr>
          <w:b/>
        </w:rPr>
        <w:t>Mitteilung zu den Bekanntmachungen des Umweltbundesamtes vom 12. April 2007 (BAnz. S. 4139, Kapitel III</w:t>
      </w:r>
      <w:r w:rsidR="00210A1A" w:rsidRPr="00210A1A">
        <w:rPr>
          <w:b/>
        </w:rPr>
        <w:t xml:space="preserve"> </w:t>
      </w:r>
      <w:r w:rsidRPr="00210A1A">
        <w:rPr>
          <w:b/>
        </w:rPr>
        <w:t>Nummer 4.1) und vom 27. Februar 2014 (BAnz AT 01.04.2014 B12, Kapitel VI 18. Mitteilung)</w:t>
      </w:r>
    </w:p>
    <w:p w:rsidR="00B47286" w:rsidRDefault="00B47286" w:rsidP="00B47286">
      <w:pPr>
        <w:pStyle w:val="GesAbsatz"/>
      </w:pPr>
      <w:r>
        <w:t>Die aktuelle Softwareversion der Messeinrichtung AC32M für NO, NO</w:t>
      </w:r>
      <w:r w:rsidRPr="00A9120E">
        <w:rPr>
          <w:vertAlign w:val="subscript"/>
        </w:rPr>
        <w:t>2</w:t>
      </w:r>
      <w:r>
        <w:t xml:space="preserve"> und </w:t>
      </w:r>
      <w:proofErr w:type="spellStart"/>
      <w:r>
        <w:t>NO</w:t>
      </w:r>
      <w:r w:rsidRPr="00A9120E">
        <w:rPr>
          <w:vertAlign w:val="subscript"/>
        </w:rPr>
        <w:t>x</w:t>
      </w:r>
      <w:proofErr w:type="spellEnd"/>
      <w:r>
        <w:t xml:space="preserve"> der Firma </w:t>
      </w:r>
      <w:proofErr w:type="spellStart"/>
      <w:r>
        <w:t>Environnement</w:t>
      </w:r>
      <w:proofErr w:type="spellEnd"/>
      <w:r>
        <w:t xml:space="preserve"> S.A. lautet: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v1.02 (Calculation Process)</w:t>
      </w:r>
    </w:p>
    <w:p w:rsidR="00B47286" w:rsidRPr="007B0C37" w:rsidRDefault="00B47286" w:rsidP="00B47286">
      <w:pPr>
        <w:pStyle w:val="GesAbsatz"/>
        <w:rPr>
          <w:lang w:val="en-US"/>
        </w:rPr>
      </w:pPr>
      <w:r w:rsidRPr="007B0C37">
        <w:rPr>
          <w:lang w:val="en-US"/>
        </w:rPr>
        <w:t>v3.6.b (Display Process)</w:t>
      </w:r>
    </w:p>
    <w:p w:rsidR="00B47286" w:rsidRDefault="00B47286" w:rsidP="00B47286">
      <w:pPr>
        <w:pStyle w:val="GesAbsatz"/>
      </w:pPr>
      <w:r>
        <w:t>Die Messeinrichtung erhält zur Erweiterung der Kommunikationsmöglichkeiten eine USB-Schnittstelle und eine TCP/IP</w:t>
      </w:r>
      <w:r w:rsidR="00A9120E">
        <w:t>-</w:t>
      </w:r>
      <w:r>
        <w:t>Schnittstelle.</w:t>
      </w:r>
    </w:p>
    <w:p w:rsidR="00B47286" w:rsidRDefault="00B47286" w:rsidP="00B47286">
      <w:pPr>
        <w:pStyle w:val="GesAbsatz"/>
      </w:pPr>
      <w:r>
        <w:t>Der Ozongenerator wurde optimiert und trägt nun die Bezeichnung B01-5005-1.</w:t>
      </w:r>
    </w:p>
    <w:p w:rsidR="00B47286" w:rsidRDefault="00B47286" w:rsidP="00B47286">
      <w:pPr>
        <w:pStyle w:val="GesAbsatz"/>
      </w:pPr>
      <w:r>
        <w:t>Die Drucksensoren an der Messkammer bzw. im Probengas wurden jeweils durch einen Sensor vom Typ</w:t>
      </w:r>
      <w:r w:rsidR="00A9120E">
        <w:t xml:space="preserve"> </w:t>
      </w:r>
      <w:r>
        <w:t>C06-C5-0291-A ersetzt.</w:t>
      </w:r>
    </w:p>
    <w:p w:rsidR="00B47286" w:rsidRDefault="00B47286" w:rsidP="00B47286">
      <w:pPr>
        <w:pStyle w:val="GesAbsatz"/>
      </w:pPr>
      <w:r>
        <w:t>Die Hochspannungsversorgung wurde ersetzt durch den Typ PS1800N/12F.</w:t>
      </w:r>
    </w:p>
    <w:p w:rsidR="00B47286" w:rsidRDefault="00B47286" w:rsidP="00B47286">
      <w:pPr>
        <w:pStyle w:val="GesAbsatz"/>
      </w:pPr>
      <w:r>
        <w:t>Stellungnahme der TÜV Rheinland Energie und Umwelt GmbH vom 14. März 2015.</w:t>
      </w:r>
    </w:p>
    <w:p w:rsidR="00B47286" w:rsidRPr="00A9120E" w:rsidRDefault="00B47286" w:rsidP="00A9120E">
      <w:pPr>
        <w:pStyle w:val="GesAbsatz"/>
        <w:ind w:left="426" w:hanging="426"/>
        <w:rPr>
          <w:b/>
        </w:rPr>
      </w:pPr>
      <w:r w:rsidRPr="00A9120E">
        <w:rPr>
          <w:b/>
        </w:rPr>
        <w:t>52</w:t>
      </w:r>
      <w:r w:rsidR="00A9120E" w:rsidRPr="00A9120E">
        <w:rPr>
          <w:b/>
        </w:rPr>
        <w:tab/>
      </w:r>
      <w:r w:rsidRPr="00A9120E">
        <w:rPr>
          <w:b/>
        </w:rPr>
        <w:t>Mitteilung zu den Bekanntmachungen des Umweltbundesamtes vom 10. Januar 2011 (BAnz. S. 294, Kapitel</w:t>
      </w:r>
      <w:r w:rsidR="00A9120E" w:rsidRPr="00A9120E">
        <w:rPr>
          <w:b/>
        </w:rPr>
        <w:t xml:space="preserve"> </w:t>
      </w:r>
      <w:r w:rsidRPr="00A9120E">
        <w:rPr>
          <w:b/>
        </w:rPr>
        <w:t>III Nummer 3.1) und vom 23. Februar 2012 (BAnz. S. 920, Kapitel V, 13. und 21. Mitte</w:t>
      </w:r>
      <w:r w:rsidRPr="00A9120E">
        <w:rPr>
          <w:b/>
        </w:rPr>
        <w:t>i</w:t>
      </w:r>
      <w:r w:rsidRPr="00A9120E">
        <w:rPr>
          <w:b/>
        </w:rPr>
        <w:t>lung)</w:t>
      </w:r>
    </w:p>
    <w:p w:rsidR="00B47286" w:rsidRDefault="00B47286" w:rsidP="00B47286">
      <w:pPr>
        <w:pStyle w:val="GesAbsatz"/>
      </w:pPr>
      <w:r>
        <w:t xml:space="preserve">Die Messeinrichtung </w:t>
      </w:r>
      <w:proofErr w:type="spellStart"/>
      <w:r>
        <w:t>Gaschromatograph</w:t>
      </w:r>
      <w:proofErr w:type="spellEnd"/>
      <w:r>
        <w:t xml:space="preserve"> GC 5000 BTX Ausführung FID für Benzol der Firma AMA Instr</w:t>
      </w:r>
      <w:r>
        <w:t>u</w:t>
      </w:r>
      <w:r>
        <w:t>ments GmbH</w:t>
      </w:r>
      <w:r w:rsidR="00A9120E">
        <w:t xml:space="preserve"> </w:t>
      </w:r>
      <w:r>
        <w:t>wurde mit einer neuen Software ausgestattet. Die messwertrelevanten Softwaremodule sind nun:</w:t>
      </w:r>
    </w:p>
    <w:p w:rsidR="00B47286" w:rsidRDefault="00B47286" w:rsidP="00B47286">
      <w:pPr>
        <w:pStyle w:val="GesAbsatz"/>
      </w:pPr>
      <w:proofErr w:type="spellStart"/>
      <w:r>
        <w:t>SS.Control</w:t>
      </w:r>
      <w:proofErr w:type="spellEnd"/>
      <w:r>
        <w:t xml:space="preserve"> v.1.0 zur Steuerung des GC und</w:t>
      </w:r>
    </w:p>
    <w:p w:rsidR="00B47286" w:rsidRDefault="00B47286" w:rsidP="00B47286">
      <w:pPr>
        <w:pStyle w:val="GesAbsatz"/>
      </w:pPr>
      <w:r>
        <w:t xml:space="preserve">AMA_Peak.log v.1.0 zur </w:t>
      </w:r>
      <w:proofErr w:type="spellStart"/>
      <w:r>
        <w:t>Chromatogrammauswertung</w:t>
      </w:r>
      <w:proofErr w:type="spellEnd"/>
      <w:r>
        <w:t>.</w:t>
      </w:r>
    </w:p>
    <w:p w:rsidR="00B47286" w:rsidRDefault="00B47286" w:rsidP="00B47286">
      <w:pPr>
        <w:pStyle w:val="GesAbsatz"/>
      </w:pPr>
      <w:r>
        <w:t>Im Rahmen der Einführung der neuen Software wurden die folgenden Hardwareänderungen eingeführt:</w:t>
      </w:r>
    </w:p>
    <w:p w:rsidR="00B47286" w:rsidRDefault="00B47286" w:rsidP="00B47286">
      <w:pPr>
        <w:pStyle w:val="GesAbsatz"/>
      </w:pPr>
      <w:r>
        <w:t>–</w:t>
      </w:r>
      <w:r w:rsidR="00A9120E">
        <w:tab/>
      </w:r>
      <w:r>
        <w:t xml:space="preserve">Ersatz des Industrie-PC Motherboards NOVA-945GSE durch </w:t>
      </w:r>
      <w:proofErr w:type="spellStart"/>
      <w:r>
        <w:t>Perfectron</w:t>
      </w:r>
      <w:proofErr w:type="spellEnd"/>
      <w:r>
        <w:t xml:space="preserve"> INS8335A</w:t>
      </w:r>
    </w:p>
    <w:p w:rsidR="00B47286" w:rsidRDefault="00B47286" w:rsidP="00B47286">
      <w:pPr>
        <w:pStyle w:val="GesAbsatz"/>
      </w:pPr>
      <w:r>
        <w:t>–</w:t>
      </w:r>
      <w:r w:rsidR="00A9120E">
        <w:tab/>
      </w:r>
      <w:r>
        <w:t>Integration eines Touch Screen Panels anstelle des bisher verwendeten Displays bzw. Monitors</w:t>
      </w:r>
    </w:p>
    <w:p w:rsidR="00B47286" w:rsidRDefault="00B47286" w:rsidP="00B47286">
      <w:pPr>
        <w:pStyle w:val="GesAbsatz"/>
      </w:pPr>
      <w:r>
        <w:t>–</w:t>
      </w:r>
      <w:r w:rsidR="00A9120E">
        <w:tab/>
      </w:r>
      <w:r>
        <w:t>Umstieg von Windows XP auf Windows 7</w:t>
      </w:r>
    </w:p>
    <w:p w:rsidR="00B47286" w:rsidRDefault="00B47286" w:rsidP="00B47286">
      <w:pPr>
        <w:pStyle w:val="GesAbsatz"/>
      </w:pPr>
      <w:r>
        <w:t>Stellungnahme der TÜV Rheinland Energie und Umwelt GmbH vom 23. März 2015.</w:t>
      </w:r>
    </w:p>
    <w:p w:rsidR="00B47286" w:rsidRPr="00A9120E" w:rsidRDefault="00B47286" w:rsidP="00A9120E">
      <w:pPr>
        <w:pStyle w:val="GesAbsatz"/>
        <w:ind w:left="426" w:hanging="426"/>
        <w:rPr>
          <w:b/>
        </w:rPr>
      </w:pPr>
      <w:r w:rsidRPr="00A9120E">
        <w:rPr>
          <w:b/>
        </w:rPr>
        <w:t>53</w:t>
      </w:r>
      <w:r w:rsidR="00A9120E" w:rsidRPr="00A9120E">
        <w:rPr>
          <w:b/>
        </w:rPr>
        <w:tab/>
      </w:r>
      <w:r w:rsidRPr="00A9120E">
        <w:rPr>
          <w:b/>
        </w:rPr>
        <w:t>Mitteilung zu den Bekanntmachungen des Umweltbundesamtes vom 10. Januar 2011 (BAnz. S. 294, Kapitel</w:t>
      </w:r>
      <w:r w:rsidR="00A9120E" w:rsidRPr="00A9120E">
        <w:rPr>
          <w:b/>
        </w:rPr>
        <w:t xml:space="preserve"> </w:t>
      </w:r>
      <w:r w:rsidRPr="00A9120E">
        <w:rPr>
          <w:b/>
        </w:rPr>
        <w:t>III Nummer 1.1) und vom 23. Februar 2012 (BAnz. S. 920, Kapitel V 14. und 22. Mitte</w:t>
      </w:r>
      <w:r w:rsidRPr="00A9120E">
        <w:rPr>
          <w:b/>
        </w:rPr>
        <w:t>i</w:t>
      </w:r>
      <w:r w:rsidRPr="00A9120E">
        <w:rPr>
          <w:b/>
        </w:rPr>
        <w:t>lung)</w:t>
      </w:r>
    </w:p>
    <w:p w:rsidR="00B47286" w:rsidRDefault="00B47286" w:rsidP="00B47286">
      <w:pPr>
        <w:pStyle w:val="GesAbsatz"/>
      </w:pPr>
      <w:r>
        <w:t xml:space="preserve">Die Messeinrichtung </w:t>
      </w:r>
      <w:proofErr w:type="spellStart"/>
      <w:r>
        <w:t>Gaschromatograph</w:t>
      </w:r>
      <w:proofErr w:type="spellEnd"/>
      <w:r>
        <w:t xml:space="preserve"> GC 5000 BTX Ausführung PID für Benzol der Firma AMA Instr</w:t>
      </w:r>
      <w:r>
        <w:t>u</w:t>
      </w:r>
      <w:r>
        <w:t>ments GmbH</w:t>
      </w:r>
      <w:r w:rsidR="00AB6FBB">
        <w:t xml:space="preserve"> </w:t>
      </w:r>
      <w:r>
        <w:t>wurde mit einer neuen Software ausgestattet. Die messwertrelevanten Softwaremodule sind nun:</w:t>
      </w:r>
    </w:p>
    <w:p w:rsidR="00B47286" w:rsidRDefault="00B47286" w:rsidP="00B47286">
      <w:pPr>
        <w:pStyle w:val="GesAbsatz"/>
      </w:pPr>
      <w:proofErr w:type="spellStart"/>
      <w:r>
        <w:t>SS.Control</w:t>
      </w:r>
      <w:proofErr w:type="spellEnd"/>
      <w:r>
        <w:t xml:space="preserve"> v.1.0 zur Steuerung des GC und</w:t>
      </w:r>
    </w:p>
    <w:p w:rsidR="00B47286" w:rsidRDefault="00B47286" w:rsidP="00B47286">
      <w:pPr>
        <w:pStyle w:val="GesAbsatz"/>
      </w:pPr>
      <w:r>
        <w:t xml:space="preserve">AMA_Peak.log v.1.0 zur </w:t>
      </w:r>
      <w:proofErr w:type="spellStart"/>
      <w:r>
        <w:t>Chromatogrammauswertung</w:t>
      </w:r>
      <w:proofErr w:type="spellEnd"/>
      <w:r>
        <w:t>.</w:t>
      </w:r>
    </w:p>
    <w:p w:rsidR="00B47286" w:rsidRDefault="00B47286" w:rsidP="00B47286">
      <w:pPr>
        <w:pStyle w:val="GesAbsatz"/>
      </w:pPr>
      <w:r>
        <w:t>Im Rahmen der Einführung der neuen Software wurden die folgenden Hardwareänderungen eingeführt:</w:t>
      </w:r>
    </w:p>
    <w:p w:rsidR="00B47286" w:rsidRDefault="00B47286" w:rsidP="00B47286">
      <w:pPr>
        <w:pStyle w:val="GesAbsatz"/>
      </w:pPr>
      <w:r>
        <w:t>–</w:t>
      </w:r>
      <w:r w:rsidR="00A9120E">
        <w:tab/>
      </w:r>
      <w:r>
        <w:t xml:space="preserve">Ersatz des Industrie-PC Motherboards NOVA-945GSE durch </w:t>
      </w:r>
      <w:proofErr w:type="spellStart"/>
      <w:r>
        <w:t>Perfectron</w:t>
      </w:r>
      <w:proofErr w:type="spellEnd"/>
      <w:r>
        <w:t xml:space="preserve"> INS8335A</w:t>
      </w:r>
    </w:p>
    <w:p w:rsidR="00B47286" w:rsidRDefault="00B47286" w:rsidP="00B47286">
      <w:pPr>
        <w:pStyle w:val="GesAbsatz"/>
      </w:pPr>
      <w:r>
        <w:t>–</w:t>
      </w:r>
      <w:r w:rsidR="00A9120E">
        <w:tab/>
      </w:r>
      <w:r>
        <w:t>Integration eines Touch Screen Panels anstelle des bisher verwendeten Displays bzw. Monitors</w:t>
      </w:r>
    </w:p>
    <w:p w:rsidR="00B47286" w:rsidRDefault="00B47286" w:rsidP="00B47286">
      <w:pPr>
        <w:pStyle w:val="GesAbsatz"/>
      </w:pPr>
      <w:r>
        <w:t>–</w:t>
      </w:r>
      <w:r w:rsidR="00A9120E">
        <w:tab/>
      </w:r>
      <w:r>
        <w:t>Umstieg von Windows XP auf Windows 7</w:t>
      </w:r>
    </w:p>
    <w:p w:rsidR="00B47286" w:rsidRDefault="00B47286" w:rsidP="00B47286">
      <w:pPr>
        <w:pStyle w:val="GesAbsatz"/>
      </w:pPr>
      <w:r>
        <w:t>Stellungnahme der TÜV Rheinland Energie und Umwelt GmbH vom 23. März 2015.</w:t>
      </w:r>
    </w:p>
    <w:sectPr w:rsidR="00B47286"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B1" w:rsidRDefault="00D60AB1">
      <w:r>
        <w:separator/>
      </w:r>
    </w:p>
  </w:endnote>
  <w:endnote w:type="continuationSeparator" w:id="0">
    <w:p w:rsidR="00D60AB1" w:rsidRDefault="00D6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1" w:rsidRDefault="00D60AB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60AB1" w:rsidRDefault="00D60AB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1" w:rsidRDefault="00D60AB1" w:rsidP="003B2970">
    <w:pPr>
      <w:pStyle w:val="Fuzeile"/>
      <w:tabs>
        <w:tab w:val="clear" w:pos="9639"/>
        <w:tab w:val="right" w:pos="9638"/>
      </w:tabs>
      <w:ind w:right="-1"/>
    </w:pPr>
    <w:r>
      <w:tab/>
      <w:t>Stand 22.07.2015 (</w:t>
    </w:r>
    <w:r w:rsidRPr="00692F93">
      <w:t>BAnz AT 26.08.2015 B4</w:t>
    </w:r>
    <w:r>
      <w:t>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B90F66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B1" w:rsidRDefault="00D60AB1">
      <w:r>
        <w:separator/>
      </w:r>
    </w:p>
  </w:footnote>
  <w:footnote w:type="continuationSeparator" w:id="0">
    <w:p w:rsidR="00D60AB1" w:rsidRDefault="00D6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B1" w:rsidRDefault="00D60AB1" w:rsidP="00A20CEE">
    <w:pPr>
      <w:pStyle w:val="Kopfzeile0"/>
    </w:pPr>
    <w:r>
      <w:t>61.4-68</w:t>
    </w:r>
  </w:p>
  <w:p w:rsidR="00D60AB1" w:rsidRDefault="00D60AB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8AA8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C2A2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AC6D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4BCD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532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6"/>
    <w:rsid w:val="0000140A"/>
    <w:rsid w:val="0001451A"/>
    <w:rsid w:val="00057D94"/>
    <w:rsid w:val="00074BF7"/>
    <w:rsid w:val="00077EF0"/>
    <w:rsid w:val="00093D90"/>
    <w:rsid w:val="000B208E"/>
    <w:rsid w:val="000B6EC6"/>
    <w:rsid w:val="000C491D"/>
    <w:rsid w:val="00150B0A"/>
    <w:rsid w:val="001715DF"/>
    <w:rsid w:val="001C1083"/>
    <w:rsid w:val="001C2BEA"/>
    <w:rsid w:val="001F5C23"/>
    <w:rsid w:val="00210A1A"/>
    <w:rsid w:val="002273BA"/>
    <w:rsid w:val="00232EC6"/>
    <w:rsid w:val="00243AFC"/>
    <w:rsid w:val="00264FAA"/>
    <w:rsid w:val="002A388C"/>
    <w:rsid w:val="002A7983"/>
    <w:rsid w:val="002B3267"/>
    <w:rsid w:val="002D5542"/>
    <w:rsid w:val="003114DF"/>
    <w:rsid w:val="00313F0C"/>
    <w:rsid w:val="003A1C1C"/>
    <w:rsid w:val="003A6E25"/>
    <w:rsid w:val="003B24A9"/>
    <w:rsid w:val="003B2970"/>
    <w:rsid w:val="003D7A67"/>
    <w:rsid w:val="00402CB3"/>
    <w:rsid w:val="00404262"/>
    <w:rsid w:val="00406F32"/>
    <w:rsid w:val="00412824"/>
    <w:rsid w:val="00463CA4"/>
    <w:rsid w:val="00463F31"/>
    <w:rsid w:val="004964D0"/>
    <w:rsid w:val="004D17B4"/>
    <w:rsid w:val="004F2A9F"/>
    <w:rsid w:val="00557465"/>
    <w:rsid w:val="005B3E8A"/>
    <w:rsid w:val="005F594C"/>
    <w:rsid w:val="006242A7"/>
    <w:rsid w:val="00632C0D"/>
    <w:rsid w:val="00634585"/>
    <w:rsid w:val="0063668C"/>
    <w:rsid w:val="00637B1E"/>
    <w:rsid w:val="00666321"/>
    <w:rsid w:val="00692F93"/>
    <w:rsid w:val="00697151"/>
    <w:rsid w:val="006A6EC8"/>
    <w:rsid w:val="006D0AB0"/>
    <w:rsid w:val="006D642D"/>
    <w:rsid w:val="006F7DCB"/>
    <w:rsid w:val="00765D7D"/>
    <w:rsid w:val="00782347"/>
    <w:rsid w:val="007B0C37"/>
    <w:rsid w:val="007C6D31"/>
    <w:rsid w:val="007F5C17"/>
    <w:rsid w:val="007F7B74"/>
    <w:rsid w:val="00823D13"/>
    <w:rsid w:val="008B789C"/>
    <w:rsid w:val="008D6200"/>
    <w:rsid w:val="00946086"/>
    <w:rsid w:val="00950A00"/>
    <w:rsid w:val="00963345"/>
    <w:rsid w:val="0098598C"/>
    <w:rsid w:val="009D4CF5"/>
    <w:rsid w:val="00A20CEE"/>
    <w:rsid w:val="00A42271"/>
    <w:rsid w:val="00A9120E"/>
    <w:rsid w:val="00A91F16"/>
    <w:rsid w:val="00A95D02"/>
    <w:rsid w:val="00AB20F7"/>
    <w:rsid w:val="00AB6FBB"/>
    <w:rsid w:val="00B03573"/>
    <w:rsid w:val="00B06066"/>
    <w:rsid w:val="00B22FE1"/>
    <w:rsid w:val="00B403D8"/>
    <w:rsid w:val="00B466D3"/>
    <w:rsid w:val="00B47286"/>
    <w:rsid w:val="00B619EE"/>
    <w:rsid w:val="00B90F66"/>
    <w:rsid w:val="00BE469B"/>
    <w:rsid w:val="00C0454E"/>
    <w:rsid w:val="00C2773D"/>
    <w:rsid w:val="00C7480B"/>
    <w:rsid w:val="00C74F5A"/>
    <w:rsid w:val="00CA0534"/>
    <w:rsid w:val="00CA565E"/>
    <w:rsid w:val="00D27B7B"/>
    <w:rsid w:val="00D32917"/>
    <w:rsid w:val="00D35FD5"/>
    <w:rsid w:val="00D40E42"/>
    <w:rsid w:val="00D60AB1"/>
    <w:rsid w:val="00D750EF"/>
    <w:rsid w:val="00D86C52"/>
    <w:rsid w:val="00D96462"/>
    <w:rsid w:val="00DB2935"/>
    <w:rsid w:val="00DC1020"/>
    <w:rsid w:val="00DF7CD3"/>
    <w:rsid w:val="00E03BB2"/>
    <w:rsid w:val="00E11BF0"/>
    <w:rsid w:val="00E46F80"/>
    <w:rsid w:val="00E72535"/>
    <w:rsid w:val="00E751D6"/>
    <w:rsid w:val="00EB5006"/>
    <w:rsid w:val="00EC637D"/>
    <w:rsid w:val="00ED3A60"/>
    <w:rsid w:val="00F200FB"/>
    <w:rsid w:val="00F434E0"/>
    <w:rsid w:val="00F61E0B"/>
    <w:rsid w:val="00F762F4"/>
    <w:rsid w:val="00F86F83"/>
    <w:rsid w:val="00FA4DC2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23D13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A91F16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ED3A6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ED3A6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ED3A6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ED3A6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A20CEE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666321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404262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823D13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2A388C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782347"/>
    <w:pPr>
      <w:spacing w:before="0" w:after="0"/>
      <w:jc w:val="right"/>
    </w:pPr>
    <w:rPr>
      <w:b/>
      <w:sz w:val="24"/>
    </w:rPr>
  </w:style>
  <w:style w:type="table" w:styleId="Tabellenraster">
    <w:name w:val="Table Grid"/>
    <w:basedOn w:val="NormaleTabelle"/>
    <w:rsid w:val="0069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23D13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A91F16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ED3A6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ED3A6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ED3A6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ED3A6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A20CEE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666321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404262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823D13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2A388C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782347"/>
    <w:pPr>
      <w:spacing w:before="0" w:after="0"/>
      <w:jc w:val="right"/>
    </w:pPr>
    <w:rPr>
      <w:b/>
      <w:sz w:val="24"/>
    </w:rPr>
  </w:style>
  <w:style w:type="table" w:styleId="Tabellenraster">
    <w:name w:val="Table Grid"/>
    <w:basedOn w:val="NormaleTabelle"/>
    <w:rsid w:val="0069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natrop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DC05-BA3E-4F2B-9375-5E62DB38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23</Pages>
  <Words>8278</Words>
  <Characters>48630</Characters>
  <Application>Microsoft Office Word</Application>
  <DocSecurity>0</DocSecurity>
  <Lines>405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 NRW</Company>
  <LinksUpToDate>false</LinksUpToDate>
  <CharactersWithSpaces>56795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natrop</dc:creator>
  <cp:lastModifiedBy>natrop</cp:lastModifiedBy>
  <cp:revision>3</cp:revision>
  <cp:lastPrinted>2004-12-14T12:08:00Z</cp:lastPrinted>
  <dcterms:created xsi:type="dcterms:W3CDTF">2015-10-06T06:13:00Z</dcterms:created>
  <dcterms:modified xsi:type="dcterms:W3CDTF">2015-10-06T06:20:00Z</dcterms:modified>
</cp:coreProperties>
</file>