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5856994"/>
      <w:bookmarkStart w:id="1" w:name="_GoBack"/>
      <w:bookmarkEnd w:id="1"/>
      <w:r>
        <w:t>Bekanntmachung</w:t>
      </w:r>
      <w:r>
        <w:br/>
        <w:t>über die bundeseinheitliche Praxis</w:t>
      </w:r>
      <w:r>
        <w:br/>
        <w:t>bei der Überwachung der Emissionen und der Immissionen</w:t>
      </w:r>
      <w:bookmarkEnd w:id="0"/>
    </w:p>
    <w:p>
      <w:pPr>
        <w:pStyle w:val="GesAbsatz"/>
        <w:jc w:val="center"/>
      </w:pPr>
      <w:r>
        <w:t>vom 27. Februar 2014</w:t>
      </w:r>
    </w:p>
    <w:p>
      <w:pPr>
        <w:pStyle w:val="GesAbsatz"/>
      </w:pP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395856994" w:history="1">
        <w:r>
          <w:rPr>
            <w:rStyle w:val="Hyperlink"/>
            <w:noProof/>
          </w:rPr>
          <w:t>Bekanntmachung über die bundeseinheitliche Praxis bei der Überwachung der Emissionen und der Immissionen</w:t>
        </w:r>
        <w:r>
          <w:rPr>
            <w:noProof/>
            <w:webHidden/>
          </w:rPr>
          <w:tab/>
        </w:r>
        <w:r>
          <w:rPr>
            <w:noProof/>
            <w:webHidden/>
          </w:rPr>
          <w:fldChar w:fldCharType="begin"/>
        </w:r>
        <w:r>
          <w:rPr>
            <w:noProof/>
            <w:webHidden/>
          </w:rPr>
          <w:instrText xml:space="preserve"> PAGEREF _Toc395856994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856995" w:history="1">
        <w:r>
          <w:rPr>
            <w:rStyle w:val="Hyperlink"/>
            <w:noProof/>
          </w:rPr>
          <w:t>I. Eignung von Messeinrichtungen zur kontinuierlichen Überwachung von Emissionen</w:t>
        </w:r>
        <w:r>
          <w:rPr>
            <w:noProof/>
            <w:webHidden/>
          </w:rPr>
          <w:tab/>
        </w:r>
        <w:r>
          <w:rPr>
            <w:noProof/>
            <w:webHidden/>
          </w:rPr>
          <w:fldChar w:fldCharType="begin"/>
        </w:r>
        <w:r>
          <w:rPr>
            <w:noProof/>
            <w:webHidden/>
          </w:rPr>
          <w:instrText xml:space="preserve"> PAGEREF _Toc395856995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856996" w:history="1">
        <w:r>
          <w:rPr>
            <w:rStyle w:val="Hyperlink"/>
            <w:noProof/>
          </w:rPr>
          <w:t>II. Eignung für Messeinrichtungen zur kontinuierlichen Messung von Bezugsgrößen/Betriebsgrößen</w:t>
        </w:r>
        <w:r>
          <w:rPr>
            <w:noProof/>
            <w:webHidden/>
          </w:rPr>
          <w:tab/>
        </w:r>
        <w:r>
          <w:rPr>
            <w:noProof/>
            <w:webHidden/>
          </w:rPr>
          <w:fldChar w:fldCharType="begin"/>
        </w:r>
        <w:r>
          <w:rPr>
            <w:noProof/>
            <w:webHidden/>
          </w:rPr>
          <w:instrText xml:space="preserve"> PAGEREF _Toc395856996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856997" w:history="1">
        <w:r>
          <w:rPr>
            <w:rStyle w:val="Hyperlink"/>
            <w:noProof/>
          </w:rPr>
          <w:t>III. Eignung von Messeinrichtungen zur Langzeitprobenahme</w:t>
        </w:r>
        <w:r>
          <w:rPr>
            <w:noProof/>
            <w:webHidden/>
          </w:rPr>
          <w:tab/>
        </w:r>
        <w:r>
          <w:rPr>
            <w:noProof/>
            <w:webHidden/>
          </w:rPr>
          <w:fldChar w:fldCharType="begin"/>
        </w:r>
        <w:r>
          <w:rPr>
            <w:noProof/>
            <w:webHidden/>
          </w:rPr>
          <w:instrText xml:space="preserve"> PAGEREF _Toc395856997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856998" w:history="1">
        <w:r>
          <w:rPr>
            <w:rStyle w:val="Hyperlink"/>
            <w:noProof/>
          </w:rPr>
          <w:t>IV. Eignung von Messeinrichtungen zur kontinuierlichen Überwachung von Immissionen</w:t>
        </w:r>
        <w:r>
          <w:rPr>
            <w:noProof/>
            <w:webHidden/>
          </w:rPr>
          <w:tab/>
        </w:r>
        <w:r>
          <w:rPr>
            <w:noProof/>
            <w:webHidden/>
          </w:rPr>
          <w:fldChar w:fldCharType="begin"/>
        </w:r>
        <w:r>
          <w:rPr>
            <w:noProof/>
            <w:webHidden/>
          </w:rPr>
          <w:instrText xml:space="preserve"> PAGEREF _Toc395856998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856999" w:history="1">
        <w:r>
          <w:rPr>
            <w:rStyle w:val="Hyperlink"/>
            <w:noProof/>
          </w:rPr>
          <w:t>V. Berichtigung zur Bundeseinheitlichen Praxis bei der Überwachung von Emissionen und Immissionen</w:t>
        </w:r>
        <w:r>
          <w:rPr>
            <w:noProof/>
            <w:webHidden/>
          </w:rPr>
          <w:tab/>
        </w:r>
        <w:r>
          <w:rPr>
            <w:noProof/>
            <w:webHidden/>
          </w:rPr>
          <w:fldChar w:fldCharType="begin"/>
        </w:r>
        <w:r>
          <w:rPr>
            <w:noProof/>
            <w:webHidden/>
          </w:rPr>
          <w:instrText xml:space="preserve"> PAGEREF _Toc395856999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857000" w:history="1">
        <w:r>
          <w:rPr>
            <w:rStyle w:val="Hyperlink"/>
            <w:noProof/>
          </w:rPr>
          <w:t>VI. Mitteilungen zur Bundeseinheitlichen Praxis bei der Überwachung von Emissionen und Immissionen</w:t>
        </w:r>
        <w:r>
          <w:rPr>
            <w:noProof/>
            <w:webHidden/>
          </w:rPr>
          <w:tab/>
        </w:r>
        <w:r>
          <w:rPr>
            <w:noProof/>
            <w:webHidden/>
          </w:rPr>
          <w:fldChar w:fldCharType="begin"/>
        </w:r>
        <w:r>
          <w:rPr>
            <w:noProof/>
            <w:webHidden/>
          </w:rPr>
          <w:instrText xml:space="preserve"> PAGEREF _Toc395857000 \h </w:instrText>
        </w:r>
        <w:r>
          <w:rPr>
            <w:noProof/>
            <w:webHidden/>
          </w:rPr>
        </w:r>
        <w:r>
          <w:rPr>
            <w:noProof/>
            <w:webHidden/>
          </w:rPr>
          <w:fldChar w:fldCharType="separate"/>
        </w:r>
        <w:r>
          <w:rPr>
            <w:noProof/>
            <w:webHidden/>
          </w:rPr>
          <w:t>19</w:t>
        </w:r>
        <w:r>
          <w:rPr>
            <w:noProof/>
            <w:webHidden/>
          </w:rPr>
          <w:fldChar w:fldCharType="end"/>
        </w:r>
      </w:hyperlink>
    </w:p>
    <w:p>
      <w:pPr>
        <w:pStyle w:val="GesAbsatz"/>
      </w:pPr>
      <w:r>
        <w:rPr>
          <w:rFonts w:ascii="Times New Roman" w:hAnsi="Times New Roman"/>
          <w:b/>
          <w:caps/>
          <w:color w:val="auto"/>
        </w:rPr>
        <w:fldChar w:fldCharType="end"/>
      </w:r>
    </w:p>
    <w:p>
      <w:pPr>
        <w:pStyle w:val="berschrift2"/>
      </w:pPr>
      <w:bookmarkStart w:id="2" w:name="_Toc395856995"/>
      <w:r>
        <w:t>I.</w:t>
      </w:r>
      <w:r>
        <w:br/>
        <w:t>Eignung von Messeinrichtungen zur</w:t>
      </w:r>
      <w:r>
        <w:br/>
        <w:t>kontinuierlichen Überwachung von Emissionen</w:t>
      </w:r>
      <w:bookmarkEnd w:id="2"/>
    </w:p>
    <w:p>
      <w:pPr>
        <w:pStyle w:val="GesAbsatz"/>
      </w:pPr>
      <w:r>
        <w:t>Unter Bezugnahme auf Nummer 3 der Richtlinie über die Bundeseinheitliche Praxis bei der Überwachung der Emissionen – Rundschreiben des Bundesministeriums für Umwelt, Naturschutz und Reaktorsicherheit (BMU) - IG I 2 - 45053/5 (GMBl 2005, S. 795), zuletzt geändert am 4. August 2010 (GMBl 2010, S. 1172) – wird im Auftrag des BMU die Eignung der folgenden Messeinrichtungen bekannt gegeben:</w:t>
      </w:r>
    </w:p>
    <w:p>
      <w:pPr>
        <w:pStyle w:val="GesAbsatz"/>
        <w:rPr>
          <w:b/>
        </w:rPr>
      </w:pPr>
      <w:r>
        <w:rPr>
          <w:b/>
        </w:rPr>
        <w:t>1</w:t>
      </w:r>
      <w:r>
        <w:rPr>
          <w:b/>
        </w:rPr>
        <w:tab/>
        <w:t>Staub</w:t>
      </w:r>
    </w:p>
    <w:p>
      <w:pPr>
        <w:pStyle w:val="GesAbsatz"/>
        <w:rPr>
          <w:b/>
        </w:rPr>
      </w:pPr>
      <w:r>
        <w:rPr>
          <w:b/>
        </w:rPr>
        <w:t>1.1</w:t>
      </w:r>
      <w:r>
        <w:rPr>
          <w:b/>
        </w:rPr>
        <w:tab/>
        <w:t>OPASTOP GP4000H für Staub</w:t>
      </w:r>
    </w:p>
    <w:p>
      <w:pPr>
        <w:pStyle w:val="GesAbsatz"/>
      </w:pPr>
      <w:r>
        <w:t>Hersteller:</w:t>
      </w:r>
    </w:p>
    <w:p>
      <w:pPr>
        <w:pStyle w:val="GesAbsatz"/>
      </w:pPr>
      <w:r>
        <w:t>FIVES PILLARD, Marseille, Frankreich</w:t>
      </w:r>
    </w:p>
    <w:p>
      <w:pPr>
        <w:pStyle w:val="GesAbsatz"/>
      </w:pPr>
      <w:r>
        <w:t>Eignung:</w:t>
      </w:r>
    </w:p>
    <w:p>
      <w:pPr>
        <w:pStyle w:val="GesAbsatz"/>
      </w:pPr>
      <w:r>
        <w:t>Für Anlagen der 13. BImSchV, der TA-Luft sowie für Anlagen der 27. BImSchV</w:t>
      </w:r>
    </w:p>
    <w:p>
      <w:pPr>
        <w:pStyle w:val="GesAbsatz"/>
      </w:pPr>
      <w:r>
        <w:t>Messbereiche in der Eignungsprüfung:</w:t>
      </w:r>
    </w:p>
    <w:tbl>
      <w:tblPr>
        <w:tblStyle w:val="Tabellenraster"/>
        <w:tblW w:w="0" w:type="auto"/>
        <w:tblLook w:val="04A0" w:firstRow="1" w:lastRow="0" w:firstColumn="1" w:lastColumn="0" w:noHBand="0" w:noVBand="1"/>
      </w:tblPr>
      <w:tblGrid>
        <w:gridCol w:w="3089"/>
        <w:gridCol w:w="4032"/>
        <w:gridCol w:w="2436"/>
      </w:tblGrid>
      <w:tr>
        <w:tc>
          <w:tcPr>
            <w:tcW w:w="3089" w:type="dxa"/>
          </w:tcPr>
          <w:p>
            <w:pPr>
              <w:pStyle w:val="GesAbsatz"/>
              <w:tabs>
                <w:tab w:val="clear" w:pos="425"/>
              </w:tabs>
              <w:jc w:val="center"/>
            </w:pPr>
            <w:r>
              <w:t>Komponente</w:t>
            </w:r>
          </w:p>
        </w:tc>
        <w:tc>
          <w:tcPr>
            <w:tcW w:w="4032" w:type="dxa"/>
          </w:tcPr>
          <w:p>
            <w:pPr>
              <w:pStyle w:val="GesAbsatz"/>
              <w:tabs>
                <w:tab w:val="clear" w:pos="425"/>
              </w:tabs>
              <w:jc w:val="center"/>
            </w:pPr>
            <w:r>
              <w:t>Zertifizierungsbereich</w:t>
            </w:r>
          </w:p>
        </w:tc>
        <w:tc>
          <w:tcPr>
            <w:tcW w:w="2436" w:type="dxa"/>
          </w:tcPr>
          <w:p>
            <w:pPr>
              <w:pStyle w:val="GesAbsatz"/>
              <w:tabs>
                <w:tab w:val="clear" w:pos="425"/>
              </w:tabs>
              <w:jc w:val="center"/>
            </w:pPr>
            <w:r>
              <w:t>Einheit</w:t>
            </w:r>
          </w:p>
        </w:tc>
      </w:tr>
      <w:tr>
        <w:tc>
          <w:tcPr>
            <w:tcW w:w="3089" w:type="dxa"/>
          </w:tcPr>
          <w:p>
            <w:pPr>
              <w:pStyle w:val="GesAbsatz"/>
              <w:tabs>
                <w:tab w:val="clear" w:pos="425"/>
              </w:tabs>
            </w:pPr>
            <w:r>
              <w:t>Staub</w:t>
            </w:r>
          </w:p>
        </w:tc>
        <w:tc>
          <w:tcPr>
            <w:tcW w:w="4032" w:type="dxa"/>
          </w:tcPr>
          <w:p>
            <w:pPr>
              <w:pStyle w:val="GesAbsatz"/>
              <w:tabs>
                <w:tab w:val="clear" w:pos="425"/>
              </w:tabs>
              <w:jc w:val="center"/>
            </w:pPr>
            <w:r>
              <w:t>0 – 20</w:t>
            </w:r>
          </w:p>
        </w:tc>
        <w:tc>
          <w:tcPr>
            <w:tcW w:w="2436" w:type="dxa"/>
          </w:tcPr>
          <w:p>
            <w:pPr>
              <w:pStyle w:val="GesAbsatz"/>
              <w:tabs>
                <w:tab w:val="clear" w:pos="425"/>
              </w:tabs>
              <w:jc w:val="center"/>
            </w:pPr>
            <w:r>
              <w:t>mg/m³</w:t>
            </w:r>
          </w:p>
        </w:tc>
      </w:tr>
    </w:tbl>
    <w:p/>
    <w:tbl>
      <w:tblPr>
        <w:tblStyle w:val="Tabellenraster"/>
        <w:tblW w:w="9540" w:type="dxa"/>
        <w:tblInd w:w="32" w:type="dxa"/>
        <w:tblLook w:val="04A0" w:firstRow="1" w:lastRow="0" w:firstColumn="1" w:lastColumn="0" w:noHBand="0" w:noVBand="1"/>
      </w:tblPr>
      <w:tblGrid>
        <w:gridCol w:w="3053"/>
        <w:gridCol w:w="2126"/>
        <w:gridCol w:w="1910"/>
        <w:gridCol w:w="2451"/>
      </w:tblGrid>
      <w:tr>
        <w:tc>
          <w:tcPr>
            <w:tcW w:w="3053" w:type="dxa"/>
          </w:tcPr>
          <w:p>
            <w:pPr>
              <w:pStyle w:val="GesAbsatz"/>
              <w:tabs>
                <w:tab w:val="clear" w:pos="425"/>
              </w:tabs>
              <w:jc w:val="center"/>
            </w:pPr>
            <w:r>
              <w:t>Komponente</w:t>
            </w:r>
          </w:p>
        </w:tc>
        <w:tc>
          <w:tcPr>
            <w:tcW w:w="4036" w:type="dxa"/>
            <w:gridSpan w:val="2"/>
          </w:tcPr>
          <w:p>
            <w:pPr>
              <w:pStyle w:val="GesAbsatz"/>
              <w:tabs>
                <w:tab w:val="clear" w:pos="425"/>
              </w:tabs>
              <w:jc w:val="center"/>
            </w:pPr>
            <w:r>
              <w:t>zusätzliche Messbereiche</w:t>
            </w:r>
          </w:p>
        </w:tc>
        <w:tc>
          <w:tcPr>
            <w:tcW w:w="2451" w:type="dxa"/>
          </w:tcPr>
          <w:p>
            <w:pPr>
              <w:pStyle w:val="GesAbsatz"/>
              <w:tabs>
                <w:tab w:val="clear" w:pos="425"/>
              </w:tabs>
              <w:jc w:val="center"/>
            </w:pPr>
            <w:r>
              <w:t>Einheit</w:t>
            </w:r>
          </w:p>
        </w:tc>
      </w:tr>
      <w:tr>
        <w:tc>
          <w:tcPr>
            <w:tcW w:w="3053" w:type="dxa"/>
          </w:tcPr>
          <w:p>
            <w:pPr>
              <w:pStyle w:val="GesAbsatz"/>
              <w:tabs>
                <w:tab w:val="clear" w:pos="425"/>
              </w:tabs>
            </w:pPr>
            <w:r>
              <w:t>Staub</w:t>
            </w:r>
          </w:p>
        </w:tc>
        <w:tc>
          <w:tcPr>
            <w:tcW w:w="2126" w:type="dxa"/>
          </w:tcPr>
          <w:p>
            <w:pPr>
              <w:pStyle w:val="GesAbsatz"/>
              <w:tabs>
                <w:tab w:val="clear" w:pos="425"/>
              </w:tabs>
              <w:jc w:val="center"/>
            </w:pPr>
            <w:r>
              <w:t>0 – 15</w:t>
            </w:r>
            <w:r>
              <w:rPr>
                <w:vertAlign w:val="superscript"/>
              </w:rPr>
              <w:t>1</w:t>
            </w:r>
          </w:p>
        </w:tc>
        <w:tc>
          <w:tcPr>
            <w:tcW w:w="1910" w:type="dxa"/>
          </w:tcPr>
          <w:p>
            <w:pPr>
              <w:pStyle w:val="GesAbsatz"/>
              <w:tabs>
                <w:tab w:val="clear" w:pos="425"/>
              </w:tabs>
              <w:jc w:val="center"/>
            </w:pPr>
            <w:r>
              <w:t>0 – 100</w:t>
            </w:r>
            <w:r>
              <w:rPr>
                <w:vertAlign w:val="superscript"/>
              </w:rPr>
              <w:t>2</w:t>
            </w:r>
          </w:p>
        </w:tc>
        <w:tc>
          <w:tcPr>
            <w:tcW w:w="2451" w:type="dxa"/>
          </w:tcPr>
          <w:p>
            <w:pPr>
              <w:pStyle w:val="GesAbsatz"/>
              <w:tabs>
                <w:tab w:val="clear" w:pos="425"/>
              </w:tabs>
              <w:jc w:val="center"/>
            </w:pPr>
            <w:r>
              <w:t>SE</w:t>
            </w:r>
          </w:p>
        </w:tc>
      </w:tr>
    </w:tbl>
    <w:p>
      <w:pPr>
        <w:pStyle w:val="GesAbsatz"/>
      </w:pPr>
      <w:r>
        <w:rPr>
          <w:vertAlign w:val="superscript"/>
        </w:rPr>
        <w:t>1</w:t>
      </w:r>
      <w:r>
        <w:t xml:space="preserve"> entspricht ca. 0 bis 9 mg/m³ Staub</w:t>
      </w:r>
    </w:p>
    <w:p>
      <w:pPr>
        <w:pStyle w:val="GesAbsatz"/>
      </w:pPr>
      <w:r>
        <w:rPr>
          <w:vertAlign w:val="superscript"/>
        </w:rPr>
        <w:t>2</w:t>
      </w:r>
      <w:r>
        <w:t xml:space="preserve"> entspricht ca. 0 bis 60 mg/m³ Staub</w:t>
      </w:r>
    </w:p>
    <w:p>
      <w:pPr>
        <w:pStyle w:val="GesAbsatz"/>
      </w:pPr>
      <w:r>
        <w:t>Softwareversion: V1.3</w:t>
      </w:r>
    </w:p>
    <w:p>
      <w:pPr>
        <w:pStyle w:val="GesAbsatz"/>
      </w:pPr>
      <w:r>
        <w:t>Einschränkungen:</w:t>
      </w:r>
    </w:p>
    <w:p>
      <w:pPr>
        <w:pStyle w:val="GesAbsatz"/>
      </w:pPr>
      <w:r>
        <w:t>Keine</w:t>
      </w:r>
    </w:p>
    <w:p>
      <w:pPr>
        <w:pStyle w:val="GesAbsatz"/>
      </w:pPr>
      <w:r>
        <w:t>Hinweise:</w:t>
      </w:r>
    </w:p>
    <w:p>
      <w:pPr>
        <w:pStyle w:val="GesAbsatz"/>
      </w:pPr>
      <w:r>
        <w:t>1.</w:t>
      </w:r>
      <w:r>
        <w:tab/>
        <w:t>Das Wartungsintervall beträgt zwei Wochen.</w:t>
      </w:r>
    </w:p>
    <w:p>
      <w:pPr>
        <w:pStyle w:val="GesAbsatz"/>
        <w:ind w:left="426" w:hanging="426"/>
      </w:pPr>
      <w:r>
        <w:t>2.</w:t>
      </w:r>
      <w:r>
        <w:tab/>
        <w:t>Die Anforderung bei der Eignungsprüfung nach DIN EN 15267-3 an den Korrelationskoeffizienten R2 der Kalibrierfunktion wurde nicht erfüllt.</w:t>
      </w:r>
    </w:p>
    <w:p>
      <w:pPr>
        <w:pStyle w:val="GesAbsatz"/>
      </w:pPr>
      <w:r>
        <w:t>Prüfbericht: TÜV Rheinland Energie und Umwelt GmbH, Köln</w:t>
      </w:r>
    </w:p>
    <w:p>
      <w:pPr>
        <w:pStyle w:val="GesAbsatz"/>
      </w:pPr>
      <w:r>
        <w:lastRenderedPageBreak/>
        <w:t>Bericht-Nr.: 936/21217455/A vom 10. September 2013</w:t>
      </w:r>
    </w:p>
    <w:p>
      <w:pPr>
        <w:pStyle w:val="GesAbsatz"/>
        <w:rPr>
          <w:b/>
        </w:rPr>
      </w:pPr>
      <w:r>
        <w:rPr>
          <w:b/>
        </w:rPr>
        <w:t>1.2</w:t>
      </w:r>
      <w:r>
        <w:rPr>
          <w:b/>
        </w:rPr>
        <w:tab/>
        <w:t>D-R 320 für Staub</w:t>
      </w:r>
    </w:p>
    <w:p>
      <w:pPr>
        <w:pStyle w:val="GesAbsatz"/>
      </w:pPr>
      <w:r>
        <w:t>Hersteller:</w:t>
      </w:r>
    </w:p>
    <w:p>
      <w:pPr>
        <w:pStyle w:val="GesAbsatz"/>
      </w:pPr>
      <w:r>
        <w:t>DURAG GmbH, Hamburg</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9571" w:type="dxa"/>
        <w:tblLook w:val="04A0" w:firstRow="1" w:lastRow="0" w:firstColumn="1" w:lastColumn="0" w:noHBand="0" w:noVBand="1"/>
      </w:tblPr>
      <w:tblGrid>
        <w:gridCol w:w="3085"/>
        <w:gridCol w:w="4036"/>
        <w:gridCol w:w="2450"/>
      </w:tblGrid>
      <w:tr>
        <w:tc>
          <w:tcPr>
            <w:tcW w:w="3085" w:type="dxa"/>
          </w:tcPr>
          <w:p>
            <w:pPr>
              <w:pStyle w:val="GesAbsatz"/>
              <w:tabs>
                <w:tab w:val="clear" w:pos="425"/>
              </w:tabs>
              <w:jc w:val="center"/>
            </w:pPr>
            <w:r>
              <w:t>Komponente</w:t>
            </w:r>
          </w:p>
        </w:tc>
        <w:tc>
          <w:tcPr>
            <w:tcW w:w="4036" w:type="dxa"/>
          </w:tcPr>
          <w:p>
            <w:pPr>
              <w:pStyle w:val="GesAbsatz"/>
              <w:tabs>
                <w:tab w:val="clear" w:pos="425"/>
              </w:tabs>
              <w:jc w:val="center"/>
            </w:pPr>
            <w:r>
              <w:t>Zertifizierungsbereich</w:t>
            </w:r>
          </w:p>
        </w:tc>
        <w:tc>
          <w:tcPr>
            <w:tcW w:w="2450" w:type="dxa"/>
          </w:tcPr>
          <w:p>
            <w:pPr>
              <w:pStyle w:val="GesAbsatz"/>
              <w:tabs>
                <w:tab w:val="clear" w:pos="425"/>
              </w:tabs>
              <w:jc w:val="center"/>
            </w:pPr>
            <w:r>
              <w:t>Einheit</w:t>
            </w:r>
          </w:p>
        </w:tc>
      </w:tr>
      <w:tr>
        <w:tc>
          <w:tcPr>
            <w:tcW w:w="3085" w:type="dxa"/>
          </w:tcPr>
          <w:p>
            <w:pPr>
              <w:pStyle w:val="GesAbsatz"/>
              <w:tabs>
                <w:tab w:val="clear" w:pos="425"/>
              </w:tabs>
            </w:pPr>
            <w:r>
              <w:t>Staub</w:t>
            </w:r>
          </w:p>
        </w:tc>
        <w:tc>
          <w:tcPr>
            <w:tcW w:w="4036" w:type="dxa"/>
          </w:tcPr>
          <w:p>
            <w:pPr>
              <w:pStyle w:val="GesAbsatz"/>
              <w:tabs>
                <w:tab w:val="clear" w:pos="425"/>
              </w:tabs>
              <w:jc w:val="center"/>
            </w:pPr>
            <w:r>
              <w:t>0 – 7,5*</w:t>
            </w:r>
          </w:p>
        </w:tc>
        <w:tc>
          <w:tcPr>
            <w:tcW w:w="2450" w:type="dxa"/>
          </w:tcPr>
          <w:p>
            <w:pPr>
              <w:pStyle w:val="GesAbsatz"/>
              <w:tabs>
                <w:tab w:val="clear" w:pos="425"/>
              </w:tabs>
              <w:jc w:val="center"/>
            </w:pPr>
            <w:r>
              <w:t>mg/m³</w:t>
            </w:r>
          </w:p>
        </w:tc>
      </w:tr>
    </w:tbl>
    <w:p>
      <w:pPr>
        <w:pStyle w:val="GesAbsatz"/>
      </w:pPr>
      <w:r>
        <w:t>* entspricht 0 – 500 SL</w:t>
      </w:r>
    </w:p>
    <w:tbl>
      <w:tblPr>
        <w:tblStyle w:val="Tabellenraster"/>
        <w:tblW w:w="0" w:type="auto"/>
        <w:tblLook w:val="04A0" w:firstRow="1" w:lastRow="0" w:firstColumn="1" w:lastColumn="0" w:noHBand="0" w:noVBand="1"/>
      </w:tblPr>
      <w:tblGrid>
        <w:gridCol w:w="1526"/>
        <w:gridCol w:w="1805"/>
        <w:gridCol w:w="1663"/>
        <w:gridCol w:w="1664"/>
        <w:gridCol w:w="1664"/>
        <w:gridCol w:w="1284"/>
      </w:tblGrid>
      <w:tr>
        <w:tc>
          <w:tcPr>
            <w:tcW w:w="1526" w:type="dxa"/>
          </w:tcPr>
          <w:p>
            <w:pPr>
              <w:pStyle w:val="GesAbsatz"/>
              <w:tabs>
                <w:tab w:val="clear" w:pos="425"/>
              </w:tabs>
              <w:jc w:val="center"/>
            </w:pPr>
            <w:r>
              <w:t>Komponente</w:t>
            </w:r>
          </w:p>
        </w:tc>
        <w:tc>
          <w:tcPr>
            <w:tcW w:w="6796" w:type="dxa"/>
            <w:gridSpan w:val="4"/>
          </w:tcPr>
          <w:p>
            <w:pPr>
              <w:pStyle w:val="GesAbsatz"/>
              <w:tabs>
                <w:tab w:val="clear" w:pos="425"/>
              </w:tabs>
              <w:jc w:val="center"/>
            </w:pPr>
            <w:r>
              <w:t>zusätzliche Messbereiche</w:t>
            </w:r>
          </w:p>
        </w:tc>
        <w:tc>
          <w:tcPr>
            <w:tcW w:w="1284" w:type="dxa"/>
          </w:tcPr>
          <w:p>
            <w:pPr>
              <w:pStyle w:val="GesAbsatz"/>
              <w:tabs>
                <w:tab w:val="clear" w:pos="425"/>
              </w:tabs>
              <w:jc w:val="center"/>
            </w:pPr>
            <w:r>
              <w:t>Einheit</w:t>
            </w:r>
          </w:p>
        </w:tc>
      </w:tr>
      <w:tr>
        <w:tc>
          <w:tcPr>
            <w:tcW w:w="1526" w:type="dxa"/>
          </w:tcPr>
          <w:p>
            <w:pPr>
              <w:pStyle w:val="GesAbsatz"/>
              <w:tabs>
                <w:tab w:val="clear" w:pos="425"/>
              </w:tabs>
            </w:pPr>
            <w:r>
              <w:t>Staub</w:t>
            </w:r>
          </w:p>
        </w:tc>
        <w:tc>
          <w:tcPr>
            <w:tcW w:w="1805" w:type="dxa"/>
          </w:tcPr>
          <w:p>
            <w:pPr>
              <w:pStyle w:val="GesAbsatz"/>
              <w:tabs>
                <w:tab w:val="clear" w:pos="425"/>
              </w:tabs>
              <w:jc w:val="center"/>
            </w:pPr>
            <w:r>
              <w:t>0 – 1 000</w:t>
            </w:r>
          </w:p>
        </w:tc>
        <w:tc>
          <w:tcPr>
            <w:tcW w:w="1663" w:type="dxa"/>
          </w:tcPr>
          <w:p>
            <w:pPr>
              <w:pStyle w:val="GesAbsatz"/>
              <w:tabs>
                <w:tab w:val="clear" w:pos="425"/>
              </w:tabs>
              <w:jc w:val="center"/>
            </w:pPr>
            <w:r>
              <w:t>0 – 4 000</w:t>
            </w:r>
          </w:p>
        </w:tc>
        <w:tc>
          <w:tcPr>
            <w:tcW w:w="1664" w:type="dxa"/>
          </w:tcPr>
          <w:p>
            <w:pPr>
              <w:pStyle w:val="GesAbsatz"/>
              <w:tabs>
                <w:tab w:val="clear" w:pos="425"/>
              </w:tabs>
              <w:jc w:val="center"/>
            </w:pPr>
            <w:r>
              <w:t>0 – 20 000</w:t>
            </w:r>
          </w:p>
        </w:tc>
        <w:tc>
          <w:tcPr>
            <w:tcW w:w="1664" w:type="dxa"/>
          </w:tcPr>
          <w:p>
            <w:pPr>
              <w:pStyle w:val="GesAbsatz"/>
              <w:tabs>
                <w:tab w:val="clear" w:pos="425"/>
              </w:tabs>
              <w:jc w:val="center"/>
            </w:pPr>
            <w:r>
              <w:t>0 – 100</w:t>
            </w:r>
          </w:p>
        </w:tc>
        <w:tc>
          <w:tcPr>
            <w:tcW w:w="1284" w:type="dxa"/>
          </w:tcPr>
          <w:p>
            <w:pPr>
              <w:pStyle w:val="GesAbsatz"/>
              <w:tabs>
                <w:tab w:val="clear" w:pos="425"/>
              </w:tabs>
              <w:jc w:val="center"/>
            </w:pPr>
            <w:r>
              <w:t>SL</w:t>
            </w:r>
          </w:p>
        </w:tc>
      </w:tr>
    </w:tbl>
    <w:p>
      <w:pPr>
        <w:pStyle w:val="GesAbsatz"/>
        <w:tabs>
          <w:tab w:val="left" w:pos="2268"/>
        </w:tabs>
      </w:pPr>
      <w:r>
        <w:t>Softwareversionen:</w:t>
      </w:r>
      <w:r>
        <w:tab/>
        <w:t>D-R 320: 01.00 R000</w:t>
      </w:r>
    </w:p>
    <w:p>
      <w:pPr>
        <w:pStyle w:val="GesAbsatz"/>
        <w:ind w:left="2268"/>
      </w:pPr>
      <w:r>
        <w:t>D-ISC 100: 01.01R0000</w:t>
      </w:r>
    </w:p>
    <w:p>
      <w:pPr>
        <w:pStyle w:val="GesAbsatz"/>
        <w:ind w:left="2268"/>
      </w:pPr>
      <w:r>
        <w:t>D-ESI 100: 1.0.331</w:t>
      </w:r>
    </w:p>
    <w:p>
      <w:pPr>
        <w:pStyle w:val="GesAbsatz"/>
      </w:pPr>
      <w:r>
        <w:t>Einschränkungen:</w:t>
      </w:r>
    </w:p>
    <w:p>
      <w:pPr>
        <w:pStyle w:val="GesAbsatz"/>
      </w:pPr>
      <w:r>
        <w:t>Keine</w:t>
      </w:r>
    </w:p>
    <w:p>
      <w:pPr>
        <w:pStyle w:val="GesAbsatz"/>
      </w:pPr>
      <w:r>
        <w:t>Hinweise:</w:t>
      </w:r>
    </w:p>
    <w:p>
      <w:pPr>
        <w:pStyle w:val="GesAbsatz"/>
        <w:ind w:left="426" w:hanging="426"/>
      </w:pPr>
      <w:r>
        <w:t>1.</w:t>
      </w:r>
      <w:r>
        <w:tab/>
        <w:t>Das Wartungsintervall beträgt vier Wochen.</w:t>
      </w:r>
    </w:p>
    <w:p>
      <w:pPr>
        <w:pStyle w:val="GesAbsatz"/>
        <w:ind w:left="426" w:hanging="426"/>
      </w:pPr>
      <w:r>
        <w:t>2.</w:t>
      </w:r>
      <w:r>
        <w:tab/>
        <w:t>Die Messeinrichtung kann mit der Versorgungseinheit D-TB 100 oder mit der Versorgungseinheit D-TB 200 oder mit der Auswerteeinheit D-ISC 100 betrieben werden.</w:t>
      </w:r>
    </w:p>
    <w:p>
      <w:pPr>
        <w:pStyle w:val="GesAbsatz"/>
        <w:ind w:left="426" w:hanging="426"/>
      </w:pPr>
      <w:r>
        <w:t>3.</w:t>
      </w:r>
      <w:r>
        <w:tab/>
        <w:t>Wenn die Messeinrichtung mit der Versorgungseinheit D-TB 100 oder mit der Versorgungseinheit D-TB 200 betrieben wird, erfolgt die Bedienung der Messeinrichtung mit der Software D-ESI 100 auf einem handelsüblichen PC.</w:t>
      </w:r>
    </w:p>
    <w:p>
      <w:pPr>
        <w:pStyle w:val="GesAbsatz"/>
        <w:ind w:left="426" w:hanging="426"/>
      </w:pPr>
      <w:r>
        <w:t>4.</w:t>
      </w:r>
      <w:r>
        <w:tab/>
        <w:t>Wenn die Messeinrichtung mit der Versorgungseinheit D-TB 100 oder mit der Auswerteeinheit D-ISC 100 betrieben wird, ist eine externe Spülluftversorgung erforderlich.</w:t>
      </w:r>
    </w:p>
    <w:p>
      <w:pPr>
        <w:pStyle w:val="GesAbsatz"/>
        <w:ind w:left="426" w:hanging="426"/>
      </w:pPr>
      <w:r>
        <w:t>5.</w:t>
      </w:r>
      <w:r>
        <w:tab/>
        <w:t>Die Messeinrichtung D-R 320 verfügt über die digitale Schnittstelle Modbus (EIA-485, seriell) entsprechend VDI 4201 Blatt 1 und 3.</w:t>
      </w:r>
    </w:p>
    <w:p>
      <w:pPr>
        <w:pStyle w:val="GesAbsatz"/>
        <w:ind w:left="426" w:hanging="426"/>
      </w:pPr>
      <w:r>
        <w:t>6.</w:t>
      </w:r>
      <w:r>
        <w:tab/>
        <w:t>Bei Kombination der Messeinrichtung D-R 320 mit der Universal-Steuereinheit D-ISC 100 ist die Modbus-Schnittstelle nach VDI 4201 Blatt 1 und 3 nicht nutzbar.</w:t>
      </w:r>
    </w:p>
    <w:p>
      <w:pPr>
        <w:pStyle w:val="GesAbsatz"/>
        <w:ind w:left="426" w:hanging="426"/>
      </w:pPr>
      <w:r>
        <w:t>7.</w:t>
      </w:r>
      <w:r>
        <w:tab/>
        <w:t>Die Universal-Steuereinheit D-ISC 100 verfügt über die digitale Schnittstelle Modbus nach VDI 4201 Blatt 1 und 3 (EIA-485, seriell und TCP/IP, Ethernet).</w:t>
      </w:r>
    </w:p>
    <w:p>
      <w:pPr>
        <w:pStyle w:val="GesAbsatz"/>
        <w:ind w:left="426" w:hanging="426"/>
      </w:pPr>
      <w:r>
        <w:t>8.</w:t>
      </w:r>
      <w:r>
        <w:tab/>
        <w:t>Die Anforderung bei der Eignungsprüfung nach DIN EN 15267-3 an den Korrelationskoeffizienten R2 der Kalibrierfunktion wurde nicht erfüllt.</w:t>
      </w:r>
    </w:p>
    <w:p>
      <w:pPr>
        <w:pStyle w:val="GesAbsatz"/>
      </w:pPr>
      <w:r>
        <w:t>Prüfbericht: TÜV Rheinland Energie und Umwelt GmbH, Köln</w:t>
      </w:r>
    </w:p>
    <w:p>
      <w:pPr>
        <w:pStyle w:val="GesAbsatz"/>
      </w:pPr>
      <w:r>
        <w:t>Bericht-Nr.: 936/21217455/A vom 11. Oktober 2013</w:t>
      </w:r>
    </w:p>
    <w:p>
      <w:pPr>
        <w:pStyle w:val="GesAbsatz"/>
        <w:rPr>
          <w:b/>
        </w:rPr>
      </w:pPr>
      <w:r>
        <w:rPr>
          <w:b/>
        </w:rPr>
        <w:t>2</w:t>
      </w:r>
      <w:r>
        <w:rPr>
          <w:b/>
        </w:rPr>
        <w:tab/>
        <w:t>Fluorwasserstoff</w:t>
      </w:r>
    </w:p>
    <w:p>
      <w:pPr>
        <w:pStyle w:val="GesAbsatz"/>
        <w:rPr>
          <w:b/>
        </w:rPr>
      </w:pPr>
      <w:r>
        <w:rPr>
          <w:b/>
        </w:rPr>
        <w:t>2.1</w:t>
      </w:r>
      <w:r>
        <w:rPr>
          <w:b/>
        </w:rPr>
        <w:tab/>
        <w:t>LasIR für HF</w:t>
      </w:r>
    </w:p>
    <w:p>
      <w:pPr>
        <w:pStyle w:val="GesAbsatz"/>
      </w:pPr>
      <w:r>
        <w:t>Hersteller:</w:t>
      </w:r>
    </w:p>
    <w:p>
      <w:pPr>
        <w:pStyle w:val="GesAbsatz"/>
        <w:rPr>
          <w:lang w:val="en-US"/>
        </w:rPr>
      </w:pPr>
      <w:r>
        <w:rPr>
          <w:lang w:val="en-US"/>
        </w:rPr>
        <w:t>Unisearch Associates, Concord, Kanada</w:t>
      </w:r>
    </w:p>
    <w:p>
      <w:pPr>
        <w:pStyle w:val="GesAbsatz"/>
        <w:rPr>
          <w:lang w:val="en-US"/>
        </w:rPr>
      </w:pPr>
      <w:r>
        <w:rPr>
          <w:lang w:val="en-US"/>
        </w:rPr>
        <w:t>Eignung:</w:t>
      </w:r>
    </w:p>
    <w:p>
      <w:pPr>
        <w:pStyle w:val="GesAbsatz"/>
      </w:pPr>
      <w:r>
        <w:t>Für genehmigungsbedürftige Anlagen sowie Anlagen der 27. BImSchV</w:t>
      </w:r>
    </w:p>
    <w:p>
      <w:pPr>
        <w:pStyle w:val="GesAbsatz"/>
      </w:pPr>
      <w:r>
        <w:t>Messbereiche in der Eignungsprüfung:</w:t>
      </w:r>
    </w:p>
    <w:tbl>
      <w:tblPr>
        <w:tblStyle w:val="Tabellenraster"/>
        <w:tblW w:w="0" w:type="auto"/>
        <w:tblLook w:val="04A0" w:firstRow="1" w:lastRow="0" w:firstColumn="1" w:lastColumn="0" w:noHBand="0" w:noVBand="1"/>
      </w:tblPr>
      <w:tblGrid>
        <w:gridCol w:w="1526"/>
        <w:gridCol w:w="2298"/>
        <w:gridCol w:w="1704"/>
        <w:gridCol w:w="1985"/>
        <w:gridCol w:w="1984"/>
      </w:tblGrid>
      <w:tr>
        <w:tc>
          <w:tcPr>
            <w:tcW w:w="1526" w:type="dxa"/>
          </w:tcPr>
          <w:p>
            <w:pPr>
              <w:pStyle w:val="GesAbsatz"/>
              <w:tabs>
                <w:tab w:val="clear" w:pos="425"/>
              </w:tabs>
              <w:jc w:val="center"/>
            </w:pPr>
            <w:r>
              <w:t>Komponente</w:t>
            </w:r>
          </w:p>
        </w:tc>
        <w:tc>
          <w:tcPr>
            <w:tcW w:w="2298" w:type="dxa"/>
          </w:tcPr>
          <w:p>
            <w:pPr>
              <w:pStyle w:val="GesAbsatz"/>
              <w:tabs>
                <w:tab w:val="clear" w:pos="425"/>
              </w:tabs>
              <w:jc w:val="center"/>
            </w:pPr>
            <w:r>
              <w:t>Zertifizierungsbereich</w:t>
            </w:r>
          </w:p>
        </w:tc>
        <w:tc>
          <w:tcPr>
            <w:tcW w:w="3689" w:type="dxa"/>
            <w:gridSpan w:val="2"/>
          </w:tcPr>
          <w:p>
            <w:pPr>
              <w:pStyle w:val="GesAbsatz"/>
              <w:tabs>
                <w:tab w:val="clear" w:pos="425"/>
              </w:tabs>
              <w:jc w:val="center"/>
            </w:pPr>
            <w:r>
              <w:t>zusätzliche Messbereiche</w:t>
            </w:r>
          </w:p>
        </w:tc>
        <w:tc>
          <w:tcPr>
            <w:tcW w:w="1984" w:type="dxa"/>
          </w:tcPr>
          <w:p>
            <w:pPr>
              <w:pStyle w:val="GesAbsatz"/>
              <w:tabs>
                <w:tab w:val="clear" w:pos="425"/>
              </w:tabs>
              <w:jc w:val="center"/>
            </w:pPr>
            <w:r>
              <w:t>Einheit</w:t>
            </w:r>
          </w:p>
        </w:tc>
      </w:tr>
      <w:tr>
        <w:tc>
          <w:tcPr>
            <w:tcW w:w="1526" w:type="dxa"/>
          </w:tcPr>
          <w:p>
            <w:pPr>
              <w:pStyle w:val="GesAbsatz"/>
              <w:tabs>
                <w:tab w:val="clear" w:pos="425"/>
              </w:tabs>
            </w:pPr>
            <w:r>
              <w:lastRenderedPageBreak/>
              <w:t>HF</w:t>
            </w:r>
          </w:p>
        </w:tc>
        <w:tc>
          <w:tcPr>
            <w:tcW w:w="2298" w:type="dxa"/>
          </w:tcPr>
          <w:p>
            <w:pPr>
              <w:pStyle w:val="GesAbsatz"/>
              <w:tabs>
                <w:tab w:val="clear" w:pos="425"/>
              </w:tabs>
              <w:jc w:val="center"/>
            </w:pPr>
            <w:r>
              <w:t>0 – 5*</w:t>
            </w:r>
          </w:p>
        </w:tc>
        <w:tc>
          <w:tcPr>
            <w:tcW w:w="1704" w:type="dxa"/>
          </w:tcPr>
          <w:p>
            <w:pPr>
              <w:pStyle w:val="GesAbsatz"/>
              <w:tabs>
                <w:tab w:val="clear" w:pos="425"/>
              </w:tabs>
              <w:jc w:val="center"/>
            </w:pPr>
            <w:r>
              <w:t>0 – 10*</w:t>
            </w:r>
          </w:p>
        </w:tc>
        <w:tc>
          <w:tcPr>
            <w:tcW w:w="1985" w:type="dxa"/>
          </w:tcPr>
          <w:p>
            <w:pPr>
              <w:pStyle w:val="GesAbsatz"/>
              <w:tabs>
                <w:tab w:val="clear" w:pos="425"/>
              </w:tabs>
              <w:jc w:val="center"/>
            </w:pPr>
            <w:r>
              <w:t>0 – 50*</w:t>
            </w:r>
          </w:p>
        </w:tc>
        <w:tc>
          <w:tcPr>
            <w:tcW w:w="1984" w:type="dxa"/>
          </w:tcPr>
          <w:p>
            <w:pPr>
              <w:pStyle w:val="GesAbsatz"/>
              <w:tabs>
                <w:tab w:val="clear" w:pos="425"/>
              </w:tabs>
              <w:jc w:val="center"/>
            </w:pPr>
            <w:r>
              <w:t>mg/m³</w:t>
            </w:r>
          </w:p>
        </w:tc>
      </w:tr>
    </w:tbl>
    <w:p>
      <w:pPr>
        <w:pStyle w:val="GesAbsatz"/>
      </w:pPr>
      <w:r>
        <w:t>* bezogen auf eine Messweglänge von 1,0 m</w:t>
      </w:r>
    </w:p>
    <w:p>
      <w:pPr>
        <w:pStyle w:val="GesAbsatz"/>
      </w:pPr>
      <w:r>
        <w:t>Softwareversion: 4.76</w:t>
      </w:r>
    </w:p>
    <w:p>
      <w:pPr>
        <w:pStyle w:val="GesAbsatz"/>
      </w:pPr>
      <w:r>
        <w:t>Einschränkungen:</w:t>
      </w:r>
    </w:p>
    <w:p>
      <w:pPr>
        <w:pStyle w:val="GesAbsatz"/>
      </w:pPr>
      <w:r>
        <w:t>Keine</w:t>
      </w:r>
    </w:p>
    <w:p>
      <w:pPr>
        <w:pStyle w:val="GesAbsatz"/>
      </w:pPr>
      <w:r>
        <w:t>Hinweise:</w:t>
      </w:r>
    </w:p>
    <w:p>
      <w:pPr>
        <w:pStyle w:val="GesAbsatz"/>
        <w:ind w:left="426" w:hanging="426"/>
      </w:pPr>
      <w:r>
        <w:t>1.</w:t>
      </w:r>
      <w:r>
        <w:tab/>
        <w:t>Die Prüfung von HF kann mit trockenen Prüfgasen aus Druckgasflaschen und einer unbeheizten Prüfgasküvette durchgeführt werden.</w:t>
      </w:r>
    </w:p>
    <w:p>
      <w:pPr>
        <w:pStyle w:val="GesAbsatz"/>
        <w:ind w:left="426" w:hanging="426"/>
      </w:pPr>
      <w:r>
        <w:t>2.</w:t>
      </w:r>
      <w:r>
        <w:tab/>
        <w:t>Das Wartungsintervall beträgt sechs Monate.</w:t>
      </w:r>
    </w:p>
    <w:p>
      <w:pPr>
        <w:pStyle w:val="GesAbsatz"/>
        <w:ind w:left="426" w:hanging="426"/>
      </w:pPr>
      <w:r>
        <w:t>3.</w:t>
      </w:r>
      <w:r>
        <w:tab/>
        <w:t>Die Messeinrichtung wurde mit Single-Pass (LasIR Single-Pass) und mit Dual-Pass (LasIR Dual-Pass) Optik-Einheiten eignungsgeprüft.</w:t>
      </w:r>
    </w:p>
    <w:p>
      <w:pPr>
        <w:pStyle w:val="GesAbsatz"/>
        <w:ind w:left="426" w:hanging="426"/>
      </w:pPr>
      <w:r>
        <w:t>4.</w:t>
      </w:r>
      <w:r>
        <w:tab/>
        <w:t>Ergänzungsprüfung (Verlängerung des Wartungsintervalls, zusätzlicher Messbereich, Zulassung der Dual-Pass-Optik) zu der Bekanntmachung des Umweltbundesamtes vom 3. Juli 2013 (BAnz AT 23.07.2013 B4, Kapitel I Nummer 2.1).</w:t>
      </w:r>
    </w:p>
    <w:p>
      <w:pPr>
        <w:pStyle w:val="GesAbsatz"/>
      </w:pPr>
      <w:r>
        <w:t>Prüfbericht: TÜV Rheinland Energie und Umwelt GmbH, Köln</w:t>
      </w:r>
    </w:p>
    <w:p>
      <w:pPr>
        <w:pStyle w:val="GesAbsatz"/>
      </w:pPr>
      <w:r>
        <w:t>Bericht-Nr.: 936/21216746/C vom 20. September 2013</w:t>
      </w:r>
    </w:p>
    <w:p>
      <w:pPr>
        <w:pStyle w:val="GesAbsatz"/>
        <w:rPr>
          <w:b/>
        </w:rPr>
      </w:pPr>
      <w:r>
        <w:rPr>
          <w:b/>
        </w:rPr>
        <w:t>2.2</w:t>
      </w:r>
      <w:r>
        <w:rPr>
          <w:b/>
        </w:rPr>
        <w:tab/>
        <w:t>LaserGas II für HF</w:t>
      </w:r>
    </w:p>
    <w:p>
      <w:pPr>
        <w:pStyle w:val="GesAbsatz"/>
      </w:pPr>
      <w:r>
        <w:t>Hersteller:</w:t>
      </w:r>
    </w:p>
    <w:p>
      <w:pPr>
        <w:pStyle w:val="GesAbsatz"/>
      </w:pPr>
      <w:r>
        <w:t>NEO Monitors AS, Lørenskog, Norwegen</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9487" w:type="dxa"/>
        <w:tblLook w:val="04A0" w:firstRow="1" w:lastRow="0" w:firstColumn="1" w:lastColumn="0" w:noHBand="0" w:noVBand="1"/>
      </w:tblPr>
      <w:tblGrid>
        <w:gridCol w:w="1526"/>
        <w:gridCol w:w="2297"/>
        <w:gridCol w:w="1703"/>
        <w:gridCol w:w="1987"/>
        <w:gridCol w:w="1974"/>
      </w:tblGrid>
      <w:tr>
        <w:tc>
          <w:tcPr>
            <w:tcW w:w="1526" w:type="dxa"/>
          </w:tcPr>
          <w:p>
            <w:pPr>
              <w:pStyle w:val="GesAbsatz"/>
              <w:tabs>
                <w:tab w:val="clear" w:pos="425"/>
              </w:tabs>
            </w:pPr>
            <w:r>
              <w:t>Komponente</w:t>
            </w:r>
          </w:p>
        </w:tc>
        <w:tc>
          <w:tcPr>
            <w:tcW w:w="2297" w:type="dxa"/>
          </w:tcPr>
          <w:p>
            <w:pPr>
              <w:pStyle w:val="GesAbsatz"/>
              <w:tabs>
                <w:tab w:val="clear" w:pos="425"/>
              </w:tabs>
              <w:jc w:val="center"/>
            </w:pPr>
            <w:r>
              <w:t>Zertifizierungsbereich</w:t>
            </w:r>
          </w:p>
        </w:tc>
        <w:tc>
          <w:tcPr>
            <w:tcW w:w="3690" w:type="dxa"/>
            <w:gridSpan w:val="2"/>
          </w:tcPr>
          <w:p>
            <w:pPr>
              <w:pStyle w:val="GesAbsatz"/>
              <w:tabs>
                <w:tab w:val="clear" w:pos="425"/>
              </w:tabs>
              <w:jc w:val="center"/>
            </w:pPr>
            <w:r>
              <w:t>zusätzliche Messbereiche</w:t>
            </w:r>
          </w:p>
        </w:tc>
        <w:tc>
          <w:tcPr>
            <w:tcW w:w="1974" w:type="dxa"/>
          </w:tcPr>
          <w:p>
            <w:pPr>
              <w:pStyle w:val="GesAbsatz"/>
              <w:tabs>
                <w:tab w:val="clear" w:pos="425"/>
              </w:tabs>
              <w:jc w:val="center"/>
            </w:pPr>
            <w:r>
              <w:t>Einheit</w:t>
            </w:r>
          </w:p>
        </w:tc>
      </w:tr>
      <w:tr>
        <w:tc>
          <w:tcPr>
            <w:tcW w:w="1526" w:type="dxa"/>
          </w:tcPr>
          <w:p>
            <w:pPr>
              <w:pStyle w:val="GesAbsatz"/>
              <w:tabs>
                <w:tab w:val="clear" w:pos="425"/>
              </w:tabs>
            </w:pPr>
            <w:r>
              <w:t>HF</w:t>
            </w:r>
          </w:p>
        </w:tc>
        <w:tc>
          <w:tcPr>
            <w:tcW w:w="2297" w:type="dxa"/>
          </w:tcPr>
          <w:p>
            <w:pPr>
              <w:pStyle w:val="GesAbsatz"/>
              <w:tabs>
                <w:tab w:val="clear" w:pos="425"/>
              </w:tabs>
              <w:jc w:val="center"/>
            </w:pPr>
            <w:r>
              <w:t>0 – 1*</w:t>
            </w:r>
          </w:p>
        </w:tc>
        <w:tc>
          <w:tcPr>
            <w:tcW w:w="1703" w:type="dxa"/>
          </w:tcPr>
          <w:p>
            <w:pPr>
              <w:pStyle w:val="GesAbsatz"/>
              <w:tabs>
                <w:tab w:val="clear" w:pos="425"/>
              </w:tabs>
              <w:jc w:val="center"/>
            </w:pPr>
            <w:r>
              <w:t>0 – 1,5*</w:t>
            </w:r>
          </w:p>
        </w:tc>
        <w:tc>
          <w:tcPr>
            <w:tcW w:w="1987" w:type="dxa"/>
          </w:tcPr>
          <w:p>
            <w:pPr>
              <w:pStyle w:val="GesAbsatz"/>
              <w:tabs>
                <w:tab w:val="clear" w:pos="425"/>
              </w:tabs>
              <w:jc w:val="center"/>
            </w:pPr>
            <w:r>
              <w:t>0 – 10*</w:t>
            </w:r>
          </w:p>
        </w:tc>
        <w:tc>
          <w:tcPr>
            <w:tcW w:w="1974" w:type="dxa"/>
          </w:tcPr>
          <w:p>
            <w:pPr>
              <w:pStyle w:val="GesAbsatz"/>
              <w:tabs>
                <w:tab w:val="clear" w:pos="425"/>
              </w:tabs>
              <w:jc w:val="center"/>
            </w:pPr>
            <w:r>
              <w:t>mg/m³</w:t>
            </w:r>
          </w:p>
        </w:tc>
      </w:tr>
    </w:tbl>
    <w:p>
      <w:pPr>
        <w:pStyle w:val="GesAbsatz"/>
      </w:pPr>
      <w:r>
        <w:t>* bezogen auf eine Messweglänge von 1,0 m</w:t>
      </w:r>
    </w:p>
    <w:p>
      <w:pPr>
        <w:pStyle w:val="GesAbsatz"/>
      </w:pPr>
      <w:r>
        <w:t>Softwareversion: GM6.1f1</w:t>
      </w:r>
    </w:p>
    <w:p>
      <w:pPr>
        <w:pStyle w:val="GesAbsatz"/>
      </w:pPr>
      <w:r>
        <w:t>Einschränkungen:</w:t>
      </w:r>
    </w:p>
    <w:p>
      <w:pPr>
        <w:pStyle w:val="GesAbsatz"/>
      </w:pPr>
      <w:r>
        <w:t>Keine</w:t>
      </w:r>
    </w:p>
    <w:p>
      <w:pPr>
        <w:pStyle w:val="GesAbsatz"/>
      </w:pPr>
      <w:r>
        <w:t>Hinweise:</w:t>
      </w:r>
    </w:p>
    <w:p>
      <w:pPr>
        <w:pStyle w:val="GesAbsatz"/>
      </w:pPr>
      <w:r>
        <w:t>1.</w:t>
      </w:r>
      <w:r>
        <w:tab/>
        <w:t>Bei der Prüfung von HF sind feuchte Prüfgase einzusetzen.</w:t>
      </w:r>
    </w:p>
    <w:p>
      <w:pPr>
        <w:pStyle w:val="GesAbsatz"/>
      </w:pPr>
      <w:r>
        <w:t>2.</w:t>
      </w:r>
      <w:r>
        <w:tab/>
        <w:t>Das Wartungsintervall beträgt sechs Monate.</w:t>
      </w:r>
    </w:p>
    <w:p>
      <w:pPr>
        <w:pStyle w:val="GesAbsatz"/>
      </w:pPr>
      <w:r>
        <w:t>3.</w:t>
      </w:r>
      <w:r>
        <w:tab/>
        <w:t>Die Messweglänge betrug während des Labor- und Feldtests 0,50 m.</w:t>
      </w:r>
    </w:p>
    <w:p>
      <w:pPr>
        <w:pStyle w:val="GesAbsatz"/>
        <w:ind w:left="426" w:hanging="426"/>
      </w:pPr>
      <w:r>
        <w:t>4.</w:t>
      </w:r>
      <w:r>
        <w:tab/>
        <w:t>Die regelmäßigen Driftuntersuchungen im Wartungsintervall können auch mit der internen Prüfzelle sowie dem Surrogat-Gas CH</w:t>
      </w:r>
      <w:r>
        <w:rPr>
          <w:vertAlign w:val="subscript"/>
        </w:rPr>
        <w:t>4</w:t>
      </w:r>
      <w:r>
        <w:t xml:space="preserve"> durchgeführt werden.</w:t>
      </w:r>
    </w:p>
    <w:p>
      <w:pPr>
        <w:pStyle w:val="GesAbsatz"/>
        <w:ind w:left="426" w:hanging="426"/>
      </w:pPr>
      <w:r>
        <w:t>5.</w:t>
      </w:r>
      <w:r>
        <w:tab/>
        <w:t>Ergänzungsprüfung (Verlängerung des Wartungsintervalls) zu der Bekanntmachung des Umweltbundesamtes vom 12. Februar 2013 (BAnz AT 05.03.2013 B10, Kapitel I Nummer 3.1).</w:t>
      </w:r>
    </w:p>
    <w:p>
      <w:pPr>
        <w:pStyle w:val="GesAbsatz"/>
      </w:pPr>
      <w:r>
        <w:t>Prüfbericht: TÜV Rheinland Energie und Umwelt GmbH, Köln</w:t>
      </w:r>
    </w:p>
    <w:p>
      <w:pPr>
        <w:pStyle w:val="GesAbsatz"/>
      </w:pPr>
      <w:r>
        <w:t>Bericht-Nr.: 936/21212540/D vom 8. Oktober 2013</w:t>
      </w:r>
    </w:p>
    <w:p>
      <w:pPr>
        <w:pStyle w:val="GesAbsatz"/>
        <w:rPr>
          <w:b/>
        </w:rPr>
      </w:pPr>
      <w:r>
        <w:rPr>
          <w:b/>
        </w:rPr>
        <w:t>3</w:t>
      </w:r>
      <w:r>
        <w:rPr>
          <w:b/>
        </w:rPr>
        <w:tab/>
        <w:t>Mehrkomponentenmesseinrichtungen</w:t>
      </w:r>
    </w:p>
    <w:p>
      <w:pPr>
        <w:pStyle w:val="GesAbsatz"/>
        <w:rPr>
          <w:b/>
        </w:rPr>
      </w:pPr>
      <w:r>
        <w:rPr>
          <w:b/>
        </w:rPr>
        <w:t>3.1</w:t>
      </w:r>
      <w:r>
        <w:rPr>
          <w:b/>
        </w:rPr>
        <w:tab/>
        <w:t>AR650/N für CO, HCl, H</w:t>
      </w:r>
      <w:r>
        <w:rPr>
          <w:b/>
          <w:vertAlign w:val="subscript"/>
        </w:rPr>
        <w:t>2</w:t>
      </w:r>
      <w:r>
        <w:rPr>
          <w:b/>
        </w:rPr>
        <w:t>O, CO</w:t>
      </w:r>
      <w:r>
        <w:rPr>
          <w:b/>
          <w:vertAlign w:val="subscript"/>
        </w:rPr>
        <w:t>2</w:t>
      </w:r>
      <w:r>
        <w:rPr>
          <w:b/>
        </w:rPr>
        <w:t>, N</w:t>
      </w:r>
      <w:r>
        <w:rPr>
          <w:b/>
          <w:vertAlign w:val="subscript"/>
        </w:rPr>
        <w:t>2</w:t>
      </w:r>
      <w:r>
        <w:rPr>
          <w:b/>
        </w:rPr>
        <w:t>O und CH</w:t>
      </w:r>
      <w:r>
        <w:rPr>
          <w:b/>
          <w:vertAlign w:val="subscript"/>
        </w:rPr>
        <w:t>4</w:t>
      </w:r>
    </w:p>
    <w:p>
      <w:pPr>
        <w:pStyle w:val="GesAbsatz"/>
      </w:pPr>
      <w:r>
        <w:t>Hersteller:</w:t>
      </w:r>
    </w:p>
    <w:p>
      <w:pPr>
        <w:pStyle w:val="GesAbsatz"/>
      </w:pPr>
      <w:r>
        <w:t>OPSIS AB, Furulund, Schweden</w:t>
      </w:r>
    </w:p>
    <w:p>
      <w:pPr>
        <w:pStyle w:val="GesAbsatz"/>
      </w:pPr>
      <w:r>
        <w:t>Eignung:</w:t>
      </w:r>
    </w:p>
    <w:p>
      <w:pPr>
        <w:pStyle w:val="GesAbsatz"/>
      </w:pPr>
      <w:r>
        <w:t>Für genehmigungsbedürftige Anlagen sowie Anlagen der 27. BImSchV</w:t>
      </w:r>
    </w:p>
    <w:p>
      <w:pPr>
        <w:pStyle w:val="GesAbsatz"/>
      </w:pPr>
      <w:r>
        <w:lastRenderedPageBreak/>
        <w:t>Messbereiche in der Eignungsprüfung:</w:t>
      </w:r>
    </w:p>
    <w:tbl>
      <w:tblPr>
        <w:tblStyle w:val="Tabellenraster"/>
        <w:tblW w:w="0" w:type="auto"/>
        <w:tblLook w:val="04A0" w:firstRow="1" w:lastRow="0" w:firstColumn="1" w:lastColumn="0" w:noHBand="0" w:noVBand="1"/>
      </w:tblPr>
      <w:tblGrid>
        <w:gridCol w:w="1668"/>
        <w:gridCol w:w="2950"/>
        <w:gridCol w:w="2820"/>
        <w:gridCol w:w="1917"/>
      </w:tblGrid>
      <w:tr>
        <w:tc>
          <w:tcPr>
            <w:tcW w:w="1668" w:type="dxa"/>
          </w:tcPr>
          <w:p>
            <w:pPr>
              <w:pStyle w:val="GesAbsatz"/>
              <w:tabs>
                <w:tab w:val="clear" w:pos="425"/>
              </w:tabs>
              <w:jc w:val="center"/>
            </w:pPr>
            <w:r>
              <w:t>Komponente</w:t>
            </w:r>
          </w:p>
        </w:tc>
        <w:tc>
          <w:tcPr>
            <w:tcW w:w="2950" w:type="dxa"/>
          </w:tcPr>
          <w:p>
            <w:pPr>
              <w:pStyle w:val="GesAbsatz"/>
              <w:tabs>
                <w:tab w:val="clear" w:pos="425"/>
              </w:tabs>
              <w:jc w:val="center"/>
            </w:pPr>
            <w:r>
              <w:t>Zertifizierungsbereich</w:t>
            </w:r>
          </w:p>
        </w:tc>
        <w:tc>
          <w:tcPr>
            <w:tcW w:w="2820" w:type="dxa"/>
          </w:tcPr>
          <w:p>
            <w:pPr>
              <w:pStyle w:val="GesAbsatz"/>
              <w:tabs>
                <w:tab w:val="clear" w:pos="425"/>
              </w:tabs>
              <w:jc w:val="center"/>
            </w:pPr>
            <w:r>
              <w:t>zusätzlicher Messbereich</w:t>
            </w:r>
          </w:p>
        </w:tc>
        <w:tc>
          <w:tcPr>
            <w:tcW w:w="1917" w:type="dxa"/>
          </w:tcPr>
          <w:p>
            <w:pPr>
              <w:pStyle w:val="GesAbsatz"/>
              <w:tabs>
                <w:tab w:val="clear" w:pos="425"/>
              </w:tabs>
              <w:jc w:val="center"/>
            </w:pPr>
            <w:r>
              <w:t>Einheit</w:t>
            </w:r>
          </w:p>
        </w:tc>
      </w:tr>
      <w:tr>
        <w:tc>
          <w:tcPr>
            <w:tcW w:w="1668" w:type="dxa"/>
          </w:tcPr>
          <w:p>
            <w:pPr>
              <w:pStyle w:val="GesAbsatz"/>
              <w:tabs>
                <w:tab w:val="clear" w:pos="425"/>
              </w:tabs>
            </w:pPr>
            <w:r>
              <w:t>CO</w:t>
            </w:r>
          </w:p>
        </w:tc>
        <w:tc>
          <w:tcPr>
            <w:tcW w:w="2950" w:type="dxa"/>
          </w:tcPr>
          <w:p>
            <w:pPr>
              <w:pStyle w:val="GesAbsatz"/>
              <w:tabs>
                <w:tab w:val="clear" w:pos="425"/>
              </w:tabs>
              <w:jc w:val="center"/>
            </w:pPr>
            <w:r>
              <w:t>0 – 75*</w:t>
            </w:r>
          </w:p>
        </w:tc>
        <w:tc>
          <w:tcPr>
            <w:tcW w:w="2820" w:type="dxa"/>
          </w:tcPr>
          <w:p>
            <w:pPr>
              <w:pStyle w:val="GesAbsatz"/>
              <w:tabs>
                <w:tab w:val="clear" w:pos="425"/>
              </w:tabs>
              <w:jc w:val="center"/>
            </w:pPr>
            <w:r>
              <w:t>0 – 500*</w:t>
            </w:r>
          </w:p>
        </w:tc>
        <w:tc>
          <w:tcPr>
            <w:tcW w:w="1917" w:type="dxa"/>
          </w:tcPr>
          <w:p>
            <w:pPr>
              <w:pStyle w:val="GesAbsatz"/>
              <w:tabs>
                <w:tab w:val="clear" w:pos="425"/>
              </w:tabs>
              <w:jc w:val="center"/>
            </w:pPr>
            <w:r>
              <w:t>mg/m³</w:t>
            </w:r>
          </w:p>
        </w:tc>
      </w:tr>
      <w:tr>
        <w:tc>
          <w:tcPr>
            <w:tcW w:w="1668" w:type="dxa"/>
          </w:tcPr>
          <w:p>
            <w:pPr>
              <w:pStyle w:val="GesAbsatz"/>
              <w:tabs>
                <w:tab w:val="clear" w:pos="425"/>
              </w:tabs>
              <w:rPr>
                <w:lang w:val="en-US"/>
              </w:rPr>
            </w:pPr>
            <w:r>
              <w:rPr>
                <w:lang w:val="en-US"/>
              </w:rPr>
              <w:t>HCl</w:t>
            </w:r>
          </w:p>
        </w:tc>
        <w:tc>
          <w:tcPr>
            <w:tcW w:w="2950" w:type="dxa"/>
          </w:tcPr>
          <w:p>
            <w:pPr>
              <w:pStyle w:val="GesAbsatz"/>
              <w:tabs>
                <w:tab w:val="clear" w:pos="425"/>
              </w:tabs>
              <w:jc w:val="center"/>
              <w:rPr>
                <w:lang w:val="en-US"/>
              </w:rPr>
            </w:pPr>
            <w:r>
              <w:rPr>
                <w:lang w:val="en-US"/>
              </w:rPr>
              <w:t>0 – 15*</w:t>
            </w:r>
          </w:p>
        </w:tc>
        <w:tc>
          <w:tcPr>
            <w:tcW w:w="2820" w:type="dxa"/>
          </w:tcPr>
          <w:p>
            <w:pPr>
              <w:pStyle w:val="GesAbsatz"/>
              <w:tabs>
                <w:tab w:val="clear" w:pos="425"/>
              </w:tabs>
              <w:jc w:val="center"/>
              <w:rPr>
                <w:lang w:val="en-US"/>
              </w:rPr>
            </w:pPr>
            <w:r>
              <w:rPr>
                <w:lang w:val="en-US"/>
              </w:rPr>
              <w:t>0 – 90*</w:t>
            </w:r>
          </w:p>
        </w:tc>
        <w:tc>
          <w:tcPr>
            <w:tcW w:w="1917" w:type="dxa"/>
          </w:tcPr>
          <w:p>
            <w:pPr>
              <w:pStyle w:val="GesAbsatz"/>
              <w:tabs>
                <w:tab w:val="clear" w:pos="425"/>
              </w:tabs>
              <w:jc w:val="center"/>
              <w:rPr>
                <w:lang w:val="en-US"/>
              </w:rPr>
            </w:pPr>
            <w:r>
              <w:rPr>
                <w:lang w:val="en-US"/>
              </w:rPr>
              <w:t>mg/m³</w:t>
            </w:r>
          </w:p>
        </w:tc>
      </w:tr>
      <w:tr>
        <w:tc>
          <w:tcPr>
            <w:tcW w:w="1668" w:type="dxa"/>
          </w:tcPr>
          <w:p>
            <w:pPr>
              <w:pStyle w:val="GesAbsatz"/>
              <w:tabs>
                <w:tab w:val="clear" w:pos="425"/>
              </w:tabs>
              <w:rPr>
                <w:lang w:val="en-US"/>
              </w:rPr>
            </w:pPr>
            <w:r>
              <w:rPr>
                <w:lang w:val="en-US"/>
              </w:rPr>
              <w:t>H</w:t>
            </w:r>
            <w:r>
              <w:rPr>
                <w:vertAlign w:val="subscript"/>
                <w:lang w:val="en-US"/>
              </w:rPr>
              <w:t>2</w:t>
            </w:r>
            <w:r>
              <w:rPr>
                <w:lang w:val="en-US"/>
              </w:rPr>
              <w:t>O</w:t>
            </w:r>
          </w:p>
        </w:tc>
        <w:tc>
          <w:tcPr>
            <w:tcW w:w="2950" w:type="dxa"/>
          </w:tcPr>
          <w:p>
            <w:pPr>
              <w:pStyle w:val="GesAbsatz"/>
              <w:tabs>
                <w:tab w:val="clear" w:pos="425"/>
              </w:tabs>
              <w:jc w:val="center"/>
              <w:rPr>
                <w:lang w:val="en-US"/>
              </w:rPr>
            </w:pPr>
            <w:r>
              <w:rPr>
                <w:lang w:val="en-US"/>
              </w:rPr>
              <w:t>0 – 30*</w:t>
            </w:r>
          </w:p>
        </w:tc>
        <w:tc>
          <w:tcPr>
            <w:tcW w:w="2820" w:type="dxa"/>
          </w:tcPr>
          <w:p>
            <w:pPr>
              <w:pStyle w:val="GesAbsatz"/>
              <w:tabs>
                <w:tab w:val="clear" w:pos="425"/>
              </w:tabs>
              <w:jc w:val="center"/>
              <w:rPr>
                <w:lang w:val="en-US"/>
              </w:rPr>
            </w:pPr>
            <w:r>
              <w:rPr>
                <w:lang w:val="en-US"/>
              </w:rPr>
              <w:t>0 – 40*</w:t>
            </w:r>
          </w:p>
        </w:tc>
        <w:tc>
          <w:tcPr>
            <w:tcW w:w="1917" w:type="dxa"/>
          </w:tcPr>
          <w:p>
            <w:pPr>
              <w:pStyle w:val="GesAbsatz"/>
              <w:tabs>
                <w:tab w:val="clear" w:pos="425"/>
              </w:tabs>
              <w:jc w:val="center"/>
              <w:rPr>
                <w:lang w:val="en-US"/>
              </w:rPr>
            </w:pPr>
            <w:r>
              <w:rPr>
                <w:lang w:val="en-US"/>
              </w:rPr>
              <w:t>Vol.-%</w:t>
            </w:r>
          </w:p>
        </w:tc>
      </w:tr>
      <w:tr>
        <w:tc>
          <w:tcPr>
            <w:tcW w:w="1668" w:type="dxa"/>
          </w:tcPr>
          <w:p>
            <w:pPr>
              <w:pStyle w:val="GesAbsatz"/>
              <w:tabs>
                <w:tab w:val="clear" w:pos="425"/>
              </w:tabs>
              <w:rPr>
                <w:lang w:val="en-US"/>
              </w:rPr>
            </w:pPr>
            <w:r>
              <w:rPr>
                <w:lang w:val="en-US"/>
              </w:rPr>
              <w:t>CO</w:t>
            </w:r>
            <w:r>
              <w:rPr>
                <w:vertAlign w:val="subscript"/>
                <w:lang w:val="en-US"/>
              </w:rPr>
              <w:t>2</w:t>
            </w:r>
          </w:p>
        </w:tc>
        <w:tc>
          <w:tcPr>
            <w:tcW w:w="2950" w:type="dxa"/>
          </w:tcPr>
          <w:p>
            <w:pPr>
              <w:pStyle w:val="GesAbsatz"/>
              <w:tabs>
                <w:tab w:val="clear" w:pos="425"/>
              </w:tabs>
              <w:jc w:val="center"/>
              <w:rPr>
                <w:lang w:val="en-US"/>
              </w:rPr>
            </w:pPr>
            <w:r>
              <w:rPr>
                <w:lang w:val="en-US"/>
              </w:rPr>
              <w:t>0 – 30*</w:t>
            </w:r>
          </w:p>
        </w:tc>
        <w:tc>
          <w:tcPr>
            <w:tcW w:w="2820" w:type="dxa"/>
          </w:tcPr>
          <w:p>
            <w:pPr>
              <w:pStyle w:val="GesAbsatz"/>
              <w:tabs>
                <w:tab w:val="clear" w:pos="425"/>
              </w:tabs>
              <w:jc w:val="center"/>
              <w:rPr>
                <w:lang w:val="en-US"/>
              </w:rPr>
            </w:pPr>
            <w:r>
              <w:rPr>
                <w:lang w:val="en-US"/>
              </w:rPr>
              <w:t>0 – 40*</w:t>
            </w:r>
          </w:p>
        </w:tc>
        <w:tc>
          <w:tcPr>
            <w:tcW w:w="1917" w:type="dxa"/>
          </w:tcPr>
          <w:p>
            <w:pPr>
              <w:pStyle w:val="GesAbsatz"/>
              <w:tabs>
                <w:tab w:val="clear" w:pos="425"/>
              </w:tabs>
              <w:jc w:val="center"/>
              <w:rPr>
                <w:lang w:val="en-US"/>
              </w:rPr>
            </w:pPr>
            <w:r>
              <w:rPr>
                <w:lang w:val="en-US"/>
              </w:rPr>
              <w:t>Vol.-%</w:t>
            </w:r>
          </w:p>
        </w:tc>
      </w:tr>
      <w:tr>
        <w:tc>
          <w:tcPr>
            <w:tcW w:w="1668" w:type="dxa"/>
          </w:tcPr>
          <w:p>
            <w:pPr>
              <w:pStyle w:val="GesAbsatz"/>
              <w:tabs>
                <w:tab w:val="clear" w:pos="425"/>
              </w:tabs>
            </w:pPr>
            <w:r>
              <w:t>N</w:t>
            </w:r>
            <w:r>
              <w:rPr>
                <w:vertAlign w:val="subscript"/>
              </w:rPr>
              <w:t>2</w:t>
            </w:r>
            <w:r>
              <w:t>O</w:t>
            </w:r>
          </w:p>
        </w:tc>
        <w:tc>
          <w:tcPr>
            <w:tcW w:w="2950" w:type="dxa"/>
          </w:tcPr>
          <w:p>
            <w:pPr>
              <w:pStyle w:val="GesAbsatz"/>
              <w:tabs>
                <w:tab w:val="clear" w:pos="425"/>
              </w:tabs>
              <w:jc w:val="center"/>
            </w:pPr>
            <w:r>
              <w:t>0 – 500*</w:t>
            </w:r>
          </w:p>
        </w:tc>
        <w:tc>
          <w:tcPr>
            <w:tcW w:w="2820" w:type="dxa"/>
          </w:tcPr>
          <w:p>
            <w:pPr>
              <w:pStyle w:val="GesAbsatz"/>
              <w:tabs>
                <w:tab w:val="clear" w:pos="425"/>
              </w:tabs>
              <w:jc w:val="center"/>
            </w:pPr>
            <w:r>
              <w:t>0 – 2 000*</w:t>
            </w:r>
          </w:p>
        </w:tc>
        <w:tc>
          <w:tcPr>
            <w:tcW w:w="1917" w:type="dxa"/>
          </w:tcPr>
          <w:p>
            <w:pPr>
              <w:pStyle w:val="GesAbsatz"/>
              <w:tabs>
                <w:tab w:val="clear" w:pos="425"/>
              </w:tabs>
              <w:jc w:val="center"/>
            </w:pPr>
            <w:r>
              <w:t>mg/m³</w:t>
            </w:r>
          </w:p>
        </w:tc>
      </w:tr>
      <w:tr>
        <w:tc>
          <w:tcPr>
            <w:tcW w:w="1668" w:type="dxa"/>
          </w:tcPr>
          <w:p>
            <w:pPr>
              <w:pStyle w:val="GesAbsatz"/>
              <w:tabs>
                <w:tab w:val="clear" w:pos="425"/>
              </w:tabs>
            </w:pPr>
            <w:r>
              <w:t>CH</w:t>
            </w:r>
            <w:r>
              <w:rPr>
                <w:vertAlign w:val="subscript"/>
              </w:rPr>
              <w:t>4</w:t>
            </w:r>
          </w:p>
        </w:tc>
        <w:tc>
          <w:tcPr>
            <w:tcW w:w="2950" w:type="dxa"/>
          </w:tcPr>
          <w:p>
            <w:pPr>
              <w:pStyle w:val="GesAbsatz"/>
              <w:tabs>
                <w:tab w:val="clear" w:pos="425"/>
              </w:tabs>
              <w:jc w:val="center"/>
            </w:pPr>
            <w:r>
              <w:t>0 – 20*</w:t>
            </w:r>
          </w:p>
        </w:tc>
        <w:tc>
          <w:tcPr>
            <w:tcW w:w="2820" w:type="dxa"/>
          </w:tcPr>
          <w:p>
            <w:pPr>
              <w:pStyle w:val="GesAbsatz"/>
              <w:tabs>
                <w:tab w:val="clear" w:pos="425"/>
              </w:tabs>
              <w:jc w:val="center"/>
            </w:pPr>
            <w:r>
              <w:t>0 – 100*</w:t>
            </w:r>
          </w:p>
        </w:tc>
        <w:tc>
          <w:tcPr>
            <w:tcW w:w="1917" w:type="dxa"/>
          </w:tcPr>
          <w:p>
            <w:pPr>
              <w:pStyle w:val="GesAbsatz"/>
              <w:tabs>
                <w:tab w:val="clear" w:pos="425"/>
              </w:tabs>
              <w:jc w:val="center"/>
            </w:pPr>
            <w:r>
              <w:t>mg/m³</w:t>
            </w:r>
          </w:p>
        </w:tc>
      </w:tr>
    </w:tbl>
    <w:p>
      <w:pPr>
        <w:pStyle w:val="GesAbsatz"/>
      </w:pPr>
      <w:r>
        <w:t>* bezogen auf eine Messweglänge von 1,0 Meter</w:t>
      </w:r>
    </w:p>
    <w:p>
      <w:pPr>
        <w:pStyle w:val="GesAbsatz"/>
      </w:pPr>
      <w:r>
        <w:t>Softwareversion: 7.21</w:t>
      </w:r>
    </w:p>
    <w:p>
      <w:pPr>
        <w:pStyle w:val="GesAbsatz"/>
      </w:pPr>
      <w:r>
        <w:t>Einschränkungen:</w:t>
      </w:r>
    </w:p>
    <w:p>
      <w:pPr>
        <w:pStyle w:val="GesAbsatz"/>
      </w:pPr>
      <w:r>
        <w:t>Keine</w:t>
      </w:r>
    </w:p>
    <w:p>
      <w:pPr>
        <w:pStyle w:val="GesAbsatz"/>
      </w:pPr>
      <w:r>
        <w:t>Hinweise:</w:t>
      </w:r>
    </w:p>
    <w:p>
      <w:pPr>
        <w:pStyle w:val="GesAbsatz"/>
      </w:pPr>
      <w:r>
        <w:t>1.</w:t>
      </w:r>
      <w:r>
        <w:tab/>
        <w:t>Das Wartungsintervall beträgt vier Wochen.</w:t>
      </w:r>
    </w:p>
    <w:p>
      <w:pPr>
        <w:pStyle w:val="GesAbsatz"/>
      </w:pPr>
      <w:r>
        <w:t>2.</w:t>
      </w:r>
      <w:r>
        <w:tab/>
        <w:t>Die geprüfte Messweglänge beträgt 1 m.</w:t>
      </w:r>
    </w:p>
    <w:p>
      <w:pPr>
        <w:pStyle w:val="GesAbsatz"/>
        <w:ind w:left="426" w:hanging="426"/>
      </w:pPr>
      <w:r>
        <w:t>3.</w:t>
      </w:r>
      <w:r>
        <w:tab/>
        <w:t>Ergänzungsprüfung (Zulassung neuer Messkomponenten) zu der Bekanntmachung des Umweltbundesamtes vom 12. Februar 2013 (BAnz AT 05.03.2013 B10, Kapitel I Nummer 2.2).</w:t>
      </w:r>
    </w:p>
    <w:p>
      <w:pPr>
        <w:pStyle w:val="GesAbsatz"/>
      </w:pPr>
      <w:r>
        <w:t>Prüfbericht: TÜV Rheinland Energie und Umwelt GmbH, Köln</w:t>
      </w:r>
    </w:p>
    <w:p>
      <w:pPr>
        <w:pStyle w:val="GesAbsatz"/>
      </w:pPr>
      <w:r>
        <w:t>Bericht-Nr.: 936/21220566/B vom 10. Oktober 2013</w:t>
      </w:r>
    </w:p>
    <w:p>
      <w:pPr>
        <w:pStyle w:val="GesAbsatz"/>
        <w:rPr>
          <w:b/>
        </w:rPr>
      </w:pPr>
      <w:r>
        <w:rPr>
          <w:b/>
        </w:rPr>
        <w:t>3.2</w:t>
      </w:r>
      <w:r>
        <w:rPr>
          <w:b/>
        </w:rPr>
        <w:tab/>
        <w:t>AR602Z/NHg für NO, NO</w:t>
      </w:r>
      <w:r>
        <w:rPr>
          <w:b/>
          <w:vertAlign w:val="subscript"/>
        </w:rPr>
        <w:t>2</w:t>
      </w:r>
      <w:r>
        <w:rPr>
          <w:b/>
        </w:rPr>
        <w:t>, SO</w:t>
      </w:r>
      <w:r>
        <w:rPr>
          <w:b/>
          <w:vertAlign w:val="subscript"/>
        </w:rPr>
        <w:t>2</w:t>
      </w:r>
      <w:r>
        <w:rPr>
          <w:b/>
        </w:rPr>
        <w:t>, NH</w:t>
      </w:r>
      <w:r>
        <w:rPr>
          <w:b/>
          <w:vertAlign w:val="subscript"/>
        </w:rPr>
        <w:t>3</w:t>
      </w:r>
      <w:r>
        <w:rPr>
          <w:b/>
        </w:rPr>
        <w:t xml:space="preserve"> und Hg sowie AR602Z/N für NO, NO</w:t>
      </w:r>
      <w:r>
        <w:rPr>
          <w:b/>
          <w:vertAlign w:val="subscript"/>
        </w:rPr>
        <w:t>2</w:t>
      </w:r>
      <w:r>
        <w:rPr>
          <w:b/>
        </w:rPr>
        <w:t>, SO</w:t>
      </w:r>
      <w:r>
        <w:rPr>
          <w:b/>
          <w:vertAlign w:val="subscript"/>
        </w:rPr>
        <w:t>2</w:t>
      </w:r>
      <w:r>
        <w:rPr>
          <w:b/>
        </w:rPr>
        <w:t xml:space="preserve"> und NH</w:t>
      </w:r>
      <w:r>
        <w:rPr>
          <w:b/>
          <w:vertAlign w:val="subscript"/>
        </w:rPr>
        <w:t>3</w:t>
      </w:r>
    </w:p>
    <w:p>
      <w:pPr>
        <w:pStyle w:val="GesAbsatz"/>
      </w:pPr>
      <w:r>
        <w:t>Hersteller:</w:t>
      </w:r>
    </w:p>
    <w:p>
      <w:pPr>
        <w:pStyle w:val="GesAbsatz"/>
      </w:pPr>
      <w:r>
        <w:t>OPSIS AB, Furulund, Schweden</w:t>
      </w:r>
    </w:p>
    <w:p>
      <w:pPr>
        <w:pStyle w:val="GesAbsatz"/>
      </w:pPr>
      <w:r>
        <w:t>Eignung:</w:t>
      </w:r>
    </w:p>
    <w:p>
      <w:pPr>
        <w:pStyle w:val="GesAbsatz"/>
        <w:tabs>
          <w:tab w:val="clear" w:pos="425"/>
        </w:tabs>
      </w:pPr>
      <w:r>
        <w:t>Für genehmigungsbedürftige Anlagen sowie Anlagen der 27. BImSchV</w:t>
      </w:r>
    </w:p>
    <w:p>
      <w:pPr>
        <w:pStyle w:val="GesAbsatz"/>
      </w:pPr>
      <w:r>
        <w:t>Messbereiche in der Eignungsprüfung:</w:t>
      </w:r>
    </w:p>
    <w:tbl>
      <w:tblPr>
        <w:tblStyle w:val="Tabellenraster"/>
        <w:tblW w:w="0" w:type="auto"/>
        <w:tblLook w:val="04A0" w:firstRow="1" w:lastRow="0" w:firstColumn="1" w:lastColumn="0" w:noHBand="0" w:noVBand="1"/>
      </w:tblPr>
      <w:tblGrid>
        <w:gridCol w:w="1668"/>
        <w:gridCol w:w="2950"/>
        <w:gridCol w:w="2820"/>
        <w:gridCol w:w="2058"/>
      </w:tblGrid>
      <w:tr>
        <w:tc>
          <w:tcPr>
            <w:tcW w:w="1668" w:type="dxa"/>
          </w:tcPr>
          <w:p>
            <w:pPr>
              <w:pStyle w:val="GesAbsatz"/>
              <w:tabs>
                <w:tab w:val="clear" w:pos="425"/>
              </w:tabs>
              <w:jc w:val="center"/>
            </w:pPr>
            <w:r>
              <w:t>Komponente</w:t>
            </w:r>
          </w:p>
        </w:tc>
        <w:tc>
          <w:tcPr>
            <w:tcW w:w="2950" w:type="dxa"/>
          </w:tcPr>
          <w:p>
            <w:pPr>
              <w:pStyle w:val="GesAbsatz"/>
              <w:tabs>
                <w:tab w:val="clear" w:pos="425"/>
              </w:tabs>
              <w:jc w:val="center"/>
            </w:pPr>
            <w:r>
              <w:t>Zertifizierungsbereich</w:t>
            </w:r>
          </w:p>
        </w:tc>
        <w:tc>
          <w:tcPr>
            <w:tcW w:w="2820" w:type="dxa"/>
          </w:tcPr>
          <w:p>
            <w:pPr>
              <w:pStyle w:val="GesAbsatz"/>
              <w:tabs>
                <w:tab w:val="clear" w:pos="425"/>
              </w:tabs>
              <w:jc w:val="center"/>
            </w:pPr>
            <w:r>
              <w:t>zusätzlicher Messbereich</w:t>
            </w:r>
          </w:p>
        </w:tc>
        <w:tc>
          <w:tcPr>
            <w:tcW w:w="2058" w:type="dxa"/>
          </w:tcPr>
          <w:p>
            <w:pPr>
              <w:pStyle w:val="GesAbsatz"/>
              <w:tabs>
                <w:tab w:val="clear" w:pos="425"/>
              </w:tabs>
              <w:jc w:val="center"/>
            </w:pPr>
            <w:r>
              <w:t>Einheit</w:t>
            </w:r>
          </w:p>
        </w:tc>
      </w:tr>
      <w:tr>
        <w:tc>
          <w:tcPr>
            <w:tcW w:w="1668" w:type="dxa"/>
          </w:tcPr>
          <w:p>
            <w:pPr>
              <w:pStyle w:val="GesAbsatz"/>
              <w:tabs>
                <w:tab w:val="clear" w:pos="425"/>
              </w:tabs>
            </w:pPr>
            <w:r>
              <w:t>NO</w:t>
            </w:r>
          </w:p>
        </w:tc>
        <w:tc>
          <w:tcPr>
            <w:tcW w:w="2950" w:type="dxa"/>
          </w:tcPr>
          <w:p>
            <w:pPr>
              <w:pStyle w:val="GesAbsatz"/>
              <w:tabs>
                <w:tab w:val="clear" w:pos="425"/>
              </w:tabs>
              <w:jc w:val="center"/>
            </w:pPr>
            <w:r>
              <w:t>0 – 150*</w:t>
            </w:r>
          </w:p>
        </w:tc>
        <w:tc>
          <w:tcPr>
            <w:tcW w:w="2820" w:type="dxa"/>
          </w:tcPr>
          <w:p>
            <w:pPr>
              <w:pStyle w:val="GesAbsatz"/>
              <w:tabs>
                <w:tab w:val="clear" w:pos="425"/>
              </w:tabs>
              <w:jc w:val="center"/>
            </w:pPr>
            <w:r>
              <w:t>0 – 500*</w:t>
            </w:r>
          </w:p>
        </w:tc>
        <w:tc>
          <w:tcPr>
            <w:tcW w:w="2058" w:type="dxa"/>
          </w:tcPr>
          <w:p>
            <w:pPr>
              <w:pStyle w:val="GesAbsatz"/>
              <w:tabs>
                <w:tab w:val="clear" w:pos="425"/>
              </w:tabs>
              <w:jc w:val="center"/>
            </w:pPr>
            <w:r>
              <w:t>mg/m³</w:t>
            </w:r>
          </w:p>
        </w:tc>
      </w:tr>
      <w:tr>
        <w:tc>
          <w:tcPr>
            <w:tcW w:w="1668" w:type="dxa"/>
          </w:tcPr>
          <w:p>
            <w:pPr>
              <w:pStyle w:val="GesAbsatz"/>
              <w:tabs>
                <w:tab w:val="clear" w:pos="425"/>
              </w:tabs>
            </w:pPr>
            <w:r>
              <w:t>NO</w:t>
            </w:r>
            <w:r>
              <w:rPr>
                <w:vertAlign w:val="subscript"/>
              </w:rPr>
              <w:t>2</w:t>
            </w:r>
          </w:p>
        </w:tc>
        <w:tc>
          <w:tcPr>
            <w:tcW w:w="2950" w:type="dxa"/>
          </w:tcPr>
          <w:p>
            <w:pPr>
              <w:pStyle w:val="GesAbsatz"/>
              <w:tabs>
                <w:tab w:val="clear" w:pos="425"/>
              </w:tabs>
              <w:jc w:val="center"/>
            </w:pPr>
            <w:r>
              <w:t>0 – 20*</w:t>
            </w:r>
          </w:p>
        </w:tc>
        <w:tc>
          <w:tcPr>
            <w:tcW w:w="2820" w:type="dxa"/>
          </w:tcPr>
          <w:p>
            <w:pPr>
              <w:pStyle w:val="GesAbsatz"/>
              <w:tabs>
                <w:tab w:val="clear" w:pos="425"/>
              </w:tabs>
              <w:jc w:val="center"/>
            </w:pPr>
            <w:r>
              <w:t>0 – 500*</w:t>
            </w:r>
          </w:p>
        </w:tc>
        <w:tc>
          <w:tcPr>
            <w:tcW w:w="2058" w:type="dxa"/>
          </w:tcPr>
          <w:p>
            <w:pPr>
              <w:pStyle w:val="GesAbsatz"/>
              <w:tabs>
                <w:tab w:val="clear" w:pos="425"/>
              </w:tabs>
              <w:jc w:val="center"/>
            </w:pPr>
            <w:r>
              <w:t>mg/m³</w:t>
            </w:r>
          </w:p>
        </w:tc>
      </w:tr>
      <w:tr>
        <w:tc>
          <w:tcPr>
            <w:tcW w:w="1668" w:type="dxa"/>
          </w:tcPr>
          <w:p>
            <w:pPr>
              <w:pStyle w:val="GesAbsatz"/>
              <w:tabs>
                <w:tab w:val="clear" w:pos="425"/>
              </w:tabs>
            </w:pPr>
            <w:r>
              <w:t>SO</w:t>
            </w:r>
            <w:r>
              <w:rPr>
                <w:vertAlign w:val="subscript"/>
              </w:rPr>
              <w:t>2</w:t>
            </w:r>
          </w:p>
        </w:tc>
        <w:tc>
          <w:tcPr>
            <w:tcW w:w="2950" w:type="dxa"/>
          </w:tcPr>
          <w:p>
            <w:pPr>
              <w:pStyle w:val="GesAbsatz"/>
              <w:tabs>
                <w:tab w:val="clear" w:pos="425"/>
              </w:tabs>
              <w:jc w:val="center"/>
            </w:pPr>
            <w:r>
              <w:t>0 – 75*</w:t>
            </w:r>
          </w:p>
        </w:tc>
        <w:tc>
          <w:tcPr>
            <w:tcW w:w="2820" w:type="dxa"/>
          </w:tcPr>
          <w:p>
            <w:pPr>
              <w:pStyle w:val="GesAbsatz"/>
              <w:tabs>
                <w:tab w:val="clear" w:pos="425"/>
              </w:tabs>
              <w:jc w:val="center"/>
            </w:pPr>
            <w:r>
              <w:t>0 – 500*</w:t>
            </w:r>
          </w:p>
        </w:tc>
        <w:tc>
          <w:tcPr>
            <w:tcW w:w="2058" w:type="dxa"/>
          </w:tcPr>
          <w:p>
            <w:pPr>
              <w:pStyle w:val="GesAbsatz"/>
              <w:tabs>
                <w:tab w:val="clear" w:pos="425"/>
              </w:tabs>
              <w:jc w:val="center"/>
            </w:pPr>
            <w:r>
              <w:t>mg/m³</w:t>
            </w:r>
          </w:p>
        </w:tc>
      </w:tr>
      <w:tr>
        <w:tc>
          <w:tcPr>
            <w:tcW w:w="1668" w:type="dxa"/>
          </w:tcPr>
          <w:p>
            <w:pPr>
              <w:pStyle w:val="GesAbsatz"/>
              <w:tabs>
                <w:tab w:val="clear" w:pos="425"/>
              </w:tabs>
            </w:pPr>
            <w:r>
              <w:t>NH</w:t>
            </w:r>
            <w:r>
              <w:rPr>
                <w:vertAlign w:val="subscript"/>
              </w:rPr>
              <w:t>3</w:t>
            </w:r>
          </w:p>
        </w:tc>
        <w:tc>
          <w:tcPr>
            <w:tcW w:w="2950" w:type="dxa"/>
          </w:tcPr>
          <w:p>
            <w:pPr>
              <w:pStyle w:val="GesAbsatz"/>
              <w:tabs>
                <w:tab w:val="clear" w:pos="425"/>
              </w:tabs>
              <w:jc w:val="center"/>
            </w:pPr>
            <w:r>
              <w:t>0 – 10*</w:t>
            </w:r>
          </w:p>
        </w:tc>
        <w:tc>
          <w:tcPr>
            <w:tcW w:w="2820" w:type="dxa"/>
          </w:tcPr>
          <w:p>
            <w:pPr>
              <w:pStyle w:val="GesAbsatz"/>
              <w:tabs>
                <w:tab w:val="clear" w:pos="425"/>
              </w:tabs>
              <w:jc w:val="center"/>
            </w:pPr>
            <w:r>
              <w:t>0 – 50*</w:t>
            </w:r>
          </w:p>
        </w:tc>
        <w:tc>
          <w:tcPr>
            <w:tcW w:w="2058" w:type="dxa"/>
          </w:tcPr>
          <w:p>
            <w:pPr>
              <w:pStyle w:val="GesAbsatz"/>
              <w:tabs>
                <w:tab w:val="clear" w:pos="425"/>
              </w:tabs>
              <w:jc w:val="center"/>
            </w:pPr>
            <w:r>
              <w:t>mg/m³</w:t>
            </w:r>
          </w:p>
        </w:tc>
      </w:tr>
      <w:tr>
        <w:tc>
          <w:tcPr>
            <w:tcW w:w="1668" w:type="dxa"/>
          </w:tcPr>
          <w:p>
            <w:pPr>
              <w:pStyle w:val="GesAbsatz"/>
              <w:tabs>
                <w:tab w:val="clear" w:pos="425"/>
              </w:tabs>
            </w:pPr>
            <w:r>
              <w:t>Hg</w:t>
            </w:r>
          </w:p>
        </w:tc>
        <w:tc>
          <w:tcPr>
            <w:tcW w:w="2950" w:type="dxa"/>
          </w:tcPr>
          <w:p>
            <w:pPr>
              <w:pStyle w:val="GesAbsatz"/>
              <w:tabs>
                <w:tab w:val="clear" w:pos="425"/>
              </w:tabs>
              <w:jc w:val="center"/>
            </w:pPr>
            <w:r>
              <w:t>0 – 45</w:t>
            </w:r>
          </w:p>
        </w:tc>
        <w:tc>
          <w:tcPr>
            <w:tcW w:w="2820" w:type="dxa"/>
          </w:tcPr>
          <w:p>
            <w:pPr>
              <w:pStyle w:val="GesAbsatz"/>
              <w:tabs>
                <w:tab w:val="clear" w:pos="425"/>
              </w:tabs>
              <w:jc w:val="center"/>
            </w:pPr>
            <w:r>
              <w:t>0 – 100</w:t>
            </w:r>
          </w:p>
        </w:tc>
        <w:tc>
          <w:tcPr>
            <w:tcW w:w="2058" w:type="dxa"/>
          </w:tcPr>
          <w:p>
            <w:pPr>
              <w:pStyle w:val="GesAbsatz"/>
              <w:tabs>
                <w:tab w:val="clear" w:pos="425"/>
              </w:tabs>
              <w:jc w:val="center"/>
            </w:pPr>
            <w:r>
              <w:t>μg/m³</w:t>
            </w:r>
          </w:p>
        </w:tc>
      </w:tr>
    </w:tbl>
    <w:p>
      <w:pPr>
        <w:pStyle w:val="GesAbsatz"/>
      </w:pPr>
      <w:r>
        <w:t>* bezogen auf eine Messweglänge von 1,0 Meter</w:t>
      </w:r>
    </w:p>
    <w:p>
      <w:pPr>
        <w:pStyle w:val="GesAbsatz"/>
      </w:pPr>
      <w:r>
        <w:t>Softwareversion: 7.21</w:t>
      </w:r>
    </w:p>
    <w:p>
      <w:pPr>
        <w:pStyle w:val="GesAbsatz"/>
      </w:pPr>
      <w:r>
        <w:t>Einschränkung:</w:t>
      </w:r>
    </w:p>
    <w:p>
      <w:pPr>
        <w:pStyle w:val="GesAbsatz"/>
      </w:pPr>
      <w:r>
        <w:t>Für die Komponente Hg wurde die Anforderung bei der Eignungsprüfung nach DIN EN 15267-3 an die Einstellzeit nicht erfüllt.</w:t>
      </w:r>
    </w:p>
    <w:p>
      <w:pPr>
        <w:pStyle w:val="GesAbsatz"/>
      </w:pPr>
      <w:r>
        <w:t>Hinweise:</w:t>
      </w:r>
    </w:p>
    <w:p>
      <w:pPr>
        <w:pStyle w:val="GesAbsatz"/>
      </w:pPr>
      <w:r>
        <w:t>1.</w:t>
      </w:r>
      <w:r>
        <w:tab/>
        <w:t>Das Wartungsintervall beträgt vier Wochen.</w:t>
      </w:r>
    </w:p>
    <w:p>
      <w:pPr>
        <w:pStyle w:val="GesAbsatz"/>
      </w:pPr>
      <w:r>
        <w:t>2.</w:t>
      </w:r>
      <w:r>
        <w:tab/>
        <w:t>Die geprüfte Messweglänge beträgt 1 m.</w:t>
      </w:r>
    </w:p>
    <w:p>
      <w:pPr>
        <w:pStyle w:val="GesAbsatz"/>
        <w:ind w:left="426" w:hanging="426"/>
      </w:pPr>
      <w:r>
        <w:t>3.</w:t>
      </w:r>
      <w:r>
        <w:tab/>
        <w:t>Die Komponenten NO, NO</w:t>
      </w:r>
      <w:r>
        <w:rPr>
          <w:vertAlign w:val="subscript"/>
        </w:rPr>
        <w:t>2</w:t>
      </w:r>
      <w:r>
        <w:t>, SO</w:t>
      </w:r>
      <w:r>
        <w:rPr>
          <w:vertAlign w:val="subscript"/>
        </w:rPr>
        <w:t>2</w:t>
      </w:r>
      <w:r>
        <w:t xml:space="preserve"> und NH</w:t>
      </w:r>
      <w:r>
        <w:rPr>
          <w:vertAlign w:val="subscript"/>
        </w:rPr>
        <w:t>3</w:t>
      </w:r>
      <w:r>
        <w:t xml:space="preserve"> werden In-situ bestimmt. Die Komponente Hg kann modular durch Anschluss der externen Messzelle EX060H (mit einer Messweglänge von 2 m) sowie des Multiplexers MX004 mit eingebunden werden. Die Messeinrichtung trägt dann die Bezeichnung AR602Z/NHg. </w:t>
      </w:r>
      <w:r>
        <w:lastRenderedPageBreak/>
        <w:t>Wird auf die Einbindung der Komponente Hg verzichtet (AR602Z/N), so muss der Lichtweg unverändert bleiben.</w:t>
      </w:r>
    </w:p>
    <w:p>
      <w:pPr>
        <w:pStyle w:val="GesAbsatz"/>
        <w:ind w:left="426" w:hanging="426"/>
      </w:pPr>
      <w:r>
        <w:t>4.</w:t>
      </w:r>
      <w:r>
        <w:tab/>
        <w:t>Für die regelmäßige Kontrolle des Referenzpunktes der Komponente Hg im Wartungsintervall muss ein Prüfgasgenerator, z. B. HovaCal, zur Verfügung stehen.</w:t>
      </w:r>
    </w:p>
    <w:p>
      <w:pPr>
        <w:pStyle w:val="GesAbsatz"/>
        <w:ind w:left="426" w:hanging="426"/>
      </w:pPr>
      <w:r>
        <w:t>5.</w:t>
      </w:r>
      <w:r>
        <w:tab/>
        <w:t>Zur Querempfindlichkeitskompensation der Komponente Hg muss die Komponente SO</w:t>
      </w:r>
      <w:r>
        <w:rPr>
          <w:vertAlign w:val="subscript"/>
        </w:rPr>
        <w:t>2</w:t>
      </w:r>
      <w:r>
        <w:t xml:space="preserve"> (angezeigt als XXX) in der beheizten Messzelle bestimmt werden.</w:t>
      </w:r>
    </w:p>
    <w:p>
      <w:pPr>
        <w:pStyle w:val="GesAbsatz"/>
        <w:ind w:left="426" w:hanging="426"/>
      </w:pPr>
      <w:r>
        <w:t>6.</w:t>
      </w:r>
      <w:r>
        <w:tab/>
        <w:t>Die Länge der beheizten Messgasleitung betrug für die Komponente Hg im Labor- und im Feldtest 10 m.</w:t>
      </w:r>
    </w:p>
    <w:p>
      <w:pPr>
        <w:pStyle w:val="GesAbsatz"/>
        <w:ind w:left="426" w:hanging="426"/>
      </w:pPr>
      <w:r>
        <w:t>7.</w:t>
      </w:r>
      <w:r>
        <w:tab/>
        <w:t>Unter Einbindung der Komponente Hg (AR602Z/NHg) müssen nach Revision oder Fehlfunktionen in der Abgasreinigung die Filter in der Probenahmesonde überprüft und gegebenenfalls ausgetauscht werden.</w:t>
      </w:r>
    </w:p>
    <w:p>
      <w:pPr>
        <w:pStyle w:val="GesAbsatz"/>
      </w:pPr>
      <w:r>
        <w:t>Prüfbericht: TÜV Rheinland Energie und Umwelt GmbH, Köln</w:t>
      </w:r>
    </w:p>
    <w:p>
      <w:pPr>
        <w:pStyle w:val="GesAbsatz"/>
      </w:pPr>
      <w:r>
        <w:t>Bericht-Nr.: 936/21222333/A vom 10. Oktober 2013</w:t>
      </w:r>
    </w:p>
    <w:p>
      <w:pPr>
        <w:pStyle w:val="GesAbsatz"/>
        <w:rPr>
          <w:b/>
          <w:lang w:val="en-US"/>
        </w:rPr>
      </w:pPr>
      <w:r>
        <w:rPr>
          <w:b/>
          <w:lang w:val="en-US"/>
        </w:rPr>
        <w:t>3.3</w:t>
      </w:r>
      <w:r>
        <w:rPr>
          <w:b/>
          <w:lang w:val="en-US"/>
        </w:rPr>
        <w:tab/>
        <w:t xml:space="preserve">MGS300 </w:t>
      </w:r>
      <w:r>
        <w:rPr>
          <w:b/>
        </w:rPr>
        <w:t>für</w:t>
      </w:r>
      <w:r>
        <w:rPr>
          <w:b/>
          <w:lang w:val="en-US"/>
        </w:rPr>
        <w:t xml:space="preserve"> CO, SO</w:t>
      </w:r>
      <w:r>
        <w:rPr>
          <w:b/>
          <w:vertAlign w:val="subscript"/>
          <w:lang w:val="en-US"/>
        </w:rPr>
        <w:t>2</w:t>
      </w:r>
      <w:r>
        <w:rPr>
          <w:b/>
          <w:lang w:val="en-US"/>
        </w:rPr>
        <w:t>, NO, NO</w:t>
      </w:r>
      <w:r>
        <w:rPr>
          <w:b/>
          <w:vertAlign w:val="subscript"/>
          <w:lang w:val="en-US"/>
        </w:rPr>
        <w:t>2</w:t>
      </w:r>
      <w:r>
        <w:rPr>
          <w:b/>
          <w:lang w:val="en-US"/>
        </w:rPr>
        <w:t>, HCl, HF, CH</w:t>
      </w:r>
      <w:r>
        <w:rPr>
          <w:b/>
          <w:vertAlign w:val="subscript"/>
          <w:lang w:val="en-US"/>
        </w:rPr>
        <w:t>4</w:t>
      </w:r>
      <w:r>
        <w:rPr>
          <w:b/>
          <w:lang w:val="en-US"/>
        </w:rPr>
        <w:t>, CO</w:t>
      </w:r>
      <w:r>
        <w:rPr>
          <w:b/>
          <w:vertAlign w:val="subscript"/>
          <w:lang w:val="en-US"/>
        </w:rPr>
        <w:t>2</w:t>
      </w:r>
      <w:r>
        <w:rPr>
          <w:b/>
          <w:lang w:val="en-US"/>
        </w:rPr>
        <w:t>, H</w:t>
      </w:r>
      <w:r>
        <w:rPr>
          <w:b/>
          <w:vertAlign w:val="subscript"/>
          <w:lang w:val="en-US"/>
        </w:rPr>
        <w:t>2</w:t>
      </w:r>
      <w:r>
        <w:rPr>
          <w:b/>
          <w:lang w:val="en-US"/>
        </w:rPr>
        <w:t>O, N</w:t>
      </w:r>
      <w:r>
        <w:rPr>
          <w:b/>
          <w:vertAlign w:val="subscript"/>
          <w:lang w:val="en-US"/>
        </w:rPr>
        <w:t>2</w:t>
      </w:r>
      <w:r>
        <w:rPr>
          <w:b/>
          <w:lang w:val="en-US"/>
        </w:rPr>
        <w:t>O und NH</w:t>
      </w:r>
      <w:r>
        <w:rPr>
          <w:b/>
          <w:vertAlign w:val="subscript"/>
          <w:lang w:val="en-US"/>
        </w:rPr>
        <w:t>3</w:t>
      </w:r>
    </w:p>
    <w:p>
      <w:pPr>
        <w:pStyle w:val="GesAbsatz"/>
      </w:pPr>
      <w:r>
        <w:t>Hersteller:</w:t>
      </w:r>
    </w:p>
    <w:p>
      <w:pPr>
        <w:pStyle w:val="GesAbsatz"/>
      </w:pPr>
      <w:r>
        <w:t>MKS Instruments Inc., Methuen, USA</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0" w:type="auto"/>
        <w:tblLook w:val="04A0" w:firstRow="1" w:lastRow="0" w:firstColumn="1" w:lastColumn="0" w:noHBand="0" w:noVBand="1"/>
      </w:tblPr>
      <w:tblGrid>
        <w:gridCol w:w="1666"/>
        <w:gridCol w:w="2295"/>
        <w:gridCol w:w="2165"/>
        <w:gridCol w:w="1989"/>
        <w:gridCol w:w="1513"/>
      </w:tblGrid>
      <w:tr>
        <w:tc>
          <w:tcPr>
            <w:tcW w:w="1668" w:type="dxa"/>
          </w:tcPr>
          <w:p>
            <w:pPr>
              <w:pStyle w:val="GesAbsatz"/>
              <w:tabs>
                <w:tab w:val="clear" w:pos="425"/>
              </w:tabs>
              <w:jc w:val="center"/>
            </w:pPr>
            <w:r>
              <w:t>Komponente</w:t>
            </w:r>
          </w:p>
        </w:tc>
        <w:tc>
          <w:tcPr>
            <w:tcW w:w="2297" w:type="dxa"/>
          </w:tcPr>
          <w:p>
            <w:pPr>
              <w:pStyle w:val="GesAbsatz"/>
              <w:tabs>
                <w:tab w:val="clear" w:pos="425"/>
              </w:tabs>
              <w:jc w:val="center"/>
            </w:pPr>
            <w:r>
              <w:t>Zertifizierungsbereich</w:t>
            </w:r>
          </w:p>
        </w:tc>
        <w:tc>
          <w:tcPr>
            <w:tcW w:w="4159" w:type="dxa"/>
            <w:gridSpan w:val="2"/>
          </w:tcPr>
          <w:p>
            <w:pPr>
              <w:pStyle w:val="GesAbsatz"/>
              <w:tabs>
                <w:tab w:val="clear" w:pos="425"/>
              </w:tabs>
              <w:jc w:val="center"/>
            </w:pPr>
            <w:r>
              <w:t>zusätzliche Messbereiche</w:t>
            </w:r>
          </w:p>
        </w:tc>
        <w:tc>
          <w:tcPr>
            <w:tcW w:w="1514" w:type="dxa"/>
          </w:tcPr>
          <w:p>
            <w:pPr>
              <w:pStyle w:val="GesAbsatz"/>
              <w:tabs>
                <w:tab w:val="clear" w:pos="425"/>
              </w:tabs>
              <w:jc w:val="center"/>
            </w:pPr>
            <w:r>
              <w:t>Einheit</w:t>
            </w:r>
          </w:p>
        </w:tc>
      </w:tr>
      <w:tr>
        <w:tc>
          <w:tcPr>
            <w:tcW w:w="1668" w:type="dxa"/>
          </w:tcPr>
          <w:p>
            <w:pPr>
              <w:pStyle w:val="GesAbsatz"/>
              <w:tabs>
                <w:tab w:val="clear" w:pos="425"/>
              </w:tabs>
            </w:pPr>
            <w:r>
              <w:t>HF</w:t>
            </w:r>
          </w:p>
        </w:tc>
        <w:tc>
          <w:tcPr>
            <w:tcW w:w="2297" w:type="dxa"/>
          </w:tcPr>
          <w:p>
            <w:pPr>
              <w:pStyle w:val="GesAbsatz"/>
              <w:tabs>
                <w:tab w:val="clear" w:pos="425"/>
              </w:tabs>
              <w:jc w:val="center"/>
            </w:pPr>
            <w:r>
              <w:t>0 – 3</w:t>
            </w:r>
          </w:p>
        </w:tc>
        <w:tc>
          <w:tcPr>
            <w:tcW w:w="2168" w:type="dxa"/>
          </w:tcPr>
          <w:p>
            <w:pPr>
              <w:pStyle w:val="GesAbsatz"/>
              <w:tabs>
                <w:tab w:val="clear" w:pos="425"/>
              </w:tabs>
              <w:jc w:val="center"/>
            </w:pPr>
            <w:r>
              <w:t>0 – 10</w:t>
            </w:r>
          </w:p>
        </w:tc>
        <w:tc>
          <w:tcPr>
            <w:tcW w:w="1991" w:type="dxa"/>
          </w:tcPr>
          <w:p>
            <w:pPr>
              <w:pStyle w:val="GesAbsatz"/>
              <w:tabs>
                <w:tab w:val="clear" w:pos="425"/>
              </w:tabs>
              <w:jc w:val="center"/>
            </w:pPr>
            <w:r>
              <w:t>–</w:t>
            </w:r>
          </w:p>
        </w:tc>
        <w:tc>
          <w:tcPr>
            <w:tcW w:w="1514" w:type="dxa"/>
          </w:tcPr>
          <w:p>
            <w:pPr>
              <w:pStyle w:val="GesAbsatz"/>
              <w:tabs>
                <w:tab w:val="clear" w:pos="425"/>
              </w:tabs>
              <w:jc w:val="center"/>
            </w:pPr>
            <w:r>
              <w:t>mg/m³</w:t>
            </w:r>
          </w:p>
        </w:tc>
      </w:tr>
      <w:tr>
        <w:tc>
          <w:tcPr>
            <w:tcW w:w="1668" w:type="dxa"/>
          </w:tcPr>
          <w:p>
            <w:pPr>
              <w:pStyle w:val="GesAbsatz"/>
              <w:tabs>
                <w:tab w:val="clear" w:pos="425"/>
              </w:tabs>
              <w:rPr>
                <w:lang w:val="en-US"/>
              </w:rPr>
            </w:pPr>
            <w:r>
              <w:rPr>
                <w:lang w:val="en-US"/>
              </w:rPr>
              <w:t>N</w:t>
            </w:r>
            <w:r>
              <w:rPr>
                <w:vertAlign w:val="subscript"/>
                <w:lang w:val="en-US"/>
              </w:rPr>
              <w:t>2</w:t>
            </w:r>
            <w:r>
              <w:rPr>
                <w:lang w:val="en-US"/>
              </w:rPr>
              <w:t>O</w:t>
            </w:r>
          </w:p>
        </w:tc>
        <w:tc>
          <w:tcPr>
            <w:tcW w:w="2297" w:type="dxa"/>
          </w:tcPr>
          <w:p>
            <w:pPr>
              <w:pStyle w:val="GesAbsatz"/>
              <w:tabs>
                <w:tab w:val="clear" w:pos="425"/>
              </w:tabs>
              <w:jc w:val="center"/>
              <w:rPr>
                <w:lang w:val="en-US"/>
              </w:rPr>
            </w:pPr>
            <w:r>
              <w:rPr>
                <w:lang w:val="en-US"/>
              </w:rPr>
              <w:t>0 – 50</w:t>
            </w:r>
          </w:p>
        </w:tc>
        <w:tc>
          <w:tcPr>
            <w:tcW w:w="2168" w:type="dxa"/>
          </w:tcPr>
          <w:p>
            <w:pPr>
              <w:pStyle w:val="GesAbsatz"/>
              <w:tabs>
                <w:tab w:val="clear" w:pos="425"/>
              </w:tabs>
              <w:jc w:val="center"/>
              <w:rPr>
                <w:lang w:val="en-US"/>
              </w:rPr>
            </w:pPr>
            <w:r>
              <w:rPr>
                <w:lang w:val="en-US"/>
              </w:rPr>
              <w:t>0 – 100</w:t>
            </w:r>
          </w:p>
        </w:tc>
        <w:tc>
          <w:tcPr>
            <w:tcW w:w="1991" w:type="dxa"/>
          </w:tcPr>
          <w:p>
            <w:pPr>
              <w:pStyle w:val="GesAbsatz"/>
              <w:tabs>
                <w:tab w:val="clear" w:pos="425"/>
              </w:tabs>
              <w:jc w:val="center"/>
              <w:rPr>
                <w:lang w:val="en-US"/>
              </w:rPr>
            </w:pPr>
            <w:r>
              <w:rPr>
                <w:lang w:val="en-US"/>
              </w:rPr>
              <w:t>0 – 500</w:t>
            </w:r>
          </w:p>
        </w:tc>
        <w:tc>
          <w:tcPr>
            <w:tcW w:w="1514" w:type="dxa"/>
          </w:tcPr>
          <w:p>
            <w:pPr>
              <w:pStyle w:val="GesAbsatz"/>
              <w:tabs>
                <w:tab w:val="clear" w:pos="425"/>
              </w:tabs>
              <w:jc w:val="center"/>
              <w:rPr>
                <w:lang w:val="en-US"/>
              </w:rPr>
            </w:pPr>
            <w:r>
              <w:rPr>
                <w:lang w:val="en-US"/>
              </w:rPr>
              <w:t>mg/m³</w:t>
            </w:r>
          </w:p>
        </w:tc>
      </w:tr>
      <w:tr>
        <w:tc>
          <w:tcPr>
            <w:tcW w:w="1668" w:type="dxa"/>
          </w:tcPr>
          <w:p>
            <w:pPr>
              <w:pStyle w:val="GesAbsatz"/>
              <w:tabs>
                <w:tab w:val="clear" w:pos="425"/>
              </w:tabs>
              <w:rPr>
                <w:lang w:val="en-US"/>
              </w:rPr>
            </w:pPr>
            <w:r>
              <w:rPr>
                <w:lang w:val="en-US"/>
              </w:rPr>
              <w:t>CO</w:t>
            </w:r>
          </w:p>
        </w:tc>
        <w:tc>
          <w:tcPr>
            <w:tcW w:w="2297" w:type="dxa"/>
          </w:tcPr>
          <w:p>
            <w:pPr>
              <w:pStyle w:val="GesAbsatz"/>
              <w:tabs>
                <w:tab w:val="clear" w:pos="425"/>
              </w:tabs>
              <w:jc w:val="center"/>
              <w:rPr>
                <w:lang w:val="en-US"/>
              </w:rPr>
            </w:pPr>
            <w:r>
              <w:rPr>
                <w:lang w:val="en-US"/>
              </w:rPr>
              <w:t>0 – 75</w:t>
            </w:r>
          </w:p>
        </w:tc>
        <w:tc>
          <w:tcPr>
            <w:tcW w:w="2168" w:type="dxa"/>
          </w:tcPr>
          <w:p>
            <w:pPr>
              <w:pStyle w:val="GesAbsatz"/>
              <w:tabs>
                <w:tab w:val="clear" w:pos="425"/>
              </w:tabs>
              <w:jc w:val="center"/>
              <w:rPr>
                <w:lang w:val="en-US"/>
              </w:rPr>
            </w:pPr>
            <w:r>
              <w:rPr>
                <w:lang w:val="en-US"/>
              </w:rPr>
              <w:t>0 – 300</w:t>
            </w:r>
          </w:p>
        </w:tc>
        <w:tc>
          <w:tcPr>
            <w:tcW w:w="1991" w:type="dxa"/>
          </w:tcPr>
          <w:p>
            <w:pPr>
              <w:pStyle w:val="GesAbsatz"/>
              <w:tabs>
                <w:tab w:val="clear" w:pos="425"/>
              </w:tabs>
              <w:jc w:val="center"/>
              <w:rPr>
                <w:lang w:val="en-US"/>
              </w:rPr>
            </w:pPr>
            <w:r>
              <w:rPr>
                <w:lang w:val="en-US"/>
              </w:rPr>
              <w:t>0 – 1 500</w:t>
            </w:r>
          </w:p>
        </w:tc>
        <w:tc>
          <w:tcPr>
            <w:tcW w:w="1514" w:type="dxa"/>
          </w:tcPr>
          <w:p>
            <w:pPr>
              <w:pStyle w:val="GesAbsatz"/>
              <w:tabs>
                <w:tab w:val="clear" w:pos="425"/>
              </w:tabs>
              <w:jc w:val="center"/>
              <w:rPr>
                <w:lang w:val="en-US"/>
              </w:rPr>
            </w:pPr>
            <w:r>
              <w:rPr>
                <w:lang w:val="en-US"/>
              </w:rPr>
              <w:t>mg/m³</w:t>
            </w:r>
          </w:p>
        </w:tc>
      </w:tr>
      <w:tr>
        <w:tc>
          <w:tcPr>
            <w:tcW w:w="1668" w:type="dxa"/>
          </w:tcPr>
          <w:p>
            <w:pPr>
              <w:pStyle w:val="GesAbsatz"/>
              <w:tabs>
                <w:tab w:val="clear" w:pos="425"/>
              </w:tabs>
              <w:rPr>
                <w:lang w:val="en-US"/>
              </w:rPr>
            </w:pPr>
            <w:r>
              <w:rPr>
                <w:lang w:val="en-US"/>
              </w:rPr>
              <w:t>SO</w:t>
            </w:r>
            <w:r>
              <w:rPr>
                <w:vertAlign w:val="subscript"/>
                <w:lang w:val="en-US"/>
              </w:rPr>
              <w:t>2</w:t>
            </w:r>
          </w:p>
        </w:tc>
        <w:tc>
          <w:tcPr>
            <w:tcW w:w="2297" w:type="dxa"/>
          </w:tcPr>
          <w:p>
            <w:pPr>
              <w:pStyle w:val="GesAbsatz"/>
              <w:tabs>
                <w:tab w:val="clear" w:pos="425"/>
              </w:tabs>
              <w:jc w:val="center"/>
              <w:rPr>
                <w:lang w:val="en-US"/>
              </w:rPr>
            </w:pPr>
            <w:r>
              <w:rPr>
                <w:lang w:val="en-US"/>
              </w:rPr>
              <w:t>0 – 75</w:t>
            </w:r>
          </w:p>
        </w:tc>
        <w:tc>
          <w:tcPr>
            <w:tcW w:w="2168" w:type="dxa"/>
          </w:tcPr>
          <w:p>
            <w:pPr>
              <w:pStyle w:val="GesAbsatz"/>
              <w:tabs>
                <w:tab w:val="clear" w:pos="425"/>
              </w:tabs>
              <w:jc w:val="center"/>
              <w:rPr>
                <w:lang w:val="en-US"/>
              </w:rPr>
            </w:pPr>
            <w:r>
              <w:rPr>
                <w:lang w:val="en-US"/>
              </w:rPr>
              <w:t>0 – 300</w:t>
            </w:r>
          </w:p>
        </w:tc>
        <w:tc>
          <w:tcPr>
            <w:tcW w:w="1991" w:type="dxa"/>
          </w:tcPr>
          <w:p>
            <w:pPr>
              <w:pStyle w:val="GesAbsatz"/>
              <w:tabs>
                <w:tab w:val="clear" w:pos="425"/>
              </w:tabs>
              <w:jc w:val="center"/>
              <w:rPr>
                <w:lang w:val="en-US"/>
              </w:rPr>
            </w:pPr>
            <w:r>
              <w:rPr>
                <w:lang w:val="en-US"/>
              </w:rPr>
              <w:t>0 – 2 000</w:t>
            </w:r>
          </w:p>
        </w:tc>
        <w:tc>
          <w:tcPr>
            <w:tcW w:w="1514" w:type="dxa"/>
          </w:tcPr>
          <w:p>
            <w:pPr>
              <w:pStyle w:val="GesAbsatz"/>
              <w:tabs>
                <w:tab w:val="clear" w:pos="425"/>
              </w:tabs>
              <w:jc w:val="center"/>
              <w:rPr>
                <w:lang w:val="en-US"/>
              </w:rPr>
            </w:pPr>
            <w:r>
              <w:rPr>
                <w:lang w:val="en-US"/>
              </w:rPr>
              <w:t>mg/m³</w:t>
            </w:r>
          </w:p>
        </w:tc>
      </w:tr>
      <w:tr>
        <w:tc>
          <w:tcPr>
            <w:tcW w:w="1668" w:type="dxa"/>
          </w:tcPr>
          <w:p>
            <w:pPr>
              <w:pStyle w:val="GesAbsatz"/>
              <w:tabs>
                <w:tab w:val="clear" w:pos="425"/>
              </w:tabs>
              <w:rPr>
                <w:lang w:val="en-US"/>
              </w:rPr>
            </w:pPr>
            <w:r>
              <w:rPr>
                <w:lang w:val="en-US"/>
              </w:rPr>
              <w:t>NO</w:t>
            </w:r>
          </w:p>
        </w:tc>
        <w:tc>
          <w:tcPr>
            <w:tcW w:w="2297" w:type="dxa"/>
          </w:tcPr>
          <w:p>
            <w:pPr>
              <w:pStyle w:val="GesAbsatz"/>
              <w:tabs>
                <w:tab w:val="clear" w:pos="425"/>
              </w:tabs>
              <w:jc w:val="center"/>
              <w:rPr>
                <w:lang w:val="en-US"/>
              </w:rPr>
            </w:pPr>
            <w:r>
              <w:rPr>
                <w:lang w:val="en-US"/>
              </w:rPr>
              <w:t>0 – 200</w:t>
            </w:r>
          </w:p>
        </w:tc>
        <w:tc>
          <w:tcPr>
            <w:tcW w:w="2168" w:type="dxa"/>
          </w:tcPr>
          <w:p>
            <w:pPr>
              <w:pStyle w:val="GesAbsatz"/>
              <w:tabs>
                <w:tab w:val="clear" w:pos="425"/>
              </w:tabs>
              <w:jc w:val="center"/>
              <w:rPr>
                <w:lang w:val="en-US"/>
              </w:rPr>
            </w:pPr>
            <w:r>
              <w:rPr>
                <w:lang w:val="en-US"/>
              </w:rPr>
              <w:t>0 – 400</w:t>
            </w:r>
          </w:p>
        </w:tc>
        <w:tc>
          <w:tcPr>
            <w:tcW w:w="1991" w:type="dxa"/>
          </w:tcPr>
          <w:p>
            <w:pPr>
              <w:pStyle w:val="GesAbsatz"/>
              <w:tabs>
                <w:tab w:val="clear" w:pos="425"/>
              </w:tabs>
              <w:jc w:val="center"/>
              <w:rPr>
                <w:lang w:val="en-US"/>
              </w:rPr>
            </w:pPr>
            <w:r>
              <w:rPr>
                <w:lang w:val="en-US"/>
              </w:rPr>
              <w:t>0 – 1 500</w:t>
            </w:r>
          </w:p>
        </w:tc>
        <w:tc>
          <w:tcPr>
            <w:tcW w:w="1514" w:type="dxa"/>
          </w:tcPr>
          <w:p>
            <w:pPr>
              <w:pStyle w:val="GesAbsatz"/>
              <w:tabs>
                <w:tab w:val="clear" w:pos="425"/>
              </w:tabs>
              <w:jc w:val="center"/>
              <w:rPr>
                <w:lang w:val="en-US"/>
              </w:rPr>
            </w:pPr>
            <w:r>
              <w:rPr>
                <w:lang w:val="en-US"/>
              </w:rPr>
              <w:t>mg/m³</w:t>
            </w:r>
          </w:p>
        </w:tc>
      </w:tr>
      <w:tr>
        <w:tc>
          <w:tcPr>
            <w:tcW w:w="1668" w:type="dxa"/>
          </w:tcPr>
          <w:p>
            <w:pPr>
              <w:pStyle w:val="GesAbsatz"/>
              <w:tabs>
                <w:tab w:val="clear" w:pos="425"/>
              </w:tabs>
              <w:rPr>
                <w:lang w:val="en-US"/>
              </w:rPr>
            </w:pPr>
            <w:r>
              <w:rPr>
                <w:lang w:val="en-US"/>
              </w:rPr>
              <w:t>NO</w:t>
            </w:r>
            <w:r>
              <w:rPr>
                <w:vertAlign w:val="subscript"/>
                <w:lang w:val="en-US"/>
              </w:rPr>
              <w:t>2</w:t>
            </w:r>
          </w:p>
        </w:tc>
        <w:tc>
          <w:tcPr>
            <w:tcW w:w="2297" w:type="dxa"/>
          </w:tcPr>
          <w:p>
            <w:pPr>
              <w:pStyle w:val="GesAbsatz"/>
              <w:tabs>
                <w:tab w:val="clear" w:pos="425"/>
              </w:tabs>
              <w:jc w:val="center"/>
              <w:rPr>
                <w:lang w:val="en-US"/>
              </w:rPr>
            </w:pPr>
            <w:r>
              <w:rPr>
                <w:lang w:val="en-US"/>
              </w:rPr>
              <w:t>0 – 50</w:t>
            </w:r>
          </w:p>
        </w:tc>
        <w:tc>
          <w:tcPr>
            <w:tcW w:w="2168" w:type="dxa"/>
          </w:tcPr>
          <w:p>
            <w:pPr>
              <w:pStyle w:val="GesAbsatz"/>
              <w:tabs>
                <w:tab w:val="clear" w:pos="425"/>
              </w:tabs>
              <w:jc w:val="center"/>
              <w:rPr>
                <w:lang w:val="en-US"/>
              </w:rPr>
            </w:pPr>
            <w:r>
              <w:rPr>
                <w:lang w:val="en-US"/>
              </w:rPr>
              <w:t>0 – 100</w:t>
            </w:r>
          </w:p>
        </w:tc>
        <w:tc>
          <w:tcPr>
            <w:tcW w:w="1991" w:type="dxa"/>
          </w:tcPr>
          <w:p>
            <w:pPr>
              <w:pStyle w:val="GesAbsatz"/>
              <w:tabs>
                <w:tab w:val="clear" w:pos="425"/>
              </w:tabs>
              <w:jc w:val="center"/>
              <w:rPr>
                <w:lang w:val="en-US"/>
              </w:rPr>
            </w:pPr>
            <w:r>
              <w:rPr>
                <w:lang w:val="en-US"/>
              </w:rPr>
              <w:t>0 – 1 000</w:t>
            </w:r>
          </w:p>
        </w:tc>
        <w:tc>
          <w:tcPr>
            <w:tcW w:w="1514" w:type="dxa"/>
          </w:tcPr>
          <w:p>
            <w:pPr>
              <w:pStyle w:val="GesAbsatz"/>
              <w:tabs>
                <w:tab w:val="clear" w:pos="425"/>
              </w:tabs>
              <w:jc w:val="center"/>
              <w:rPr>
                <w:lang w:val="en-US"/>
              </w:rPr>
            </w:pPr>
            <w:r>
              <w:rPr>
                <w:lang w:val="en-US"/>
              </w:rPr>
              <w:t>mg/m³</w:t>
            </w:r>
          </w:p>
        </w:tc>
      </w:tr>
      <w:tr>
        <w:tc>
          <w:tcPr>
            <w:tcW w:w="1668" w:type="dxa"/>
          </w:tcPr>
          <w:p>
            <w:pPr>
              <w:pStyle w:val="GesAbsatz"/>
              <w:tabs>
                <w:tab w:val="clear" w:pos="425"/>
              </w:tabs>
              <w:rPr>
                <w:lang w:val="en-US"/>
              </w:rPr>
            </w:pPr>
            <w:r>
              <w:rPr>
                <w:lang w:val="en-US"/>
              </w:rPr>
              <w:t>HCl</w:t>
            </w:r>
          </w:p>
        </w:tc>
        <w:tc>
          <w:tcPr>
            <w:tcW w:w="2297" w:type="dxa"/>
          </w:tcPr>
          <w:p>
            <w:pPr>
              <w:pStyle w:val="GesAbsatz"/>
              <w:tabs>
                <w:tab w:val="clear" w:pos="425"/>
              </w:tabs>
              <w:jc w:val="center"/>
              <w:rPr>
                <w:lang w:val="en-US"/>
              </w:rPr>
            </w:pPr>
            <w:r>
              <w:rPr>
                <w:lang w:val="en-US"/>
              </w:rPr>
              <w:t>0 – 15</w:t>
            </w:r>
          </w:p>
        </w:tc>
        <w:tc>
          <w:tcPr>
            <w:tcW w:w="2168" w:type="dxa"/>
          </w:tcPr>
          <w:p>
            <w:pPr>
              <w:pStyle w:val="GesAbsatz"/>
              <w:tabs>
                <w:tab w:val="clear" w:pos="425"/>
              </w:tabs>
              <w:jc w:val="center"/>
              <w:rPr>
                <w:lang w:val="en-US"/>
              </w:rPr>
            </w:pPr>
            <w:r>
              <w:rPr>
                <w:lang w:val="en-US"/>
              </w:rPr>
              <w:t>0 – 90</w:t>
            </w:r>
          </w:p>
        </w:tc>
        <w:tc>
          <w:tcPr>
            <w:tcW w:w="1991" w:type="dxa"/>
          </w:tcPr>
          <w:p>
            <w:pPr>
              <w:pStyle w:val="GesAbsatz"/>
              <w:tabs>
                <w:tab w:val="clear" w:pos="425"/>
              </w:tabs>
              <w:jc w:val="center"/>
              <w:rPr>
                <w:lang w:val="en-US"/>
              </w:rPr>
            </w:pPr>
            <w:r>
              <w:rPr>
                <w:lang w:val="en-US"/>
              </w:rPr>
              <w:t>0 – 200</w:t>
            </w:r>
          </w:p>
        </w:tc>
        <w:tc>
          <w:tcPr>
            <w:tcW w:w="1514" w:type="dxa"/>
          </w:tcPr>
          <w:p>
            <w:pPr>
              <w:pStyle w:val="GesAbsatz"/>
              <w:tabs>
                <w:tab w:val="clear" w:pos="425"/>
              </w:tabs>
              <w:jc w:val="center"/>
              <w:rPr>
                <w:lang w:val="en-US"/>
              </w:rPr>
            </w:pPr>
            <w:r>
              <w:rPr>
                <w:lang w:val="en-US"/>
              </w:rPr>
              <w:t>mg/m³</w:t>
            </w:r>
          </w:p>
        </w:tc>
      </w:tr>
      <w:tr>
        <w:tc>
          <w:tcPr>
            <w:tcW w:w="1668" w:type="dxa"/>
          </w:tcPr>
          <w:p>
            <w:pPr>
              <w:pStyle w:val="GesAbsatz"/>
              <w:tabs>
                <w:tab w:val="clear" w:pos="425"/>
              </w:tabs>
              <w:rPr>
                <w:lang w:val="en-US"/>
              </w:rPr>
            </w:pPr>
            <w:r>
              <w:rPr>
                <w:lang w:val="en-US"/>
              </w:rPr>
              <w:t>NH</w:t>
            </w:r>
            <w:r>
              <w:rPr>
                <w:vertAlign w:val="subscript"/>
                <w:lang w:val="en-US"/>
              </w:rPr>
              <w:t>3</w:t>
            </w:r>
          </w:p>
        </w:tc>
        <w:tc>
          <w:tcPr>
            <w:tcW w:w="2297" w:type="dxa"/>
          </w:tcPr>
          <w:p>
            <w:pPr>
              <w:pStyle w:val="GesAbsatz"/>
              <w:tabs>
                <w:tab w:val="clear" w:pos="425"/>
              </w:tabs>
              <w:jc w:val="center"/>
              <w:rPr>
                <w:lang w:val="en-US"/>
              </w:rPr>
            </w:pPr>
            <w:r>
              <w:rPr>
                <w:lang w:val="en-US"/>
              </w:rPr>
              <w:t>0 – 10</w:t>
            </w:r>
          </w:p>
        </w:tc>
        <w:tc>
          <w:tcPr>
            <w:tcW w:w="2168" w:type="dxa"/>
          </w:tcPr>
          <w:p>
            <w:pPr>
              <w:pStyle w:val="GesAbsatz"/>
              <w:tabs>
                <w:tab w:val="clear" w:pos="425"/>
              </w:tabs>
              <w:jc w:val="center"/>
              <w:rPr>
                <w:lang w:val="en-US"/>
              </w:rPr>
            </w:pPr>
            <w:r>
              <w:rPr>
                <w:lang w:val="en-US"/>
              </w:rPr>
              <w:t>0 – 75</w:t>
            </w:r>
          </w:p>
        </w:tc>
        <w:tc>
          <w:tcPr>
            <w:tcW w:w="1991" w:type="dxa"/>
          </w:tcPr>
          <w:p>
            <w:pPr>
              <w:pStyle w:val="GesAbsatz"/>
              <w:tabs>
                <w:tab w:val="clear" w:pos="425"/>
              </w:tabs>
              <w:jc w:val="center"/>
              <w:rPr>
                <w:lang w:val="en-US"/>
              </w:rPr>
            </w:pPr>
            <w:r>
              <w:rPr>
                <w:lang w:val="en-US"/>
              </w:rPr>
              <w:t>–</w:t>
            </w:r>
          </w:p>
        </w:tc>
        <w:tc>
          <w:tcPr>
            <w:tcW w:w="1514" w:type="dxa"/>
          </w:tcPr>
          <w:p>
            <w:pPr>
              <w:pStyle w:val="GesAbsatz"/>
              <w:tabs>
                <w:tab w:val="clear" w:pos="425"/>
              </w:tabs>
              <w:jc w:val="center"/>
              <w:rPr>
                <w:lang w:val="en-US"/>
              </w:rPr>
            </w:pPr>
            <w:r>
              <w:rPr>
                <w:lang w:val="en-US"/>
              </w:rPr>
              <w:t>mg/m³</w:t>
            </w:r>
          </w:p>
        </w:tc>
      </w:tr>
      <w:tr>
        <w:tc>
          <w:tcPr>
            <w:tcW w:w="1668" w:type="dxa"/>
          </w:tcPr>
          <w:p>
            <w:pPr>
              <w:pStyle w:val="GesAbsatz"/>
              <w:tabs>
                <w:tab w:val="clear" w:pos="425"/>
              </w:tabs>
              <w:rPr>
                <w:lang w:val="en-US"/>
              </w:rPr>
            </w:pPr>
            <w:r>
              <w:rPr>
                <w:lang w:val="en-US"/>
              </w:rPr>
              <w:t>CO</w:t>
            </w:r>
            <w:r>
              <w:rPr>
                <w:vertAlign w:val="subscript"/>
                <w:lang w:val="en-US"/>
              </w:rPr>
              <w:t>2</w:t>
            </w:r>
          </w:p>
        </w:tc>
        <w:tc>
          <w:tcPr>
            <w:tcW w:w="2297" w:type="dxa"/>
          </w:tcPr>
          <w:p>
            <w:pPr>
              <w:pStyle w:val="GesAbsatz"/>
              <w:tabs>
                <w:tab w:val="clear" w:pos="425"/>
              </w:tabs>
              <w:jc w:val="center"/>
              <w:rPr>
                <w:lang w:val="en-US"/>
              </w:rPr>
            </w:pPr>
            <w:r>
              <w:rPr>
                <w:lang w:val="en-US"/>
              </w:rPr>
              <w:t>0 – 25</w:t>
            </w:r>
          </w:p>
        </w:tc>
        <w:tc>
          <w:tcPr>
            <w:tcW w:w="2168" w:type="dxa"/>
          </w:tcPr>
          <w:p>
            <w:pPr>
              <w:pStyle w:val="GesAbsatz"/>
              <w:tabs>
                <w:tab w:val="clear" w:pos="425"/>
              </w:tabs>
              <w:jc w:val="center"/>
              <w:rPr>
                <w:lang w:val="en-US"/>
              </w:rPr>
            </w:pPr>
            <w:r>
              <w:rPr>
                <w:lang w:val="en-US"/>
              </w:rPr>
              <w:t>–</w:t>
            </w:r>
          </w:p>
        </w:tc>
        <w:tc>
          <w:tcPr>
            <w:tcW w:w="1991" w:type="dxa"/>
          </w:tcPr>
          <w:p>
            <w:pPr>
              <w:pStyle w:val="GesAbsatz"/>
              <w:tabs>
                <w:tab w:val="clear" w:pos="425"/>
              </w:tabs>
              <w:jc w:val="center"/>
              <w:rPr>
                <w:lang w:val="en-US"/>
              </w:rPr>
            </w:pPr>
            <w:r>
              <w:rPr>
                <w:lang w:val="en-US"/>
              </w:rPr>
              <w:t>–</w:t>
            </w:r>
          </w:p>
        </w:tc>
        <w:tc>
          <w:tcPr>
            <w:tcW w:w="1514" w:type="dxa"/>
          </w:tcPr>
          <w:p>
            <w:pPr>
              <w:pStyle w:val="GesAbsatz"/>
              <w:tabs>
                <w:tab w:val="clear" w:pos="425"/>
              </w:tabs>
              <w:jc w:val="center"/>
              <w:rPr>
                <w:lang w:val="en-US"/>
              </w:rPr>
            </w:pPr>
            <w:r>
              <w:rPr>
                <w:lang w:val="en-US"/>
              </w:rPr>
              <w:t>Vol.-%</w:t>
            </w:r>
          </w:p>
        </w:tc>
      </w:tr>
      <w:tr>
        <w:tc>
          <w:tcPr>
            <w:tcW w:w="1668" w:type="dxa"/>
          </w:tcPr>
          <w:p>
            <w:pPr>
              <w:pStyle w:val="GesAbsatz"/>
              <w:tabs>
                <w:tab w:val="clear" w:pos="425"/>
              </w:tabs>
            </w:pPr>
            <w:r>
              <w:t>H</w:t>
            </w:r>
            <w:r>
              <w:rPr>
                <w:vertAlign w:val="subscript"/>
              </w:rPr>
              <w:t>2</w:t>
            </w:r>
            <w:r>
              <w:t>O</w:t>
            </w:r>
          </w:p>
        </w:tc>
        <w:tc>
          <w:tcPr>
            <w:tcW w:w="2297" w:type="dxa"/>
          </w:tcPr>
          <w:p>
            <w:pPr>
              <w:pStyle w:val="GesAbsatz"/>
              <w:tabs>
                <w:tab w:val="clear" w:pos="425"/>
              </w:tabs>
              <w:jc w:val="center"/>
            </w:pPr>
            <w:r>
              <w:t>0 – 40</w:t>
            </w:r>
          </w:p>
        </w:tc>
        <w:tc>
          <w:tcPr>
            <w:tcW w:w="2168" w:type="dxa"/>
          </w:tcPr>
          <w:p>
            <w:pPr>
              <w:pStyle w:val="GesAbsatz"/>
              <w:tabs>
                <w:tab w:val="clear" w:pos="425"/>
              </w:tabs>
              <w:jc w:val="center"/>
            </w:pPr>
            <w:r>
              <w:t>–</w:t>
            </w:r>
          </w:p>
        </w:tc>
        <w:tc>
          <w:tcPr>
            <w:tcW w:w="1991" w:type="dxa"/>
          </w:tcPr>
          <w:p>
            <w:pPr>
              <w:pStyle w:val="GesAbsatz"/>
              <w:tabs>
                <w:tab w:val="clear" w:pos="425"/>
              </w:tabs>
              <w:jc w:val="center"/>
            </w:pPr>
            <w:r>
              <w:t>–</w:t>
            </w:r>
          </w:p>
        </w:tc>
        <w:tc>
          <w:tcPr>
            <w:tcW w:w="1514" w:type="dxa"/>
          </w:tcPr>
          <w:p>
            <w:pPr>
              <w:pStyle w:val="GesAbsatz"/>
              <w:tabs>
                <w:tab w:val="clear" w:pos="425"/>
              </w:tabs>
              <w:jc w:val="center"/>
            </w:pPr>
            <w:r>
              <w:t>Vol.-%</w:t>
            </w:r>
          </w:p>
        </w:tc>
      </w:tr>
      <w:tr>
        <w:tc>
          <w:tcPr>
            <w:tcW w:w="1668" w:type="dxa"/>
          </w:tcPr>
          <w:p>
            <w:pPr>
              <w:pStyle w:val="GesAbsatz"/>
              <w:tabs>
                <w:tab w:val="clear" w:pos="425"/>
              </w:tabs>
            </w:pPr>
            <w:r>
              <w:t>CH</w:t>
            </w:r>
            <w:r>
              <w:rPr>
                <w:vertAlign w:val="subscript"/>
              </w:rPr>
              <w:t>4</w:t>
            </w:r>
          </w:p>
        </w:tc>
        <w:tc>
          <w:tcPr>
            <w:tcW w:w="2297" w:type="dxa"/>
          </w:tcPr>
          <w:p>
            <w:pPr>
              <w:pStyle w:val="GesAbsatz"/>
              <w:tabs>
                <w:tab w:val="clear" w:pos="425"/>
              </w:tabs>
              <w:jc w:val="center"/>
            </w:pPr>
            <w:r>
              <w:t>0 – 15</w:t>
            </w:r>
          </w:p>
        </w:tc>
        <w:tc>
          <w:tcPr>
            <w:tcW w:w="2168" w:type="dxa"/>
          </w:tcPr>
          <w:p>
            <w:pPr>
              <w:pStyle w:val="GesAbsatz"/>
              <w:tabs>
                <w:tab w:val="clear" w:pos="425"/>
              </w:tabs>
              <w:jc w:val="center"/>
            </w:pPr>
            <w:r>
              <w:t>0 – 50</w:t>
            </w:r>
          </w:p>
        </w:tc>
        <w:tc>
          <w:tcPr>
            <w:tcW w:w="1991" w:type="dxa"/>
          </w:tcPr>
          <w:p>
            <w:pPr>
              <w:pStyle w:val="GesAbsatz"/>
              <w:tabs>
                <w:tab w:val="clear" w:pos="425"/>
              </w:tabs>
              <w:jc w:val="center"/>
            </w:pPr>
            <w:r>
              <w:t>0 – 500</w:t>
            </w:r>
          </w:p>
        </w:tc>
        <w:tc>
          <w:tcPr>
            <w:tcW w:w="1514" w:type="dxa"/>
          </w:tcPr>
          <w:p>
            <w:pPr>
              <w:pStyle w:val="GesAbsatz"/>
              <w:tabs>
                <w:tab w:val="clear" w:pos="425"/>
              </w:tabs>
              <w:jc w:val="center"/>
            </w:pPr>
            <w:r>
              <w:t>mg/m</w:t>
            </w:r>
            <w:r>
              <w:rPr>
                <w:lang w:val="en-US"/>
              </w:rPr>
              <w:t>³</w:t>
            </w:r>
          </w:p>
        </w:tc>
      </w:tr>
    </w:tbl>
    <w:p>
      <w:pPr>
        <w:pStyle w:val="GesAbsatz"/>
        <w:tabs>
          <w:tab w:val="left" w:pos="2268"/>
        </w:tabs>
      </w:pPr>
      <w:r>
        <w:t>Softwareversionen:</w:t>
      </w:r>
      <w:r>
        <w:tab/>
        <w:t>MKS MG2000: V07.00.00.02</w:t>
      </w:r>
    </w:p>
    <w:p>
      <w:pPr>
        <w:pStyle w:val="GesAbsatz"/>
        <w:ind w:left="2268"/>
      </w:pPr>
      <w:r>
        <w:t>JCT MGS300 Control: 0.2</w:t>
      </w:r>
    </w:p>
    <w:p>
      <w:pPr>
        <w:pStyle w:val="GesAbsatz"/>
      </w:pPr>
      <w:r>
        <w:t>Einschränkung:</w:t>
      </w:r>
    </w:p>
    <w:p>
      <w:pPr>
        <w:pStyle w:val="GesAbsatz"/>
      </w:pPr>
      <w:r>
        <w:t>Die Anforderung bei der Eignungsprüfung nach DIN EN 15267-3 für die Schutzart des Gehäuses wird nicht erfüllt. Die Messeinrichtung muss geschützt vor Staub und Niederschlag aufgestellt werden.</w:t>
      </w:r>
    </w:p>
    <w:p>
      <w:pPr>
        <w:pStyle w:val="GesAbsatz"/>
      </w:pPr>
      <w:r>
        <w:t>Hinweise:</w:t>
      </w:r>
    </w:p>
    <w:p>
      <w:pPr>
        <w:pStyle w:val="GesAbsatz"/>
      </w:pPr>
      <w:r>
        <w:t>1.</w:t>
      </w:r>
      <w:r>
        <w:tab/>
        <w:t>Das Wartungsintervall beträgt drei Monate.</w:t>
      </w:r>
    </w:p>
    <w:p>
      <w:pPr>
        <w:pStyle w:val="GesAbsatz"/>
        <w:ind w:left="426" w:hanging="426"/>
      </w:pPr>
      <w:r>
        <w:t>2.</w:t>
      </w:r>
      <w:r>
        <w:tab/>
        <w:t>Ergänzungsprüfung (Wartungsintervallverlängerung) zu der Bekanntmachung des Umweltbundesamtes vom 3. Juli 2013 (BAnz AT 23.07.2013 B4, Kapitel I Nummer 3.2).</w:t>
      </w:r>
    </w:p>
    <w:p>
      <w:pPr>
        <w:pStyle w:val="GesAbsatz"/>
      </w:pPr>
      <w:r>
        <w:t>Prüfbericht: TÜV Rheinland Energie und Umwelt GmbH, Köln</w:t>
      </w:r>
    </w:p>
    <w:p>
      <w:pPr>
        <w:pStyle w:val="GesAbsatz"/>
      </w:pPr>
      <w:r>
        <w:t>Bericht-Nr.: 936/21208291/B vom 3. September 2013</w:t>
      </w:r>
    </w:p>
    <w:p>
      <w:pPr>
        <w:pStyle w:val="GesAbsatz"/>
        <w:rPr>
          <w:b/>
          <w:lang w:val="en-US"/>
        </w:rPr>
      </w:pPr>
      <w:r>
        <w:rPr>
          <w:b/>
          <w:lang w:val="en-US"/>
        </w:rPr>
        <w:t>3.4</w:t>
      </w:r>
      <w:r>
        <w:rPr>
          <w:b/>
          <w:lang w:val="en-US"/>
        </w:rPr>
        <w:tab/>
        <w:t xml:space="preserve">MGA12 </w:t>
      </w:r>
      <w:r>
        <w:rPr>
          <w:b/>
        </w:rPr>
        <w:t>für</w:t>
      </w:r>
      <w:r>
        <w:rPr>
          <w:b/>
          <w:lang w:val="en-US"/>
        </w:rPr>
        <w:t xml:space="preserve"> CO, NO, SO</w:t>
      </w:r>
      <w:r>
        <w:rPr>
          <w:b/>
          <w:vertAlign w:val="subscript"/>
          <w:lang w:val="en-US"/>
        </w:rPr>
        <w:t>2</w:t>
      </w:r>
      <w:r>
        <w:rPr>
          <w:b/>
          <w:lang w:val="en-US"/>
        </w:rPr>
        <w:t>, O</w:t>
      </w:r>
      <w:r>
        <w:rPr>
          <w:b/>
          <w:vertAlign w:val="subscript"/>
          <w:lang w:val="en-US"/>
        </w:rPr>
        <w:t>2</w:t>
      </w:r>
      <w:r>
        <w:rPr>
          <w:b/>
          <w:lang w:val="en-US"/>
        </w:rPr>
        <w:t xml:space="preserve"> und CO</w:t>
      </w:r>
      <w:r>
        <w:rPr>
          <w:b/>
          <w:vertAlign w:val="subscript"/>
          <w:lang w:val="en-US"/>
        </w:rPr>
        <w:t>2</w:t>
      </w:r>
    </w:p>
    <w:p>
      <w:pPr>
        <w:pStyle w:val="GesAbsatz"/>
      </w:pPr>
      <w:r>
        <w:t>Hersteller:</w:t>
      </w:r>
    </w:p>
    <w:p>
      <w:pPr>
        <w:pStyle w:val="GesAbsatz"/>
      </w:pPr>
      <w:r>
        <w:t>Dr. Födisch Umweltmesstechnik AG, Markranstädt</w:t>
      </w:r>
    </w:p>
    <w:p>
      <w:pPr>
        <w:pStyle w:val="GesAbsatz"/>
      </w:pPr>
      <w:r>
        <w:lastRenderedPageBreak/>
        <w:t>Eignung:</w:t>
      </w:r>
    </w:p>
    <w:p>
      <w:pPr>
        <w:pStyle w:val="GesAbsatz"/>
      </w:pPr>
      <w:r>
        <w:t>Für Anlagen der 13. BImSchV, der 27. BImSchV und der TA Luft</w:t>
      </w:r>
    </w:p>
    <w:p>
      <w:pPr>
        <w:pStyle w:val="GesAbsatz"/>
      </w:pPr>
      <w:r>
        <w:t>Messbereiche in der Eignungsprüfung:</w:t>
      </w:r>
    </w:p>
    <w:tbl>
      <w:tblPr>
        <w:tblStyle w:val="Tabellenraster"/>
        <w:tblW w:w="0" w:type="auto"/>
        <w:tblLook w:val="04A0" w:firstRow="1" w:lastRow="0" w:firstColumn="1" w:lastColumn="0" w:noHBand="0" w:noVBand="1"/>
      </w:tblPr>
      <w:tblGrid>
        <w:gridCol w:w="1668"/>
        <w:gridCol w:w="2950"/>
        <w:gridCol w:w="2820"/>
        <w:gridCol w:w="1917"/>
      </w:tblGrid>
      <w:tr>
        <w:tc>
          <w:tcPr>
            <w:tcW w:w="1668" w:type="dxa"/>
          </w:tcPr>
          <w:p>
            <w:pPr>
              <w:pStyle w:val="GesAbsatz"/>
              <w:tabs>
                <w:tab w:val="clear" w:pos="425"/>
              </w:tabs>
              <w:jc w:val="center"/>
            </w:pPr>
            <w:r>
              <w:t>Komponente</w:t>
            </w:r>
          </w:p>
        </w:tc>
        <w:tc>
          <w:tcPr>
            <w:tcW w:w="2950" w:type="dxa"/>
          </w:tcPr>
          <w:p>
            <w:pPr>
              <w:pStyle w:val="GesAbsatz"/>
              <w:tabs>
                <w:tab w:val="clear" w:pos="425"/>
              </w:tabs>
              <w:jc w:val="center"/>
            </w:pPr>
            <w:r>
              <w:t>Zertifizierungsbereich</w:t>
            </w:r>
          </w:p>
        </w:tc>
        <w:tc>
          <w:tcPr>
            <w:tcW w:w="2820" w:type="dxa"/>
          </w:tcPr>
          <w:p>
            <w:pPr>
              <w:pStyle w:val="GesAbsatz"/>
              <w:tabs>
                <w:tab w:val="clear" w:pos="425"/>
              </w:tabs>
              <w:jc w:val="center"/>
            </w:pPr>
            <w:r>
              <w:t>zusätzlicher Messbereich</w:t>
            </w:r>
          </w:p>
        </w:tc>
        <w:tc>
          <w:tcPr>
            <w:tcW w:w="1917" w:type="dxa"/>
          </w:tcPr>
          <w:p>
            <w:pPr>
              <w:pStyle w:val="GesAbsatz"/>
              <w:tabs>
                <w:tab w:val="clear" w:pos="425"/>
              </w:tabs>
              <w:jc w:val="center"/>
            </w:pPr>
            <w:r>
              <w:t>Einheit</w:t>
            </w:r>
          </w:p>
        </w:tc>
      </w:tr>
      <w:tr>
        <w:tc>
          <w:tcPr>
            <w:tcW w:w="1668" w:type="dxa"/>
          </w:tcPr>
          <w:p>
            <w:pPr>
              <w:pStyle w:val="GesAbsatz"/>
              <w:tabs>
                <w:tab w:val="clear" w:pos="425"/>
              </w:tabs>
            </w:pPr>
            <w:r>
              <w:t>CO</w:t>
            </w:r>
          </w:p>
        </w:tc>
        <w:tc>
          <w:tcPr>
            <w:tcW w:w="2950" w:type="dxa"/>
          </w:tcPr>
          <w:p>
            <w:pPr>
              <w:pStyle w:val="GesAbsatz"/>
              <w:tabs>
                <w:tab w:val="clear" w:pos="425"/>
              </w:tabs>
              <w:jc w:val="center"/>
            </w:pPr>
            <w:r>
              <w:t>0 – 125</w:t>
            </w:r>
          </w:p>
        </w:tc>
        <w:tc>
          <w:tcPr>
            <w:tcW w:w="2820" w:type="dxa"/>
          </w:tcPr>
          <w:p>
            <w:pPr>
              <w:pStyle w:val="GesAbsatz"/>
              <w:tabs>
                <w:tab w:val="clear" w:pos="425"/>
              </w:tabs>
              <w:jc w:val="center"/>
            </w:pPr>
            <w:r>
              <w:t>0 – 1 000</w:t>
            </w:r>
          </w:p>
        </w:tc>
        <w:tc>
          <w:tcPr>
            <w:tcW w:w="1917" w:type="dxa"/>
          </w:tcPr>
          <w:p>
            <w:pPr>
              <w:pStyle w:val="GesAbsatz"/>
              <w:tabs>
                <w:tab w:val="clear" w:pos="425"/>
              </w:tabs>
              <w:jc w:val="center"/>
            </w:pPr>
            <w:r>
              <w:t>mg/m³</w:t>
            </w:r>
          </w:p>
        </w:tc>
      </w:tr>
      <w:tr>
        <w:tc>
          <w:tcPr>
            <w:tcW w:w="1668" w:type="dxa"/>
          </w:tcPr>
          <w:p>
            <w:pPr>
              <w:pStyle w:val="GesAbsatz"/>
              <w:tabs>
                <w:tab w:val="clear" w:pos="425"/>
              </w:tabs>
              <w:rPr>
                <w:lang w:val="en-US"/>
              </w:rPr>
            </w:pPr>
            <w:r>
              <w:rPr>
                <w:lang w:val="en-US"/>
              </w:rPr>
              <w:t>NO</w:t>
            </w:r>
          </w:p>
        </w:tc>
        <w:tc>
          <w:tcPr>
            <w:tcW w:w="2950" w:type="dxa"/>
          </w:tcPr>
          <w:p>
            <w:pPr>
              <w:pStyle w:val="GesAbsatz"/>
              <w:tabs>
                <w:tab w:val="clear" w:pos="425"/>
              </w:tabs>
              <w:jc w:val="center"/>
              <w:rPr>
                <w:lang w:val="en-US"/>
              </w:rPr>
            </w:pPr>
            <w:r>
              <w:rPr>
                <w:lang w:val="en-US"/>
              </w:rPr>
              <w:t>0 – 300</w:t>
            </w:r>
          </w:p>
        </w:tc>
        <w:tc>
          <w:tcPr>
            <w:tcW w:w="2820" w:type="dxa"/>
          </w:tcPr>
          <w:p>
            <w:pPr>
              <w:pStyle w:val="GesAbsatz"/>
              <w:tabs>
                <w:tab w:val="clear" w:pos="425"/>
              </w:tabs>
              <w:jc w:val="center"/>
              <w:rPr>
                <w:lang w:val="en-US"/>
              </w:rPr>
            </w:pPr>
            <w:r>
              <w:rPr>
                <w:lang w:val="en-US"/>
              </w:rPr>
              <w:t>0 – 1 000</w:t>
            </w:r>
          </w:p>
        </w:tc>
        <w:tc>
          <w:tcPr>
            <w:tcW w:w="1917" w:type="dxa"/>
          </w:tcPr>
          <w:p>
            <w:pPr>
              <w:pStyle w:val="GesAbsatz"/>
              <w:tabs>
                <w:tab w:val="clear" w:pos="425"/>
              </w:tabs>
              <w:jc w:val="center"/>
              <w:rPr>
                <w:lang w:val="en-US"/>
              </w:rPr>
            </w:pPr>
            <w:r>
              <w:rPr>
                <w:lang w:val="en-US"/>
              </w:rPr>
              <w:t>mg/m</w:t>
            </w:r>
            <w:r>
              <w:t>³</w:t>
            </w:r>
          </w:p>
        </w:tc>
      </w:tr>
      <w:tr>
        <w:tc>
          <w:tcPr>
            <w:tcW w:w="1668" w:type="dxa"/>
          </w:tcPr>
          <w:p>
            <w:pPr>
              <w:pStyle w:val="GesAbsatz"/>
              <w:tabs>
                <w:tab w:val="clear" w:pos="425"/>
              </w:tabs>
              <w:rPr>
                <w:lang w:val="en-US"/>
              </w:rPr>
            </w:pPr>
            <w:r>
              <w:rPr>
                <w:lang w:val="en-US"/>
              </w:rPr>
              <w:t>SO</w:t>
            </w:r>
            <w:r>
              <w:rPr>
                <w:vertAlign w:val="subscript"/>
                <w:lang w:val="en-US"/>
              </w:rPr>
              <w:t>2</w:t>
            </w:r>
          </w:p>
        </w:tc>
        <w:tc>
          <w:tcPr>
            <w:tcW w:w="2950" w:type="dxa"/>
          </w:tcPr>
          <w:p>
            <w:pPr>
              <w:pStyle w:val="GesAbsatz"/>
              <w:tabs>
                <w:tab w:val="clear" w:pos="425"/>
              </w:tabs>
              <w:jc w:val="center"/>
              <w:rPr>
                <w:lang w:val="en-US"/>
              </w:rPr>
            </w:pPr>
            <w:r>
              <w:rPr>
                <w:lang w:val="en-US"/>
              </w:rPr>
              <w:t>0 – 200</w:t>
            </w:r>
          </w:p>
        </w:tc>
        <w:tc>
          <w:tcPr>
            <w:tcW w:w="2820" w:type="dxa"/>
          </w:tcPr>
          <w:p>
            <w:pPr>
              <w:pStyle w:val="GesAbsatz"/>
              <w:tabs>
                <w:tab w:val="clear" w:pos="425"/>
              </w:tabs>
              <w:jc w:val="center"/>
              <w:rPr>
                <w:lang w:val="en-US"/>
              </w:rPr>
            </w:pPr>
            <w:r>
              <w:rPr>
                <w:lang w:val="en-US"/>
              </w:rPr>
              <w:t>0 – 1 000</w:t>
            </w:r>
          </w:p>
        </w:tc>
        <w:tc>
          <w:tcPr>
            <w:tcW w:w="1917" w:type="dxa"/>
          </w:tcPr>
          <w:p>
            <w:pPr>
              <w:pStyle w:val="GesAbsatz"/>
              <w:tabs>
                <w:tab w:val="clear" w:pos="425"/>
              </w:tabs>
              <w:jc w:val="center"/>
              <w:rPr>
                <w:lang w:val="en-US"/>
              </w:rPr>
            </w:pPr>
            <w:r>
              <w:rPr>
                <w:lang w:val="en-US"/>
              </w:rPr>
              <w:t>mg/m</w:t>
            </w:r>
            <w:r>
              <w:t>³</w:t>
            </w:r>
          </w:p>
        </w:tc>
      </w:tr>
      <w:tr>
        <w:tc>
          <w:tcPr>
            <w:tcW w:w="1668" w:type="dxa"/>
          </w:tcPr>
          <w:p>
            <w:pPr>
              <w:pStyle w:val="GesAbsatz"/>
              <w:tabs>
                <w:tab w:val="clear" w:pos="425"/>
              </w:tabs>
              <w:rPr>
                <w:lang w:val="en-US"/>
              </w:rPr>
            </w:pPr>
            <w:r>
              <w:rPr>
                <w:lang w:val="en-US"/>
              </w:rPr>
              <w:t>O</w:t>
            </w:r>
            <w:r>
              <w:rPr>
                <w:vertAlign w:val="subscript"/>
                <w:lang w:val="en-US"/>
              </w:rPr>
              <w:t>2</w:t>
            </w:r>
          </w:p>
        </w:tc>
        <w:tc>
          <w:tcPr>
            <w:tcW w:w="2950" w:type="dxa"/>
          </w:tcPr>
          <w:p>
            <w:pPr>
              <w:pStyle w:val="GesAbsatz"/>
              <w:tabs>
                <w:tab w:val="clear" w:pos="425"/>
              </w:tabs>
              <w:jc w:val="center"/>
              <w:rPr>
                <w:lang w:val="en-US"/>
              </w:rPr>
            </w:pPr>
            <w:r>
              <w:rPr>
                <w:lang w:val="en-US"/>
              </w:rPr>
              <w:t>0 – 25</w:t>
            </w:r>
          </w:p>
        </w:tc>
        <w:tc>
          <w:tcPr>
            <w:tcW w:w="2820" w:type="dxa"/>
          </w:tcPr>
          <w:p>
            <w:pPr>
              <w:pStyle w:val="GesAbsatz"/>
              <w:tabs>
                <w:tab w:val="clear" w:pos="425"/>
              </w:tabs>
              <w:jc w:val="center"/>
              <w:rPr>
                <w:lang w:val="en-US"/>
              </w:rPr>
            </w:pPr>
            <w:r>
              <w:rPr>
                <w:lang w:val="en-US"/>
              </w:rPr>
              <w:t>–</w:t>
            </w:r>
          </w:p>
        </w:tc>
        <w:tc>
          <w:tcPr>
            <w:tcW w:w="1917" w:type="dxa"/>
          </w:tcPr>
          <w:p>
            <w:pPr>
              <w:pStyle w:val="GesAbsatz"/>
              <w:tabs>
                <w:tab w:val="clear" w:pos="425"/>
              </w:tabs>
              <w:jc w:val="center"/>
              <w:rPr>
                <w:lang w:val="en-US"/>
              </w:rPr>
            </w:pPr>
            <w:r>
              <w:rPr>
                <w:lang w:val="en-US"/>
              </w:rPr>
              <w:t>Vol.-%</w:t>
            </w:r>
          </w:p>
        </w:tc>
      </w:tr>
      <w:tr>
        <w:tc>
          <w:tcPr>
            <w:tcW w:w="1668" w:type="dxa"/>
          </w:tcPr>
          <w:p>
            <w:pPr>
              <w:pStyle w:val="GesAbsatz"/>
              <w:tabs>
                <w:tab w:val="clear" w:pos="425"/>
              </w:tabs>
              <w:rPr>
                <w:lang w:val="en-US"/>
              </w:rPr>
            </w:pPr>
            <w:r>
              <w:rPr>
                <w:lang w:val="en-US"/>
              </w:rPr>
              <w:t>CO</w:t>
            </w:r>
            <w:r>
              <w:rPr>
                <w:vertAlign w:val="subscript"/>
                <w:lang w:val="en-US"/>
              </w:rPr>
              <w:t>2</w:t>
            </w:r>
          </w:p>
        </w:tc>
        <w:tc>
          <w:tcPr>
            <w:tcW w:w="2950" w:type="dxa"/>
          </w:tcPr>
          <w:p>
            <w:pPr>
              <w:pStyle w:val="GesAbsatz"/>
              <w:tabs>
                <w:tab w:val="clear" w:pos="425"/>
              </w:tabs>
              <w:jc w:val="center"/>
              <w:rPr>
                <w:lang w:val="en-US"/>
              </w:rPr>
            </w:pPr>
            <w:r>
              <w:rPr>
                <w:lang w:val="en-US"/>
              </w:rPr>
              <w:t>0 – 20</w:t>
            </w:r>
          </w:p>
        </w:tc>
        <w:tc>
          <w:tcPr>
            <w:tcW w:w="2820" w:type="dxa"/>
          </w:tcPr>
          <w:p>
            <w:pPr>
              <w:pStyle w:val="GesAbsatz"/>
              <w:tabs>
                <w:tab w:val="clear" w:pos="425"/>
              </w:tabs>
              <w:jc w:val="center"/>
              <w:rPr>
                <w:lang w:val="en-US"/>
              </w:rPr>
            </w:pPr>
            <w:r>
              <w:rPr>
                <w:lang w:val="en-US"/>
              </w:rPr>
              <w:t>–</w:t>
            </w:r>
          </w:p>
        </w:tc>
        <w:tc>
          <w:tcPr>
            <w:tcW w:w="1917" w:type="dxa"/>
          </w:tcPr>
          <w:p>
            <w:pPr>
              <w:pStyle w:val="GesAbsatz"/>
              <w:tabs>
                <w:tab w:val="clear" w:pos="425"/>
              </w:tabs>
              <w:jc w:val="center"/>
              <w:rPr>
                <w:lang w:val="en-US"/>
              </w:rPr>
            </w:pPr>
            <w:r>
              <w:rPr>
                <w:lang w:val="en-US"/>
              </w:rPr>
              <w:t>Vol.-%</w:t>
            </w:r>
          </w:p>
        </w:tc>
      </w:tr>
    </w:tbl>
    <w:p>
      <w:pPr>
        <w:pStyle w:val="GesAbsatz"/>
        <w:rPr>
          <w:lang w:val="en-US"/>
        </w:rPr>
      </w:pPr>
      <w:r>
        <w:rPr>
          <w:lang w:val="en-US"/>
        </w:rPr>
        <w:t>Softwareversion: 1.47</w:t>
      </w:r>
    </w:p>
    <w:p>
      <w:pPr>
        <w:pStyle w:val="GesAbsatz"/>
      </w:pPr>
      <w:r>
        <w:t>Einschränkung:</w:t>
      </w:r>
    </w:p>
    <w:p>
      <w:pPr>
        <w:pStyle w:val="GesAbsatz"/>
      </w:pPr>
      <w:r>
        <w:t>1.</w:t>
      </w:r>
      <w:r>
        <w:tab/>
        <w:t>Die Umgebungstemperatur darf +30 °C nicht übersteigen.</w:t>
      </w:r>
    </w:p>
    <w:p>
      <w:pPr>
        <w:pStyle w:val="GesAbsatz"/>
        <w:ind w:left="426" w:hanging="426"/>
      </w:pPr>
      <w:r>
        <w:t>2.</w:t>
      </w:r>
      <w:r>
        <w:tab/>
        <w:t>Die Anforderung bei der Eignungsprüfung nach DIN EN 15267-3 an die erweiterte Gesamtmessunsicherheit wird für die Komponente CO nicht erfüllt.</w:t>
      </w:r>
    </w:p>
    <w:p>
      <w:pPr>
        <w:pStyle w:val="GesAbsatz"/>
      </w:pPr>
      <w:r>
        <w:t>Hinweis:</w:t>
      </w:r>
    </w:p>
    <w:p>
      <w:pPr>
        <w:pStyle w:val="GesAbsatz"/>
      </w:pPr>
      <w:r>
        <w:t>Das Wartungsintervall beträgt vier Wochen.</w:t>
      </w:r>
    </w:p>
    <w:p>
      <w:pPr>
        <w:pStyle w:val="GesAbsatz"/>
      </w:pPr>
      <w:r>
        <w:t>Prüfbericht: TÜV Rheinland Energie und Umwelt GmbH, Köln</w:t>
      </w:r>
    </w:p>
    <w:p>
      <w:pPr>
        <w:pStyle w:val="GesAbsatz"/>
      </w:pPr>
      <w:r>
        <w:t>Bericht-Nr.: 936/21219366/A vom 19. September 2013</w:t>
      </w:r>
    </w:p>
    <w:p>
      <w:pPr>
        <w:pStyle w:val="GesAbsatz"/>
        <w:rPr>
          <w:b/>
          <w:lang w:val="en-US"/>
        </w:rPr>
      </w:pPr>
      <w:r>
        <w:rPr>
          <w:b/>
          <w:lang w:val="en-US"/>
        </w:rPr>
        <w:t>3.5</w:t>
      </w:r>
      <w:r>
        <w:rPr>
          <w:b/>
          <w:lang w:val="en-US"/>
        </w:rPr>
        <w:tab/>
        <w:t xml:space="preserve">MIR9000H </w:t>
      </w:r>
      <w:r>
        <w:rPr>
          <w:b/>
        </w:rPr>
        <w:t>für</w:t>
      </w:r>
      <w:r>
        <w:rPr>
          <w:b/>
          <w:lang w:val="en-US"/>
        </w:rPr>
        <w:t xml:space="preserve"> CO, NO, NO</w:t>
      </w:r>
      <w:r>
        <w:rPr>
          <w:b/>
          <w:vertAlign w:val="subscript"/>
          <w:lang w:val="en-US"/>
        </w:rPr>
        <w:t>2</w:t>
      </w:r>
      <w:r>
        <w:rPr>
          <w:b/>
          <w:lang w:val="en-US"/>
        </w:rPr>
        <w:t>, SO</w:t>
      </w:r>
      <w:r>
        <w:rPr>
          <w:b/>
          <w:vertAlign w:val="subscript"/>
          <w:lang w:val="en-US"/>
        </w:rPr>
        <w:t>2</w:t>
      </w:r>
      <w:r>
        <w:rPr>
          <w:b/>
          <w:lang w:val="en-US"/>
        </w:rPr>
        <w:t>, NH</w:t>
      </w:r>
      <w:r>
        <w:rPr>
          <w:b/>
          <w:vertAlign w:val="subscript"/>
          <w:lang w:val="en-US"/>
        </w:rPr>
        <w:t>3</w:t>
      </w:r>
      <w:r>
        <w:rPr>
          <w:b/>
          <w:lang w:val="en-US"/>
        </w:rPr>
        <w:t>, H</w:t>
      </w:r>
      <w:r>
        <w:rPr>
          <w:b/>
          <w:vertAlign w:val="subscript"/>
          <w:lang w:val="en-US"/>
        </w:rPr>
        <w:t>2</w:t>
      </w:r>
      <w:r>
        <w:rPr>
          <w:b/>
          <w:lang w:val="en-US"/>
        </w:rPr>
        <w:t>O, CO</w:t>
      </w:r>
      <w:r>
        <w:rPr>
          <w:b/>
          <w:vertAlign w:val="subscript"/>
          <w:lang w:val="en-US"/>
        </w:rPr>
        <w:t>2</w:t>
      </w:r>
      <w:r>
        <w:rPr>
          <w:b/>
          <w:lang w:val="en-US"/>
        </w:rPr>
        <w:t xml:space="preserve"> und O</w:t>
      </w:r>
      <w:r>
        <w:rPr>
          <w:b/>
          <w:vertAlign w:val="subscript"/>
          <w:lang w:val="en-US"/>
        </w:rPr>
        <w:t>2</w:t>
      </w:r>
    </w:p>
    <w:p>
      <w:pPr>
        <w:pStyle w:val="GesAbsatz"/>
      </w:pPr>
      <w:r>
        <w:t>Hersteller:</w:t>
      </w:r>
    </w:p>
    <w:p>
      <w:pPr>
        <w:pStyle w:val="GesAbsatz"/>
      </w:pPr>
      <w:r>
        <w:t>Environnement S.A., Poissy, Frankreich</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9375" w:type="dxa"/>
        <w:tblLook w:val="04A0" w:firstRow="1" w:lastRow="0" w:firstColumn="1" w:lastColumn="0" w:noHBand="0" w:noVBand="1"/>
      </w:tblPr>
      <w:tblGrid>
        <w:gridCol w:w="1668"/>
        <w:gridCol w:w="2950"/>
        <w:gridCol w:w="2820"/>
        <w:gridCol w:w="1937"/>
      </w:tblGrid>
      <w:tr>
        <w:tc>
          <w:tcPr>
            <w:tcW w:w="1668" w:type="dxa"/>
          </w:tcPr>
          <w:p>
            <w:pPr>
              <w:pStyle w:val="GesAbsatz"/>
              <w:tabs>
                <w:tab w:val="clear" w:pos="425"/>
              </w:tabs>
              <w:jc w:val="center"/>
            </w:pPr>
            <w:r>
              <w:t>Komponente</w:t>
            </w:r>
          </w:p>
        </w:tc>
        <w:tc>
          <w:tcPr>
            <w:tcW w:w="2950" w:type="dxa"/>
          </w:tcPr>
          <w:p>
            <w:pPr>
              <w:pStyle w:val="GesAbsatz"/>
              <w:tabs>
                <w:tab w:val="clear" w:pos="425"/>
              </w:tabs>
              <w:jc w:val="center"/>
            </w:pPr>
            <w:r>
              <w:t>Zertifizierungsbereich</w:t>
            </w:r>
          </w:p>
        </w:tc>
        <w:tc>
          <w:tcPr>
            <w:tcW w:w="2820" w:type="dxa"/>
          </w:tcPr>
          <w:p>
            <w:pPr>
              <w:pStyle w:val="GesAbsatz"/>
              <w:tabs>
                <w:tab w:val="clear" w:pos="425"/>
              </w:tabs>
              <w:jc w:val="center"/>
            </w:pPr>
            <w:r>
              <w:t>zusätzlicher Messbereich</w:t>
            </w:r>
          </w:p>
        </w:tc>
        <w:tc>
          <w:tcPr>
            <w:tcW w:w="1937" w:type="dxa"/>
          </w:tcPr>
          <w:p>
            <w:pPr>
              <w:pStyle w:val="GesAbsatz"/>
              <w:tabs>
                <w:tab w:val="clear" w:pos="425"/>
              </w:tabs>
              <w:jc w:val="center"/>
            </w:pPr>
            <w:r>
              <w:t>Einheit</w:t>
            </w:r>
          </w:p>
        </w:tc>
      </w:tr>
      <w:tr>
        <w:tc>
          <w:tcPr>
            <w:tcW w:w="1668" w:type="dxa"/>
          </w:tcPr>
          <w:p>
            <w:pPr>
              <w:pStyle w:val="GesAbsatz"/>
              <w:tabs>
                <w:tab w:val="clear" w:pos="425"/>
              </w:tabs>
            </w:pPr>
            <w:r>
              <w:t>CO</w:t>
            </w:r>
          </w:p>
        </w:tc>
        <w:tc>
          <w:tcPr>
            <w:tcW w:w="2950" w:type="dxa"/>
          </w:tcPr>
          <w:p>
            <w:pPr>
              <w:pStyle w:val="GesAbsatz"/>
              <w:tabs>
                <w:tab w:val="clear" w:pos="425"/>
              </w:tabs>
              <w:jc w:val="center"/>
            </w:pPr>
            <w:r>
              <w:t>0 – 75</w:t>
            </w:r>
          </w:p>
        </w:tc>
        <w:tc>
          <w:tcPr>
            <w:tcW w:w="2820" w:type="dxa"/>
          </w:tcPr>
          <w:p>
            <w:pPr>
              <w:pStyle w:val="GesAbsatz"/>
              <w:tabs>
                <w:tab w:val="clear" w:pos="425"/>
              </w:tabs>
              <w:jc w:val="center"/>
            </w:pPr>
            <w:r>
              <w:t>0 – 1 000</w:t>
            </w:r>
          </w:p>
        </w:tc>
        <w:tc>
          <w:tcPr>
            <w:tcW w:w="1937" w:type="dxa"/>
          </w:tcPr>
          <w:p>
            <w:pPr>
              <w:pStyle w:val="GesAbsatz"/>
              <w:tabs>
                <w:tab w:val="clear" w:pos="425"/>
              </w:tabs>
              <w:jc w:val="center"/>
            </w:pPr>
            <w:r>
              <w:t>mg/m³</w:t>
            </w:r>
          </w:p>
        </w:tc>
      </w:tr>
      <w:tr>
        <w:tc>
          <w:tcPr>
            <w:tcW w:w="1668" w:type="dxa"/>
          </w:tcPr>
          <w:p>
            <w:pPr>
              <w:pStyle w:val="GesAbsatz"/>
              <w:tabs>
                <w:tab w:val="clear" w:pos="425"/>
              </w:tabs>
              <w:rPr>
                <w:lang w:val="en-US"/>
              </w:rPr>
            </w:pPr>
            <w:r>
              <w:rPr>
                <w:lang w:val="en-US"/>
              </w:rPr>
              <w:t>NO</w:t>
            </w:r>
          </w:p>
        </w:tc>
        <w:tc>
          <w:tcPr>
            <w:tcW w:w="2950" w:type="dxa"/>
          </w:tcPr>
          <w:p>
            <w:pPr>
              <w:pStyle w:val="GesAbsatz"/>
              <w:tabs>
                <w:tab w:val="clear" w:pos="425"/>
              </w:tabs>
              <w:jc w:val="center"/>
              <w:rPr>
                <w:lang w:val="en-US"/>
              </w:rPr>
            </w:pPr>
            <w:r>
              <w:rPr>
                <w:lang w:val="en-US"/>
              </w:rPr>
              <w:t>0 – 200</w:t>
            </w:r>
          </w:p>
        </w:tc>
        <w:tc>
          <w:tcPr>
            <w:tcW w:w="2820" w:type="dxa"/>
          </w:tcPr>
          <w:p>
            <w:pPr>
              <w:pStyle w:val="GesAbsatz"/>
              <w:tabs>
                <w:tab w:val="clear" w:pos="425"/>
              </w:tabs>
              <w:jc w:val="center"/>
              <w:rPr>
                <w:lang w:val="en-US"/>
              </w:rPr>
            </w:pPr>
            <w:r>
              <w:rPr>
                <w:lang w:val="en-US"/>
              </w:rPr>
              <w:t>0 – 2 000</w:t>
            </w:r>
          </w:p>
        </w:tc>
        <w:tc>
          <w:tcPr>
            <w:tcW w:w="1937" w:type="dxa"/>
          </w:tcPr>
          <w:p>
            <w:pPr>
              <w:pStyle w:val="GesAbsatz"/>
              <w:tabs>
                <w:tab w:val="clear" w:pos="425"/>
              </w:tabs>
              <w:jc w:val="center"/>
              <w:rPr>
                <w:lang w:val="en-US"/>
              </w:rPr>
            </w:pPr>
            <w:r>
              <w:rPr>
                <w:lang w:val="en-US"/>
              </w:rPr>
              <w:t>mg/m</w:t>
            </w:r>
            <w:r>
              <w:t>³</w:t>
            </w:r>
          </w:p>
        </w:tc>
      </w:tr>
      <w:tr>
        <w:tc>
          <w:tcPr>
            <w:tcW w:w="1668" w:type="dxa"/>
          </w:tcPr>
          <w:p>
            <w:pPr>
              <w:pStyle w:val="GesAbsatz"/>
              <w:tabs>
                <w:tab w:val="clear" w:pos="425"/>
              </w:tabs>
              <w:rPr>
                <w:lang w:val="en-US"/>
              </w:rPr>
            </w:pPr>
            <w:r>
              <w:rPr>
                <w:lang w:val="en-US"/>
              </w:rPr>
              <w:t>NO</w:t>
            </w:r>
            <w:r>
              <w:rPr>
                <w:vertAlign w:val="subscript"/>
                <w:lang w:val="en-US"/>
              </w:rPr>
              <w:t>2</w:t>
            </w:r>
          </w:p>
        </w:tc>
        <w:tc>
          <w:tcPr>
            <w:tcW w:w="2950" w:type="dxa"/>
          </w:tcPr>
          <w:p>
            <w:pPr>
              <w:pStyle w:val="GesAbsatz"/>
              <w:tabs>
                <w:tab w:val="clear" w:pos="425"/>
              </w:tabs>
              <w:jc w:val="center"/>
              <w:rPr>
                <w:lang w:val="en-US"/>
              </w:rPr>
            </w:pPr>
            <w:r>
              <w:rPr>
                <w:lang w:val="en-US"/>
              </w:rPr>
              <w:t>0 – 200</w:t>
            </w:r>
          </w:p>
        </w:tc>
        <w:tc>
          <w:tcPr>
            <w:tcW w:w="2820" w:type="dxa"/>
          </w:tcPr>
          <w:p>
            <w:pPr>
              <w:pStyle w:val="GesAbsatz"/>
              <w:tabs>
                <w:tab w:val="clear" w:pos="425"/>
              </w:tabs>
              <w:jc w:val="center"/>
              <w:rPr>
                <w:lang w:val="en-US"/>
              </w:rPr>
            </w:pPr>
            <w:r>
              <w:rPr>
                <w:lang w:val="en-US"/>
              </w:rPr>
              <w:t>0 – 2 000</w:t>
            </w:r>
          </w:p>
        </w:tc>
        <w:tc>
          <w:tcPr>
            <w:tcW w:w="1937" w:type="dxa"/>
          </w:tcPr>
          <w:p>
            <w:pPr>
              <w:pStyle w:val="GesAbsatz"/>
              <w:tabs>
                <w:tab w:val="clear" w:pos="425"/>
              </w:tabs>
              <w:jc w:val="center"/>
              <w:rPr>
                <w:lang w:val="en-US"/>
              </w:rPr>
            </w:pPr>
            <w:r>
              <w:rPr>
                <w:lang w:val="en-US"/>
              </w:rPr>
              <w:t>mg/m</w:t>
            </w:r>
            <w:r>
              <w:t>³</w:t>
            </w:r>
          </w:p>
        </w:tc>
      </w:tr>
      <w:tr>
        <w:tc>
          <w:tcPr>
            <w:tcW w:w="1668" w:type="dxa"/>
          </w:tcPr>
          <w:p>
            <w:pPr>
              <w:pStyle w:val="GesAbsatz"/>
              <w:tabs>
                <w:tab w:val="clear" w:pos="425"/>
              </w:tabs>
            </w:pPr>
            <w:r>
              <w:t>SO</w:t>
            </w:r>
            <w:r>
              <w:rPr>
                <w:vertAlign w:val="subscript"/>
              </w:rPr>
              <w:t>2</w:t>
            </w:r>
          </w:p>
        </w:tc>
        <w:tc>
          <w:tcPr>
            <w:tcW w:w="2950" w:type="dxa"/>
          </w:tcPr>
          <w:p>
            <w:pPr>
              <w:pStyle w:val="GesAbsatz"/>
              <w:tabs>
                <w:tab w:val="clear" w:pos="425"/>
              </w:tabs>
              <w:jc w:val="center"/>
            </w:pPr>
            <w:r>
              <w:t>0 – 500</w:t>
            </w:r>
          </w:p>
        </w:tc>
        <w:tc>
          <w:tcPr>
            <w:tcW w:w="2820" w:type="dxa"/>
          </w:tcPr>
          <w:p>
            <w:pPr>
              <w:pStyle w:val="GesAbsatz"/>
              <w:tabs>
                <w:tab w:val="clear" w:pos="425"/>
              </w:tabs>
              <w:jc w:val="center"/>
            </w:pPr>
            <w:r>
              <w:t>0 – 2 000</w:t>
            </w:r>
          </w:p>
        </w:tc>
        <w:tc>
          <w:tcPr>
            <w:tcW w:w="1937" w:type="dxa"/>
          </w:tcPr>
          <w:p>
            <w:pPr>
              <w:pStyle w:val="GesAbsatz"/>
              <w:tabs>
                <w:tab w:val="clear" w:pos="425"/>
              </w:tabs>
              <w:jc w:val="center"/>
            </w:pPr>
            <w:r>
              <w:t>mg/m³</w:t>
            </w:r>
          </w:p>
        </w:tc>
      </w:tr>
      <w:tr>
        <w:tc>
          <w:tcPr>
            <w:tcW w:w="1668" w:type="dxa"/>
          </w:tcPr>
          <w:p>
            <w:pPr>
              <w:pStyle w:val="GesAbsatz"/>
              <w:tabs>
                <w:tab w:val="clear" w:pos="425"/>
              </w:tabs>
            </w:pPr>
            <w:r>
              <w:t>NH</w:t>
            </w:r>
            <w:r>
              <w:rPr>
                <w:vertAlign w:val="subscript"/>
              </w:rPr>
              <w:t>3</w:t>
            </w:r>
          </w:p>
        </w:tc>
        <w:tc>
          <w:tcPr>
            <w:tcW w:w="2950" w:type="dxa"/>
          </w:tcPr>
          <w:p>
            <w:pPr>
              <w:pStyle w:val="GesAbsatz"/>
              <w:tabs>
                <w:tab w:val="clear" w:pos="425"/>
              </w:tabs>
              <w:jc w:val="center"/>
            </w:pPr>
            <w:r>
              <w:t>0 – 15</w:t>
            </w:r>
          </w:p>
        </w:tc>
        <w:tc>
          <w:tcPr>
            <w:tcW w:w="2820" w:type="dxa"/>
          </w:tcPr>
          <w:p>
            <w:pPr>
              <w:pStyle w:val="GesAbsatz"/>
              <w:tabs>
                <w:tab w:val="clear" w:pos="425"/>
              </w:tabs>
              <w:jc w:val="center"/>
            </w:pPr>
            <w:r>
              <w:t>0 – 100</w:t>
            </w:r>
          </w:p>
        </w:tc>
        <w:tc>
          <w:tcPr>
            <w:tcW w:w="1937" w:type="dxa"/>
          </w:tcPr>
          <w:p>
            <w:pPr>
              <w:pStyle w:val="GesAbsatz"/>
              <w:tabs>
                <w:tab w:val="clear" w:pos="425"/>
              </w:tabs>
              <w:jc w:val="center"/>
            </w:pPr>
            <w:r>
              <w:t>mg/m³</w:t>
            </w:r>
          </w:p>
        </w:tc>
      </w:tr>
      <w:tr>
        <w:tc>
          <w:tcPr>
            <w:tcW w:w="1668" w:type="dxa"/>
          </w:tcPr>
          <w:p>
            <w:pPr>
              <w:pStyle w:val="GesAbsatz"/>
              <w:tabs>
                <w:tab w:val="clear" w:pos="425"/>
              </w:tabs>
              <w:rPr>
                <w:lang w:val="en-US"/>
              </w:rPr>
            </w:pPr>
            <w:r>
              <w:rPr>
                <w:lang w:val="en-US"/>
              </w:rPr>
              <w:t>H</w:t>
            </w:r>
            <w:r>
              <w:rPr>
                <w:vertAlign w:val="subscript"/>
                <w:lang w:val="en-US"/>
              </w:rPr>
              <w:t>2</w:t>
            </w:r>
            <w:r>
              <w:rPr>
                <w:lang w:val="en-US"/>
              </w:rPr>
              <w:t>O</w:t>
            </w:r>
          </w:p>
        </w:tc>
        <w:tc>
          <w:tcPr>
            <w:tcW w:w="2950" w:type="dxa"/>
          </w:tcPr>
          <w:p>
            <w:pPr>
              <w:pStyle w:val="GesAbsatz"/>
              <w:tabs>
                <w:tab w:val="clear" w:pos="425"/>
              </w:tabs>
              <w:jc w:val="center"/>
              <w:rPr>
                <w:lang w:val="en-US"/>
              </w:rPr>
            </w:pPr>
            <w:r>
              <w:rPr>
                <w:lang w:val="en-US"/>
              </w:rPr>
              <w:t>0 – 30</w:t>
            </w:r>
          </w:p>
        </w:tc>
        <w:tc>
          <w:tcPr>
            <w:tcW w:w="2820" w:type="dxa"/>
          </w:tcPr>
          <w:p>
            <w:pPr>
              <w:pStyle w:val="GesAbsatz"/>
              <w:tabs>
                <w:tab w:val="clear" w:pos="425"/>
              </w:tabs>
              <w:jc w:val="center"/>
              <w:rPr>
                <w:lang w:val="en-US"/>
              </w:rPr>
            </w:pPr>
            <w:r>
              <w:rPr>
                <w:lang w:val="en-US"/>
              </w:rPr>
              <w:t>0 – 40</w:t>
            </w:r>
          </w:p>
        </w:tc>
        <w:tc>
          <w:tcPr>
            <w:tcW w:w="1937" w:type="dxa"/>
          </w:tcPr>
          <w:p>
            <w:pPr>
              <w:pStyle w:val="GesAbsatz"/>
              <w:tabs>
                <w:tab w:val="clear" w:pos="425"/>
              </w:tabs>
              <w:jc w:val="center"/>
              <w:rPr>
                <w:lang w:val="en-US"/>
              </w:rPr>
            </w:pPr>
            <w:r>
              <w:rPr>
                <w:lang w:val="en-US"/>
              </w:rPr>
              <w:t>Vol.-%</w:t>
            </w:r>
          </w:p>
        </w:tc>
      </w:tr>
      <w:tr>
        <w:tc>
          <w:tcPr>
            <w:tcW w:w="1668" w:type="dxa"/>
          </w:tcPr>
          <w:p>
            <w:pPr>
              <w:pStyle w:val="GesAbsatz"/>
              <w:tabs>
                <w:tab w:val="clear" w:pos="425"/>
              </w:tabs>
              <w:rPr>
                <w:lang w:val="en-US"/>
              </w:rPr>
            </w:pPr>
            <w:r>
              <w:rPr>
                <w:lang w:val="en-US"/>
              </w:rPr>
              <w:t>CO</w:t>
            </w:r>
            <w:r>
              <w:rPr>
                <w:vertAlign w:val="subscript"/>
                <w:lang w:val="en-US"/>
              </w:rPr>
              <w:t>2</w:t>
            </w:r>
          </w:p>
        </w:tc>
        <w:tc>
          <w:tcPr>
            <w:tcW w:w="2950" w:type="dxa"/>
          </w:tcPr>
          <w:p>
            <w:pPr>
              <w:pStyle w:val="GesAbsatz"/>
              <w:tabs>
                <w:tab w:val="clear" w:pos="425"/>
              </w:tabs>
              <w:jc w:val="center"/>
              <w:rPr>
                <w:lang w:val="en-US"/>
              </w:rPr>
            </w:pPr>
            <w:r>
              <w:rPr>
                <w:lang w:val="en-US"/>
              </w:rPr>
              <w:t>0 – 30</w:t>
            </w:r>
          </w:p>
        </w:tc>
        <w:tc>
          <w:tcPr>
            <w:tcW w:w="2820" w:type="dxa"/>
          </w:tcPr>
          <w:p>
            <w:pPr>
              <w:pStyle w:val="GesAbsatz"/>
              <w:tabs>
                <w:tab w:val="clear" w:pos="425"/>
              </w:tabs>
              <w:jc w:val="center"/>
              <w:rPr>
                <w:lang w:val="en-US"/>
              </w:rPr>
            </w:pPr>
            <w:r>
              <w:rPr>
                <w:lang w:val="en-US"/>
              </w:rPr>
              <w:t>0 – 25</w:t>
            </w:r>
          </w:p>
        </w:tc>
        <w:tc>
          <w:tcPr>
            <w:tcW w:w="1937" w:type="dxa"/>
          </w:tcPr>
          <w:p>
            <w:pPr>
              <w:pStyle w:val="GesAbsatz"/>
              <w:tabs>
                <w:tab w:val="clear" w:pos="425"/>
              </w:tabs>
              <w:jc w:val="center"/>
              <w:rPr>
                <w:lang w:val="en-US"/>
              </w:rPr>
            </w:pPr>
            <w:r>
              <w:rPr>
                <w:lang w:val="en-US"/>
              </w:rPr>
              <w:t>Vol.-%</w:t>
            </w:r>
          </w:p>
        </w:tc>
      </w:tr>
      <w:tr>
        <w:tc>
          <w:tcPr>
            <w:tcW w:w="1668" w:type="dxa"/>
          </w:tcPr>
          <w:p>
            <w:pPr>
              <w:pStyle w:val="GesAbsatz"/>
              <w:tabs>
                <w:tab w:val="clear" w:pos="425"/>
              </w:tabs>
              <w:rPr>
                <w:lang w:val="en-US"/>
              </w:rPr>
            </w:pPr>
            <w:r>
              <w:rPr>
                <w:lang w:val="en-US"/>
              </w:rPr>
              <w:t>O</w:t>
            </w:r>
            <w:r>
              <w:rPr>
                <w:vertAlign w:val="subscript"/>
                <w:lang w:val="en-US"/>
              </w:rPr>
              <w:t>2</w:t>
            </w:r>
          </w:p>
        </w:tc>
        <w:tc>
          <w:tcPr>
            <w:tcW w:w="2950" w:type="dxa"/>
          </w:tcPr>
          <w:p>
            <w:pPr>
              <w:pStyle w:val="GesAbsatz"/>
              <w:tabs>
                <w:tab w:val="clear" w:pos="425"/>
              </w:tabs>
              <w:jc w:val="center"/>
              <w:rPr>
                <w:lang w:val="en-US"/>
              </w:rPr>
            </w:pPr>
            <w:r>
              <w:rPr>
                <w:lang w:val="en-US"/>
              </w:rPr>
              <w:t>0 – 25</w:t>
            </w:r>
          </w:p>
        </w:tc>
        <w:tc>
          <w:tcPr>
            <w:tcW w:w="2820" w:type="dxa"/>
          </w:tcPr>
          <w:p>
            <w:pPr>
              <w:pStyle w:val="GesAbsatz"/>
              <w:tabs>
                <w:tab w:val="clear" w:pos="425"/>
              </w:tabs>
              <w:jc w:val="center"/>
              <w:rPr>
                <w:lang w:val="en-US"/>
              </w:rPr>
            </w:pPr>
            <w:r>
              <w:rPr>
                <w:lang w:val="en-US"/>
              </w:rPr>
              <w:t>–</w:t>
            </w:r>
          </w:p>
        </w:tc>
        <w:tc>
          <w:tcPr>
            <w:tcW w:w="1937" w:type="dxa"/>
          </w:tcPr>
          <w:p>
            <w:pPr>
              <w:pStyle w:val="GesAbsatz"/>
              <w:tabs>
                <w:tab w:val="clear" w:pos="425"/>
              </w:tabs>
              <w:jc w:val="center"/>
              <w:rPr>
                <w:lang w:val="en-US"/>
              </w:rPr>
            </w:pPr>
            <w:r>
              <w:rPr>
                <w:lang w:val="en-US"/>
              </w:rPr>
              <w:t>Vol.-%</w:t>
            </w:r>
          </w:p>
        </w:tc>
      </w:tr>
    </w:tbl>
    <w:p>
      <w:pPr>
        <w:pStyle w:val="GesAbsatz"/>
      </w:pPr>
      <w:r>
        <w:t>Softwareversion: 3.4.h</w:t>
      </w:r>
    </w:p>
    <w:p>
      <w:pPr>
        <w:pStyle w:val="GesAbsatz"/>
      </w:pPr>
      <w:r>
        <w:t>Einschränkungen:</w:t>
      </w:r>
    </w:p>
    <w:p>
      <w:pPr>
        <w:pStyle w:val="GesAbsatz"/>
        <w:ind w:left="426" w:hanging="426"/>
      </w:pPr>
      <w:r>
        <w:t>1.</w:t>
      </w:r>
      <w:r>
        <w:tab/>
        <w:t>Die Anforderung bei der Eignungsprüfung nach DIN EN 15267-3 an die erweiterte Gesamtmessunsicherheit wird für die Komponente CO nicht erfüllt.</w:t>
      </w:r>
    </w:p>
    <w:p>
      <w:pPr>
        <w:pStyle w:val="GesAbsatz"/>
        <w:ind w:left="426" w:hanging="426"/>
      </w:pPr>
      <w:r>
        <w:t>2.</w:t>
      </w:r>
      <w:r>
        <w:tab/>
        <w:t>Der Zertifizierungsbereich der Messkomponente SO</w:t>
      </w:r>
      <w:r>
        <w:rPr>
          <w:vertAlign w:val="subscript"/>
        </w:rPr>
        <w:t>2</w:t>
      </w:r>
      <w:r>
        <w:t xml:space="preserve"> ist zur Überwachung des Tagesmittelwertes an Anlagen der 17. BImSchV nicht geeignet.</w:t>
      </w:r>
    </w:p>
    <w:p>
      <w:pPr>
        <w:pStyle w:val="GesAbsatz"/>
      </w:pPr>
      <w:r>
        <w:t>3.</w:t>
      </w:r>
      <w:r>
        <w:tab/>
        <w:t>Die Messeinrichtung muss in einem verschließbaren Messraum/Container betrieben werden.</w:t>
      </w:r>
    </w:p>
    <w:p>
      <w:pPr>
        <w:pStyle w:val="GesAbsatz"/>
      </w:pPr>
      <w:r>
        <w:t>Hinweise:</w:t>
      </w:r>
    </w:p>
    <w:p>
      <w:pPr>
        <w:pStyle w:val="GesAbsatz"/>
      </w:pPr>
      <w:r>
        <w:lastRenderedPageBreak/>
        <w:t>1.</w:t>
      </w:r>
      <w:r>
        <w:tab/>
        <w:t>Das Wartungsintervall beträgt vier Wochen.</w:t>
      </w:r>
    </w:p>
    <w:p>
      <w:pPr>
        <w:pStyle w:val="GesAbsatz"/>
      </w:pPr>
      <w:r>
        <w:t>2.</w:t>
      </w:r>
      <w:r>
        <w:tab/>
        <w:t>Die Messeinrichtung führt viermal täglich einen Nullpunktabgleich durch.</w:t>
      </w:r>
    </w:p>
    <w:p>
      <w:pPr>
        <w:pStyle w:val="GesAbsatz"/>
      </w:pPr>
      <w:r>
        <w:t>Prüfbericht: TÜV Rheinland Energie und Umwelt GmbH, Köln</w:t>
      </w:r>
    </w:p>
    <w:p>
      <w:pPr>
        <w:pStyle w:val="GesAbsatz"/>
      </w:pPr>
      <w:r>
        <w:t>Bericht-Nr.: 936/21217993/A vom 4. September 2013</w:t>
      </w:r>
    </w:p>
    <w:p>
      <w:pPr>
        <w:pStyle w:val="GesAbsatz"/>
        <w:rPr>
          <w:b/>
        </w:rPr>
      </w:pPr>
      <w:r>
        <w:rPr>
          <w:b/>
        </w:rPr>
        <w:t>4</w:t>
      </w:r>
      <w:r>
        <w:rPr>
          <w:b/>
        </w:rPr>
        <w:tab/>
        <w:t>Messeinrichtungen mit modularem Aufbau</w:t>
      </w:r>
    </w:p>
    <w:p>
      <w:pPr>
        <w:pStyle w:val="GesAbsatz"/>
        <w:rPr>
          <w:b/>
        </w:rPr>
      </w:pPr>
      <w:r>
        <w:rPr>
          <w:b/>
        </w:rPr>
        <w:t>4.1</w:t>
      </w:r>
      <w:r>
        <w:rPr>
          <w:b/>
        </w:rPr>
        <w:tab/>
        <w:t>CEMS für CO, NO, NO</w:t>
      </w:r>
      <w:r>
        <w:rPr>
          <w:b/>
          <w:vertAlign w:val="subscript"/>
        </w:rPr>
        <w:t>2</w:t>
      </w:r>
      <w:r>
        <w:rPr>
          <w:b/>
        </w:rPr>
        <w:t>, NO</w:t>
      </w:r>
      <w:r>
        <w:rPr>
          <w:b/>
          <w:vertAlign w:val="subscript"/>
        </w:rPr>
        <w:t>x</w:t>
      </w:r>
      <w:r>
        <w:rPr>
          <w:b/>
        </w:rPr>
        <w:t>, SO</w:t>
      </w:r>
      <w:r>
        <w:rPr>
          <w:b/>
          <w:vertAlign w:val="subscript"/>
        </w:rPr>
        <w:t>2</w:t>
      </w:r>
      <w:r>
        <w:rPr>
          <w:b/>
        </w:rPr>
        <w:t xml:space="preserve"> und CO</w:t>
      </w:r>
      <w:r>
        <w:rPr>
          <w:b/>
          <w:vertAlign w:val="subscript"/>
        </w:rPr>
        <w:t>2</w:t>
      </w:r>
    </w:p>
    <w:p>
      <w:pPr>
        <w:pStyle w:val="GesAbsatz"/>
      </w:pPr>
      <w:r>
        <w:t>Hersteller:</w:t>
      </w:r>
    </w:p>
    <w:p>
      <w:pPr>
        <w:pStyle w:val="GesAbsatz"/>
      </w:pPr>
      <w:r>
        <w:t>Kontram Oy, Helsinki, Finnland</w:t>
      </w:r>
    </w:p>
    <w:p>
      <w:pPr>
        <w:pStyle w:val="GesAbsatz"/>
      </w:pPr>
      <w:r>
        <w:t>Eignung:</w:t>
      </w:r>
    </w:p>
    <w:p>
      <w:pPr>
        <w:pStyle w:val="GesAbsatz"/>
      </w:pPr>
      <w:r>
        <w:t>Für Anlagen der 13. BImSchV</w:t>
      </w:r>
    </w:p>
    <w:p>
      <w:pPr>
        <w:pStyle w:val="GesAbsatz"/>
      </w:pPr>
      <w:r>
        <w:t>Messbereiche in der Eignungsprüfung:</w:t>
      </w:r>
    </w:p>
    <w:tbl>
      <w:tblPr>
        <w:tblStyle w:val="Tabellenraster"/>
        <w:tblW w:w="0" w:type="auto"/>
        <w:tblLook w:val="04A0" w:firstRow="1" w:lastRow="0" w:firstColumn="1" w:lastColumn="0" w:noHBand="0" w:noVBand="1"/>
      </w:tblPr>
      <w:tblGrid>
        <w:gridCol w:w="1809"/>
        <w:gridCol w:w="1843"/>
        <w:gridCol w:w="2318"/>
        <w:gridCol w:w="2242"/>
        <w:gridCol w:w="1394"/>
      </w:tblGrid>
      <w:tr>
        <w:tc>
          <w:tcPr>
            <w:tcW w:w="1809" w:type="dxa"/>
          </w:tcPr>
          <w:p>
            <w:pPr>
              <w:pStyle w:val="GesAbsatz"/>
              <w:tabs>
                <w:tab w:val="clear" w:pos="425"/>
              </w:tabs>
              <w:jc w:val="center"/>
            </w:pPr>
            <w:r>
              <w:t>Modul</w:t>
            </w:r>
          </w:p>
        </w:tc>
        <w:tc>
          <w:tcPr>
            <w:tcW w:w="1843" w:type="dxa"/>
          </w:tcPr>
          <w:p>
            <w:pPr>
              <w:pStyle w:val="GesAbsatz"/>
              <w:tabs>
                <w:tab w:val="clear" w:pos="425"/>
              </w:tabs>
              <w:jc w:val="center"/>
            </w:pPr>
            <w:r>
              <w:t>Komponente</w:t>
            </w:r>
          </w:p>
        </w:tc>
        <w:tc>
          <w:tcPr>
            <w:tcW w:w="2318" w:type="dxa"/>
          </w:tcPr>
          <w:p>
            <w:pPr>
              <w:pStyle w:val="GesAbsatz"/>
              <w:tabs>
                <w:tab w:val="clear" w:pos="425"/>
              </w:tabs>
              <w:jc w:val="center"/>
            </w:pPr>
            <w:r>
              <w:t>Zertifizierungsbereich</w:t>
            </w:r>
          </w:p>
        </w:tc>
        <w:tc>
          <w:tcPr>
            <w:tcW w:w="2242" w:type="dxa"/>
          </w:tcPr>
          <w:p>
            <w:pPr>
              <w:pStyle w:val="GesAbsatz"/>
              <w:tabs>
                <w:tab w:val="clear" w:pos="425"/>
              </w:tabs>
              <w:jc w:val="center"/>
            </w:pPr>
            <w:r>
              <w:t>zusätzlicher Messbereich</w:t>
            </w:r>
          </w:p>
        </w:tc>
        <w:tc>
          <w:tcPr>
            <w:tcW w:w="1394" w:type="dxa"/>
          </w:tcPr>
          <w:p>
            <w:pPr>
              <w:pStyle w:val="GesAbsatz"/>
              <w:tabs>
                <w:tab w:val="clear" w:pos="425"/>
              </w:tabs>
              <w:jc w:val="center"/>
            </w:pPr>
            <w:r>
              <w:t>Einheit</w:t>
            </w:r>
          </w:p>
        </w:tc>
      </w:tr>
      <w:tr>
        <w:tc>
          <w:tcPr>
            <w:tcW w:w="1809" w:type="dxa"/>
            <w:vMerge w:val="restart"/>
          </w:tcPr>
          <w:p>
            <w:pPr>
              <w:pStyle w:val="GesAbsatz"/>
              <w:tabs>
                <w:tab w:val="clear" w:pos="425"/>
              </w:tabs>
              <w:rPr>
                <w:lang w:val="en-US"/>
              </w:rPr>
            </w:pPr>
            <w:r>
              <w:rPr>
                <w:lang w:val="en-US"/>
              </w:rPr>
              <w:t>CEMS-T60i</w:t>
            </w:r>
          </w:p>
        </w:tc>
        <w:tc>
          <w:tcPr>
            <w:tcW w:w="1843" w:type="dxa"/>
          </w:tcPr>
          <w:p>
            <w:pPr>
              <w:pStyle w:val="GesAbsatz"/>
              <w:tabs>
                <w:tab w:val="clear" w:pos="425"/>
              </w:tabs>
              <w:jc w:val="center"/>
              <w:rPr>
                <w:lang w:val="en-US"/>
              </w:rPr>
            </w:pPr>
            <w:r>
              <w:rPr>
                <w:lang w:val="en-US"/>
              </w:rPr>
              <w:t>CO</w:t>
            </w:r>
          </w:p>
        </w:tc>
        <w:tc>
          <w:tcPr>
            <w:tcW w:w="2318" w:type="dxa"/>
          </w:tcPr>
          <w:p>
            <w:pPr>
              <w:pStyle w:val="GesAbsatz"/>
              <w:tabs>
                <w:tab w:val="clear" w:pos="425"/>
              </w:tabs>
              <w:jc w:val="center"/>
              <w:rPr>
                <w:lang w:val="en-US"/>
              </w:rPr>
            </w:pPr>
            <w:r>
              <w:rPr>
                <w:lang w:val="en-US"/>
              </w:rPr>
              <w:t>0 – 250</w:t>
            </w:r>
          </w:p>
        </w:tc>
        <w:tc>
          <w:tcPr>
            <w:tcW w:w="2242" w:type="dxa"/>
          </w:tcPr>
          <w:p>
            <w:pPr>
              <w:pStyle w:val="GesAbsatz"/>
              <w:tabs>
                <w:tab w:val="clear" w:pos="425"/>
              </w:tabs>
              <w:jc w:val="center"/>
              <w:rPr>
                <w:lang w:val="en-US"/>
              </w:rPr>
            </w:pPr>
            <w:r>
              <w:rPr>
                <w:lang w:val="en-US"/>
              </w:rPr>
              <w:t>0 – 3 125</w:t>
            </w:r>
          </w:p>
        </w:tc>
        <w:tc>
          <w:tcPr>
            <w:tcW w:w="1394" w:type="dxa"/>
          </w:tcPr>
          <w:p>
            <w:pPr>
              <w:pStyle w:val="GesAbsatz"/>
              <w:tabs>
                <w:tab w:val="clear" w:pos="425"/>
              </w:tabs>
              <w:jc w:val="center"/>
              <w:rPr>
                <w:lang w:val="en-US"/>
              </w:rPr>
            </w:pPr>
            <w:r>
              <w:rPr>
                <w:lang w:val="en-US"/>
              </w:rPr>
              <w:t>mg/m³</w:t>
            </w:r>
          </w:p>
        </w:tc>
      </w:tr>
      <w:tr>
        <w:tc>
          <w:tcPr>
            <w:tcW w:w="1809" w:type="dxa"/>
            <w:vMerge/>
          </w:tcPr>
          <w:p>
            <w:pPr>
              <w:pStyle w:val="GesAbsatz"/>
              <w:tabs>
                <w:tab w:val="clear" w:pos="425"/>
              </w:tabs>
              <w:rPr>
                <w:lang w:val="en-US"/>
              </w:rPr>
            </w:pPr>
          </w:p>
        </w:tc>
        <w:tc>
          <w:tcPr>
            <w:tcW w:w="1843" w:type="dxa"/>
          </w:tcPr>
          <w:p>
            <w:pPr>
              <w:pStyle w:val="GesAbsatz"/>
              <w:tabs>
                <w:tab w:val="clear" w:pos="425"/>
              </w:tabs>
              <w:jc w:val="center"/>
              <w:rPr>
                <w:lang w:val="en-US"/>
              </w:rPr>
            </w:pPr>
            <w:r>
              <w:rPr>
                <w:lang w:val="en-US"/>
              </w:rPr>
              <w:t>NO</w:t>
            </w:r>
          </w:p>
        </w:tc>
        <w:tc>
          <w:tcPr>
            <w:tcW w:w="2318" w:type="dxa"/>
          </w:tcPr>
          <w:p>
            <w:pPr>
              <w:pStyle w:val="GesAbsatz"/>
              <w:tabs>
                <w:tab w:val="clear" w:pos="425"/>
              </w:tabs>
              <w:jc w:val="center"/>
              <w:rPr>
                <w:lang w:val="en-US"/>
              </w:rPr>
            </w:pPr>
            <w:r>
              <w:rPr>
                <w:lang w:val="en-US"/>
              </w:rPr>
              <w:t>0 – 121</w:t>
            </w:r>
          </w:p>
        </w:tc>
        <w:tc>
          <w:tcPr>
            <w:tcW w:w="2242" w:type="dxa"/>
          </w:tcPr>
          <w:p>
            <w:pPr>
              <w:pStyle w:val="GesAbsatz"/>
              <w:tabs>
                <w:tab w:val="clear" w:pos="425"/>
              </w:tabs>
              <w:jc w:val="center"/>
              <w:rPr>
                <w:lang w:val="en-US"/>
              </w:rPr>
            </w:pPr>
            <w:r>
              <w:rPr>
                <w:lang w:val="en-US"/>
              </w:rPr>
              <w:t>0 – 2 680</w:t>
            </w:r>
          </w:p>
        </w:tc>
        <w:tc>
          <w:tcPr>
            <w:tcW w:w="1394" w:type="dxa"/>
          </w:tcPr>
          <w:p>
            <w:pPr>
              <w:pStyle w:val="GesAbsatz"/>
              <w:tabs>
                <w:tab w:val="clear" w:pos="425"/>
              </w:tabs>
              <w:jc w:val="center"/>
              <w:rPr>
                <w:lang w:val="en-US"/>
              </w:rPr>
            </w:pPr>
            <w:r>
              <w:rPr>
                <w:lang w:val="en-US"/>
              </w:rPr>
              <w:t>mg/m³</w:t>
            </w:r>
          </w:p>
        </w:tc>
      </w:tr>
      <w:tr>
        <w:tc>
          <w:tcPr>
            <w:tcW w:w="1809" w:type="dxa"/>
            <w:vMerge/>
          </w:tcPr>
          <w:p>
            <w:pPr>
              <w:pStyle w:val="GesAbsatz"/>
              <w:tabs>
                <w:tab w:val="clear" w:pos="425"/>
              </w:tabs>
              <w:rPr>
                <w:lang w:val="en-US"/>
              </w:rPr>
            </w:pPr>
          </w:p>
        </w:tc>
        <w:tc>
          <w:tcPr>
            <w:tcW w:w="1843" w:type="dxa"/>
          </w:tcPr>
          <w:p>
            <w:pPr>
              <w:pStyle w:val="GesAbsatz"/>
              <w:tabs>
                <w:tab w:val="clear" w:pos="425"/>
              </w:tabs>
              <w:jc w:val="center"/>
              <w:rPr>
                <w:lang w:val="en-US"/>
              </w:rPr>
            </w:pPr>
            <w:r>
              <w:rPr>
                <w:lang w:val="en-US"/>
              </w:rPr>
              <w:t>NO</w:t>
            </w:r>
            <w:r>
              <w:rPr>
                <w:vertAlign w:val="subscript"/>
                <w:lang w:val="en-US"/>
              </w:rPr>
              <w:t>2</w:t>
            </w:r>
          </w:p>
        </w:tc>
        <w:tc>
          <w:tcPr>
            <w:tcW w:w="2318" w:type="dxa"/>
          </w:tcPr>
          <w:p>
            <w:pPr>
              <w:pStyle w:val="GesAbsatz"/>
              <w:tabs>
                <w:tab w:val="clear" w:pos="425"/>
              </w:tabs>
              <w:jc w:val="center"/>
              <w:rPr>
                <w:lang w:val="en-US"/>
              </w:rPr>
            </w:pPr>
            <w:r>
              <w:rPr>
                <w:lang w:val="en-US"/>
              </w:rPr>
              <w:t>0 – 185</w:t>
            </w:r>
          </w:p>
        </w:tc>
        <w:tc>
          <w:tcPr>
            <w:tcW w:w="2242" w:type="dxa"/>
          </w:tcPr>
          <w:p>
            <w:pPr>
              <w:pStyle w:val="GesAbsatz"/>
              <w:tabs>
                <w:tab w:val="clear" w:pos="425"/>
              </w:tabs>
              <w:jc w:val="center"/>
              <w:rPr>
                <w:lang w:val="en-US"/>
              </w:rPr>
            </w:pPr>
            <w:r>
              <w:rPr>
                <w:lang w:val="en-US"/>
              </w:rPr>
              <w:t>0 – 1 025</w:t>
            </w:r>
          </w:p>
        </w:tc>
        <w:tc>
          <w:tcPr>
            <w:tcW w:w="1394" w:type="dxa"/>
          </w:tcPr>
          <w:p>
            <w:pPr>
              <w:pStyle w:val="GesAbsatz"/>
              <w:tabs>
                <w:tab w:val="clear" w:pos="425"/>
              </w:tabs>
              <w:jc w:val="center"/>
              <w:rPr>
                <w:lang w:val="en-US"/>
              </w:rPr>
            </w:pPr>
            <w:r>
              <w:rPr>
                <w:lang w:val="en-US"/>
              </w:rPr>
              <w:t>mg/m³</w:t>
            </w:r>
          </w:p>
        </w:tc>
      </w:tr>
      <w:tr>
        <w:tc>
          <w:tcPr>
            <w:tcW w:w="1809" w:type="dxa"/>
            <w:vMerge/>
          </w:tcPr>
          <w:p>
            <w:pPr>
              <w:pStyle w:val="GesAbsatz"/>
              <w:tabs>
                <w:tab w:val="clear" w:pos="425"/>
              </w:tabs>
              <w:rPr>
                <w:lang w:val="en-US"/>
              </w:rPr>
            </w:pPr>
          </w:p>
        </w:tc>
        <w:tc>
          <w:tcPr>
            <w:tcW w:w="1843" w:type="dxa"/>
          </w:tcPr>
          <w:p>
            <w:pPr>
              <w:pStyle w:val="GesAbsatz"/>
              <w:tabs>
                <w:tab w:val="clear" w:pos="425"/>
              </w:tabs>
              <w:jc w:val="center"/>
              <w:rPr>
                <w:lang w:val="en-US"/>
              </w:rPr>
            </w:pPr>
            <w:r>
              <w:rPr>
                <w:lang w:val="en-US"/>
              </w:rPr>
              <w:t>NO</w:t>
            </w:r>
            <w:r>
              <w:rPr>
                <w:vertAlign w:val="subscript"/>
                <w:lang w:val="en-US"/>
              </w:rPr>
              <w:t>x</w:t>
            </w:r>
            <w:r>
              <w:rPr>
                <w:lang w:val="en-US"/>
              </w:rPr>
              <w:t>*</w:t>
            </w:r>
          </w:p>
        </w:tc>
        <w:tc>
          <w:tcPr>
            <w:tcW w:w="2318" w:type="dxa"/>
          </w:tcPr>
          <w:p>
            <w:pPr>
              <w:pStyle w:val="GesAbsatz"/>
              <w:tabs>
                <w:tab w:val="clear" w:pos="425"/>
              </w:tabs>
              <w:jc w:val="center"/>
              <w:rPr>
                <w:lang w:val="en-US"/>
              </w:rPr>
            </w:pPr>
            <w:r>
              <w:rPr>
                <w:lang w:val="en-US"/>
              </w:rPr>
              <w:t>0 – 185</w:t>
            </w:r>
          </w:p>
        </w:tc>
        <w:tc>
          <w:tcPr>
            <w:tcW w:w="2242" w:type="dxa"/>
          </w:tcPr>
          <w:p>
            <w:pPr>
              <w:pStyle w:val="GesAbsatz"/>
              <w:tabs>
                <w:tab w:val="clear" w:pos="425"/>
              </w:tabs>
              <w:jc w:val="center"/>
              <w:rPr>
                <w:lang w:val="en-US"/>
              </w:rPr>
            </w:pPr>
            <w:r>
              <w:rPr>
                <w:lang w:val="en-US"/>
              </w:rPr>
              <w:t>0 – 4 097</w:t>
            </w:r>
          </w:p>
        </w:tc>
        <w:tc>
          <w:tcPr>
            <w:tcW w:w="1394" w:type="dxa"/>
          </w:tcPr>
          <w:p>
            <w:pPr>
              <w:pStyle w:val="GesAbsatz"/>
              <w:tabs>
                <w:tab w:val="clear" w:pos="425"/>
              </w:tabs>
              <w:jc w:val="center"/>
              <w:rPr>
                <w:lang w:val="en-US"/>
              </w:rPr>
            </w:pPr>
            <w:r>
              <w:rPr>
                <w:lang w:val="en-US"/>
              </w:rPr>
              <w:t>mg/m³</w:t>
            </w:r>
          </w:p>
        </w:tc>
      </w:tr>
      <w:tr>
        <w:tc>
          <w:tcPr>
            <w:tcW w:w="1809" w:type="dxa"/>
            <w:vMerge/>
          </w:tcPr>
          <w:p>
            <w:pPr>
              <w:pStyle w:val="GesAbsatz"/>
              <w:tabs>
                <w:tab w:val="clear" w:pos="425"/>
              </w:tabs>
              <w:rPr>
                <w:lang w:val="en-US"/>
              </w:rPr>
            </w:pPr>
          </w:p>
        </w:tc>
        <w:tc>
          <w:tcPr>
            <w:tcW w:w="1843" w:type="dxa"/>
          </w:tcPr>
          <w:p>
            <w:pPr>
              <w:pStyle w:val="GesAbsatz"/>
              <w:tabs>
                <w:tab w:val="clear" w:pos="425"/>
              </w:tabs>
              <w:jc w:val="center"/>
              <w:rPr>
                <w:lang w:val="en-US"/>
              </w:rPr>
            </w:pPr>
            <w:r>
              <w:rPr>
                <w:lang w:val="en-US"/>
              </w:rPr>
              <w:t>SO</w:t>
            </w:r>
            <w:r>
              <w:rPr>
                <w:vertAlign w:val="subscript"/>
                <w:lang w:val="en-US"/>
              </w:rPr>
              <w:t>2</w:t>
            </w:r>
          </w:p>
        </w:tc>
        <w:tc>
          <w:tcPr>
            <w:tcW w:w="2318" w:type="dxa"/>
          </w:tcPr>
          <w:p>
            <w:pPr>
              <w:pStyle w:val="GesAbsatz"/>
              <w:tabs>
                <w:tab w:val="clear" w:pos="425"/>
              </w:tabs>
              <w:jc w:val="center"/>
              <w:rPr>
                <w:lang w:val="en-US"/>
              </w:rPr>
            </w:pPr>
            <w:r>
              <w:rPr>
                <w:lang w:val="en-US"/>
              </w:rPr>
              <w:t>0 – 486</w:t>
            </w:r>
          </w:p>
        </w:tc>
        <w:tc>
          <w:tcPr>
            <w:tcW w:w="2242" w:type="dxa"/>
          </w:tcPr>
          <w:p>
            <w:pPr>
              <w:pStyle w:val="GesAbsatz"/>
              <w:tabs>
                <w:tab w:val="clear" w:pos="425"/>
              </w:tabs>
              <w:jc w:val="center"/>
              <w:rPr>
                <w:lang w:val="en-US"/>
              </w:rPr>
            </w:pPr>
            <w:r>
              <w:rPr>
                <w:lang w:val="en-US"/>
              </w:rPr>
              <w:t>0 – 5 720</w:t>
            </w:r>
          </w:p>
        </w:tc>
        <w:tc>
          <w:tcPr>
            <w:tcW w:w="1394" w:type="dxa"/>
          </w:tcPr>
          <w:p>
            <w:pPr>
              <w:pStyle w:val="GesAbsatz"/>
              <w:tabs>
                <w:tab w:val="clear" w:pos="425"/>
              </w:tabs>
              <w:jc w:val="center"/>
              <w:rPr>
                <w:lang w:val="en-US"/>
              </w:rPr>
            </w:pPr>
            <w:r>
              <w:rPr>
                <w:lang w:val="en-US"/>
              </w:rPr>
              <w:t>mg/m³</w:t>
            </w:r>
          </w:p>
        </w:tc>
      </w:tr>
      <w:tr>
        <w:tc>
          <w:tcPr>
            <w:tcW w:w="1809" w:type="dxa"/>
            <w:vMerge/>
          </w:tcPr>
          <w:p>
            <w:pPr>
              <w:pStyle w:val="GesAbsatz"/>
              <w:tabs>
                <w:tab w:val="clear" w:pos="425"/>
              </w:tabs>
              <w:rPr>
                <w:lang w:val="en-US"/>
              </w:rPr>
            </w:pPr>
          </w:p>
        </w:tc>
        <w:tc>
          <w:tcPr>
            <w:tcW w:w="1843" w:type="dxa"/>
          </w:tcPr>
          <w:p>
            <w:pPr>
              <w:pStyle w:val="GesAbsatz"/>
              <w:tabs>
                <w:tab w:val="clear" w:pos="425"/>
              </w:tabs>
              <w:jc w:val="center"/>
              <w:rPr>
                <w:lang w:val="en-US"/>
              </w:rPr>
            </w:pPr>
            <w:r>
              <w:rPr>
                <w:lang w:val="en-US"/>
              </w:rPr>
              <w:t>CO</w:t>
            </w:r>
            <w:r>
              <w:rPr>
                <w:vertAlign w:val="subscript"/>
                <w:lang w:val="en-US"/>
              </w:rPr>
              <w:t>2</w:t>
            </w:r>
          </w:p>
        </w:tc>
        <w:tc>
          <w:tcPr>
            <w:tcW w:w="2318" w:type="dxa"/>
          </w:tcPr>
          <w:p>
            <w:pPr>
              <w:pStyle w:val="GesAbsatz"/>
              <w:tabs>
                <w:tab w:val="clear" w:pos="425"/>
              </w:tabs>
              <w:jc w:val="center"/>
              <w:rPr>
                <w:lang w:val="en-US"/>
              </w:rPr>
            </w:pPr>
            <w:r>
              <w:rPr>
                <w:lang w:val="en-US"/>
              </w:rPr>
              <w:t>0 – 25</w:t>
            </w:r>
          </w:p>
        </w:tc>
        <w:tc>
          <w:tcPr>
            <w:tcW w:w="2242" w:type="dxa"/>
          </w:tcPr>
          <w:p>
            <w:pPr>
              <w:pStyle w:val="GesAbsatz"/>
              <w:tabs>
                <w:tab w:val="clear" w:pos="425"/>
              </w:tabs>
              <w:jc w:val="center"/>
              <w:rPr>
                <w:lang w:val="en-US"/>
              </w:rPr>
            </w:pPr>
            <w:r>
              <w:rPr>
                <w:lang w:val="en-US"/>
              </w:rPr>
              <w:t>–</w:t>
            </w:r>
          </w:p>
        </w:tc>
        <w:tc>
          <w:tcPr>
            <w:tcW w:w="1394" w:type="dxa"/>
          </w:tcPr>
          <w:p>
            <w:pPr>
              <w:pStyle w:val="GesAbsatz"/>
              <w:tabs>
                <w:tab w:val="clear" w:pos="425"/>
              </w:tabs>
              <w:jc w:val="center"/>
              <w:rPr>
                <w:lang w:val="en-US"/>
              </w:rPr>
            </w:pPr>
            <w:r>
              <w:rPr>
                <w:lang w:val="en-US"/>
              </w:rPr>
              <w:t>Vol.-%</w:t>
            </w:r>
          </w:p>
        </w:tc>
      </w:tr>
      <w:tr>
        <w:tc>
          <w:tcPr>
            <w:tcW w:w="1809" w:type="dxa"/>
          </w:tcPr>
          <w:p>
            <w:pPr>
              <w:pStyle w:val="GesAbsatz"/>
              <w:tabs>
                <w:tab w:val="clear" w:pos="425"/>
              </w:tabs>
              <w:rPr>
                <w:lang w:val="en-US"/>
              </w:rPr>
            </w:pPr>
            <w:r>
              <w:rPr>
                <w:lang w:val="en-US"/>
              </w:rPr>
              <w:t>CEMS-S4900</w:t>
            </w:r>
          </w:p>
        </w:tc>
        <w:tc>
          <w:tcPr>
            <w:tcW w:w="1843" w:type="dxa"/>
          </w:tcPr>
          <w:p>
            <w:pPr>
              <w:pStyle w:val="GesAbsatz"/>
              <w:tabs>
                <w:tab w:val="clear" w:pos="425"/>
              </w:tabs>
              <w:jc w:val="center"/>
              <w:rPr>
                <w:lang w:val="en-US"/>
              </w:rPr>
            </w:pPr>
            <w:r>
              <w:rPr>
                <w:lang w:val="en-US"/>
              </w:rPr>
              <w:t>CO</w:t>
            </w:r>
          </w:p>
        </w:tc>
        <w:tc>
          <w:tcPr>
            <w:tcW w:w="2318" w:type="dxa"/>
          </w:tcPr>
          <w:p>
            <w:pPr>
              <w:pStyle w:val="GesAbsatz"/>
              <w:tabs>
                <w:tab w:val="clear" w:pos="425"/>
              </w:tabs>
              <w:jc w:val="center"/>
              <w:rPr>
                <w:lang w:val="en-US"/>
              </w:rPr>
            </w:pPr>
            <w:r>
              <w:rPr>
                <w:lang w:val="en-US"/>
              </w:rPr>
              <w:t>0 – 125</w:t>
            </w:r>
          </w:p>
        </w:tc>
        <w:tc>
          <w:tcPr>
            <w:tcW w:w="2242" w:type="dxa"/>
          </w:tcPr>
          <w:p>
            <w:pPr>
              <w:pStyle w:val="GesAbsatz"/>
              <w:tabs>
                <w:tab w:val="clear" w:pos="425"/>
              </w:tabs>
              <w:jc w:val="center"/>
              <w:rPr>
                <w:lang w:val="en-US"/>
              </w:rPr>
            </w:pPr>
            <w:r>
              <w:rPr>
                <w:lang w:val="en-US"/>
              </w:rPr>
              <w:t>0 – 625</w:t>
            </w:r>
          </w:p>
        </w:tc>
        <w:tc>
          <w:tcPr>
            <w:tcW w:w="1394" w:type="dxa"/>
          </w:tcPr>
          <w:p>
            <w:pPr>
              <w:pStyle w:val="GesAbsatz"/>
              <w:tabs>
                <w:tab w:val="clear" w:pos="425"/>
              </w:tabs>
              <w:jc w:val="center"/>
              <w:rPr>
                <w:lang w:val="en-US"/>
              </w:rPr>
            </w:pPr>
            <w:r>
              <w:rPr>
                <w:lang w:val="en-US"/>
              </w:rPr>
              <w:t>mg/m³</w:t>
            </w:r>
          </w:p>
        </w:tc>
      </w:tr>
      <w:tr>
        <w:tc>
          <w:tcPr>
            <w:tcW w:w="1809" w:type="dxa"/>
          </w:tcPr>
          <w:p>
            <w:pPr>
              <w:pStyle w:val="GesAbsatz"/>
              <w:tabs>
                <w:tab w:val="clear" w:pos="425"/>
              </w:tabs>
              <w:rPr>
                <w:lang w:val="en-US"/>
              </w:rPr>
            </w:pPr>
            <w:r>
              <w:rPr>
                <w:lang w:val="en-US"/>
              </w:rPr>
              <w:t>CEMS-S4900</w:t>
            </w:r>
          </w:p>
        </w:tc>
        <w:tc>
          <w:tcPr>
            <w:tcW w:w="1843" w:type="dxa"/>
          </w:tcPr>
          <w:p>
            <w:pPr>
              <w:pStyle w:val="GesAbsatz"/>
              <w:tabs>
                <w:tab w:val="clear" w:pos="425"/>
              </w:tabs>
              <w:jc w:val="center"/>
              <w:rPr>
                <w:lang w:val="en-US"/>
              </w:rPr>
            </w:pPr>
            <w:r>
              <w:rPr>
                <w:lang w:val="en-US"/>
              </w:rPr>
              <w:t>NO</w:t>
            </w:r>
          </w:p>
        </w:tc>
        <w:tc>
          <w:tcPr>
            <w:tcW w:w="2318" w:type="dxa"/>
          </w:tcPr>
          <w:p>
            <w:pPr>
              <w:pStyle w:val="GesAbsatz"/>
              <w:tabs>
                <w:tab w:val="clear" w:pos="425"/>
              </w:tabs>
              <w:jc w:val="center"/>
              <w:rPr>
                <w:lang w:val="en-US"/>
              </w:rPr>
            </w:pPr>
            <w:r>
              <w:rPr>
                <w:lang w:val="en-US"/>
              </w:rPr>
              <w:t>0 – 121</w:t>
            </w:r>
          </w:p>
        </w:tc>
        <w:tc>
          <w:tcPr>
            <w:tcW w:w="2242" w:type="dxa"/>
          </w:tcPr>
          <w:p>
            <w:pPr>
              <w:pStyle w:val="GesAbsatz"/>
              <w:tabs>
                <w:tab w:val="clear" w:pos="425"/>
              </w:tabs>
              <w:jc w:val="center"/>
              <w:rPr>
                <w:lang w:val="en-US"/>
              </w:rPr>
            </w:pPr>
            <w:r>
              <w:rPr>
                <w:lang w:val="en-US"/>
              </w:rPr>
              <w:t>0 – 1 340</w:t>
            </w:r>
          </w:p>
        </w:tc>
        <w:tc>
          <w:tcPr>
            <w:tcW w:w="1394" w:type="dxa"/>
          </w:tcPr>
          <w:p>
            <w:pPr>
              <w:pStyle w:val="GesAbsatz"/>
              <w:tabs>
                <w:tab w:val="clear" w:pos="425"/>
              </w:tabs>
              <w:jc w:val="center"/>
              <w:rPr>
                <w:lang w:val="en-US"/>
              </w:rPr>
            </w:pPr>
            <w:r>
              <w:rPr>
                <w:lang w:val="en-US"/>
              </w:rPr>
              <w:t>mg/m³</w:t>
            </w:r>
          </w:p>
        </w:tc>
      </w:tr>
      <w:tr>
        <w:tc>
          <w:tcPr>
            <w:tcW w:w="1809" w:type="dxa"/>
          </w:tcPr>
          <w:p>
            <w:pPr>
              <w:pStyle w:val="GesAbsatz"/>
              <w:tabs>
                <w:tab w:val="clear" w:pos="425"/>
              </w:tabs>
              <w:rPr>
                <w:lang w:val="en-US"/>
              </w:rPr>
            </w:pPr>
            <w:r>
              <w:rPr>
                <w:lang w:val="en-US"/>
              </w:rPr>
              <w:t>CEMS-S4900</w:t>
            </w:r>
          </w:p>
        </w:tc>
        <w:tc>
          <w:tcPr>
            <w:tcW w:w="1843" w:type="dxa"/>
          </w:tcPr>
          <w:p>
            <w:pPr>
              <w:pStyle w:val="GesAbsatz"/>
              <w:tabs>
                <w:tab w:val="clear" w:pos="425"/>
              </w:tabs>
              <w:jc w:val="center"/>
              <w:rPr>
                <w:lang w:val="en-US"/>
              </w:rPr>
            </w:pPr>
            <w:r>
              <w:rPr>
                <w:lang w:val="en-US"/>
              </w:rPr>
              <w:t>SO</w:t>
            </w:r>
            <w:r>
              <w:rPr>
                <w:vertAlign w:val="subscript"/>
                <w:lang w:val="en-US"/>
              </w:rPr>
              <w:t>2</w:t>
            </w:r>
          </w:p>
        </w:tc>
        <w:tc>
          <w:tcPr>
            <w:tcW w:w="2318" w:type="dxa"/>
          </w:tcPr>
          <w:p>
            <w:pPr>
              <w:pStyle w:val="GesAbsatz"/>
              <w:tabs>
                <w:tab w:val="clear" w:pos="425"/>
              </w:tabs>
              <w:jc w:val="center"/>
              <w:rPr>
                <w:lang w:val="en-US"/>
              </w:rPr>
            </w:pPr>
            <w:r>
              <w:rPr>
                <w:lang w:val="en-US"/>
              </w:rPr>
              <w:t>0 – 486</w:t>
            </w:r>
          </w:p>
        </w:tc>
        <w:tc>
          <w:tcPr>
            <w:tcW w:w="2242" w:type="dxa"/>
          </w:tcPr>
          <w:p>
            <w:pPr>
              <w:pStyle w:val="GesAbsatz"/>
              <w:tabs>
                <w:tab w:val="clear" w:pos="425"/>
              </w:tabs>
              <w:jc w:val="center"/>
              <w:rPr>
                <w:lang w:val="en-US"/>
              </w:rPr>
            </w:pPr>
            <w:r>
              <w:rPr>
                <w:lang w:val="en-US"/>
              </w:rPr>
              <w:t>0 – 2 860</w:t>
            </w:r>
          </w:p>
        </w:tc>
        <w:tc>
          <w:tcPr>
            <w:tcW w:w="1394" w:type="dxa"/>
          </w:tcPr>
          <w:p>
            <w:pPr>
              <w:pStyle w:val="GesAbsatz"/>
              <w:tabs>
                <w:tab w:val="clear" w:pos="425"/>
              </w:tabs>
              <w:jc w:val="center"/>
              <w:rPr>
                <w:lang w:val="en-US"/>
              </w:rPr>
            </w:pPr>
            <w:r>
              <w:rPr>
                <w:lang w:val="en-US"/>
              </w:rPr>
              <w:t>mg/m³</w:t>
            </w:r>
          </w:p>
        </w:tc>
      </w:tr>
    </w:tbl>
    <w:p>
      <w:pPr>
        <w:pStyle w:val="GesAbsatz"/>
        <w:rPr>
          <w:lang w:val="en-US"/>
        </w:rPr>
      </w:pPr>
      <w:r>
        <w:rPr>
          <w:lang w:val="en-US"/>
        </w:rPr>
        <w:t>* NO</w:t>
      </w:r>
      <w:r>
        <w:rPr>
          <w:vertAlign w:val="subscript"/>
          <w:lang w:val="en-US"/>
        </w:rPr>
        <w:t>x</w:t>
      </w:r>
      <w:r>
        <w:rPr>
          <w:lang w:val="en-US"/>
        </w:rPr>
        <w:t xml:space="preserve"> = NO </w:t>
      </w:r>
      <w:r>
        <w:t>als</w:t>
      </w:r>
      <w:r>
        <w:rPr>
          <w:lang w:val="en-US"/>
        </w:rPr>
        <w:t xml:space="preserve"> NO</w:t>
      </w:r>
      <w:r>
        <w:rPr>
          <w:vertAlign w:val="subscript"/>
          <w:lang w:val="en-US"/>
        </w:rPr>
        <w:t>2</w:t>
      </w:r>
      <w:r>
        <w:rPr>
          <w:lang w:val="en-US"/>
        </w:rPr>
        <w:t xml:space="preserve"> + NO</w:t>
      </w:r>
      <w:r>
        <w:rPr>
          <w:vertAlign w:val="subscript"/>
          <w:lang w:val="en-US"/>
        </w:rPr>
        <w:t>2</w:t>
      </w:r>
    </w:p>
    <w:p>
      <w:pPr>
        <w:pStyle w:val="GesAbsatz"/>
        <w:tabs>
          <w:tab w:val="left" w:pos="2268"/>
        </w:tabs>
      </w:pPr>
      <w:r>
        <w:t>Softwareversionen:</w:t>
      </w:r>
      <w:r>
        <w:tab/>
        <w:t>S4900: 4000/653 rev3</w:t>
      </w:r>
    </w:p>
    <w:p>
      <w:pPr>
        <w:pStyle w:val="GesAbsatz"/>
        <w:ind w:left="2268"/>
      </w:pPr>
      <w:r>
        <w:t>T60i: 01.10.04.329, fw 11.19.119, detector fw 02.03.014</w:t>
      </w:r>
    </w:p>
    <w:p>
      <w:pPr>
        <w:pStyle w:val="GesAbsatz"/>
      </w:pPr>
      <w:r>
        <w:t>Einschränkung:</w:t>
      </w:r>
    </w:p>
    <w:p>
      <w:pPr>
        <w:pStyle w:val="GesAbsatz"/>
      </w:pPr>
      <w:r>
        <w:t>Das Modul CEMS-T60i hat die Anforderung bei der Eignungsprüfung nach DIN EN 15267-3 an die Querempfindlichkeit für die Komponenten CO und NO gegenüber HCl bei Konzentrationen &gt; 50 mg/m³ und die Komponente CO gegenüber SO</w:t>
      </w:r>
      <w:r>
        <w:rPr>
          <w:vertAlign w:val="subscript"/>
        </w:rPr>
        <w:t>2</w:t>
      </w:r>
      <w:r>
        <w:t xml:space="preserve"> bei Konzentrationen &gt; 200 mg/m³ nicht erfüllt.</w:t>
      </w:r>
    </w:p>
    <w:p>
      <w:pPr>
        <w:pStyle w:val="GesAbsatz"/>
      </w:pPr>
      <w:r>
        <w:t>Hinweise:</w:t>
      </w:r>
    </w:p>
    <w:p>
      <w:pPr>
        <w:pStyle w:val="GesAbsatz"/>
        <w:ind w:left="426" w:hanging="426"/>
      </w:pPr>
      <w:r>
        <w:t>1.</w:t>
      </w:r>
      <w:r>
        <w:tab/>
        <w:t>Das Wartungsintervall beträgt vier Wochen. Im Falle einer Erweiterung um weitere Module/Komponenten des CEMS ist das Wartungsintervall im Rahmen des ordnungsgemäßen Einbaus zu bestimmen.</w:t>
      </w:r>
    </w:p>
    <w:p>
      <w:pPr>
        <w:pStyle w:val="GesAbsatz"/>
        <w:ind w:left="426" w:hanging="426"/>
      </w:pPr>
      <w:r>
        <w:t>2.</w:t>
      </w:r>
      <w:r>
        <w:tab/>
        <w:t>Die Funktionsfähigkeit der jeweiligen Zusammenstellung der Module ist im Rahmen der Prüfung des ordnungsgemäßen Einbaus zu prüfen.</w:t>
      </w:r>
    </w:p>
    <w:p>
      <w:pPr>
        <w:pStyle w:val="GesAbsatz"/>
        <w:ind w:left="426" w:hanging="426"/>
      </w:pPr>
      <w:r>
        <w:t>3.</w:t>
      </w:r>
      <w:r>
        <w:tab/>
        <w:t>Das Messsystem Kontram CEMS ist ein modulares System in dem zwei Analysatoren integriert sein können:</w:t>
      </w:r>
    </w:p>
    <w:p>
      <w:pPr>
        <w:pStyle w:val="GesAbsatz"/>
        <w:tabs>
          <w:tab w:val="left" w:pos="1418"/>
        </w:tabs>
        <w:ind w:left="426"/>
        <w:rPr>
          <w:lang w:val="en-US"/>
        </w:rPr>
      </w:pPr>
      <w:r>
        <w:rPr>
          <w:lang w:val="en-US"/>
        </w:rPr>
        <w:t>CEMS a</w:t>
      </w:r>
      <w:r>
        <w:rPr>
          <w:lang w:val="en-US"/>
        </w:rPr>
        <w:tab/>
        <w:t>T60i</w:t>
      </w:r>
    </w:p>
    <w:p>
      <w:pPr>
        <w:pStyle w:val="GesAbsatz"/>
        <w:tabs>
          <w:tab w:val="left" w:pos="1418"/>
        </w:tabs>
        <w:ind w:left="426"/>
        <w:rPr>
          <w:lang w:val="en-US"/>
        </w:rPr>
      </w:pPr>
      <w:r>
        <w:rPr>
          <w:lang w:val="en-US"/>
        </w:rPr>
        <w:t>CEMS b</w:t>
      </w:r>
      <w:r>
        <w:rPr>
          <w:lang w:val="en-US"/>
        </w:rPr>
        <w:tab/>
        <w:t>T60i + S4900</w:t>
      </w:r>
    </w:p>
    <w:p>
      <w:pPr>
        <w:pStyle w:val="GesAbsatz"/>
        <w:tabs>
          <w:tab w:val="left" w:pos="1418"/>
        </w:tabs>
        <w:ind w:left="426"/>
        <w:rPr>
          <w:lang w:val="en-US"/>
        </w:rPr>
      </w:pPr>
      <w:r>
        <w:rPr>
          <w:lang w:val="en-US"/>
        </w:rPr>
        <w:t>CEMS c</w:t>
      </w:r>
      <w:r>
        <w:rPr>
          <w:lang w:val="en-US"/>
        </w:rPr>
        <w:tab/>
        <w:t>S4900</w:t>
      </w:r>
    </w:p>
    <w:p>
      <w:pPr>
        <w:pStyle w:val="GesAbsatz"/>
        <w:tabs>
          <w:tab w:val="left" w:pos="1418"/>
        </w:tabs>
        <w:ind w:left="426"/>
        <w:rPr>
          <w:lang w:val="en-US"/>
        </w:rPr>
      </w:pPr>
      <w:r>
        <w:rPr>
          <w:lang w:val="en-US"/>
        </w:rPr>
        <w:t>CEMS d</w:t>
      </w:r>
      <w:r>
        <w:rPr>
          <w:lang w:val="en-US"/>
        </w:rPr>
        <w:tab/>
        <w:t>S4900 + S4900</w:t>
      </w:r>
    </w:p>
    <w:p>
      <w:pPr>
        <w:pStyle w:val="GesAbsatz"/>
        <w:ind w:left="426" w:hanging="426"/>
      </w:pPr>
      <w:r>
        <w:t>4.</w:t>
      </w:r>
      <w:r>
        <w:tab/>
        <w:t>Ein Analysator vom Typ S4900 kann jeweils Messzellen für bis zu 3 verschiedene Komponenten enthalten.</w:t>
      </w:r>
    </w:p>
    <w:p>
      <w:pPr>
        <w:pStyle w:val="GesAbsatz"/>
        <w:ind w:left="426" w:hanging="426"/>
      </w:pPr>
      <w:r>
        <w:t>5.</w:t>
      </w:r>
      <w:r>
        <w:tab/>
        <w:t>Der Analysator CEMS-T60i misst sowohl NO als auch NO</w:t>
      </w:r>
      <w:r>
        <w:rPr>
          <w:vertAlign w:val="subscript"/>
        </w:rPr>
        <w:t>2</w:t>
      </w:r>
      <w:r>
        <w:t xml:space="preserve"> und kann auch NO</w:t>
      </w:r>
      <w:r>
        <w:rPr>
          <w:vertAlign w:val="subscript"/>
        </w:rPr>
        <w:t>x</w:t>
      </w:r>
      <w:r>
        <w:t xml:space="preserve"> als berechnete Summe ausgeben.</w:t>
      </w:r>
    </w:p>
    <w:p>
      <w:pPr>
        <w:pStyle w:val="GesAbsatz"/>
      </w:pPr>
      <w:r>
        <w:lastRenderedPageBreak/>
        <w:t>Prüfbericht: TÜV Rheinland Energie und Umwelt GmbH, Köln</w:t>
      </w:r>
    </w:p>
    <w:p>
      <w:pPr>
        <w:pStyle w:val="GesAbsatz"/>
      </w:pPr>
      <w:r>
        <w:t>Bericht-Nr.: 936/21218430/A vom 8. Oktober 2013</w:t>
      </w:r>
    </w:p>
    <w:p>
      <w:pPr>
        <w:pStyle w:val="GesAbsatz"/>
        <w:rPr>
          <w:b/>
          <w:lang w:val="en-US"/>
        </w:rPr>
      </w:pPr>
      <w:r>
        <w:rPr>
          <w:b/>
          <w:lang w:val="en-US"/>
        </w:rPr>
        <w:t>4.2</w:t>
      </w:r>
      <w:r>
        <w:rPr>
          <w:b/>
          <w:lang w:val="en-US"/>
        </w:rPr>
        <w:tab/>
        <w:t xml:space="preserve">Set CEM CERT 7MB1957 </w:t>
      </w:r>
      <w:r>
        <w:rPr>
          <w:b/>
        </w:rPr>
        <w:t>für</w:t>
      </w:r>
      <w:r>
        <w:rPr>
          <w:b/>
          <w:lang w:val="en-US"/>
        </w:rPr>
        <w:t xml:space="preserve"> CO, NO, SO</w:t>
      </w:r>
      <w:r>
        <w:rPr>
          <w:b/>
          <w:vertAlign w:val="subscript"/>
          <w:lang w:val="en-US"/>
        </w:rPr>
        <w:t>2</w:t>
      </w:r>
      <w:r>
        <w:rPr>
          <w:b/>
          <w:lang w:val="en-US"/>
        </w:rPr>
        <w:t xml:space="preserve"> und O</w:t>
      </w:r>
      <w:r>
        <w:rPr>
          <w:b/>
          <w:vertAlign w:val="subscript"/>
          <w:lang w:val="en-US"/>
        </w:rPr>
        <w:t>2</w:t>
      </w:r>
    </w:p>
    <w:p>
      <w:pPr>
        <w:pStyle w:val="GesAbsatz"/>
      </w:pPr>
      <w:r>
        <w:t>Hersteller:</w:t>
      </w:r>
    </w:p>
    <w:p>
      <w:pPr>
        <w:pStyle w:val="GesAbsatz"/>
      </w:pPr>
      <w:r>
        <w:t>Siemens AG, Karlsruhe</w:t>
      </w:r>
    </w:p>
    <w:p>
      <w:pPr>
        <w:pStyle w:val="GesAbsatz"/>
      </w:pPr>
      <w:r>
        <w:t>Eignung:</w:t>
      </w:r>
    </w:p>
    <w:p>
      <w:pPr>
        <w:pStyle w:val="GesAbsatz"/>
      </w:pPr>
      <w:r>
        <w:t>Modulares Messsystem für Anlagen der 13. und 27. BImSchV sowie Anlagen der TA Luft</w:t>
      </w:r>
    </w:p>
    <w:p>
      <w:pPr>
        <w:pStyle w:val="GesAbsatz"/>
      </w:pPr>
      <w:r>
        <w:t>Messbereiche des modularen Systems Set CEM CERT 7 MB1957, Modul Ultramat 23-7MB2358 in der Eignungsprüfung:</w:t>
      </w:r>
    </w:p>
    <w:tbl>
      <w:tblPr>
        <w:tblStyle w:val="Tabellenraster"/>
        <w:tblW w:w="0" w:type="auto"/>
        <w:tblLook w:val="04A0" w:firstRow="1" w:lastRow="0" w:firstColumn="1" w:lastColumn="0" w:noHBand="0" w:noVBand="1"/>
      </w:tblPr>
      <w:tblGrid>
        <w:gridCol w:w="1625"/>
        <w:gridCol w:w="1923"/>
        <w:gridCol w:w="2216"/>
        <w:gridCol w:w="1840"/>
        <w:gridCol w:w="2024"/>
      </w:tblGrid>
      <w:tr>
        <w:tc>
          <w:tcPr>
            <w:tcW w:w="1662" w:type="dxa"/>
          </w:tcPr>
          <w:p>
            <w:pPr>
              <w:pStyle w:val="GesAbsatz"/>
              <w:tabs>
                <w:tab w:val="clear" w:pos="425"/>
              </w:tabs>
              <w:jc w:val="center"/>
            </w:pPr>
            <w:r>
              <w:t>Komponente</w:t>
            </w:r>
          </w:p>
        </w:tc>
        <w:tc>
          <w:tcPr>
            <w:tcW w:w="1958" w:type="dxa"/>
          </w:tcPr>
          <w:p>
            <w:pPr>
              <w:pStyle w:val="GesAbsatz"/>
              <w:tabs>
                <w:tab w:val="clear" w:pos="425"/>
              </w:tabs>
              <w:jc w:val="center"/>
            </w:pPr>
            <w:r>
              <w:t>Modul-Variante</w:t>
            </w:r>
          </w:p>
        </w:tc>
        <w:tc>
          <w:tcPr>
            <w:tcW w:w="2275" w:type="dxa"/>
          </w:tcPr>
          <w:p>
            <w:pPr>
              <w:pStyle w:val="GesAbsatz"/>
              <w:tabs>
                <w:tab w:val="clear" w:pos="425"/>
              </w:tabs>
              <w:jc w:val="center"/>
            </w:pPr>
            <w:r>
              <w:t>Zertifizierungsbereich</w:t>
            </w:r>
          </w:p>
        </w:tc>
        <w:tc>
          <w:tcPr>
            <w:tcW w:w="3959" w:type="dxa"/>
            <w:gridSpan w:val="2"/>
          </w:tcPr>
          <w:p>
            <w:pPr>
              <w:pStyle w:val="GesAbsatz"/>
              <w:tabs>
                <w:tab w:val="clear" w:pos="425"/>
              </w:tabs>
              <w:jc w:val="center"/>
            </w:pPr>
            <w:r>
              <w:t>zusätzliche Messbereiche</w:t>
            </w:r>
          </w:p>
        </w:tc>
      </w:tr>
      <w:tr>
        <w:tc>
          <w:tcPr>
            <w:tcW w:w="1662" w:type="dxa"/>
            <w:vMerge w:val="restart"/>
          </w:tcPr>
          <w:p>
            <w:pPr>
              <w:pStyle w:val="GesAbsatz"/>
              <w:tabs>
                <w:tab w:val="clear" w:pos="425"/>
              </w:tabs>
            </w:pPr>
            <w:r>
              <w:t>CO</w:t>
            </w:r>
          </w:p>
        </w:tc>
        <w:tc>
          <w:tcPr>
            <w:tcW w:w="1958" w:type="dxa"/>
          </w:tcPr>
          <w:p>
            <w:pPr>
              <w:pStyle w:val="GesAbsatz"/>
              <w:tabs>
                <w:tab w:val="clear" w:pos="425"/>
              </w:tabs>
            </w:pPr>
            <w:r>
              <w:t>Ultramat 23-7MB2358 – Z – T13</w:t>
            </w:r>
          </w:p>
        </w:tc>
        <w:tc>
          <w:tcPr>
            <w:tcW w:w="2275" w:type="dxa"/>
          </w:tcPr>
          <w:p>
            <w:pPr>
              <w:pStyle w:val="GesAbsatz"/>
              <w:tabs>
                <w:tab w:val="clear" w:pos="425"/>
              </w:tabs>
              <w:jc w:val="center"/>
            </w:pPr>
            <w:r>
              <w:t>0 – 250 mg/m³</w:t>
            </w:r>
          </w:p>
        </w:tc>
        <w:tc>
          <w:tcPr>
            <w:tcW w:w="1884" w:type="dxa"/>
          </w:tcPr>
          <w:p>
            <w:pPr>
              <w:pStyle w:val="GesAbsatz"/>
              <w:tabs>
                <w:tab w:val="clear" w:pos="425"/>
              </w:tabs>
            </w:pPr>
            <w:r>
              <w:t>0 – 1 250 mg/m³</w:t>
            </w:r>
          </w:p>
        </w:tc>
        <w:tc>
          <w:tcPr>
            <w:tcW w:w="2075" w:type="dxa"/>
          </w:tcPr>
          <w:p>
            <w:pPr>
              <w:pStyle w:val="GesAbsatz"/>
              <w:tabs>
                <w:tab w:val="clear" w:pos="425"/>
              </w:tabs>
              <w:jc w:val="center"/>
            </w:pPr>
            <w:r>
              <w:t>–</w:t>
            </w:r>
          </w:p>
        </w:tc>
      </w:tr>
      <w:tr>
        <w:tc>
          <w:tcPr>
            <w:tcW w:w="1662" w:type="dxa"/>
            <w:vMerge/>
          </w:tcPr>
          <w:p>
            <w:pPr>
              <w:pStyle w:val="GesAbsatz"/>
              <w:tabs>
                <w:tab w:val="clear" w:pos="425"/>
              </w:tabs>
            </w:pPr>
          </w:p>
        </w:tc>
        <w:tc>
          <w:tcPr>
            <w:tcW w:w="1958" w:type="dxa"/>
          </w:tcPr>
          <w:p>
            <w:pPr>
              <w:pStyle w:val="GesAbsatz"/>
              <w:tabs>
                <w:tab w:val="clear" w:pos="425"/>
              </w:tabs>
            </w:pPr>
            <w:r>
              <w:t>Ultramat 23-7MB2358 – Z – T23</w:t>
            </w:r>
          </w:p>
        </w:tc>
        <w:tc>
          <w:tcPr>
            <w:tcW w:w="2275" w:type="dxa"/>
          </w:tcPr>
          <w:p>
            <w:pPr>
              <w:pStyle w:val="GesAbsatz"/>
              <w:tabs>
                <w:tab w:val="clear" w:pos="425"/>
              </w:tabs>
              <w:jc w:val="center"/>
            </w:pPr>
            <w:r>
              <w:t>0 – 250 mg/m³</w:t>
            </w:r>
          </w:p>
        </w:tc>
        <w:tc>
          <w:tcPr>
            <w:tcW w:w="1884" w:type="dxa"/>
          </w:tcPr>
          <w:p>
            <w:pPr>
              <w:pStyle w:val="GesAbsatz"/>
              <w:tabs>
                <w:tab w:val="clear" w:pos="425"/>
              </w:tabs>
            </w:pPr>
            <w:r>
              <w:t>0 – 1 250 mg/m³</w:t>
            </w:r>
          </w:p>
        </w:tc>
        <w:tc>
          <w:tcPr>
            <w:tcW w:w="2075" w:type="dxa"/>
          </w:tcPr>
          <w:p>
            <w:pPr>
              <w:pStyle w:val="GesAbsatz"/>
              <w:tabs>
                <w:tab w:val="clear" w:pos="425"/>
              </w:tabs>
              <w:jc w:val="center"/>
            </w:pPr>
            <w:r>
              <w:t>–</w:t>
            </w:r>
          </w:p>
        </w:tc>
      </w:tr>
      <w:tr>
        <w:tc>
          <w:tcPr>
            <w:tcW w:w="1662" w:type="dxa"/>
            <w:vMerge w:val="restart"/>
          </w:tcPr>
          <w:p>
            <w:pPr>
              <w:pStyle w:val="GesAbsatz"/>
              <w:tabs>
                <w:tab w:val="clear" w:pos="425"/>
              </w:tabs>
            </w:pPr>
            <w:r>
              <w:t>NO</w:t>
            </w:r>
          </w:p>
        </w:tc>
        <w:tc>
          <w:tcPr>
            <w:tcW w:w="1958" w:type="dxa"/>
          </w:tcPr>
          <w:p>
            <w:pPr>
              <w:pStyle w:val="GesAbsatz"/>
              <w:tabs>
                <w:tab w:val="clear" w:pos="425"/>
              </w:tabs>
            </w:pPr>
            <w:r>
              <w:t>Ultramat 23-7MB2358 – Z – T13</w:t>
            </w:r>
          </w:p>
        </w:tc>
        <w:tc>
          <w:tcPr>
            <w:tcW w:w="2275" w:type="dxa"/>
          </w:tcPr>
          <w:p>
            <w:pPr>
              <w:pStyle w:val="GesAbsatz"/>
              <w:tabs>
                <w:tab w:val="clear" w:pos="425"/>
              </w:tabs>
              <w:jc w:val="center"/>
            </w:pPr>
            <w:r>
              <w:t>0 – 400 mg/m³</w:t>
            </w:r>
          </w:p>
        </w:tc>
        <w:tc>
          <w:tcPr>
            <w:tcW w:w="1884" w:type="dxa"/>
          </w:tcPr>
          <w:p>
            <w:pPr>
              <w:pStyle w:val="GesAbsatz"/>
              <w:tabs>
                <w:tab w:val="clear" w:pos="425"/>
              </w:tabs>
            </w:pPr>
            <w:r>
              <w:t>0 – 2 000 mg/m³</w:t>
            </w:r>
          </w:p>
        </w:tc>
        <w:tc>
          <w:tcPr>
            <w:tcW w:w="2075" w:type="dxa"/>
          </w:tcPr>
          <w:p>
            <w:pPr>
              <w:pStyle w:val="GesAbsatz"/>
              <w:tabs>
                <w:tab w:val="clear" w:pos="425"/>
              </w:tabs>
              <w:jc w:val="center"/>
            </w:pPr>
            <w:r>
              <w:t>–</w:t>
            </w:r>
          </w:p>
        </w:tc>
      </w:tr>
      <w:tr>
        <w:tc>
          <w:tcPr>
            <w:tcW w:w="1662" w:type="dxa"/>
            <w:vMerge/>
          </w:tcPr>
          <w:p>
            <w:pPr>
              <w:pStyle w:val="GesAbsatz"/>
              <w:tabs>
                <w:tab w:val="clear" w:pos="425"/>
              </w:tabs>
            </w:pPr>
          </w:p>
        </w:tc>
        <w:tc>
          <w:tcPr>
            <w:tcW w:w="1958" w:type="dxa"/>
          </w:tcPr>
          <w:p>
            <w:pPr>
              <w:pStyle w:val="GesAbsatz"/>
              <w:tabs>
                <w:tab w:val="clear" w:pos="425"/>
              </w:tabs>
            </w:pPr>
            <w:r>
              <w:t>Ultramat 23-7MB2358 – Z – T23</w:t>
            </w:r>
          </w:p>
        </w:tc>
        <w:tc>
          <w:tcPr>
            <w:tcW w:w="2275" w:type="dxa"/>
          </w:tcPr>
          <w:p>
            <w:pPr>
              <w:pStyle w:val="GesAbsatz"/>
              <w:tabs>
                <w:tab w:val="clear" w:pos="425"/>
              </w:tabs>
              <w:jc w:val="center"/>
            </w:pPr>
            <w:r>
              <w:t>0 – 400 mg/m³</w:t>
            </w:r>
          </w:p>
        </w:tc>
        <w:tc>
          <w:tcPr>
            <w:tcW w:w="1884" w:type="dxa"/>
          </w:tcPr>
          <w:p>
            <w:pPr>
              <w:pStyle w:val="GesAbsatz"/>
              <w:tabs>
                <w:tab w:val="clear" w:pos="425"/>
              </w:tabs>
            </w:pPr>
            <w:r>
              <w:t>0 – 2 000 mg/m³</w:t>
            </w:r>
          </w:p>
        </w:tc>
        <w:tc>
          <w:tcPr>
            <w:tcW w:w="2075" w:type="dxa"/>
          </w:tcPr>
          <w:p>
            <w:pPr>
              <w:pStyle w:val="GesAbsatz"/>
              <w:tabs>
                <w:tab w:val="clear" w:pos="425"/>
              </w:tabs>
              <w:jc w:val="center"/>
            </w:pPr>
            <w:r>
              <w:t>–</w:t>
            </w:r>
          </w:p>
        </w:tc>
      </w:tr>
      <w:tr>
        <w:tc>
          <w:tcPr>
            <w:tcW w:w="1662" w:type="dxa"/>
            <w:vMerge w:val="restart"/>
          </w:tcPr>
          <w:p>
            <w:pPr>
              <w:pStyle w:val="GesAbsatz"/>
              <w:tabs>
                <w:tab w:val="clear" w:pos="425"/>
              </w:tabs>
            </w:pPr>
            <w:r>
              <w:t>SO</w:t>
            </w:r>
            <w:r>
              <w:rPr>
                <w:vertAlign w:val="subscript"/>
              </w:rPr>
              <w:t>2</w:t>
            </w:r>
          </w:p>
        </w:tc>
        <w:tc>
          <w:tcPr>
            <w:tcW w:w="1958" w:type="dxa"/>
          </w:tcPr>
          <w:p>
            <w:pPr>
              <w:pStyle w:val="GesAbsatz"/>
              <w:tabs>
                <w:tab w:val="clear" w:pos="425"/>
              </w:tabs>
            </w:pPr>
            <w:r>
              <w:t>Ultramat 23-7MB2358 – Z – T13</w:t>
            </w:r>
          </w:p>
        </w:tc>
        <w:tc>
          <w:tcPr>
            <w:tcW w:w="2275" w:type="dxa"/>
          </w:tcPr>
          <w:p>
            <w:pPr>
              <w:pStyle w:val="GesAbsatz"/>
              <w:tabs>
                <w:tab w:val="clear" w:pos="425"/>
              </w:tabs>
              <w:jc w:val="center"/>
            </w:pPr>
            <w:r>
              <w:t>0 – 400 mg/m³</w:t>
            </w:r>
          </w:p>
        </w:tc>
        <w:tc>
          <w:tcPr>
            <w:tcW w:w="1884" w:type="dxa"/>
          </w:tcPr>
          <w:p>
            <w:pPr>
              <w:pStyle w:val="GesAbsatz"/>
              <w:tabs>
                <w:tab w:val="clear" w:pos="425"/>
              </w:tabs>
            </w:pPr>
            <w:r>
              <w:t>0 – 2 000 mg/m³</w:t>
            </w:r>
          </w:p>
        </w:tc>
        <w:tc>
          <w:tcPr>
            <w:tcW w:w="2075" w:type="dxa"/>
          </w:tcPr>
          <w:p>
            <w:pPr>
              <w:pStyle w:val="GesAbsatz"/>
              <w:tabs>
                <w:tab w:val="clear" w:pos="425"/>
              </w:tabs>
            </w:pPr>
            <w:r>
              <w:t>0 – 7 000 mg/m³</w:t>
            </w:r>
          </w:p>
        </w:tc>
      </w:tr>
      <w:tr>
        <w:tc>
          <w:tcPr>
            <w:tcW w:w="1662" w:type="dxa"/>
            <w:vMerge/>
          </w:tcPr>
          <w:p>
            <w:pPr>
              <w:pStyle w:val="GesAbsatz"/>
              <w:tabs>
                <w:tab w:val="clear" w:pos="425"/>
              </w:tabs>
            </w:pPr>
          </w:p>
        </w:tc>
        <w:tc>
          <w:tcPr>
            <w:tcW w:w="1958" w:type="dxa"/>
          </w:tcPr>
          <w:p>
            <w:pPr>
              <w:pStyle w:val="GesAbsatz"/>
              <w:tabs>
                <w:tab w:val="clear" w:pos="425"/>
              </w:tabs>
            </w:pPr>
            <w:r>
              <w:t>Ultramat 23-7MB2358 – Z – T23</w:t>
            </w:r>
          </w:p>
        </w:tc>
        <w:tc>
          <w:tcPr>
            <w:tcW w:w="2275" w:type="dxa"/>
          </w:tcPr>
          <w:p>
            <w:pPr>
              <w:pStyle w:val="GesAbsatz"/>
              <w:tabs>
                <w:tab w:val="clear" w:pos="425"/>
              </w:tabs>
              <w:jc w:val="center"/>
            </w:pPr>
            <w:r>
              <w:t>0 – 400 mg/m³</w:t>
            </w:r>
          </w:p>
        </w:tc>
        <w:tc>
          <w:tcPr>
            <w:tcW w:w="1884" w:type="dxa"/>
          </w:tcPr>
          <w:p>
            <w:pPr>
              <w:pStyle w:val="GesAbsatz"/>
              <w:tabs>
                <w:tab w:val="clear" w:pos="425"/>
              </w:tabs>
            </w:pPr>
            <w:r>
              <w:t>0 – 2 000 mg/m³</w:t>
            </w:r>
          </w:p>
        </w:tc>
        <w:tc>
          <w:tcPr>
            <w:tcW w:w="2075" w:type="dxa"/>
          </w:tcPr>
          <w:p>
            <w:pPr>
              <w:pStyle w:val="GesAbsatz"/>
              <w:tabs>
                <w:tab w:val="clear" w:pos="425"/>
              </w:tabs>
            </w:pPr>
            <w:r>
              <w:t>0 – 7 000 mg/m³</w:t>
            </w:r>
          </w:p>
        </w:tc>
      </w:tr>
      <w:tr>
        <w:tc>
          <w:tcPr>
            <w:tcW w:w="1662" w:type="dxa"/>
          </w:tcPr>
          <w:p>
            <w:pPr>
              <w:pStyle w:val="GesAbsatz"/>
              <w:tabs>
                <w:tab w:val="clear" w:pos="425"/>
              </w:tabs>
            </w:pPr>
            <w:r>
              <w:t>O</w:t>
            </w:r>
            <w:r>
              <w:rPr>
                <w:vertAlign w:val="subscript"/>
              </w:rPr>
              <w:t>2 paramagnetisch</w:t>
            </w:r>
          </w:p>
        </w:tc>
        <w:tc>
          <w:tcPr>
            <w:tcW w:w="1958" w:type="dxa"/>
          </w:tcPr>
          <w:p>
            <w:pPr>
              <w:pStyle w:val="GesAbsatz"/>
              <w:tabs>
                <w:tab w:val="clear" w:pos="425"/>
              </w:tabs>
            </w:pPr>
            <w:r>
              <w:t>Ultramat 23-7MB2358 – Z – T13</w:t>
            </w:r>
          </w:p>
        </w:tc>
        <w:tc>
          <w:tcPr>
            <w:tcW w:w="2275" w:type="dxa"/>
          </w:tcPr>
          <w:p>
            <w:pPr>
              <w:pStyle w:val="GesAbsatz"/>
              <w:tabs>
                <w:tab w:val="clear" w:pos="425"/>
              </w:tabs>
              <w:jc w:val="center"/>
            </w:pPr>
            <w:r>
              <w:t>0 – 25 Vol.-%</w:t>
            </w:r>
          </w:p>
        </w:tc>
        <w:tc>
          <w:tcPr>
            <w:tcW w:w="1884" w:type="dxa"/>
          </w:tcPr>
          <w:p>
            <w:pPr>
              <w:pStyle w:val="GesAbsatz"/>
              <w:tabs>
                <w:tab w:val="clear" w:pos="425"/>
              </w:tabs>
              <w:jc w:val="center"/>
            </w:pPr>
            <w:r>
              <w:t>–</w:t>
            </w:r>
          </w:p>
        </w:tc>
        <w:tc>
          <w:tcPr>
            <w:tcW w:w="2075" w:type="dxa"/>
          </w:tcPr>
          <w:p>
            <w:pPr>
              <w:pStyle w:val="GesAbsatz"/>
              <w:tabs>
                <w:tab w:val="clear" w:pos="425"/>
              </w:tabs>
              <w:jc w:val="center"/>
            </w:pPr>
            <w:r>
              <w:t>–</w:t>
            </w:r>
          </w:p>
        </w:tc>
      </w:tr>
      <w:tr>
        <w:tc>
          <w:tcPr>
            <w:tcW w:w="1662" w:type="dxa"/>
          </w:tcPr>
          <w:p>
            <w:pPr>
              <w:pStyle w:val="GesAbsatz"/>
              <w:tabs>
                <w:tab w:val="clear" w:pos="425"/>
              </w:tabs>
            </w:pPr>
            <w:r>
              <w:t>O</w:t>
            </w:r>
            <w:r>
              <w:rPr>
                <w:vertAlign w:val="subscript"/>
              </w:rPr>
              <w:t>2 elektrochemisch</w:t>
            </w:r>
          </w:p>
        </w:tc>
        <w:tc>
          <w:tcPr>
            <w:tcW w:w="1958" w:type="dxa"/>
          </w:tcPr>
          <w:p>
            <w:pPr>
              <w:pStyle w:val="GesAbsatz"/>
              <w:tabs>
                <w:tab w:val="clear" w:pos="425"/>
              </w:tabs>
            </w:pPr>
            <w:r>
              <w:t>Ultramat 23-7MB2358 – Z – T23</w:t>
            </w:r>
          </w:p>
        </w:tc>
        <w:tc>
          <w:tcPr>
            <w:tcW w:w="2275" w:type="dxa"/>
          </w:tcPr>
          <w:p>
            <w:pPr>
              <w:pStyle w:val="GesAbsatz"/>
              <w:tabs>
                <w:tab w:val="clear" w:pos="425"/>
              </w:tabs>
              <w:jc w:val="center"/>
            </w:pPr>
            <w:r>
              <w:t>0 – 25 Vol.-%</w:t>
            </w:r>
          </w:p>
        </w:tc>
        <w:tc>
          <w:tcPr>
            <w:tcW w:w="1884" w:type="dxa"/>
          </w:tcPr>
          <w:p>
            <w:pPr>
              <w:pStyle w:val="GesAbsatz"/>
              <w:tabs>
                <w:tab w:val="clear" w:pos="425"/>
              </w:tabs>
              <w:jc w:val="center"/>
            </w:pPr>
            <w:r>
              <w:t>–</w:t>
            </w:r>
          </w:p>
        </w:tc>
        <w:tc>
          <w:tcPr>
            <w:tcW w:w="2075" w:type="dxa"/>
          </w:tcPr>
          <w:p>
            <w:pPr>
              <w:pStyle w:val="GesAbsatz"/>
              <w:tabs>
                <w:tab w:val="clear" w:pos="425"/>
              </w:tabs>
              <w:jc w:val="center"/>
            </w:pPr>
            <w:r>
              <w:t>–</w:t>
            </w:r>
          </w:p>
        </w:tc>
      </w:tr>
    </w:tbl>
    <w:p>
      <w:pPr>
        <w:pStyle w:val="GesAbsatz"/>
      </w:pPr>
      <w:r>
        <w:t>Die Eignungsprüfung des Systems Set CEM CERT 7MB1957, Modul Ultramat 23-7MB2358, umfasst zwei Modul-Varianten, die jeweils für die Messung folgender Komponenten ausgestattet sind:</w:t>
      </w:r>
    </w:p>
    <w:tbl>
      <w:tblPr>
        <w:tblStyle w:val="Tabellenraster"/>
        <w:tblW w:w="0" w:type="auto"/>
        <w:tblLook w:val="04A0" w:firstRow="1" w:lastRow="0" w:firstColumn="1" w:lastColumn="0" w:noHBand="0" w:noVBand="1"/>
      </w:tblPr>
      <w:tblGrid>
        <w:gridCol w:w="2896"/>
        <w:gridCol w:w="1704"/>
        <w:gridCol w:w="1676"/>
        <w:gridCol w:w="1676"/>
        <w:gridCol w:w="1676"/>
      </w:tblGrid>
      <w:tr>
        <w:tc>
          <w:tcPr>
            <w:tcW w:w="2943" w:type="dxa"/>
          </w:tcPr>
          <w:p>
            <w:pPr>
              <w:pStyle w:val="GesAbsatz"/>
              <w:tabs>
                <w:tab w:val="clear" w:pos="425"/>
              </w:tabs>
            </w:pPr>
            <w:r>
              <w:t>Modul-Variante</w:t>
            </w:r>
          </w:p>
        </w:tc>
        <w:tc>
          <w:tcPr>
            <w:tcW w:w="1729" w:type="dxa"/>
          </w:tcPr>
          <w:p>
            <w:pPr>
              <w:pStyle w:val="GesAbsatz"/>
              <w:tabs>
                <w:tab w:val="clear" w:pos="425"/>
              </w:tabs>
            </w:pPr>
            <w:r>
              <w:t>Komponente 1</w:t>
            </w:r>
          </w:p>
        </w:tc>
        <w:tc>
          <w:tcPr>
            <w:tcW w:w="1701" w:type="dxa"/>
          </w:tcPr>
          <w:p>
            <w:pPr>
              <w:pStyle w:val="GesAbsatz"/>
              <w:tabs>
                <w:tab w:val="clear" w:pos="425"/>
              </w:tabs>
            </w:pPr>
            <w:r>
              <w:t>Komponente 2</w:t>
            </w:r>
          </w:p>
        </w:tc>
        <w:tc>
          <w:tcPr>
            <w:tcW w:w="1701" w:type="dxa"/>
          </w:tcPr>
          <w:p>
            <w:pPr>
              <w:pStyle w:val="GesAbsatz"/>
              <w:tabs>
                <w:tab w:val="clear" w:pos="425"/>
              </w:tabs>
            </w:pPr>
            <w:r>
              <w:t>Komponente 3</w:t>
            </w:r>
          </w:p>
        </w:tc>
        <w:tc>
          <w:tcPr>
            <w:tcW w:w="1701" w:type="dxa"/>
          </w:tcPr>
          <w:p>
            <w:pPr>
              <w:pStyle w:val="GesAbsatz"/>
              <w:tabs>
                <w:tab w:val="clear" w:pos="425"/>
              </w:tabs>
            </w:pPr>
            <w:r>
              <w:t>Komponente 4</w:t>
            </w:r>
          </w:p>
        </w:tc>
      </w:tr>
      <w:tr>
        <w:tc>
          <w:tcPr>
            <w:tcW w:w="2943" w:type="dxa"/>
          </w:tcPr>
          <w:p>
            <w:pPr>
              <w:pStyle w:val="GesAbsatz"/>
              <w:tabs>
                <w:tab w:val="clear" w:pos="425"/>
              </w:tabs>
            </w:pPr>
            <w:r>
              <w:t>Ultramat 23-7MB2358 – Z – T13</w:t>
            </w:r>
          </w:p>
        </w:tc>
        <w:tc>
          <w:tcPr>
            <w:tcW w:w="1729" w:type="dxa"/>
          </w:tcPr>
          <w:p>
            <w:pPr>
              <w:pStyle w:val="GesAbsatz"/>
              <w:tabs>
                <w:tab w:val="clear" w:pos="425"/>
              </w:tabs>
            </w:pPr>
            <w:r>
              <w:t>CO</w:t>
            </w:r>
          </w:p>
        </w:tc>
        <w:tc>
          <w:tcPr>
            <w:tcW w:w="1701" w:type="dxa"/>
          </w:tcPr>
          <w:p>
            <w:pPr>
              <w:pStyle w:val="GesAbsatz"/>
              <w:tabs>
                <w:tab w:val="clear" w:pos="425"/>
              </w:tabs>
            </w:pPr>
            <w:r>
              <w:t>NO</w:t>
            </w:r>
          </w:p>
        </w:tc>
        <w:tc>
          <w:tcPr>
            <w:tcW w:w="1701" w:type="dxa"/>
          </w:tcPr>
          <w:p>
            <w:pPr>
              <w:pStyle w:val="GesAbsatz"/>
              <w:tabs>
                <w:tab w:val="clear" w:pos="425"/>
              </w:tabs>
            </w:pPr>
            <w:r>
              <w:t>SO</w:t>
            </w:r>
            <w:r>
              <w:rPr>
                <w:vertAlign w:val="subscript"/>
              </w:rPr>
              <w:t>2</w:t>
            </w:r>
          </w:p>
        </w:tc>
        <w:tc>
          <w:tcPr>
            <w:tcW w:w="1701" w:type="dxa"/>
          </w:tcPr>
          <w:p>
            <w:pPr>
              <w:pStyle w:val="GesAbsatz"/>
              <w:tabs>
                <w:tab w:val="clear" w:pos="425"/>
              </w:tabs>
            </w:pPr>
            <w:r>
              <w:t>O</w:t>
            </w:r>
            <w:r>
              <w:rPr>
                <w:vertAlign w:val="subscript"/>
              </w:rPr>
              <w:t>2 paramagnetisch</w:t>
            </w:r>
          </w:p>
        </w:tc>
      </w:tr>
      <w:tr>
        <w:tc>
          <w:tcPr>
            <w:tcW w:w="2943" w:type="dxa"/>
          </w:tcPr>
          <w:p>
            <w:pPr>
              <w:pStyle w:val="GesAbsatz"/>
              <w:tabs>
                <w:tab w:val="clear" w:pos="425"/>
              </w:tabs>
            </w:pPr>
            <w:r>
              <w:t>Ultramat 23-7MB2358 – Z – T23</w:t>
            </w:r>
          </w:p>
        </w:tc>
        <w:tc>
          <w:tcPr>
            <w:tcW w:w="1729" w:type="dxa"/>
          </w:tcPr>
          <w:p>
            <w:pPr>
              <w:pStyle w:val="GesAbsatz"/>
              <w:tabs>
                <w:tab w:val="clear" w:pos="425"/>
              </w:tabs>
            </w:pPr>
            <w:r>
              <w:t>CO</w:t>
            </w:r>
          </w:p>
        </w:tc>
        <w:tc>
          <w:tcPr>
            <w:tcW w:w="1701" w:type="dxa"/>
          </w:tcPr>
          <w:p>
            <w:pPr>
              <w:pStyle w:val="GesAbsatz"/>
              <w:tabs>
                <w:tab w:val="clear" w:pos="425"/>
              </w:tabs>
            </w:pPr>
            <w:r>
              <w:t>NO</w:t>
            </w:r>
          </w:p>
        </w:tc>
        <w:tc>
          <w:tcPr>
            <w:tcW w:w="1701" w:type="dxa"/>
          </w:tcPr>
          <w:p>
            <w:pPr>
              <w:pStyle w:val="GesAbsatz"/>
              <w:tabs>
                <w:tab w:val="clear" w:pos="425"/>
              </w:tabs>
            </w:pPr>
            <w:r>
              <w:t>SO</w:t>
            </w:r>
            <w:r>
              <w:rPr>
                <w:vertAlign w:val="subscript"/>
              </w:rPr>
              <w:t>2</w:t>
            </w:r>
          </w:p>
        </w:tc>
        <w:tc>
          <w:tcPr>
            <w:tcW w:w="1701" w:type="dxa"/>
          </w:tcPr>
          <w:p>
            <w:pPr>
              <w:pStyle w:val="GesAbsatz"/>
              <w:tabs>
                <w:tab w:val="clear" w:pos="425"/>
              </w:tabs>
            </w:pPr>
            <w:r>
              <w:t>O</w:t>
            </w:r>
            <w:r>
              <w:rPr>
                <w:vertAlign w:val="subscript"/>
              </w:rPr>
              <w:t>2 elektrochemisch</w:t>
            </w:r>
          </w:p>
        </w:tc>
      </w:tr>
    </w:tbl>
    <w:p>
      <w:pPr>
        <w:pStyle w:val="GesAbsatz"/>
        <w:tabs>
          <w:tab w:val="left" w:pos="2268"/>
        </w:tabs>
      </w:pPr>
      <w:r>
        <w:t>Softwareversionen:</w:t>
      </w:r>
      <w:r>
        <w:tab/>
        <w:t>Ultramat 23-7MB2358: 2.14.07</w:t>
      </w:r>
    </w:p>
    <w:p>
      <w:pPr>
        <w:pStyle w:val="GesAbsatz"/>
        <w:ind w:left="2268"/>
        <w:rPr>
          <w:lang w:val="en-US"/>
        </w:rPr>
      </w:pPr>
      <w:r>
        <w:rPr>
          <w:lang w:val="en-US"/>
        </w:rPr>
        <w:t>SPS: Set CEM CERT Rev. 1.0</w:t>
      </w:r>
    </w:p>
    <w:p>
      <w:pPr>
        <w:pStyle w:val="GesAbsatz"/>
      </w:pPr>
      <w:r>
        <w:t>Einschränkungen:</w:t>
      </w:r>
    </w:p>
    <w:p>
      <w:pPr>
        <w:pStyle w:val="GesAbsatz"/>
        <w:ind w:left="426" w:hanging="426"/>
      </w:pPr>
      <w:r>
        <w:t>1.</w:t>
      </w:r>
      <w:r>
        <w:tab/>
        <w:t>Für die Komponente NO konnte die Mindestanforderung bei der Eignungsprüfung nach DIN EN 15267-3 an den Korrelationskoeffizienten R2 der Kalibrierfunktion nicht eingehalten werden.</w:t>
      </w:r>
    </w:p>
    <w:p>
      <w:pPr>
        <w:pStyle w:val="GesAbsatz"/>
        <w:ind w:left="426" w:hanging="426"/>
      </w:pPr>
      <w:r>
        <w:lastRenderedPageBreak/>
        <w:t>2.</w:t>
      </w:r>
      <w:r>
        <w:tab/>
        <w:t>Die Anforderung an die Gesamtunsicherheit bei der Eignungsprüfung nach DIN EN 15267-3 wird für die Komponente CO nicht erfüllt und für die Komponente SO</w:t>
      </w:r>
      <w:r>
        <w:rPr>
          <w:vertAlign w:val="subscript"/>
        </w:rPr>
        <w:t>2</w:t>
      </w:r>
      <w:r>
        <w:t xml:space="preserve"> nur teilweise erfüllt.</w:t>
      </w:r>
    </w:p>
    <w:p>
      <w:pPr>
        <w:pStyle w:val="GesAbsatz"/>
        <w:ind w:left="426" w:hanging="426"/>
      </w:pPr>
      <w:r>
        <w:t>3.</w:t>
      </w:r>
      <w:r>
        <w:tab/>
        <w:t>Die Gehäuseschutzklasse beträgt lediglich IP 20. Sollten die Einsatzbedingungen eine höhere Gehäuseschutzklasse erfordern, so sind die Analysenmodule in einen Messschrank mit entsprechender Schutzklasse zu integrieren.</w:t>
      </w:r>
    </w:p>
    <w:p>
      <w:pPr>
        <w:pStyle w:val="GesAbsatz"/>
      </w:pPr>
      <w:r>
        <w:t>Hinweise:</w:t>
      </w:r>
    </w:p>
    <w:p>
      <w:pPr>
        <w:pStyle w:val="GesAbsatz"/>
      </w:pPr>
      <w:r>
        <w:t>1.</w:t>
      </w:r>
      <w:r>
        <w:tab/>
        <w:t>Die Messeinrichtungen sind mit einem Intervall von 24 h für die automatische Justierung zu betreiben.</w:t>
      </w:r>
    </w:p>
    <w:p>
      <w:pPr>
        <w:pStyle w:val="GesAbsatz"/>
        <w:ind w:left="426" w:hanging="426"/>
      </w:pPr>
      <w:r>
        <w:t>2.</w:t>
      </w:r>
      <w:r>
        <w:tab/>
        <w:t>Um die Querempfindlichkeit am Messkanal CO gegenüber CO</w:t>
      </w:r>
      <w:r>
        <w:rPr>
          <w:vertAlign w:val="subscript"/>
        </w:rPr>
        <w:t>2</w:t>
      </w:r>
      <w:r>
        <w:t xml:space="preserve"> zu optimieren, werden die Module Ultramat 23-7MB2358 der Messeinrichtung Set CEM CERT 7MB1957 ab dem Fertigungsmonat April 2014, kenntlich gemacht in der Seriennummer ab E4 im Mittelblock, mit geändertem CO</w:t>
      </w:r>
      <w:r>
        <w:rPr>
          <w:vertAlign w:val="subscript"/>
        </w:rPr>
        <w:t>2</w:t>
      </w:r>
      <w:r>
        <w:t>-Empfänger vertrieben.</w:t>
      </w:r>
    </w:p>
    <w:p>
      <w:pPr>
        <w:pStyle w:val="GesAbsatz"/>
        <w:ind w:left="426" w:hanging="426"/>
      </w:pPr>
      <w:r>
        <w:t>3.</w:t>
      </w:r>
      <w:r>
        <w:tab/>
        <w:t>Der Analysator ist mit aktivierter Thermo-AUTOCAL-Funktion zu betreiben.</w:t>
      </w:r>
    </w:p>
    <w:p>
      <w:pPr>
        <w:pStyle w:val="GesAbsatz"/>
        <w:ind w:left="426" w:hanging="426"/>
      </w:pPr>
      <w:r>
        <w:t>4.</w:t>
      </w:r>
      <w:r>
        <w:tab/>
        <w:t>Das modulare Messsystem Set CEM CERT 7MB1957 kann alternativ mit einer Messgasentnahmesonde der Fa. M&amp;C TechGroup Germany GmbH und einem Messgaskühler der Fa. Bühler Technologies GmbH ausgestattet sein.</w:t>
      </w:r>
    </w:p>
    <w:p>
      <w:pPr>
        <w:pStyle w:val="GesAbsatz"/>
        <w:ind w:left="426" w:hanging="426"/>
      </w:pPr>
      <w:r>
        <w:t>5.</w:t>
      </w:r>
      <w:r>
        <w:tab/>
        <w:t>Das Wartungsintervall des Moduls Ultramat 23-7MB2358 beträgt drei Monate. Im Falle einer Erweiterung um weitere Module des Set CEM CERT 7MB1957 ist die Funktionsfähigkeit der jeweiligen Zusammenstellung der Module im Rahmen der Prüfung des ordnungsgemäßen Einbaus zu prüfen und das Wartungsintervall zu bestimmen.</w:t>
      </w:r>
    </w:p>
    <w:p>
      <w:pPr>
        <w:pStyle w:val="GesAbsatz"/>
        <w:ind w:left="426" w:hanging="426"/>
      </w:pPr>
      <w:r>
        <w:t>6.</w:t>
      </w:r>
      <w:r>
        <w:tab/>
        <w:t>Ergänzungsprüfung (Zulassung eines zusätzlichen Messbereichs für SO</w:t>
      </w:r>
      <w:r>
        <w:rPr>
          <w:vertAlign w:val="subscript"/>
        </w:rPr>
        <w:t>2</w:t>
      </w:r>
      <w:r>
        <w:t>, Optimierung der Querempfindlichkeiten für CO und NO) zu der Bekanntmachung des Umweltbundesamtes vom 3. Juli 2013 (BAnz AT 23.07.2013 B4, Kapitel I Nummer 4.1).</w:t>
      </w:r>
    </w:p>
    <w:p>
      <w:pPr>
        <w:pStyle w:val="GesAbsatz"/>
      </w:pPr>
      <w:r>
        <w:t>Prüfbericht: TÜV Süd Industrie Service GmbH, München</w:t>
      </w:r>
    </w:p>
    <w:p>
      <w:pPr>
        <w:pStyle w:val="GesAbsatz"/>
      </w:pPr>
      <w:r>
        <w:t>Bericht-Nr.: 1630664-3 vom 18. Dezember 2013</w:t>
      </w:r>
    </w:p>
    <w:p>
      <w:pPr>
        <w:pStyle w:val="berschrift2"/>
      </w:pPr>
      <w:bookmarkStart w:id="3" w:name="_Toc395856996"/>
      <w:r>
        <w:t>II.</w:t>
      </w:r>
      <w:r>
        <w:br/>
        <w:t>Eignung für Messeinrichtungen zur kontinuierlichen Messung</w:t>
      </w:r>
      <w:r>
        <w:br/>
        <w:t>von Bezugsgrößen/Betriebsgrößen</w:t>
      </w:r>
      <w:bookmarkEnd w:id="3"/>
    </w:p>
    <w:p>
      <w:pPr>
        <w:pStyle w:val="GesAbsatz"/>
        <w:rPr>
          <w:b/>
        </w:rPr>
      </w:pPr>
      <w:r>
        <w:rPr>
          <w:b/>
        </w:rPr>
        <w:t>1</w:t>
      </w:r>
      <w:r>
        <w:rPr>
          <w:b/>
        </w:rPr>
        <w:tab/>
        <w:t>Sauerstoff</w:t>
      </w:r>
    </w:p>
    <w:p>
      <w:pPr>
        <w:pStyle w:val="GesAbsatz"/>
        <w:rPr>
          <w:b/>
        </w:rPr>
      </w:pPr>
      <w:r>
        <w:rPr>
          <w:b/>
        </w:rPr>
        <w:t>1.1</w:t>
      </w:r>
      <w:r>
        <w:rPr>
          <w:b/>
        </w:rPr>
        <w:tab/>
        <w:t>Modell 6888A für O</w:t>
      </w:r>
      <w:r>
        <w:rPr>
          <w:b/>
          <w:vertAlign w:val="subscript"/>
        </w:rPr>
        <w:t>2</w:t>
      </w:r>
    </w:p>
    <w:p>
      <w:pPr>
        <w:pStyle w:val="GesAbsatz"/>
      </w:pPr>
      <w:r>
        <w:t>Hersteller:</w:t>
      </w:r>
    </w:p>
    <w:p>
      <w:pPr>
        <w:pStyle w:val="GesAbsatz"/>
        <w:rPr>
          <w:lang w:val="en-US"/>
        </w:rPr>
      </w:pPr>
      <w:r>
        <w:rPr>
          <w:lang w:val="en-US"/>
        </w:rPr>
        <w:t>Emerson Process Management Rosemount Analytical Inc, Solon, USA</w:t>
      </w:r>
    </w:p>
    <w:p>
      <w:pPr>
        <w:pStyle w:val="GesAbsatz"/>
      </w:pPr>
      <w:r>
        <w:t>Eignung:</w:t>
      </w:r>
    </w:p>
    <w:p>
      <w:pPr>
        <w:pStyle w:val="GesAbsatz"/>
      </w:pPr>
      <w:r>
        <w:t>Für genehmigungsbedürftige Anlagen sowie Anlagen der 27. BImSchV</w:t>
      </w:r>
    </w:p>
    <w:p>
      <w:pPr>
        <w:pStyle w:val="GesAbsatz"/>
      </w:pPr>
      <w:r>
        <w:t>Messbereich in der Eignungsprüfung:</w:t>
      </w:r>
    </w:p>
    <w:tbl>
      <w:tblPr>
        <w:tblStyle w:val="Tabellenraster"/>
        <w:tblW w:w="0" w:type="auto"/>
        <w:tblLook w:val="04A0" w:firstRow="1" w:lastRow="0" w:firstColumn="1" w:lastColumn="0" w:noHBand="0" w:noVBand="1"/>
      </w:tblPr>
      <w:tblGrid>
        <w:gridCol w:w="1809"/>
        <w:gridCol w:w="3293"/>
        <w:gridCol w:w="2642"/>
      </w:tblGrid>
      <w:tr>
        <w:tc>
          <w:tcPr>
            <w:tcW w:w="1809" w:type="dxa"/>
          </w:tcPr>
          <w:p>
            <w:pPr>
              <w:pStyle w:val="GesAbsatz"/>
              <w:tabs>
                <w:tab w:val="clear" w:pos="425"/>
              </w:tabs>
              <w:jc w:val="center"/>
            </w:pPr>
            <w:r>
              <w:t>Komponente</w:t>
            </w:r>
          </w:p>
        </w:tc>
        <w:tc>
          <w:tcPr>
            <w:tcW w:w="3293" w:type="dxa"/>
          </w:tcPr>
          <w:p>
            <w:pPr>
              <w:pStyle w:val="GesAbsatz"/>
              <w:tabs>
                <w:tab w:val="clear" w:pos="425"/>
              </w:tabs>
              <w:jc w:val="center"/>
            </w:pPr>
            <w:r>
              <w:t>Zertifizierungsbereich</w:t>
            </w:r>
          </w:p>
        </w:tc>
        <w:tc>
          <w:tcPr>
            <w:tcW w:w="2642" w:type="dxa"/>
          </w:tcPr>
          <w:p>
            <w:pPr>
              <w:pStyle w:val="GesAbsatz"/>
              <w:tabs>
                <w:tab w:val="clear" w:pos="425"/>
              </w:tabs>
              <w:jc w:val="center"/>
            </w:pPr>
            <w:r>
              <w:t>Einheit</w:t>
            </w:r>
          </w:p>
        </w:tc>
      </w:tr>
      <w:tr>
        <w:tc>
          <w:tcPr>
            <w:tcW w:w="1809" w:type="dxa"/>
          </w:tcPr>
          <w:p>
            <w:pPr>
              <w:pStyle w:val="GesAbsatz"/>
              <w:tabs>
                <w:tab w:val="clear" w:pos="425"/>
              </w:tabs>
            </w:pPr>
            <w:r>
              <w:t>O</w:t>
            </w:r>
            <w:r>
              <w:rPr>
                <w:vertAlign w:val="subscript"/>
              </w:rPr>
              <w:t>2</w:t>
            </w:r>
          </w:p>
        </w:tc>
        <w:tc>
          <w:tcPr>
            <w:tcW w:w="3293" w:type="dxa"/>
          </w:tcPr>
          <w:p>
            <w:pPr>
              <w:pStyle w:val="GesAbsatz"/>
              <w:tabs>
                <w:tab w:val="clear" w:pos="425"/>
              </w:tabs>
              <w:jc w:val="center"/>
            </w:pPr>
            <w:r>
              <w:t>0 – 25</w:t>
            </w:r>
          </w:p>
        </w:tc>
        <w:tc>
          <w:tcPr>
            <w:tcW w:w="2642" w:type="dxa"/>
          </w:tcPr>
          <w:p>
            <w:pPr>
              <w:pStyle w:val="GesAbsatz"/>
              <w:tabs>
                <w:tab w:val="clear" w:pos="425"/>
              </w:tabs>
              <w:jc w:val="center"/>
            </w:pPr>
            <w:r>
              <w:t>Vol.-%</w:t>
            </w:r>
          </w:p>
        </w:tc>
      </w:tr>
    </w:tbl>
    <w:p>
      <w:pPr>
        <w:pStyle w:val="GesAbsatz"/>
      </w:pPr>
      <w:r>
        <w:t>Softwareversion: V 1.048</w:t>
      </w:r>
    </w:p>
    <w:p>
      <w:pPr>
        <w:pStyle w:val="GesAbsatz"/>
      </w:pPr>
      <w:r>
        <w:t>Einschränkungen:</w:t>
      </w:r>
    </w:p>
    <w:p>
      <w:pPr>
        <w:pStyle w:val="GesAbsatz"/>
      </w:pPr>
      <w:r>
        <w:t>Keine</w:t>
      </w:r>
    </w:p>
    <w:p>
      <w:pPr>
        <w:pStyle w:val="GesAbsatz"/>
      </w:pPr>
      <w:r>
        <w:t>Hinweise:</w:t>
      </w:r>
    </w:p>
    <w:p>
      <w:pPr>
        <w:pStyle w:val="GesAbsatz"/>
      </w:pPr>
      <w:r>
        <w:t>1.</w:t>
      </w:r>
      <w:r>
        <w:tab/>
        <w:t>Das Wartungsintervall beträgt vier Monate.</w:t>
      </w:r>
    </w:p>
    <w:p>
      <w:pPr>
        <w:pStyle w:val="GesAbsatz"/>
        <w:ind w:left="426" w:hanging="426"/>
      </w:pPr>
      <w:r>
        <w:t>2.</w:t>
      </w:r>
      <w:r>
        <w:tab/>
        <w:t>Die Messeinrichtung ist in zwei Gerätevarianten verfügbar: Variante 6888A-1OXY-4-1-5DR (Rohsignalverarbeitung erfolgt in externer Bedieneinheit 6888Xi) und Variante 6888A-1OXY-4-1-1HT (Rohsignalverarbeitung erfolgt direkt im Sondenkopf).</w:t>
      </w:r>
    </w:p>
    <w:p>
      <w:pPr>
        <w:pStyle w:val="GesAbsatz"/>
        <w:ind w:left="426" w:hanging="426"/>
      </w:pPr>
      <w:r>
        <w:t>3.</w:t>
      </w:r>
      <w:r>
        <w:tab/>
        <w:t>Ergänzungsprüfung (Wartungsintervallverlängerung) zu der Bekanntmachung des Umweltbundesamtes vom 3. Juli 2013 (BAnz AT 23.07.2013 B4, Kapitel II Nummer 1.1).</w:t>
      </w:r>
    </w:p>
    <w:p>
      <w:pPr>
        <w:pStyle w:val="GesAbsatz"/>
      </w:pPr>
      <w:r>
        <w:t>Prüfbericht: TÜV Rheinland Energie und Umwelt GmbH, Köln</w:t>
      </w:r>
    </w:p>
    <w:p>
      <w:pPr>
        <w:pStyle w:val="GesAbsatz"/>
      </w:pPr>
      <w:r>
        <w:t>Bericht-Nr.: 936/21219899/C vom 30. August 2013</w:t>
      </w:r>
    </w:p>
    <w:p>
      <w:pPr>
        <w:pStyle w:val="GesAbsatz"/>
        <w:rPr>
          <w:b/>
        </w:rPr>
      </w:pPr>
      <w:r>
        <w:rPr>
          <w:b/>
        </w:rPr>
        <w:lastRenderedPageBreak/>
        <w:t>2</w:t>
      </w:r>
      <w:r>
        <w:rPr>
          <w:b/>
        </w:rPr>
        <w:tab/>
        <w:t>Abgasgeschwindigkeit</w:t>
      </w:r>
    </w:p>
    <w:p>
      <w:pPr>
        <w:pStyle w:val="GesAbsatz"/>
        <w:rPr>
          <w:b/>
        </w:rPr>
      </w:pPr>
      <w:r>
        <w:rPr>
          <w:b/>
        </w:rPr>
        <w:t>2.1</w:t>
      </w:r>
      <w:r>
        <w:rPr>
          <w:b/>
        </w:rPr>
        <w:tab/>
        <w:t>AccuFlo QAL für Abgasgeschwindigkeit</w:t>
      </w:r>
    </w:p>
    <w:p>
      <w:pPr>
        <w:pStyle w:val="GesAbsatz"/>
      </w:pPr>
      <w:r>
        <w:t>Hersteller:</w:t>
      </w:r>
    </w:p>
    <w:p>
      <w:pPr>
        <w:pStyle w:val="GesAbsatz"/>
      </w:pPr>
      <w:r>
        <w:t>S.K.I. GmbH, Mönchengladbach</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0" w:type="auto"/>
        <w:tblLook w:val="04A0" w:firstRow="1" w:lastRow="0" w:firstColumn="1" w:lastColumn="0" w:noHBand="0" w:noVBand="1"/>
      </w:tblPr>
      <w:tblGrid>
        <w:gridCol w:w="2518"/>
        <w:gridCol w:w="2259"/>
        <w:gridCol w:w="1568"/>
        <w:gridCol w:w="1805"/>
        <w:gridCol w:w="1418"/>
      </w:tblGrid>
      <w:tr>
        <w:tc>
          <w:tcPr>
            <w:tcW w:w="2518" w:type="dxa"/>
          </w:tcPr>
          <w:p>
            <w:pPr>
              <w:pStyle w:val="GesAbsatz"/>
              <w:tabs>
                <w:tab w:val="clear" w:pos="425"/>
              </w:tabs>
              <w:jc w:val="center"/>
            </w:pPr>
            <w:r>
              <w:t>Komponente</w:t>
            </w:r>
          </w:p>
        </w:tc>
        <w:tc>
          <w:tcPr>
            <w:tcW w:w="2259" w:type="dxa"/>
          </w:tcPr>
          <w:p>
            <w:pPr>
              <w:pStyle w:val="GesAbsatz"/>
              <w:tabs>
                <w:tab w:val="clear" w:pos="425"/>
              </w:tabs>
              <w:jc w:val="center"/>
            </w:pPr>
            <w:r>
              <w:t>Zertifizierungsbereich</w:t>
            </w:r>
          </w:p>
        </w:tc>
        <w:tc>
          <w:tcPr>
            <w:tcW w:w="3373" w:type="dxa"/>
            <w:gridSpan w:val="2"/>
          </w:tcPr>
          <w:p>
            <w:pPr>
              <w:pStyle w:val="GesAbsatz"/>
              <w:tabs>
                <w:tab w:val="clear" w:pos="425"/>
              </w:tabs>
              <w:jc w:val="center"/>
            </w:pPr>
            <w:r>
              <w:t>zusätzliche Messbereiche</w:t>
            </w:r>
          </w:p>
        </w:tc>
        <w:tc>
          <w:tcPr>
            <w:tcW w:w="1418" w:type="dxa"/>
          </w:tcPr>
          <w:p>
            <w:pPr>
              <w:pStyle w:val="GesAbsatz"/>
              <w:tabs>
                <w:tab w:val="clear" w:pos="425"/>
              </w:tabs>
              <w:jc w:val="center"/>
            </w:pPr>
            <w:r>
              <w:t>Einheit</w:t>
            </w:r>
          </w:p>
        </w:tc>
      </w:tr>
      <w:tr>
        <w:tc>
          <w:tcPr>
            <w:tcW w:w="2518" w:type="dxa"/>
          </w:tcPr>
          <w:p>
            <w:pPr>
              <w:pStyle w:val="GesAbsatz"/>
              <w:tabs>
                <w:tab w:val="clear" w:pos="425"/>
              </w:tabs>
            </w:pPr>
            <w:r>
              <w:t>Abgasgeschwindigkeit</w:t>
            </w:r>
          </w:p>
        </w:tc>
        <w:tc>
          <w:tcPr>
            <w:tcW w:w="2259" w:type="dxa"/>
          </w:tcPr>
          <w:p>
            <w:pPr>
              <w:pStyle w:val="GesAbsatz"/>
              <w:tabs>
                <w:tab w:val="clear" w:pos="425"/>
              </w:tabs>
              <w:jc w:val="center"/>
            </w:pPr>
            <w:r>
              <w:t>2 – 20</w:t>
            </w:r>
          </w:p>
        </w:tc>
        <w:tc>
          <w:tcPr>
            <w:tcW w:w="1568" w:type="dxa"/>
          </w:tcPr>
          <w:p>
            <w:pPr>
              <w:pStyle w:val="GesAbsatz"/>
              <w:tabs>
                <w:tab w:val="clear" w:pos="425"/>
              </w:tabs>
              <w:jc w:val="center"/>
            </w:pPr>
            <w:r>
              <w:t>2 – 40</w:t>
            </w:r>
          </w:p>
        </w:tc>
        <w:tc>
          <w:tcPr>
            <w:tcW w:w="1805" w:type="dxa"/>
          </w:tcPr>
          <w:p>
            <w:pPr>
              <w:pStyle w:val="GesAbsatz"/>
              <w:tabs>
                <w:tab w:val="clear" w:pos="425"/>
              </w:tabs>
              <w:jc w:val="center"/>
            </w:pPr>
            <w:r>
              <w:t>2 – 60</w:t>
            </w:r>
          </w:p>
        </w:tc>
        <w:tc>
          <w:tcPr>
            <w:tcW w:w="1418" w:type="dxa"/>
          </w:tcPr>
          <w:p>
            <w:pPr>
              <w:pStyle w:val="GesAbsatz"/>
              <w:tabs>
                <w:tab w:val="clear" w:pos="425"/>
              </w:tabs>
              <w:jc w:val="center"/>
            </w:pPr>
            <w:r>
              <w:t>m/s</w:t>
            </w:r>
          </w:p>
        </w:tc>
      </w:tr>
    </w:tbl>
    <w:p>
      <w:pPr>
        <w:pStyle w:val="GesAbsatz"/>
      </w:pPr>
      <w:r>
        <w:t>Softwareversion: LSE-QAL-2.11</w:t>
      </w:r>
    </w:p>
    <w:p>
      <w:pPr>
        <w:pStyle w:val="GesAbsatz"/>
      </w:pPr>
      <w:r>
        <w:t>Einschränkung:</w:t>
      </w:r>
    </w:p>
    <w:p>
      <w:pPr>
        <w:pStyle w:val="GesAbsatz"/>
      </w:pPr>
      <w:r>
        <w:t>Die untere Grenze des Geschwindigkeitsmessbereichs beträgt 2 m/s.</w:t>
      </w:r>
    </w:p>
    <w:p>
      <w:pPr>
        <w:pStyle w:val="GesAbsatz"/>
      </w:pPr>
      <w:r>
        <w:t>Hinweise:</w:t>
      </w:r>
    </w:p>
    <w:p>
      <w:pPr>
        <w:pStyle w:val="GesAbsatz"/>
        <w:ind w:left="426" w:hanging="426"/>
      </w:pPr>
      <w:r>
        <w:t>1.</w:t>
      </w:r>
      <w:r>
        <w:tab/>
        <w:t>Nach einer Filterstörung mit hoher Staubbelastung ist die Sonde auf Verschmutzungen zu überprüfen und gegebenenfalls zu reinigen.</w:t>
      </w:r>
    </w:p>
    <w:p>
      <w:pPr>
        <w:pStyle w:val="GesAbsatz"/>
        <w:ind w:left="426" w:hanging="426"/>
      </w:pPr>
      <w:r>
        <w:t>2.</w:t>
      </w:r>
      <w:r>
        <w:tab/>
        <w:t>Das Wartungsintervall beträgt drei Monate.</w:t>
      </w:r>
    </w:p>
    <w:p>
      <w:pPr>
        <w:pStyle w:val="GesAbsatz"/>
        <w:ind w:left="426" w:hanging="426"/>
      </w:pPr>
      <w:r>
        <w:t>3.</w:t>
      </w:r>
      <w:r>
        <w:tab/>
        <w:t>Es gibt 4 unterschiedliche Sonden, die sich in der Größe des Profils unterscheiden. SDF 22, 32 und 50 haben eine feste Breite bei variabler Länge. Bei einem 4. Typ (SDF-50+) ändert sich die Breite mit der Länge.</w:t>
      </w:r>
    </w:p>
    <w:p>
      <w:pPr>
        <w:pStyle w:val="GesAbsatz"/>
        <w:ind w:left="426" w:hanging="426"/>
      </w:pPr>
      <w:r>
        <w:t>4.</w:t>
      </w:r>
      <w:r>
        <w:tab/>
        <w:t>Die Bezeichnung der Messeinrichtung wurde von SDF 22/32/50 auf AccuFlo geändert.</w:t>
      </w:r>
    </w:p>
    <w:p>
      <w:pPr>
        <w:pStyle w:val="GesAbsatz"/>
        <w:ind w:left="426" w:hanging="426"/>
      </w:pPr>
      <w:r>
        <w:t>5.</w:t>
      </w:r>
      <w:r>
        <w:tab/>
        <w:t>Ergänzungsprüfung (Wartungsintervallverlängerung, neuer Sondentyp) zu der Bekanntmachung des Umweltbundesamtes vom 12. Februar 2013 (BAnz AT 05.03.2013 B10, Kapitel II Nummer 2.3).</w:t>
      </w:r>
    </w:p>
    <w:p>
      <w:pPr>
        <w:pStyle w:val="GesAbsatz"/>
      </w:pPr>
      <w:r>
        <w:t>Prüfbericht: TÜV Rheinland Energie und Umwelt GmbH, Köln</w:t>
      </w:r>
    </w:p>
    <w:p>
      <w:pPr>
        <w:pStyle w:val="GesAbsatz"/>
      </w:pPr>
      <w:r>
        <w:t>Bericht-Nr.: 936/21219344/B vom 1. Oktober 2013</w:t>
      </w:r>
    </w:p>
    <w:p>
      <w:pPr>
        <w:pStyle w:val="GesAbsatz"/>
        <w:rPr>
          <w:b/>
        </w:rPr>
      </w:pPr>
      <w:r>
        <w:rPr>
          <w:b/>
        </w:rPr>
        <w:t>2.2</w:t>
      </w:r>
      <w:r>
        <w:rPr>
          <w:b/>
        </w:rPr>
        <w:tab/>
        <w:t>K-BAR 2000B für Abgasgeschwindigkeit</w:t>
      </w:r>
    </w:p>
    <w:p>
      <w:pPr>
        <w:pStyle w:val="GesAbsatz"/>
      </w:pPr>
      <w:r>
        <w:t>Hersteller:</w:t>
      </w:r>
    </w:p>
    <w:p>
      <w:pPr>
        <w:pStyle w:val="GesAbsatz"/>
      </w:pPr>
      <w:r>
        <w:t>Kurz Instruments, Inc., Monterey, USA</w:t>
      </w:r>
    </w:p>
    <w:p>
      <w:pPr>
        <w:pStyle w:val="GesAbsatz"/>
      </w:pPr>
      <w:r>
        <w:t>Eignung:</w:t>
      </w:r>
    </w:p>
    <w:p>
      <w:pPr>
        <w:pStyle w:val="GesAbsatz"/>
      </w:pPr>
      <w:r>
        <w:t>Für genehmigungsbedürftige Anlagen sowie Anlagen der 27. BImSchV</w:t>
      </w:r>
    </w:p>
    <w:p>
      <w:pPr>
        <w:pStyle w:val="GesAbsatz"/>
      </w:pPr>
      <w:r>
        <w:t>Messbereich in der Eignungsprüfung:</w:t>
      </w:r>
    </w:p>
    <w:tbl>
      <w:tblPr>
        <w:tblStyle w:val="Tabellenraster"/>
        <w:tblW w:w="0" w:type="auto"/>
        <w:tblLook w:val="04A0" w:firstRow="1" w:lastRow="0" w:firstColumn="1" w:lastColumn="0" w:noHBand="0" w:noVBand="1"/>
      </w:tblPr>
      <w:tblGrid>
        <w:gridCol w:w="3085"/>
        <w:gridCol w:w="3157"/>
        <w:gridCol w:w="1985"/>
      </w:tblGrid>
      <w:tr>
        <w:tc>
          <w:tcPr>
            <w:tcW w:w="3085" w:type="dxa"/>
          </w:tcPr>
          <w:p>
            <w:pPr>
              <w:pStyle w:val="GesAbsatz"/>
              <w:tabs>
                <w:tab w:val="clear" w:pos="425"/>
              </w:tabs>
              <w:jc w:val="center"/>
            </w:pPr>
            <w:r>
              <w:t>Komponente</w:t>
            </w:r>
          </w:p>
        </w:tc>
        <w:tc>
          <w:tcPr>
            <w:tcW w:w="3157" w:type="dxa"/>
          </w:tcPr>
          <w:p>
            <w:pPr>
              <w:pStyle w:val="GesAbsatz"/>
              <w:tabs>
                <w:tab w:val="clear" w:pos="425"/>
              </w:tabs>
              <w:jc w:val="center"/>
            </w:pPr>
            <w:r>
              <w:t>Zertifizierungsbereich</w:t>
            </w:r>
          </w:p>
        </w:tc>
        <w:tc>
          <w:tcPr>
            <w:tcW w:w="1985" w:type="dxa"/>
          </w:tcPr>
          <w:p>
            <w:pPr>
              <w:pStyle w:val="GesAbsatz"/>
              <w:tabs>
                <w:tab w:val="clear" w:pos="425"/>
              </w:tabs>
              <w:jc w:val="center"/>
            </w:pPr>
            <w:r>
              <w:t>Einheit</w:t>
            </w:r>
          </w:p>
        </w:tc>
      </w:tr>
      <w:tr>
        <w:tc>
          <w:tcPr>
            <w:tcW w:w="3085" w:type="dxa"/>
          </w:tcPr>
          <w:p>
            <w:pPr>
              <w:pStyle w:val="GesAbsatz"/>
              <w:tabs>
                <w:tab w:val="clear" w:pos="425"/>
              </w:tabs>
            </w:pPr>
            <w:r>
              <w:t>Abgasgeschwindigkeit</w:t>
            </w:r>
          </w:p>
        </w:tc>
        <w:tc>
          <w:tcPr>
            <w:tcW w:w="3157" w:type="dxa"/>
          </w:tcPr>
          <w:p>
            <w:pPr>
              <w:pStyle w:val="GesAbsatz"/>
              <w:tabs>
                <w:tab w:val="clear" w:pos="425"/>
              </w:tabs>
              <w:jc w:val="center"/>
            </w:pPr>
            <w:r>
              <w:t>0 – 30</w:t>
            </w:r>
          </w:p>
        </w:tc>
        <w:tc>
          <w:tcPr>
            <w:tcW w:w="1985" w:type="dxa"/>
          </w:tcPr>
          <w:p>
            <w:pPr>
              <w:pStyle w:val="GesAbsatz"/>
              <w:tabs>
                <w:tab w:val="clear" w:pos="425"/>
              </w:tabs>
              <w:jc w:val="center"/>
            </w:pPr>
            <w:r>
              <w:t>m/s</w:t>
            </w:r>
          </w:p>
        </w:tc>
      </w:tr>
    </w:tbl>
    <w:p>
      <w:pPr>
        <w:pStyle w:val="GesAbsatz"/>
      </w:pPr>
      <w:r>
        <w:t>Softwareversion: MFT-B VER 2.08</w:t>
      </w:r>
    </w:p>
    <w:p>
      <w:pPr>
        <w:pStyle w:val="GesAbsatz"/>
      </w:pPr>
      <w:r>
        <w:t>Einschränkung:</w:t>
      </w:r>
    </w:p>
    <w:p>
      <w:pPr>
        <w:pStyle w:val="GesAbsatz"/>
      </w:pPr>
      <w:r>
        <w:t>Die Messeinrichtung kann nur eingesetzt werden, wenn eine Unterschreitung des Taupunktes ausgeschlossen werden kann.</w:t>
      </w:r>
    </w:p>
    <w:p>
      <w:pPr>
        <w:pStyle w:val="GesAbsatz"/>
      </w:pPr>
      <w:r>
        <w:t>Hinweise:</w:t>
      </w:r>
    </w:p>
    <w:p>
      <w:pPr>
        <w:pStyle w:val="GesAbsatz"/>
      </w:pPr>
      <w:r>
        <w:t>1.</w:t>
      </w:r>
      <w:r>
        <w:tab/>
        <w:t>Das Wartungsintervall beträgt vier Wochen.</w:t>
      </w:r>
    </w:p>
    <w:p>
      <w:pPr>
        <w:pStyle w:val="GesAbsatz"/>
      </w:pPr>
      <w:r>
        <w:t>2.</w:t>
      </w:r>
      <w:r>
        <w:tab/>
        <w:t>Die Messeinrichtung kann bei Abgastemperaturen bis 500 °C eingesetzt werden.</w:t>
      </w:r>
    </w:p>
    <w:p>
      <w:pPr>
        <w:pStyle w:val="GesAbsatz"/>
      </w:pPr>
      <w:r>
        <w:t>Prüfbericht: TÜV Rheinland Energie und Umwelt GmbH, Köln</w:t>
      </w:r>
    </w:p>
    <w:p>
      <w:pPr>
        <w:pStyle w:val="GesAbsatz"/>
      </w:pPr>
      <w:r>
        <w:t>Bericht-Nr.: 936/21219690/A vom 10. Oktober 2013</w:t>
      </w:r>
    </w:p>
    <w:p>
      <w:pPr>
        <w:pStyle w:val="GesAbsatz"/>
        <w:rPr>
          <w:b/>
        </w:rPr>
      </w:pPr>
      <w:r>
        <w:rPr>
          <w:b/>
        </w:rPr>
        <w:t>2.3</w:t>
      </w:r>
      <w:r>
        <w:rPr>
          <w:b/>
        </w:rPr>
        <w:tab/>
        <w:t>D-FL 220 für Abgasgeschwindigkeit</w:t>
      </w:r>
    </w:p>
    <w:p>
      <w:pPr>
        <w:pStyle w:val="GesAbsatz"/>
      </w:pPr>
      <w:r>
        <w:t>Hersteller:</w:t>
      </w:r>
    </w:p>
    <w:p>
      <w:pPr>
        <w:pStyle w:val="GesAbsatz"/>
      </w:pPr>
      <w:r>
        <w:t>DURAG GmbH, Hamburg</w:t>
      </w:r>
    </w:p>
    <w:p>
      <w:pPr>
        <w:pStyle w:val="GesAbsatz"/>
      </w:pPr>
      <w:r>
        <w:lastRenderedPageBreak/>
        <w:t>Eignung:</w:t>
      </w:r>
    </w:p>
    <w:p>
      <w:pPr>
        <w:pStyle w:val="GesAbsatz"/>
      </w:pPr>
      <w:r>
        <w:t>Für genehmigungsbedürftige Anlagen sowie Anlagen der 27. BImSchV</w:t>
      </w:r>
    </w:p>
    <w:p>
      <w:pPr>
        <w:pStyle w:val="GesAbsatz"/>
      </w:pPr>
      <w:r>
        <w:t>Messbereich in der Eignungsprüfung:</w:t>
      </w:r>
    </w:p>
    <w:tbl>
      <w:tblPr>
        <w:tblStyle w:val="Tabellenraster"/>
        <w:tblW w:w="8227" w:type="dxa"/>
        <w:tblLook w:val="04A0" w:firstRow="1" w:lastRow="0" w:firstColumn="1" w:lastColumn="0" w:noHBand="0" w:noVBand="1"/>
      </w:tblPr>
      <w:tblGrid>
        <w:gridCol w:w="3085"/>
        <w:gridCol w:w="3140"/>
        <w:gridCol w:w="2002"/>
      </w:tblGrid>
      <w:tr>
        <w:tc>
          <w:tcPr>
            <w:tcW w:w="3085" w:type="dxa"/>
          </w:tcPr>
          <w:p>
            <w:pPr>
              <w:pStyle w:val="GesAbsatz"/>
              <w:tabs>
                <w:tab w:val="clear" w:pos="425"/>
              </w:tabs>
              <w:jc w:val="center"/>
            </w:pPr>
            <w:r>
              <w:t>Komponente</w:t>
            </w:r>
          </w:p>
        </w:tc>
        <w:tc>
          <w:tcPr>
            <w:tcW w:w="3140" w:type="dxa"/>
          </w:tcPr>
          <w:p>
            <w:pPr>
              <w:pStyle w:val="GesAbsatz"/>
              <w:tabs>
                <w:tab w:val="clear" w:pos="425"/>
              </w:tabs>
              <w:jc w:val="center"/>
            </w:pPr>
            <w:r>
              <w:t>Zertifizierungsbereich</w:t>
            </w:r>
          </w:p>
        </w:tc>
        <w:tc>
          <w:tcPr>
            <w:tcW w:w="2002" w:type="dxa"/>
          </w:tcPr>
          <w:p>
            <w:pPr>
              <w:pStyle w:val="GesAbsatz"/>
              <w:tabs>
                <w:tab w:val="clear" w:pos="425"/>
              </w:tabs>
              <w:jc w:val="center"/>
            </w:pPr>
            <w:r>
              <w:t>Einheit</w:t>
            </w:r>
          </w:p>
        </w:tc>
      </w:tr>
      <w:tr>
        <w:tc>
          <w:tcPr>
            <w:tcW w:w="3085" w:type="dxa"/>
          </w:tcPr>
          <w:p>
            <w:pPr>
              <w:pStyle w:val="GesAbsatz"/>
              <w:tabs>
                <w:tab w:val="clear" w:pos="425"/>
              </w:tabs>
            </w:pPr>
            <w:r>
              <w:t>Abgasgeschwindigkeit</w:t>
            </w:r>
          </w:p>
        </w:tc>
        <w:tc>
          <w:tcPr>
            <w:tcW w:w="3140" w:type="dxa"/>
          </w:tcPr>
          <w:p>
            <w:pPr>
              <w:pStyle w:val="GesAbsatz"/>
              <w:tabs>
                <w:tab w:val="clear" w:pos="425"/>
              </w:tabs>
              <w:jc w:val="center"/>
            </w:pPr>
            <w:r>
              <w:t>0 – 30</w:t>
            </w:r>
          </w:p>
        </w:tc>
        <w:tc>
          <w:tcPr>
            <w:tcW w:w="2002" w:type="dxa"/>
          </w:tcPr>
          <w:p>
            <w:pPr>
              <w:pStyle w:val="GesAbsatz"/>
              <w:tabs>
                <w:tab w:val="clear" w:pos="425"/>
              </w:tabs>
              <w:jc w:val="center"/>
            </w:pPr>
            <w:r>
              <w:t>m/s</w:t>
            </w:r>
          </w:p>
        </w:tc>
      </w:tr>
    </w:tbl>
    <w:p>
      <w:pPr>
        <w:pStyle w:val="GesAbsatz"/>
        <w:tabs>
          <w:tab w:val="left" w:pos="2268"/>
        </w:tabs>
      </w:pPr>
      <w:r>
        <w:t>Softwareversionen:</w:t>
      </w:r>
      <w:r>
        <w:tab/>
        <w:t>D-FL 220: V. 01.05R0042</w:t>
      </w:r>
    </w:p>
    <w:p>
      <w:pPr>
        <w:pStyle w:val="GesAbsatz"/>
        <w:ind w:left="2268"/>
      </w:pPr>
      <w:r>
        <w:t>D-ISC 100: V. 01.01R0000</w:t>
      </w:r>
    </w:p>
    <w:p>
      <w:pPr>
        <w:pStyle w:val="GesAbsatz"/>
        <w:ind w:left="2268"/>
      </w:pPr>
      <w:r>
        <w:t>D-ESI 100: V. 1.1.006</w:t>
      </w:r>
    </w:p>
    <w:p>
      <w:pPr>
        <w:pStyle w:val="GesAbsatz"/>
      </w:pPr>
      <w:r>
        <w:t>Einschränkungen:</w:t>
      </w:r>
    </w:p>
    <w:p>
      <w:pPr>
        <w:pStyle w:val="GesAbsatz"/>
      </w:pPr>
      <w:r>
        <w:t>Keine</w:t>
      </w:r>
    </w:p>
    <w:p>
      <w:pPr>
        <w:pStyle w:val="GesAbsatz"/>
      </w:pPr>
      <w:r>
        <w:t>Hinweise:</w:t>
      </w:r>
    </w:p>
    <w:p>
      <w:pPr>
        <w:pStyle w:val="GesAbsatz"/>
      </w:pPr>
      <w:r>
        <w:t>1.</w:t>
      </w:r>
      <w:r>
        <w:tab/>
        <w:t>Das Wartungsintervall beträgt vier Wochen.</w:t>
      </w:r>
    </w:p>
    <w:p>
      <w:pPr>
        <w:pStyle w:val="GesAbsatz"/>
        <w:ind w:left="426" w:hanging="426"/>
      </w:pPr>
      <w:r>
        <w:t>2.</w:t>
      </w:r>
      <w:r>
        <w:tab/>
        <w:t>Die Messeinrichtung D-FL 220 verfügt über kein Display und keine Bedienmöglichkeit. Zur Parametrierung und Visualisierung von Messwerten wird die Software D-ESI 100 verwendet. Optional besteht die Möglichkeit zur Parametrierung der Auswerteeinheit und Visualisierung der Daten die Universal-Steuereinheit D-ISC 100 anzuschließen.</w:t>
      </w:r>
    </w:p>
    <w:p>
      <w:pPr>
        <w:pStyle w:val="GesAbsatz"/>
        <w:ind w:left="426" w:hanging="426"/>
      </w:pPr>
      <w:r>
        <w:t>3.</w:t>
      </w:r>
      <w:r>
        <w:tab/>
        <w:t>Die Messeinrichtung D-FL 220 verfügt über die digitale Schnittstelle Modbus (EIA-485, seriell) entsprechend VDI 4201 Blatt 1 und 3.</w:t>
      </w:r>
    </w:p>
    <w:p>
      <w:pPr>
        <w:pStyle w:val="GesAbsatz"/>
        <w:ind w:left="426" w:hanging="426"/>
      </w:pPr>
      <w:r>
        <w:t>4.</w:t>
      </w:r>
      <w:r>
        <w:tab/>
        <w:t>Bei Kombination der Messeinrichtung D-FL 220 mit der Universal-Steuereinheit D-ISC 100 ist die Modbus-Schnittstelle nach VDI 4201 Blatt 1 und 3 nicht nutzbar.</w:t>
      </w:r>
    </w:p>
    <w:p>
      <w:pPr>
        <w:pStyle w:val="GesAbsatz"/>
        <w:ind w:left="426" w:hanging="426"/>
      </w:pPr>
      <w:r>
        <w:t>5.</w:t>
      </w:r>
      <w:r>
        <w:tab/>
        <w:t>Die Universal-Steuereinheit D-ISC 100 verfügt über die digitale Schnittstelle Modbus nach VDI 4201 Blatt 1 und 3 (EIA-485, seriell und TCP/IP, Ethernet).</w:t>
      </w:r>
    </w:p>
    <w:p>
      <w:pPr>
        <w:pStyle w:val="GesAbsatz"/>
      </w:pPr>
      <w:r>
        <w:t>Prüfbericht: TÜV Rheinland Energie und Umwelt GmbH, Köln</w:t>
      </w:r>
    </w:p>
    <w:p>
      <w:pPr>
        <w:pStyle w:val="GesAbsatz"/>
      </w:pPr>
      <w:r>
        <w:t>Bericht-Nr.: 936/21218490/A vom 2. Dezember 2013</w:t>
      </w:r>
    </w:p>
    <w:p>
      <w:pPr>
        <w:pStyle w:val="GesAbsatz"/>
        <w:rPr>
          <w:b/>
        </w:rPr>
      </w:pPr>
      <w:r>
        <w:rPr>
          <w:b/>
        </w:rPr>
        <w:t>2.4</w:t>
      </w:r>
      <w:r>
        <w:rPr>
          <w:b/>
        </w:rPr>
        <w:tab/>
        <w:t>D-FL 100 für Abgasgeschwindigkeit</w:t>
      </w:r>
    </w:p>
    <w:p>
      <w:pPr>
        <w:pStyle w:val="GesAbsatz"/>
      </w:pPr>
      <w:r>
        <w:t>Hersteller:</w:t>
      </w:r>
    </w:p>
    <w:p>
      <w:pPr>
        <w:pStyle w:val="GesAbsatz"/>
      </w:pPr>
      <w:r>
        <w:t>DURAG GmbH, Hamburg</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0" w:type="auto"/>
        <w:tblLook w:val="04A0" w:firstRow="1" w:lastRow="0" w:firstColumn="1" w:lastColumn="0" w:noHBand="0" w:noVBand="1"/>
      </w:tblPr>
      <w:tblGrid>
        <w:gridCol w:w="2376"/>
        <w:gridCol w:w="2785"/>
        <w:gridCol w:w="2640"/>
        <w:gridCol w:w="1392"/>
      </w:tblGrid>
      <w:tr>
        <w:tc>
          <w:tcPr>
            <w:tcW w:w="2376" w:type="dxa"/>
          </w:tcPr>
          <w:p>
            <w:pPr>
              <w:pStyle w:val="GesAbsatz"/>
              <w:tabs>
                <w:tab w:val="clear" w:pos="425"/>
              </w:tabs>
              <w:jc w:val="center"/>
            </w:pPr>
            <w:r>
              <w:t>Komponente</w:t>
            </w:r>
          </w:p>
        </w:tc>
        <w:tc>
          <w:tcPr>
            <w:tcW w:w="2785" w:type="dxa"/>
          </w:tcPr>
          <w:p>
            <w:pPr>
              <w:pStyle w:val="GesAbsatz"/>
              <w:tabs>
                <w:tab w:val="clear" w:pos="425"/>
              </w:tabs>
              <w:jc w:val="center"/>
            </w:pPr>
            <w:r>
              <w:t>Zertifizierungsbereich</w:t>
            </w:r>
          </w:p>
        </w:tc>
        <w:tc>
          <w:tcPr>
            <w:tcW w:w="2640" w:type="dxa"/>
          </w:tcPr>
          <w:p>
            <w:pPr>
              <w:pStyle w:val="GesAbsatz"/>
              <w:tabs>
                <w:tab w:val="clear" w:pos="425"/>
              </w:tabs>
              <w:jc w:val="center"/>
            </w:pPr>
            <w:r>
              <w:t>zusätzlicher Messbereich</w:t>
            </w:r>
          </w:p>
        </w:tc>
        <w:tc>
          <w:tcPr>
            <w:tcW w:w="1392" w:type="dxa"/>
          </w:tcPr>
          <w:p>
            <w:pPr>
              <w:pStyle w:val="GesAbsatz"/>
              <w:tabs>
                <w:tab w:val="clear" w:pos="425"/>
              </w:tabs>
              <w:jc w:val="center"/>
            </w:pPr>
            <w:r>
              <w:t>Einheit</w:t>
            </w:r>
          </w:p>
        </w:tc>
      </w:tr>
      <w:tr>
        <w:tc>
          <w:tcPr>
            <w:tcW w:w="2376" w:type="dxa"/>
          </w:tcPr>
          <w:p>
            <w:pPr>
              <w:pStyle w:val="GesAbsatz"/>
              <w:tabs>
                <w:tab w:val="clear" w:pos="425"/>
              </w:tabs>
            </w:pPr>
            <w:r>
              <w:t>Abgasgeschwindigkeit</w:t>
            </w:r>
          </w:p>
        </w:tc>
        <w:tc>
          <w:tcPr>
            <w:tcW w:w="2785" w:type="dxa"/>
          </w:tcPr>
          <w:p>
            <w:pPr>
              <w:pStyle w:val="GesAbsatz"/>
              <w:tabs>
                <w:tab w:val="clear" w:pos="425"/>
              </w:tabs>
              <w:jc w:val="center"/>
            </w:pPr>
            <w:r>
              <w:t>3 – 30</w:t>
            </w:r>
          </w:p>
        </w:tc>
        <w:tc>
          <w:tcPr>
            <w:tcW w:w="2640" w:type="dxa"/>
          </w:tcPr>
          <w:p>
            <w:pPr>
              <w:pStyle w:val="GesAbsatz"/>
              <w:tabs>
                <w:tab w:val="clear" w:pos="425"/>
              </w:tabs>
              <w:jc w:val="center"/>
            </w:pPr>
            <w:r>
              <w:t>3 – 50</w:t>
            </w:r>
          </w:p>
        </w:tc>
        <w:tc>
          <w:tcPr>
            <w:tcW w:w="1392" w:type="dxa"/>
          </w:tcPr>
          <w:p>
            <w:pPr>
              <w:pStyle w:val="GesAbsatz"/>
              <w:tabs>
                <w:tab w:val="clear" w:pos="425"/>
              </w:tabs>
              <w:jc w:val="center"/>
            </w:pPr>
            <w:r>
              <w:t>m/s</w:t>
            </w:r>
          </w:p>
        </w:tc>
      </w:tr>
    </w:tbl>
    <w:p>
      <w:pPr>
        <w:pStyle w:val="GesAbsatz"/>
        <w:tabs>
          <w:tab w:val="left" w:pos="2268"/>
        </w:tabs>
        <w:rPr>
          <w:lang w:val="en-US"/>
        </w:rPr>
      </w:pPr>
      <w:r>
        <w:t>Softwareversionen:</w:t>
      </w:r>
      <w:r>
        <w:tab/>
        <w:t xml:space="preserve">D-FL 100-10: V. 2.0, Hardw. </w:t>
      </w:r>
      <w:r>
        <w:rPr>
          <w:lang w:val="en-US"/>
        </w:rPr>
        <w:t>Rev. 3,</w:t>
      </w:r>
    </w:p>
    <w:p>
      <w:pPr>
        <w:pStyle w:val="GesAbsatz"/>
        <w:ind w:left="2268"/>
        <w:rPr>
          <w:lang w:val="en-US"/>
        </w:rPr>
      </w:pPr>
      <w:r>
        <w:rPr>
          <w:lang w:val="en-US"/>
        </w:rPr>
        <w:t>D-FL 100-20: V. 01.00R0003</w:t>
      </w:r>
    </w:p>
    <w:p>
      <w:pPr>
        <w:pStyle w:val="GesAbsatz"/>
        <w:ind w:left="2268"/>
        <w:rPr>
          <w:lang w:val="en-US"/>
        </w:rPr>
      </w:pPr>
      <w:r>
        <w:rPr>
          <w:lang w:val="en-US"/>
        </w:rPr>
        <w:t>D-ISC 100: V. 01.01R0000</w:t>
      </w:r>
    </w:p>
    <w:p>
      <w:pPr>
        <w:pStyle w:val="GesAbsatz"/>
        <w:ind w:left="2268"/>
      </w:pPr>
      <w:r>
        <w:t>D-ESI 100: V. 1.1.006</w:t>
      </w:r>
    </w:p>
    <w:p>
      <w:pPr>
        <w:pStyle w:val="GesAbsatz"/>
      </w:pPr>
      <w:r>
        <w:t>Einschränkungen:</w:t>
      </w:r>
    </w:p>
    <w:p>
      <w:pPr>
        <w:pStyle w:val="GesAbsatz"/>
      </w:pPr>
      <w:r>
        <w:t>1.</w:t>
      </w:r>
      <w:r>
        <w:tab/>
        <w:t>Die Messeinrichtung kann nur in nicht wasserdampfgesättigtem Abgas eingesetzt werden.</w:t>
      </w:r>
    </w:p>
    <w:p>
      <w:pPr>
        <w:pStyle w:val="GesAbsatz"/>
      </w:pPr>
      <w:r>
        <w:t>2.</w:t>
      </w:r>
      <w:r>
        <w:tab/>
        <w:t>Die untere Grenze des Geschwindigkeitsmessbereichs beträgt 3 m/s.</w:t>
      </w:r>
    </w:p>
    <w:p>
      <w:pPr>
        <w:pStyle w:val="GesAbsatz"/>
      </w:pPr>
      <w:r>
        <w:t>Hinweise:</w:t>
      </w:r>
    </w:p>
    <w:p>
      <w:pPr>
        <w:pStyle w:val="GesAbsatz"/>
        <w:ind w:left="426" w:hanging="426"/>
      </w:pPr>
      <w:r>
        <w:t>1.</w:t>
      </w:r>
      <w:r>
        <w:tab/>
        <w:t>Die Eignungsbekanntgabe gilt für Messeinrichtungen des Typs D-FL 100 ab der Seriennummer 1230000.</w:t>
      </w:r>
    </w:p>
    <w:p>
      <w:pPr>
        <w:pStyle w:val="GesAbsatz"/>
        <w:ind w:left="426" w:hanging="426"/>
      </w:pPr>
      <w:r>
        <w:t>2.</w:t>
      </w:r>
      <w:r>
        <w:tab/>
        <w:t>Das Wartungsintervall beträgt 6 Monate.</w:t>
      </w:r>
    </w:p>
    <w:p>
      <w:pPr>
        <w:pStyle w:val="GesAbsatz"/>
        <w:ind w:left="426" w:hanging="426"/>
      </w:pPr>
      <w:r>
        <w:t>3.</w:t>
      </w:r>
      <w:r>
        <w:tab/>
        <w:t>Die Messeinrichtung D-FL 100 kann sowohl mit der Auswerteeinheit D-FL 100-10 als auch mit der Auswerteeinheit D-FL 100-20 eingesetzt werden.</w:t>
      </w:r>
    </w:p>
    <w:p>
      <w:pPr>
        <w:pStyle w:val="GesAbsatz"/>
        <w:ind w:left="426" w:hanging="426"/>
      </w:pPr>
      <w:r>
        <w:lastRenderedPageBreak/>
        <w:t>4.</w:t>
      </w:r>
      <w:r>
        <w:tab/>
        <w:t>Die Auswerteeinheit D-FL 100-20 verfügt über kein Display und keine Bedienmöglichkeit. Zur Parametrierung und Visualisierung von Messwerten wird die Software D-ESI 100 verwendet. Optional besteht die Möglichkeit zur Parametrierung der Auswerteeinheit und Visualisierung der Daten die Universal-Steuereinheit D-ISC 100 anzuschließen.</w:t>
      </w:r>
    </w:p>
    <w:p>
      <w:pPr>
        <w:pStyle w:val="GesAbsatz"/>
        <w:ind w:left="426" w:hanging="426"/>
      </w:pPr>
      <w:r>
        <w:t>5.</w:t>
      </w:r>
      <w:r>
        <w:tab/>
        <w:t>Die Auswerteeinheit D-FL 100-20 verfügt über die digitale Schnittstelle Modbus (EIA-485, seriell) entsprechend VDI 4201 Blatt 1 und 3.</w:t>
      </w:r>
    </w:p>
    <w:p>
      <w:pPr>
        <w:pStyle w:val="GesAbsatz"/>
        <w:ind w:left="426" w:hanging="426"/>
      </w:pPr>
      <w:r>
        <w:t>6.</w:t>
      </w:r>
      <w:r>
        <w:tab/>
        <w:t>Die Universal-Steuereinheit D-ISC 100 verfügt über die digitale Schnittstelle Modbus nach VDI 4201 Blatt 1 und 3 (EIA-485, seriell und TCP/IP, Ethernet).</w:t>
      </w:r>
    </w:p>
    <w:p>
      <w:pPr>
        <w:pStyle w:val="GesAbsatz"/>
        <w:ind w:left="426" w:hanging="426"/>
      </w:pPr>
      <w:r>
        <w:t>7.</w:t>
      </w:r>
      <w:r>
        <w:tab/>
        <w:t>Ergänzungsprüfung (Wartungsintervallverlängerung und Messbereichserweiterung) zu der Bekanntmachung des Umweltbundeamtes vom 12. Februar 2013 (BAnz AT 05.03.2013 B10, Kapitel II Nummer 2.5).</w:t>
      </w:r>
    </w:p>
    <w:p>
      <w:pPr>
        <w:pStyle w:val="GesAbsatz"/>
      </w:pPr>
      <w:r>
        <w:t>Prüfbericht: TÜV Rheinland Energie und Umwelt GmbH, Köln</w:t>
      </w:r>
    </w:p>
    <w:p>
      <w:pPr>
        <w:pStyle w:val="GesAbsatz"/>
      </w:pPr>
      <w:r>
        <w:t>Bericht-Nr.: 936/21218492/C vom 30. September 2013</w:t>
      </w:r>
    </w:p>
    <w:p>
      <w:pPr>
        <w:pStyle w:val="berschrift2"/>
      </w:pPr>
      <w:bookmarkStart w:id="4" w:name="_Toc395856997"/>
      <w:r>
        <w:t>III.</w:t>
      </w:r>
      <w:r>
        <w:br/>
        <w:t>Eignung von Messeinrichtungen zur Langzeitprobenahme</w:t>
      </w:r>
      <w:bookmarkEnd w:id="4"/>
    </w:p>
    <w:p>
      <w:pPr>
        <w:pStyle w:val="GesAbsatz"/>
        <w:rPr>
          <w:b/>
        </w:rPr>
      </w:pPr>
      <w:r>
        <w:rPr>
          <w:b/>
        </w:rPr>
        <w:t>1</w:t>
      </w:r>
      <w:r>
        <w:rPr>
          <w:b/>
        </w:rPr>
        <w:tab/>
        <w:t>Systeme für Langzeitprobenahme</w:t>
      </w:r>
    </w:p>
    <w:p>
      <w:pPr>
        <w:pStyle w:val="GesAbsatz"/>
        <w:rPr>
          <w:b/>
        </w:rPr>
      </w:pPr>
      <w:r>
        <w:rPr>
          <w:b/>
        </w:rPr>
        <w:t>1.1</w:t>
      </w:r>
      <w:r>
        <w:rPr>
          <w:b/>
        </w:rPr>
        <w:tab/>
        <w:t>AMESA-D zur Langzeitprobenahme von Dioxinen/Furanen</w:t>
      </w:r>
    </w:p>
    <w:p>
      <w:pPr>
        <w:pStyle w:val="GesAbsatz"/>
      </w:pPr>
      <w:r>
        <w:t>Hersteller:</w:t>
      </w:r>
    </w:p>
    <w:p>
      <w:pPr>
        <w:pStyle w:val="GesAbsatz"/>
      </w:pPr>
      <w:r>
        <w:t>Environnement S.A. Deutschland, Bad Homburg</w:t>
      </w:r>
    </w:p>
    <w:p>
      <w:pPr>
        <w:pStyle w:val="GesAbsatz"/>
      </w:pPr>
      <w:r>
        <w:t>Eignung:</w:t>
      </w:r>
    </w:p>
    <w:p>
      <w:pPr>
        <w:pStyle w:val="GesAbsatz"/>
      </w:pPr>
      <w:r>
        <w:t>Laufende Probenahme von Dioxinen/Furanen</w:t>
      </w:r>
    </w:p>
    <w:p>
      <w:pPr>
        <w:pStyle w:val="GesAbsatz"/>
      </w:pPr>
      <w:r>
        <w:t>Messbereiche in der Eignungsprüfung:</w:t>
      </w:r>
    </w:p>
    <w:tbl>
      <w:tblPr>
        <w:tblStyle w:val="Tabellenraster"/>
        <w:tblW w:w="6912" w:type="dxa"/>
        <w:tblLook w:val="04A0" w:firstRow="1" w:lastRow="0" w:firstColumn="1" w:lastColumn="0" w:noHBand="0" w:noVBand="1"/>
      </w:tblPr>
      <w:tblGrid>
        <w:gridCol w:w="2093"/>
        <w:gridCol w:w="2410"/>
        <w:gridCol w:w="2409"/>
      </w:tblGrid>
      <w:tr>
        <w:tc>
          <w:tcPr>
            <w:tcW w:w="2093" w:type="dxa"/>
          </w:tcPr>
          <w:p>
            <w:pPr>
              <w:pStyle w:val="GesAbsatz"/>
              <w:tabs>
                <w:tab w:val="clear" w:pos="425"/>
              </w:tabs>
            </w:pPr>
            <w:r>
              <w:t>Geschwindigkeit</w:t>
            </w:r>
          </w:p>
        </w:tc>
        <w:tc>
          <w:tcPr>
            <w:tcW w:w="2410" w:type="dxa"/>
          </w:tcPr>
          <w:p>
            <w:pPr>
              <w:pStyle w:val="GesAbsatz"/>
              <w:tabs>
                <w:tab w:val="clear" w:pos="425"/>
              </w:tabs>
              <w:jc w:val="center"/>
            </w:pPr>
            <w:r>
              <w:t>1,1 – 30</w:t>
            </w:r>
          </w:p>
        </w:tc>
        <w:tc>
          <w:tcPr>
            <w:tcW w:w="2409" w:type="dxa"/>
          </w:tcPr>
          <w:p>
            <w:pPr>
              <w:pStyle w:val="GesAbsatz"/>
              <w:tabs>
                <w:tab w:val="clear" w:pos="425"/>
              </w:tabs>
              <w:jc w:val="center"/>
            </w:pPr>
            <w:r>
              <w:t>m/s</w:t>
            </w:r>
          </w:p>
        </w:tc>
      </w:tr>
      <w:tr>
        <w:tc>
          <w:tcPr>
            <w:tcW w:w="2093" w:type="dxa"/>
          </w:tcPr>
          <w:p>
            <w:pPr>
              <w:pStyle w:val="GesAbsatz"/>
              <w:tabs>
                <w:tab w:val="clear" w:pos="425"/>
              </w:tabs>
            </w:pPr>
            <w:r>
              <w:t>Dioxin*</w:t>
            </w:r>
          </w:p>
        </w:tc>
        <w:tc>
          <w:tcPr>
            <w:tcW w:w="2410" w:type="dxa"/>
          </w:tcPr>
          <w:p>
            <w:pPr>
              <w:pStyle w:val="GesAbsatz"/>
              <w:tabs>
                <w:tab w:val="clear" w:pos="425"/>
              </w:tabs>
              <w:jc w:val="center"/>
            </w:pPr>
            <w:r>
              <w:t>bis 0,5</w:t>
            </w:r>
          </w:p>
        </w:tc>
        <w:tc>
          <w:tcPr>
            <w:tcW w:w="2409" w:type="dxa"/>
          </w:tcPr>
          <w:p>
            <w:pPr>
              <w:pStyle w:val="GesAbsatz"/>
              <w:tabs>
                <w:tab w:val="clear" w:pos="425"/>
              </w:tabs>
              <w:jc w:val="center"/>
            </w:pPr>
            <w:r>
              <w:t>ng/m³ TEQ</w:t>
            </w:r>
          </w:p>
        </w:tc>
      </w:tr>
    </w:tbl>
    <w:p>
      <w:pPr>
        <w:pStyle w:val="GesAbsatz"/>
      </w:pPr>
      <w:r>
        <w:t>* mit 260 m³ Abgas auf 70 g XAD-2</w:t>
      </w:r>
    </w:p>
    <w:p>
      <w:pPr>
        <w:pStyle w:val="GesAbsatz"/>
      </w:pPr>
      <w:r>
        <w:t>Softwareversion: P86.017.0</w:t>
      </w:r>
    </w:p>
    <w:p>
      <w:pPr>
        <w:pStyle w:val="GesAbsatz"/>
      </w:pPr>
      <w:r>
        <w:t>Einschränkung:</w:t>
      </w:r>
    </w:p>
    <w:p>
      <w:pPr>
        <w:pStyle w:val="GesAbsatz"/>
      </w:pPr>
      <w:r>
        <w:t>Die Anforderung bei der Eignungsprüfung an die Verluste bei der Probenahme wurde für die 6 Stunden-Vergleichsmessungen nicht erfüllt. Deshalb ist vor und nach Vergleichsmessungen das Sondenrohr zu spülen und das Analysenergebnis der Spüllösung dem Analysenwert zuzuschlagen.</w:t>
      </w:r>
    </w:p>
    <w:p>
      <w:pPr>
        <w:pStyle w:val="GesAbsatz"/>
      </w:pPr>
      <w:r>
        <w:t>Hinweis:</w:t>
      </w:r>
    </w:p>
    <w:p>
      <w:pPr>
        <w:pStyle w:val="GesAbsatz"/>
      </w:pPr>
      <w:r>
        <w:t>Die integrierte Geschwindigkeitsmesseinrichtung kann nicht in wasserdampfgesättigtem Abgas eingesetzt werden.</w:t>
      </w:r>
    </w:p>
    <w:p>
      <w:pPr>
        <w:pStyle w:val="GesAbsatz"/>
      </w:pPr>
      <w:r>
        <w:t>Prüfbericht: TÜV Rheinland Energie und Umwelt GmbH, Köln</w:t>
      </w:r>
    </w:p>
    <w:p>
      <w:pPr>
        <w:pStyle w:val="GesAbsatz"/>
      </w:pPr>
      <w:r>
        <w:t>Bericht-Nr.: 936/21221445/A vom 9. Oktober 2013</w:t>
      </w:r>
    </w:p>
    <w:p>
      <w:pPr>
        <w:pStyle w:val="berschrift2"/>
      </w:pPr>
      <w:bookmarkStart w:id="5" w:name="_Toc395856998"/>
      <w:r>
        <w:t>IV.</w:t>
      </w:r>
      <w:r>
        <w:br/>
        <w:t>Eignung von Messeinrichtungen zur kontinuierlichen Überwachung</w:t>
      </w:r>
      <w:r>
        <w:br/>
        <w:t>von Immissionen</w:t>
      </w:r>
      <w:bookmarkEnd w:id="5"/>
    </w:p>
    <w:p>
      <w:pPr>
        <w:pStyle w:val="GesAbsatz"/>
      </w:pPr>
      <w:r>
        <w:t>Unter Bezugnahme auf die Nummer 3.2 der Bekanntmachung der für die Durchführung der Richtlinie 96/62/EG des Rates vom 27. September 1996 über die Beurteilung und Kontrolle der Luftqualität zuständigen Stellen vom 1. Oktober 1998 (BAnz. S. 15 126) wird im Auftrag des BMU die Eignung der folgenden Messeinrichtung bekannt gegeben:</w:t>
      </w:r>
    </w:p>
    <w:p>
      <w:pPr>
        <w:pStyle w:val="GesAbsatz"/>
        <w:rPr>
          <w:b/>
        </w:rPr>
      </w:pPr>
      <w:r>
        <w:rPr>
          <w:b/>
        </w:rPr>
        <w:t>1</w:t>
      </w:r>
      <w:r>
        <w:rPr>
          <w:b/>
        </w:rPr>
        <w:tab/>
        <w:t>Ozon</w:t>
      </w:r>
    </w:p>
    <w:p>
      <w:pPr>
        <w:pStyle w:val="GesAbsatz"/>
        <w:rPr>
          <w:b/>
        </w:rPr>
      </w:pPr>
      <w:r>
        <w:rPr>
          <w:b/>
        </w:rPr>
        <w:t>1.1</w:t>
      </w:r>
      <w:r>
        <w:rPr>
          <w:b/>
        </w:rPr>
        <w:tab/>
        <w:t>Serinus 10 für Ozon</w:t>
      </w:r>
    </w:p>
    <w:p>
      <w:pPr>
        <w:pStyle w:val="GesAbsatz"/>
      </w:pPr>
      <w:r>
        <w:t>Hersteller:</w:t>
      </w:r>
    </w:p>
    <w:p>
      <w:pPr>
        <w:pStyle w:val="GesAbsatz"/>
      </w:pPr>
      <w:r>
        <w:t>Ecotech Pty Ltd., Knoxfield, Australien</w:t>
      </w:r>
    </w:p>
    <w:p>
      <w:pPr>
        <w:pStyle w:val="GesAbsatz"/>
      </w:pPr>
      <w:r>
        <w:t>Eignung:</w:t>
      </w:r>
    </w:p>
    <w:p>
      <w:pPr>
        <w:pStyle w:val="GesAbsatz"/>
      </w:pPr>
      <w:r>
        <w:lastRenderedPageBreak/>
        <w:t>Zur kontinuierlichen Bestimmung der Immissionskonzentrationen von Ozon in der Außenluft im stationären Einsatz</w:t>
      </w:r>
    </w:p>
    <w:p>
      <w:pPr>
        <w:pStyle w:val="GesAbsatz"/>
      </w:pPr>
      <w:r>
        <w:t>Messbereich in der Eignungsprüfung:</w:t>
      </w:r>
    </w:p>
    <w:tbl>
      <w:tblPr>
        <w:tblStyle w:val="Tabellenraster"/>
        <w:tblW w:w="0" w:type="auto"/>
        <w:tblLook w:val="04A0" w:firstRow="1" w:lastRow="0" w:firstColumn="1" w:lastColumn="0" w:noHBand="0" w:noVBand="1"/>
      </w:tblPr>
      <w:tblGrid>
        <w:gridCol w:w="2518"/>
        <w:gridCol w:w="3152"/>
        <w:gridCol w:w="2358"/>
      </w:tblGrid>
      <w:tr>
        <w:tc>
          <w:tcPr>
            <w:tcW w:w="2518" w:type="dxa"/>
          </w:tcPr>
          <w:p>
            <w:pPr>
              <w:pStyle w:val="GesAbsatz"/>
              <w:tabs>
                <w:tab w:val="clear" w:pos="425"/>
              </w:tabs>
              <w:jc w:val="center"/>
            </w:pPr>
            <w:r>
              <w:t>Komponente</w:t>
            </w:r>
          </w:p>
        </w:tc>
        <w:tc>
          <w:tcPr>
            <w:tcW w:w="3152" w:type="dxa"/>
          </w:tcPr>
          <w:p>
            <w:pPr>
              <w:pStyle w:val="GesAbsatz"/>
              <w:tabs>
                <w:tab w:val="clear" w:pos="425"/>
              </w:tabs>
              <w:jc w:val="center"/>
            </w:pPr>
            <w:r>
              <w:t>Zertifizierungsbereich</w:t>
            </w:r>
          </w:p>
        </w:tc>
        <w:tc>
          <w:tcPr>
            <w:tcW w:w="2358" w:type="dxa"/>
          </w:tcPr>
          <w:p>
            <w:pPr>
              <w:pStyle w:val="GesAbsatz"/>
              <w:tabs>
                <w:tab w:val="clear" w:pos="425"/>
              </w:tabs>
              <w:jc w:val="center"/>
            </w:pPr>
            <w:r>
              <w:t>Einheit</w:t>
            </w:r>
          </w:p>
        </w:tc>
      </w:tr>
      <w:tr>
        <w:tc>
          <w:tcPr>
            <w:tcW w:w="2518" w:type="dxa"/>
          </w:tcPr>
          <w:p>
            <w:pPr>
              <w:pStyle w:val="GesAbsatz"/>
              <w:tabs>
                <w:tab w:val="clear" w:pos="425"/>
              </w:tabs>
            </w:pPr>
            <w:r>
              <w:t>Ozon</w:t>
            </w:r>
          </w:p>
        </w:tc>
        <w:tc>
          <w:tcPr>
            <w:tcW w:w="3152" w:type="dxa"/>
          </w:tcPr>
          <w:p>
            <w:pPr>
              <w:pStyle w:val="GesAbsatz"/>
              <w:tabs>
                <w:tab w:val="clear" w:pos="425"/>
              </w:tabs>
              <w:jc w:val="center"/>
            </w:pPr>
            <w:r>
              <w:t>0 – 500</w:t>
            </w:r>
          </w:p>
        </w:tc>
        <w:tc>
          <w:tcPr>
            <w:tcW w:w="2358" w:type="dxa"/>
          </w:tcPr>
          <w:p>
            <w:pPr>
              <w:pStyle w:val="GesAbsatz"/>
              <w:tabs>
                <w:tab w:val="clear" w:pos="425"/>
              </w:tabs>
              <w:jc w:val="center"/>
            </w:pPr>
            <w:r>
              <w:t>μg/m³</w:t>
            </w:r>
          </w:p>
        </w:tc>
      </w:tr>
    </w:tbl>
    <w:p>
      <w:pPr>
        <w:pStyle w:val="GesAbsatz"/>
      </w:pPr>
      <w:r>
        <w:t>Softwareversion: Firmware: 2.09.0005</w:t>
      </w:r>
    </w:p>
    <w:p>
      <w:pPr>
        <w:pStyle w:val="GesAbsatz"/>
      </w:pPr>
      <w:r>
        <w:t>Einschränkungen:</w:t>
      </w:r>
    </w:p>
    <w:p>
      <w:pPr>
        <w:pStyle w:val="GesAbsatz"/>
      </w:pPr>
      <w:r>
        <w:t>Keine</w:t>
      </w:r>
    </w:p>
    <w:p>
      <w:pPr>
        <w:pStyle w:val="GesAbsatz"/>
      </w:pPr>
      <w:r>
        <w:t>Hinweise:</w:t>
      </w:r>
    </w:p>
    <w:p>
      <w:pPr>
        <w:pStyle w:val="GesAbsatz"/>
      </w:pPr>
      <w:r>
        <w:t>1.</w:t>
      </w:r>
      <w:r>
        <w:tab/>
        <w:t>Die Messeinrichtung ist in einem verschließbaren Messschrank bzw. Messcontainer zu betreiben.</w:t>
      </w:r>
    </w:p>
    <w:p>
      <w:pPr>
        <w:pStyle w:val="GesAbsatz"/>
      </w:pPr>
      <w:r>
        <w:t>2.</w:t>
      </w:r>
      <w:r>
        <w:tab/>
        <w:t>Der Prüfbericht über die Eignungsprüfung ist im Internet unter www.qal1.de einsehbar.</w:t>
      </w:r>
    </w:p>
    <w:p>
      <w:pPr>
        <w:pStyle w:val="GesAbsatz"/>
      </w:pPr>
      <w:r>
        <w:t>Prüfinstitut: TÜV Rheinland Energie und Umwelt GmbH, Köln</w:t>
      </w:r>
    </w:p>
    <w:p>
      <w:pPr>
        <w:pStyle w:val="GesAbsatz"/>
      </w:pPr>
      <w:r>
        <w:t>Bericht-Nr.: 936/21221977/C vom 8. Oktober 2013</w:t>
      </w:r>
    </w:p>
    <w:p>
      <w:pPr>
        <w:pStyle w:val="GesAbsatz"/>
        <w:rPr>
          <w:b/>
        </w:rPr>
      </w:pPr>
      <w:r>
        <w:rPr>
          <w:b/>
        </w:rPr>
        <w:t>2</w:t>
      </w:r>
      <w:r>
        <w:rPr>
          <w:b/>
        </w:rPr>
        <w:tab/>
        <w:t>Kohlenmonoxid</w:t>
      </w:r>
    </w:p>
    <w:p>
      <w:pPr>
        <w:pStyle w:val="GesAbsatz"/>
        <w:rPr>
          <w:b/>
        </w:rPr>
      </w:pPr>
      <w:r>
        <w:rPr>
          <w:b/>
        </w:rPr>
        <w:t>2.1</w:t>
      </w:r>
      <w:r>
        <w:rPr>
          <w:b/>
        </w:rPr>
        <w:tab/>
        <w:t>Serinus 30 für CO</w:t>
      </w:r>
    </w:p>
    <w:p>
      <w:pPr>
        <w:pStyle w:val="GesAbsatz"/>
      </w:pPr>
      <w:r>
        <w:t>Hersteller:</w:t>
      </w:r>
    </w:p>
    <w:p>
      <w:pPr>
        <w:pStyle w:val="GesAbsatz"/>
      </w:pPr>
      <w:r>
        <w:t>Ecotech Pty Ltd., Knoxfield, Australien</w:t>
      </w:r>
    </w:p>
    <w:p>
      <w:pPr>
        <w:pStyle w:val="GesAbsatz"/>
      </w:pPr>
      <w:r>
        <w:t>Eignung:</w:t>
      </w:r>
    </w:p>
    <w:p>
      <w:pPr>
        <w:pStyle w:val="GesAbsatz"/>
      </w:pPr>
      <w:r>
        <w:t>Zur kontinuierlichen Bestimmung der Immissionskonzentrationen von Kohlenmonoxid in der Außenluft im stationären Einsatz</w:t>
      </w:r>
    </w:p>
    <w:p>
      <w:pPr>
        <w:pStyle w:val="GesAbsatz"/>
      </w:pPr>
      <w:r>
        <w:t>Messbereich in der Eignungsprüfung:</w:t>
      </w:r>
    </w:p>
    <w:tbl>
      <w:tblPr>
        <w:tblStyle w:val="Tabellenraster"/>
        <w:tblW w:w="8046" w:type="dxa"/>
        <w:tblLook w:val="04A0" w:firstRow="1" w:lastRow="0" w:firstColumn="1" w:lastColumn="0" w:noHBand="0" w:noVBand="1"/>
      </w:tblPr>
      <w:tblGrid>
        <w:gridCol w:w="2518"/>
        <w:gridCol w:w="3119"/>
        <w:gridCol w:w="2409"/>
      </w:tblGrid>
      <w:tr>
        <w:tc>
          <w:tcPr>
            <w:tcW w:w="2518" w:type="dxa"/>
          </w:tcPr>
          <w:p>
            <w:pPr>
              <w:pStyle w:val="GesAbsatz"/>
              <w:tabs>
                <w:tab w:val="clear" w:pos="425"/>
              </w:tabs>
              <w:jc w:val="center"/>
            </w:pPr>
            <w:r>
              <w:t>Komponente</w:t>
            </w:r>
          </w:p>
        </w:tc>
        <w:tc>
          <w:tcPr>
            <w:tcW w:w="3119" w:type="dxa"/>
          </w:tcPr>
          <w:p>
            <w:pPr>
              <w:pStyle w:val="GesAbsatz"/>
              <w:tabs>
                <w:tab w:val="clear" w:pos="425"/>
              </w:tabs>
              <w:jc w:val="center"/>
            </w:pPr>
            <w:r>
              <w:t>Zertifizierungsbereich</w:t>
            </w:r>
          </w:p>
        </w:tc>
        <w:tc>
          <w:tcPr>
            <w:tcW w:w="2409" w:type="dxa"/>
          </w:tcPr>
          <w:p>
            <w:pPr>
              <w:pStyle w:val="GesAbsatz"/>
              <w:tabs>
                <w:tab w:val="clear" w:pos="425"/>
              </w:tabs>
              <w:jc w:val="center"/>
            </w:pPr>
            <w:r>
              <w:t>Einheit</w:t>
            </w:r>
          </w:p>
        </w:tc>
      </w:tr>
      <w:tr>
        <w:tc>
          <w:tcPr>
            <w:tcW w:w="2518" w:type="dxa"/>
          </w:tcPr>
          <w:p>
            <w:pPr>
              <w:pStyle w:val="GesAbsatz"/>
              <w:tabs>
                <w:tab w:val="clear" w:pos="425"/>
              </w:tabs>
            </w:pPr>
            <w:r>
              <w:t>Kohlenmonoxid</w:t>
            </w:r>
          </w:p>
        </w:tc>
        <w:tc>
          <w:tcPr>
            <w:tcW w:w="3119" w:type="dxa"/>
          </w:tcPr>
          <w:p>
            <w:pPr>
              <w:pStyle w:val="GesAbsatz"/>
              <w:tabs>
                <w:tab w:val="clear" w:pos="425"/>
              </w:tabs>
              <w:jc w:val="center"/>
            </w:pPr>
            <w:r>
              <w:t>0 – 100</w:t>
            </w:r>
          </w:p>
        </w:tc>
        <w:tc>
          <w:tcPr>
            <w:tcW w:w="2409" w:type="dxa"/>
          </w:tcPr>
          <w:p>
            <w:pPr>
              <w:pStyle w:val="GesAbsatz"/>
              <w:tabs>
                <w:tab w:val="clear" w:pos="425"/>
              </w:tabs>
              <w:jc w:val="center"/>
            </w:pPr>
            <w:r>
              <w:t>mg/m³</w:t>
            </w:r>
          </w:p>
        </w:tc>
      </w:tr>
    </w:tbl>
    <w:p>
      <w:pPr>
        <w:pStyle w:val="GesAbsatz"/>
      </w:pPr>
      <w:r>
        <w:t>Softwareversion: Firmware: 2.09.0005</w:t>
      </w:r>
    </w:p>
    <w:p>
      <w:pPr>
        <w:pStyle w:val="GesAbsatz"/>
      </w:pPr>
      <w:r>
        <w:t>Einschränkungen:</w:t>
      </w:r>
    </w:p>
    <w:p>
      <w:pPr>
        <w:pStyle w:val="GesAbsatz"/>
      </w:pPr>
      <w:r>
        <w:t>Keine</w:t>
      </w:r>
    </w:p>
    <w:p>
      <w:pPr>
        <w:pStyle w:val="GesAbsatz"/>
      </w:pPr>
      <w:r>
        <w:t>Hinweise:</w:t>
      </w:r>
    </w:p>
    <w:p>
      <w:pPr>
        <w:pStyle w:val="GesAbsatz"/>
      </w:pPr>
      <w:r>
        <w:t>1.</w:t>
      </w:r>
      <w:r>
        <w:tab/>
        <w:t>Die Messeinrichtung ist in einem verschließbaren Messschrank bzw. Messcontainer zu betreiben.</w:t>
      </w:r>
    </w:p>
    <w:p>
      <w:pPr>
        <w:pStyle w:val="GesAbsatz"/>
      </w:pPr>
      <w:r>
        <w:t>2.</w:t>
      </w:r>
      <w:r>
        <w:tab/>
        <w:t>Der Prüfbericht über die Eignungsprüfung ist im Internet unter www.qal1.de einsehbar.</w:t>
      </w:r>
    </w:p>
    <w:p>
      <w:pPr>
        <w:pStyle w:val="GesAbsatz"/>
      </w:pPr>
      <w:r>
        <w:t>Prüfinstitut: TÜV Rheinland Energie und Umwelt GmbH, Köln</w:t>
      </w:r>
    </w:p>
    <w:p>
      <w:pPr>
        <w:pStyle w:val="GesAbsatz"/>
      </w:pPr>
      <w:r>
        <w:t>Bericht-Nr.: 936/21221977/D vom 8. Oktober 2013</w:t>
      </w:r>
    </w:p>
    <w:p>
      <w:pPr>
        <w:pStyle w:val="GesAbsatz"/>
        <w:rPr>
          <w:b/>
        </w:rPr>
      </w:pPr>
      <w:r>
        <w:rPr>
          <w:b/>
        </w:rPr>
        <w:t>3</w:t>
      </w:r>
      <w:r>
        <w:rPr>
          <w:b/>
        </w:rPr>
        <w:tab/>
        <w:t>Schwefeldioxid</w:t>
      </w:r>
    </w:p>
    <w:p>
      <w:pPr>
        <w:pStyle w:val="GesAbsatz"/>
        <w:rPr>
          <w:b/>
        </w:rPr>
      </w:pPr>
      <w:r>
        <w:rPr>
          <w:b/>
        </w:rPr>
        <w:t>3.1</w:t>
      </w:r>
      <w:r>
        <w:rPr>
          <w:b/>
        </w:rPr>
        <w:tab/>
        <w:t>Serinus 50 für SO</w:t>
      </w:r>
      <w:r>
        <w:rPr>
          <w:b/>
          <w:vertAlign w:val="subscript"/>
        </w:rPr>
        <w:t>2</w:t>
      </w:r>
    </w:p>
    <w:p>
      <w:pPr>
        <w:pStyle w:val="GesAbsatz"/>
      </w:pPr>
      <w:r>
        <w:t>Hersteller:</w:t>
      </w:r>
    </w:p>
    <w:p>
      <w:pPr>
        <w:pStyle w:val="GesAbsatz"/>
      </w:pPr>
      <w:r>
        <w:t>Ecotech Pty Ltd., Knoxfield, Australien</w:t>
      </w:r>
    </w:p>
    <w:p>
      <w:pPr>
        <w:pStyle w:val="GesAbsatz"/>
      </w:pPr>
      <w:r>
        <w:t>Eignung:</w:t>
      </w:r>
    </w:p>
    <w:p>
      <w:pPr>
        <w:pStyle w:val="GesAbsatz"/>
      </w:pPr>
      <w:r>
        <w:t>Zur kontinuierlichen Bestimmung der Immissionskonzentrationen von Schwefeldioxid in der Außenluft im stationären Einsatz</w:t>
      </w:r>
    </w:p>
    <w:p>
      <w:pPr>
        <w:pStyle w:val="GesAbsatz"/>
      </w:pPr>
      <w:r>
        <w:t>Messbereich in der Eignungsprüfung:</w:t>
      </w:r>
    </w:p>
    <w:tbl>
      <w:tblPr>
        <w:tblStyle w:val="Tabellenraster"/>
        <w:tblW w:w="8046" w:type="dxa"/>
        <w:tblLook w:val="04A0" w:firstRow="1" w:lastRow="0" w:firstColumn="1" w:lastColumn="0" w:noHBand="0" w:noVBand="1"/>
      </w:tblPr>
      <w:tblGrid>
        <w:gridCol w:w="2518"/>
        <w:gridCol w:w="3119"/>
        <w:gridCol w:w="2409"/>
      </w:tblGrid>
      <w:tr>
        <w:tc>
          <w:tcPr>
            <w:tcW w:w="2518" w:type="dxa"/>
          </w:tcPr>
          <w:p>
            <w:pPr>
              <w:pStyle w:val="GesAbsatz"/>
              <w:tabs>
                <w:tab w:val="clear" w:pos="425"/>
              </w:tabs>
              <w:jc w:val="center"/>
            </w:pPr>
            <w:r>
              <w:t>Komponente</w:t>
            </w:r>
          </w:p>
        </w:tc>
        <w:tc>
          <w:tcPr>
            <w:tcW w:w="3119" w:type="dxa"/>
          </w:tcPr>
          <w:p>
            <w:pPr>
              <w:pStyle w:val="GesAbsatz"/>
              <w:tabs>
                <w:tab w:val="clear" w:pos="425"/>
              </w:tabs>
              <w:jc w:val="center"/>
            </w:pPr>
            <w:r>
              <w:t>Zertifizierungsbereich</w:t>
            </w:r>
          </w:p>
        </w:tc>
        <w:tc>
          <w:tcPr>
            <w:tcW w:w="2409" w:type="dxa"/>
          </w:tcPr>
          <w:p>
            <w:pPr>
              <w:pStyle w:val="GesAbsatz"/>
              <w:tabs>
                <w:tab w:val="clear" w:pos="425"/>
              </w:tabs>
              <w:jc w:val="center"/>
            </w:pPr>
            <w:r>
              <w:t>Einheit</w:t>
            </w:r>
          </w:p>
        </w:tc>
      </w:tr>
      <w:tr>
        <w:tc>
          <w:tcPr>
            <w:tcW w:w="2518" w:type="dxa"/>
          </w:tcPr>
          <w:p>
            <w:pPr>
              <w:pStyle w:val="GesAbsatz"/>
              <w:tabs>
                <w:tab w:val="clear" w:pos="425"/>
              </w:tabs>
            </w:pPr>
            <w:r>
              <w:t>Schwefeldioxid</w:t>
            </w:r>
          </w:p>
        </w:tc>
        <w:tc>
          <w:tcPr>
            <w:tcW w:w="3119" w:type="dxa"/>
          </w:tcPr>
          <w:p>
            <w:pPr>
              <w:pStyle w:val="GesAbsatz"/>
              <w:tabs>
                <w:tab w:val="clear" w:pos="425"/>
              </w:tabs>
              <w:jc w:val="center"/>
            </w:pPr>
            <w:r>
              <w:t>0 – 1 000</w:t>
            </w:r>
          </w:p>
        </w:tc>
        <w:tc>
          <w:tcPr>
            <w:tcW w:w="2409" w:type="dxa"/>
          </w:tcPr>
          <w:p>
            <w:pPr>
              <w:pStyle w:val="GesAbsatz"/>
              <w:tabs>
                <w:tab w:val="clear" w:pos="425"/>
              </w:tabs>
              <w:jc w:val="center"/>
            </w:pPr>
            <w:r>
              <w:t>μg/m³</w:t>
            </w:r>
          </w:p>
        </w:tc>
      </w:tr>
    </w:tbl>
    <w:p>
      <w:pPr>
        <w:pStyle w:val="GesAbsatz"/>
      </w:pPr>
      <w:r>
        <w:t>Softwareversion: Firmware: 2.09.0005</w:t>
      </w:r>
    </w:p>
    <w:p>
      <w:pPr>
        <w:pStyle w:val="GesAbsatz"/>
      </w:pPr>
      <w:r>
        <w:t>Einschränkungen:</w:t>
      </w:r>
    </w:p>
    <w:p>
      <w:pPr>
        <w:pStyle w:val="GesAbsatz"/>
      </w:pPr>
      <w:r>
        <w:lastRenderedPageBreak/>
        <w:t>Keine</w:t>
      </w:r>
    </w:p>
    <w:p>
      <w:pPr>
        <w:pStyle w:val="GesAbsatz"/>
      </w:pPr>
      <w:r>
        <w:t>Hinweise:</w:t>
      </w:r>
    </w:p>
    <w:p>
      <w:pPr>
        <w:pStyle w:val="GesAbsatz"/>
      </w:pPr>
      <w:r>
        <w:t>1.</w:t>
      </w:r>
      <w:r>
        <w:tab/>
        <w:t>Die Messeinrichtung ist in einem verschließbaren Messschrank bzw. Messcontainer zu betreiben.</w:t>
      </w:r>
    </w:p>
    <w:p>
      <w:pPr>
        <w:pStyle w:val="GesAbsatz"/>
      </w:pPr>
      <w:r>
        <w:t>2.</w:t>
      </w:r>
      <w:r>
        <w:tab/>
        <w:t>Der Prüfbericht über die Eignungsprüfung ist im Internet unter www.qal1.de einsehbar.</w:t>
      </w:r>
    </w:p>
    <w:p>
      <w:pPr>
        <w:pStyle w:val="GesAbsatz"/>
      </w:pPr>
      <w:r>
        <w:t>Prüfinstitut: TÜV Rheinland Energie und Umwelt GmbH, Köln</w:t>
      </w:r>
    </w:p>
    <w:p>
      <w:pPr>
        <w:pStyle w:val="GesAbsatz"/>
      </w:pPr>
      <w:r>
        <w:t>Bericht-Nr.: 936/21221977/B vom 8. Oktober 2013</w:t>
      </w:r>
    </w:p>
    <w:p>
      <w:pPr>
        <w:pStyle w:val="GesAbsatz"/>
        <w:rPr>
          <w:b/>
        </w:rPr>
      </w:pPr>
      <w:r>
        <w:rPr>
          <w:b/>
        </w:rPr>
        <w:t>4</w:t>
      </w:r>
      <w:r>
        <w:rPr>
          <w:b/>
        </w:rPr>
        <w:tab/>
        <w:t>Stickstoffdioxid</w:t>
      </w:r>
    </w:p>
    <w:p>
      <w:pPr>
        <w:pStyle w:val="GesAbsatz"/>
        <w:rPr>
          <w:b/>
        </w:rPr>
      </w:pPr>
      <w:r>
        <w:rPr>
          <w:b/>
        </w:rPr>
        <w:t>4.1</w:t>
      </w:r>
      <w:r>
        <w:rPr>
          <w:b/>
        </w:rPr>
        <w:tab/>
        <w:t>Serinus 40 für NO, NO</w:t>
      </w:r>
      <w:r>
        <w:rPr>
          <w:b/>
          <w:vertAlign w:val="subscript"/>
        </w:rPr>
        <w:t>2</w:t>
      </w:r>
      <w:r>
        <w:rPr>
          <w:b/>
        </w:rPr>
        <w:t xml:space="preserve"> und NO</w:t>
      </w:r>
      <w:r>
        <w:rPr>
          <w:b/>
          <w:vertAlign w:val="subscript"/>
        </w:rPr>
        <w:t>x</w:t>
      </w:r>
    </w:p>
    <w:p>
      <w:pPr>
        <w:pStyle w:val="GesAbsatz"/>
      </w:pPr>
      <w:r>
        <w:t>Hersteller:</w:t>
      </w:r>
    </w:p>
    <w:p>
      <w:pPr>
        <w:pStyle w:val="GesAbsatz"/>
      </w:pPr>
      <w:r>
        <w:t>Ecotech Pty Ltd., Knoxfield, Australien</w:t>
      </w:r>
    </w:p>
    <w:p>
      <w:pPr>
        <w:pStyle w:val="GesAbsatz"/>
      </w:pPr>
      <w:r>
        <w:t>Eignung:</w:t>
      </w:r>
    </w:p>
    <w:p>
      <w:pPr>
        <w:pStyle w:val="GesAbsatz"/>
      </w:pPr>
      <w:r>
        <w:t>Zur kontinuierlichen Bestimmung der Immissionskonzentrationen von Stickstoffoxid in der Außenluft im stationären Einsatz</w:t>
      </w:r>
    </w:p>
    <w:p>
      <w:pPr>
        <w:pStyle w:val="GesAbsatz"/>
      </w:pPr>
      <w:r>
        <w:t>Messbereiche in der Eignungsprüfung:</w:t>
      </w:r>
    </w:p>
    <w:tbl>
      <w:tblPr>
        <w:tblStyle w:val="Tabellenraster"/>
        <w:tblW w:w="8046" w:type="dxa"/>
        <w:tblLook w:val="04A0" w:firstRow="1" w:lastRow="0" w:firstColumn="1" w:lastColumn="0" w:noHBand="0" w:noVBand="1"/>
      </w:tblPr>
      <w:tblGrid>
        <w:gridCol w:w="2518"/>
        <w:gridCol w:w="3119"/>
        <w:gridCol w:w="2409"/>
      </w:tblGrid>
      <w:tr>
        <w:tc>
          <w:tcPr>
            <w:tcW w:w="2518" w:type="dxa"/>
          </w:tcPr>
          <w:p>
            <w:pPr>
              <w:pStyle w:val="GesAbsatz"/>
              <w:tabs>
                <w:tab w:val="clear" w:pos="425"/>
              </w:tabs>
              <w:jc w:val="center"/>
            </w:pPr>
            <w:r>
              <w:t>Komponente</w:t>
            </w:r>
          </w:p>
        </w:tc>
        <w:tc>
          <w:tcPr>
            <w:tcW w:w="3119" w:type="dxa"/>
          </w:tcPr>
          <w:p>
            <w:pPr>
              <w:pStyle w:val="GesAbsatz"/>
              <w:tabs>
                <w:tab w:val="clear" w:pos="425"/>
              </w:tabs>
              <w:jc w:val="center"/>
            </w:pPr>
            <w:r>
              <w:t>Zertifizierungsbereich</w:t>
            </w:r>
          </w:p>
        </w:tc>
        <w:tc>
          <w:tcPr>
            <w:tcW w:w="2409" w:type="dxa"/>
          </w:tcPr>
          <w:p>
            <w:pPr>
              <w:pStyle w:val="GesAbsatz"/>
              <w:tabs>
                <w:tab w:val="clear" w:pos="425"/>
              </w:tabs>
              <w:jc w:val="center"/>
            </w:pPr>
            <w:r>
              <w:t>Einheit</w:t>
            </w:r>
          </w:p>
        </w:tc>
      </w:tr>
      <w:tr>
        <w:tc>
          <w:tcPr>
            <w:tcW w:w="2518" w:type="dxa"/>
          </w:tcPr>
          <w:p>
            <w:pPr>
              <w:pStyle w:val="GesAbsatz"/>
              <w:tabs>
                <w:tab w:val="clear" w:pos="425"/>
              </w:tabs>
            </w:pPr>
            <w:r>
              <w:t>Stickstoffmonoxid</w:t>
            </w:r>
          </w:p>
        </w:tc>
        <w:tc>
          <w:tcPr>
            <w:tcW w:w="3119" w:type="dxa"/>
          </w:tcPr>
          <w:p>
            <w:pPr>
              <w:pStyle w:val="GesAbsatz"/>
              <w:tabs>
                <w:tab w:val="clear" w:pos="425"/>
              </w:tabs>
              <w:jc w:val="center"/>
            </w:pPr>
            <w:r>
              <w:t>0 – 1 200</w:t>
            </w:r>
          </w:p>
        </w:tc>
        <w:tc>
          <w:tcPr>
            <w:tcW w:w="2409" w:type="dxa"/>
          </w:tcPr>
          <w:p>
            <w:pPr>
              <w:pStyle w:val="GesAbsatz"/>
              <w:tabs>
                <w:tab w:val="clear" w:pos="425"/>
              </w:tabs>
              <w:jc w:val="center"/>
            </w:pPr>
            <w:r>
              <w:t>μg/m³</w:t>
            </w:r>
          </w:p>
        </w:tc>
      </w:tr>
      <w:tr>
        <w:tc>
          <w:tcPr>
            <w:tcW w:w="2518" w:type="dxa"/>
          </w:tcPr>
          <w:p>
            <w:pPr>
              <w:pStyle w:val="GesAbsatz"/>
              <w:tabs>
                <w:tab w:val="clear" w:pos="425"/>
              </w:tabs>
            </w:pPr>
            <w:r>
              <w:t>Stickstoffdioxid</w:t>
            </w:r>
          </w:p>
        </w:tc>
        <w:tc>
          <w:tcPr>
            <w:tcW w:w="3119" w:type="dxa"/>
          </w:tcPr>
          <w:p>
            <w:pPr>
              <w:pStyle w:val="GesAbsatz"/>
              <w:tabs>
                <w:tab w:val="clear" w:pos="425"/>
              </w:tabs>
              <w:jc w:val="center"/>
            </w:pPr>
            <w:r>
              <w:t>0 – 500</w:t>
            </w:r>
          </w:p>
        </w:tc>
        <w:tc>
          <w:tcPr>
            <w:tcW w:w="2409" w:type="dxa"/>
          </w:tcPr>
          <w:p>
            <w:pPr>
              <w:pStyle w:val="GesAbsatz"/>
              <w:tabs>
                <w:tab w:val="clear" w:pos="425"/>
              </w:tabs>
              <w:jc w:val="center"/>
            </w:pPr>
            <w:r>
              <w:t>μg/m³</w:t>
            </w:r>
          </w:p>
        </w:tc>
      </w:tr>
    </w:tbl>
    <w:p>
      <w:pPr>
        <w:pStyle w:val="GesAbsatz"/>
      </w:pPr>
      <w:r>
        <w:t>Softwareversion: Firmware: 2.09.0005</w:t>
      </w:r>
    </w:p>
    <w:p>
      <w:pPr>
        <w:pStyle w:val="GesAbsatz"/>
      </w:pPr>
      <w:r>
        <w:t>Einschränkungen:</w:t>
      </w:r>
    </w:p>
    <w:p>
      <w:pPr>
        <w:pStyle w:val="GesAbsatz"/>
      </w:pPr>
      <w:r>
        <w:t>Keine</w:t>
      </w:r>
    </w:p>
    <w:p>
      <w:pPr>
        <w:pStyle w:val="GesAbsatz"/>
      </w:pPr>
      <w:r>
        <w:t>Hinweise:</w:t>
      </w:r>
    </w:p>
    <w:p>
      <w:pPr>
        <w:pStyle w:val="GesAbsatz"/>
      </w:pPr>
      <w:r>
        <w:t>1.</w:t>
      </w:r>
      <w:r>
        <w:tab/>
        <w:t>Die Messeinrichtung ist in einem verschließbaren Messschrank bzw. Messcontainer zu betreiben.</w:t>
      </w:r>
    </w:p>
    <w:p>
      <w:pPr>
        <w:pStyle w:val="GesAbsatz"/>
      </w:pPr>
      <w:r>
        <w:t>2.</w:t>
      </w:r>
      <w:r>
        <w:tab/>
        <w:t>Der Prüfbericht über die Eignungsprüfung ist im Internet unter www.qal1.de einsehbar.</w:t>
      </w:r>
    </w:p>
    <w:p>
      <w:pPr>
        <w:pStyle w:val="GesAbsatz"/>
      </w:pPr>
      <w:r>
        <w:t>Prüfinstitut: TÜV Rheinland Energie und Umwelt GmbH, Köln</w:t>
      </w:r>
    </w:p>
    <w:p>
      <w:pPr>
        <w:pStyle w:val="GesAbsatz"/>
      </w:pPr>
      <w:r>
        <w:t>Bericht-Nr.: 936/21221977/A vom 8. Oktober 2013</w:t>
      </w:r>
    </w:p>
    <w:p>
      <w:pPr>
        <w:pStyle w:val="GesAbsatz"/>
        <w:rPr>
          <w:b/>
        </w:rPr>
      </w:pPr>
      <w:r>
        <w:rPr>
          <w:b/>
        </w:rPr>
        <w:t>4.2</w:t>
      </w:r>
      <w:r>
        <w:rPr>
          <w:b/>
        </w:rPr>
        <w:tab/>
        <w:t>AS32M für Stickstoffdioxid</w:t>
      </w:r>
    </w:p>
    <w:p>
      <w:pPr>
        <w:pStyle w:val="GesAbsatz"/>
      </w:pPr>
      <w:r>
        <w:t>Hersteller:</w:t>
      </w:r>
    </w:p>
    <w:p>
      <w:pPr>
        <w:pStyle w:val="GesAbsatz"/>
      </w:pPr>
      <w:r>
        <w:t>Environnement S.A., Poissy, Frankreich</w:t>
      </w:r>
    </w:p>
    <w:p>
      <w:pPr>
        <w:pStyle w:val="GesAbsatz"/>
      </w:pPr>
      <w:r>
        <w:t>Eignung:</w:t>
      </w:r>
    </w:p>
    <w:p>
      <w:pPr>
        <w:pStyle w:val="GesAbsatz"/>
      </w:pPr>
      <w:r>
        <w:t>Zur kontinuierlichen Bestimmung der Immissionskonzentrationen von Stickstoffdioxid in der Außenluft im stationären Einsatz</w:t>
      </w:r>
    </w:p>
    <w:p>
      <w:pPr>
        <w:pStyle w:val="GesAbsatz"/>
      </w:pPr>
      <w:r>
        <w:t>Messbereich in der Eignungsprüfung:</w:t>
      </w:r>
    </w:p>
    <w:tbl>
      <w:tblPr>
        <w:tblStyle w:val="Tabellenraster"/>
        <w:tblW w:w="8046" w:type="dxa"/>
        <w:tblLook w:val="04A0" w:firstRow="1" w:lastRow="0" w:firstColumn="1" w:lastColumn="0" w:noHBand="0" w:noVBand="1"/>
      </w:tblPr>
      <w:tblGrid>
        <w:gridCol w:w="2518"/>
        <w:gridCol w:w="3119"/>
        <w:gridCol w:w="2409"/>
      </w:tblGrid>
      <w:tr>
        <w:tc>
          <w:tcPr>
            <w:tcW w:w="2518" w:type="dxa"/>
          </w:tcPr>
          <w:p>
            <w:pPr>
              <w:pStyle w:val="GesAbsatz"/>
              <w:tabs>
                <w:tab w:val="clear" w:pos="425"/>
              </w:tabs>
              <w:jc w:val="center"/>
            </w:pPr>
            <w:r>
              <w:t>Komponente</w:t>
            </w:r>
          </w:p>
        </w:tc>
        <w:tc>
          <w:tcPr>
            <w:tcW w:w="3119" w:type="dxa"/>
          </w:tcPr>
          <w:p>
            <w:pPr>
              <w:pStyle w:val="GesAbsatz"/>
              <w:tabs>
                <w:tab w:val="clear" w:pos="425"/>
              </w:tabs>
              <w:jc w:val="center"/>
            </w:pPr>
            <w:r>
              <w:t>Zertifizierungsbereich</w:t>
            </w:r>
          </w:p>
        </w:tc>
        <w:tc>
          <w:tcPr>
            <w:tcW w:w="2409" w:type="dxa"/>
          </w:tcPr>
          <w:p>
            <w:pPr>
              <w:pStyle w:val="GesAbsatz"/>
              <w:tabs>
                <w:tab w:val="clear" w:pos="425"/>
              </w:tabs>
              <w:jc w:val="center"/>
            </w:pPr>
            <w:r>
              <w:t>Einheit</w:t>
            </w:r>
          </w:p>
        </w:tc>
      </w:tr>
      <w:tr>
        <w:tc>
          <w:tcPr>
            <w:tcW w:w="2518" w:type="dxa"/>
          </w:tcPr>
          <w:p>
            <w:pPr>
              <w:pStyle w:val="GesAbsatz"/>
              <w:tabs>
                <w:tab w:val="clear" w:pos="425"/>
              </w:tabs>
            </w:pPr>
            <w:r>
              <w:t>Stickstoffdioxid</w:t>
            </w:r>
          </w:p>
        </w:tc>
        <w:tc>
          <w:tcPr>
            <w:tcW w:w="3119" w:type="dxa"/>
          </w:tcPr>
          <w:p>
            <w:pPr>
              <w:pStyle w:val="GesAbsatz"/>
              <w:tabs>
                <w:tab w:val="clear" w:pos="425"/>
              </w:tabs>
              <w:jc w:val="center"/>
            </w:pPr>
            <w:r>
              <w:t>0 – 500</w:t>
            </w:r>
          </w:p>
        </w:tc>
        <w:tc>
          <w:tcPr>
            <w:tcW w:w="2409" w:type="dxa"/>
          </w:tcPr>
          <w:p>
            <w:pPr>
              <w:pStyle w:val="GesAbsatz"/>
              <w:tabs>
                <w:tab w:val="clear" w:pos="425"/>
              </w:tabs>
              <w:jc w:val="center"/>
            </w:pPr>
            <w:r>
              <w:t>μg/m³</w:t>
            </w:r>
          </w:p>
        </w:tc>
      </w:tr>
    </w:tbl>
    <w:p>
      <w:pPr>
        <w:pStyle w:val="GesAbsatz"/>
      </w:pPr>
      <w:r>
        <w:t>Softwareversion: 3.6.a</w:t>
      </w:r>
    </w:p>
    <w:p>
      <w:pPr>
        <w:pStyle w:val="GesAbsatz"/>
      </w:pPr>
      <w:r>
        <w:t>Einschränkungen:</w:t>
      </w:r>
    </w:p>
    <w:p>
      <w:pPr>
        <w:pStyle w:val="GesAbsatz"/>
      </w:pPr>
      <w:r>
        <w:t>Keine</w:t>
      </w:r>
    </w:p>
    <w:p>
      <w:pPr>
        <w:pStyle w:val="GesAbsatz"/>
      </w:pPr>
      <w:r>
        <w:t>Hinweise:</w:t>
      </w:r>
    </w:p>
    <w:p>
      <w:pPr>
        <w:pStyle w:val="GesAbsatz"/>
      </w:pPr>
      <w:r>
        <w:t>1.</w:t>
      </w:r>
      <w:r>
        <w:tab/>
        <w:t>Die Messeinrichtung ist in einem verschließbaren Messcontainer zu betreiben.</w:t>
      </w:r>
    </w:p>
    <w:p>
      <w:pPr>
        <w:pStyle w:val="GesAbsatz"/>
      </w:pPr>
      <w:r>
        <w:t>2.</w:t>
      </w:r>
      <w:r>
        <w:tab/>
        <w:t>Der Prüfbericht über die Eignungsprüfung ist im Internet unter www.qal1.de einsehbar.</w:t>
      </w:r>
    </w:p>
    <w:p>
      <w:pPr>
        <w:pStyle w:val="GesAbsatz"/>
        <w:ind w:left="426" w:hanging="426"/>
      </w:pPr>
      <w:r>
        <w:t>3.</w:t>
      </w:r>
      <w:r>
        <w:tab/>
        <w:t>Die Gleichwertigkeit zum Referenzverfahren gemäß den Anforderungen des Leitfadens „Demonstration of Equivalence of Ambient Air Monitoring Methods“ wurde für die Komponente NO</w:t>
      </w:r>
      <w:r>
        <w:rPr>
          <w:vertAlign w:val="subscript"/>
        </w:rPr>
        <w:t>2</w:t>
      </w:r>
      <w:r>
        <w:t xml:space="preserve"> nachgewiesen.</w:t>
      </w:r>
    </w:p>
    <w:p>
      <w:pPr>
        <w:pStyle w:val="GesAbsatz"/>
        <w:ind w:left="426" w:hanging="426"/>
      </w:pPr>
      <w:r>
        <w:lastRenderedPageBreak/>
        <w:t>4.</w:t>
      </w:r>
      <w:r>
        <w:tab/>
        <w:t>Ergänzungsprüfung (Nachweis der Gleichwertigkeit gegenüber dem Referenzmessverfahren) zu der Bekanntmachung des Umweltbundesamtes vom 3. Juli 2013 (BAnz AT vom 23.07.2013, Kapitel III Nummer 1.1).</w:t>
      </w:r>
    </w:p>
    <w:p>
      <w:pPr>
        <w:pStyle w:val="GesAbsatz"/>
      </w:pPr>
      <w:r>
        <w:t>Prüfinstitut: TÜV Rheinland Energie und Umwelt GmbH, Köln</w:t>
      </w:r>
    </w:p>
    <w:p>
      <w:pPr>
        <w:pStyle w:val="GesAbsatz"/>
      </w:pPr>
      <w:r>
        <w:t>Bericht-Nr.: 936/21219819/B vom 9. September 2013</w:t>
      </w:r>
    </w:p>
    <w:p>
      <w:pPr>
        <w:pStyle w:val="GesAbsatz"/>
        <w:rPr>
          <w:b/>
        </w:rPr>
      </w:pPr>
      <w:r>
        <w:rPr>
          <w:b/>
        </w:rPr>
        <w:t>5</w:t>
      </w:r>
      <w:r>
        <w:rPr>
          <w:b/>
        </w:rPr>
        <w:tab/>
        <w:t>Schwebstaub (PM</w:t>
      </w:r>
      <w:r>
        <w:rPr>
          <w:b/>
          <w:vertAlign w:val="subscript"/>
        </w:rPr>
        <w:t>2,5</w:t>
      </w:r>
      <w:r>
        <w:rPr>
          <w:b/>
        </w:rPr>
        <w:t>- und PM</w:t>
      </w:r>
      <w:r>
        <w:rPr>
          <w:b/>
          <w:vertAlign w:val="subscript"/>
        </w:rPr>
        <w:t>10</w:t>
      </w:r>
      <w:r>
        <w:rPr>
          <w:b/>
        </w:rPr>
        <w:t>-Fraktion)</w:t>
      </w:r>
    </w:p>
    <w:p>
      <w:pPr>
        <w:pStyle w:val="GesAbsatz"/>
        <w:rPr>
          <w:b/>
        </w:rPr>
      </w:pPr>
      <w:r>
        <w:rPr>
          <w:b/>
        </w:rPr>
        <w:t>5.1</w:t>
      </w:r>
      <w:r>
        <w:rPr>
          <w:b/>
        </w:rPr>
        <w:tab/>
        <w:t>Fidas® 200 S für Schwebstaub PM</w:t>
      </w:r>
      <w:r>
        <w:rPr>
          <w:b/>
          <w:vertAlign w:val="subscript"/>
        </w:rPr>
        <w:t>10</w:t>
      </w:r>
      <w:r>
        <w:rPr>
          <w:b/>
        </w:rPr>
        <w:t xml:space="preserve"> und PM</w:t>
      </w:r>
      <w:r>
        <w:rPr>
          <w:b/>
          <w:vertAlign w:val="subscript"/>
        </w:rPr>
        <w:t>2,5</w:t>
      </w:r>
    </w:p>
    <w:p>
      <w:pPr>
        <w:pStyle w:val="GesAbsatz"/>
      </w:pPr>
      <w:r>
        <w:t>Hersteller:</w:t>
      </w:r>
    </w:p>
    <w:p>
      <w:pPr>
        <w:pStyle w:val="GesAbsatz"/>
      </w:pPr>
      <w:r>
        <w:t>PALAS GmbH, Karlsruhe</w:t>
      </w:r>
    </w:p>
    <w:p>
      <w:pPr>
        <w:pStyle w:val="GesAbsatz"/>
      </w:pPr>
      <w:r>
        <w:t>Eignung:</w:t>
      </w:r>
    </w:p>
    <w:p>
      <w:pPr>
        <w:pStyle w:val="GesAbsatz"/>
      </w:pPr>
      <w:r>
        <w:t>Zur kontinuierlichen parallelen Immissionsmessung der PM</w:t>
      </w:r>
      <w:r>
        <w:rPr>
          <w:vertAlign w:val="subscript"/>
        </w:rPr>
        <w:t>10</w:t>
      </w:r>
      <w:r>
        <w:t>- und der PM</w:t>
      </w:r>
      <w:r>
        <w:rPr>
          <w:vertAlign w:val="subscript"/>
        </w:rPr>
        <w:t>2,5</w:t>
      </w:r>
      <w:r>
        <w:t>-Fraktion im Schwebstaub im stationären Einsatz</w:t>
      </w:r>
    </w:p>
    <w:p>
      <w:pPr>
        <w:pStyle w:val="GesAbsatz"/>
      </w:pPr>
      <w:r>
        <w:t>Messbereiche in der Eignungsprüfung:</w:t>
      </w:r>
    </w:p>
    <w:tbl>
      <w:tblPr>
        <w:tblStyle w:val="Tabellenraster"/>
        <w:tblW w:w="8046" w:type="dxa"/>
        <w:tblLook w:val="04A0" w:firstRow="1" w:lastRow="0" w:firstColumn="1" w:lastColumn="0" w:noHBand="0" w:noVBand="1"/>
      </w:tblPr>
      <w:tblGrid>
        <w:gridCol w:w="2518"/>
        <w:gridCol w:w="3119"/>
        <w:gridCol w:w="2409"/>
      </w:tblGrid>
      <w:tr>
        <w:tc>
          <w:tcPr>
            <w:tcW w:w="2518" w:type="dxa"/>
          </w:tcPr>
          <w:p>
            <w:pPr>
              <w:pStyle w:val="GesAbsatz"/>
              <w:tabs>
                <w:tab w:val="clear" w:pos="425"/>
              </w:tabs>
              <w:jc w:val="center"/>
            </w:pPr>
            <w:r>
              <w:t>Komponente</w:t>
            </w:r>
          </w:p>
        </w:tc>
        <w:tc>
          <w:tcPr>
            <w:tcW w:w="3119" w:type="dxa"/>
          </w:tcPr>
          <w:p>
            <w:pPr>
              <w:pStyle w:val="GesAbsatz"/>
              <w:tabs>
                <w:tab w:val="clear" w:pos="425"/>
              </w:tabs>
              <w:jc w:val="center"/>
            </w:pPr>
            <w:r>
              <w:t>Zertifizierungsbereich</w:t>
            </w:r>
          </w:p>
        </w:tc>
        <w:tc>
          <w:tcPr>
            <w:tcW w:w="2409" w:type="dxa"/>
          </w:tcPr>
          <w:p>
            <w:pPr>
              <w:pStyle w:val="GesAbsatz"/>
              <w:tabs>
                <w:tab w:val="clear" w:pos="425"/>
              </w:tabs>
              <w:jc w:val="center"/>
            </w:pPr>
            <w:r>
              <w:t>Einheit</w:t>
            </w:r>
          </w:p>
        </w:tc>
      </w:tr>
      <w:tr>
        <w:tc>
          <w:tcPr>
            <w:tcW w:w="2518" w:type="dxa"/>
          </w:tcPr>
          <w:p>
            <w:pPr>
              <w:pStyle w:val="GesAbsatz"/>
              <w:tabs>
                <w:tab w:val="clear" w:pos="425"/>
              </w:tabs>
            </w:pPr>
            <w:r>
              <w:t>PM</w:t>
            </w:r>
            <w:r>
              <w:rPr>
                <w:vertAlign w:val="subscript"/>
              </w:rPr>
              <w:t>10</w:t>
            </w:r>
          </w:p>
        </w:tc>
        <w:tc>
          <w:tcPr>
            <w:tcW w:w="3119" w:type="dxa"/>
          </w:tcPr>
          <w:p>
            <w:pPr>
              <w:pStyle w:val="GesAbsatz"/>
              <w:tabs>
                <w:tab w:val="clear" w:pos="425"/>
              </w:tabs>
              <w:jc w:val="center"/>
            </w:pPr>
            <w:r>
              <w:t>0 – 10 000</w:t>
            </w:r>
          </w:p>
        </w:tc>
        <w:tc>
          <w:tcPr>
            <w:tcW w:w="2409" w:type="dxa"/>
          </w:tcPr>
          <w:p>
            <w:pPr>
              <w:pStyle w:val="GesAbsatz"/>
              <w:tabs>
                <w:tab w:val="clear" w:pos="425"/>
              </w:tabs>
              <w:jc w:val="center"/>
            </w:pPr>
            <w:r>
              <w:t>μg/m³</w:t>
            </w:r>
          </w:p>
        </w:tc>
      </w:tr>
      <w:tr>
        <w:tc>
          <w:tcPr>
            <w:tcW w:w="2518" w:type="dxa"/>
          </w:tcPr>
          <w:p>
            <w:pPr>
              <w:pStyle w:val="GesAbsatz"/>
              <w:tabs>
                <w:tab w:val="clear" w:pos="425"/>
              </w:tabs>
            </w:pPr>
            <w:r>
              <w:t>PM</w:t>
            </w:r>
            <w:r>
              <w:rPr>
                <w:vertAlign w:val="subscript"/>
              </w:rPr>
              <w:t>2,5</w:t>
            </w:r>
          </w:p>
        </w:tc>
        <w:tc>
          <w:tcPr>
            <w:tcW w:w="3119" w:type="dxa"/>
          </w:tcPr>
          <w:p>
            <w:pPr>
              <w:pStyle w:val="GesAbsatz"/>
              <w:tabs>
                <w:tab w:val="clear" w:pos="425"/>
              </w:tabs>
              <w:jc w:val="center"/>
            </w:pPr>
            <w:r>
              <w:t>0 – 10 000</w:t>
            </w:r>
          </w:p>
        </w:tc>
        <w:tc>
          <w:tcPr>
            <w:tcW w:w="2409" w:type="dxa"/>
          </w:tcPr>
          <w:p>
            <w:pPr>
              <w:pStyle w:val="GesAbsatz"/>
              <w:tabs>
                <w:tab w:val="clear" w:pos="425"/>
              </w:tabs>
              <w:jc w:val="center"/>
            </w:pPr>
            <w:r>
              <w:t>μg/m³</w:t>
            </w:r>
          </w:p>
        </w:tc>
      </w:tr>
    </w:tbl>
    <w:p>
      <w:pPr>
        <w:pStyle w:val="GesAbsatz"/>
        <w:tabs>
          <w:tab w:val="left" w:pos="2268"/>
        </w:tabs>
      </w:pPr>
      <w:r>
        <w:t>Softwareversionen:</w:t>
      </w:r>
      <w:r>
        <w:tab/>
        <w:t>Messsystem: 100327</w:t>
      </w:r>
    </w:p>
    <w:p>
      <w:pPr>
        <w:pStyle w:val="GesAbsatz"/>
        <w:ind w:left="2268"/>
      </w:pPr>
      <w:r>
        <w:t>Implementierter Auswertealgorithmus: PM_ENVIRO_0011</w:t>
      </w:r>
    </w:p>
    <w:p>
      <w:pPr>
        <w:pStyle w:val="GesAbsatz"/>
        <w:ind w:left="2268"/>
      </w:pPr>
      <w:r>
        <w:t>Auswertesoftware PDAnalyze: 1.010</w:t>
      </w:r>
    </w:p>
    <w:p>
      <w:pPr>
        <w:pStyle w:val="GesAbsatz"/>
      </w:pPr>
      <w:r>
        <w:t>Einschränkungen:</w:t>
      </w:r>
    </w:p>
    <w:p>
      <w:pPr>
        <w:pStyle w:val="GesAbsatz"/>
      </w:pPr>
      <w:r>
        <w:t>Keine</w:t>
      </w:r>
    </w:p>
    <w:p>
      <w:pPr>
        <w:pStyle w:val="GesAbsatz"/>
      </w:pPr>
      <w:r>
        <w:t>Hinweise:</w:t>
      </w:r>
    </w:p>
    <w:p>
      <w:pPr>
        <w:pStyle w:val="GesAbsatz"/>
        <w:ind w:left="426" w:hanging="426"/>
      </w:pPr>
      <w:r>
        <w:t>1.</w:t>
      </w:r>
      <w:r>
        <w:tab/>
        <w:t>Die Anforderungen gemäß des Leitfadens „Demonstration of Equivalence of Ambient Air Monitoring Methods“ werden für die Messkomponenten PM</w:t>
      </w:r>
      <w:r>
        <w:rPr>
          <w:vertAlign w:val="subscript"/>
        </w:rPr>
        <w:t>10</w:t>
      </w:r>
      <w:r>
        <w:t xml:space="preserve"> und PM</w:t>
      </w:r>
      <w:r>
        <w:rPr>
          <w:vertAlign w:val="subscript"/>
        </w:rPr>
        <w:t>2,5</w:t>
      </w:r>
      <w:r>
        <w:t xml:space="preserve"> eingehalten.</w:t>
      </w:r>
    </w:p>
    <w:p>
      <w:pPr>
        <w:pStyle w:val="GesAbsatz"/>
        <w:ind w:left="426" w:hanging="426"/>
      </w:pPr>
      <w:r>
        <w:t>2.</w:t>
      </w:r>
      <w:r>
        <w:tab/>
        <w:t>Die Anforderungen an den Variationskoeffizienten R2 gemäß Richtlinie EN 12341 wurden für den Standort Köln, Sommer für einen der beiden Prüflinge nicht eingehalten.</w:t>
      </w:r>
    </w:p>
    <w:p>
      <w:pPr>
        <w:pStyle w:val="GesAbsatz"/>
        <w:ind w:left="426" w:hanging="426"/>
      </w:pPr>
      <w:r>
        <w:t>3.</w:t>
      </w:r>
      <w:r>
        <w:tab/>
        <w:t>Die Empfindlichkeit des Partikelsensors muss monatlich mit CalDust 1100 überprüft werden.</w:t>
      </w:r>
    </w:p>
    <w:p>
      <w:pPr>
        <w:pStyle w:val="GesAbsatz"/>
        <w:ind w:left="426" w:hanging="426"/>
      </w:pPr>
      <w:r>
        <w:t>4.</w:t>
      </w:r>
      <w:r>
        <w:tab/>
        <w:t>Die Messeinrichtung ist mit dem gravimetrischen PM</w:t>
      </w:r>
      <w:r>
        <w:rPr>
          <w:vertAlign w:val="subscript"/>
        </w:rPr>
        <w:t>10</w:t>
      </w:r>
      <w:r>
        <w:t>-Referenzverfahren nach DIN EN 12341 regelmäßig am Standort zu kalibrieren.</w:t>
      </w:r>
    </w:p>
    <w:p>
      <w:pPr>
        <w:pStyle w:val="GesAbsatz"/>
        <w:ind w:left="426" w:hanging="426"/>
      </w:pPr>
      <w:r>
        <w:t>5.</w:t>
      </w:r>
      <w:r>
        <w:tab/>
        <w:t>Die Messeinrichtung ist mit dem gravimetrischen PM</w:t>
      </w:r>
      <w:r>
        <w:rPr>
          <w:vertAlign w:val="subscript"/>
        </w:rPr>
        <w:t>2,5</w:t>
      </w:r>
      <w:r>
        <w:t>-Referenzverfahren nach DIN EN 14907 regelmäßig am Standort zu kalibrieren.</w:t>
      </w:r>
    </w:p>
    <w:p>
      <w:pPr>
        <w:pStyle w:val="GesAbsatz"/>
        <w:ind w:left="426" w:hanging="426"/>
      </w:pPr>
      <w:r>
        <w:t>6.</w:t>
      </w:r>
      <w:r>
        <w:tab/>
        <w:t>Der Prüfbericht über die Eignungsprüfung ist im Internet unter www.qal1.de einsehbar.</w:t>
      </w:r>
    </w:p>
    <w:p>
      <w:pPr>
        <w:pStyle w:val="GesAbsatz"/>
      </w:pPr>
      <w:r>
        <w:t>Prüfinstitut: TÜV Rheinland Energie und Umwelt GmbH, Köln</w:t>
      </w:r>
    </w:p>
    <w:p>
      <w:pPr>
        <w:pStyle w:val="GesAbsatz"/>
      </w:pPr>
      <w:r>
        <w:t>Bericht-Nr.: 936/21218896/A vom 20. September 2013</w:t>
      </w:r>
    </w:p>
    <w:p>
      <w:pPr>
        <w:pStyle w:val="GesAbsatz"/>
        <w:rPr>
          <w:b/>
        </w:rPr>
      </w:pPr>
      <w:r>
        <w:rPr>
          <w:b/>
        </w:rPr>
        <w:t>6</w:t>
      </w:r>
      <w:r>
        <w:rPr>
          <w:b/>
        </w:rPr>
        <w:tab/>
        <w:t>Schwebstaub (PM</w:t>
      </w:r>
      <w:r>
        <w:rPr>
          <w:b/>
          <w:vertAlign w:val="subscript"/>
        </w:rPr>
        <w:t>2,5</w:t>
      </w:r>
      <w:r>
        <w:rPr>
          <w:b/>
        </w:rPr>
        <w:t>-Fraktion)</w:t>
      </w:r>
    </w:p>
    <w:p>
      <w:pPr>
        <w:pStyle w:val="GesAbsatz"/>
        <w:rPr>
          <w:b/>
        </w:rPr>
      </w:pPr>
      <w:r>
        <w:rPr>
          <w:b/>
        </w:rPr>
        <w:t>6.1</w:t>
      </w:r>
      <w:r>
        <w:rPr>
          <w:b/>
        </w:rPr>
        <w:tab/>
        <w:t>Spirant BAM 1100 mit PM</w:t>
      </w:r>
      <w:r>
        <w:rPr>
          <w:b/>
          <w:vertAlign w:val="subscript"/>
        </w:rPr>
        <w:t>2,5</w:t>
      </w:r>
      <w:r>
        <w:rPr>
          <w:b/>
        </w:rPr>
        <w:t>-Vorabscheider</w:t>
      </w:r>
    </w:p>
    <w:p>
      <w:pPr>
        <w:pStyle w:val="GesAbsatz"/>
      </w:pPr>
      <w:r>
        <w:t>Hersteller:</w:t>
      </w:r>
    </w:p>
    <w:p>
      <w:pPr>
        <w:pStyle w:val="GesAbsatz"/>
      </w:pPr>
      <w:r>
        <w:t>Ecotech Pty Ltd., Knoxfield, Australien</w:t>
      </w:r>
    </w:p>
    <w:p>
      <w:pPr>
        <w:pStyle w:val="GesAbsatz"/>
      </w:pPr>
      <w:r>
        <w:t>Eignung:</w:t>
      </w:r>
    </w:p>
    <w:p>
      <w:pPr>
        <w:pStyle w:val="GesAbsatz"/>
      </w:pPr>
      <w:r>
        <w:t>Zur kontinuierlichen Immissionsmessung der PM</w:t>
      </w:r>
      <w:r>
        <w:rPr>
          <w:vertAlign w:val="subscript"/>
        </w:rPr>
        <w:t>2,5</w:t>
      </w:r>
      <w:r>
        <w:t>-Fraktion im Schwebstaub im stationären Einsatz</w:t>
      </w:r>
    </w:p>
    <w:p>
      <w:pPr>
        <w:pStyle w:val="GesAbsatz"/>
      </w:pPr>
      <w:r>
        <w:t>Messbereich in der Eignungsprüfung:</w:t>
      </w:r>
    </w:p>
    <w:tbl>
      <w:tblPr>
        <w:tblStyle w:val="Tabellenraster"/>
        <w:tblW w:w="8046" w:type="dxa"/>
        <w:tblLook w:val="04A0" w:firstRow="1" w:lastRow="0" w:firstColumn="1" w:lastColumn="0" w:noHBand="0" w:noVBand="1"/>
      </w:tblPr>
      <w:tblGrid>
        <w:gridCol w:w="2518"/>
        <w:gridCol w:w="3119"/>
        <w:gridCol w:w="2409"/>
      </w:tblGrid>
      <w:tr>
        <w:tc>
          <w:tcPr>
            <w:tcW w:w="2518" w:type="dxa"/>
          </w:tcPr>
          <w:p>
            <w:pPr>
              <w:pStyle w:val="GesAbsatz"/>
              <w:tabs>
                <w:tab w:val="clear" w:pos="425"/>
              </w:tabs>
              <w:jc w:val="center"/>
            </w:pPr>
            <w:r>
              <w:t>Komponente</w:t>
            </w:r>
          </w:p>
        </w:tc>
        <w:tc>
          <w:tcPr>
            <w:tcW w:w="3119" w:type="dxa"/>
          </w:tcPr>
          <w:p>
            <w:pPr>
              <w:pStyle w:val="GesAbsatz"/>
              <w:tabs>
                <w:tab w:val="clear" w:pos="425"/>
              </w:tabs>
              <w:jc w:val="center"/>
            </w:pPr>
            <w:r>
              <w:t>Zertifizierungsbereich</w:t>
            </w:r>
          </w:p>
        </w:tc>
        <w:tc>
          <w:tcPr>
            <w:tcW w:w="2409" w:type="dxa"/>
          </w:tcPr>
          <w:p>
            <w:pPr>
              <w:pStyle w:val="GesAbsatz"/>
              <w:tabs>
                <w:tab w:val="clear" w:pos="425"/>
              </w:tabs>
              <w:jc w:val="center"/>
            </w:pPr>
            <w:r>
              <w:t>Einheit</w:t>
            </w:r>
          </w:p>
        </w:tc>
      </w:tr>
      <w:tr>
        <w:tc>
          <w:tcPr>
            <w:tcW w:w="2518" w:type="dxa"/>
          </w:tcPr>
          <w:p>
            <w:pPr>
              <w:pStyle w:val="GesAbsatz"/>
              <w:tabs>
                <w:tab w:val="clear" w:pos="425"/>
              </w:tabs>
            </w:pPr>
            <w:r>
              <w:t>PM</w:t>
            </w:r>
            <w:r>
              <w:rPr>
                <w:vertAlign w:val="subscript"/>
              </w:rPr>
              <w:t>2,5</w:t>
            </w:r>
          </w:p>
        </w:tc>
        <w:tc>
          <w:tcPr>
            <w:tcW w:w="3119" w:type="dxa"/>
          </w:tcPr>
          <w:p>
            <w:pPr>
              <w:pStyle w:val="GesAbsatz"/>
              <w:tabs>
                <w:tab w:val="clear" w:pos="425"/>
              </w:tabs>
              <w:jc w:val="center"/>
            </w:pPr>
            <w:r>
              <w:t>0 – 1 000</w:t>
            </w:r>
          </w:p>
        </w:tc>
        <w:tc>
          <w:tcPr>
            <w:tcW w:w="2409" w:type="dxa"/>
          </w:tcPr>
          <w:p>
            <w:pPr>
              <w:pStyle w:val="GesAbsatz"/>
              <w:tabs>
                <w:tab w:val="clear" w:pos="425"/>
              </w:tabs>
              <w:jc w:val="center"/>
            </w:pPr>
            <w:r>
              <w:t>μg/m³</w:t>
            </w:r>
          </w:p>
        </w:tc>
      </w:tr>
    </w:tbl>
    <w:p>
      <w:pPr>
        <w:pStyle w:val="GesAbsatz"/>
      </w:pPr>
      <w:r>
        <w:t>Softwareversion: Version 81237-05 V1.0.0</w:t>
      </w:r>
    </w:p>
    <w:p>
      <w:pPr>
        <w:pStyle w:val="GesAbsatz"/>
      </w:pPr>
      <w:r>
        <w:lastRenderedPageBreak/>
        <w:t>Einschränkungen:</w:t>
      </w:r>
    </w:p>
    <w:p>
      <w:pPr>
        <w:pStyle w:val="GesAbsatz"/>
      </w:pPr>
      <w:r>
        <w:t>Keine</w:t>
      </w:r>
    </w:p>
    <w:p>
      <w:pPr>
        <w:pStyle w:val="GesAbsatz"/>
      </w:pPr>
      <w:r>
        <w:t>Hinweise:</w:t>
      </w:r>
    </w:p>
    <w:p>
      <w:pPr>
        <w:pStyle w:val="GesAbsatz"/>
        <w:ind w:left="426" w:hanging="426"/>
      </w:pPr>
      <w:r>
        <w:t>1.</w:t>
      </w:r>
      <w:r>
        <w:tab/>
        <w:t>Die Anforderungen gemäß des Leitfadens „Demonstration of Equivalence of Ambient Air Monitoring Methods“ in der Version vom Januar 2010 werden für die Messkomponente PM</w:t>
      </w:r>
      <w:r>
        <w:rPr>
          <w:vertAlign w:val="subscript"/>
        </w:rPr>
        <w:t>2,5</w:t>
      </w:r>
      <w:r>
        <w:t xml:space="preserve"> eingehalten.</w:t>
      </w:r>
    </w:p>
    <w:p>
      <w:pPr>
        <w:pStyle w:val="GesAbsatz"/>
      </w:pPr>
      <w:r>
        <w:t>2.</w:t>
      </w:r>
      <w:r>
        <w:tab/>
        <w:t>Das Gerät ist zur Erfassung von PM</w:t>
      </w:r>
      <w:r>
        <w:rPr>
          <w:vertAlign w:val="subscript"/>
        </w:rPr>
        <w:t>2,5</w:t>
      </w:r>
      <w:r>
        <w:t xml:space="preserve"> mit folgenden Optionen auszustatten:</w:t>
      </w:r>
    </w:p>
    <w:p>
      <w:pPr>
        <w:pStyle w:val="GesAbsatz"/>
        <w:ind w:left="426"/>
      </w:pPr>
      <w:r>
        <w:t>Probenahmeheizung (BX-830), PM</w:t>
      </w:r>
      <w:r>
        <w:rPr>
          <w:vertAlign w:val="subscript"/>
        </w:rPr>
        <w:t>10</w:t>
      </w:r>
      <w:r>
        <w:t>-Probenahmekopf (BX-802), PM</w:t>
      </w:r>
      <w:r>
        <w:rPr>
          <w:vertAlign w:val="subscript"/>
        </w:rPr>
        <w:t>2,5</w:t>
      </w:r>
      <w:r>
        <w:t xml:space="preserve"> Sharp Cut Cyclone SCC (BX-807), kombinierter Druck- und Temperatursensor (BX-596) bzw. alternativ Umgebungstemperatursensor (BX-592).</w:t>
      </w:r>
    </w:p>
    <w:p>
      <w:pPr>
        <w:pStyle w:val="GesAbsatz"/>
        <w:ind w:left="426" w:hanging="426"/>
      </w:pPr>
      <w:r>
        <w:t>3.</w:t>
      </w:r>
      <w:r>
        <w:tab/>
        <w:t>Die Zykluszeit während der Eignungsprüfung betrug 1 h, d. h. jede Stunde wurde ein automatischer Filterwechsel durchgeführt. Jeder Filterfleck wurde nur einmal beprobt.</w:t>
      </w:r>
    </w:p>
    <w:p>
      <w:pPr>
        <w:pStyle w:val="GesAbsatz"/>
      </w:pPr>
      <w:r>
        <w:t>4.</w:t>
      </w:r>
      <w:r>
        <w:tab/>
        <w:t>Die Probenahmezeit innerhalb der Zykluszeit beträgt 42 min.</w:t>
      </w:r>
    </w:p>
    <w:p>
      <w:pPr>
        <w:pStyle w:val="GesAbsatz"/>
      </w:pPr>
      <w:r>
        <w:t>5.</w:t>
      </w:r>
      <w:r>
        <w:tab/>
        <w:t>Die Messeinrichtung ist in einem verschließbaren Messcontainer zu betreiben.</w:t>
      </w:r>
    </w:p>
    <w:p>
      <w:pPr>
        <w:pStyle w:val="GesAbsatz"/>
        <w:ind w:left="426" w:hanging="426"/>
      </w:pPr>
      <w:r>
        <w:t>6.</w:t>
      </w:r>
      <w:r>
        <w:tab/>
        <w:t>Die Messeinrichtung ist mit dem gravimetrischen PM</w:t>
      </w:r>
      <w:r>
        <w:rPr>
          <w:vertAlign w:val="subscript"/>
        </w:rPr>
        <w:t>2,5</w:t>
      </w:r>
      <w:r>
        <w:t>-Referenzverfahren nach DIN EN 14907 regelmäßig am Standort zu kalibrieren.</w:t>
      </w:r>
    </w:p>
    <w:p>
      <w:pPr>
        <w:pStyle w:val="GesAbsatz"/>
      </w:pPr>
      <w:r>
        <w:t>7.</w:t>
      </w:r>
      <w:r>
        <w:tab/>
        <w:t>Die Messeinrichtung kann optional mit der Pumpe BX-125 betrieben werden.</w:t>
      </w:r>
    </w:p>
    <w:p>
      <w:pPr>
        <w:pStyle w:val="GesAbsatz"/>
      </w:pPr>
      <w:r>
        <w:t>8.</w:t>
      </w:r>
      <w:r>
        <w:tab/>
        <w:t>Der Prüfbericht über die Eignungsprüfung ist im Internet unter www.qal1.de einsehbar.</w:t>
      </w:r>
    </w:p>
    <w:p>
      <w:pPr>
        <w:pStyle w:val="GesAbsatz"/>
      </w:pPr>
      <w:r>
        <w:t>Prüfinstitut: TÜV Rheinland Energie und Umwelt GmbH, Köln</w:t>
      </w:r>
    </w:p>
    <w:p>
      <w:pPr>
        <w:pStyle w:val="GesAbsatz"/>
      </w:pPr>
      <w:r>
        <w:t>Bericht-Nr.: 936/21222754/A vom 1. Oktober 2013</w:t>
      </w:r>
    </w:p>
    <w:p>
      <w:pPr>
        <w:pStyle w:val="GesAbsatz"/>
        <w:rPr>
          <w:b/>
        </w:rPr>
      </w:pPr>
      <w:r>
        <w:rPr>
          <w:b/>
        </w:rPr>
        <w:t>6.2</w:t>
      </w:r>
      <w:r>
        <w:rPr>
          <w:b/>
        </w:rPr>
        <w:tab/>
        <w:t>Modell 5014i Beta mit PM</w:t>
      </w:r>
      <w:r>
        <w:rPr>
          <w:b/>
          <w:vertAlign w:val="subscript"/>
        </w:rPr>
        <w:t>2,5</w:t>
      </w:r>
      <w:r>
        <w:rPr>
          <w:b/>
        </w:rPr>
        <w:t>-Vorabscheider für Schwebstaub PM</w:t>
      </w:r>
      <w:r>
        <w:rPr>
          <w:b/>
          <w:vertAlign w:val="subscript"/>
        </w:rPr>
        <w:t>2,5</w:t>
      </w:r>
    </w:p>
    <w:p>
      <w:pPr>
        <w:pStyle w:val="GesAbsatz"/>
      </w:pPr>
      <w:r>
        <w:t>Hersteller:</w:t>
      </w:r>
    </w:p>
    <w:p>
      <w:pPr>
        <w:pStyle w:val="GesAbsatz"/>
      </w:pPr>
      <w:r>
        <w:t>Thermo Fisher Scientific, Franklin, USA</w:t>
      </w:r>
    </w:p>
    <w:p>
      <w:pPr>
        <w:pStyle w:val="GesAbsatz"/>
      </w:pPr>
      <w:r>
        <w:t>Eignung:</w:t>
      </w:r>
    </w:p>
    <w:p>
      <w:pPr>
        <w:pStyle w:val="GesAbsatz"/>
      </w:pPr>
      <w:r>
        <w:t>Zur kontinuierlichen Immissionsmessung der PM</w:t>
      </w:r>
      <w:r>
        <w:rPr>
          <w:vertAlign w:val="subscript"/>
        </w:rPr>
        <w:t>2,5</w:t>
      </w:r>
      <w:r>
        <w:t>-Fraktion im Schwebstaub im stationären Einsatz</w:t>
      </w:r>
    </w:p>
    <w:p>
      <w:pPr>
        <w:pStyle w:val="GesAbsatz"/>
      </w:pPr>
      <w:r>
        <w:t>Messbereich in der Eignungsprüfung:</w:t>
      </w:r>
    </w:p>
    <w:tbl>
      <w:tblPr>
        <w:tblStyle w:val="Tabellenraster"/>
        <w:tblW w:w="8046" w:type="dxa"/>
        <w:tblLook w:val="04A0" w:firstRow="1" w:lastRow="0" w:firstColumn="1" w:lastColumn="0" w:noHBand="0" w:noVBand="1"/>
      </w:tblPr>
      <w:tblGrid>
        <w:gridCol w:w="2518"/>
        <w:gridCol w:w="3119"/>
        <w:gridCol w:w="2409"/>
      </w:tblGrid>
      <w:tr>
        <w:tc>
          <w:tcPr>
            <w:tcW w:w="2518" w:type="dxa"/>
          </w:tcPr>
          <w:p>
            <w:pPr>
              <w:pStyle w:val="GesAbsatz"/>
              <w:tabs>
                <w:tab w:val="clear" w:pos="425"/>
              </w:tabs>
              <w:jc w:val="center"/>
            </w:pPr>
            <w:r>
              <w:t>Komponente</w:t>
            </w:r>
          </w:p>
        </w:tc>
        <w:tc>
          <w:tcPr>
            <w:tcW w:w="3119" w:type="dxa"/>
          </w:tcPr>
          <w:p>
            <w:pPr>
              <w:pStyle w:val="GesAbsatz"/>
              <w:tabs>
                <w:tab w:val="clear" w:pos="425"/>
              </w:tabs>
              <w:jc w:val="center"/>
            </w:pPr>
            <w:r>
              <w:t>Zertifizierungsbereich</w:t>
            </w:r>
          </w:p>
        </w:tc>
        <w:tc>
          <w:tcPr>
            <w:tcW w:w="2409" w:type="dxa"/>
          </w:tcPr>
          <w:p>
            <w:pPr>
              <w:pStyle w:val="GesAbsatz"/>
              <w:tabs>
                <w:tab w:val="clear" w:pos="425"/>
              </w:tabs>
              <w:jc w:val="center"/>
            </w:pPr>
            <w:r>
              <w:t>Einheit</w:t>
            </w:r>
          </w:p>
        </w:tc>
      </w:tr>
      <w:tr>
        <w:tc>
          <w:tcPr>
            <w:tcW w:w="2518" w:type="dxa"/>
          </w:tcPr>
          <w:p>
            <w:pPr>
              <w:pStyle w:val="GesAbsatz"/>
              <w:tabs>
                <w:tab w:val="clear" w:pos="425"/>
              </w:tabs>
              <w:rPr>
                <w:vertAlign w:val="subscript"/>
              </w:rPr>
            </w:pPr>
            <w:r>
              <w:t>PM</w:t>
            </w:r>
            <w:r>
              <w:rPr>
                <w:vertAlign w:val="subscript"/>
              </w:rPr>
              <w:t>2,5</w:t>
            </w:r>
          </w:p>
        </w:tc>
        <w:tc>
          <w:tcPr>
            <w:tcW w:w="3119" w:type="dxa"/>
          </w:tcPr>
          <w:p>
            <w:pPr>
              <w:pStyle w:val="GesAbsatz"/>
              <w:tabs>
                <w:tab w:val="clear" w:pos="425"/>
              </w:tabs>
              <w:jc w:val="center"/>
            </w:pPr>
            <w:r>
              <w:t>0 – 1 000</w:t>
            </w:r>
          </w:p>
        </w:tc>
        <w:tc>
          <w:tcPr>
            <w:tcW w:w="2409" w:type="dxa"/>
          </w:tcPr>
          <w:p>
            <w:pPr>
              <w:pStyle w:val="GesAbsatz"/>
              <w:tabs>
                <w:tab w:val="clear" w:pos="425"/>
              </w:tabs>
              <w:jc w:val="center"/>
            </w:pPr>
            <w:r>
              <w:t>μg/m³</w:t>
            </w:r>
          </w:p>
        </w:tc>
      </w:tr>
    </w:tbl>
    <w:p>
      <w:pPr>
        <w:pStyle w:val="GesAbsatz"/>
      </w:pPr>
      <w:r>
        <w:t>Softwareversion: V02.00.00.232+</w:t>
      </w:r>
    </w:p>
    <w:p>
      <w:pPr>
        <w:pStyle w:val="GesAbsatz"/>
      </w:pPr>
      <w:r>
        <w:t>Einschränkungen:</w:t>
      </w:r>
    </w:p>
    <w:p>
      <w:pPr>
        <w:pStyle w:val="GesAbsatz"/>
      </w:pPr>
      <w:r>
        <w:t>Keine</w:t>
      </w:r>
    </w:p>
    <w:p>
      <w:pPr>
        <w:pStyle w:val="GesAbsatz"/>
      </w:pPr>
      <w:r>
        <w:t>Hinweise:</w:t>
      </w:r>
    </w:p>
    <w:p>
      <w:pPr>
        <w:pStyle w:val="GesAbsatz"/>
        <w:ind w:left="426" w:hanging="426"/>
      </w:pPr>
      <w:r>
        <w:t>1.</w:t>
      </w:r>
      <w:r>
        <w:tab/>
        <w:t>Die Anforderungen gemäß des Leitfadens „Demonstration of Equivalence of Ambient Air Monitoring Methods“ werden für die Messkomponente PM</w:t>
      </w:r>
      <w:r>
        <w:rPr>
          <w:vertAlign w:val="subscript"/>
        </w:rPr>
        <w:t>2,5</w:t>
      </w:r>
      <w:r>
        <w:t xml:space="preserve"> eingehalten.</w:t>
      </w:r>
    </w:p>
    <w:p>
      <w:pPr>
        <w:pStyle w:val="GesAbsatz"/>
        <w:ind w:left="426" w:hanging="426"/>
      </w:pPr>
      <w:r>
        <w:t>2.</w:t>
      </w:r>
      <w:r>
        <w:tab/>
        <w:t>Die Messeinrichtung ist in einem verschließbaren Messcontainer zu betreiben.</w:t>
      </w:r>
    </w:p>
    <w:p>
      <w:pPr>
        <w:pStyle w:val="GesAbsatz"/>
        <w:ind w:left="426" w:hanging="426"/>
      </w:pPr>
      <w:r>
        <w:t>3.</w:t>
      </w:r>
      <w:r>
        <w:tab/>
        <w:t>Die Messeinrichtung ist mit dem gravimetrischen PM</w:t>
      </w:r>
      <w:r>
        <w:rPr>
          <w:vertAlign w:val="subscript"/>
        </w:rPr>
        <w:t>2,5</w:t>
      </w:r>
      <w:r>
        <w:t>-Referenzverfahren nach DIN EN 14907 regelmäßig am Standort zu kalibrieren.</w:t>
      </w:r>
    </w:p>
    <w:p>
      <w:pPr>
        <w:pStyle w:val="GesAbsatz"/>
        <w:ind w:left="426" w:hanging="426"/>
      </w:pPr>
      <w:r>
        <w:t>4.</w:t>
      </w:r>
      <w:r>
        <w:tab/>
        <w:t>Es wird empfohlen, die Messeinrichtung mit einem Schwellwert für die relative Luftfeuchte von 58% zu betreiben, insbesondere an Standorten mit signifikant hohen Anteilen von Volatilen am Schwebstaub.</w:t>
      </w:r>
    </w:p>
    <w:p>
      <w:pPr>
        <w:pStyle w:val="GesAbsatz"/>
      </w:pPr>
      <w:r>
        <w:t>5.</w:t>
      </w:r>
      <w:r>
        <w:tab/>
        <w:t>Der Prüfbericht über die Eignungsprüfung ist im Internet unter www.qal1.de einsehbar.</w:t>
      </w:r>
    </w:p>
    <w:p>
      <w:pPr>
        <w:pStyle w:val="GesAbsatz"/>
      </w:pPr>
      <w:r>
        <w:t>Prüfinstitut: TÜV Rheinland Energie und Umwelt GmbH, Köln</w:t>
      </w:r>
    </w:p>
    <w:p>
      <w:pPr>
        <w:pStyle w:val="GesAbsatz"/>
      </w:pPr>
      <w:r>
        <w:t>Bericht-Nr.: 936/21209885/H vom 20. September 2013</w:t>
      </w:r>
    </w:p>
    <w:p>
      <w:pPr>
        <w:pStyle w:val="GesAbsatz"/>
        <w:rPr>
          <w:b/>
        </w:rPr>
      </w:pPr>
      <w:r>
        <w:rPr>
          <w:b/>
        </w:rPr>
        <w:t>6.3</w:t>
      </w:r>
      <w:r>
        <w:rPr>
          <w:b/>
        </w:rPr>
        <w:tab/>
        <w:t>Modell 5030i SHARP mit PM</w:t>
      </w:r>
      <w:r>
        <w:rPr>
          <w:b/>
          <w:vertAlign w:val="subscript"/>
        </w:rPr>
        <w:t>2,5</w:t>
      </w:r>
      <w:r>
        <w:rPr>
          <w:b/>
        </w:rPr>
        <w:t>-Vorabscheider für Schwebstaub PM</w:t>
      </w:r>
      <w:r>
        <w:rPr>
          <w:b/>
          <w:vertAlign w:val="subscript"/>
        </w:rPr>
        <w:t>2,5</w:t>
      </w:r>
    </w:p>
    <w:p>
      <w:pPr>
        <w:pStyle w:val="GesAbsatz"/>
      </w:pPr>
      <w:r>
        <w:t>Hersteller:</w:t>
      </w:r>
    </w:p>
    <w:p>
      <w:pPr>
        <w:pStyle w:val="GesAbsatz"/>
      </w:pPr>
      <w:r>
        <w:t>Thermo Fisher Scientific, Franklin, USA</w:t>
      </w:r>
    </w:p>
    <w:p>
      <w:pPr>
        <w:pStyle w:val="GesAbsatz"/>
      </w:pPr>
      <w:r>
        <w:t>Eignung:</w:t>
      </w:r>
    </w:p>
    <w:p>
      <w:pPr>
        <w:pStyle w:val="GesAbsatz"/>
      </w:pPr>
      <w:r>
        <w:t>Zur kontinuierlichen Immissionsmessung der PM</w:t>
      </w:r>
      <w:r>
        <w:rPr>
          <w:vertAlign w:val="subscript"/>
        </w:rPr>
        <w:t>2,5</w:t>
      </w:r>
      <w:r>
        <w:t>-Fraktion im Schwebstaub im stationären Einsatz</w:t>
      </w:r>
    </w:p>
    <w:p>
      <w:pPr>
        <w:pStyle w:val="GesAbsatz"/>
      </w:pPr>
      <w:r>
        <w:lastRenderedPageBreak/>
        <w:t>Messbereich in der Eignungsprüfung:</w:t>
      </w:r>
    </w:p>
    <w:tbl>
      <w:tblPr>
        <w:tblStyle w:val="Tabellenraster"/>
        <w:tblW w:w="8046" w:type="dxa"/>
        <w:tblLook w:val="04A0" w:firstRow="1" w:lastRow="0" w:firstColumn="1" w:lastColumn="0" w:noHBand="0" w:noVBand="1"/>
      </w:tblPr>
      <w:tblGrid>
        <w:gridCol w:w="2518"/>
        <w:gridCol w:w="3119"/>
        <w:gridCol w:w="2409"/>
      </w:tblGrid>
      <w:tr>
        <w:tc>
          <w:tcPr>
            <w:tcW w:w="2518" w:type="dxa"/>
          </w:tcPr>
          <w:p>
            <w:pPr>
              <w:pStyle w:val="GesAbsatz"/>
              <w:tabs>
                <w:tab w:val="clear" w:pos="425"/>
              </w:tabs>
              <w:jc w:val="center"/>
            </w:pPr>
            <w:r>
              <w:t>Komponente</w:t>
            </w:r>
          </w:p>
        </w:tc>
        <w:tc>
          <w:tcPr>
            <w:tcW w:w="3119" w:type="dxa"/>
          </w:tcPr>
          <w:p>
            <w:pPr>
              <w:pStyle w:val="GesAbsatz"/>
              <w:tabs>
                <w:tab w:val="clear" w:pos="425"/>
              </w:tabs>
              <w:jc w:val="center"/>
            </w:pPr>
            <w:r>
              <w:t>Zertifizierungsbereich</w:t>
            </w:r>
          </w:p>
        </w:tc>
        <w:tc>
          <w:tcPr>
            <w:tcW w:w="2409" w:type="dxa"/>
          </w:tcPr>
          <w:p>
            <w:pPr>
              <w:pStyle w:val="GesAbsatz"/>
              <w:tabs>
                <w:tab w:val="clear" w:pos="425"/>
              </w:tabs>
              <w:jc w:val="center"/>
            </w:pPr>
            <w:r>
              <w:t>Einheit</w:t>
            </w:r>
          </w:p>
        </w:tc>
      </w:tr>
      <w:tr>
        <w:tc>
          <w:tcPr>
            <w:tcW w:w="2518" w:type="dxa"/>
          </w:tcPr>
          <w:p>
            <w:pPr>
              <w:pStyle w:val="GesAbsatz"/>
              <w:tabs>
                <w:tab w:val="clear" w:pos="425"/>
              </w:tabs>
              <w:rPr>
                <w:vertAlign w:val="subscript"/>
              </w:rPr>
            </w:pPr>
            <w:r>
              <w:t>PM</w:t>
            </w:r>
            <w:r>
              <w:rPr>
                <w:vertAlign w:val="subscript"/>
              </w:rPr>
              <w:t>2,5</w:t>
            </w:r>
          </w:p>
        </w:tc>
        <w:tc>
          <w:tcPr>
            <w:tcW w:w="3119" w:type="dxa"/>
          </w:tcPr>
          <w:p>
            <w:pPr>
              <w:pStyle w:val="GesAbsatz"/>
              <w:tabs>
                <w:tab w:val="clear" w:pos="425"/>
              </w:tabs>
              <w:jc w:val="center"/>
            </w:pPr>
            <w:r>
              <w:t>0 – 1 000</w:t>
            </w:r>
          </w:p>
        </w:tc>
        <w:tc>
          <w:tcPr>
            <w:tcW w:w="2409" w:type="dxa"/>
          </w:tcPr>
          <w:p>
            <w:pPr>
              <w:pStyle w:val="GesAbsatz"/>
              <w:tabs>
                <w:tab w:val="clear" w:pos="425"/>
              </w:tabs>
              <w:jc w:val="center"/>
            </w:pPr>
            <w:r>
              <w:t>μg/m³</w:t>
            </w:r>
          </w:p>
        </w:tc>
      </w:tr>
    </w:tbl>
    <w:p>
      <w:pPr>
        <w:pStyle w:val="GesAbsatz"/>
      </w:pPr>
      <w:r>
        <w:t>Softwareversion: V02.00.00.232+</w:t>
      </w:r>
    </w:p>
    <w:p>
      <w:pPr>
        <w:pStyle w:val="GesAbsatz"/>
      </w:pPr>
      <w:r>
        <w:t>Einschränkungen:</w:t>
      </w:r>
    </w:p>
    <w:p>
      <w:pPr>
        <w:pStyle w:val="GesAbsatz"/>
      </w:pPr>
      <w:r>
        <w:t>Keine</w:t>
      </w:r>
    </w:p>
    <w:p>
      <w:pPr>
        <w:pStyle w:val="GesAbsatz"/>
      </w:pPr>
      <w:r>
        <w:t>Hinweise:</w:t>
      </w:r>
    </w:p>
    <w:p>
      <w:pPr>
        <w:pStyle w:val="GesAbsatz"/>
        <w:ind w:left="426" w:hanging="426"/>
      </w:pPr>
      <w:r>
        <w:t>1.</w:t>
      </w:r>
      <w:r>
        <w:tab/>
        <w:t>Die Anforderungen gemäß des Leitfadens „Demonstration of Equivalence of Ambient Air Monitoring Methods“ werden für die Messkomponente PM</w:t>
      </w:r>
      <w:r>
        <w:rPr>
          <w:vertAlign w:val="subscript"/>
        </w:rPr>
        <w:t>2,5</w:t>
      </w:r>
      <w:r>
        <w:t xml:space="preserve"> eingehalten.</w:t>
      </w:r>
    </w:p>
    <w:p>
      <w:pPr>
        <w:pStyle w:val="GesAbsatz"/>
        <w:ind w:left="426" w:hanging="426"/>
      </w:pPr>
      <w:r>
        <w:t>2.</w:t>
      </w:r>
      <w:r>
        <w:tab/>
        <w:t>Die Messeinrichtung ist in einem verschließbaren Messcontainer zu betreiben.</w:t>
      </w:r>
    </w:p>
    <w:p>
      <w:pPr>
        <w:pStyle w:val="GesAbsatz"/>
        <w:ind w:left="426" w:hanging="426"/>
      </w:pPr>
      <w:r>
        <w:t>3.</w:t>
      </w:r>
      <w:r>
        <w:tab/>
        <w:t>Die Messeinrichtung ist mit dem gravimetrischen PM</w:t>
      </w:r>
      <w:r>
        <w:rPr>
          <w:vertAlign w:val="subscript"/>
        </w:rPr>
        <w:t>2,5</w:t>
      </w:r>
      <w:r>
        <w:t>-Referenzverfahren nach DIN EN 14907 regelmäßig am Standort zu kalibrieren.</w:t>
      </w:r>
    </w:p>
    <w:p>
      <w:pPr>
        <w:pStyle w:val="GesAbsatz"/>
        <w:ind w:left="426" w:hanging="426"/>
      </w:pPr>
      <w:r>
        <w:t>4.</w:t>
      </w:r>
      <w:r>
        <w:tab/>
        <w:t>Es wird empfohlen, die Messeinrichtung mit einem Schwellwert für die relative Luftfeuchte von 58% zu betreiben, insbesondere an Standorten mit signifikant hohen Anteilen von Volatilen am Schwebstaub.</w:t>
      </w:r>
    </w:p>
    <w:p>
      <w:pPr>
        <w:pStyle w:val="GesAbsatz"/>
      </w:pPr>
      <w:r>
        <w:t>5.</w:t>
      </w:r>
      <w:r>
        <w:tab/>
        <w:t>Der Prüfbericht über die Eignungsprüfung ist im Internet unter www.qal1.de einsehbar.</w:t>
      </w:r>
    </w:p>
    <w:p>
      <w:pPr>
        <w:pStyle w:val="GesAbsatz"/>
      </w:pPr>
      <w:r>
        <w:t>Prüfinstitut: TÜV Rheinland Energie und Umwelt GmbH, Köln</w:t>
      </w:r>
    </w:p>
    <w:p>
      <w:pPr>
        <w:pStyle w:val="GesAbsatz"/>
      </w:pPr>
      <w:r>
        <w:t>Bericht-Nr.: 936/21209885/F vom 20. September 2013</w:t>
      </w:r>
    </w:p>
    <w:p>
      <w:pPr>
        <w:pStyle w:val="GesAbsatz"/>
        <w:rPr>
          <w:b/>
        </w:rPr>
      </w:pPr>
      <w:r>
        <w:rPr>
          <w:b/>
        </w:rPr>
        <w:t>7</w:t>
      </w:r>
      <w:r>
        <w:rPr>
          <w:b/>
        </w:rPr>
        <w:tab/>
        <w:t>Schwebstaub (PM</w:t>
      </w:r>
      <w:r>
        <w:rPr>
          <w:b/>
          <w:vertAlign w:val="subscript"/>
        </w:rPr>
        <w:t>10</w:t>
      </w:r>
      <w:r>
        <w:rPr>
          <w:b/>
        </w:rPr>
        <w:t>-Fraktion)</w:t>
      </w:r>
    </w:p>
    <w:p>
      <w:pPr>
        <w:pStyle w:val="GesAbsatz"/>
        <w:rPr>
          <w:b/>
        </w:rPr>
      </w:pPr>
      <w:r>
        <w:rPr>
          <w:b/>
        </w:rPr>
        <w:t>7.1</w:t>
      </w:r>
      <w:r>
        <w:rPr>
          <w:b/>
        </w:rPr>
        <w:tab/>
        <w:t>Spirant BAM 1000 mit PM</w:t>
      </w:r>
      <w:r>
        <w:rPr>
          <w:b/>
          <w:vertAlign w:val="subscript"/>
        </w:rPr>
        <w:t>10</w:t>
      </w:r>
      <w:r>
        <w:rPr>
          <w:b/>
        </w:rPr>
        <w:t>-Vorabscheider</w:t>
      </w:r>
    </w:p>
    <w:p>
      <w:pPr>
        <w:pStyle w:val="GesAbsatz"/>
      </w:pPr>
      <w:r>
        <w:t>Hersteller:</w:t>
      </w:r>
    </w:p>
    <w:p>
      <w:pPr>
        <w:pStyle w:val="GesAbsatz"/>
      </w:pPr>
      <w:r>
        <w:t>Ecotech Pty Ltd., Knoxfield, Australien</w:t>
      </w:r>
    </w:p>
    <w:p>
      <w:pPr>
        <w:pStyle w:val="GesAbsatz"/>
      </w:pPr>
      <w:r>
        <w:t>Eignung:</w:t>
      </w:r>
    </w:p>
    <w:p>
      <w:pPr>
        <w:pStyle w:val="GesAbsatz"/>
      </w:pPr>
      <w:r>
        <w:t>Zur kontinuierlichen Immissionsmessung der PM</w:t>
      </w:r>
      <w:r>
        <w:rPr>
          <w:vertAlign w:val="subscript"/>
        </w:rPr>
        <w:t>10</w:t>
      </w:r>
      <w:r>
        <w:t>-Fraktion im Schwebstaub im stationären Einsatz</w:t>
      </w:r>
    </w:p>
    <w:p>
      <w:pPr>
        <w:pStyle w:val="GesAbsatz"/>
      </w:pPr>
      <w:r>
        <w:t>Messbereich in der Eignungsprüfung:</w:t>
      </w:r>
    </w:p>
    <w:tbl>
      <w:tblPr>
        <w:tblStyle w:val="Tabellenraster"/>
        <w:tblW w:w="8046" w:type="dxa"/>
        <w:tblLook w:val="04A0" w:firstRow="1" w:lastRow="0" w:firstColumn="1" w:lastColumn="0" w:noHBand="0" w:noVBand="1"/>
      </w:tblPr>
      <w:tblGrid>
        <w:gridCol w:w="2518"/>
        <w:gridCol w:w="3119"/>
        <w:gridCol w:w="2409"/>
      </w:tblGrid>
      <w:tr>
        <w:tc>
          <w:tcPr>
            <w:tcW w:w="2518" w:type="dxa"/>
          </w:tcPr>
          <w:p>
            <w:pPr>
              <w:pStyle w:val="GesAbsatz"/>
              <w:tabs>
                <w:tab w:val="clear" w:pos="425"/>
              </w:tabs>
              <w:jc w:val="center"/>
            </w:pPr>
            <w:r>
              <w:t>Komponente</w:t>
            </w:r>
          </w:p>
        </w:tc>
        <w:tc>
          <w:tcPr>
            <w:tcW w:w="3119" w:type="dxa"/>
          </w:tcPr>
          <w:p>
            <w:pPr>
              <w:pStyle w:val="GesAbsatz"/>
              <w:tabs>
                <w:tab w:val="clear" w:pos="425"/>
              </w:tabs>
              <w:jc w:val="center"/>
            </w:pPr>
            <w:r>
              <w:t>Zertifizierungsbereich</w:t>
            </w:r>
          </w:p>
        </w:tc>
        <w:tc>
          <w:tcPr>
            <w:tcW w:w="2409" w:type="dxa"/>
          </w:tcPr>
          <w:p>
            <w:pPr>
              <w:pStyle w:val="GesAbsatz"/>
              <w:tabs>
                <w:tab w:val="clear" w:pos="425"/>
              </w:tabs>
              <w:jc w:val="center"/>
            </w:pPr>
            <w:r>
              <w:t>Einheit</w:t>
            </w:r>
          </w:p>
        </w:tc>
      </w:tr>
      <w:tr>
        <w:tc>
          <w:tcPr>
            <w:tcW w:w="2518" w:type="dxa"/>
          </w:tcPr>
          <w:p>
            <w:pPr>
              <w:pStyle w:val="GesAbsatz"/>
              <w:tabs>
                <w:tab w:val="clear" w:pos="425"/>
              </w:tabs>
            </w:pPr>
            <w:r>
              <w:t>PM</w:t>
            </w:r>
            <w:r>
              <w:rPr>
                <w:vertAlign w:val="subscript"/>
              </w:rPr>
              <w:t>10</w:t>
            </w:r>
          </w:p>
        </w:tc>
        <w:tc>
          <w:tcPr>
            <w:tcW w:w="3119" w:type="dxa"/>
          </w:tcPr>
          <w:p>
            <w:pPr>
              <w:pStyle w:val="GesAbsatz"/>
              <w:tabs>
                <w:tab w:val="clear" w:pos="425"/>
              </w:tabs>
              <w:jc w:val="center"/>
            </w:pPr>
            <w:r>
              <w:t>0 – 1 000</w:t>
            </w:r>
          </w:p>
        </w:tc>
        <w:tc>
          <w:tcPr>
            <w:tcW w:w="2409" w:type="dxa"/>
          </w:tcPr>
          <w:p>
            <w:pPr>
              <w:pStyle w:val="GesAbsatz"/>
              <w:tabs>
                <w:tab w:val="clear" w:pos="425"/>
              </w:tabs>
              <w:jc w:val="center"/>
            </w:pPr>
            <w:r>
              <w:t>μg/m³</w:t>
            </w:r>
          </w:p>
        </w:tc>
      </w:tr>
    </w:tbl>
    <w:p>
      <w:pPr>
        <w:pStyle w:val="GesAbsatz"/>
      </w:pPr>
      <w:r>
        <w:t>Softwareversion: Version 81236-02 V1.0.0</w:t>
      </w:r>
    </w:p>
    <w:p>
      <w:pPr>
        <w:pStyle w:val="GesAbsatz"/>
      </w:pPr>
      <w:r>
        <w:t>Einschränkungen:</w:t>
      </w:r>
    </w:p>
    <w:p>
      <w:pPr>
        <w:pStyle w:val="GesAbsatz"/>
      </w:pPr>
      <w:r>
        <w:t>Keine</w:t>
      </w:r>
    </w:p>
    <w:p>
      <w:pPr>
        <w:pStyle w:val="GesAbsatz"/>
      </w:pPr>
      <w:r>
        <w:t>Hinweise:</w:t>
      </w:r>
    </w:p>
    <w:p>
      <w:pPr>
        <w:pStyle w:val="GesAbsatz"/>
        <w:ind w:left="426" w:hanging="426"/>
      </w:pPr>
      <w:r>
        <w:t>1.</w:t>
      </w:r>
      <w:r>
        <w:tab/>
        <w:t>Das Gerät ist zur Erfassung von PM</w:t>
      </w:r>
      <w:r>
        <w:rPr>
          <w:vertAlign w:val="subscript"/>
        </w:rPr>
        <w:t>10</w:t>
      </w:r>
      <w:r>
        <w:t xml:space="preserve"> mindestens mit folgenden Optionen auszustatten: Probenahmeheizung (BX-830), Probenahmekopf (BX-802) und Umgebungstemperatursensor (BX-592).</w:t>
      </w:r>
    </w:p>
    <w:p>
      <w:pPr>
        <w:pStyle w:val="GesAbsatz"/>
        <w:ind w:left="426" w:hanging="426"/>
      </w:pPr>
      <w:r>
        <w:t>2.</w:t>
      </w:r>
      <w:r>
        <w:tab/>
        <w:t>Die Heizung darf nur in der während der Eignungsprüfung verwendeten Betriebsweise eingesetzt werden.</w:t>
      </w:r>
    </w:p>
    <w:p>
      <w:pPr>
        <w:pStyle w:val="GesAbsatz"/>
        <w:ind w:left="426" w:hanging="426"/>
      </w:pPr>
      <w:r>
        <w:t>3.</w:t>
      </w:r>
      <w:r>
        <w:tab/>
        <w:t>Die Volumenstromregelung hat auf Betriebsvolumen in Bezug auf die Umgebungsbedingungen zu erfolgen (Betriebsart ACTUAL).</w:t>
      </w:r>
    </w:p>
    <w:p>
      <w:pPr>
        <w:pStyle w:val="GesAbsatz"/>
        <w:ind w:left="426" w:hanging="426"/>
      </w:pPr>
      <w:r>
        <w:t>4.</w:t>
      </w:r>
      <w:r>
        <w:tab/>
        <w:t>Die Zykluszeit während der Eignungsprüfung betrug 1 h, d. h. jede Stunde wurde ein automatischer Filterwechsel durchgeführt. Jeder Filterfleck wurde nur einmal beprobt.</w:t>
      </w:r>
    </w:p>
    <w:p>
      <w:pPr>
        <w:pStyle w:val="GesAbsatz"/>
        <w:ind w:left="426" w:hanging="426"/>
      </w:pPr>
      <w:r>
        <w:t>5.</w:t>
      </w:r>
      <w:r>
        <w:tab/>
        <w:t>Die Messeinrichtung ist in einem verschließbaren Messcontainer zu betreiben.</w:t>
      </w:r>
    </w:p>
    <w:p>
      <w:pPr>
        <w:pStyle w:val="GesAbsatz"/>
        <w:ind w:left="426" w:hanging="426"/>
      </w:pPr>
      <w:r>
        <w:t>6.</w:t>
      </w:r>
      <w:r>
        <w:tab/>
        <w:t>Die Messeinrichtung ist mit dem gravimetrischen PM</w:t>
      </w:r>
      <w:r>
        <w:rPr>
          <w:vertAlign w:val="subscript"/>
        </w:rPr>
        <w:t>10</w:t>
      </w:r>
      <w:r>
        <w:t>-Referenzverfahren nach DIN EN 12341 regelmäßig am Standort zu kalibrieren.</w:t>
      </w:r>
    </w:p>
    <w:p>
      <w:pPr>
        <w:pStyle w:val="GesAbsatz"/>
        <w:ind w:left="426" w:hanging="426"/>
      </w:pPr>
      <w:r>
        <w:t>7.</w:t>
      </w:r>
      <w:r>
        <w:tab/>
        <w:t>Die Messeinrichtung kann optional mit der Pumpe BX-125 betrieben werden.</w:t>
      </w:r>
    </w:p>
    <w:p>
      <w:pPr>
        <w:pStyle w:val="GesAbsatz"/>
        <w:ind w:left="426" w:hanging="426"/>
      </w:pPr>
      <w:r>
        <w:t>8.</w:t>
      </w:r>
      <w:r>
        <w:tab/>
        <w:t>Die Messeinrichtung erfüllt die Anforderungen der DIN EN 12341 sowie des Leitfadens „Demonstration of Equivalence of Ambient Air Monitoring Methods“ in der Version vom Januar 2010.</w:t>
      </w:r>
    </w:p>
    <w:p>
      <w:pPr>
        <w:pStyle w:val="GesAbsatz"/>
      </w:pPr>
      <w:r>
        <w:t>9.</w:t>
      </w:r>
      <w:r>
        <w:tab/>
        <w:t>Der Prüfbericht über die Eignungsprüfung ist im Internet unter www.qal1.de einsehbar.</w:t>
      </w:r>
    </w:p>
    <w:p>
      <w:pPr>
        <w:pStyle w:val="GesAbsatz"/>
      </w:pPr>
      <w:r>
        <w:t>Prüfinstitut: TÜV Rheinland Energie und Umwelt GmbH, Köln</w:t>
      </w:r>
    </w:p>
    <w:p>
      <w:pPr>
        <w:pStyle w:val="GesAbsatz"/>
      </w:pPr>
      <w:r>
        <w:lastRenderedPageBreak/>
        <w:t>Bericht-Nr.: 936/21222754/B vom 1. Oktober 2013</w:t>
      </w:r>
    </w:p>
    <w:p>
      <w:pPr>
        <w:pStyle w:val="GesAbsatz"/>
        <w:rPr>
          <w:b/>
        </w:rPr>
      </w:pPr>
      <w:r>
        <w:rPr>
          <w:b/>
        </w:rPr>
        <w:t>7.2</w:t>
      </w:r>
      <w:r>
        <w:rPr>
          <w:b/>
        </w:rPr>
        <w:tab/>
        <w:t>Modell 5014i Beta mit PM</w:t>
      </w:r>
      <w:r>
        <w:rPr>
          <w:b/>
          <w:vertAlign w:val="subscript"/>
        </w:rPr>
        <w:t>10</w:t>
      </w:r>
      <w:r>
        <w:rPr>
          <w:b/>
        </w:rPr>
        <w:t>-Vorabscheider für Schwebstaub PM</w:t>
      </w:r>
      <w:r>
        <w:rPr>
          <w:b/>
          <w:vertAlign w:val="subscript"/>
        </w:rPr>
        <w:t>10</w:t>
      </w:r>
    </w:p>
    <w:p>
      <w:pPr>
        <w:pStyle w:val="GesAbsatz"/>
      </w:pPr>
      <w:r>
        <w:t>Hersteller:</w:t>
      </w:r>
    </w:p>
    <w:p>
      <w:pPr>
        <w:pStyle w:val="GesAbsatz"/>
      </w:pPr>
      <w:r>
        <w:t>Thermo Fisher Scientific, Franklin, USA</w:t>
      </w:r>
    </w:p>
    <w:p>
      <w:pPr>
        <w:pStyle w:val="GesAbsatz"/>
      </w:pPr>
      <w:r>
        <w:t>Eignung:</w:t>
      </w:r>
    </w:p>
    <w:p>
      <w:pPr>
        <w:pStyle w:val="GesAbsatz"/>
      </w:pPr>
      <w:r>
        <w:t>Zur kontinuierlichen Immissionsmessung der PM</w:t>
      </w:r>
      <w:r>
        <w:rPr>
          <w:vertAlign w:val="subscript"/>
        </w:rPr>
        <w:t>10</w:t>
      </w:r>
      <w:r>
        <w:t>-Fraktion im Schwebstaub im stationären Einsatz</w:t>
      </w:r>
    </w:p>
    <w:p>
      <w:pPr>
        <w:pStyle w:val="GesAbsatz"/>
      </w:pPr>
      <w:r>
        <w:t>Messbereich in der Eignungsprüfung:</w:t>
      </w:r>
    </w:p>
    <w:tbl>
      <w:tblPr>
        <w:tblStyle w:val="Tabellenraster"/>
        <w:tblW w:w="8046" w:type="dxa"/>
        <w:tblLook w:val="04A0" w:firstRow="1" w:lastRow="0" w:firstColumn="1" w:lastColumn="0" w:noHBand="0" w:noVBand="1"/>
      </w:tblPr>
      <w:tblGrid>
        <w:gridCol w:w="2518"/>
        <w:gridCol w:w="3119"/>
        <w:gridCol w:w="2409"/>
      </w:tblGrid>
      <w:tr>
        <w:tc>
          <w:tcPr>
            <w:tcW w:w="2518" w:type="dxa"/>
          </w:tcPr>
          <w:p>
            <w:pPr>
              <w:pStyle w:val="GesAbsatz"/>
              <w:tabs>
                <w:tab w:val="clear" w:pos="425"/>
              </w:tabs>
              <w:jc w:val="center"/>
            </w:pPr>
            <w:r>
              <w:t>Komponente</w:t>
            </w:r>
          </w:p>
        </w:tc>
        <w:tc>
          <w:tcPr>
            <w:tcW w:w="3119" w:type="dxa"/>
          </w:tcPr>
          <w:p>
            <w:pPr>
              <w:pStyle w:val="GesAbsatz"/>
              <w:tabs>
                <w:tab w:val="clear" w:pos="425"/>
              </w:tabs>
              <w:jc w:val="center"/>
            </w:pPr>
            <w:r>
              <w:t>Zertifizierungsbereich</w:t>
            </w:r>
          </w:p>
        </w:tc>
        <w:tc>
          <w:tcPr>
            <w:tcW w:w="2409" w:type="dxa"/>
          </w:tcPr>
          <w:p>
            <w:pPr>
              <w:pStyle w:val="GesAbsatz"/>
              <w:tabs>
                <w:tab w:val="clear" w:pos="425"/>
              </w:tabs>
              <w:jc w:val="center"/>
            </w:pPr>
            <w:r>
              <w:t>Einheit</w:t>
            </w:r>
          </w:p>
        </w:tc>
      </w:tr>
      <w:tr>
        <w:tc>
          <w:tcPr>
            <w:tcW w:w="2518" w:type="dxa"/>
          </w:tcPr>
          <w:p>
            <w:pPr>
              <w:pStyle w:val="GesAbsatz"/>
              <w:tabs>
                <w:tab w:val="clear" w:pos="425"/>
              </w:tabs>
            </w:pPr>
            <w:r>
              <w:t>PM</w:t>
            </w:r>
            <w:r>
              <w:rPr>
                <w:vertAlign w:val="subscript"/>
              </w:rPr>
              <w:t>10</w:t>
            </w:r>
          </w:p>
        </w:tc>
        <w:tc>
          <w:tcPr>
            <w:tcW w:w="3119" w:type="dxa"/>
          </w:tcPr>
          <w:p>
            <w:pPr>
              <w:pStyle w:val="GesAbsatz"/>
              <w:tabs>
                <w:tab w:val="clear" w:pos="425"/>
              </w:tabs>
              <w:jc w:val="center"/>
            </w:pPr>
            <w:r>
              <w:t>0 – 1 000</w:t>
            </w:r>
          </w:p>
        </w:tc>
        <w:tc>
          <w:tcPr>
            <w:tcW w:w="2409" w:type="dxa"/>
          </w:tcPr>
          <w:p>
            <w:pPr>
              <w:pStyle w:val="GesAbsatz"/>
              <w:tabs>
                <w:tab w:val="clear" w:pos="425"/>
              </w:tabs>
              <w:jc w:val="center"/>
            </w:pPr>
            <w:r>
              <w:t>μg/m³</w:t>
            </w:r>
          </w:p>
        </w:tc>
      </w:tr>
    </w:tbl>
    <w:p>
      <w:pPr>
        <w:pStyle w:val="GesAbsatz"/>
      </w:pPr>
      <w:r>
        <w:t>Softwareversion: V02.00.00.232+</w:t>
      </w:r>
    </w:p>
    <w:p>
      <w:pPr>
        <w:pStyle w:val="GesAbsatz"/>
      </w:pPr>
      <w:r>
        <w:t>Einschränkungen:</w:t>
      </w:r>
    </w:p>
    <w:p>
      <w:pPr>
        <w:pStyle w:val="GesAbsatz"/>
      </w:pPr>
      <w:r>
        <w:t>Keine</w:t>
      </w:r>
    </w:p>
    <w:p>
      <w:pPr>
        <w:pStyle w:val="GesAbsatz"/>
      </w:pPr>
      <w:r>
        <w:t>Hinweise:</w:t>
      </w:r>
    </w:p>
    <w:p>
      <w:pPr>
        <w:pStyle w:val="GesAbsatz"/>
        <w:ind w:left="426" w:hanging="426"/>
      </w:pPr>
      <w:r>
        <w:t>1.</w:t>
      </w:r>
      <w:r>
        <w:tab/>
        <w:t>Die Anforderungen an den Variationskoeffizienten R2 gemäß Richtlinie EN 12341 wurden für die Standorte Bornheim, Sommer und Teddington, Sommer nicht von beiden Prüflingen eingehalten.</w:t>
      </w:r>
    </w:p>
    <w:p>
      <w:pPr>
        <w:pStyle w:val="GesAbsatz"/>
        <w:ind w:left="426" w:hanging="426"/>
      </w:pPr>
      <w:r>
        <w:t>2.</w:t>
      </w:r>
      <w:r>
        <w:tab/>
        <w:t>Die Referenz-Äquivalenzfunktion liegt für den Standort Teddington, Sommer nicht in den Grenzen des Akzeptanzbereichs gemäß Richtlinie EN 12341.</w:t>
      </w:r>
    </w:p>
    <w:p>
      <w:pPr>
        <w:pStyle w:val="GesAbsatz"/>
        <w:ind w:left="426" w:hanging="426"/>
      </w:pPr>
      <w:r>
        <w:t>3.</w:t>
      </w:r>
      <w:r>
        <w:tab/>
        <w:t>Die Anforderungen gemäß dem Leitfaden „Demonstration of Equivalence of Ambient Air Monitoring Methods“ werden für die Messkomponente PM</w:t>
      </w:r>
      <w:r>
        <w:rPr>
          <w:vertAlign w:val="subscript"/>
        </w:rPr>
        <w:t>10</w:t>
      </w:r>
      <w:r>
        <w:t xml:space="preserve"> eingehalten.</w:t>
      </w:r>
    </w:p>
    <w:p>
      <w:pPr>
        <w:pStyle w:val="GesAbsatz"/>
        <w:ind w:left="426" w:hanging="426"/>
      </w:pPr>
      <w:r>
        <w:t>4.</w:t>
      </w:r>
      <w:r>
        <w:tab/>
        <w:t>Die Messeinrichtung ist in einem verschließbaren Messcontainer zu betreiben.</w:t>
      </w:r>
    </w:p>
    <w:p>
      <w:pPr>
        <w:pStyle w:val="GesAbsatz"/>
        <w:ind w:left="426" w:hanging="426"/>
      </w:pPr>
      <w:r>
        <w:t>5.</w:t>
      </w:r>
      <w:r>
        <w:tab/>
        <w:t>Die Messeinrichtung ist mit dem gravimetrischen PM</w:t>
      </w:r>
      <w:r>
        <w:rPr>
          <w:vertAlign w:val="subscript"/>
        </w:rPr>
        <w:t>10</w:t>
      </w:r>
      <w:r>
        <w:t>-Referenzverfahren nach DIN EN 12341 regelmäßig am Standort zu kalibrieren.</w:t>
      </w:r>
    </w:p>
    <w:p>
      <w:pPr>
        <w:pStyle w:val="GesAbsatz"/>
        <w:ind w:left="426" w:hanging="426"/>
      </w:pPr>
      <w:r>
        <w:t>6.</w:t>
      </w:r>
      <w:r>
        <w:tab/>
        <w:t>Es wird empfohlen, die Messeinrichtung mit einem Schwellwert für die relative Luftfeuchte von 58% zu betreiben, insbesondere an Standorten mit signifikant hohen Anteilen von Volatilen am Schwebstaub.</w:t>
      </w:r>
    </w:p>
    <w:p>
      <w:pPr>
        <w:pStyle w:val="GesAbsatz"/>
      </w:pPr>
      <w:r>
        <w:t>7.</w:t>
      </w:r>
      <w:r>
        <w:tab/>
        <w:t>Der Prüfbericht über die Eignungsprüfung ist im Internet unter www.qal1.de einsehbar.</w:t>
      </w:r>
    </w:p>
    <w:p>
      <w:pPr>
        <w:pStyle w:val="GesAbsatz"/>
      </w:pPr>
      <w:r>
        <w:t>Prüfinstitut: TÜV Rheinland Energie und Umwelt GmbH, Köln</w:t>
      </w:r>
    </w:p>
    <w:p>
      <w:pPr>
        <w:pStyle w:val="GesAbsatz"/>
      </w:pPr>
      <w:r>
        <w:t>Bericht-Nr.: 936/21209885/I vom 20. September 2013</w:t>
      </w:r>
    </w:p>
    <w:p>
      <w:pPr>
        <w:pStyle w:val="GesAbsatz"/>
        <w:rPr>
          <w:b/>
        </w:rPr>
      </w:pPr>
      <w:r>
        <w:rPr>
          <w:b/>
        </w:rPr>
        <w:t>7.3</w:t>
      </w:r>
      <w:r>
        <w:rPr>
          <w:b/>
        </w:rPr>
        <w:tab/>
        <w:t>Modell 5030i SHARP mit PM</w:t>
      </w:r>
      <w:r>
        <w:rPr>
          <w:b/>
          <w:vertAlign w:val="subscript"/>
        </w:rPr>
        <w:t>10</w:t>
      </w:r>
      <w:r>
        <w:rPr>
          <w:b/>
        </w:rPr>
        <w:t>-Vorabscheider für Schwebstaub PM</w:t>
      </w:r>
      <w:r>
        <w:rPr>
          <w:b/>
          <w:vertAlign w:val="subscript"/>
        </w:rPr>
        <w:t>10</w:t>
      </w:r>
    </w:p>
    <w:p>
      <w:pPr>
        <w:pStyle w:val="GesAbsatz"/>
      </w:pPr>
      <w:r>
        <w:t>Hersteller:</w:t>
      </w:r>
    </w:p>
    <w:p>
      <w:pPr>
        <w:pStyle w:val="GesAbsatz"/>
      </w:pPr>
      <w:r>
        <w:t>Thermo Fisher Scientific, Franklin, USA</w:t>
      </w:r>
    </w:p>
    <w:p>
      <w:pPr>
        <w:pStyle w:val="GesAbsatz"/>
      </w:pPr>
      <w:r>
        <w:t>Eignung:</w:t>
      </w:r>
    </w:p>
    <w:p>
      <w:pPr>
        <w:pStyle w:val="GesAbsatz"/>
      </w:pPr>
      <w:r>
        <w:t>Zur kontinuierlichen Immissionsmessung der PM</w:t>
      </w:r>
      <w:r>
        <w:rPr>
          <w:vertAlign w:val="subscript"/>
        </w:rPr>
        <w:t>10</w:t>
      </w:r>
      <w:r>
        <w:t>-Fraktion im Schwebstaub im stationären Einsatz</w:t>
      </w:r>
    </w:p>
    <w:p>
      <w:pPr>
        <w:pStyle w:val="GesAbsatz"/>
      </w:pPr>
      <w:r>
        <w:t>Messbereich in der Eignungsprüfung:</w:t>
      </w:r>
    </w:p>
    <w:tbl>
      <w:tblPr>
        <w:tblStyle w:val="Tabellenraster"/>
        <w:tblW w:w="8046" w:type="dxa"/>
        <w:tblLook w:val="04A0" w:firstRow="1" w:lastRow="0" w:firstColumn="1" w:lastColumn="0" w:noHBand="0" w:noVBand="1"/>
      </w:tblPr>
      <w:tblGrid>
        <w:gridCol w:w="2518"/>
        <w:gridCol w:w="3119"/>
        <w:gridCol w:w="2409"/>
      </w:tblGrid>
      <w:tr>
        <w:tc>
          <w:tcPr>
            <w:tcW w:w="2518" w:type="dxa"/>
          </w:tcPr>
          <w:p>
            <w:pPr>
              <w:pStyle w:val="GesAbsatz"/>
              <w:tabs>
                <w:tab w:val="clear" w:pos="425"/>
              </w:tabs>
              <w:jc w:val="center"/>
            </w:pPr>
            <w:r>
              <w:t>Komponente</w:t>
            </w:r>
          </w:p>
        </w:tc>
        <w:tc>
          <w:tcPr>
            <w:tcW w:w="3119" w:type="dxa"/>
          </w:tcPr>
          <w:p>
            <w:pPr>
              <w:pStyle w:val="GesAbsatz"/>
              <w:tabs>
                <w:tab w:val="clear" w:pos="425"/>
              </w:tabs>
              <w:jc w:val="center"/>
            </w:pPr>
            <w:r>
              <w:t>Zertifizierungsbereich</w:t>
            </w:r>
          </w:p>
        </w:tc>
        <w:tc>
          <w:tcPr>
            <w:tcW w:w="2409" w:type="dxa"/>
          </w:tcPr>
          <w:p>
            <w:pPr>
              <w:pStyle w:val="GesAbsatz"/>
              <w:tabs>
                <w:tab w:val="clear" w:pos="425"/>
              </w:tabs>
              <w:jc w:val="center"/>
            </w:pPr>
            <w:r>
              <w:t>Einheit</w:t>
            </w:r>
          </w:p>
        </w:tc>
      </w:tr>
      <w:tr>
        <w:tc>
          <w:tcPr>
            <w:tcW w:w="2518" w:type="dxa"/>
          </w:tcPr>
          <w:p>
            <w:pPr>
              <w:pStyle w:val="GesAbsatz"/>
              <w:tabs>
                <w:tab w:val="clear" w:pos="425"/>
              </w:tabs>
            </w:pPr>
            <w:r>
              <w:t>PM</w:t>
            </w:r>
            <w:r>
              <w:rPr>
                <w:vertAlign w:val="subscript"/>
              </w:rPr>
              <w:t>10</w:t>
            </w:r>
          </w:p>
        </w:tc>
        <w:tc>
          <w:tcPr>
            <w:tcW w:w="3119" w:type="dxa"/>
          </w:tcPr>
          <w:p>
            <w:pPr>
              <w:pStyle w:val="GesAbsatz"/>
              <w:tabs>
                <w:tab w:val="clear" w:pos="425"/>
              </w:tabs>
              <w:jc w:val="center"/>
            </w:pPr>
            <w:r>
              <w:t>0 – 1 000</w:t>
            </w:r>
          </w:p>
        </w:tc>
        <w:tc>
          <w:tcPr>
            <w:tcW w:w="2409" w:type="dxa"/>
          </w:tcPr>
          <w:p>
            <w:pPr>
              <w:pStyle w:val="GesAbsatz"/>
              <w:tabs>
                <w:tab w:val="clear" w:pos="425"/>
              </w:tabs>
              <w:jc w:val="center"/>
            </w:pPr>
            <w:r>
              <w:t>μg/m³</w:t>
            </w:r>
          </w:p>
        </w:tc>
      </w:tr>
    </w:tbl>
    <w:p>
      <w:pPr>
        <w:pStyle w:val="GesAbsatz"/>
      </w:pPr>
      <w:r>
        <w:t>Softwareversion: V02.00.00.232+</w:t>
      </w:r>
    </w:p>
    <w:p>
      <w:pPr>
        <w:pStyle w:val="GesAbsatz"/>
      </w:pPr>
      <w:r>
        <w:t>Einschränkungen:</w:t>
      </w:r>
    </w:p>
    <w:p>
      <w:pPr>
        <w:pStyle w:val="GesAbsatz"/>
      </w:pPr>
      <w:r>
        <w:t>Keine</w:t>
      </w:r>
    </w:p>
    <w:p>
      <w:pPr>
        <w:pStyle w:val="GesAbsatz"/>
      </w:pPr>
      <w:r>
        <w:t>Hinweise:</w:t>
      </w:r>
    </w:p>
    <w:p>
      <w:pPr>
        <w:pStyle w:val="GesAbsatz"/>
        <w:ind w:left="426" w:hanging="426"/>
      </w:pPr>
      <w:r>
        <w:t>1.</w:t>
      </w:r>
      <w:r>
        <w:tab/>
        <w:t>Die Anforderungen an den Variationskoeffizienten R2 gemäß Richtlinie EN 12341 wurden für die Standorte Köln, Winter, Bornheim, Sommer und Teddington, Sommer nicht von beiden Prüflingen eingehalten.</w:t>
      </w:r>
    </w:p>
    <w:p>
      <w:pPr>
        <w:pStyle w:val="GesAbsatz"/>
        <w:ind w:left="426" w:hanging="426"/>
      </w:pPr>
      <w:r>
        <w:t>2.</w:t>
      </w:r>
      <w:r>
        <w:tab/>
        <w:t>Die Referenz-Äquivalenzfunktion liegt für den Standort Teddington, Sommer nicht in den Grenzen des Akzeptanzbereichs gemäß Richtlinie EN 12341.</w:t>
      </w:r>
    </w:p>
    <w:p>
      <w:pPr>
        <w:pStyle w:val="GesAbsatz"/>
        <w:ind w:left="426" w:hanging="426"/>
      </w:pPr>
      <w:r>
        <w:t>3.</w:t>
      </w:r>
      <w:r>
        <w:tab/>
        <w:t>Die Anforderungen gemäß dem Leitfaden „Demonstration of Equivalence of Ambient Air Monitoring Methods“ werden für die Messkomponente PM</w:t>
      </w:r>
      <w:r>
        <w:rPr>
          <w:vertAlign w:val="subscript"/>
        </w:rPr>
        <w:t>10</w:t>
      </w:r>
      <w:r>
        <w:t xml:space="preserve"> eingehalten.</w:t>
      </w:r>
    </w:p>
    <w:p>
      <w:pPr>
        <w:pStyle w:val="GesAbsatz"/>
        <w:ind w:left="426" w:hanging="426"/>
      </w:pPr>
      <w:r>
        <w:lastRenderedPageBreak/>
        <w:t>4.</w:t>
      </w:r>
      <w:r>
        <w:tab/>
        <w:t>Die Messeinrichtung ist in einem verschließbaren Messcontainer zu betreiben.</w:t>
      </w:r>
    </w:p>
    <w:p>
      <w:pPr>
        <w:pStyle w:val="GesAbsatz"/>
        <w:ind w:left="426" w:hanging="426"/>
      </w:pPr>
      <w:r>
        <w:t>5.</w:t>
      </w:r>
      <w:r>
        <w:tab/>
        <w:t>Die Messeinrichtung ist mit dem gravimetrischen PM</w:t>
      </w:r>
      <w:r>
        <w:rPr>
          <w:vertAlign w:val="subscript"/>
        </w:rPr>
        <w:t>10</w:t>
      </w:r>
      <w:r>
        <w:t>-Referenzverfahren nach DIN EN 12341 regelmäßig am Standort zu kalibrieren.</w:t>
      </w:r>
    </w:p>
    <w:p>
      <w:pPr>
        <w:pStyle w:val="GesAbsatz"/>
        <w:ind w:left="426" w:hanging="426"/>
      </w:pPr>
      <w:r>
        <w:t>6.</w:t>
      </w:r>
      <w:r>
        <w:tab/>
        <w:t>Es wird empfohlen, die Messeinrichtung mit einem Schwellwert für die relative Luftfeuchte von 58% zu betreiben, insbesondere an Standorten mit signifikant hohen Anteilen von Volatilen am Schwebstaub.</w:t>
      </w:r>
    </w:p>
    <w:p>
      <w:pPr>
        <w:pStyle w:val="GesAbsatz"/>
      </w:pPr>
      <w:r>
        <w:t>7.</w:t>
      </w:r>
      <w:r>
        <w:tab/>
        <w:t>Der Prüfbericht über die Eignungsprüfung ist im Internet unter www.qal1.de einsehbar.</w:t>
      </w:r>
    </w:p>
    <w:p>
      <w:pPr>
        <w:pStyle w:val="GesAbsatz"/>
      </w:pPr>
      <w:r>
        <w:t>Prüfinstitut: TÜV Rheinland Energie und Umwelt GmbH, Köln</w:t>
      </w:r>
    </w:p>
    <w:p>
      <w:pPr>
        <w:pStyle w:val="GesAbsatz"/>
      </w:pPr>
      <w:r>
        <w:t>Bericht-Nr.: 936/21209885/G vom 20. September 2013</w:t>
      </w:r>
    </w:p>
    <w:p>
      <w:pPr>
        <w:pStyle w:val="berschrift2"/>
      </w:pPr>
      <w:bookmarkStart w:id="6" w:name="_Toc395856999"/>
      <w:r>
        <w:t>V.</w:t>
      </w:r>
      <w:r>
        <w:br/>
        <w:t>Berichtigung zur Bundeseinheitlichen Praxis bei der Überwachung</w:t>
      </w:r>
      <w:r>
        <w:br/>
        <w:t>von Emissionen und Immissionen</w:t>
      </w:r>
      <w:bookmarkEnd w:id="6"/>
    </w:p>
    <w:p>
      <w:pPr>
        <w:pStyle w:val="GesAbsatz"/>
        <w:ind w:left="426" w:hanging="426"/>
        <w:rPr>
          <w:b/>
        </w:rPr>
      </w:pPr>
      <w:r>
        <w:rPr>
          <w:b/>
        </w:rPr>
        <w:t>1</w:t>
      </w:r>
      <w:r>
        <w:rPr>
          <w:b/>
        </w:rPr>
        <w:tab/>
        <w:t>Berichtigung zu der Bekanntmachung des Umweltbundesamtes vom 3. Juli 2013 (BAnz AT 23.07.2013 B4, Kapitel V 13. Mitteilung [Nummer 3 und Nummern 6 bis 13])</w:t>
      </w:r>
    </w:p>
    <w:p>
      <w:pPr>
        <w:pStyle w:val="GesAbsatz"/>
      </w:pPr>
      <w:r>
        <w:t>Für die nachfolgend genannten Messeinrichtungen sind die in der Bekanntmachung aufgeführten Verweise redaktionell nicht richtig und müssen lauten wie folgt:</w:t>
      </w:r>
    </w:p>
    <w:p>
      <w:pPr>
        <w:pStyle w:val="GesAbsatz"/>
      </w:pPr>
      <w:r>
        <w:t>DUSTHUNTER SB 100: zu Mitteilung 10 (anstelle Mitteilung 11)</w:t>
      </w:r>
    </w:p>
    <w:p>
      <w:pPr>
        <w:pStyle w:val="GesAbsatz"/>
      </w:pPr>
      <w:r>
        <w:t>DUSTHUNTER SP 100: zu Mitteilung 11 (anstelle Mitteilung 12)</w:t>
      </w:r>
    </w:p>
    <w:p>
      <w:pPr>
        <w:pStyle w:val="GesAbsatz"/>
      </w:pPr>
      <w:r>
        <w:t>FLOWSIC 100: zu Mitteilung 14 (anstelle Mitteilung 15)</w:t>
      </w:r>
    </w:p>
    <w:p>
      <w:pPr>
        <w:pStyle w:val="GesAbsatz"/>
      </w:pPr>
      <w:r>
        <w:t>GM 32 In Situ-Analysator, Ausführung Cross Duct und Ausführung Messlanze</w:t>
      </w:r>
    </w:p>
    <w:p>
      <w:pPr>
        <w:pStyle w:val="GesAbsatz"/>
      </w:pPr>
      <w:r>
        <w:t>GMP: zu Mitteilung 12 (anstelle Mitteilung 13)</w:t>
      </w:r>
    </w:p>
    <w:p>
      <w:pPr>
        <w:pStyle w:val="GesAbsatz"/>
      </w:pPr>
      <w:r>
        <w:t>GM 35 In Situ-Analysator, Ausführung Cross Duct und Ausführung Messlanze</w:t>
      </w:r>
    </w:p>
    <w:p>
      <w:pPr>
        <w:pStyle w:val="GesAbsatz"/>
      </w:pPr>
      <w:r>
        <w:t>GMP: zu Mitteilung 12 (anstelle Mitteilung 13)</w:t>
      </w:r>
    </w:p>
    <w:p>
      <w:pPr>
        <w:pStyle w:val="GesAbsatz"/>
      </w:pPr>
      <w:r>
        <w:t>MCS 100 FT: zu Mitteilung 12 (anstelle Mitteilung 13)</w:t>
      </w:r>
    </w:p>
    <w:p>
      <w:pPr>
        <w:pStyle w:val="GesAbsatz"/>
      </w:pPr>
      <w:r>
        <w:t>ZIRKOR 302: zu Mitteilung 12 (anstelle Mitteilung 13)</w:t>
      </w:r>
    </w:p>
    <w:p>
      <w:pPr>
        <w:pStyle w:val="GesAbsatz"/>
      </w:pPr>
      <w:r>
        <w:t>ZIRKOR 302 E: zu Mitteilung 12 (anstelle Mitteilung 13)</w:t>
      </w:r>
    </w:p>
    <w:p>
      <w:pPr>
        <w:pStyle w:val="GesAbsatz"/>
      </w:pPr>
      <w:r>
        <w:t>MAC GMS800: zu Mitteilung 12 (anstelle Mitteilung 13)</w:t>
      </w:r>
    </w:p>
    <w:p>
      <w:pPr>
        <w:pStyle w:val="berschrift2"/>
      </w:pPr>
      <w:bookmarkStart w:id="7" w:name="_Toc395857000"/>
      <w:r>
        <w:t>VI.</w:t>
      </w:r>
      <w:r>
        <w:br/>
        <w:t>Mitteilungen zur Bundeseinheitlichen Praxis bei der Überwachung</w:t>
      </w:r>
      <w:r>
        <w:br/>
        <w:t>von Emissionen und Immissionen</w:t>
      </w:r>
      <w:bookmarkEnd w:id="7"/>
    </w:p>
    <w:p>
      <w:pPr>
        <w:pStyle w:val="GesAbsatz"/>
        <w:ind w:left="426" w:hanging="426"/>
        <w:rPr>
          <w:b/>
        </w:rPr>
      </w:pPr>
      <w:r>
        <w:rPr>
          <w:b/>
        </w:rPr>
        <w:t>1</w:t>
      </w:r>
      <w:r>
        <w:rPr>
          <w:b/>
        </w:rPr>
        <w:tab/>
        <w:t>Mitteilung zu der Bekanntmachung des Umweltbundesamtes vom 12. September 2006 (BAnz. S. 6715, Kapitel I Nummer 2.1) und vom 2. März 2012 (BAnz. S. 920, Kapitel I Nummer 4.2)</w:t>
      </w:r>
    </w:p>
    <w:p>
      <w:pPr>
        <w:pStyle w:val="GesAbsatz"/>
      </w:pPr>
      <w:r>
        <w:t>Die Analysenmodule Uras26, Magnos206 und der elektrochemische O</w:t>
      </w:r>
      <w:r>
        <w:rPr>
          <w:vertAlign w:val="subscript"/>
        </w:rPr>
        <w:t>2</w:t>
      </w:r>
      <w:r>
        <w:t>-Sensor sowie das Elektronikmodul der Advance Optima AO2000 Serie der ABB Automation GmbH können in folgenden Gehäusevarianten eingesetzt werden:</w:t>
      </w:r>
    </w:p>
    <w:tbl>
      <w:tblPr>
        <w:tblStyle w:val="Tabellenraster"/>
        <w:tblW w:w="10003" w:type="dxa"/>
        <w:tblLook w:val="04A0" w:firstRow="1" w:lastRow="0" w:firstColumn="1" w:lastColumn="0" w:noHBand="0" w:noVBand="1"/>
      </w:tblPr>
      <w:tblGrid>
        <w:gridCol w:w="3652"/>
        <w:gridCol w:w="6351"/>
      </w:tblGrid>
      <w:tr>
        <w:tc>
          <w:tcPr>
            <w:tcW w:w="3652" w:type="dxa"/>
          </w:tcPr>
          <w:p>
            <w:pPr>
              <w:pStyle w:val="GesAbsatz"/>
              <w:tabs>
                <w:tab w:val="clear" w:pos="425"/>
              </w:tabs>
            </w:pPr>
            <w:r>
              <w:t>Gehäuse-/Variantenbezeichnung</w:t>
            </w:r>
          </w:p>
        </w:tc>
        <w:tc>
          <w:tcPr>
            <w:tcW w:w="6351" w:type="dxa"/>
          </w:tcPr>
          <w:p>
            <w:pPr>
              <w:pStyle w:val="GesAbsatz"/>
              <w:tabs>
                <w:tab w:val="clear" w:pos="425"/>
              </w:tabs>
            </w:pPr>
            <w:r>
              <w:t>Beschreibung</w:t>
            </w:r>
          </w:p>
        </w:tc>
      </w:tr>
      <w:tr>
        <w:tc>
          <w:tcPr>
            <w:tcW w:w="3652" w:type="dxa"/>
          </w:tcPr>
          <w:p>
            <w:pPr>
              <w:pStyle w:val="GesAbsatz"/>
              <w:tabs>
                <w:tab w:val="clear" w:pos="425"/>
              </w:tabs>
            </w:pPr>
            <w:r>
              <w:t>ST00</w:t>
            </w:r>
          </w:p>
        </w:tc>
        <w:tc>
          <w:tcPr>
            <w:tcW w:w="6351" w:type="dxa"/>
          </w:tcPr>
          <w:p>
            <w:pPr>
              <w:pStyle w:val="GesAbsatz"/>
              <w:tabs>
                <w:tab w:val="clear" w:pos="425"/>
              </w:tabs>
            </w:pPr>
            <w:r>
              <w:t>Elektronikmodul (Sysconboard 2+3)</w:t>
            </w:r>
          </w:p>
        </w:tc>
      </w:tr>
      <w:tr>
        <w:tc>
          <w:tcPr>
            <w:tcW w:w="3652" w:type="dxa"/>
          </w:tcPr>
          <w:p>
            <w:pPr>
              <w:pStyle w:val="GesAbsatz"/>
              <w:tabs>
                <w:tab w:val="clear" w:pos="425"/>
              </w:tabs>
            </w:pPr>
            <w:r>
              <w:t>S100</w:t>
            </w:r>
          </w:p>
        </w:tc>
        <w:tc>
          <w:tcPr>
            <w:tcW w:w="6351" w:type="dxa"/>
          </w:tcPr>
          <w:p>
            <w:pPr>
              <w:pStyle w:val="GesAbsatz"/>
              <w:tabs>
                <w:tab w:val="clear" w:pos="425"/>
              </w:tabs>
            </w:pPr>
            <w:r>
              <w:t>Uras26-Modul</w:t>
            </w:r>
          </w:p>
        </w:tc>
      </w:tr>
      <w:tr>
        <w:tc>
          <w:tcPr>
            <w:tcW w:w="3652" w:type="dxa"/>
          </w:tcPr>
          <w:p>
            <w:pPr>
              <w:pStyle w:val="GesAbsatz"/>
              <w:tabs>
                <w:tab w:val="clear" w:pos="425"/>
              </w:tabs>
            </w:pPr>
            <w:r>
              <w:t>S1P0</w:t>
            </w:r>
          </w:p>
        </w:tc>
        <w:tc>
          <w:tcPr>
            <w:tcW w:w="6351" w:type="dxa"/>
          </w:tcPr>
          <w:p>
            <w:pPr>
              <w:pStyle w:val="GesAbsatz"/>
              <w:tabs>
                <w:tab w:val="clear" w:pos="425"/>
              </w:tabs>
            </w:pPr>
            <w:r>
              <w:t>Uras26-Modul mit O</w:t>
            </w:r>
            <w:r>
              <w:rPr>
                <w:vertAlign w:val="subscript"/>
              </w:rPr>
              <w:t>2</w:t>
            </w:r>
            <w:r>
              <w:t>-Sensor</w:t>
            </w:r>
          </w:p>
        </w:tc>
      </w:tr>
      <w:tr>
        <w:tc>
          <w:tcPr>
            <w:tcW w:w="3652" w:type="dxa"/>
          </w:tcPr>
          <w:p>
            <w:pPr>
              <w:pStyle w:val="GesAbsatz"/>
              <w:tabs>
                <w:tab w:val="clear" w:pos="425"/>
              </w:tabs>
              <w:rPr>
                <w:lang w:val="en-US"/>
              </w:rPr>
            </w:pPr>
            <w:r>
              <w:rPr>
                <w:lang w:val="en-US"/>
              </w:rPr>
              <w:t>S300</w:t>
            </w:r>
          </w:p>
        </w:tc>
        <w:tc>
          <w:tcPr>
            <w:tcW w:w="6351" w:type="dxa"/>
          </w:tcPr>
          <w:p>
            <w:pPr>
              <w:pStyle w:val="GesAbsatz"/>
              <w:tabs>
                <w:tab w:val="clear" w:pos="425"/>
              </w:tabs>
              <w:rPr>
                <w:lang w:val="en-US"/>
              </w:rPr>
            </w:pPr>
            <w:r>
              <w:rPr>
                <w:lang w:val="en-US"/>
              </w:rPr>
              <w:t>Magnos206-Modul</w:t>
            </w:r>
          </w:p>
        </w:tc>
      </w:tr>
      <w:tr>
        <w:tc>
          <w:tcPr>
            <w:tcW w:w="3652" w:type="dxa"/>
          </w:tcPr>
          <w:p>
            <w:pPr>
              <w:pStyle w:val="GesAbsatz"/>
              <w:tabs>
                <w:tab w:val="clear" w:pos="425"/>
              </w:tabs>
              <w:rPr>
                <w:lang w:val="en-US"/>
              </w:rPr>
            </w:pPr>
            <w:r>
              <w:rPr>
                <w:lang w:val="en-US"/>
              </w:rPr>
              <w:t>ST10</w:t>
            </w:r>
          </w:p>
        </w:tc>
        <w:tc>
          <w:tcPr>
            <w:tcW w:w="6351" w:type="dxa"/>
          </w:tcPr>
          <w:p>
            <w:pPr>
              <w:pStyle w:val="GesAbsatz"/>
              <w:tabs>
                <w:tab w:val="clear" w:pos="425"/>
              </w:tabs>
              <w:rPr>
                <w:lang w:val="en-US"/>
              </w:rPr>
            </w:pPr>
            <w:r>
              <w:rPr>
                <w:lang w:val="en-US"/>
              </w:rPr>
              <w:t>Elektronikmodul + Uras26-Modul</w:t>
            </w:r>
          </w:p>
        </w:tc>
      </w:tr>
      <w:tr>
        <w:tc>
          <w:tcPr>
            <w:tcW w:w="3652" w:type="dxa"/>
          </w:tcPr>
          <w:p>
            <w:pPr>
              <w:pStyle w:val="GesAbsatz"/>
              <w:tabs>
                <w:tab w:val="clear" w:pos="425"/>
              </w:tabs>
            </w:pPr>
            <w:r>
              <w:t>ST1P</w:t>
            </w:r>
          </w:p>
        </w:tc>
        <w:tc>
          <w:tcPr>
            <w:tcW w:w="6351" w:type="dxa"/>
          </w:tcPr>
          <w:p>
            <w:pPr>
              <w:pStyle w:val="GesAbsatz"/>
              <w:tabs>
                <w:tab w:val="clear" w:pos="425"/>
              </w:tabs>
            </w:pPr>
            <w:r>
              <w:t>Elektronikmodul + Uras26-Modul mit O</w:t>
            </w:r>
            <w:r>
              <w:rPr>
                <w:vertAlign w:val="subscript"/>
              </w:rPr>
              <w:t>2</w:t>
            </w:r>
            <w:r>
              <w:t>-Sensor</w:t>
            </w:r>
          </w:p>
        </w:tc>
      </w:tr>
      <w:tr>
        <w:tc>
          <w:tcPr>
            <w:tcW w:w="3652" w:type="dxa"/>
          </w:tcPr>
          <w:p>
            <w:pPr>
              <w:pStyle w:val="GesAbsatz"/>
              <w:tabs>
                <w:tab w:val="clear" w:pos="425"/>
              </w:tabs>
            </w:pPr>
            <w:r>
              <w:t>ST30</w:t>
            </w:r>
          </w:p>
        </w:tc>
        <w:tc>
          <w:tcPr>
            <w:tcW w:w="6351" w:type="dxa"/>
          </w:tcPr>
          <w:p>
            <w:pPr>
              <w:pStyle w:val="GesAbsatz"/>
              <w:tabs>
                <w:tab w:val="clear" w:pos="425"/>
              </w:tabs>
            </w:pPr>
            <w:r>
              <w:t>Elektronikmodul + Magnos206-Modul</w:t>
            </w:r>
          </w:p>
        </w:tc>
      </w:tr>
      <w:tr>
        <w:tc>
          <w:tcPr>
            <w:tcW w:w="3652" w:type="dxa"/>
          </w:tcPr>
          <w:p>
            <w:pPr>
              <w:pStyle w:val="GesAbsatz"/>
              <w:tabs>
                <w:tab w:val="clear" w:pos="425"/>
              </w:tabs>
              <w:rPr>
                <w:lang w:val="en-US"/>
              </w:rPr>
            </w:pPr>
            <w:r>
              <w:rPr>
                <w:lang w:val="en-US"/>
              </w:rPr>
              <w:t>S130</w:t>
            </w:r>
          </w:p>
        </w:tc>
        <w:tc>
          <w:tcPr>
            <w:tcW w:w="6351" w:type="dxa"/>
          </w:tcPr>
          <w:p>
            <w:pPr>
              <w:pStyle w:val="GesAbsatz"/>
              <w:tabs>
                <w:tab w:val="clear" w:pos="425"/>
              </w:tabs>
              <w:rPr>
                <w:lang w:val="en-US"/>
              </w:rPr>
            </w:pPr>
            <w:r>
              <w:rPr>
                <w:lang w:val="en-US"/>
              </w:rPr>
              <w:t>Uras26-Modul + Magnos206-Modul</w:t>
            </w:r>
          </w:p>
        </w:tc>
      </w:tr>
      <w:tr>
        <w:tc>
          <w:tcPr>
            <w:tcW w:w="3652" w:type="dxa"/>
          </w:tcPr>
          <w:p>
            <w:pPr>
              <w:pStyle w:val="GesAbsatz"/>
              <w:tabs>
                <w:tab w:val="clear" w:pos="425"/>
              </w:tabs>
            </w:pPr>
            <w:r>
              <w:lastRenderedPageBreak/>
              <w:t>UT00</w:t>
            </w:r>
          </w:p>
        </w:tc>
        <w:tc>
          <w:tcPr>
            <w:tcW w:w="6351" w:type="dxa"/>
          </w:tcPr>
          <w:p>
            <w:pPr>
              <w:pStyle w:val="GesAbsatz"/>
              <w:tabs>
                <w:tab w:val="clear" w:pos="425"/>
              </w:tabs>
            </w:pPr>
            <w:r>
              <w:t>Elektronikmodul (in Syscon-Elektronikkassette, Sysconboard 2+3)</w:t>
            </w:r>
          </w:p>
        </w:tc>
      </w:tr>
    </w:tbl>
    <w:p>
      <w:pPr>
        <w:pStyle w:val="GesAbsatz"/>
      </w:pPr>
      <w:r>
        <w:t>Stellungnahme der TÜV Süd Industrie Service GmbH vom 30. September 2013, in Verbindung mit dem Prüfbericht Nr. 1958844 der TÜV Süd Industrie Service GmbH vom 30. August 2013</w:t>
      </w:r>
    </w:p>
    <w:p>
      <w:pPr>
        <w:pStyle w:val="GesAbsatz"/>
        <w:ind w:left="426" w:hanging="426"/>
        <w:rPr>
          <w:b/>
        </w:rPr>
      </w:pPr>
      <w:r>
        <w:rPr>
          <w:b/>
        </w:rPr>
        <w:t>2</w:t>
      </w:r>
      <w:r>
        <w:rPr>
          <w:b/>
        </w:rPr>
        <w:tab/>
        <w:t>Mitteilung zu den Bekanntmachungen des Umweltbundesamtes vom 23. Februar 2012 (BAnz. S. 920, Kapitel I Nummer 4.2) und vom 3. Juli 2013 (BAnz AT 23.07.2013 B4, Kapitel V 23. Mitteilung)</w:t>
      </w:r>
    </w:p>
    <w:p>
      <w:pPr>
        <w:pStyle w:val="GesAbsatz"/>
      </w:pPr>
      <w:r>
        <w:t>Die aktuelle Software-Version für das Analysatormodul der Messeinrichtungen der AO2000-Serie der Firma ABB Automation GmbH, Frankfurt am Main, lautet 3.4.2.</w:t>
      </w:r>
    </w:p>
    <w:p>
      <w:pPr>
        <w:pStyle w:val="GesAbsatz"/>
      </w:pPr>
      <w:r>
        <w:t>Stellungnahme der TÜV Süd Industrie Service GmbH vom 30. September 2013</w:t>
      </w:r>
    </w:p>
    <w:p>
      <w:pPr>
        <w:pStyle w:val="GesAbsatz"/>
        <w:ind w:left="426" w:hanging="426"/>
        <w:rPr>
          <w:b/>
        </w:rPr>
      </w:pPr>
      <w:r>
        <w:rPr>
          <w:b/>
        </w:rPr>
        <w:t>3</w:t>
      </w:r>
      <w:r>
        <w:rPr>
          <w:b/>
        </w:rPr>
        <w:tab/>
        <w:t>Mitteilung zu der Bekanntmachung des Umweltbundesamtes vom 23. Februar 2012 (BAnz. S. 920, Kapitel I Nummer 4.4) und vom 6. Juli 2012 (BAnz AT 20.07.2012 B11, Kapitel IV 27. Mitteilung)</w:t>
      </w:r>
    </w:p>
    <w:p>
      <w:pPr>
        <w:pStyle w:val="GesAbsatz"/>
      </w:pPr>
      <w:r>
        <w:t>Die aktuelle Software-Version für das Analysatormodul der Messeinrichtungen der EL3000-Serie der Firma ABB Automation GmbH, Frankfurt am Main, lautet 3.4.2.</w:t>
      </w:r>
    </w:p>
    <w:p>
      <w:pPr>
        <w:pStyle w:val="GesAbsatz"/>
      </w:pPr>
      <w:r>
        <w:t>Stellungnahme der TÜV Süd Industrie Service GmbH vom 30. September 2013</w:t>
      </w:r>
    </w:p>
    <w:p>
      <w:pPr>
        <w:pStyle w:val="GesAbsatz"/>
        <w:ind w:left="426" w:hanging="426"/>
        <w:rPr>
          <w:b/>
        </w:rPr>
      </w:pPr>
      <w:r>
        <w:rPr>
          <w:b/>
        </w:rPr>
        <w:t>4</w:t>
      </w:r>
      <w:r>
        <w:rPr>
          <w:b/>
        </w:rPr>
        <w:tab/>
        <w:t>Mitteilung zu der Bekanntmachung des Umweltbundesamtes vom 5. März 2013 (BAnz AT 05.03.2013 B10, Kapitel III Nummer 1.2)</w:t>
      </w:r>
    </w:p>
    <w:p>
      <w:pPr>
        <w:pStyle w:val="GesAbsatz"/>
      </w:pPr>
      <w:r>
        <w:t>Die Software des Emissionsauswertesystems EMI3000 der ITBK Ingenieurgesellschaft für Umweltschutz mbH in der Version 2.00 kann zusammen mit folgenden Betriebssystemen betrieben werden: Windows Server 2003, Windows Server 2008, Windows Server 2012, Windows XP, Windows 7 und Windows 8.</w:t>
      </w:r>
    </w:p>
    <w:p>
      <w:pPr>
        <w:pStyle w:val="GesAbsatz"/>
      </w:pPr>
      <w:r>
        <w:t>Stellungnahme der TÜV Süd Industrie Service GmbH vom 30. September 2013</w:t>
      </w:r>
    </w:p>
    <w:p>
      <w:pPr>
        <w:pStyle w:val="GesAbsatz"/>
        <w:ind w:left="426" w:hanging="426"/>
        <w:rPr>
          <w:b/>
        </w:rPr>
      </w:pPr>
      <w:r>
        <w:rPr>
          <w:b/>
        </w:rPr>
        <w:t>5</w:t>
      </w:r>
      <w:r>
        <w:rPr>
          <w:b/>
        </w:rPr>
        <w:tab/>
        <w:t>Mitteilung zu den Bekanntmachungen des Umweltbundesamtes vom 12. Februar 2013 (BAnz AT 05.03.2013 B10, Kapitel III Nummer 1.1) und vom 3. Juli 2013 (BAnz AT 23.07.2013 B4, Kapitel V 12. Mitteilung [Nummer 16])</w:t>
      </w:r>
    </w:p>
    <w:p>
      <w:pPr>
        <w:pStyle w:val="GesAbsatz"/>
      </w:pPr>
      <w:r>
        <w:t>Die aktuelle Software-Version für den Auswerterechner MEAC2012 der SICK AG, Hamburg, lautet 3.1.</w:t>
      </w:r>
    </w:p>
    <w:p>
      <w:pPr>
        <w:pStyle w:val="GesAbsatz"/>
      </w:pPr>
      <w:r>
        <w:t>Stellungnahme der TÜV Süd Industrie Service GmbH vom 30. September 2013</w:t>
      </w:r>
    </w:p>
    <w:p>
      <w:pPr>
        <w:pStyle w:val="GesAbsatz"/>
        <w:ind w:left="426" w:hanging="426"/>
        <w:rPr>
          <w:b/>
        </w:rPr>
      </w:pPr>
      <w:r>
        <w:rPr>
          <w:b/>
        </w:rPr>
        <w:t>6</w:t>
      </w:r>
      <w:r>
        <w:rPr>
          <w:b/>
        </w:rPr>
        <w:tab/>
        <w:t>Mitteilung zu den Bekanntmachungen des Umweltbundesamtes vom 12. Februar 2013 (BAnz AT 05.03.2013 B10, Kapitel I Nummer 2.4) und vom 3. Juli 2013 (BAnz AT 23.07.2013 B4, 29. Mitteilung)</w:t>
      </w:r>
    </w:p>
    <w:p>
      <w:pPr>
        <w:pStyle w:val="GesAbsatz"/>
      </w:pPr>
      <w:r>
        <w:t>Das Material für die Verschlauchung des Messgasweges nach dem Messgaskühler der Quecksilbermesseinrichtung HM 1400 TRX für Hg der DURAG GmbH wurde geändert und ist nun Viton 75.</w:t>
      </w:r>
    </w:p>
    <w:p>
      <w:pPr>
        <w:pStyle w:val="GesAbsatz"/>
      </w:pPr>
      <w:r>
        <w:t>Stellungnahme der TÜV NORD Umweltschutz GmbH &amp; Co. KG vom 7. Oktober 2013</w:t>
      </w:r>
    </w:p>
    <w:p>
      <w:pPr>
        <w:pStyle w:val="GesAbsatz"/>
        <w:ind w:left="426" w:hanging="426"/>
        <w:rPr>
          <w:b/>
        </w:rPr>
      </w:pPr>
      <w:r>
        <w:rPr>
          <w:b/>
        </w:rPr>
        <w:t>7</w:t>
      </w:r>
      <w:r>
        <w:rPr>
          <w:b/>
        </w:rPr>
        <w:tab/>
        <w:t>Mitteilung zu der Bekanntmachung des Umweltbundesamtes vom 3. Juli 2013 (BAnz AT 23.07.2013 B4, Kapitel II Nummer 2.1)</w:t>
      </w:r>
    </w:p>
    <w:p>
      <w:pPr>
        <w:pStyle w:val="GesAbsatz"/>
      </w:pPr>
      <w:r>
        <w:t>Die Messeinrichtung StackFlowMaster der Fa. ABB Ltd. kann auch mit der Elektronikeinheit FPD 585 eingesetzt werden.</w:t>
      </w:r>
    </w:p>
    <w:p>
      <w:pPr>
        <w:pStyle w:val="GesAbsatz"/>
      </w:pPr>
      <w:r>
        <w:t>Stellungnahme der TÜV Rheinland Energie und Umwelt GmbH vom 2. Oktober 2013</w:t>
      </w:r>
    </w:p>
    <w:p>
      <w:pPr>
        <w:pStyle w:val="GesAbsatz"/>
        <w:ind w:left="426" w:hanging="426"/>
        <w:rPr>
          <w:b/>
        </w:rPr>
      </w:pPr>
      <w:r>
        <w:rPr>
          <w:b/>
        </w:rPr>
        <w:t>8</w:t>
      </w:r>
      <w:r>
        <w:rPr>
          <w:b/>
        </w:rPr>
        <w:tab/>
        <w:t>Mitteilung zu den Bekanntmachungen des Umweltbundesamtes vom 12. Februar 2013 (BAnz AT 05.03.2013 B10, Kapitel II Nummer 2.1) und vom 3. Juli 2013 (BAnz AT 23.07.2013 B4, Kapitel V 1. Mitteilung)</w:t>
      </w:r>
    </w:p>
    <w:p>
      <w:pPr>
        <w:pStyle w:val="GesAbsatz"/>
      </w:pPr>
      <w:r>
        <w:t>Die Messeinrichtung V-CEM5100 für Abgasgeschwindigkeit der Fa. Codel International Ltd. erhält ein neues Design für das Keypad der Anzeigeeinheit (DDU).</w:t>
      </w:r>
    </w:p>
    <w:p>
      <w:pPr>
        <w:pStyle w:val="GesAbsatz"/>
      </w:pPr>
      <w:r>
        <w:t>Stellungnahme der TÜV Rheinland Energie und Umwelt GmbH vom 30. September 2013</w:t>
      </w:r>
    </w:p>
    <w:p>
      <w:pPr>
        <w:pStyle w:val="GesAbsatz"/>
        <w:ind w:left="426" w:hanging="426"/>
        <w:rPr>
          <w:b/>
        </w:rPr>
      </w:pPr>
      <w:r>
        <w:rPr>
          <w:b/>
        </w:rPr>
        <w:t>9</w:t>
      </w:r>
      <w:r>
        <w:rPr>
          <w:b/>
        </w:rPr>
        <w:tab/>
        <w:t>Mitteilung zu den Bekanntmachungen des Umweltbundesamtes vom 10. Januar 2011 (BAnz. S 294, Kapitel I Nummer 1.1) und vom 12. Februar 2013 (BAnz AT 05.03.2013 B10, Kapitel V 20. Mitteilung)</w:t>
      </w:r>
    </w:p>
    <w:p>
      <w:pPr>
        <w:pStyle w:val="GesAbsatz"/>
      </w:pPr>
      <w:r>
        <w:t>Die Messeinrichtung D-R 800 der DURAG GmbH wurde überarbeitet. Sie ist mit einer neuen Linse und einem angepassten Kollimator ausgestattet. Die Messeinrichtung ist nun für Abgastemperaturen bis 350 °C einsetzbar. Dazu wurde ein neuer Lichtwellenleiter eingesetzt und die Materialien für eine Dichtung und einen Klemmring wurden angepasst; außerdem wurde die Beschichtung der Bauteile in der Sondenspitze angepasst.</w:t>
      </w:r>
    </w:p>
    <w:p>
      <w:pPr>
        <w:pStyle w:val="GesAbsatz"/>
      </w:pPr>
      <w:r>
        <w:t>Stellungnahme der TÜV Rheinland Energie und Umwelt GmbH vom 30. September 2013</w:t>
      </w:r>
    </w:p>
    <w:p>
      <w:pPr>
        <w:pStyle w:val="GesAbsatz"/>
        <w:ind w:left="426" w:hanging="426"/>
      </w:pPr>
      <w:r>
        <w:rPr>
          <w:b/>
        </w:rPr>
        <w:t>10</w:t>
      </w:r>
      <w:r>
        <w:rPr>
          <w:b/>
        </w:rPr>
        <w:tab/>
        <w:t>Mitteilung zu den Bekanntmachungen des Umweltbundesamtes vom 23. Februar 2012 (BAnz. S. 920, Kapitel III Nummer 1.2) und vom 12. Februar 2013 (BAnz AT 05.03.2013 B10, Kapitel V 15. Mitteilung)</w:t>
      </w:r>
    </w:p>
    <w:p>
      <w:pPr>
        <w:pStyle w:val="GesAbsatz"/>
      </w:pPr>
      <w:r>
        <w:lastRenderedPageBreak/>
        <w:t>Die Auswerteeinrichtung D-EMS 2000 der Firma Durag data systems GmbH verfügt auch über die digitale Schnittstelle – Modbus TCP/IP über Ethernet.</w:t>
      </w:r>
    </w:p>
    <w:p>
      <w:pPr>
        <w:pStyle w:val="GesAbsatz"/>
      </w:pPr>
      <w:r>
        <w:t>Die aktuelle Softwareversion lautet: V 4.50.12232</w:t>
      </w:r>
    </w:p>
    <w:p>
      <w:pPr>
        <w:pStyle w:val="GesAbsatz"/>
      </w:pPr>
      <w:r>
        <w:t>Stellungnahme der TÜV Rheinland Energie und Umwelt GmbH vom 19. Oktober 2013</w:t>
      </w:r>
    </w:p>
    <w:p>
      <w:pPr>
        <w:pStyle w:val="GesAbsatz"/>
        <w:ind w:left="426" w:hanging="426"/>
        <w:rPr>
          <w:b/>
        </w:rPr>
      </w:pPr>
      <w:r>
        <w:rPr>
          <w:b/>
        </w:rPr>
        <w:t>11</w:t>
      </w:r>
      <w:r>
        <w:rPr>
          <w:b/>
        </w:rPr>
        <w:tab/>
        <w:t>Mitteilung zu den Bekanntmachungen des Umweltbundesamtes vom 23. Februar 2012 (BAnz. S. 920, Kapitel III Nummer 1.3) und vom 12. Februar 2013 (BAnz AT 05.03.2013 B10, Kapitel V 16. Mitteilung)</w:t>
      </w:r>
    </w:p>
    <w:p>
      <w:pPr>
        <w:pStyle w:val="GesAbsatz"/>
      </w:pPr>
      <w:r>
        <w:t>Die Auswerteeinrichtung D-EMS 2000 AiO der Firma Durag data systems GmbH verfügt auch über die digitale Schnittstelle – Modbus TCP/IP über Ethernet.</w:t>
      </w:r>
    </w:p>
    <w:p>
      <w:pPr>
        <w:pStyle w:val="GesAbsatz"/>
      </w:pPr>
      <w:r>
        <w:t>Die aktuelle Softwareversion lautet: V 4.50.12250</w:t>
      </w:r>
    </w:p>
    <w:p>
      <w:pPr>
        <w:pStyle w:val="GesAbsatz"/>
      </w:pPr>
      <w:r>
        <w:t>Stellungnahme der TÜV Rheinland Energie und Umwelt GmbH vom 10. Oktober 2013</w:t>
      </w:r>
    </w:p>
    <w:p>
      <w:pPr>
        <w:pStyle w:val="GesAbsatz"/>
        <w:ind w:left="426" w:hanging="426"/>
        <w:rPr>
          <w:b/>
        </w:rPr>
      </w:pPr>
      <w:r>
        <w:rPr>
          <w:b/>
        </w:rPr>
        <w:t>12</w:t>
      </w:r>
      <w:r>
        <w:rPr>
          <w:b/>
        </w:rPr>
        <w:tab/>
        <w:t>Mitteilung zu der Bekanntmachung des Umweltbundesamtes vom 3. Juli 2013 (BAnz AT 23.07.2013 B4, Kapitel I Nummer 3.1)</w:t>
      </w:r>
    </w:p>
    <w:p>
      <w:pPr>
        <w:pStyle w:val="GesAbsatz"/>
      </w:pPr>
      <w:r>
        <w:t>Die aktuellen Softwareversionen der Messeinrichtung CEMS II der Firma Gasmet Technologies Oy lauten:</w:t>
      </w:r>
    </w:p>
    <w:p>
      <w:pPr>
        <w:pStyle w:val="GesAbsatz"/>
      </w:pPr>
      <w:r>
        <w:t>Calcmet: 12.141 mit Auswertemodul 4.42.2 und OXITEC Ver. 1.50np.</w:t>
      </w:r>
    </w:p>
    <w:p>
      <w:pPr>
        <w:pStyle w:val="GesAbsatz"/>
      </w:pPr>
      <w:r>
        <w:t>Stellungnahme der TÜV Rheinland Energie und Umwelt GmbH vom 30. September 2013</w:t>
      </w:r>
    </w:p>
    <w:p>
      <w:pPr>
        <w:pStyle w:val="GesAbsatz"/>
        <w:ind w:left="426" w:hanging="426"/>
        <w:rPr>
          <w:b/>
        </w:rPr>
      </w:pPr>
      <w:r>
        <w:rPr>
          <w:b/>
        </w:rPr>
        <w:t>13</w:t>
      </w:r>
      <w:r>
        <w:rPr>
          <w:b/>
        </w:rPr>
        <w:tab/>
        <w:t>Mitteilung zu der Bekanntmachung des Umweltbundesamtes vom 15. Juli 2011 (BAnz. S. 2725, Kapitel I Nummer 4.2)</w:t>
      </w:r>
    </w:p>
    <w:p>
      <w:pPr>
        <w:pStyle w:val="GesAbsatz"/>
      </w:pPr>
      <w:r>
        <w:t>Die Messeinrichtung PG 250 SRM für CO, NO</w:t>
      </w:r>
      <w:r>
        <w:rPr>
          <w:vertAlign w:val="subscript"/>
        </w:rPr>
        <w:t>x</w:t>
      </w:r>
      <w:r>
        <w:t xml:space="preserve"> und O</w:t>
      </w:r>
      <w:r>
        <w:rPr>
          <w:vertAlign w:val="subscript"/>
        </w:rPr>
        <w:t>2</w:t>
      </w:r>
      <w:r>
        <w:t xml:space="preserve"> der Firma Horiba Europe GmbH kann auch mit der portablen Gasentnahmesonde JPES mit beheizter Messgasleitung und der tragbaren Messgasaufbereitung JCC der Firma JCT Analysentechnik GmbH betrieben werden.</w:t>
      </w:r>
    </w:p>
    <w:p>
      <w:pPr>
        <w:pStyle w:val="GesAbsatz"/>
      </w:pPr>
      <w:r>
        <w:t>Stellungnahme der TÜV Rheinland Energie und Umwelt GmbH vom 7. Oktober 2013</w:t>
      </w:r>
    </w:p>
    <w:p>
      <w:pPr>
        <w:pStyle w:val="GesAbsatz"/>
        <w:ind w:left="426" w:hanging="426"/>
        <w:rPr>
          <w:b/>
        </w:rPr>
      </w:pPr>
      <w:r>
        <w:rPr>
          <w:b/>
        </w:rPr>
        <w:t>14</w:t>
      </w:r>
      <w:r>
        <w:rPr>
          <w:b/>
        </w:rPr>
        <w:tab/>
        <w:t>Mitteilung zu den Bekanntmachungen des Umweltbundesamtes vom 12. Februar 2013 (BAnz AT 05.03.2013 B10, Kapitel I Nummer 5.2) und vom 3. Juli 2013 (BAnz AT 23.07.2013 B4, Kapitel V 3. Mitteilung)</w:t>
      </w:r>
    </w:p>
    <w:p>
      <w:pPr>
        <w:pStyle w:val="GesAbsatz"/>
      </w:pPr>
      <w:r>
        <w:t>Die aktuelle Softwareversion der Messeinrichtung PG-350E für NO</w:t>
      </w:r>
      <w:r>
        <w:rPr>
          <w:vertAlign w:val="subscript"/>
        </w:rPr>
        <w:t>x</w:t>
      </w:r>
      <w:r>
        <w:t>, SO</w:t>
      </w:r>
      <w:r>
        <w:rPr>
          <w:vertAlign w:val="subscript"/>
        </w:rPr>
        <w:t>2</w:t>
      </w:r>
      <w:r>
        <w:t>, CO, CO</w:t>
      </w:r>
      <w:r>
        <w:rPr>
          <w:vertAlign w:val="subscript"/>
        </w:rPr>
        <w:t>2</w:t>
      </w:r>
      <w:r>
        <w:t xml:space="preserve"> und O</w:t>
      </w:r>
      <w:r>
        <w:rPr>
          <w:vertAlign w:val="subscript"/>
        </w:rPr>
        <w:t>2</w:t>
      </w:r>
      <w:r>
        <w:t xml:space="preserve"> der Fa. Horiba Europe GmbH lautet: P2000788001E / 1.12</w:t>
      </w:r>
    </w:p>
    <w:p>
      <w:pPr>
        <w:pStyle w:val="GesAbsatz"/>
      </w:pPr>
      <w:r>
        <w:t>Zudem wurde die Messbereichskonfiguration vom Hersteller dahingehend geändert, dass die hohen Messbereiche für CO (0 – 5 000 ppm) und SO</w:t>
      </w:r>
      <w:r>
        <w:rPr>
          <w:vertAlign w:val="subscript"/>
        </w:rPr>
        <w:t>2</w:t>
      </w:r>
      <w:r>
        <w:t xml:space="preserve"> (0 – 3 000 ppm) nun über das Benutzermenü vom Anwender umgestellt werden können.</w:t>
      </w:r>
    </w:p>
    <w:p>
      <w:pPr>
        <w:pStyle w:val="GesAbsatz"/>
      </w:pPr>
      <w:r>
        <w:t>Eine Umstellung durch den Hersteller mittels spezieller Servicesoftware ist nun nicht mehr notwendig.</w:t>
      </w:r>
    </w:p>
    <w:p>
      <w:pPr>
        <w:pStyle w:val="GesAbsatz"/>
      </w:pPr>
      <w:r>
        <w:t>Stellungnahme der TÜV Rheinland Energie und Umwelt GmbH vom 9. September 2013</w:t>
      </w:r>
    </w:p>
    <w:p>
      <w:pPr>
        <w:pStyle w:val="GesAbsatz"/>
        <w:ind w:left="426" w:hanging="426"/>
        <w:rPr>
          <w:b/>
        </w:rPr>
      </w:pPr>
      <w:r>
        <w:rPr>
          <w:b/>
        </w:rPr>
        <w:t>15</w:t>
      </w:r>
      <w:r>
        <w:rPr>
          <w:b/>
        </w:rPr>
        <w:tab/>
        <w:t>Mitteilung zu den Bekanntmachungen des Umweltbundesamtes vom 3. August 2009 (BAnz. S. 2929, Kapitel I Nummer 3.2) und vom 3. Juli 2013 (BAnz AT 23.07.2013 B4, Kapitel V 12. Mitteilung [Nummer 7] und 13. Mitteilung [Nummer 8])</w:t>
      </w:r>
    </w:p>
    <w:p>
      <w:pPr>
        <w:pStyle w:val="GesAbsatz"/>
      </w:pPr>
      <w:r>
        <w:t>Die aktuellen Firmwareversionen der Emissions-Messeinrichtung GM 32 In-Situ Gasanalysator in der Ausführung Cross-Duct, für NO und SO</w:t>
      </w:r>
      <w:r>
        <w:rPr>
          <w:vertAlign w:val="subscript"/>
        </w:rPr>
        <w:t>2</w:t>
      </w:r>
      <w:r>
        <w:t xml:space="preserve"> der SICK AG lauten:</w:t>
      </w:r>
    </w:p>
    <w:p>
      <w:pPr>
        <w:pStyle w:val="GesAbsatz"/>
      </w:pPr>
      <w:r>
        <w:t>Firmwareversion mit alter Prozessorkarte (CPU PXA255): 9125967 X938</w:t>
      </w:r>
    </w:p>
    <w:p>
      <w:pPr>
        <w:pStyle w:val="GesAbsatz"/>
      </w:pPr>
      <w:r>
        <w:t>Firmwareversion mit neuer Prozessorkarte (CPU TX25): 9171698 X938</w:t>
      </w:r>
    </w:p>
    <w:p>
      <w:pPr>
        <w:pStyle w:val="GesAbsatz"/>
      </w:pPr>
      <w:r>
        <w:t>Stellungnahme der TÜV Rheinland Energie und Umwelt GmbH vom 10. Oktober 2013</w:t>
      </w:r>
    </w:p>
    <w:p>
      <w:pPr>
        <w:pStyle w:val="GesAbsatz"/>
        <w:ind w:left="426" w:hanging="426"/>
        <w:rPr>
          <w:b/>
        </w:rPr>
      </w:pPr>
      <w:r>
        <w:rPr>
          <w:b/>
        </w:rPr>
        <w:t>16</w:t>
      </w:r>
      <w:r>
        <w:rPr>
          <w:b/>
        </w:rPr>
        <w:tab/>
        <w:t>Mitteilung zu den Bekanntmachungen des Umweltbundesamtes vom 3. August 2009 (BAnz. S. 2929, Kapitel I Nummer 3.3) und vom 3. Juli 2013 (BAnz AT 23.07.2013 B4, Kapitel V 12. Mitteilung [Nummer 7] und 13. Mitteilung [Nummer 8])</w:t>
      </w:r>
    </w:p>
    <w:p>
      <w:pPr>
        <w:pStyle w:val="GesAbsatz"/>
      </w:pPr>
      <w:r>
        <w:t>Die aktuellen Firmwareversionen der Emissions-Messeinrichtung GM 32 In-Situ Gasanalysator in der Ausführung Messlanze GMP, für NO und SO</w:t>
      </w:r>
      <w:r>
        <w:rPr>
          <w:vertAlign w:val="subscript"/>
        </w:rPr>
        <w:t>2</w:t>
      </w:r>
      <w:r>
        <w:t xml:space="preserve"> der SICK AG lauten:</w:t>
      </w:r>
    </w:p>
    <w:p>
      <w:pPr>
        <w:pStyle w:val="GesAbsatz"/>
      </w:pPr>
      <w:r>
        <w:t>Firmwareversion mit alter Prozessorkarte (CPU PXA255): 9125967 X938</w:t>
      </w:r>
    </w:p>
    <w:p>
      <w:pPr>
        <w:pStyle w:val="GesAbsatz"/>
      </w:pPr>
      <w:r>
        <w:t>Firmwareversion mit neuer Prozessorkarte (CPU TX25): 9171698 X938</w:t>
      </w:r>
    </w:p>
    <w:p>
      <w:pPr>
        <w:pStyle w:val="GesAbsatz"/>
      </w:pPr>
      <w:r>
        <w:t>Stellungnahme der TÜV Rheinland Energie und Umwelt GmbH vom 10. Oktober 2013</w:t>
      </w:r>
    </w:p>
    <w:p>
      <w:pPr>
        <w:pStyle w:val="GesAbsatz"/>
        <w:ind w:left="426" w:hanging="426"/>
        <w:rPr>
          <w:b/>
        </w:rPr>
      </w:pPr>
      <w:r>
        <w:rPr>
          <w:b/>
        </w:rPr>
        <w:lastRenderedPageBreak/>
        <w:t>17</w:t>
      </w:r>
      <w:r>
        <w:rPr>
          <w:b/>
        </w:rPr>
        <w:tab/>
        <w:t>Mitteilung zu den Bekanntmachungen des Umweltbundesamtes vom 10. Januar 2011 (BAnz. S. 294, Kapitel I Nummer 3.1) und vom 3. Juli 2013 (BAnz AT 23.07.2013 B4, Kapitel V 13. Mitteilung [Nummer 10])</w:t>
      </w:r>
    </w:p>
    <w:p>
      <w:pPr>
        <w:pStyle w:val="GesAbsatz"/>
      </w:pPr>
      <w:r>
        <w:t>Die aktuellen Softwareversionen der Messeinrichtung MCS100FT der SICK AG lauten:</w:t>
      </w:r>
    </w:p>
    <w:p>
      <w:pPr>
        <w:pStyle w:val="GesAbsatz"/>
      </w:pPr>
      <w:r>
        <w:t>MCS100FT: 9114688 WC65</w:t>
      </w:r>
    </w:p>
    <w:p>
      <w:pPr>
        <w:pStyle w:val="GesAbsatz"/>
      </w:pPr>
      <w:r>
        <w:t>SCU: 9158931 VM19</w:t>
      </w:r>
    </w:p>
    <w:p>
      <w:pPr>
        <w:pStyle w:val="GesAbsatz"/>
      </w:pPr>
      <w:r>
        <w:t>FID: Wk16_120917_1400</w:t>
      </w:r>
    </w:p>
    <w:p>
      <w:pPr>
        <w:pStyle w:val="GesAbsatz"/>
      </w:pPr>
      <w:r>
        <w:t>Stellungnahme der TÜV Rheinland Energie und Umwelt GmbH vom 30. September 2013</w:t>
      </w:r>
    </w:p>
    <w:p>
      <w:pPr>
        <w:pStyle w:val="GesAbsatz"/>
        <w:ind w:left="426" w:hanging="426"/>
        <w:rPr>
          <w:b/>
        </w:rPr>
      </w:pPr>
      <w:r>
        <w:rPr>
          <w:b/>
        </w:rPr>
        <w:t>18</w:t>
      </w:r>
      <w:r>
        <w:rPr>
          <w:b/>
        </w:rPr>
        <w:tab/>
        <w:t>Mitteilung zu der Bekanntmachung des Umweltbundesamtes vom 12. April 2007 (BAnz. S. 4139, Kapitel III Nummer 4.1)</w:t>
      </w:r>
    </w:p>
    <w:p>
      <w:pPr>
        <w:pStyle w:val="GesAbsatz"/>
      </w:pPr>
      <w:r>
        <w:t>Die Messeinrichtung AC32M für NO, NO</w:t>
      </w:r>
      <w:r>
        <w:rPr>
          <w:vertAlign w:val="subscript"/>
        </w:rPr>
        <w:t>2</w:t>
      </w:r>
      <w:r>
        <w:t xml:space="preserve"> und NO</w:t>
      </w:r>
      <w:r>
        <w:rPr>
          <w:vertAlign w:val="subscript"/>
        </w:rPr>
        <w:t>x</w:t>
      </w:r>
      <w:r>
        <w:t xml:space="preserve"> der Fa. Environnement erfüllt die Anforderungen der DIN EN 14211 (Ausgabe November 2012). Darüber hinaus erfüllt die Herstellung und das Qualitätsmanagement der Messeinrichtung AC32M für NO, NO</w:t>
      </w:r>
      <w:r>
        <w:rPr>
          <w:vertAlign w:val="subscript"/>
        </w:rPr>
        <w:t>2</w:t>
      </w:r>
      <w:r>
        <w:t xml:space="preserve"> und NO</w:t>
      </w:r>
      <w:r>
        <w:rPr>
          <w:vertAlign w:val="subscript"/>
        </w:rPr>
        <w:t>x</w:t>
      </w:r>
      <w:r>
        <w:t xml:space="preserve"> die Anforderungen der DIN EN 15267.</w:t>
      </w:r>
    </w:p>
    <w:p>
      <w:pPr>
        <w:pStyle w:val="GesAbsatz"/>
      </w:pPr>
      <w:r>
        <w:t>Der Prüfbericht über die Eignungsprüfung mit der Berichtsnummer 936/21205818/A sowie ein Addendum als fester Bestandteil zum Prüfbericht mit der Berichtsnummer 936/21221709/A sind im Internet unter www.qal1.de einsehbar.</w:t>
      </w:r>
    </w:p>
    <w:p>
      <w:pPr>
        <w:pStyle w:val="GesAbsatz"/>
      </w:pPr>
      <w:r>
        <w:t>Stellungnahme der TÜV Rheinland Energie und Umwelt GmbH vom 28. September 2013</w:t>
      </w:r>
    </w:p>
    <w:p>
      <w:pPr>
        <w:pStyle w:val="GesAbsatz"/>
        <w:ind w:left="426" w:hanging="426"/>
        <w:rPr>
          <w:b/>
        </w:rPr>
      </w:pPr>
      <w:r>
        <w:rPr>
          <w:b/>
        </w:rPr>
        <w:t>19</w:t>
      </w:r>
      <w:r>
        <w:rPr>
          <w:b/>
        </w:rPr>
        <w:tab/>
        <w:t>Mitteilung zu der Bekanntmachung des Umweltbundesamtes vom 14. Februar 2008 (BAnz. S. 901, Kapitel III Nummer 1.1)</w:t>
      </w:r>
    </w:p>
    <w:p>
      <w:pPr>
        <w:pStyle w:val="GesAbsatz"/>
      </w:pPr>
      <w:r>
        <w:t>Die Messeinrichtung AF22M für SO</w:t>
      </w:r>
      <w:r>
        <w:rPr>
          <w:vertAlign w:val="subscript"/>
        </w:rPr>
        <w:t>2</w:t>
      </w:r>
      <w:r>
        <w:t xml:space="preserve"> der Fa. Environnement erfüllt die Anforderungen der DIN EN 14212 (Ausgabe November 2012). Darüber hinaus erfüllt die Herstellung und das Qualitätsmanagement der Messeinrichtung AF22M für SO</w:t>
      </w:r>
      <w:r>
        <w:rPr>
          <w:vertAlign w:val="subscript"/>
        </w:rPr>
        <w:t>2</w:t>
      </w:r>
      <w:r>
        <w:t xml:space="preserve"> die Anforderungen der DIN EN 15267.</w:t>
      </w:r>
    </w:p>
    <w:p>
      <w:pPr>
        <w:pStyle w:val="GesAbsatz"/>
      </w:pPr>
      <w:r>
        <w:t>Der Prüfbericht über die Eignungsprüfung mit der Berichtsnummer 936/21206773/A sowie ein Addendum als fester Bestandteil zum Prüfbericht mit der Berichtsnummer 936/21221709/B sind im Internet unter www.qal1.de einsehbar.</w:t>
      </w:r>
    </w:p>
    <w:p>
      <w:pPr>
        <w:pStyle w:val="GesAbsatz"/>
      </w:pPr>
      <w:r>
        <w:t>Stellungnahme der TÜV Rheinland Energie und Umwelt GmbH vom 28. September 2013</w:t>
      </w:r>
    </w:p>
    <w:p>
      <w:pPr>
        <w:pStyle w:val="GesAbsatz"/>
        <w:ind w:left="426" w:hanging="426"/>
        <w:rPr>
          <w:b/>
        </w:rPr>
      </w:pPr>
      <w:r>
        <w:rPr>
          <w:b/>
        </w:rPr>
        <w:t>20</w:t>
      </w:r>
      <w:r>
        <w:rPr>
          <w:b/>
        </w:rPr>
        <w:tab/>
        <w:t>Mitteilung zu der Bekanntmachung des Umweltbundesamtes vom 12. August 2008 (BAnz. S. 3243, Kapitel III Nummer 1.1)</w:t>
      </w:r>
    </w:p>
    <w:p>
      <w:pPr>
        <w:pStyle w:val="GesAbsatz"/>
      </w:pPr>
      <w:r>
        <w:t>Die Messeinrichtung CO12M für CO der Fa. Environnement erfüllt die Anforderungen der DIN EN 14626 (Ausgabe Dezember 2012). Darüber hinaus erfüllt die Herstellung und das Qualitätsmanagement der Messeinrichtung CO12M für CO die Anforderungen der DIN EN 15267.</w:t>
      </w:r>
    </w:p>
    <w:p>
      <w:pPr>
        <w:pStyle w:val="GesAbsatz"/>
      </w:pPr>
      <w:r>
        <w:t>Der Prüfbericht über die Eignungsprüfung mit der Berichtsnummer 936/21206773/B sowie ein Addendum als fester Bestandteil zum Prüfbericht mit der Berichtsnummer 936/21221709/D sind im Internet unter www.qal1.de einsehbar.</w:t>
      </w:r>
    </w:p>
    <w:p>
      <w:pPr>
        <w:pStyle w:val="GesAbsatz"/>
      </w:pPr>
      <w:r>
        <w:t>Stellungnahme der TÜV Rheinland Energie und Umwelt GmbH vom 28. September 2013</w:t>
      </w:r>
    </w:p>
    <w:p>
      <w:pPr>
        <w:pStyle w:val="GesAbsatz"/>
        <w:ind w:left="426" w:hanging="426"/>
        <w:rPr>
          <w:b/>
        </w:rPr>
      </w:pPr>
      <w:r>
        <w:rPr>
          <w:b/>
        </w:rPr>
        <w:t>21</w:t>
      </w:r>
      <w:r>
        <w:rPr>
          <w:b/>
        </w:rPr>
        <w:tab/>
        <w:t>Mitteilung zu der Bekanntmachung des Umweltbundesamtes vom 12. April 2007 (BAnz. S. 4139, Kapitel III Nummer 3.1)</w:t>
      </w:r>
    </w:p>
    <w:p>
      <w:pPr>
        <w:pStyle w:val="GesAbsatz"/>
      </w:pPr>
      <w:r>
        <w:t>Die Messeinrichtung O342M für O</w:t>
      </w:r>
      <w:r>
        <w:rPr>
          <w:vertAlign w:val="subscript"/>
        </w:rPr>
        <w:t>3</w:t>
      </w:r>
      <w:r>
        <w:t xml:space="preserve"> der Fa. Environnement erfüllt die Anforderungen der DIN EN 14625 (Ausgabe Dezember 2012). Darüber hinaus erfüllt die Herstellung und das Qualitätsmanagement der Messeinrichtung O342M für O</w:t>
      </w:r>
      <w:r>
        <w:rPr>
          <w:vertAlign w:val="subscript"/>
        </w:rPr>
        <w:t>3</w:t>
      </w:r>
      <w:r>
        <w:t xml:space="preserve"> die Anforderungen der DIN EN 15267.</w:t>
      </w:r>
    </w:p>
    <w:p>
      <w:pPr>
        <w:pStyle w:val="GesAbsatz"/>
      </w:pPr>
      <w:r>
        <w:t>Der Prüfbericht über die Eignungsprüfung mit der Berichtsnummer 936/21205818/B sowie ein Addendum als fester Bestandteil zum Prüfbericht mit der Berichtsnummer 936/21221709/C sind im Internet unter www.qal1.de einsehbar.</w:t>
      </w:r>
    </w:p>
    <w:p>
      <w:pPr>
        <w:pStyle w:val="GesAbsatz"/>
      </w:pPr>
      <w:r>
        <w:t>Stellungnahme der TÜV Rheinland Energie und Umwelt GmbH vom 28. September 2013</w:t>
      </w:r>
    </w:p>
    <w:p>
      <w:pPr>
        <w:pStyle w:val="GesAbsatz"/>
        <w:ind w:left="426" w:hanging="426"/>
        <w:rPr>
          <w:b/>
        </w:rPr>
      </w:pPr>
      <w:r>
        <w:rPr>
          <w:b/>
        </w:rPr>
        <w:t>22</w:t>
      </w:r>
      <w:r>
        <w:rPr>
          <w:b/>
        </w:rPr>
        <w:tab/>
        <w:t>Mitteilung zu den Bekanntmachungen des Umweltbundesamtes vom 21. Februar 2006 (BAnz. S. 2653, Kapitel IV Nummer 4.1) und vom 6. Juli 2012 (BAnz AT 20.07.2012 B11, Kapitel IV, 23. Mitteilung)</w:t>
      </w:r>
    </w:p>
    <w:p>
      <w:pPr>
        <w:pStyle w:val="GesAbsatz"/>
      </w:pPr>
      <w:r>
        <w:t>Die Messeinrichtung Modell 42i für NO, NO</w:t>
      </w:r>
      <w:r>
        <w:rPr>
          <w:vertAlign w:val="subscript"/>
        </w:rPr>
        <w:t>2</w:t>
      </w:r>
      <w:r>
        <w:t xml:space="preserve"> und NO</w:t>
      </w:r>
      <w:r>
        <w:rPr>
          <w:vertAlign w:val="subscript"/>
        </w:rPr>
        <w:t>x</w:t>
      </w:r>
      <w:r>
        <w:t xml:space="preserve"> der Fa. Thermo Fisher Scientific erfüllt die Anforderungen der DIN EN 14211 (Ausgabe November 2012). Darüber hinaus erfüllt die Herstellung und das Qualitätsmanagement der Messeinrichtung Modell 42i für NO, NO</w:t>
      </w:r>
      <w:r>
        <w:rPr>
          <w:vertAlign w:val="subscript"/>
        </w:rPr>
        <w:t>2</w:t>
      </w:r>
      <w:r>
        <w:t xml:space="preserve"> und NO</w:t>
      </w:r>
      <w:r>
        <w:rPr>
          <w:vertAlign w:val="subscript"/>
        </w:rPr>
        <w:t>x</w:t>
      </w:r>
      <w:r>
        <w:t xml:space="preserve"> die Anforderungen der DIN EN 15267.</w:t>
      </w:r>
    </w:p>
    <w:p>
      <w:pPr>
        <w:pStyle w:val="GesAbsatz"/>
      </w:pPr>
      <w:r>
        <w:lastRenderedPageBreak/>
        <w:t>Der Prüfbericht über die Eignungsprüfung mit der Berichtsnummer 936/21203248/C1 sowie ein Addendum als fester Bestandteil zum Prüfbericht mit der Berichtsnummer 936/21221382/B sind im Internet unter www.qal1.de einsehbar.</w:t>
      </w:r>
    </w:p>
    <w:p>
      <w:pPr>
        <w:pStyle w:val="GesAbsatz"/>
      </w:pPr>
      <w:r>
        <w:t>Die Positionierung des Permeationstrockners vor dem Ozongenerator wurde innerhalb der Messeinrichtung geändert.</w:t>
      </w:r>
    </w:p>
    <w:p>
      <w:pPr>
        <w:pStyle w:val="GesAbsatz"/>
      </w:pPr>
      <w:r>
        <w:t>Das Prozessorboard Arcturus Bd. 101491-xx für die Messeinrichtung Modell 42i für NO, NO</w:t>
      </w:r>
      <w:r>
        <w:rPr>
          <w:vertAlign w:val="subscript"/>
        </w:rPr>
        <w:t>2</w:t>
      </w:r>
      <w:r>
        <w:t xml:space="preserve"> und NO</w:t>
      </w:r>
      <w:r>
        <w:rPr>
          <w:vertAlign w:val="subscript"/>
        </w:rPr>
        <w:t>x</w:t>
      </w:r>
      <w:r>
        <w:t xml:space="preserve"> der Fa. Thermo Fisher Scientific wurde abgekündigt und wird durch das neue Prozessorboard Arcturus Bd. 110570-xx ersetzt.</w:t>
      </w:r>
    </w:p>
    <w:p>
      <w:pPr>
        <w:pStyle w:val="GesAbsatz"/>
      </w:pPr>
      <w:r>
        <w:t>Die aktuelle Softwareversion der Messeinrichtung lautet: V 02.00.05 (113760-00)</w:t>
      </w:r>
    </w:p>
    <w:p>
      <w:pPr>
        <w:pStyle w:val="GesAbsatz"/>
      </w:pPr>
      <w:r>
        <w:t>Stellungnahme der TÜV Rheinland Energie und Umwelt GmbH vom 1. Oktober 2013</w:t>
      </w:r>
    </w:p>
    <w:p>
      <w:pPr>
        <w:pStyle w:val="GesAbsatz"/>
        <w:ind w:left="426" w:hanging="426"/>
        <w:rPr>
          <w:b/>
        </w:rPr>
      </w:pPr>
      <w:r>
        <w:rPr>
          <w:b/>
        </w:rPr>
        <w:t>23</w:t>
      </w:r>
      <w:r>
        <w:rPr>
          <w:b/>
        </w:rPr>
        <w:tab/>
        <w:t>Mitteilung zu den Bekanntmachungen des Umweltbundesamtes vom 12. September 2006 (BAnz. S. 6717, Kapitel II Nummer 2.2) und vom 6. Juli 2012 (BAnz AT 20.07.2012 B11, Kapitel IV 24. Mitteilung)</w:t>
      </w:r>
    </w:p>
    <w:p>
      <w:pPr>
        <w:pStyle w:val="GesAbsatz"/>
      </w:pPr>
      <w:r>
        <w:t>Die Messeinrichtung Modell 43i für SO</w:t>
      </w:r>
      <w:r>
        <w:rPr>
          <w:vertAlign w:val="subscript"/>
        </w:rPr>
        <w:t>2</w:t>
      </w:r>
      <w:r>
        <w:t xml:space="preserve"> der Fa. Thermo Fisher Scientific erfüllt die Anforderungen der DIN EN 14212 (Ausgabe November 2012). Darüber hinaus erfüllt die Herstellung und das Qualitätsmanagement der Messeinrichtung Modell 43i für SO</w:t>
      </w:r>
      <w:r>
        <w:rPr>
          <w:vertAlign w:val="subscript"/>
        </w:rPr>
        <w:t>2</w:t>
      </w:r>
      <w:r>
        <w:t xml:space="preserve"> die Anforderungen der DIN EN 15267.</w:t>
      </w:r>
    </w:p>
    <w:p>
      <w:pPr>
        <w:pStyle w:val="GesAbsatz"/>
      </w:pPr>
      <w:r>
        <w:t>Der Prüfbericht über die Eignungsprüfung mit der Berichtsnummer 936/21203248/D1 sowie ein Addendum als fester Bestandteil zum Prüfbericht mit der Berichtsnummer 936/21221382/C sind im Internet unter www.qal1.de einsehbar.</w:t>
      </w:r>
    </w:p>
    <w:p>
      <w:pPr>
        <w:pStyle w:val="GesAbsatz"/>
      </w:pPr>
      <w:r>
        <w:t>Der Photomultiplier vom Typ Hamamatsu 1P28HA-5 wurde abgekündigt und wird durch den neuen Photomultiplier vom Typ Hamamatsu R11568-15 ersetzt.</w:t>
      </w:r>
    </w:p>
    <w:p>
      <w:pPr>
        <w:pStyle w:val="GesAbsatz"/>
      </w:pPr>
      <w:r>
        <w:t>Das Prozessorboard Arcturus Bd. 101491-xx wurde abgekündigt und wird durch das neue Prozessorboard Arcturus Bd. 110570-xx ersetzt.</w:t>
      </w:r>
    </w:p>
    <w:p>
      <w:pPr>
        <w:pStyle w:val="GesAbsatz"/>
      </w:pPr>
      <w:r>
        <w:t>Die aktuelle Softwareversion der Messeinrichtung lautet: V 02.00.00 (113419-00)</w:t>
      </w:r>
    </w:p>
    <w:p>
      <w:pPr>
        <w:pStyle w:val="GesAbsatz"/>
      </w:pPr>
      <w:r>
        <w:t>Stellungnahme der TÜV Rheinland Energie und Umwelt GmbH vom 2. Oktober 2013</w:t>
      </w:r>
    </w:p>
    <w:p>
      <w:pPr>
        <w:pStyle w:val="GesAbsatz"/>
        <w:ind w:left="426" w:hanging="426"/>
        <w:rPr>
          <w:b/>
        </w:rPr>
      </w:pPr>
      <w:r>
        <w:rPr>
          <w:b/>
        </w:rPr>
        <w:t>24</w:t>
      </w:r>
      <w:r>
        <w:rPr>
          <w:b/>
        </w:rPr>
        <w:tab/>
        <w:t>Mitteilung zu den Bekanntmachungen des Umweltbundesamtes 21. Februar 2006 (BAnz. S. 2653, Kapitel IV Nummer 2.2) und vom 12. Februar 2013 (BAnz AT 05.03.2013 B10, Kapitel V 14. Mitteilung)</w:t>
      </w:r>
    </w:p>
    <w:p>
      <w:pPr>
        <w:pStyle w:val="GesAbsatz"/>
      </w:pPr>
      <w:r>
        <w:t>Die Messeinrichtung Modell 48i für CO der Fa. Thermo Fisher Scientific erfüllt die Anforderungen der DIN EN 14626 (Ausgabe Dezember 2012). Darüber hinaus erfüllt die Herstellung und das Qualitätsmanagement der Messeinrichtung Modell 48i für CO die Anforderungen der DIN EN 15267.</w:t>
      </w:r>
    </w:p>
    <w:p>
      <w:pPr>
        <w:pStyle w:val="GesAbsatz"/>
      </w:pPr>
      <w:r>
        <w:t>Der Prüfbericht über die Eignungsprüfung mit der Berichtsnummer 936/21203248/A1 sowie ein Addendum als fester Bestandteil zum Prüfbericht mit der Berichtsnummer 936/21221382/D sind im Internet unter www.qal1.de einsehbar.</w:t>
      </w:r>
    </w:p>
    <w:p>
      <w:pPr>
        <w:pStyle w:val="GesAbsatz"/>
      </w:pPr>
      <w:r>
        <w:t>Das Prozessorboard Arcturus Bd. 101491-xx wurde abgekündigt und wird durch das neue Prozessorboard Arcturus Bd. 110570-xx ersetzt.</w:t>
      </w:r>
    </w:p>
    <w:p>
      <w:pPr>
        <w:pStyle w:val="GesAbsatz"/>
      </w:pPr>
      <w:r>
        <w:t>Die aktuelle Softwareversion der Messeinrichtung lautet: V 02.00.01 (113420-00)</w:t>
      </w:r>
    </w:p>
    <w:p>
      <w:pPr>
        <w:pStyle w:val="GesAbsatz"/>
      </w:pPr>
      <w:r>
        <w:t>Stellungnahme der TÜV Rheinland Energie und Umwelt GmbH vom 1. Oktober 2013</w:t>
      </w:r>
    </w:p>
    <w:p>
      <w:pPr>
        <w:pStyle w:val="GesAbsatz"/>
        <w:ind w:left="426" w:hanging="426"/>
        <w:rPr>
          <w:b/>
        </w:rPr>
      </w:pPr>
      <w:r>
        <w:rPr>
          <w:b/>
        </w:rPr>
        <w:t>25</w:t>
      </w:r>
      <w:r>
        <w:rPr>
          <w:b/>
        </w:rPr>
        <w:tab/>
        <w:t>Mitteilung zu den Bekanntmachungen des Umweltbundesamtes vom 12. September 2006 (BAnz. S. 6715, Kapitel IV Nummer 1.1) und vom 3. Juli 2013 (BAnz AT 23.07.2013 B4, Kapitel V 28. Mitteilung)</w:t>
      </w:r>
    </w:p>
    <w:p>
      <w:pPr>
        <w:pStyle w:val="GesAbsatz"/>
      </w:pPr>
      <w:r>
        <w:t>Die Messeinrichtung F701-20 der DURAG GmbH für die Messkomponente Schwebstaub PM</w:t>
      </w:r>
      <w:r>
        <w:rPr>
          <w:vertAlign w:val="subscript"/>
        </w:rPr>
        <w:t>10</w:t>
      </w:r>
      <w:r>
        <w:t xml:space="preserve"> erhält eine neue Rechnerelektronik (F701 No11), neue Platinen für die Geiger-Müller-Verstärkerbaugruppe (F701 No32 und No33), ein neues Gehäuse (Hersteller: Fa. Schroff) sowie eine neue Elektronik für den optionalen Filterbanddrucker.</w:t>
      </w:r>
    </w:p>
    <w:p>
      <w:pPr>
        <w:pStyle w:val="GesAbsatz"/>
      </w:pPr>
      <w:r>
        <w:t>Die aktuelle Softwareversion der Messeinrichtung lautet: 3.04</w:t>
      </w:r>
    </w:p>
    <w:p>
      <w:pPr>
        <w:pStyle w:val="GesAbsatz"/>
      </w:pPr>
      <w:r>
        <w:t>Stellungnahme der TÜV Rheinland Energie und Umwelt GmbH vom 4. Oktober 2013</w:t>
      </w:r>
    </w:p>
    <w:p>
      <w:pPr>
        <w:pStyle w:val="GesAbsatz"/>
        <w:ind w:left="426" w:hanging="426"/>
        <w:rPr>
          <w:b/>
        </w:rPr>
      </w:pPr>
      <w:r>
        <w:rPr>
          <w:b/>
        </w:rPr>
        <w:t>26</w:t>
      </w:r>
      <w:r>
        <w:rPr>
          <w:b/>
        </w:rPr>
        <w:tab/>
        <w:t>Mitteilung zu den Bekanntmachungen des Umweltbundesamtes vom 21. Februar 2006 (BAnz. S. 2653, Kapitel IV Nummer 2.1) und vom 12. Februar 2013 (BAnz AT 05.03.2013 B10, Kapitel V 7. Mitteilung)</w:t>
      </w:r>
    </w:p>
    <w:p>
      <w:pPr>
        <w:pStyle w:val="GesAbsatz"/>
      </w:pPr>
      <w:r>
        <w:t>Die Messeinrichtung APMA 370 für CO der Fa. Horiba Ltd., Japan sowie der Horiba Europe GmbH erfüllt die Anforderungen der DIN EN 14626 (Ausgabe Dezember 2012). Ein Addendum als fester Bestandteil zum Prüfbericht mit der Berichtsnummer 936/21222689/B ist im Internet unter www.qal1.de einsehbar.</w:t>
      </w:r>
    </w:p>
    <w:p>
      <w:pPr>
        <w:pStyle w:val="GesAbsatz"/>
      </w:pPr>
      <w:r>
        <w:lastRenderedPageBreak/>
        <w:t>Stellungnahme der TÜV Rheinland Energie und Umwelt GmbH vom 5. Oktober 2013</w:t>
      </w:r>
    </w:p>
    <w:p>
      <w:pPr>
        <w:pStyle w:val="GesAbsatz"/>
        <w:ind w:left="426" w:hanging="426"/>
        <w:rPr>
          <w:b/>
        </w:rPr>
      </w:pPr>
      <w:r>
        <w:rPr>
          <w:b/>
        </w:rPr>
        <w:t>27</w:t>
      </w:r>
      <w:r>
        <w:rPr>
          <w:b/>
        </w:rPr>
        <w:tab/>
        <w:t>Mitteilung zu den Bekanntmachungen des Umweltbundesamtes vom 12. September 2006 (BAnz. S. 6715, Kapitel IV Nummer 3.1) und vom 12. Februar 2013 (BAnz AT 05.03.2013 B10, Kapitel V 8. Mitteilung)</w:t>
      </w:r>
    </w:p>
    <w:p>
      <w:pPr>
        <w:pStyle w:val="GesAbsatz"/>
      </w:pPr>
      <w:r>
        <w:t>Die Messeinrichtung APNA 370 für NO, NO2 und NOx der Fa. Horiba Ltd., Japan sowie der Horiba Europe GmbH erfüllt die Anforderungen der DIN EN 14211 (Ausgabe November 2012). Ein Addendum als fester Bestandteil zum Prüfbericht mit der Berichtsnummer 936/21222689/C ist im Internet unter www.qal1.de einsehbar.</w:t>
      </w:r>
    </w:p>
    <w:p>
      <w:pPr>
        <w:pStyle w:val="GesAbsatz"/>
      </w:pPr>
      <w:r>
        <w:t>Stellungnahme der TÜV Rheinland Energie und Umwelt GmbH vom 5. Oktober 2013</w:t>
      </w:r>
    </w:p>
    <w:p>
      <w:pPr>
        <w:pStyle w:val="GesAbsatz"/>
        <w:ind w:left="426" w:hanging="426"/>
        <w:rPr>
          <w:b/>
        </w:rPr>
      </w:pPr>
      <w:r>
        <w:rPr>
          <w:b/>
        </w:rPr>
        <w:t>28</w:t>
      </w:r>
      <w:r>
        <w:rPr>
          <w:b/>
        </w:rPr>
        <w:tab/>
        <w:t>Mitteilung zu den Bekanntmachungen des Umweltbundesamtes vom 21. Februar 2006 (BAnz. S. 2653, Kapitel IV Nummer 3.1) und vom 12. Februar 2013 (BAnz AT 05.03.2013 B10, Kapitel V 9. Mitteilung)</w:t>
      </w:r>
    </w:p>
    <w:p>
      <w:pPr>
        <w:pStyle w:val="GesAbsatz"/>
      </w:pPr>
      <w:r>
        <w:t>Die Messeinrichtung APOA 370 für O</w:t>
      </w:r>
      <w:r>
        <w:rPr>
          <w:vertAlign w:val="subscript"/>
        </w:rPr>
        <w:t>3</w:t>
      </w:r>
      <w:r>
        <w:t xml:space="preserve"> der Fa. Horiba Ltd., Japan sowie der Horiba Europe GmbH erfüllt die Anforderungen der DIN EN 14625 (Ausgabe Dezember 2012). Ein Addendum als fester Bestandteil zum Prüfbericht mit der Berichtsnummer 936/21222689/A ist im Internet unter www.qal1.de einsehbar.</w:t>
      </w:r>
    </w:p>
    <w:p>
      <w:pPr>
        <w:pStyle w:val="GesAbsatz"/>
      </w:pPr>
      <w:r>
        <w:t>Die Messeinrichtung kann zusätzlich neben dem bislang verwendeten Gehäuselüfter der Firma Nidec vom Typ D06T-24 PH auch mit einem geregelten Lüfter der Firma Papst vom Typ 3412 NGV ausgerüstet werden.</w:t>
      </w:r>
    </w:p>
    <w:p>
      <w:pPr>
        <w:pStyle w:val="GesAbsatz"/>
      </w:pPr>
      <w:r>
        <w:t>Stellungnahme der TÜV Rheinland Energie und Umwelt GmbH vom 8. Oktober 2013</w:t>
      </w:r>
    </w:p>
    <w:p>
      <w:pPr>
        <w:pStyle w:val="GesAbsatz"/>
        <w:ind w:left="426" w:hanging="426"/>
        <w:rPr>
          <w:b/>
        </w:rPr>
      </w:pPr>
      <w:r>
        <w:rPr>
          <w:b/>
        </w:rPr>
        <w:t>29</w:t>
      </w:r>
      <w:r>
        <w:rPr>
          <w:b/>
        </w:rPr>
        <w:tab/>
        <w:t>Mitteilung zu den Bekanntmachungen des Umweltbundesamtes vom 12. September 2006 (BAnz. S. 6715, Kapitel IV Nummer 2.1) und vom 12. Februar 2013 (BAnz AT 05.03.2013 B10, Kapitel V 10. Mitteilung)</w:t>
      </w:r>
    </w:p>
    <w:p>
      <w:pPr>
        <w:pStyle w:val="GesAbsatz"/>
      </w:pPr>
      <w:r>
        <w:t>Die Messeinrichtung APSA 370 für SO</w:t>
      </w:r>
      <w:r>
        <w:rPr>
          <w:vertAlign w:val="subscript"/>
        </w:rPr>
        <w:t>2</w:t>
      </w:r>
      <w:r>
        <w:t xml:space="preserve"> der Fa. Horiba Ltd., Japan sowie der Horiba Europe GmbH erfüllt die Anforderungen der DIN EN 14212 (Ausgabe November 2012). Ein Addendum als fester Bestandteil zum Prüfbericht mit der Berichtsnummer 936/21222689/D ist im Internet unter www.qal1.de einsehbar.</w:t>
      </w:r>
    </w:p>
    <w:p>
      <w:pPr>
        <w:pStyle w:val="GesAbsatz"/>
      </w:pPr>
      <w:r>
        <w:t>Es kann neben der bisher verwendeten Referenzdiode zur Messung der UV-Lampenintensität vom Typ S7798 auch die Diode vom Typ S12698 (TO5) verwendet werden.</w:t>
      </w:r>
    </w:p>
    <w:p>
      <w:pPr>
        <w:pStyle w:val="GesAbsatz"/>
      </w:pPr>
      <w:r>
        <w:t>Stellungnahme der TÜV Rheinland Energie und Umwelt GmbH vom 8. Oktober 2013</w:t>
      </w:r>
    </w:p>
    <w:p>
      <w:pPr>
        <w:pStyle w:val="GesAbsatz"/>
        <w:ind w:left="426" w:hanging="426"/>
        <w:rPr>
          <w:b/>
        </w:rPr>
      </w:pPr>
      <w:r>
        <w:rPr>
          <w:b/>
        </w:rPr>
        <w:t>30</w:t>
      </w:r>
      <w:r>
        <w:rPr>
          <w:b/>
        </w:rPr>
        <w:tab/>
        <w:t>Mitteilung zu den Bekanntmachungen des Umweltbundesamtes vom 25. Juli 2005 (BAnz. S. 15 700, Kapitel IV Nummer 1.1) und vom 10. Januar 2011 (BAnz. S. 294, Kapitel IV 4. Mitteilung)</w:t>
      </w:r>
    </w:p>
    <w:p>
      <w:pPr>
        <w:pStyle w:val="GesAbsatz"/>
      </w:pPr>
      <w:r>
        <w:t>Die aktuelle Softwareversion für die Messeinrichtung SM 200 mit PM10-Vorabscheider der Fa. Opsis AB lautet: 1.04.17</w:t>
      </w:r>
    </w:p>
    <w:p>
      <w:pPr>
        <w:pStyle w:val="GesAbsatz"/>
      </w:pPr>
      <w:r>
        <w:t>Die Messeinrichtung wird ab der Seriennummer SN 1513 mit einer alternativen 14C-Strahlenquelle der Fa. Eckert &amp; Ziegler, D ausgerüstet.</w:t>
      </w:r>
    </w:p>
    <w:p>
      <w:pPr>
        <w:pStyle w:val="GesAbsatz"/>
      </w:pPr>
      <w:r>
        <w:t>Stellungnahme der TÜV Rheinland Energie und Umwelt GmbH vom 30. September 2013</w:t>
      </w:r>
    </w:p>
    <w:p>
      <w:pPr>
        <w:pStyle w:val="GesAbsatz"/>
        <w:ind w:left="426" w:hanging="426"/>
        <w:rPr>
          <w:b/>
        </w:rPr>
      </w:pPr>
      <w:r>
        <w:rPr>
          <w:b/>
        </w:rPr>
        <w:t>31</w:t>
      </w:r>
      <w:r>
        <w:rPr>
          <w:b/>
        </w:rPr>
        <w:tab/>
        <w:t>Mitteilung zu den Bekanntmachungen des Umweltbundesamtes vom 3. August 2009 (BAnz. S. 2929, Kapitel II Nummer 2.1) und vom 10. Januar 2011 (BAnz. S. 294, Kapitel IV 3. Mitteilung)</w:t>
      </w:r>
    </w:p>
    <w:p>
      <w:pPr>
        <w:pStyle w:val="GesAbsatz"/>
      </w:pPr>
      <w:r>
        <w:t>Die aktuelle Softwareversion für die Messeinrichtung SM 200 für PM</w:t>
      </w:r>
      <w:r>
        <w:rPr>
          <w:vertAlign w:val="subscript"/>
        </w:rPr>
        <w:t>2,5</w:t>
      </w:r>
      <w:r>
        <w:t xml:space="preserve"> der Fa. Opsis AB lautet: 1.04.17</w:t>
      </w:r>
    </w:p>
    <w:p>
      <w:pPr>
        <w:pStyle w:val="GesAbsatz"/>
      </w:pPr>
      <w:r>
        <w:t>Die Messeinrichtung wird ab der Seriennummer SN 1513 mit einer alternativen 14C-Strahlenquelle der Fa. Eckert &amp; Ziegler, D ausgerüstet.</w:t>
      </w:r>
    </w:p>
    <w:p>
      <w:pPr>
        <w:pStyle w:val="GesAbsatz"/>
      </w:pPr>
      <w:r>
        <w:t>Stellungnahme der TÜV Rheinland Energie und Umwelt GmbH vom 30. September 2013</w:t>
      </w:r>
    </w:p>
    <w:p>
      <w:pPr>
        <w:pStyle w:val="GesAbsatz"/>
        <w:ind w:left="426" w:hanging="426"/>
        <w:rPr>
          <w:b/>
        </w:rPr>
      </w:pPr>
      <w:r>
        <w:rPr>
          <w:b/>
        </w:rPr>
        <w:t>32</w:t>
      </w:r>
      <w:r>
        <w:rPr>
          <w:b/>
        </w:rPr>
        <w:tab/>
        <w:t>Mitteilung zu den Bekanntmachungen des Umweltbundesamtes vom 23. Februar 2012 (BAnz. S. 920, Kapitel IV Nummer 1.1) und vom 3. Juli 2013 (BAnz AT 23.07.2013 B4, Kapitel V 19. Mitteilung)</w:t>
      </w:r>
    </w:p>
    <w:p>
      <w:pPr>
        <w:pStyle w:val="GesAbsatz"/>
      </w:pPr>
      <w:r>
        <w:t>Die aktuelle Softwareversion der Messeinrichtung TEOM 1405-F Ambient Particulate Monitor mit PM</w:t>
      </w:r>
      <w:r>
        <w:rPr>
          <w:vertAlign w:val="subscript"/>
        </w:rPr>
        <w:t>10</w:t>
      </w:r>
      <w:r>
        <w:t>-Vorabscheider der Fa. Thermo Fisher Scientific für die Messkomponente Schwebstaub PM</w:t>
      </w:r>
      <w:r>
        <w:rPr>
          <w:vertAlign w:val="subscript"/>
        </w:rPr>
        <w:t>10</w:t>
      </w:r>
      <w:r>
        <w:t xml:space="preserve"> lautet: 1.57</w:t>
      </w:r>
    </w:p>
    <w:p>
      <w:pPr>
        <w:pStyle w:val="GesAbsatz"/>
      </w:pPr>
      <w:r>
        <w:t>Stellungnahme der TÜV Rheinland Energie und Umwelt GmbH vom 1. Oktober 2013</w:t>
      </w:r>
    </w:p>
    <w:p>
      <w:pPr>
        <w:pStyle w:val="GesAbsatz"/>
        <w:ind w:left="426" w:hanging="426"/>
        <w:rPr>
          <w:b/>
        </w:rPr>
      </w:pPr>
      <w:r>
        <w:rPr>
          <w:b/>
        </w:rPr>
        <w:t>33</w:t>
      </w:r>
      <w:r>
        <w:rPr>
          <w:b/>
        </w:rPr>
        <w:tab/>
        <w:t>Mitteilung zu den Bekanntmachungen des Umweltbundesamtes vom 6. Juli 2012 (BAnz AT 20.07.2012 B11, Kapitel III Nummer 1.1) und vom 3. Juli 2013 (BAnz AT 23.07.2013 B4, Kapitel V 20. Mitteilung)</w:t>
      </w:r>
    </w:p>
    <w:p>
      <w:pPr>
        <w:pStyle w:val="GesAbsatz"/>
      </w:pPr>
      <w:r>
        <w:t>Die aktuelle Softwareversion der Messeinrichtung TEOM 1405-F Ambient Particulate Monitor mit PM</w:t>
      </w:r>
      <w:r>
        <w:rPr>
          <w:vertAlign w:val="subscript"/>
        </w:rPr>
        <w:t>2,5</w:t>
      </w:r>
      <w:r>
        <w:t>-Vorabscheider der Fa. Thermo Fisher Scientific für die Messkomponente Schwebstaub PM</w:t>
      </w:r>
      <w:r>
        <w:rPr>
          <w:vertAlign w:val="subscript"/>
        </w:rPr>
        <w:t>2,5</w:t>
      </w:r>
      <w:r>
        <w:t xml:space="preserve"> lautet: 1.57</w:t>
      </w:r>
    </w:p>
    <w:p>
      <w:pPr>
        <w:pStyle w:val="GesAbsatz"/>
      </w:pPr>
      <w:r>
        <w:t>Stellungnahme der TÜV Rheinland Energie und Umwelt GmbH vom 1. Oktober 2013</w:t>
      </w:r>
    </w:p>
    <w:p>
      <w:pPr>
        <w:pStyle w:val="GesAbsatz"/>
        <w:ind w:left="426" w:hanging="426"/>
        <w:rPr>
          <w:b/>
        </w:rPr>
      </w:pPr>
      <w:r>
        <w:rPr>
          <w:b/>
        </w:rPr>
        <w:lastRenderedPageBreak/>
        <w:t>34</w:t>
      </w:r>
      <w:r>
        <w:rPr>
          <w:b/>
        </w:rPr>
        <w:tab/>
        <w:t>Mitteilung zu den Bekanntmachungen des Umweltbundesamtes vom 6. Juli 2012 (BAnz AT 20.07.2012 B11, Kapitel III Nummer 2.1) und vom 3. Juli 2013 (BAnz AT 23.07.2013 B4, Kapitel V 21. Mitteilung)</w:t>
      </w:r>
    </w:p>
    <w:p>
      <w:pPr>
        <w:pStyle w:val="GesAbsatz"/>
      </w:pPr>
      <w:r>
        <w:t>Die aktuelle Softwareversion der Messeinrichtung TEOM 1405-DF Ambient Particulate Monitor mit PM</w:t>
      </w:r>
      <w:r>
        <w:rPr>
          <w:vertAlign w:val="subscript"/>
        </w:rPr>
        <w:t>10</w:t>
      </w:r>
      <w:r>
        <w:t>-Vorabscheider und virtuellem Impaktor der Fa. Thermo Fisher Scientific für die Messkomponenten Schwebstaub PM</w:t>
      </w:r>
      <w:r>
        <w:rPr>
          <w:vertAlign w:val="subscript"/>
        </w:rPr>
        <w:t>10</w:t>
      </w:r>
      <w:r>
        <w:t xml:space="preserve"> und PM</w:t>
      </w:r>
      <w:r>
        <w:rPr>
          <w:vertAlign w:val="subscript"/>
        </w:rPr>
        <w:t xml:space="preserve">2,5 </w:t>
      </w:r>
      <w:r>
        <w:t>lautet: 1.57</w:t>
      </w:r>
    </w:p>
    <w:p>
      <w:pPr>
        <w:pStyle w:val="GesAbsatz"/>
      </w:pPr>
      <w:r>
        <w:t>Stellungnahme der TÜV Rheinland Energie und Umwelt GmbH vom 1. Oktober 2013</w:t>
      </w:r>
    </w:p>
    <w:p>
      <w:pPr>
        <w:pStyle w:val="GesAbsatz"/>
        <w:ind w:left="426" w:hanging="426"/>
        <w:rPr>
          <w:b/>
        </w:rPr>
      </w:pPr>
      <w:r>
        <w:rPr>
          <w:b/>
        </w:rPr>
        <w:t>35</w:t>
      </w:r>
      <w:r>
        <w:rPr>
          <w:b/>
        </w:rPr>
        <w:tab/>
        <w:t>Mitteilung zu den Bekanntmachungen des Umweltbundesamtes vom 21. Februar 2006 (BAnz. S. 2653, Kapitel IV Nummer 3.2) und vom 3. Juli 2013 (BAnz AT 23.07.2013 B4, Kapitel V 22. Mitteilung)</w:t>
      </w:r>
    </w:p>
    <w:p>
      <w:pPr>
        <w:pStyle w:val="GesAbsatz"/>
      </w:pPr>
      <w:r>
        <w:t>Das Prozessorboard Arcturus Bd. 101491-xx für die Messeinrichtung Modell 49i für O</w:t>
      </w:r>
      <w:r>
        <w:rPr>
          <w:vertAlign w:val="subscript"/>
        </w:rPr>
        <w:t>3</w:t>
      </w:r>
      <w:r>
        <w:t xml:space="preserve"> der Fa. Thermo Fisher Scientific wurde abgekündigt und wird durch das neue Prozessorboard Arcturus Bd. 110570-xx ersetzt.</w:t>
      </w:r>
    </w:p>
    <w:p>
      <w:pPr>
        <w:pStyle w:val="GesAbsatz"/>
      </w:pPr>
      <w:r>
        <w:t>Die aktuelle Softwareversion der Messeinrichtung lautet: V 02.00.00 (113421-00)</w:t>
      </w:r>
    </w:p>
    <w:p>
      <w:pPr>
        <w:pStyle w:val="GesAbsatz"/>
      </w:pPr>
      <w:r>
        <w:t>Stellungnahme der TÜV Rheinland Energie und Umwelt GmbH vom 1. Oktober 2013</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27.02.2014 (BAnz. v. 01.04.2014)</w:t>
    </w:r>
    <w:r>
      <w:tab/>
      <w:t xml:space="preserve">Seite </w:t>
    </w:r>
    <w:r>
      <w:fldChar w:fldCharType="begin"/>
    </w:r>
    <w:r>
      <w:instrText xml:space="preserve"> PAGE  \* MERGEFORMAT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60.1-65</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DEED36-EA25-4189-B481-DD27E022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C2272-F9FB-472D-82A7-409D4599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25</Pages>
  <Words>8267</Words>
  <Characters>52364</Characters>
  <Application>Microsoft Office Word</Application>
  <DocSecurity>0</DocSecurity>
  <Lines>436</Lines>
  <Paragraphs>121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60510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3</cp:revision>
  <cp:lastPrinted>2004-12-14T12:08:00Z</cp:lastPrinted>
  <dcterms:created xsi:type="dcterms:W3CDTF">2014-08-15T07:20:00Z</dcterms:created>
  <dcterms:modified xsi:type="dcterms:W3CDTF">2024-07-25T07:04:00Z</dcterms:modified>
</cp:coreProperties>
</file>