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5254037"/>
      <w:bookmarkStart w:id="1" w:name="_GoBack"/>
      <w:bookmarkEnd w:id="1"/>
      <w:r>
        <w:t>Bekanntmachung über die bundeseinheitliche Praxis</w:t>
      </w:r>
      <w:r>
        <w:br/>
        <w:t>bei der Überwachung der Emissionen und der Immissionen</w:t>
      </w:r>
      <w:bookmarkEnd w:id="0"/>
    </w:p>
    <w:p>
      <w:pPr>
        <w:pStyle w:val="GesAbsatz"/>
        <w:jc w:val="center"/>
      </w:pPr>
      <w:r>
        <w:t>vom 12. Februar 2013</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5254037"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_Toc395254037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254038"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_Toc395254038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254039" w:history="1">
        <w:r>
          <w:rPr>
            <w:rStyle w:val="Hyperlink"/>
            <w:noProof/>
          </w:rPr>
          <w:t>II.</w:t>
        </w:r>
        <w:r>
          <w:rPr>
            <w:noProof/>
            <w:webHidden/>
          </w:rPr>
          <w:tab/>
        </w:r>
        <w:r>
          <w:rPr>
            <w:noProof/>
            <w:webHidden/>
          </w:rPr>
          <w:fldChar w:fldCharType="begin"/>
        </w:r>
        <w:r>
          <w:rPr>
            <w:noProof/>
            <w:webHidden/>
          </w:rPr>
          <w:instrText xml:space="preserve"> PAGEREF _Toc395254039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254040" w:history="1">
        <w:r>
          <w:rPr>
            <w:rStyle w:val="Hyperlink"/>
            <w:noProof/>
          </w:rPr>
          <w:t>Eignung für Messeinrichtungen zur kontinuierlichen Messung von Bezugsgrößen/Betriebsgrößen</w:t>
        </w:r>
        <w:r>
          <w:rPr>
            <w:noProof/>
            <w:webHidden/>
          </w:rPr>
          <w:tab/>
        </w:r>
        <w:r>
          <w:rPr>
            <w:noProof/>
            <w:webHidden/>
          </w:rPr>
          <w:fldChar w:fldCharType="begin"/>
        </w:r>
        <w:r>
          <w:rPr>
            <w:noProof/>
            <w:webHidden/>
          </w:rPr>
          <w:instrText xml:space="preserve"> PAGEREF _Toc395254040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254041" w:history="1">
        <w:r>
          <w:rPr>
            <w:rStyle w:val="Hyperlink"/>
            <w:noProof/>
          </w:rPr>
          <w:t>III. Eignung elektronischer Systeme zum Erfassen und Auswerten kontinuierlicher Emissionsmessungen und zur Emissionsdatenfernübertragung</w:t>
        </w:r>
        <w:r>
          <w:rPr>
            <w:noProof/>
            <w:webHidden/>
          </w:rPr>
          <w:tab/>
        </w:r>
        <w:r>
          <w:rPr>
            <w:noProof/>
            <w:webHidden/>
          </w:rPr>
          <w:fldChar w:fldCharType="begin"/>
        </w:r>
        <w:r>
          <w:rPr>
            <w:noProof/>
            <w:webHidden/>
          </w:rPr>
          <w:instrText xml:space="preserve"> PAGEREF _Toc395254041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254042" w:history="1">
        <w:r>
          <w:rPr>
            <w:rStyle w:val="Hyperlink"/>
            <w:noProof/>
          </w:rPr>
          <w:t>IV. Eignung von Messeinrichtungen zur kontinuierlichen Überwachung von Immissionen</w:t>
        </w:r>
        <w:r>
          <w:rPr>
            <w:noProof/>
            <w:webHidden/>
          </w:rPr>
          <w:tab/>
        </w:r>
        <w:r>
          <w:rPr>
            <w:noProof/>
            <w:webHidden/>
          </w:rPr>
          <w:fldChar w:fldCharType="begin"/>
        </w:r>
        <w:r>
          <w:rPr>
            <w:noProof/>
            <w:webHidden/>
          </w:rPr>
          <w:instrText xml:space="preserve"> PAGEREF _Toc395254042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5254043" w:history="1">
        <w:r>
          <w:rPr>
            <w:rStyle w:val="Hyperlink"/>
            <w:noProof/>
          </w:rPr>
          <w:t>V. Mitteilungen zur Bundeseinheitlichen Praxis bei der Überwachung von Emissionen und Immissionen</w:t>
        </w:r>
        <w:r>
          <w:rPr>
            <w:noProof/>
            <w:webHidden/>
          </w:rPr>
          <w:tab/>
        </w:r>
        <w:r>
          <w:rPr>
            <w:noProof/>
            <w:webHidden/>
          </w:rPr>
          <w:fldChar w:fldCharType="begin"/>
        </w:r>
        <w:r>
          <w:rPr>
            <w:noProof/>
            <w:webHidden/>
          </w:rPr>
          <w:instrText xml:space="preserve"> PAGEREF _Toc395254043 \h </w:instrText>
        </w:r>
        <w:r>
          <w:rPr>
            <w:noProof/>
            <w:webHidden/>
          </w:rPr>
        </w:r>
        <w:r>
          <w:rPr>
            <w:noProof/>
            <w:webHidden/>
          </w:rPr>
          <w:fldChar w:fldCharType="separate"/>
        </w:r>
        <w:r>
          <w:rPr>
            <w:noProof/>
            <w:webHidden/>
          </w:rPr>
          <w:t>18</w:t>
        </w:r>
        <w:r>
          <w:rPr>
            <w:noProof/>
            <w:webHidden/>
          </w:rPr>
          <w:fldChar w:fldCharType="end"/>
        </w:r>
      </w:hyperlink>
    </w:p>
    <w:p>
      <w:pPr>
        <w:pStyle w:val="GesAbsatz"/>
      </w:pPr>
      <w:r>
        <w:fldChar w:fldCharType="end"/>
      </w:r>
    </w:p>
    <w:p>
      <w:pPr>
        <w:pStyle w:val="berschrift2"/>
      </w:pPr>
      <w:bookmarkStart w:id="2" w:name="_Toc395254038"/>
      <w:r>
        <w:t>I.</w:t>
      </w:r>
      <w:r>
        <w:br/>
        <w:t>Eignung von Messeinrichtungen zur kontinuierlichen Überwachung von Emissionen</w:t>
      </w:r>
      <w:bookmarkEnd w:id="2"/>
    </w:p>
    <w:p>
      <w:pPr>
        <w:pStyle w:val="GesAbsatz"/>
      </w:pPr>
      <w:r>
        <w:t>Unter Bezugnahme auf Nummer 3 der Richtlinie über die Bundeseinheitliche Praxis bei der Überwachung der Emissionen, Rundschreiben des Bundesministeriums für Umwelt, Naturschutz und Reaktorsicherheit (BMU) - IG I 2 - 45053/5 (GMBl 2005, S. 795), zuletzt geändert am 4. August 2010 (GMBl 2010 S. 1172), wird im Auftrag des BMU die Eignung der folgenden Messeinrichtungen bekannt gegeben:</w:t>
      </w:r>
    </w:p>
    <w:p>
      <w:pPr>
        <w:pStyle w:val="GesAbsatz"/>
        <w:rPr>
          <w:b/>
        </w:rPr>
      </w:pPr>
      <w:r>
        <w:rPr>
          <w:b/>
        </w:rPr>
        <w:t>1</w:t>
      </w:r>
      <w:r>
        <w:rPr>
          <w:b/>
        </w:rPr>
        <w:tab/>
        <w:t>Staubförmige Emissionen (Staubkonzentration)</w:t>
      </w:r>
    </w:p>
    <w:p>
      <w:pPr>
        <w:pStyle w:val="GesAbsatz"/>
        <w:rPr>
          <w:b/>
        </w:rPr>
      </w:pPr>
      <w:r>
        <w:rPr>
          <w:b/>
        </w:rPr>
        <w:t>1.1</w:t>
      </w:r>
      <w:r>
        <w:rPr>
          <w:b/>
        </w:rPr>
        <w:tab/>
        <w:t>PCME QAL 181 für Gesamtstaub</w:t>
      </w:r>
    </w:p>
    <w:p>
      <w:pPr>
        <w:pStyle w:val="GesAbsatz"/>
      </w:pPr>
      <w:r>
        <w:t>Hersteller:</w:t>
      </w:r>
    </w:p>
    <w:p>
      <w:pPr>
        <w:pStyle w:val="GesAbsatz"/>
      </w:pPr>
      <w:r>
        <w:t>PCME Ltd., St. Ives, Vereinigtes Königreich</w:t>
      </w:r>
    </w:p>
    <w:p>
      <w:pPr>
        <w:pStyle w:val="GesAbsatz"/>
      </w:pPr>
      <w:r>
        <w:t>Eignung:</w:t>
      </w:r>
    </w:p>
    <w:p>
      <w:pPr>
        <w:pStyle w:val="GesAbsatz"/>
      </w:pPr>
      <w:r>
        <w:t>Für genehmigungsbedürftige Anlagen und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901"/>
        <w:gridCol w:w="2773"/>
        <w:gridCol w:w="1891"/>
      </w:tblGrid>
      <w:tr>
        <w:tc>
          <w:tcPr>
            <w:tcW w:w="2093" w:type="dxa"/>
            <w:shd w:val="clear" w:color="auto" w:fill="auto"/>
          </w:tcPr>
          <w:p>
            <w:pPr>
              <w:pStyle w:val="GesAbsatz"/>
              <w:tabs>
                <w:tab w:val="clear" w:pos="425"/>
              </w:tabs>
            </w:pPr>
            <w:r>
              <w:t>Komponente</w:t>
            </w:r>
          </w:p>
        </w:tc>
        <w:tc>
          <w:tcPr>
            <w:tcW w:w="2950" w:type="dxa"/>
            <w:shd w:val="clear" w:color="auto" w:fill="auto"/>
          </w:tcPr>
          <w:p>
            <w:pPr>
              <w:pStyle w:val="GesAbsatz"/>
              <w:tabs>
                <w:tab w:val="clear" w:pos="425"/>
              </w:tabs>
            </w:pPr>
            <w:r>
              <w:t>Zertifizierungsbereich</w:t>
            </w:r>
          </w:p>
        </w:tc>
        <w:tc>
          <w:tcPr>
            <w:tcW w:w="2820" w:type="dxa"/>
            <w:shd w:val="clear" w:color="auto" w:fill="auto"/>
          </w:tcPr>
          <w:p>
            <w:pPr>
              <w:pStyle w:val="GesAbsatz"/>
              <w:tabs>
                <w:tab w:val="clear" w:pos="425"/>
              </w:tabs>
            </w:pPr>
            <w:r>
              <w:t>zusätzlicher Messbereich</w:t>
            </w:r>
          </w:p>
        </w:tc>
        <w:tc>
          <w:tcPr>
            <w:tcW w:w="1917" w:type="dxa"/>
            <w:shd w:val="clear" w:color="auto" w:fill="auto"/>
          </w:tcPr>
          <w:p>
            <w:pPr>
              <w:pStyle w:val="GesAbsatz"/>
              <w:tabs>
                <w:tab w:val="clear" w:pos="425"/>
              </w:tabs>
            </w:pPr>
            <w:r>
              <w:t>Einheit</w:t>
            </w:r>
          </w:p>
        </w:tc>
      </w:tr>
      <w:tr>
        <w:tc>
          <w:tcPr>
            <w:tcW w:w="2093" w:type="dxa"/>
            <w:shd w:val="clear" w:color="auto" w:fill="auto"/>
          </w:tcPr>
          <w:p>
            <w:pPr>
              <w:pStyle w:val="GesAbsatz"/>
              <w:tabs>
                <w:tab w:val="clear" w:pos="425"/>
              </w:tabs>
            </w:pPr>
            <w:r>
              <w:t>Staub</w:t>
            </w:r>
          </w:p>
        </w:tc>
        <w:tc>
          <w:tcPr>
            <w:tcW w:w="2950" w:type="dxa"/>
            <w:shd w:val="clear" w:color="auto" w:fill="auto"/>
          </w:tcPr>
          <w:p>
            <w:pPr>
              <w:pStyle w:val="GesAbsatz"/>
              <w:tabs>
                <w:tab w:val="clear" w:pos="425"/>
              </w:tabs>
            </w:pPr>
            <w:r>
              <w:t>0 – 15</w:t>
            </w:r>
          </w:p>
        </w:tc>
        <w:tc>
          <w:tcPr>
            <w:tcW w:w="2820" w:type="dxa"/>
            <w:shd w:val="clear" w:color="auto" w:fill="auto"/>
          </w:tcPr>
          <w:p>
            <w:pPr>
              <w:pStyle w:val="GesAbsatz"/>
              <w:tabs>
                <w:tab w:val="clear" w:pos="425"/>
              </w:tabs>
            </w:pPr>
            <w:r>
              <w:t>0 – 100</w:t>
            </w:r>
          </w:p>
        </w:tc>
        <w:tc>
          <w:tcPr>
            <w:tcW w:w="1917" w:type="dxa"/>
            <w:shd w:val="clear" w:color="auto" w:fill="auto"/>
          </w:tcPr>
          <w:p>
            <w:pPr>
              <w:pStyle w:val="GesAbsatz"/>
              <w:tabs>
                <w:tab w:val="clear" w:pos="425"/>
              </w:tabs>
            </w:pPr>
            <w:r>
              <w:t>mg/m³</w:t>
            </w:r>
          </w:p>
        </w:tc>
      </w:tr>
    </w:tbl>
    <w:p>
      <w:pPr>
        <w:pStyle w:val="GesAbsatz"/>
      </w:pPr>
      <w:r>
        <w:t>Softwareversionen: Controller Software 7.90</w:t>
      </w:r>
    </w:p>
    <w:p>
      <w:pPr>
        <w:pStyle w:val="GesAbsatz"/>
      </w:pPr>
      <w:r>
        <w:t>Sensor Software 1.5D</w:t>
      </w:r>
    </w:p>
    <w:p>
      <w:pPr>
        <w:pStyle w:val="GesAbsatz"/>
      </w:pPr>
      <w:r>
        <w:t>Einschränkungen:</w:t>
      </w:r>
    </w:p>
    <w:p>
      <w:pPr>
        <w:pStyle w:val="GesAbsatz"/>
      </w:pPr>
      <w:r>
        <w:t>Keine</w:t>
      </w:r>
    </w:p>
    <w:p>
      <w:pPr>
        <w:pStyle w:val="GesAbsatz"/>
      </w:pPr>
      <w:r>
        <w:t>Hinweise:</w:t>
      </w:r>
    </w:p>
    <w:p>
      <w:pPr>
        <w:pStyle w:val="GesAbsatz"/>
        <w:ind w:left="426" w:hanging="426"/>
      </w:pPr>
      <w:r>
        <w:t>1.</w:t>
      </w:r>
      <w:r>
        <w:tab/>
        <w:t>Aufgrund der temporären hohen Staubkonzentration auf dem Messplatz ergab sich im Rahmen der manuellen Kalibrierung der Messeinrichtung ein Messbereich von 0 bis 85 mg/m³ Staub bei einem eingestellten Messbereich 0 bis 100 mg/m³.</w:t>
      </w:r>
    </w:p>
    <w:p>
      <w:pPr>
        <w:pStyle w:val="GesAbsatz"/>
        <w:ind w:left="426" w:hanging="426"/>
      </w:pPr>
      <w:r>
        <w:t>2.</w:t>
      </w:r>
      <w:r>
        <w:tab/>
        <w:t>Das Wartungsintervall beträgt vier Wochen.</w:t>
      </w:r>
    </w:p>
    <w:p>
      <w:pPr>
        <w:pStyle w:val="GesAbsatz"/>
        <w:ind w:left="426" w:hanging="426"/>
      </w:pPr>
      <w:r>
        <w:t>3.</w:t>
      </w:r>
      <w:r>
        <w:tab/>
        <w:t>Die Anforderung bei der Eignungsprüfung nach DIN EN 15267-3 an den Korrelationskoeffizienten R2 der Kalibrierfunktion wurde nicht erfüllt.</w:t>
      </w:r>
    </w:p>
    <w:p>
      <w:pPr>
        <w:pStyle w:val="GesAbsatz"/>
        <w:ind w:left="426" w:hanging="426"/>
      </w:pPr>
      <w:r>
        <w:t>4.</w:t>
      </w:r>
      <w:r>
        <w:tab/>
        <w:t>Die Staubkonzentration wird im feuchten Abgas unter Betriebsbedingungen gemessen.</w:t>
      </w:r>
    </w:p>
    <w:p>
      <w:pPr>
        <w:pStyle w:val="GesAbsatz"/>
        <w:ind w:left="426" w:hanging="426"/>
      </w:pPr>
      <w:r>
        <w:t>5.</w:t>
      </w:r>
      <w:r>
        <w:tab/>
        <w:t>Ergänzungsprüfung (Überführung in die DIN EN 15267) zu den Bekanntmachungen des Umweltbundesamtes vom 12. September 2006 (BAnz. S. 6715, Kapitel I Nummer 1.2) und vom 23. Februar 2012 (BAnz. S. 920, Kapitel V Mitteilung 9).</w:t>
      </w:r>
    </w:p>
    <w:p>
      <w:pPr>
        <w:pStyle w:val="GesAbsatz"/>
      </w:pPr>
      <w:r>
        <w:t>Prüfbericht: TÜV Rheinland Energie und Umwelt GmbH, Köln</w:t>
      </w:r>
    </w:p>
    <w:p>
      <w:pPr>
        <w:pStyle w:val="GesAbsatz"/>
      </w:pPr>
      <w:r>
        <w:t>Bericht-Nr.: 936/21220334/A vom 28. September 2012</w:t>
      </w:r>
    </w:p>
    <w:p>
      <w:pPr>
        <w:pStyle w:val="GesAbsatz"/>
        <w:rPr>
          <w:b/>
        </w:rPr>
      </w:pPr>
      <w:r>
        <w:rPr>
          <w:b/>
        </w:rPr>
        <w:lastRenderedPageBreak/>
        <w:t>1.2</w:t>
      </w:r>
      <w:r>
        <w:rPr>
          <w:b/>
        </w:rPr>
        <w:tab/>
        <w:t>PCME QAL 991 für Gesamtstaub</w:t>
      </w:r>
    </w:p>
    <w:p>
      <w:pPr>
        <w:pStyle w:val="GesAbsatz"/>
      </w:pPr>
      <w:r>
        <w:t>Hersteller:</w:t>
      </w:r>
    </w:p>
    <w:p>
      <w:pPr>
        <w:pStyle w:val="GesAbsatz"/>
      </w:pPr>
      <w:r>
        <w:t>PCME Ltd., St. Ives, Vereinigtes Königreich</w:t>
      </w:r>
    </w:p>
    <w:p>
      <w:pPr>
        <w:pStyle w:val="GesAbsatz"/>
      </w:pPr>
      <w:r>
        <w:t>Eignung:</w:t>
      </w:r>
    </w:p>
    <w:p>
      <w:pPr>
        <w:pStyle w:val="GesAbsatz"/>
      </w:pPr>
      <w:r>
        <w:t>Für genehmigungsbedürftige Anlagen und Anlagen der 27. BImSchV</w:t>
      </w:r>
    </w:p>
    <w:p>
      <w:pPr>
        <w:pStyle w:val="GesAbsatz"/>
      </w:pPr>
      <w:r>
        <w:t>Messbereiche in der Eignungsprüfung: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50"/>
        <w:gridCol w:w="2820"/>
        <w:gridCol w:w="1884"/>
      </w:tblGrid>
      <w:tr>
        <w:tc>
          <w:tcPr>
            <w:tcW w:w="2093" w:type="dxa"/>
            <w:shd w:val="clear" w:color="auto" w:fill="auto"/>
          </w:tcPr>
          <w:p>
            <w:pPr>
              <w:pStyle w:val="GesAbsatz"/>
              <w:tabs>
                <w:tab w:val="clear" w:pos="425"/>
              </w:tabs>
            </w:pPr>
            <w:r>
              <w:t>Komponente</w:t>
            </w:r>
          </w:p>
        </w:tc>
        <w:tc>
          <w:tcPr>
            <w:tcW w:w="2950" w:type="dxa"/>
            <w:shd w:val="clear" w:color="auto" w:fill="auto"/>
          </w:tcPr>
          <w:p>
            <w:pPr>
              <w:pStyle w:val="GesAbsatz"/>
              <w:tabs>
                <w:tab w:val="clear" w:pos="425"/>
              </w:tabs>
            </w:pPr>
            <w:r>
              <w:t>Zertifizierungsbereich</w:t>
            </w:r>
          </w:p>
        </w:tc>
        <w:tc>
          <w:tcPr>
            <w:tcW w:w="2820" w:type="dxa"/>
            <w:shd w:val="clear" w:color="auto" w:fill="auto"/>
          </w:tcPr>
          <w:p>
            <w:pPr>
              <w:pStyle w:val="GesAbsatz"/>
              <w:tabs>
                <w:tab w:val="clear" w:pos="425"/>
              </w:tabs>
            </w:pPr>
            <w:r>
              <w:t>zusätzlicher Messbereich</w:t>
            </w:r>
          </w:p>
        </w:tc>
        <w:tc>
          <w:tcPr>
            <w:tcW w:w="1884" w:type="dxa"/>
            <w:shd w:val="clear" w:color="auto" w:fill="auto"/>
          </w:tcPr>
          <w:p>
            <w:pPr>
              <w:pStyle w:val="GesAbsatz"/>
              <w:tabs>
                <w:tab w:val="clear" w:pos="425"/>
              </w:tabs>
            </w:pPr>
            <w:r>
              <w:t>Einheit</w:t>
            </w:r>
          </w:p>
        </w:tc>
      </w:tr>
      <w:tr>
        <w:tc>
          <w:tcPr>
            <w:tcW w:w="2093" w:type="dxa"/>
            <w:shd w:val="clear" w:color="auto" w:fill="auto"/>
          </w:tcPr>
          <w:p>
            <w:pPr>
              <w:pStyle w:val="GesAbsatz"/>
              <w:tabs>
                <w:tab w:val="clear" w:pos="425"/>
              </w:tabs>
            </w:pPr>
            <w:r>
              <w:t>Staub</w:t>
            </w:r>
          </w:p>
        </w:tc>
        <w:tc>
          <w:tcPr>
            <w:tcW w:w="2950" w:type="dxa"/>
            <w:shd w:val="clear" w:color="auto" w:fill="auto"/>
          </w:tcPr>
          <w:p>
            <w:pPr>
              <w:pStyle w:val="GesAbsatz"/>
              <w:tabs>
                <w:tab w:val="clear" w:pos="425"/>
              </w:tabs>
            </w:pPr>
            <w:r>
              <w:t>0 – 50*</w:t>
            </w:r>
          </w:p>
        </w:tc>
        <w:tc>
          <w:tcPr>
            <w:tcW w:w="2820" w:type="dxa"/>
            <w:shd w:val="clear" w:color="auto" w:fill="auto"/>
          </w:tcPr>
          <w:p>
            <w:pPr>
              <w:pStyle w:val="GesAbsatz"/>
              <w:tabs>
                <w:tab w:val="clear" w:pos="425"/>
              </w:tabs>
            </w:pPr>
            <w:r>
              <w:t>0 – 200*</w:t>
            </w:r>
          </w:p>
        </w:tc>
        <w:tc>
          <w:tcPr>
            <w:tcW w:w="1884" w:type="dxa"/>
            <w:shd w:val="clear" w:color="auto" w:fill="auto"/>
          </w:tcPr>
          <w:p>
            <w:pPr>
              <w:pStyle w:val="GesAbsatz"/>
              <w:tabs>
                <w:tab w:val="clear" w:pos="425"/>
              </w:tabs>
            </w:pPr>
            <w:r>
              <w:t>Units</w:t>
            </w:r>
          </w:p>
        </w:tc>
      </w:tr>
    </w:tbl>
    <w:p>
      <w:pPr>
        <w:pStyle w:val="GesAbsatz"/>
      </w:pPr>
      <w:r>
        <w:t>* 0 – 50 Units entsprachen im Windkanaltest 0 – 15 mg/m³ Staub</w:t>
      </w:r>
    </w:p>
    <w:p>
      <w:pPr>
        <w:pStyle w:val="GesAbsatz"/>
      </w:pPr>
      <w:r>
        <w:t>* 0 – 200 Units entsprachen beim Feldtest 0 – 15 mg/m³ Staub</w:t>
      </w:r>
    </w:p>
    <w:p>
      <w:pPr>
        <w:pStyle w:val="GesAbsatz"/>
      </w:pPr>
      <w:r>
        <w:t>Softwareversionen: Controller Software: 7.90</w:t>
      </w:r>
    </w:p>
    <w:p>
      <w:pPr>
        <w:pStyle w:val="GesAbsatz"/>
      </w:pPr>
      <w:r>
        <w:t>Sensor Software: 4.4</w:t>
      </w:r>
    </w:p>
    <w:p>
      <w:pPr>
        <w:pStyle w:val="GesAbsatz"/>
      </w:pPr>
      <w:r>
        <w:t>Einschränkungen:</w:t>
      </w:r>
    </w:p>
    <w:p>
      <w:pPr>
        <w:pStyle w:val="GesAbsatz"/>
      </w:pPr>
      <w:r>
        <w:t>1.</w:t>
      </w:r>
      <w:r>
        <w:tab/>
        <w:t>Die Messeinrichtung darf nicht hinter Elektrofiltern betrieben werden.</w:t>
      </w:r>
    </w:p>
    <w:p>
      <w:pPr>
        <w:pStyle w:val="GesAbsatz"/>
        <w:ind w:left="426" w:hanging="426"/>
      </w:pPr>
      <w:r>
        <w:t>2.</w:t>
      </w:r>
      <w:r>
        <w:tab/>
        <w:t>Bei Strömungsgeschwindigkeiten &lt; 8,8 m/s ist die Messeinrichtung nur bei konstanten Strömungsgeschwindigkeiten einzusetzen.</w:t>
      </w:r>
    </w:p>
    <w:p>
      <w:pPr>
        <w:pStyle w:val="GesAbsatz"/>
      </w:pPr>
      <w:r>
        <w:t>Hinweise:</w:t>
      </w:r>
    </w:p>
    <w:p>
      <w:pPr>
        <w:pStyle w:val="GesAbsatz"/>
      </w:pPr>
      <w:r>
        <w:t>1.</w:t>
      </w:r>
      <w:r>
        <w:tab/>
        <w:t>Das Wartungsintervall beträgt drei Monate.</w:t>
      </w:r>
    </w:p>
    <w:p>
      <w:pPr>
        <w:pStyle w:val="GesAbsatz"/>
        <w:ind w:left="426" w:hanging="426"/>
      </w:pPr>
      <w:r>
        <w:t>2.</w:t>
      </w:r>
      <w:r>
        <w:tab/>
        <w:t>Die ordnungsgemäße Funktion der Messeinrichtung ist ab einer Abgasgeschwindigkeit von 5,2 m/s nachgewiesen.</w:t>
      </w:r>
    </w:p>
    <w:p>
      <w:pPr>
        <w:pStyle w:val="GesAbsatz"/>
        <w:ind w:left="426" w:hanging="426"/>
      </w:pPr>
      <w:r>
        <w:t>3.</w:t>
      </w:r>
      <w:r>
        <w:tab/>
        <w:t>Die Staubkonzentration wird im feuchten Abgas unter Betriebsbedingungen gemessen.</w:t>
      </w:r>
    </w:p>
    <w:p>
      <w:pPr>
        <w:pStyle w:val="GesAbsatz"/>
        <w:ind w:left="426" w:hanging="426"/>
      </w:pPr>
      <w:r>
        <w:t>4.</w:t>
      </w:r>
      <w:r>
        <w:tab/>
        <w:t>Die Messeinrichtung konnte im Staubkanal keine speziell mit Schwermetallen beschichteten Stäube messen.</w:t>
      </w:r>
    </w:p>
    <w:p>
      <w:pPr>
        <w:pStyle w:val="GesAbsatz"/>
        <w:ind w:left="426" w:hanging="426"/>
      </w:pPr>
      <w:r>
        <w:t>5.</w:t>
      </w:r>
      <w:r>
        <w:tab/>
        <w:t>Die Anforderung bei der Eignungsprüfung nach DIN EN 15267-3 an den Korrelationskoeffizienten R</w:t>
      </w:r>
      <w:r>
        <w:rPr>
          <w:vertAlign w:val="superscript"/>
        </w:rPr>
        <w:t>2</w:t>
      </w:r>
      <w:r>
        <w:t xml:space="preserve"> der Kalibrierfunktion wurde nicht erfüllt.</w:t>
      </w:r>
    </w:p>
    <w:p>
      <w:pPr>
        <w:pStyle w:val="GesAbsatz"/>
        <w:ind w:left="426" w:hanging="426"/>
      </w:pPr>
      <w:r>
        <w:t>6.</w:t>
      </w:r>
      <w:r>
        <w:tab/>
        <w:t>Ergänzungsprüfung (Überführung in die DIN EN 15267) zu den Bekanntmachungen des Umweltbundesamtes vom 14. Februar 2008 (BAnz. S. 901, Kapitel I Nummer 1.1) und vom 23. Februar 2012 (BAnz. S. 920, Kapitel V Mitteilung 10).</w:t>
      </w:r>
    </w:p>
    <w:p>
      <w:pPr>
        <w:pStyle w:val="GesAbsatz"/>
      </w:pPr>
      <w:r>
        <w:t>Prüfbericht: TÜV Rheinland Energie und Umwelt GmbH, Köln</w:t>
      </w:r>
    </w:p>
    <w:p>
      <w:pPr>
        <w:pStyle w:val="GesAbsatz"/>
      </w:pPr>
      <w:r>
        <w:t>Bericht-Nr.: 936/21220334/B vom 28. September 2012</w:t>
      </w:r>
    </w:p>
    <w:p>
      <w:pPr>
        <w:pStyle w:val="GesAbsatz"/>
        <w:rPr>
          <w:b/>
        </w:rPr>
      </w:pPr>
      <w:r>
        <w:rPr>
          <w:b/>
        </w:rPr>
        <w:t>1.3</w:t>
      </w:r>
      <w:r>
        <w:rPr>
          <w:b/>
        </w:rPr>
        <w:tab/>
        <w:t>EM-D 5100</w:t>
      </w:r>
    </w:p>
    <w:p>
      <w:pPr>
        <w:pStyle w:val="GesAbsatz"/>
      </w:pPr>
      <w:r>
        <w:t>Hersteller:</w:t>
      </w:r>
    </w:p>
    <w:p>
      <w:pPr>
        <w:pStyle w:val="GesAbsatz"/>
      </w:pPr>
      <w:r>
        <w:t>HORIBA GmbH, Tulln, Österreich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629"/>
        <w:gridCol w:w="1245"/>
        <w:gridCol w:w="1275"/>
        <w:gridCol w:w="1276"/>
        <w:gridCol w:w="1276"/>
      </w:tblGrid>
      <w:tr>
        <w:tc>
          <w:tcPr>
            <w:tcW w:w="2660" w:type="dxa"/>
            <w:shd w:val="clear" w:color="auto" w:fill="auto"/>
          </w:tcPr>
          <w:p>
            <w:pPr>
              <w:pStyle w:val="GesAbsatz"/>
            </w:pPr>
            <w:r>
              <w:t>Komponente</w:t>
            </w:r>
          </w:p>
        </w:tc>
        <w:tc>
          <w:tcPr>
            <w:tcW w:w="1629" w:type="dxa"/>
            <w:shd w:val="clear" w:color="auto" w:fill="auto"/>
          </w:tcPr>
          <w:p>
            <w:pPr>
              <w:pStyle w:val="GesAbsatz"/>
            </w:pPr>
            <w:r>
              <w:t>Zertifizierungsbereich</w:t>
            </w:r>
          </w:p>
        </w:tc>
        <w:tc>
          <w:tcPr>
            <w:tcW w:w="5072" w:type="dxa"/>
            <w:gridSpan w:val="4"/>
            <w:shd w:val="clear" w:color="auto" w:fill="auto"/>
          </w:tcPr>
          <w:p>
            <w:pPr>
              <w:pStyle w:val="GesAbsatz"/>
            </w:pPr>
            <w:r>
              <w:t>zusätzliche Messbereiche</w:t>
            </w:r>
          </w:p>
        </w:tc>
      </w:tr>
      <w:tr>
        <w:tc>
          <w:tcPr>
            <w:tcW w:w="2660" w:type="dxa"/>
            <w:shd w:val="clear" w:color="auto" w:fill="auto"/>
          </w:tcPr>
          <w:p>
            <w:pPr>
              <w:pStyle w:val="GesAbsatz"/>
            </w:pPr>
            <w:r>
              <w:t>Staub (optische Transmission)</w:t>
            </w:r>
          </w:p>
        </w:tc>
        <w:tc>
          <w:tcPr>
            <w:tcW w:w="1629" w:type="dxa"/>
            <w:shd w:val="clear" w:color="auto" w:fill="auto"/>
          </w:tcPr>
          <w:p>
            <w:pPr>
              <w:pStyle w:val="GesAbsatz"/>
            </w:pPr>
            <w:r>
              <w:t>0 – 15 mg/m</w:t>
            </w:r>
            <w:r>
              <w:rPr>
                <w:vertAlign w:val="superscript"/>
              </w:rPr>
              <w:t>3</w:t>
            </w:r>
          </w:p>
        </w:tc>
        <w:tc>
          <w:tcPr>
            <w:tcW w:w="1245" w:type="dxa"/>
            <w:shd w:val="clear" w:color="auto" w:fill="auto"/>
          </w:tcPr>
          <w:p>
            <w:pPr>
              <w:pStyle w:val="GesAbsatz"/>
            </w:pPr>
            <w:r>
              <w:t>0 – 0,2</w:t>
            </w:r>
          </w:p>
          <w:p>
            <w:pPr>
              <w:pStyle w:val="GesAbsatz"/>
            </w:pPr>
            <w:r>
              <w:t>Ext.</w:t>
            </w:r>
          </w:p>
        </w:tc>
        <w:tc>
          <w:tcPr>
            <w:tcW w:w="1275" w:type="dxa"/>
            <w:shd w:val="clear" w:color="auto" w:fill="auto"/>
          </w:tcPr>
          <w:p>
            <w:pPr>
              <w:pStyle w:val="GesAbsatz"/>
            </w:pPr>
            <w:r>
              <w:t>0 – 0,5</w:t>
            </w:r>
          </w:p>
          <w:p>
            <w:pPr>
              <w:pStyle w:val="GesAbsatz"/>
            </w:pPr>
            <w:r>
              <w:t>Ext.</w:t>
            </w:r>
          </w:p>
        </w:tc>
        <w:tc>
          <w:tcPr>
            <w:tcW w:w="1276" w:type="dxa"/>
            <w:shd w:val="clear" w:color="auto" w:fill="auto"/>
          </w:tcPr>
          <w:p>
            <w:pPr>
              <w:pStyle w:val="GesAbsatz"/>
            </w:pPr>
            <w:r>
              <w:t>0 – 1,6</w:t>
            </w:r>
          </w:p>
          <w:p>
            <w:pPr>
              <w:pStyle w:val="GesAbsatz"/>
            </w:pPr>
            <w:r>
              <w:t>Ext.</w:t>
            </w:r>
          </w:p>
        </w:tc>
        <w:tc>
          <w:tcPr>
            <w:tcW w:w="1276" w:type="dxa"/>
            <w:shd w:val="clear" w:color="auto" w:fill="auto"/>
          </w:tcPr>
          <w:p>
            <w:pPr>
              <w:pStyle w:val="GesAbsatz"/>
            </w:pPr>
            <w:r>
              <w:t>0 – 100 %</w:t>
            </w:r>
          </w:p>
          <w:p>
            <w:pPr>
              <w:pStyle w:val="GesAbsatz"/>
            </w:pPr>
            <w:r>
              <w:t>Opaz.</w:t>
            </w:r>
          </w:p>
        </w:tc>
      </w:tr>
    </w:tbl>
    <w:p>
      <w:pPr>
        <w:pStyle w:val="GesAbsatz"/>
      </w:pPr>
      <w:r>
        <w:t>0 – 0,1 Ext. entsprachen 0 – 16 mg/m</w:t>
      </w:r>
      <w:r>
        <w:rPr>
          <w:vertAlign w:val="superscript"/>
        </w:rPr>
        <w:t>3</w:t>
      </w:r>
      <w:r>
        <w:t xml:space="preserve"> bei einer optischen Lange von 5 m</w:t>
      </w:r>
    </w:p>
    <w:p>
      <w:pPr>
        <w:pStyle w:val="GesAbsatz"/>
      </w:pPr>
      <w:r>
        <w:t>Softwareversionen: 3.21 (Messkopf), 4.37 (Auswerteeinheit)</w:t>
      </w:r>
    </w:p>
    <w:p>
      <w:pPr>
        <w:pStyle w:val="GesAbsatz"/>
      </w:pPr>
      <w:r>
        <w:t>Einschränkungen:</w:t>
      </w:r>
    </w:p>
    <w:p>
      <w:pPr>
        <w:pStyle w:val="GesAbsatz"/>
      </w:pPr>
      <w:r>
        <w:t>Keine</w:t>
      </w:r>
    </w:p>
    <w:p>
      <w:pPr>
        <w:pStyle w:val="GesAbsatz"/>
      </w:pPr>
      <w:r>
        <w:t>Hinweise:</w:t>
      </w:r>
    </w:p>
    <w:p>
      <w:pPr>
        <w:pStyle w:val="GesAbsatz"/>
      </w:pPr>
      <w:r>
        <w:lastRenderedPageBreak/>
        <w:t>1.</w:t>
      </w:r>
      <w:r>
        <w:tab/>
        <w:t>Die Staubkonzentration wird im feuchten Abgas unter Betriebsbedingungen gemessen.</w:t>
      </w:r>
    </w:p>
    <w:p>
      <w:pPr>
        <w:pStyle w:val="GesAbsatz"/>
      </w:pPr>
      <w:r>
        <w:t>2.</w:t>
      </w:r>
      <w:r>
        <w:tab/>
        <w:t>Das Wartungsintervall beträgt vier Wochen.</w:t>
      </w:r>
    </w:p>
    <w:p>
      <w:pPr>
        <w:pStyle w:val="GesAbsatz"/>
        <w:ind w:left="426" w:hanging="426"/>
      </w:pPr>
      <w:r>
        <w:t>3.</w:t>
      </w:r>
      <w:r>
        <w:tab/>
        <w:t>Durch die Messweglänge von 5 m und dem bei der Kalibrierung ermittelten Messbereich von 16 mg/m</w:t>
      </w:r>
      <w:r>
        <w:rPr>
          <w:vertAlign w:val="superscript"/>
        </w:rPr>
        <w:t>3</w:t>
      </w:r>
      <w:r>
        <w:t xml:space="preserve"> ergibt sich ein Produkt von 80 mg/m</w:t>
      </w:r>
      <w:r>
        <w:rPr>
          <w:vertAlign w:val="superscript"/>
        </w:rPr>
        <w:t>3</w:t>
      </w:r>
      <w:r>
        <w:t xml:space="preserve"> x m an der Feldtestanlage.</w:t>
      </w:r>
    </w:p>
    <w:p>
      <w:pPr>
        <w:pStyle w:val="GesAbsatz"/>
        <w:ind w:left="426" w:hanging="426"/>
      </w:pPr>
      <w:r>
        <w:t>4.</w:t>
      </w:r>
      <w:r>
        <w:tab/>
        <w:t>Die Anforderung bei der Eignungsprüfung nach DIN EN 15267-3 an den Korrelationskoeffizienten R</w:t>
      </w:r>
      <w:r>
        <w:rPr>
          <w:vertAlign w:val="superscript"/>
        </w:rPr>
        <w:t>2</w:t>
      </w:r>
      <w:r>
        <w:t xml:space="preserve"> der Kalibrierfunktion wurde nicht erfüllt.</w:t>
      </w:r>
    </w:p>
    <w:p>
      <w:pPr>
        <w:pStyle w:val="GesAbsatz"/>
      </w:pPr>
      <w:r>
        <w:t>Prüfbericht: TUV Rheinland Energie und Umwelt GmbH, Köln</w:t>
      </w:r>
    </w:p>
    <w:p>
      <w:pPr>
        <w:pStyle w:val="GesAbsatz"/>
      </w:pPr>
      <w:r>
        <w:t>Bericht-Nr.: 936/21220824/A vom 10. Oktober 2012</w:t>
      </w:r>
    </w:p>
    <w:p>
      <w:pPr>
        <w:pStyle w:val="GesAbsatz"/>
        <w:rPr>
          <w:b/>
        </w:rPr>
      </w:pPr>
      <w:r>
        <w:rPr>
          <w:b/>
        </w:rPr>
        <w:t>1.4</w:t>
      </w:r>
      <w:r>
        <w:rPr>
          <w:b/>
        </w:rPr>
        <w:tab/>
        <w:t>PCME STACK 710</w:t>
      </w:r>
    </w:p>
    <w:p>
      <w:pPr>
        <w:pStyle w:val="GesAbsatz"/>
      </w:pPr>
      <w:r>
        <w:t>Hersteller:</w:t>
      </w:r>
    </w:p>
    <w:p>
      <w:pPr>
        <w:pStyle w:val="GesAbsatz"/>
      </w:pPr>
      <w:r>
        <w:t>PCME Ltd., St. Ives, Vereinigtes Königreich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1590"/>
        <w:gridCol w:w="1275"/>
        <w:gridCol w:w="1276"/>
        <w:gridCol w:w="1206"/>
      </w:tblGrid>
      <w:tr>
        <w:tc>
          <w:tcPr>
            <w:tcW w:w="1668" w:type="dxa"/>
            <w:shd w:val="clear" w:color="auto" w:fill="auto"/>
          </w:tcPr>
          <w:p>
            <w:pPr>
              <w:pStyle w:val="GesAbsatz"/>
              <w:tabs>
                <w:tab w:val="clear" w:pos="425"/>
              </w:tabs>
              <w:jc w:val="center"/>
            </w:pPr>
            <w:r>
              <w:t>Komponente</w:t>
            </w:r>
          </w:p>
        </w:tc>
        <w:tc>
          <w:tcPr>
            <w:tcW w:w="2409" w:type="dxa"/>
            <w:shd w:val="clear" w:color="auto" w:fill="auto"/>
          </w:tcPr>
          <w:p>
            <w:pPr>
              <w:pStyle w:val="GesAbsatz"/>
              <w:tabs>
                <w:tab w:val="clear" w:pos="425"/>
              </w:tabs>
              <w:jc w:val="center"/>
            </w:pPr>
            <w:r>
              <w:t>Zertifizierungsbereich</w:t>
            </w:r>
          </w:p>
        </w:tc>
        <w:tc>
          <w:tcPr>
            <w:tcW w:w="4141" w:type="dxa"/>
            <w:gridSpan w:val="3"/>
            <w:shd w:val="clear" w:color="auto" w:fill="auto"/>
          </w:tcPr>
          <w:p>
            <w:pPr>
              <w:pStyle w:val="GesAbsatz"/>
              <w:tabs>
                <w:tab w:val="clear" w:pos="425"/>
              </w:tabs>
              <w:jc w:val="center"/>
            </w:pPr>
            <w:r>
              <w:t>zusätzliche Messbereiche</w:t>
            </w:r>
          </w:p>
        </w:tc>
        <w:tc>
          <w:tcPr>
            <w:tcW w:w="1206" w:type="dxa"/>
            <w:shd w:val="clear" w:color="auto" w:fill="auto"/>
          </w:tcPr>
          <w:p>
            <w:pPr>
              <w:pStyle w:val="GesAbsatz"/>
              <w:tabs>
                <w:tab w:val="clear" w:pos="425"/>
              </w:tabs>
              <w:jc w:val="center"/>
            </w:pPr>
            <w:r>
              <w:t>Einheit</w:t>
            </w:r>
          </w:p>
        </w:tc>
      </w:tr>
      <w:tr>
        <w:tc>
          <w:tcPr>
            <w:tcW w:w="1668" w:type="dxa"/>
            <w:shd w:val="clear" w:color="auto" w:fill="auto"/>
          </w:tcPr>
          <w:p>
            <w:pPr>
              <w:pStyle w:val="GesAbsatz"/>
              <w:tabs>
                <w:tab w:val="clear" w:pos="425"/>
              </w:tabs>
            </w:pPr>
            <w:r>
              <w:t>Staub</w:t>
            </w:r>
          </w:p>
        </w:tc>
        <w:tc>
          <w:tcPr>
            <w:tcW w:w="2409" w:type="dxa"/>
            <w:shd w:val="clear" w:color="auto" w:fill="auto"/>
          </w:tcPr>
          <w:p>
            <w:pPr>
              <w:pStyle w:val="GesAbsatz"/>
              <w:tabs>
                <w:tab w:val="clear" w:pos="425"/>
              </w:tabs>
              <w:jc w:val="center"/>
            </w:pPr>
            <w:r>
              <w:t>0 – 0,2</w:t>
            </w:r>
          </w:p>
        </w:tc>
        <w:tc>
          <w:tcPr>
            <w:tcW w:w="1590" w:type="dxa"/>
            <w:shd w:val="clear" w:color="auto" w:fill="auto"/>
          </w:tcPr>
          <w:p>
            <w:pPr>
              <w:pStyle w:val="GesAbsatz"/>
              <w:tabs>
                <w:tab w:val="clear" w:pos="425"/>
              </w:tabs>
              <w:jc w:val="center"/>
            </w:pPr>
            <w:r>
              <w:t>0 – 0,1</w:t>
            </w:r>
          </w:p>
        </w:tc>
        <w:tc>
          <w:tcPr>
            <w:tcW w:w="1275" w:type="dxa"/>
            <w:shd w:val="clear" w:color="auto" w:fill="auto"/>
          </w:tcPr>
          <w:p>
            <w:pPr>
              <w:pStyle w:val="GesAbsatz"/>
              <w:tabs>
                <w:tab w:val="clear" w:pos="425"/>
              </w:tabs>
              <w:jc w:val="center"/>
            </w:pPr>
            <w:r>
              <w:t>0 – 0,4</w:t>
            </w:r>
          </w:p>
        </w:tc>
        <w:tc>
          <w:tcPr>
            <w:tcW w:w="1276" w:type="dxa"/>
            <w:shd w:val="clear" w:color="auto" w:fill="auto"/>
          </w:tcPr>
          <w:p>
            <w:pPr>
              <w:pStyle w:val="GesAbsatz"/>
              <w:tabs>
                <w:tab w:val="clear" w:pos="425"/>
              </w:tabs>
              <w:jc w:val="center"/>
            </w:pPr>
            <w:r>
              <w:t>0 – 1,2</w:t>
            </w:r>
          </w:p>
        </w:tc>
        <w:tc>
          <w:tcPr>
            <w:tcW w:w="1206" w:type="dxa"/>
            <w:shd w:val="clear" w:color="auto" w:fill="auto"/>
          </w:tcPr>
          <w:p>
            <w:pPr>
              <w:pStyle w:val="GesAbsatz"/>
              <w:tabs>
                <w:tab w:val="clear" w:pos="425"/>
              </w:tabs>
              <w:jc w:val="center"/>
            </w:pPr>
            <w:r>
              <w:t>Ext.</w:t>
            </w:r>
          </w:p>
        </w:tc>
      </w:tr>
    </w:tbl>
    <w:p>
      <w:pPr>
        <w:pStyle w:val="GesAbsatz"/>
      </w:pPr>
      <w:r>
        <w:t xml:space="preserve">0 – 0,2 Ext. </w:t>
      </w:r>
      <w:r>
        <w:rPr>
          <w:rFonts w:ascii="Cambria Math" w:hAnsi="Cambria Math" w:cs="Cambria Math"/>
        </w:rPr>
        <w:t>≙</w:t>
      </w:r>
      <w:r>
        <w:t xml:space="preserve"> 15 mg/m</w:t>
      </w:r>
      <w:r>
        <w:rPr>
          <w:vertAlign w:val="superscript"/>
        </w:rPr>
        <w:t>3</w:t>
      </w:r>
      <w:r>
        <w:t xml:space="preserve"> Staub bei 5 m Messweglänge</w:t>
      </w:r>
    </w:p>
    <w:p>
      <w:pPr>
        <w:pStyle w:val="GesAbsatz"/>
      </w:pPr>
      <w:r>
        <w:t>Softwareversionen: Control Software Version: 01.03.01</w:t>
      </w:r>
    </w:p>
    <w:p>
      <w:pPr>
        <w:pStyle w:val="GesAbsatz"/>
      </w:pPr>
      <w:r>
        <w:t>HI Software Version: 01.02.01</w:t>
      </w:r>
    </w:p>
    <w:p>
      <w:pPr>
        <w:pStyle w:val="GesAbsatz"/>
      </w:pPr>
      <w:r>
        <w:t>Einschränkungen:</w:t>
      </w:r>
    </w:p>
    <w:p>
      <w:pPr>
        <w:pStyle w:val="GesAbsatz"/>
      </w:pPr>
      <w:r>
        <w:t>Keine</w:t>
      </w:r>
    </w:p>
    <w:p>
      <w:pPr>
        <w:pStyle w:val="GesAbsatz"/>
      </w:pPr>
      <w:r>
        <w:t>Hinweise:</w:t>
      </w:r>
    </w:p>
    <w:p>
      <w:pPr>
        <w:pStyle w:val="GesAbsatz"/>
      </w:pPr>
      <w:r>
        <w:t>1.</w:t>
      </w:r>
      <w:r>
        <w:tab/>
        <w:t>Die Staubkonzentration wird im feuchten Abgas unter Betriebsbedingungen gemessen.</w:t>
      </w:r>
    </w:p>
    <w:p>
      <w:pPr>
        <w:pStyle w:val="GesAbsatz"/>
      </w:pPr>
      <w:r>
        <w:t>2.</w:t>
      </w:r>
      <w:r>
        <w:tab/>
        <w:t>Das Wartungsintervall beträgt sechs Monate.</w:t>
      </w:r>
    </w:p>
    <w:p>
      <w:pPr>
        <w:pStyle w:val="GesAbsatz"/>
        <w:ind w:left="426" w:hanging="426"/>
      </w:pPr>
      <w:r>
        <w:t>3.</w:t>
      </w:r>
      <w:r>
        <w:tab/>
        <w:t>Durch die Messweglänge von 5 m und dem bei der Kalibrierung ermittelten Messbereich von 15 mg/m</w:t>
      </w:r>
      <w:r>
        <w:rPr>
          <w:vertAlign w:val="superscript"/>
        </w:rPr>
        <w:t>3</w:t>
      </w:r>
      <w:r>
        <w:t xml:space="preserve"> ergibt sich ein Produkt von 75 mg/m</w:t>
      </w:r>
      <w:r>
        <w:rPr>
          <w:vertAlign w:val="superscript"/>
        </w:rPr>
        <w:t>3</w:t>
      </w:r>
      <w:r>
        <w:t xml:space="preserve"> x m an der Feldtestanlage.</w:t>
      </w:r>
    </w:p>
    <w:p>
      <w:pPr>
        <w:pStyle w:val="GesAbsatz"/>
        <w:ind w:left="426" w:hanging="426"/>
      </w:pPr>
      <w:r>
        <w:t>4.</w:t>
      </w:r>
      <w:r>
        <w:tab/>
        <w:t>Die Anforderung bei der Eignungsprüfung nach DIN EN 15267-3 an den Korrelationskoeffizienten R</w:t>
      </w:r>
      <w:r>
        <w:rPr>
          <w:vertAlign w:val="superscript"/>
        </w:rPr>
        <w:t>2</w:t>
      </w:r>
      <w:r>
        <w:t xml:space="preserve"> der Kalibrierfunktion wurde nicht erfüllt.</w:t>
      </w:r>
    </w:p>
    <w:p>
      <w:pPr>
        <w:pStyle w:val="GesAbsatz"/>
      </w:pPr>
      <w:r>
        <w:t>Prüfbericht: TÜV Rheinland Energie und Umwelt GmbH, Köln</w:t>
      </w:r>
    </w:p>
    <w:p>
      <w:pPr>
        <w:pStyle w:val="GesAbsatz"/>
      </w:pPr>
      <w:r>
        <w:t>Bericht-Nr.: 936/21220334/C vom 12. Oktober 2012</w:t>
      </w:r>
    </w:p>
    <w:p>
      <w:pPr>
        <w:pStyle w:val="GesAbsatz"/>
        <w:rPr>
          <w:b/>
        </w:rPr>
      </w:pPr>
      <w:r>
        <w:rPr>
          <w:b/>
        </w:rPr>
        <w:t>1.5</w:t>
      </w:r>
      <w:r>
        <w:rPr>
          <w:b/>
        </w:rPr>
        <w:tab/>
        <w:t>DUSTHUNTER SP100 für Staub</w:t>
      </w:r>
    </w:p>
    <w:p>
      <w:pPr>
        <w:pStyle w:val="GesAbsatz"/>
      </w:pPr>
      <w:r>
        <w:t>Hersteller:</w:t>
      </w:r>
    </w:p>
    <w:p>
      <w:pPr>
        <w:pStyle w:val="GesAbsatz"/>
      </w:pPr>
      <w:r>
        <w:t>SICK Engineering GmbH, Ottendorf-Okrilla</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072"/>
        <w:gridCol w:w="1415"/>
        <w:gridCol w:w="907"/>
        <w:gridCol w:w="907"/>
        <w:gridCol w:w="959"/>
        <w:gridCol w:w="959"/>
        <w:gridCol w:w="1083"/>
      </w:tblGrid>
      <w:tr>
        <w:tc>
          <w:tcPr>
            <w:tcW w:w="1351" w:type="dxa"/>
            <w:shd w:val="clear" w:color="auto" w:fill="auto"/>
          </w:tcPr>
          <w:p>
            <w:pPr>
              <w:pStyle w:val="GesAbsatz"/>
              <w:tabs>
                <w:tab w:val="clear" w:pos="425"/>
              </w:tabs>
            </w:pPr>
            <w:r>
              <w:t>Komponente</w:t>
            </w:r>
          </w:p>
        </w:tc>
        <w:tc>
          <w:tcPr>
            <w:tcW w:w="2128" w:type="dxa"/>
            <w:shd w:val="clear" w:color="auto" w:fill="auto"/>
          </w:tcPr>
          <w:p>
            <w:pPr>
              <w:pStyle w:val="GesAbsatz"/>
              <w:tabs>
                <w:tab w:val="clear" w:pos="425"/>
              </w:tabs>
            </w:pPr>
            <w:r>
              <w:t>Zertifizierungsbereich</w:t>
            </w:r>
          </w:p>
        </w:tc>
        <w:tc>
          <w:tcPr>
            <w:tcW w:w="5270" w:type="dxa"/>
            <w:gridSpan w:val="5"/>
            <w:shd w:val="clear" w:color="auto" w:fill="auto"/>
          </w:tcPr>
          <w:p>
            <w:pPr>
              <w:pStyle w:val="GesAbsatz"/>
              <w:tabs>
                <w:tab w:val="clear" w:pos="425"/>
              </w:tabs>
              <w:jc w:val="center"/>
            </w:pPr>
            <w:r>
              <w:t>zusätzliche Messbereiche</w:t>
            </w:r>
          </w:p>
        </w:tc>
        <w:tc>
          <w:tcPr>
            <w:tcW w:w="1105" w:type="dxa"/>
            <w:shd w:val="clear" w:color="auto" w:fill="auto"/>
          </w:tcPr>
          <w:p>
            <w:pPr>
              <w:pStyle w:val="GesAbsatz"/>
              <w:tabs>
                <w:tab w:val="clear" w:pos="425"/>
              </w:tabs>
              <w:jc w:val="center"/>
            </w:pPr>
            <w:r>
              <w:t>Einheit</w:t>
            </w:r>
          </w:p>
        </w:tc>
      </w:tr>
      <w:tr>
        <w:tc>
          <w:tcPr>
            <w:tcW w:w="1351" w:type="dxa"/>
            <w:shd w:val="clear" w:color="auto" w:fill="auto"/>
          </w:tcPr>
          <w:p>
            <w:pPr>
              <w:pStyle w:val="GesAbsatz"/>
              <w:tabs>
                <w:tab w:val="clear" w:pos="425"/>
              </w:tabs>
            </w:pPr>
            <w:r>
              <w:t>Staub</w:t>
            </w:r>
          </w:p>
        </w:tc>
        <w:tc>
          <w:tcPr>
            <w:tcW w:w="2128" w:type="dxa"/>
            <w:shd w:val="clear" w:color="auto" w:fill="auto"/>
          </w:tcPr>
          <w:p>
            <w:pPr>
              <w:pStyle w:val="GesAbsatz"/>
              <w:tabs>
                <w:tab w:val="clear" w:pos="425"/>
              </w:tabs>
              <w:jc w:val="center"/>
            </w:pPr>
            <w:r>
              <w:t>0 – 15</w:t>
            </w:r>
          </w:p>
        </w:tc>
        <w:tc>
          <w:tcPr>
            <w:tcW w:w="1462" w:type="dxa"/>
            <w:shd w:val="clear" w:color="auto" w:fill="auto"/>
          </w:tcPr>
          <w:p>
            <w:pPr>
              <w:pStyle w:val="GesAbsatz"/>
              <w:tabs>
                <w:tab w:val="clear" w:pos="425"/>
              </w:tabs>
              <w:jc w:val="center"/>
            </w:pPr>
            <w:r>
              <w:t>0 – 5</w:t>
            </w:r>
          </w:p>
        </w:tc>
        <w:tc>
          <w:tcPr>
            <w:tcW w:w="927" w:type="dxa"/>
            <w:shd w:val="clear" w:color="auto" w:fill="auto"/>
          </w:tcPr>
          <w:p>
            <w:pPr>
              <w:pStyle w:val="GesAbsatz"/>
              <w:tabs>
                <w:tab w:val="clear" w:pos="425"/>
              </w:tabs>
              <w:jc w:val="center"/>
            </w:pPr>
            <w:r>
              <w:t>0 – 20</w:t>
            </w:r>
          </w:p>
        </w:tc>
        <w:tc>
          <w:tcPr>
            <w:tcW w:w="927" w:type="dxa"/>
            <w:shd w:val="clear" w:color="auto" w:fill="auto"/>
          </w:tcPr>
          <w:p>
            <w:pPr>
              <w:pStyle w:val="GesAbsatz"/>
              <w:tabs>
                <w:tab w:val="clear" w:pos="425"/>
              </w:tabs>
              <w:jc w:val="center"/>
            </w:pPr>
            <w:r>
              <w:t>0 – 50</w:t>
            </w:r>
          </w:p>
        </w:tc>
        <w:tc>
          <w:tcPr>
            <w:tcW w:w="977" w:type="dxa"/>
            <w:shd w:val="clear" w:color="auto" w:fill="auto"/>
          </w:tcPr>
          <w:p>
            <w:pPr>
              <w:pStyle w:val="GesAbsatz"/>
              <w:tabs>
                <w:tab w:val="clear" w:pos="425"/>
              </w:tabs>
              <w:jc w:val="center"/>
            </w:pPr>
            <w:r>
              <w:t>0 – 100</w:t>
            </w:r>
          </w:p>
        </w:tc>
        <w:tc>
          <w:tcPr>
            <w:tcW w:w="977" w:type="dxa"/>
            <w:shd w:val="clear" w:color="auto" w:fill="auto"/>
          </w:tcPr>
          <w:p>
            <w:pPr>
              <w:pStyle w:val="GesAbsatz"/>
              <w:tabs>
                <w:tab w:val="clear" w:pos="425"/>
              </w:tabs>
              <w:jc w:val="center"/>
            </w:pPr>
            <w:r>
              <w:t>0 – 200</w:t>
            </w:r>
          </w:p>
        </w:tc>
        <w:tc>
          <w:tcPr>
            <w:tcW w:w="1105" w:type="dxa"/>
            <w:shd w:val="clear" w:color="auto" w:fill="auto"/>
          </w:tcPr>
          <w:p>
            <w:pPr>
              <w:pStyle w:val="GesAbsatz"/>
              <w:tabs>
                <w:tab w:val="clear" w:pos="425"/>
              </w:tabs>
              <w:jc w:val="center"/>
            </w:pPr>
            <w:r>
              <w:t>SE</w:t>
            </w:r>
          </w:p>
        </w:tc>
      </w:tr>
    </w:tbl>
    <w:p>
      <w:pPr>
        <w:pStyle w:val="GesAbsatz"/>
      </w:pPr>
      <w:r>
        <w:t xml:space="preserve">15 SE </w:t>
      </w:r>
      <w:r>
        <w:rPr>
          <w:rFonts w:ascii="Cambria Math" w:hAnsi="Cambria Math" w:cs="Cambria Math"/>
        </w:rPr>
        <w:t>≙</w:t>
      </w:r>
      <w:r>
        <w:t xml:space="preserve"> 18 mg/m</w:t>
      </w:r>
      <w:r>
        <w:rPr>
          <w:vertAlign w:val="superscript"/>
        </w:rPr>
        <w:t>3</w:t>
      </w:r>
      <w:r>
        <w:t xml:space="preserve"> Staub</w:t>
      </w:r>
    </w:p>
    <w:p>
      <w:pPr>
        <w:pStyle w:val="GesAbsatz"/>
      </w:pPr>
      <w:r>
        <w:t>Softwareversionen: MCU Firmwareversion: 01.08.00</w:t>
      </w:r>
    </w:p>
    <w:p>
      <w:pPr>
        <w:pStyle w:val="GesAbsatz"/>
      </w:pPr>
      <w:r>
        <w:t>Sende- und Empfangseinheit: 01.03.08</w:t>
      </w:r>
    </w:p>
    <w:p>
      <w:pPr>
        <w:pStyle w:val="GesAbsatz"/>
      </w:pPr>
      <w:r>
        <w:t>Bediensoftware SOPAS ET: 02.32</w:t>
      </w:r>
    </w:p>
    <w:p>
      <w:pPr>
        <w:pStyle w:val="GesAbsatz"/>
      </w:pPr>
      <w:r>
        <w:t>Einschränkungen:</w:t>
      </w:r>
    </w:p>
    <w:p>
      <w:pPr>
        <w:pStyle w:val="GesAbsatz"/>
      </w:pPr>
      <w:r>
        <w:lastRenderedPageBreak/>
        <w:t>Keine</w:t>
      </w:r>
    </w:p>
    <w:p>
      <w:pPr>
        <w:pStyle w:val="GesAbsatz"/>
      </w:pPr>
      <w:r>
        <w:t>Hinweise:</w:t>
      </w:r>
    </w:p>
    <w:p>
      <w:pPr>
        <w:pStyle w:val="GesAbsatz"/>
      </w:pPr>
      <w:r>
        <w:t>1.</w:t>
      </w:r>
      <w:r>
        <w:tab/>
        <w:t>Das Wartungsintervall beträgt sechs Monate.</w:t>
      </w:r>
    </w:p>
    <w:p>
      <w:pPr>
        <w:pStyle w:val="GesAbsatz"/>
      </w:pPr>
      <w:r>
        <w:t>2.</w:t>
      </w:r>
      <w:r>
        <w:tab/>
        <w:t>Die Staubkonzentration wird im feuchten Abgas unter Betriebsbedingungen gemessen.</w:t>
      </w:r>
    </w:p>
    <w:p>
      <w:pPr>
        <w:pStyle w:val="GesAbsatz"/>
        <w:ind w:left="426" w:hanging="426"/>
      </w:pPr>
      <w:r>
        <w:t>3.</w:t>
      </w:r>
      <w:r>
        <w:tab/>
        <w:t>Die Anforderung bei der Eignungsprüfung nach DIN EN 15267-3 an den Korrelationskoeffizienten R</w:t>
      </w:r>
      <w:r>
        <w:rPr>
          <w:vertAlign w:val="superscript"/>
        </w:rPr>
        <w:t>2</w:t>
      </w:r>
      <w:r>
        <w:t xml:space="preserve"> der Kalibrierfunktion wurde nicht erfüllt.</w:t>
      </w:r>
    </w:p>
    <w:p>
      <w:pPr>
        <w:pStyle w:val="GesAbsatz"/>
        <w:ind w:left="426" w:hanging="426"/>
      </w:pPr>
      <w:r>
        <w:t>4.</w:t>
      </w:r>
      <w:r>
        <w:tab/>
        <w:t>Ergänzungsprüfung (Wartungsintervallverlängerung) zu den Bekanntmachungen des Umweltbundesamtes vom 19. Februar 2009 (BAnz. S. 899, Kapitel I Nummer 1.2) und vom 6. Juli 2012 (BAnz AT 20.07.2012 B11, Kapitel IV Mitteilung 18).</w:t>
      </w:r>
    </w:p>
    <w:p>
      <w:pPr>
        <w:pStyle w:val="GesAbsatz"/>
      </w:pPr>
      <w:r>
        <w:t>Prüfbericht: TÜV Rheinland Energie und Umwelt GmbH, Köln</w:t>
      </w:r>
    </w:p>
    <w:p>
      <w:pPr>
        <w:pStyle w:val="GesAbsatz"/>
      </w:pPr>
      <w:r>
        <w:t>Bericht-Nr.: 936/21219384/B vom 27. September 2012</w:t>
      </w:r>
    </w:p>
    <w:p>
      <w:pPr>
        <w:pStyle w:val="GesAbsatz"/>
        <w:rPr>
          <w:b/>
        </w:rPr>
      </w:pPr>
      <w:r>
        <w:rPr>
          <w:b/>
        </w:rPr>
        <w:t>1.6</w:t>
      </w:r>
      <w:r>
        <w:rPr>
          <w:b/>
        </w:rPr>
        <w:tab/>
        <w:t>DUSTHUNTER SB100 für Staub</w:t>
      </w:r>
    </w:p>
    <w:p>
      <w:pPr>
        <w:pStyle w:val="GesAbsatz"/>
      </w:pPr>
      <w:r>
        <w:t>Hersteller:</w:t>
      </w:r>
    </w:p>
    <w:p>
      <w:pPr>
        <w:pStyle w:val="GesAbsatz"/>
      </w:pPr>
      <w:r>
        <w:t>SICK Engineering GmbH, Ottendorf-Okrilla</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42"/>
        <w:gridCol w:w="1446"/>
        <w:gridCol w:w="1417"/>
        <w:gridCol w:w="1321"/>
        <w:gridCol w:w="1261"/>
      </w:tblGrid>
      <w:tr>
        <w:tc>
          <w:tcPr>
            <w:tcW w:w="1809" w:type="dxa"/>
            <w:shd w:val="clear" w:color="auto" w:fill="auto"/>
          </w:tcPr>
          <w:p>
            <w:pPr>
              <w:pStyle w:val="GesAbsatz"/>
              <w:tabs>
                <w:tab w:val="clear" w:pos="425"/>
              </w:tabs>
              <w:jc w:val="center"/>
            </w:pPr>
            <w:r>
              <w:t>Komponente</w:t>
            </w:r>
          </w:p>
        </w:tc>
        <w:tc>
          <w:tcPr>
            <w:tcW w:w="2142" w:type="dxa"/>
            <w:shd w:val="clear" w:color="auto" w:fill="auto"/>
          </w:tcPr>
          <w:p>
            <w:pPr>
              <w:pStyle w:val="GesAbsatz"/>
              <w:tabs>
                <w:tab w:val="clear" w:pos="425"/>
              </w:tabs>
              <w:jc w:val="center"/>
            </w:pPr>
            <w:r>
              <w:t>Zertifizierungsbereich</w:t>
            </w:r>
          </w:p>
        </w:tc>
        <w:tc>
          <w:tcPr>
            <w:tcW w:w="4184" w:type="dxa"/>
            <w:gridSpan w:val="3"/>
            <w:shd w:val="clear" w:color="auto" w:fill="auto"/>
          </w:tcPr>
          <w:p>
            <w:pPr>
              <w:pStyle w:val="GesAbsatz"/>
              <w:tabs>
                <w:tab w:val="clear" w:pos="425"/>
              </w:tabs>
              <w:jc w:val="center"/>
            </w:pPr>
            <w:r>
              <w:t>zusätzliche Messbereiche</w:t>
            </w:r>
          </w:p>
        </w:tc>
        <w:tc>
          <w:tcPr>
            <w:tcW w:w="1261" w:type="dxa"/>
            <w:shd w:val="clear" w:color="auto" w:fill="auto"/>
          </w:tcPr>
          <w:p>
            <w:pPr>
              <w:pStyle w:val="GesAbsatz"/>
              <w:tabs>
                <w:tab w:val="clear" w:pos="425"/>
              </w:tabs>
              <w:jc w:val="center"/>
            </w:pPr>
            <w:r>
              <w:t>Einheit</w:t>
            </w:r>
          </w:p>
        </w:tc>
      </w:tr>
      <w:tr>
        <w:tc>
          <w:tcPr>
            <w:tcW w:w="1809" w:type="dxa"/>
            <w:shd w:val="clear" w:color="auto" w:fill="auto"/>
          </w:tcPr>
          <w:p>
            <w:pPr>
              <w:pStyle w:val="GesAbsatz"/>
              <w:tabs>
                <w:tab w:val="clear" w:pos="425"/>
              </w:tabs>
            </w:pPr>
            <w:r>
              <w:t>Staub</w:t>
            </w:r>
          </w:p>
        </w:tc>
        <w:tc>
          <w:tcPr>
            <w:tcW w:w="2142" w:type="dxa"/>
            <w:shd w:val="clear" w:color="auto" w:fill="auto"/>
          </w:tcPr>
          <w:p>
            <w:pPr>
              <w:pStyle w:val="GesAbsatz"/>
              <w:tabs>
                <w:tab w:val="clear" w:pos="425"/>
              </w:tabs>
              <w:jc w:val="center"/>
            </w:pPr>
            <w:r>
              <w:t>0 – 100</w:t>
            </w:r>
          </w:p>
        </w:tc>
        <w:tc>
          <w:tcPr>
            <w:tcW w:w="1446" w:type="dxa"/>
            <w:shd w:val="clear" w:color="auto" w:fill="auto"/>
          </w:tcPr>
          <w:p>
            <w:pPr>
              <w:pStyle w:val="GesAbsatz"/>
              <w:tabs>
                <w:tab w:val="clear" w:pos="425"/>
              </w:tabs>
              <w:jc w:val="center"/>
            </w:pPr>
            <w:r>
              <w:t>0 – 15</w:t>
            </w:r>
          </w:p>
        </w:tc>
        <w:tc>
          <w:tcPr>
            <w:tcW w:w="1417" w:type="dxa"/>
            <w:shd w:val="clear" w:color="auto" w:fill="auto"/>
          </w:tcPr>
          <w:p>
            <w:pPr>
              <w:pStyle w:val="GesAbsatz"/>
              <w:tabs>
                <w:tab w:val="clear" w:pos="425"/>
              </w:tabs>
              <w:jc w:val="center"/>
            </w:pPr>
            <w:r>
              <w:t>0 – 50</w:t>
            </w:r>
          </w:p>
        </w:tc>
        <w:tc>
          <w:tcPr>
            <w:tcW w:w="1321" w:type="dxa"/>
            <w:shd w:val="clear" w:color="auto" w:fill="auto"/>
          </w:tcPr>
          <w:p>
            <w:pPr>
              <w:pStyle w:val="GesAbsatz"/>
              <w:tabs>
                <w:tab w:val="clear" w:pos="425"/>
              </w:tabs>
              <w:jc w:val="center"/>
            </w:pPr>
            <w:r>
              <w:t>0 – 200</w:t>
            </w:r>
          </w:p>
        </w:tc>
        <w:tc>
          <w:tcPr>
            <w:tcW w:w="1261" w:type="dxa"/>
            <w:shd w:val="clear" w:color="auto" w:fill="auto"/>
          </w:tcPr>
          <w:p>
            <w:pPr>
              <w:pStyle w:val="GesAbsatz"/>
              <w:tabs>
                <w:tab w:val="clear" w:pos="425"/>
              </w:tabs>
              <w:jc w:val="center"/>
            </w:pPr>
            <w:r>
              <w:t>SE</w:t>
            </w:r>
          </w:p>
        </w:tc>
      </w:tr>
    </w:tbl>
    <w:p>
      <w:pPr>
        <w:pStyle w:val="GesAbsatz"/>
      </w:pPr>
      <w:r>
        <w:t xml:space="preserve">100 SE </w:t>
      </w:r>
      <w:r>
        <w:rPr>
          <w:rFonts w:ascii="Cambria Math" w:hAnsi="Cambria Math" w:cs="Cambria Math"/>
        </w:rPr>
        <w:t>≙</w:t>
      </w:r>
      <w:r>
        <w:t xml:space="preserve"> 15 mg/m</w:t>
      </w:r>
      <w:r>
        <w:rPr>
          <w:vertAlign w:val="superscript"/>
        </w:rPr>
        <w:t>3</w:t>
      </w:r>
      <w:r>
        <w:t xml:space="preserve"> Staub</w:t>
      </w:r>
    </w:p>
    <w:p>
      <w:pPr>
        <w:pStyle w:val="GesAbsatz"/>
      </w:pPr>
      <w:r>
        <w:t>Softwareversionen: MCU Firmwareversion: 01.08.00</w:t>
      </w:r>
    </w:p>
    <w:p>
      <w:pPr>
        <w:pStyle w:val="GesAbsatz"/>
      </w:pPr>
      <w:r>
        <w:t>Sende- und Empfangseinheit: 01.03.10</w:t>
      </w:r>
    </w:p>
    <w:p>
      <w:pPr>
        <w:pStyle w:val="GesAbsatz"/>
      </w:pPr>
      <w:r>
        <w:t>Bediensoftware: SOPAS ET: 02.32</w:t>
      </w:r>
    </w:p>
    <w:p>
      <w:pPr>
        <w:pStyle w:val="GesAbsatz"/>
      </w:pPr>
      <w:r>
        <w:t>Einschränkungen:</w:t>
      </w:r>
    </w:p>
    <w:p>
      <w:pPr>
        <w:pStyle w:val="GesAbsatz"/>
      </w:pPr>
      <w:r>
        <w:t>Keine</w:t>
      </w:r>
    </w:p>
    <w:p>
      <w:pPr>
        <w:pStyle w:val="GesAbsatz"/>
      </w:pPr>
      <w:r>
        <w:t>Hinweise:</w:t>
      </w:r>
    </w:p>
    <w:p>
      <w:pPr>
        <w:pStyle w:val="GesAbsatz"/>
      </w:pPr>
      <w:r>
        <w:t>1.</w:t>
      </w:r>
      <w:r>
        <w:tab/>
        <w:t>Das Wartungsintervall beträgt sechs Monate.</w:t>
      </w:r>
    </w:p>
    <w:p>
      <w:pPr>
        <w:pStyle w:val="GesAbsatz"/>
      </w:pPr>
      <w:r>
        <w:t>2.</w:t>
      </w:r>
      <w:r>
        <w:tab/>
        <w:t>Die Staubkonzentration wird im feuchten Abgas unter Betriebsbedingungen gemessen.</w:t>
      </w:r>
    </w:p>
    <w:p>
      <w:pPr>
        <w:pStyle w:val="GesAbsatz"/>
        <w:ind w:left="426" w:hanging="426"/>
      </w:pPr>
      <w:r>
        <w:t>3.</w:t>
      </w:r>
      <w:r>
        <w:tab/>
        <w:t>Die Anforderung bei der Eignungsprüfung nach DIN EN 15267-3 an den Korrelationskoeffizienten R</w:t>
      </w:r>
      <w:r>
        <w:rPr>
          <w:vertAlign w:val="superscript"/>
        </w:rPr>
        <w:t>2</w:t>
      </w:r>
      <w:r>
        <w:t xml:space="preserve"> der Kalibrierfunktion wurde nicht erfüllt.</w:t>
      </w:r>
    </w:p>
    <w:p>
      <w:pPr>
        <w:pStyle w:val="GesAbsatz"/>
      </w:pPr>
      <w:r>
        <w:t>4.</w:t>
      </w:r>
      <w:r>
        <w:tab/>
        <w:t>Ergänzungsprüfung (Wartungsintervallverlängerung) zu den Bekanntmachungen des Umweltbundesamtes vom 19. Februar 2009 (BAnz. S. 899, Kapitel I Nummer 1.3) und vom 6. Juli 2012 (BAnz AT 20.07.2012 B11, Kapitel IV Mitteilung 19).</w:t>
      </w:r>
    </w:p>
    <w:p>
      <w:pPr>
        <w:pStyle w:val="GesAbsatz"/>
      </w:pPr>
      <w:r>
        <w:t>Prüfbericht: TÜV Rheinland Energie und Umwelt GmbH, Köln</w:t>
      </w:r>
    </w:p>
    <w:p>
      <w:pPr>
        <w:pStyle w:val="GesAbsatz"/>
      </w:pPr>
      <w:r>
        <w:t>Bericht-Nr.: 936/21219384/A vom 27. September 2012</w:t>
      </w:r>
    </w:p>
    <w:p>
      <w:pPr>
        <w:pStyle w:val="GesAbsatz"/>
        <w:rPr>
          <w:b/>
        </w:rPr>
      </w:pPr>
      <w:r>
        <w:rPr>
          <w:b/>
        </w:rPr>
        <w:t>2</w:t>
      </w:r>
      <w:r>
        <w:rPr>
          <w:b/>
        </w:rPr>
        <w:tab/>
        <w:t>Quecksilber</w:t>
      </w:r>
    </w:p>
    <w:p>
      <w:pPr>
        <w:pStyle w:val="GesAbsatz"/>
        <w:rPr>
          <w:b/>
        </w:rPr>
      </w:pPr>
      <w:r>
        <w:rPr>
          <w:b/>
        </w:rPr>
        <w:t>2.1</w:t>
      </w:r>
      <w:r>
        <w:rPr>
          <w:b/>
        </w:rPr>
        <w:tab/>
        <w:t>SM-4 für Hg</w:t>
      </w:r>
    </w:p>
    <w:p>
      <w:pPr>
        <w:pStyle w:val="GesAbsatz"/>
      </w:pPr>
      <w:r>
        <w:t>Hersteller:</w:t>
      </w:r>
    </w:p>
    <w:p>
      <w:pPr>
        <w:pStyle w:val="GesAbsatz"/>
      </w:pPr>
      <w:r>
        <w:t>Mercury Instruments GmbH, Karlsfeld,</w:t>
      </w:r>
    </w:p>
    <w:p>
      <w:pPr>
        <w:pStyle w:val="GesAbsatz"/>
      </w:pPr>
      <w:r>
        <w:t>IMT Innovative Messtechnik GmbH, Moosbach</w:t>
      </w:r>
    </w:p>
    <w:p>
      <w:pPr>
        <w:pStyle w:val="GesAbsatz"/>
      </w:pPr>
      <w:r>
        <w:t>Eignung:</w:t>
      </w:r>
    </w:p>
    <w:p>
      <w:pPr>
        <w:pStyle w:val="GesAbsatz"/>
      </w:pPr>
      <w:r>
        <w:t>Für genehmigungsbedürftige Anlagen und Anlagen der 27. BImSchV</w:t>
      </w:r>
    </w:p>
    <w:p>
      <w:pPr>
        <w:pStyle w:val="GesAbsatz"/>
      </w:pPr>
      <w:r>
        <w:t>Messbereiche in der Eignungsprüfung: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977"/>
        <w:gridCol w:w="1701"/>
      </w:tblGrid>
      <w:tr>
        <w:tc>
          <w:tcPr>
            <w:tcW w:w="2093" w:type="dxa"/>
            <w:shd w:val="clear" w:color="auto" w:fill="auto"/>
          </w:tcPr>
          <w:p>
            <w:pPr>
              <w:pStyle w:val="GesAbsatz"/>
              <w:tabs>
                <w:tab w:val="clear" w:pos="425"/>
              </w:tabs>
              <w:jc w:val="center"/>
            </w:pPr>
            <w:r>
              <w:t>Komponente</w:t>
            </w:r>
          </w:p>
        </w:tc>
        <w:tc>
          <w:tcPr>
            <w:tcW w:w="2693" w:type="dxa"/>
            <w:shd w:val="clear" w:color="auto" w:fill="auto"/>
          </w:tcPr>
          <w:p>
            <w:pPr>
              <w:pStyle w:val="GesAbsatz"/>
              <w:tabs>
                <w:tab w:val="clear" w:pos="425"/>
              </w:tabs>
              <w:jc w:val="center"/>
            </w:pPr>
            <w:r>
              <w:t>Zertifizierungsbereich</w:t>
            </w:r>
          </w:p>
        </w:tc>
        <w:tc>
          <w:tcPr>
            <w:tcW w:w="2977" w:type="dxa"/>
            <w:shd w:val="clear" w:color="auto" w:fill="auto"/>
          </w:tcPr>
          <w:p>
            <w:pPr>
              <w:pStyle w:val="GesAbsatz"/>
              <w:tabs>
                <w:tab w:val="clear" w:pos="425"/>
              </w:tabs>
              <w:jc w:val="center"/>
            </w:pPr>
            <w:r>
              <w:t>zusätzlicher Messbereich</w:t>
            </w:r>
          </w:p>
        </w:tc>
        <w:tc>
          <w:tcPr>
            <w:tcW w:w="1701" w:type="dxa"/>
            <w:shd w:val="clear" w:color="auto" w:fill="auto"/>
          </w:tcPr>
          <w:p>
            <w:pPr>
              <w:pStyle w:val="GesAbsatz"/>
              <w:tabs>
                <w:tab w:val="clear" w:pos="425"/>
              </w:tabs>
              <w:jc w:val="center"/>
            </w:pPr>
            <w:r>
              <w:t>Einheit</w:t>
            </w:r>
          </w:p>
        </w:tc>
      </w:tr>
      <w:tr>
        <w:tc>
          <w:tcPr>
            <w:tcW w:w="2093" w:type="dxa"/>
            <w:shd w:val="clear" w:color="auto" w:fill="auto"/>
          </w:tcPr>
          <w:p>
            <w:pPr>
              <w:pStyle w:val="GesAbsatz"/>
              <w:tabs>
                <w:tab w:val="clear" w:pos="425"/>
              </w:tabs>
            </w:pPr>
            <w:r>
              <w:lastRenderedPageBreak/>
              <w:t>Hg</w:t>
            </w:r>
          </w:p>
        </w:tc>
        <w:tc>
          <w:tcPr>
            <w:tcW w:w="2693" w:type="dxa"/>
            <w:shd w:val="clear" w:color="auto" w:fill="auto"/>
          </w:tcPr>
          <w:p>
            <w:pPr>
              <w:pStyle w:val="GesAbsatz"/>
              <w:tabs>
                <w:tab w:val="clear" w:pos="425"/>
              </w:tabs>
              <w:jc w:val="center"/>
            </w:pPr>
            <w:r>
              <w:t>0 – 45</w:t>
            </w:r>
          </w:p>
        </w:tc>
        <w:tc>
          <w:tcPr>
            <w:tcW w:w="2977" w:type="dxa"/>
            <w:shd w:val="clear" w:color="auto" w:fill="auto"/>
          </w:tcPr>
          <w:p>
            <w:pPr>
              <w:pStyle w:val="GesAbsatz"/>
              <w:tabs>
                <w:tab w:val="clear" w:pos="425"/>
              </w:tabs>
              <w:jc w:val="center"/>
            </w:pPr>
            <w:r>
              <w:t>0 – 100</w:t>
            </w:r>
          </w:p>
        </w:tc>
        <w:tc>
          <w:tcPr>
            <w:tcW w:w="1701" w:type="dxa"/>
            <w:shd w:val="clear" w:color="auto" w:fill="auto"/>
          </w:tcPr>
          <w:p>
            <w:pPr>
              <w:pStyle w:val="GesAbsatz"/>
              <w:tabs>
                <w:tab w:val="clear" w:pos="425"/>
              </w:tabs>
              <w:jc w:val="center"/>
            </w:pPr>
            <w:r>
              <w:t>μg/m</w:t>
            </w:r>
            <w:r>
              <w:rPr>
                <w:vertAlign w:val="superscript"/>
              </w:rPr>
              <w:t>3</w:t>
            </w:r>
          </w:p>
        </w:tc>
      </w:tr>
    </w:tbl>
    <w:p>
      <w:pPr>
        <w:pStyle w:val="GesAbsatz"/>
      </w:pPr>
      <w:r>
        <w:t>Softwareversion: 6.37 D</w:t>
      </w:r>
    </w:p>
    <w:p>
      <w:pPr>
        <w:pStyle w:val="GesAbsatz"/>
      </w:pPr>
      <w:r>
        <w:t>Einschränkung:</w:t>
      </w:r>
    </w:p>
    <w:p>
      <w:pPr>
        <w:pStyle w:val="GesAbsatz"/>
      </w:pPr>
      <w:r>
        <w:t>Die Anforderung bei der Eignungsprüfung nach DIN EN 15267-3 an die Einstellzeit wurde nicht erfüllt.</w:t>
      </w:r>
    </w:p>
    <w:p>
      <w:pPr>
        <w:pStyle w:val="GesAbsatz"/>
      </w:pPr>
      <w:r>
        <w:t>Hinweise:</w:t>
      </w:r>
    </w:p>
    <w:p>
      <w:pPr>
        <w:pStyle w:val="GesAbsatz"/>
        <w:ind w:left="426" w:hanging="426"/>
      </w:pPr>
      <w:r>
        <w:t>1.</w:t>
      </w:r>
      <w:r>
        <w:tab/>
        <w:t>Zur Referenzpunktprüfung (QAL3) sind feuchte Prüfgase einzusetzen. Dazu verfügt die Messeinrichtung über einen eingebauten Prüfgasgenerator. Alternativ kann auch ein externer Prüfgasgenerator (Typ HOVACAL) eingesetzt werden.</w:t>
      </w:r>
    </w:p>
    <w:p>
      <w:pPr>
        <w:pStyle w:val="GesAbsatz"/>
      </w:pPr>
      <w:r>
        <w:t>2.</w:t>
      </w:r>
      <w:r>
        <w:tab/>
        <w:t>Das Wartungsintervall beträgt drei Monate.</w:t>
      </w:r>
    </w:p>
    <w:p>
      <w:pPr>
        <w:pStyle w:val="GesAbsatz"/>
      </w:pPr>
      <w:r>
        <w:t>3.</w:t>
      </w:r>
      <w:r>
        <w:tab/>
        <w:t>Die Messeinrichtung führt alle drei Tage eine automatische Referenzpunktkorrektur durch.</w:t>
      </w:r>
    </w:p>
    <w:p>
      <w:pPr>
        <w:pStyle w:val="GesAbsatz"/>
      </w:pPr>
      <w:r>
        <w:t>4.</w:t>
      </w:r>
      <w:r>
        <w:tab/>
        <w:t>Die Länge der Messgasleitung betrug zwischen 15 und 19,5 m.</w:t>
      </w:r>
    </w:p>
    <w:p>
      <w:pPr>
        <w:pStyle w:val="GesAbsatz"/>
        <w:ind w:left="426" w:hanging="426"/>
      </w:pPr>
      <w:r>
        <w:t>5.</w:t>
      </w:r>
      <w:r>
        <w:tab/>
        <w:t>Ergänzungsprüfung (Zulassung eines zusätzlichen Anlagentyps) zu der Bekanntmachung des Umweltbundesamtes vom 6. Juli 2012 (BAnz AT 20.07.2012 B11, Kapitel 1 Nummer 2.1).</w:t>
      </w:r>
    </w:p>
    <w:p>
      <w:pPr>
        <w:pStyle w:val="GesAbsatz"/>
      </w:pPr>
      <w:r>
        <w:t>Prüfbericht: TÜV Rheinland Energie und Umwelt GmbH, Köln</w:t>
      </w:r>
    </w:p>
    <w:p>
      <w:pPr>
        <w:pStyle w:val="GesAbsatz"/>
      </w:pPr>
      <w:r>
        <w:t>Bericht-Nr.: 936/21213740/B vom 13. Oktober 2012</w:t>
      </w:r>
    </w:p>
    <w:p>
      <w:pPr>
        <w:pStyle w:val="GesAbsatz"/>
        <w:rPr>
          <w:b/>
        </w:rPr>
      </w:pPr>
      <w:r>
        <w:rPr>
          <w:b/>
        </w:rPr>
        <w:t>2.2</w:t>
      </w:r>
      <w:r>
        <w:rPr>
          <w:b/>
        </w:rPr>
        <w:tab/>
        <w:t>AR602Z/Hg für Hg</w:t>
      </w:r>
    </w:p>
    <w:p>
      <w:pPr>
        <w:pStyle w:val="GesAbsatz"/>
      </w:pPr>
      <w:r>
        <w:t>Hersteller:</w:t>
      </w:r>
    </w:p>
    <w:p>
      <w:pPr>
        <w:pStyle w:val="GesAbsatz"/>
      </w:pPr>
      <w:r>
        <w:t>Opsis AB, Furulund/Schweden</w:t>
      </w:r>
    </w:p>
    <w:p>
      <w:pPr>
        <w:pStyle w:val="GesAbsatz"/>
      </w:pPr>
      <w:r>
        <w:t>Eignung:</w:t>
      </w:r>
    </w:p>
    <w:p>
      <w:pPr>
        <w:pStyle w:val="GesAbsatz"/>
      </w:pPr>
      <w:r>
        <w:t>Für genehmigungsbedürftige Anlagen und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25"/>
        <w:gridCol w:w="2820"/>
        <w:gridCol w:w="1917"/>
      </w:tblGrid>
      <w:tr>
        <w:tc>
          <w:tcPr>
            <w:tcW w:w="2093" w:type="dxa"/>
            <w:shd w:val="clear" w:color="auto" w:fill="auto"/>
          </w:tcPr>
          <w:p>
            <w:pPr>
              <w:pStyle w:val="GesAbsatz"/>
              <w:tabs>
                <w:tab w:val="clear" w:pos="425"/>
              </w:tabs>
              <w:jc w:val="center"/>
            </w:pPr>
            <w:r>
              <w:t>Komponente</w:t>
            </w:r>
          </w:p>
        </w:tc>
        <w:tc>
          <w:tcPr>
            <w:tcW w:w="2725" w:type="dxa"/>
            <w:shd w:val="clear" w:color="auto" w:fill="auto"/>
          </w:tcPr>
          <w:p>
            <w:pPr>
              <w:pStyle w:val="GesAbsatz"/>
              <w:tabs>
                <w:tab w:val="clear" w:pos="425"/>
              </w:tabs>
              <w:jc w:val="center"/>
            </w:pPr>
            <w:r>
              <w:t>Zertifizierungsbereich</w:t>
            </w:r>
          </w:p>
        </w:tc>
        <w:tc>
          <w:tcPr>
            <w:tcW w:w="2820" w:type="dxa"/>
            <w:shd w:val="clear" w:color="auto" w:fill="auto"/>
          </w:tcPr>
          <w:p>
            <w:pPr>
              <w:pStyle w:val="GesAbsatz"/>
              <w:tabs>
                <w:tab w:val="clear" w:pos="425"/>
              </w:tabs>
              <w:jc w:val="center"/>
            </w:pPr>
            <w:r>
              <w:t>zusätzlicher Messbereich</w:t>
            </w:r>
          </w:p>
        </w:tc>
        <w:tc>
          <w:tcPr>
            <w:tcW w:w="1917" w:type="dxa"/>
            <w:shd w:val="clear" w:color="auto" w:fill="auto"/>
          </w:tcPr>
          <w:p>
            <w:pPr>
              <w:pStyle w:val="GesAbsatz"/>
              <w:tabs>
                <w:tab w:val="clear" w:pos="425"/>
              </w:tabs>
              <w:jc w:val="center"/>
            </w:pPr>
            <w:r>
              <w:t>Einheit</w:t>
            </w:r>
          </w:p>
        </w:tc>
      </w:tr>
      <w:tr>
        <w:tc>
          <w:tcPr>
            <w:tcW w:w="2093" w:type="dxa"/>
            <w:shd w:val="clear" w:color="auto" w:fill="auto"/>
          </w:tcPr>
          <w:p>
            <w:pPr>
              <w:pStyle w:val="GesAbsatz"/>
              <w:tabs>
                <w:tab w:val="clear" w:pos="425"/>
              </w:tabs>
            </w:pPr>
            <w:r>
              <w:t>Hg</w:t>
            </w:r>
          </w:p>
        </w:tc>
        <w:tc>
          <w:tcPr>
            <w:tcW w:w="2725" w:type="dxa"/>
            <w:shd w:val="clear" w:color="auto" w:fill="auto"/>
          </w:tcPr>
          <w:p>
            <w:pPr>
              <w:pStyle w:val="GesAbsatz"/>
              <w:tabs>
                <w:tab w:val="clear" w:pos="425"/>
              </w:tabs>
              <w:jc w:val="center"/>
            </w:pPr>
            <w:r>
              <w:t>0 – 45</w:t>
            </w:r>
          </w:p>
        </w:tc>
        <w:tc>
          <w:tcPr>
            <w:tcW w:w="2820" w:type="dxa"/>
            <w:shd w:val="clear" w:color="auto" w:fill="auto"/>
          </w:tcPr>
          <w:p>
            <w:pPr>
              <w:pStyle w:val="GesAbsatz"/>
              <w:tabs>
                <w:tab w:val="clear" w:pos="425"/>
              </w:tabs>
              <w:jc w:val="center"/>
            </w:pPr>
            <w:r>
              <w:t>0 – 100</w:t>
            </w:r>
          </w:p>
        </w:tc>
        <w:tc>
          <w:tcPr>
            <w:tcW w:w="1917" w:type="dxa"/>
            <w:shd w:val="clear" w:color="auto" w:fill="auto"/>
          </w:tcPr>
          <w:p>
            <w:pPr>
              <w:pStyle w:val="GesAbsatz"/>
              <w:tabs>
                <w:tab w:val="clear" w:pos="425"/>
              </w:tabs>
              <w:jc w:val="center"/>
            </w:pPr>
            <w:r>
              <w:t>μg/m</w:t>
            </w:r>
            <w:r>
              <w:rPr>
                <w:vertAlign w:val="superscript"/>
              </w:rPr>
              <w:t>3</w:t>
            </w:r>
          </w:p>
        </w:tc>
      </w:tr>
    </w:tbl>
    <w:p>
      <w:pPr>
        <w:pStyle w:val="GesAbsatz"/>
      </w:pPr>
      <w:r>
        <w:t>Softwareversion: 7.21</w:t>
      </w:r>
    </w:p>
    <w:p>
      <w:pPr>
        <w:pStyle w:val="GesAbsatz"/>
      </w:pPr>
      <w:r>
        <w:t>Einschränkung:</w:t>
      </w:r>
    </w:p>
    <w:p>
      <w:pPr>
        <w:pStyle w:val="GesAbsatz"/>
      </w:pPr>
      <w:r>
        <w:t>Die Anforderung bei der Eignungsprüfung nach DIN EN 15267-3 an die Einstellzeit wurde nicht erfüllt.</w:t>
      </w:r>
    </w:p>
    <w:p>
      <w:pPr>
        <w:pStyle w:val="GesAbsatz"/>
      </w:pPr>
      <w:r>
        <w:t>Hinweise:</w:t>
      </w:r>
    </w:p>
    <w:p>
      <w:pPr>
        <w:pStyle w:val="GesAbsatz"/>
      </w:pPr>
      <w:r>
        <w:t>1.</w:t>
      </w:r>
      <w:r>
        <w:tab/>
        <w:t>Das Wartungsintervall betragt zwei Monate.</w:t>
      </w:r>
    </w:p>
    <w:p>
      <w:pPr>
        <w:pStyle w:val="GesAbsatz"/>
        <w:ind w:left="426" w:hanging="426"/>
      </w:pPr>
      <w:r>
        <w:t>2.</w:t>
      </w:r>
      <w:r>
        <w:tab/>
        <w:t>Für die regelmäßige Kontrolle des Referenzpunktes im Wartungsintervall muss der Prüfgasgenerator HovaCal zur Verfügung stehen.</w:t>
      </w:r>
    </w:p>
    <w:p>
      <w:pPr>
        <w:pStyle w:val="GesAbsatz"/>
        <w:ind w:left="426" w:hanging="426"/>
      </w:pPr>
      <w:r>
        <w:t>3.</w:t>
      </w:r>
      <w:r>
        <w:tab/>
        <w:t>Die Lange der beheizten Messgasleitung betrug im Labor- und im Feldtest zwischen 10 und 15 m.</w:t>
      </w:r>
    </w:p>
    <w:p>
      <w:pPr>
        <w:pStyle w:val="GesAbsatz"/>
        <w:ind w:left="426" w:hanging="426"/>
      </w:pPr>
      <w:r>
        <w:t>4.</w:t>
      </w:r>
      <w:r>
        <w:tab/>
        <w:t>Zur Querempfindlichkeitskompensation muss die Komponente SO</w:t>
      </w:r>
      <w:r>
        <w:rPr>
          <w:vertAlign w:val="subscript"/>
        </w:rPr>
        <w:t>2</w:t>
      </w:r>
      <w:r>
        <w:t xml:space="preserve"> in der Messzelle bestimmt werden.</w:t>
      </w:r>
    </w:p>
    <w:p>
      <w:pPr>
        <w:pStyle w:val="GesAbsatz"/>
        <w:ind w:left="426" w:hanging="426"/>
      </w:pPr>
      <w:r>
        <w:t>5.</w:t>
      </w:r>
      <w:r>
        <w:tab/>
        <w:t>Nach Revision oder Fehlfunktionen in der Abgasreinigung müssen die Filter in der Probenahmesonde überprüft und gegebenenfalls ausgetauscht werden.</w:t>
      </w:r>
    </w:p>
    <w:p>
      <w:pPr>
        <w:pStyle w:val="GesAbsatz"/>
        <w:ind w:left="426" w:hanging="426"/>
      </w:pPr>
      <w:r>
        <w:t>6.</w:t>
      </w:r>
      <w:r>
        <w:tab/>
        <w:t>Die Messeinrichtung ist sowohl in der Basisversion (beheizte Messzelle als externes Modul) als auch in der kompakten Schrankversion (beheizte Messzelle in senkrechter Einbaulage in einem klimatisierten Messschrank) eignungsgeprüft.</w:t>
      </w:r>
    </w:p>
    <w:p>
      <w:pPr>
        <w:pStyle w:val="GesAbsatz"/>
        <w:ind w:left="426" w:hanging="426"/>
      </w:pPr>
      <w:r>
        <w:t>7.</w:t>
      </w:r>
      <w:r>
        <w:tab/>
        <w:t>Ergänzungsprüfung (Zulassung weiterer Anlagentypen, Ausführung als Schrankversion) zu der Bekanntmachung des Umweltbundesamtes vom 6. Juli 2012 (BAnz AT 20.07.2012 B11, Kapitel I Nummer 2.2).</w:t>
      </w:r>
    </w:p>
    <w:p>
      <w:pPr>
        <w:pStyle w:val="GesAbsatz"/>
      </w:pPr>
      <w:r>
        <w:t>Prüfbericht: TÜV Rheinland Energie und Umwelt GmbH, Köln</w:t>
      </w:r>
    </w:p>
    <w:p>
      <w:pPr>
        <w:pStyle w:val="GesAbsatz"/>
      </w:pPr>
      <w:r>
        <w:t>Bericht-Nr.: 936/21215492/C vom 12. Oktober 2012</w:t>
      </w:r>
    </w:p>
    <w:p>
      <w:pPr>
        <w:pStyle w:val="GesAbsatz"/>
        <w:rPr>
          <w:b/>
        </w:rPr>
      </w:pPr>
      <w:r>
        <w:rPr>
          <w:b/>
        </w:rPr>
        <w:t>2.3</w:t>
      </w:r>
      <w:r>
        <w:rPr>
          <w:b/>
        </w:rPr>
        <w:tab/>
        <w:t>MERCEM300Z für Hg</w:t>
      </w:r>
    </w:p>
    <w:p>
      <w:pPr>
        <w:pStyle w:val="GesAbsatz"/>
      </w:pPr>
      <w:r>
        <w:t>Hersteller:</w:t>
      </w:r>
    </w:p>
    <w:p>
      <w:pPr>
        <w:pStyle w:val="GesAbsatz"/>
      </w:pPr>
      <w:r>
        <w:t>SICK MAIHAK GmbH, Meersburg</w:t>
      </w:r>
    </w:p>
    <w:p>
      <w:pPr>
        <w:pStyle w:val="GesAbsatz"/>
      </w:pPr>
      <w:r>
        <w:t>Eignung:</w:t>
      </w:r>
    </w:p>
    <w:p>
      <w:pPr>
        <w:pStyle w:val="GesAbsatz"/>
      </w:pPr>
      <w:r>
        <w:lastRenderedPageBreak/>
        <w:t>Für genehmigungsbedürftige Anlagen sowie Anlagen der 27. BImSchV</w:t>
      </w:r>
    </w:p>
    <w:p>
      <w:pPr>
        <w:pStyle w:val="GesAbsatz"/>
      </w:pPr>
      <w:r>
        <w:t>Messbereiche in der Eignungsprüfung:</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42"/>
        <w:gridCol w:w="1448"/>
        <w:gridCol w:w="1417"/>
        <w:gridCol w:w="1496"/>
        <w:gridCol w:w="1301"/>
      </w:tblGrid>
      <w:tr>
        <w:tc>
          <w:tcPr>
            <w:tcW w:w="1809" w:type="dxa"/>
            <w:shd w:val="clear" w:color="auto" w:fill="auto"/>
          </w:tcPr>
          <w:p>
            <w:pPr>
              <w:pStyle w:val="GesAbsatz"/>
              <w:tabs>
                <w:tab w:val="clear" w:pos="425"/>
              </w:tabs>
              <w:jc w:val="center"/>
            </w:pPr>
            <w:r>
              <w:t>Komponente</w:t>
            </w:r>
          </w:p>
        </w:tc>
        <w:tc>
          <w:tcPr>
            <w:tcW w:w="2442" w:type="dxa"/>
            <w:shd w:val="clear" w:color="auto" w:fill="auto"/>
          </w:tcPr>
          <w:p>
            <w:pPr>
              <w:pStyle w:val="GesAbsatz"/>
              <w:tabs>
                <w:tab w:val="clear" w:pos="425"/>
              </w:tabs>
              <w:jc w:val="center"/>
            </w:pPr>
            <w:r>
              <w:t>Zertifizierungsbereich</w:t>
            </w:r>
          </w:p>
        </w:tc>
        <w:tc>
          <w:tcPr>
            <w:tcW w:w="4361" w:type="dxa"/>
            <w:gridSpan w:val="3"/>
            <w:shd w:val="clear" w:color="auto" w:fill="auto"/>
          </w:tcPr>
          <w:p>
            <w:pPr>
              <w:pStyle w:val="GesAbsatz"/>
              <w:tabs>
                <w:tab w:val="clear" w:pos="425"/>
              </w:tabs>
              <w:jc w:val="center"/>
            </w:pPr>
            <w:r>
              <w:t>zusätzliche Messbereiche</w:t>
            </w:r>
          </w:p>
        </w:tc>
        <w:tc>
          <w:tcPr>
            <w:tcW w:w="1301" w:type="dxa"/>
            <w:shd w:val="clear" w:color="auto" w:fill="auto"/>
          </w:tcPr>
          <w:p>
            <w:pPr>
              <w:pStyle w:val="GesAbsatz"/>
              <w:tabs>
                <w:tab w:val="clear" w:pos="425"/>
              </w:tabs>
              <w:jc w:val="center"/>
            </w:pPr>
            <w:r>
              <w:t>Einheit</w:t>
            </w:r>
          </w:p>
        </w:tc>
      </w:tr>
      <w:tr>
        <w:tc>
          <w:tcPr>
            <w:tcW w:w="1809" w:type="dxa"/>
            <w:shd w:val="clear" w:color="auto" w:fill="auto"/>
          </w:tcPr>
          <w:p>
            <w:pPr>
              <w:pStyle w:val="GesAbsatz"/>
              <w:tabs>
                <w:tab w:val="clear" w:pos="425"/>
              </w:tabs>
            </w:pPr>
            <w:r>
              <w:t>Hg</w:t>
            </w:r>
          </w:p>
        </w:tc>
        <w:tc>
          <w:tcPr>
            <w:tcW w:w="2442" w:type="dxa"/>
            <w:shd w:val="clear" w:color="auto" w:fill="auto"/>
          </w:tcPr>
          <w:p>
            <w:pPr>
              <w:pStyle w:val="GesAbsatz"/>
              <w:tabs>
                <w:tab w:val="clear" w:pos="425"/>
              </w:tabs>
              <w:jc w:val="center"/>
            </w:pPr>
            <w:r>
              <w:t>0 – 10</w:t>
            </w:r>
          </w:p>
        </w:tc>
        <w:tc>
          <w:tcPr>
            <w:tcW w:w="1448" w:type="dxa"/>
            <w:shd w:val="clear" w:color="auto" w:fill="auto"/>
          </w:tcPr>
          <w:p>
            <w:pPr>
              <w:pStyle w:val="GesAbsatz"/>
              <w:tabs>
                <w:tab w:val="clear" w:pos="425"/>
              </w:tabs>
              <w:jc w:val="center"/>
            </w:pPr>
            <w:r>
              <w:t>0 – 45</w:t>
            </w:r>
          </w:p>
        </w:tc>
        <w:tc>
          <w:tcPr>
            <w:tcW w:w="1417" w:type="dxa"/>
            <w:shd w:val="clear" w:color="auto" w:fill="auto"/>
          </w:tcPr>
          <w:p>
            <w:pPr>
              <w:pStyle w:val="GesAbsatz"/>
              <w:tabs>
                <w:tab w:val="clear" w:pos="425"/>
              </w:tabs>
              <w:jc w:val="center"/>
            </w:pPr>
            <w:r>
              <w:t>0 – 100</w:t>
            </w:r>
          </w:p>
        </w:tc>
        <w:tc>
          <w:tcPr>
            <w:tcW w:w="1496" w:type="dxa"/>
            <w:shd w:val="clear" w:color="auto" w:fill="auto"/>
          </w:tcPr>
          <w:p>
            <w:pPr>
              <w:pStyle w:val="GesAbsatz"/>
              <w:tabs>
                <w:tab w:val="clear" w:pos="425"/>
              </w:tabs>
              <w:jc w:val="center"/>
            </w:pPr>
            <w:r>
              <w:t>0 – 1 000</w:t>
            </w:r>
          </w:p>
        </w:tc>
        <w:tc>
          <w:tcPr>
            <w:tcW w:w="1301" w:type="dxa"/>
            <w:shd w:val="clear" w:color="auto" w:fill="auto"/>
          </w:tcPr>
          <w:p>
            <w:pPr>
              <w:pStyle w:val="GesAbsatz"/>
              <w:tabs>
                <w:tab w:val="clear" w:pos="425"/>
              </w:tabs>
              <w:jc w:val="center"/>
            </w:pPr>
            <w:r>
              <w:t>μg/m</w:t>
            </w:r>
            <w:r>
              <w:rPr>
                <w:vertAlign w:val="superscript"/>
              </w:rPr>
              <w:t>3</w:t>
            </w:r>
          </w:p>
        </w:tc>
      </w:tr>
    </w:tbl>
    <w:p>
      <w:pPr>
        <w:pStyle w:val="GesAbsatz"/>
      </w:pPr>
      <w:r>
        <w:t>Softwareversion: 9162140 VL27</w:t>
      </w:r>
    </w:p>
    <w:p>
      <w:pPr>
        <w:pStyle w:val="GesAbsatz"/>
      </w:pPr>
      <w:r>
        <w:t>Einschränkungen:</w:t>
      </w:r>
    </w:p>
    <w:p>
      <w:pPr>
        <w:pStyle w:val="GesAbsatz"/>
      </w:pPr>
      <w:r>
        <w:t>Keine</w:t>
      </w:r>
    </w:p>
    <w:p>
      <w:pPr>
        <w:pStyle w:val="GesAbsatz"/>
      </w:pPr>
      <w:r>
        <w:t>Hinweise:</w:t>
      </w:r>
    </w:p>
    <w:p>
      <w:pPr>
        <w:pStyle w:val="GesAbsatz"/>
      </w:pPr>
      <w:r>
        <w:t>1.</w:t>
      </w:r>
      <w:r>
        <w:tab/>
        <w:t>Bei der Prüfung der Messeinrichtung ist feuchtes Prüfgas einzusetzen.</w:t>
      </w:r>
    </w:p>
    <w:p>
      <w:pPr>
        <w:pStyle w:val="GesAbsatz"/>
      </w:pPr>
      <w:r>
        <w:t>2.</w:t>
      </w:r>
      <w:r>
        <w:tab/>
        <w:t>Das Wartungsintervall beträgt drei Monate.</w:t>
      </w:r>
    </w:p>
    <w:p>
      <w:pPr>
        <w:pStyle w:val="GesAbsatz"/>
        <w:ind w:left="426" w:hanging="426"/>
      </w:pPr>
      <w:r>
        <w:t>3.</w:t>
      </w:r>
      <w:r>
        <w:tab/>
        <w:t>Zur Referenzpunktkontrolle von Hg muss ein geeigneter Hg-Prüfgasgenerator, z.B. vom Typ HovaCal, eingesetzt werden. Optional ist der Betrieb der Messeinrichtung auch mit einem internen Prüfgasgenerator möglich; auf einen externen Prüfgasgenerator kann dann verzichtet werden. Für kurzfristige Systemchecks steht eine interne Hg-Küvette zur Verfügung, deren Daten aber nicht für QAL3-Zwecke genutzt werden können.</w:t>
      </w:r>
    </w:p>
    <w:p>
      <w:pPr>
        <w:pStyle w:val="GesAbsatz"/>
        <w:ind w:left="426" w:hanging="426"/>
      </w:pPr>
      <w:r>
        <w:t>4.</w:t>
      </w:r>
      <w:r>
        <w:tab/>
        <w:t>Die Länge der Messgasleitung im Feldtest betrug zwischen 5 und 35 m.</w:t>
      </w:r>
    </w:p>
    <w:p>
      <w:pPr>
        <w:pStyle w:val="GesAbsatz"/>
        <w:ind w:left="426" w:hanging="426"/>
      </w:pPr>
      <w:r>
        <w:t>5.</w:t>
      </w:r>
      <w:r>
        <w:tab/>
        <w:t>Ergänzungsprüfung (Zulassung eines zusätzlichen Anlagentyps) zu der Bekanntmachung des Umweltbundesamtes vom 6. Juli 2012 (BAnz AT 20.07.2012 B11, Kapitel I Nummer 2.3).</w:t>
      </w:r>
    </w:p>
    <w:p>
      <w:pPr>
        <w:pStyle w:val="GesAbsatz"/>
      </w:pPr>
      <w:r>
        <w:t>Prüfbericht: TÜV Rheinland Energie und Umwelt GmbH, Köln</w:t>
      </w:r>
    </w:p>
    <w:p>
      <w:pPr>
        <w:pStyle w:val="GesAbsatz"/>
      </w:pPr>
      <w:r>
        <w:t>Bericht-Nr.: 936/21216054/C vom 30. September 2012</w:t>
      </w:r>
    </w:p>
    <w:p>
      <w:pPr>
        <w:pStyle w:val="GesAbsatz"/>
        <w:rPr>
          <w:b/>
        </w:rPr>
      </w:pPr>
      <w:r>
        <w:rPr>
          <w:b/>
        </w:rPr>
        <w:t>2.4</w:t>
      </w:r>
      <w:r>
        <w:rPr>
          <w:b/>
        </w:rPr>
        <w:tab/>
        <w:t>HM 1400 TRX</w:t>
      </w:r>
    </w:p>
    <w:p>
      <w:pPr>
        <w:pStyle w:val="GesAbsatz"/>
      </w:pPr>
      <w:r>
        <w:t>Hersteller:</w:t>
      </w:r>
    </w:p>
    <w:p>
      <w:pPr>
        <w:pStyle w:val="GesAbsatz"/>
      </w:pPr>
      <w:r>
        <w:t>VEREWA Umwelt- und Prozessmesstechnik GmbH, Hamburg</w:t>
      </w:r>
    </w:p>
    <w:p>
      <w:pPr>
        <w:pStyle w:val="GesAbsatz"/>
      </w:pPr>
      <w:r>
        <w:t>Eignung:</w:t>
      </w:r>
    </w:p>
    <w:p>
      <w:pPr>
        <w:pStyle w:val="GesAbsatz"/>
      </w:pPr>
      <w:r>
        <w:t>Für Anlagen der 13. BImSchV sowie für Anlagen nach § 2 Nummer 6 und 7 der 17.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25"/>
        <w:gridCol w:w="2820"/>
        <w:gridCol w:w="2058"/>
      </w:tblGrid>
      <w:tr>
        <w:tc>
          <w:tcPr>
            <w:tcW w:w="1809" w:type="dxa"/>
            <w:shd w:val="clear" w:color="auto" w:fill="auto"/>
          </w:tcPr>
          <w:p>
            <w:pPr>
              <w:pStyle w:val="GesAbsatz"/>
              <w:tabs>
                <w:tab w:val="clear" w:pos="425"/>
              </w:tabs>
              <w:jc w:val="center"/>
            </w:pPr>
            <w:r>
              <w:t>Komponente</w:t>
            </w:r>
          </w:p>
        </w:tc>
        <w:tc>
          <w:tcPr>
            <w:tcW w:w="2725" w:type="dxa"/>
            <w:shd w:val="clear" w:color="auto" w:fill="auto"/>
          </w:tcPr>
          <w:p>
            <w:pPr>
              <w:pStyle w:val="GesAbsatz"/>
              <w:tabs>
                <w:tab w:val="clear" w:pos="425"/>
              </w:tabs>
              <w:jc w:val="center"/>
            </w:pPr>
            <w:r>
              <w:t>Zertifizierungsbereich</w:t>
            </w:r>
          </w:p>
        </w:tc>
        <w:tc>
          <w:tcPr>
            <w:tcW w:w="2820" w:type="dxa"/>
            <w:shd w:val="clear" w:color="auto" w:fill="auto"/>
          </w:tcPr>
          <w:p>
            <w:pPr>
              <w:pStyle w:val="GesAbsatz"/>
              <w:tabs>
                <w:tab w:val="clear" w:pos="425"/>
              </w:tabs>
              <w:jc w:val="center"/>
            </w:pPr>
            <w:r>
              <w:t>zusätzlicher Messbereich</w:t>
            </w:r>
          </w:p>
        </w:tc>
        <w:tc>
          <w:tcPr>
            <w:tcW w:w="2058" w:type="dxa"/>
            <w:shd w:val="clear" w:color="auto" w:fill="auto"/>
          </w:tcPr>
          <w:p>
            <w:pPr>
              <w:pStyle w:val="GesAbsatz"/>
              <w:tabs>
                <w:tab w:val="clear" w:pos="425"/>
              </w:tabs>
              <w:jc w:val="center"/>
            </w:pPr>
            <w:r>
              <w:t>Einheit</w:t>
            </w:r>
          </w:p>
        </w:tc>
      </w:tr>
      <w:tr>
        <w:tc>
          <w:tcPr>
            <w:tcW w:w="1809" w:type="dxa"/>
            <w:shd w:val="clear" w:color="auto" w:fill="auto"/>
          </w:tcPr>
          <w:p>
            <w:pPr>
              <w:pStyle w:val="GesAbsatz"/>
              <w:tabs>
                <w:tab w:val="clear" w:pos="425"/>
              </w:tabs>
            </w:pPr>
            <w:r>
              <w:t>Hg</w:t>
            </w:r>
          </w:p>
        </w:tc>
        <w:tc>
          <w:tcPr>
            <w:tcW w:w="2725" w:type="dxa"/>
            <w:shd w:val="clear" w:color="auto" w:fill="auto"/>
          </w:tcPr>
          <w:p>
            <w:pPr>
              <w:pStyle w:val="GesAbsatz"/>
              <w:tabs>
                <w:tab w:val="clear" w:pos="425"/>
              </w:tabs>
              <w:jc w:val="center"/>
            </w:pPr>
            <w:r>
              <w:t>0 – 45</w:t>
            </w:r>
          </w:p>
        </w:tc>
        <w:tc>
          <w:tcPr>
            <w:tcW w:w="2820" w:type="dxa"/>
            <w:shd w:val="clear" w:color="auto" w:fill="auto"/>
          </w:tcPr>
          <w:p>
            <w:pPr>
              <w:pStyle w:val="GesAbsatz"/>
              <w:tabs>
                <w:tab w:val="clear" w:pos="425"/>
              </w:tabs>
              <w:jc w:val="center"/>
            </w:pPr>
            <w:r>
              <w:t>0 – 75</w:t>
            </w:r>
          </w:p>
        </w:tc>
        <w:tc>
          <w:tcPr>
            <w:tcW w:w="2058" w:type="dxa"/>
            <w:shd w:val="clear" w:color="auto" w:fill="auto"/>
          </w:tcPr>
          <w:p>
            <w:pPr>
              <w:pStyle w:val="GesAbsatz"/>
              <w:tabs>
                <w:tab w:val="clear" w:pos="425"/>
              </w:tabs>
              <w:jc w:val="center"/>
            </w:pPr>
            <w:r>
              <w:t>μg/m</w:t>
            </w:r>
            <w:r>
              <w:rPr>
                <w:vertAlign w:val="superscript"/>
              </w:rPr>
              <w:t>3</w:t>
            </w:r>
          </w:p>
        </w:tc>
      </w:tr>
    </w:tbl>
    <w:p>
      <w:pPr>
        <w:pStyle w:val="GesAbsatz"/>
      </w:pPr>
      <w:r>
        <w:t>Softwareversion: 2.01 (Die Display-Software [Version: DIS TRX 006] enthält nur die Sprachpakete und hat keinen Einfluss auf die Funktion)</w:t>
      </w:r>
    </w:p>
    <w:p>
      <w:pPr>
        <w:pStyle w:val="GesAbsatz"/>
      </w:pPr>
      <w:r>
        <w:t>Einschränkungen:</w:t>
      </w:r>
    </w:p>
    <w:p>
      <w:pPr>
        <w:pStyle w:val="GesAbsatz"/>
      </w:pPr>
      <w:r>
        <w:t>Keine</w:t>
      </w:r>
    </w:p>
    <w:p>
      <w:pPr>
        <w:pStyle w:val="GesAbsatz"/>
      </w:pPr>
      <w:r>
        <w:t>Hinweise:</w:t>
      </w:r>
    </w:p>
    <w:p>
      <w:pPr>
        <w:pStyle w:val="GesAbsatz"/>
        <w:ind w:left="426" w:hanging="426"/>
      </w:pPr>
      <w:r>
        <w:t>1.</w:t>
      </w:r>
      <w:r>
        <w:tab/>
        <w:t>Das Wartungsintervall beträgt drei Monate, soweit eine kontinuierliche Ableitung des Kondensates gewährleistet ist.</w:t>
      </w:r>
    </w:p>
    <w:p>
      <w:pPr>
        <w:pStyle w:val="GesAbsatz"/>
        <w:ind w:left="426" w:hanging="426"/>
      </w:pPr>
      <w:r>
        <w:t>2.</w:t>
      </w:r>
      <w:r>
        <w:tab/>
        <w:t>Für die regelmäßige Kontrolle des Null- und Referenzpunktes alle drei Monate muss ein geeigneter Prüfgasgenerator zur Verfügung stehen.</w:t>
      </w:r>
    </w:p>
    <w:p>
      <w:pPr>
        <w:pStyle w:val="GesAbsatz"/>
        <w:ind w:left="426" w:hanging="426"/>
      </w:pPr>
      <w:r>
        <w:t>3.</w:t>
      </w:r>
      <w:r>
        <w:tab/>
        <w:t>Alle zwei Stunden erfolgt eine automatische Justierung des Nullpunktes mit gereinigter Umgebungsluft.</w:t>
      </w:r>
    </w:p>
    <w:p>
      <w:pPr>
        <w:pStyle w:val="GesAbsatz"/>
        <w:ind w:left="426" w:hanging="426"/>
      </w:pPr>
      <w:r>
        <w:t>4.</w:t>
      </w:r>
      <w:r>
        <w:tab/>
        <w:t>Bei O</w:t>
      </w:r>
      <w:r>
        <w:rPr>
          <w:vertAlign w:val="subscript"/>
        </w:rPr>
        <w:t>2</w:t>
      </w:r>
      <w:r>
        <w:t>-Gehalten über 18 Vol.-% kann es notwendig sein, die Füllung des Hg</w:t>
      </w:r>
      <w:r>
        <w:rPr>
          <w:vertAlign w:val="superscript"/>
        </w:rPr>
        <w:t>2+</w:t>
      </w:r>
      <w:r>
        <w:t>/Hg</w:t>
      </w:r>
      <w:r>
        <w:rPr>
          <w:vertAlign w:val="superscript"/>
        </w:rPr>
        <w:t>0</w:t>
      </w:r>
      <w:r>
        <w:t>-Reaktors häufiger als halbjährlich auszutauschen.</w:t>
      </w:r>
    </w:p>
    <w:p>
      <w:pPr>
        <w:pStyle w:val="GesAbsatz"/>
        <w:ind w:left="426" w:hanging="426"/>
      </w:pPr>
      <w:r>
        <w:t>5.</w:t>
      </w:r>
      <w:r>
        <w:tab/>
        <w:t>Die Länge der beheizten Messgasleitung betrug im Labortest 5 m und im Feldtest 10 m.</w:t>
      </w:r>
    </w:p>
    <w:p>
      <w:pPr>
        <w:pStyle w:val="GesAbsatz"/>
        <w:ind w:left="426" w:hanging="426"/>
      </w:pPr>
      <w:r>
        <w:t>6.</w:t>
      </w:r>
      <w:r>
        <w:tab/>
        <w:t>Die Länge der beheizten Messgasleitung betrug bei der zusätzlichen Prüfung an einer Anlage der 13. BImSchV 4 m.</w:t>
      </w:r>
    </w:p>
    <w:p>
      <w:pPr>
        <w:pStyle w:val="GesAbsatz"/>
        <w:ind w:left="426" w:hanging="426"/>
      </w:pPr>
      <w:r>
        <w:t>7.</w:t>
      </w:r>
      <w:r>
        <w:tab/>
        <w:t>Die Eignungsbekanntgabe gilt für Messeinrichtungen des Typs HM 1400 TRX mit einer Seriennummer größer 1512175.</w:t>
      </w:r>
    </w:p>
    <w:p>
      <w:pPr>
        <w:pStyle w:val="GesAbsatz"/>
        <w:ind w:left="426" w:hanging="426"/>
      </w:pPr>
      <w:r>
        <w:lastRenderedPageBreak/>
        <w:t>8.</w:t>
      </w:r>
      <w:r>
        <w:tab/>
        <w:t>Ergänzungsprüfung (Zulassung eines zusätzlichen Anlagentyps, Wartungsintervallverlängerung) zu der Bekanntmachung des Umweltbundesamtes vom 15. Juli 2011 (BAnz. S. 2725, Kapitel I Nummer 3.1).</w:t>
      </w:r>
    </w:p>
    <w:p>
      <w:pPr>
        <w:pStyle w:val="GesAbsatz"/>
      </w:pPr>
      <w:r>
        <w:t>Prüfbericht: TÜV NORD Umweltschutz GmbH &amp; Co. KG</w:t>
      </w:r>
    </w:p>
    <w:p>
      <w:pPr>
        <w:pStyle w:val="GesAbsatz"/>
      </w:pPr>
      <w:r>
        <w:t>Bericht-Nr.: 112UML0348/8000638271 vom 14. Januar 2013</w:t>
      </w:r>
    </w:p>
    <w:p>
      <w:pPr>
        <w:pStyle w:val="GesAbsatz"/>
        <w:rPr>
          <w:b/>
        </w:rPr>
      </w:pPr>
      <w:r>
        <w:rPr>
          <w:b/>
        </w:rPr>
        <w:t>3</w:t>
      </w:r>
      <w:r>
        <w:rPr>
          <w:b/>
        </w:rPr>
        <w:tab/>
        <w:t>Fluorwasserstoff</w:t>
      </w:r>
    </w:p>
    <w:p>
      <w:pPr>
        <w:pStyle w:val="GesAbsatz"/>
        <w:rPr>
          <w:b/>
        </w:rPr>
      </w:pPr>
      <w:r>
        <w:rPr>
          <w:b/>
        </w:rPr>
        <w:t>3.1</w:t>
      </w:r>
      <w:r>
        <w:rPr>
          <w:b/>
        </w:rPr>
        <w:tab/>
        <w:t>LaserGas II für HF</w:t>
      </w:r>
    </w:p>
    <w:p>
      <w:pPr>
        <w:pStyle w:val="GesAbsatz"/>
      </w:pPr>
      <w:r>
        <w:t>Hersteller:</w:t>
      </w:r>
    </w:p>
    <w:p>
      <w:pPr>
        <w:pStyle w:val="GesAbsatz"/>
      </w:pPr>
      <w:r>
        <w:t>NEO Monitors AS, Lørenskog, Norwegen</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98"/>
        <w:gridCol w:w="1704"/>
        <w:gridCol w:w="1701"/>
        <w:gridCol w:w="2048"/>
      </w:tblGrid>
      <w:tr>
        <w:tc>
          <w:tcPr>
            <w:tcW w:w="1809" w:type="dxa"/>
            <w:shd w:val="clear" w:color="auto" w:fill="auto"/>
          </w:tcPr>
          <w:p>
            <w:pPr>
              <w:pStyle w:val="GesAbsatz"/>
              <w:tabs>
                <w:tab w:val="clear" w:pos="425"/>
              </w:tabs>
              <w:jc w:val="center"/>
            </w:pPr>
            <w:r>
              <w:t>Komponente</w:t>
            </w:r>
          </w:p>
        </w:tc>
        <w:tc>
          <w:tcPr>
            <w:tcW w:w="2298" w:type="dxa"/>
            <w:shd w:val="clear" w:color="auto" w:fill="auto"/>
          </w:tcPr>
          <w:p>
            <w:pPr>
              <w:pStyle w:val="GesAbsatz"/>
              <w:tabs>
                <w:tab w:val="clear" w:pos="425"/>
              </w:tabs>
              <w:jc w:val="center"/>
            </w:pPr>
            <w:r>
              <w:t>Zertifizierungsbereich</w:t>
            </w:r>
          </w:p>
        </w:tc>
        <w:tc>
          <w:tcPr>
            <w:tcW w:w="3405" w:type="dxa"/>
            <w:gridSpan w:val="2"/>
            <w:shd w:val="clear" w:color="auto" w:fill="auto"/>
          </w:tcPr>
          <w:p>
            <w:pPr>
              <w:pStyle w:val="GesAbsatz"/>
              <w:tabs>
                <w:tab w:val="clear" w:pos="425"/>
              </w:tabs>
              <w:jc w:val="center"/>
            </w:pPr>
            <w:r>
              <w:t>zusätzliche Messbereiche</w:t>
            </w:r>
          </w:p>
        </w:tc>
        <w:tc>
          <w:tcPr>
            <w:tcW w:w="2048" w:type="dxa"/>
            <w:shd w:val="clear" w:color="auto" w:fill="auto"/>
          </w:tcPr>
          <w:p>
            <w:pPr>
              <w:pStyle w:val="GesAbsatz"/>
              <w:tabs>
                <w:tab w:val="clear" w:pos="425"/>
              </w:tabs>
              <w:jc w:val="center"/>
            </w:pPr>
            <w:r>
              <w:t>Einheit</w:t>
            </w:r>
          </w:p>
        </w:tc>
      </w:tr>
      <w:tr>
        <w:tc>
          <w:tcPr>
            <w:tcW w:w="1809" w:type="dxa"/>
            <w:shd w:val="clear" w:color="auto" w:fill="auto"/>
          </w:tcPr>
          <w:p>
            <w:pPr>
              <w:pStyle w:val="GesAbsatz"/>
              <w:tabs>
                <w:tab w:val="clear" w:pos="425"/>
              </w:tabs>
            </w:pPr>
            <w:r>
              <w:t>HF</w:t>
            </w:r>
          </w:p>
        </w:tc>
        <w:tc>
          <w:tcPr>
            <w:tcW w:w="2298" w:type="dxa"/>
            <w:shd w:val="clear" w:color="auto" w:fill="auto"/>
          </w:tcPr>
          <w:p>
            <w:pPr>
              <w:pStyle w:val="GesAbsatz"/>
              <w:tabs>
                <w:tab w:val="clear" w:pos="425"/>
              </w:tabs>
              <w:jc w:val="center"/>
            </w:pPr>
            <w:r>
              <w:t>0 – 1*</w:t>
            </w:r>
          </w:p>
        </w:tc>
        <w:tc>
          <w:tcPr>
            <w:tcW w:w="1704" w:type="dxa"/>
            <w:shd w:val="clear" w:color="auto" w:fill="auto"/>
          </w:tcPr>
          <w:p>
            <w:pPr>
              <w:pStyle w:val="GesAbsatz"/>
              <w:tabs>
                <w:tab w:val="clear" w:pos="425"/>
              </w:tabs>
              <w:jc w:val="center"/>
            </w:pPr>
            <w:r>
              <w:t>0 – 1,5*</w:t>
            </w:r>
          </w:p>
        </w:tc>
        <w:tc>
          <w:tcPr>
            <w:tcW w:w="1701" w:type="dxa"/>
            <w:shd w:val="clear" w:color="auto" w:fill="auto"/>
          </w:tcPr>
          <w:p>
            <w:pPr>
              <w:pStyle w:val="GesAbsatz"/>
              <w:tabs>
                <w:tab w:val="clear" w:pos="425"/>
              </w:tabs>
              <w:jc w:val="center"/>
            </w:pPr>
            <w:r>
              <w:t>0 – 10*</w:t>
            </w:r>
          </w:p>
        </w:tc>
        <w:tc>
          <w:tcPr>
            <w:tcW w:w="2048" w:type="dxa"/>
            <w:shd w:val="clear" w:color="auto" w:fill="auto"/>
          </w:tcPr>
          <w:p>
            <w:pPr>
              <w:pStyle w:val="GesAbsatz"/>
              <w:tabs>
                <w:tab w:val="clear" w:pos="425"/>
              </w:tabs>
              <w:jc w:val="center"/>
            </w:pPr>
            <w:r>
              <w:t>mg/m</w:t>
            </w:r>
            <w:r>
              <w:rPr>
                <w:vertAlign w:val="superscript"/>
              </w:rPr>
              <w:t>3</w:t>
            </w:r>
          </w:p>
        </w:tc>
      </w:tr>
    </w:tbl>
    <w:p>
      <w:pPr>
        <w:pStyle w:val="GesAbsatz"/>
      </w:pPr>
      <w:r>
        <w:t>* bezogen auf eine Messweglänge von 1,0 m</w:t>
      </w:r>
    </w:p>
    <w:p>
      <w:pPr>
        <w:pStyle w:val="GesAbsatz"/>
      </w:pPr>
      <w:r>
        <w:t>Softwareversion: GM6.1d5</w:t>
      </w:r>
    </w:p>
    <w:p>
      <w:pPr>
        <w:pStyle w:val="GesAbsatz"/>
      </w:pPr>
      <w:r>
        <w:t>Einschränkungen:</w:t>
      </w:r>
    </w:p>
    <w:p>
      <w:pPr>
        <w:pStyle w:val="GesAbsatz"/>
      </w:pPr>
      <w:r>
        <w:t>Keine</w:t>
      </w:r>
    </w:p>
    <w:p>
      <w:pPr>
        <w:pStyle w:val="GesAbsatz"/>
      </w:pPr>
      <w:r>
        <w:t>Hinweise:</w:t>
      </w:r>
    </w:p>
    <w:p>
      <w:pPr>
        <w:pStyle w:val="GesAbsatz"/>
      </w:pPr>
      <w:r>
        <w:t>1.</w:t>
      </w:r>
      <w:r>
        <w:tab/>
        <w:t>Bei der Prüfung von HF sind feuchte Prüfgase einzusetzen.</w:t>
      </w:r>
    </w:p>
    <w:p>
      <w:pPr>
        <w:pStyle w:val="GesAbsatz"/>
      </w:pPr>
      <w:r>
        <w:t>2.</w:t>
      </w:r>
      <w:r>
        <w:tab/>
        <w:t>Das Wartungsintervall beträgt vier Wochen.</w:t>
      </w:r>
    </w:p>
    <w:p>
      <w:pPr>
        <w:pStyle w:val="GesAbsatz"/>
      </w:pPr>
      <w:r>
        <w:t>3.</w:t>
      </w:r>
      <w:r>
        <w:tab/>
        <w:t>Die Messweglänge betrug während des Labor- und Feldtests 0,50 m.</w:t>
      </w:r>
    </w:p>
    <w:p>
      <w:pPr>
        <w:pStyle w:val="GesAbsatz"/>
        <w:ind w:left="426" w:hanging="426"/>
      </w:pPr>
      <w:r>
        <w:t>4.</w:t>
      </w:r>
      <w:r>
        <w:tab/>
        <w:t>Die regelmäßigen Driftuntersuchungen im Wartungsintervall können auch mit der internen Prüfzelle sowie dem Surrogat-Gas CH</w:t>
      </w:r>
      <w:r>
        <w:rPr>
          <w:vertAlign w:val="subscript"/>
        </w:rPr>
        <w:t>4</w:t>
      </w:r>
      <w:r>
        <w:t xml:space="preserve"> durchgeführt werden.</w:t>
      </w:r>
    </w:p>
    <w:p>
      <w:pPr>
        <w:pStyle w:val="GesAbsatz"/>
      </w:pPr>
      <w:r>
        <w:t>Prüfbericht: TÜV Rheinland Energie und Umwelt GmbH, Köln</w:t>
      </w:r>
    </w:p>
    <w:p>
      <w:pPr>
        <w:pStyle w:val="GesAbsatz"/>
      </w:pPr>
      <w:r>
        <w:t>Bericht-Nr.: 936/21212540/C vom 2. Oktober 2012</w:t>
      </w:r>
    </w:p>
    <w:p>
      <w:pPr>
        <w:pStyle w:val="GesAbsatz"/>
        <w:rPr>
          <w:b/>
          <w:lang w:val="en-US"/>
        </w:rPr>
      </w:pPr>
      <w:r>
        <w:rPr>
          <w:b/>
          <w:lang w:val="en-US"/>
        </w:rPr>
        <w:t>3.2</w:t>
      </w:r>
      <w:r>
        <w:rPr>
          <w:b/>
          <w:lang w:val="en-US"/>
        </w:rPr>
        <w:tab/>
      </w:r>
      <w:proofErr w:type="spellStart"/>
      <w:r>
        <w:rPr>
          <w:b/>
          <w:lang w:val="en-US"/>
        </w:rPr>
        <w:t>LasIR</w:t>
      </w:r>
      <w:proofErr w:type="spellEnd"/>
      <w:r>
        <w:rPr>
          <w:b/>
          <w:lang w:val="en-US"/>
        </w:rPr>
        <w:t xml:space="preserve"> </w:t>
      </w:r>
      <w:proofErr w:type="spellStart"/>
      <w:r>
        <w:rPr>
          <w:b/>
          <w:lang w:val="en-US"/>
        </w:rPr>
        <w:t>für</w:t>
      </w:r>
      <w:proofErr w:type="spellEnd"/>
      <w:r>
        <w:rPr>
          <w:b/>
          <w:lang w:val="en-US"/>
        </w:rPr>
        <w:t xml:space="preserve"> HF</w:t>
      </w:r>
    </w:p>
    <w:p>
      <w:pPr>
        <w:pStyle w:val="GesAbsatz"/>
        <w:rPr>
          <w:lang w:val="en-US"/>
        </w:rPr>
      </w:pPr>
      <w:proofErr w:type="spellStart"/>
      <w:r>
        <w:rPr>
          <w:lang w:val="en-US"/>
        </w:rPr>
        <w:t>Hersteller</w:t>
      </w:r>
      <w:proofErr w:type="spellEnd"/>
      <w:r>
        <w:rPr>
          <w:lang w:val="en-US"/>
        </w:rPr>
        <w:t>:</w:t>
      </w:r>
    </w:p>
    <w:p>
      <w:pPr>
        <w:pStyle w:val="GesAbsatz"/>
        <w:rPr>
          <w:lang w:val="en-US"/>
        </w:rPr>
      </w:pPr>
      <w:proofErr w:type="spellStart"/>
      <w:r>
        <w:rPr>
          <w:lang w:val="en-US"/>
        </w:rPr>
        <w:t>Unisearch</w:t>
      </w:r>
      <w:proofErr w:type="spellEnd"/>
      <w:r>
        <w:rPr>
          <w:lang w:val="en-US"/>
        </w:rPr>
        <w:t xml:space="preserve"> Associates, Concord, </w:t>
      </w:r>
      <w:proofErr w:type="spellStart"/>
      <w:r>
        <w:rPr>
          <w:lang w:val="en-US"/>
        </w:rPr>
        <w:t>Kanada</w:t>
      </w:r>
      <w:proofErr w:type="spellEnd"/>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84"/>
        <w:gridCol w:w="2820"/>
        <w:gridCol w:w="1775"/>
      </w:tblGrid>
      <w:tr>
        <w:tc>
          <w:tcPr>
            <w:tcW w:w="2093" w:type="dxa"/>
            <w:shd w:val="clear" w:color="auto" w:fill="auto"/>
          </w:tcPr>
          <w:p>
            <w:pPr>
              <w:pStyle w:val="GesAbsatz"/>
              <w:tabs>
                <w:tab w:val="clear" w:pos="425"/>
              </w:tabs>
              <w:jc w:val="center"/>
            </w:pPr>
            <w:r>
              <w:t>Komponente</w:t>
            </w:r>
          </w:p>
        </w:tc>
        <w:tc>
          <w:tcPr>
            <w:tcW w:w="2584" w:type="dxa"/>
            <w:shd w:val="clear" w:color="auto" w:fill="auto"/>
          </w:tcPr>
          <w:p>
            <w:pPr>
              <w:pStyle w:val="GesAbsatz"/>
              <w:tabs>
                <w:tab w:val="clear" w:pos="425"/>
              </w:tabs>
              <w:jc w:val="center"/>
            </w:pPr>
            <w:r>
              <w:t>Zertifizierungsbereich</w:t>
            </w:r>
          </w:p>
        </w:tc>
        <w:tc>
          <w:tcPr>
            <w:tcW w:w="2820" w:type="dxa"/>
            <w:shd w:val="clear" w:color="auto" w:fill="auto"/>
          </w:tcPr>
          <w:p>
            <w:pPr>
              <w:pStyle w:val="GesAbsatz"/>
              <w:tabs>
                <w:tab w:val="clear" w:pos="425"/>
              </w:tabs>
              <w:jc w:val="center"/>
            </w:pPr>
            <w:r>
              <w:t>zusätzlicher Messbereich</w:t>
            </w:r>
          </w:p>
        </w:tc>
        <w:tc>
          <w:tcPr>
            <w:tcW w:w="1775" w:type="dxa"/>
            <w:shd w:val="clear" w:color="auto" w:fill="auto"/>
          </w:tcPr>
          <w:p>
            <w:pPr>
              <w:pStyle w:val="GesAbsatz"/>
              <w:tabs>
                <w:tab w:val="clear" w:pos="425"/>
              </w:tabs>
              <w:jc w:val="center"/>
            </w:pPr>
            <w:r>
              <w:t>Einheit</w:t>
            </w:r>
          </w:p>
        </w:tc>
      </w:tr>
      <w:tr>
        <w:tc>
          <w:tcPr>
            <w:tcW w:w="2093" w:type="dxa"/>
            <w:shd w:val="clear" w:color="auto" w:fill="auto"/>
          </w:tcPr>
          <w:p>
            <w:pPr>
              <w:pStyle w:val="GesAbsatz"/>
              <w:tabs>
                <w:tab w:val="clear" w:pos="425"/>
              </w:tabs>
            </w:pPr>
            <w:r>
              <w:t>HF</w:t>
            </w:r>
          </w:p>
        </w:tc>
        <w:tc>
          <w:tcPr>
            <w:tcW w:w="2584" w:type="dxa"/>
            <w:shd w:val="clear" w:color="auto" w:fill="auto"/>
          </w:tcPr>
          <w:p>
            <w:pPr>
              <w:pStyle w:val="GesAbsatz"/>
              <w:tabs>
                <w:tab w:val="clear" w:pos="425"/>
              </w:tabs>
              <w:jc w:val="center"/>
            </w:pPr>
            <w:r>
              <w:t>0 – 5*</w:t>
            </w:r>
          </w:p>
        </w:tc>
        <w:tc>
          <w:tcPr>
            <w:tcW w:w="2820" w:type="dxa"/>
            <w:shd w:val="clear" w:color="auto" w:fill="auto"/>
          </w:tcPr>
          <w:p>
            <w:pPr>
              <w:pStyle w:val="GesAbsatz"/>
              <w:tabs>
                <w:tab w:val="clear" w:pos="425"/>
              </w:tabs>
              <w:jc w:val="center"/>
            </w:pPr>
            <w:r>
              <w:t>0 – 10*</w:t>
            </w:r>
          </w:p>
        </w:tc>
        <w:tc>
          <w:tcPr>
            <w:tcW w:w="1775" w:type="dxa"/>
            <w:shd w:val="clear" w:color="auto" w:fill="auto"/>
          </w:tcPr>
          <w:p>
            <w:pPr>
              <w:pStyle w:val="GesAbsatz"/>
              <w:tabs>
                <w:tab w:val="clear" w:pos="425"/>
              </w:tabs>
              <w:jc w:val="center"/>
            </w:pPr>
            <w:r>
              <w:t>mg/m</w:t>
            </w:r>
            <w:r>
              <w:rPr>
                <w:vertAlign w:val="superscript"/>
              </w:rPr>
              <w:t>3</w:t>
            </w:r>
          </w:p>
        </w:tc>
      </w:tr>
    </w:tbl>
    <w:p>
      <w:pPr>
        <w:pStyle w:val="GesAbsatz"/>
      </w:pPr>
      <w:r>
        <w:t>* bezogen auf eine Messweglänge von 1,0 m</w:t>
      </w:r>
    </w:p>
    <w:p>
      <w:pPr>
        <w:pStyle w:val="GesAbsatz"/>
      </w:pPr>
      <w:r>
        <w:t>Softwareversion: 4.76</w:t>
      </w:r>
    </w:p>
    <w:p>
      <w:pPr>
        <w:pStyle w:val="GesAbsatz"/>
      </w:pPr>
      <w:r>
        <w:t>Einschränkungen:</w:t>
      </w:r>
    </w:p>
    <w:p>
      <w:pPr>
        <w:pStyle w:val="GesAbsatz"/>
      </w:pPr>
      <w:r>
        <w:t>Keine</w:t>
      </w:r>
    </w:p>
    <w:p>
      <w:pPr>
        <w:pStyle w:val="GesAbsatz"/>
      </w:pPr>
      <w:r>
        <w:t>Hinweise:</w:t>
      </w:r>
    </w:p>
    <w:p>
      <w:pPr>
        <w:pStyle w:val="GesAbsatz"/>
        <w:ind w:left="426" w:hanging="426"/>
      </w:pPr>
      <w:r>
        <w:t>1.</w:t>
      </w:r>
      <w:r>
        <w:tab/>
        <w:t>Die Prüfung von HF kann mit trockenen Prüftasten aus Druckgasflaschen und einer unbeheizten Prüfgasküvette durchgeführt werden.</w:t>
      </w:r>
    </w:p>
    <w:p>
      <w:pPr>
        <w:pStyle w:val="GesAbsatz"/>
      </w:pPr>
      <w:r>
        <w:t>2.</w:t>
      </w:r>
      <w:r>
        <w:tab/>
        <w:t>Das Wartungsintervall beträgt vier Wochen.</w:t>
      </w:r>
    </w:p>
    <w:p>
      <w:pPr>
        <w:pStyle w:val="GesAbsatz"/>
      </w:pPr>
      <w:r>
        <w:t>Prüfbericht: TÜV Rheinland Energie und Umwelt GmbH, Köln</w:t>
      </w:r>
    </w:p>
    <w:p>
      <w:pPr>
        <w:pStyle w:val="GesAbsatz"/>
      </w:pPr>
      <w:r>
        <w:t>Bericht-Nr.: 936/21216746/A vom 6. Oktober 2012</w:t>
      </w:r>
    </w:p>
    <w:p>
      <w:pPr>
        <w:pStyle w:val="GesAbsatz"/>
        <w:rPr>
          <w:b/>
        </w:rPr>
      </w:pPr>
      <w:r>
        <w:rPr>
          <w:b/>
        </w:rPr>
        <w:lastRenderedPageBreak/>
        <w:t>4</w:t>
      </w:r>
      <w:r>
        <w:rPr>
          <w:b/>
        </w:rPr>
        <w:tab/>
        <w:t>Distickstoffmonoxid</w:t>
      </w:r>
    </w:p>
    <w:p>
      <w:pPr>
        <w:pStyle w:val="GesAbsatz"/>
        <w:rPr>
          <w:b/>
        </w:rPr>
      </w:pPr>
      <w:r>
        <w:rPr>
          <w:b/>
        </w:rPr>
        <w:t>4.1</w:t>
      </w:r>
      <w:r>
        <w:rPr>
          <w:b/>
        </w:rPr>
        <w:tab/>
        <w:t>Emerson NGA 2000 MLT 2 für N</w:t>
      </w:r>
      <w:r>
        <w:rPr>
          <w:b/>
          <w:vertAlign w:val="subscript"/>
        </w:rPr>
        <w:t>2</w:t>
      </w:r>
      <w:r>
        <w:rPr>
          <w:b/>
        </w:rPr>
        <w:t>O</w:t>
      </w:r>
    </w:p>
    <w:p>
      <w:pPr>
        <w:pStyle w:val="GesAbsatz"/>
      </w:pPr>
      <w:r>
        <w:t>Hersteller:</w:t>
      </w:r>
    </w:p>
    <w:p>
      <w:pPr>
        <w:pStyle w:val="GesAbsatz"/>
      </w:pPr>
      <w:r>
        <w:rPr>
          <w:lang w:val="en-US"/>
        </w:rPr>
        <w:t xml:space="preserve">Emerson Process Management Manufacturing GmbH &amp; Co. </w:t>
      </w:r>
      <w:r>
        <w:t xml:space="preserve">OHG, </w:t>
      </w:r>
      <w:proofErr w:type="spellStart"/>
      <w:r>
        <w:t>Hasselroth</w:t>
      </w:r>
      <w:proofErr w:type="spellEnd"/>
    </w:p>
    <w:p>
      <w:pPr>
        <w:pStyle w:val="GesAbsatz"/>
      </w:pPr>
      <w:r>
        <w:t>Eignung:</w:t>
      </w:r>
    </w:p>
    <w:p>
      <w:pPr>
        <w:pStyle w:val="GesAbsatz"/>
      </w:pPr>
      <w:r>
        <w:t>Für genehmigungsbedürftige Anlagen</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42"/>
        <w:gridCol w:w="2820"/>
        <w:gridCol w:w="1775"/>
      </w:tblGrid>
      <w:tr>
        <w:tc>
          <w:tcPr>
            <w:tcW w:w="2093" w:type="dxa"/>
            <w:shd w:val="clear" w:color="auto" w:fill="auto"/>
          </w:tcPr>
          <w:p>
            <w:pPr>
              <w:pStyle w:val="GesAbsatz"/>
              <w:tabs>
                <w:tab w:val="clear" w:pos="425"/>
              </w:tabs>
              <w:jc w:val="center"/>
            </w:pPr>
            <w:r>
              <w:t>Komponente</w:t>
            </w:r>
          </w:p>
        </w:tc>
        <w:tc>
          <w:tcPr>
            <w:tcW w:w="2442" w:type="dxa"/>
            <w:shd w:val="clear" w:color="auto" w:fill="auto"/>
          </w:tcPr>
          <w:p>
            <w:pPr>
              <w:pStyle w:val="GesAbsatz"/>
              <w:tabs>
                <w:tab w:val="clear" w:pos="425"/>
              </w:tabs>
              <w:jc w:val="center"/>
            </w:pPr>
            <w:r>
              <w:t>Zertifizierungsbereich</w:t>
            </w:r>
          </w:p>
        </w:tc>
        <w:tc>
          <w:tcPr>
            <w:tcW w:w="2820" w:type="dxa"/>
            <w:shd w:val="clear" w:color="auto" w:fill="auto"/>
          </w:tcPr>
          <w:p>
            <w:pPr>
              <w:pStyle w:val="GesAbsatz"/>
              <w:tabs>
                <w:tab w:val="clear" w:pos="425"/>
              </w:tabs>
              <w:jc w:val="center"/>
            </w:pPr>
            <w:r>
              <w:t>zusätzlicher Messbereich</w:t>
            </w:r>
          </w:p>
        </w:tc>
        <w:tc>
          <w:tcPr>
            <w:tcW w:w="1775" w:type="dxa"/>
            <w:shd w:val="clear" w:color="auto" w:fill="auto"/>
          </w:tcPr>
          <w:p>
            <w:pPr>
              <w:pStyle w:val="GesAbsatz"/>
              <w:tabs>
                <w:tab w:val="clear" w:pos="425"/>
              </w:tabs>
              <w:jc w:val="center"/>
            </w:pPr>
            <w:r>
              <w:t>Einheit</w:t>
            </w:r>
          </w:p>
        </w:tc>
      </w:tr>
      <w:tr>
        <w:tc>
          <w:tcPr>
            <w:tcW w:w="2093" w:type="dxa"/>
            <w:shd w:val="clear" w:color="auto" w:fill="auto"/>
          </w:tcPr>
          <w:p>
            <w:pPr>
              <w:pStyle w:val="GesAbsatz"/>
              <w:tabs>
                <w:tab w:val="clear" w:pos="425"/>
              </w:tabs>
            </w:pPr>
            <w:r>
              <w:t>N</w:t>
            </w:r>
            <w:r>
              <w:rPr>
                <w:vertAlign w:val="subscript"/>
              </w:rPr>
              <w:t>2</w:t>
            </w:r>
            <w:r>
              <w:t>O</w:t>
            </w:r>
          </w:p>
        </w:tc>
        <w:tc>
          <w:tcPr>
            <w:tcW w:w="2442" w:type="dxa"/>
            <w:shd w:val="clear" w:color="auto" w:fill="auto"/>
          </w:tcPr>
          <w:p>
            <w:pPr>
              <w:pStyle w:val="GesAbsatz"/>
              <w:tabs>
                <w:tab w:val="clear" w:pos="425"/>
              </w:tabs>
              <w:jc w:val="center"/>
            </w:pPr>
            <w:r>
              <w:t>0 – 196</w:t>
            </w:r>
          </w:p>
        </w:tc>
        <w:tc>
          <w:tcPr>
            <w:tcW w:w="2820" w:type="dxa"/>
            <w:shd w:val="clear" w:color="auto" w:fill="auto"/>
          </w:tcPr>
          <w:p>
            <w:pPr>
              <w:pStyle w:val="GesAbsatz"/>
              <w:tabs>
                <w:tab w:val="clear" w:pos="425"/>
              </w:tabs>
              <w:jc w:val="center"/>
            </w:pPr>
            <w:r>
              <w:t>0 – 5880</w:t>
            </w:r>
          </w:p>
        </w:tc>
        <w:tc>
          <w:tcPr>
            <w:tcW w:w="1775" w:type="dxa"/>
            <w:shd w:val="clear" w:color="auto" w:fill="auto"/>
          </w:tcPr>
          <w:p>
            <w:pPr>
              <w:pStyle w:val="GesAbsatz"/>
              <w:tabs>
                <w:tab w:val="clear" w:pos="425"/>
              </w:tabs>
              <w:jc w:val="center"/>
            </w:pPr>
            <w:r>
              <w:t>mg/m</w:t>
            </w:r>
            <w:r>
              <w:rPr>
                <w:vertAlign w:val="superscript"/>
              </w:rPr>
              <w:t>3</w:t>
            </w:r>
          </w:p>
        </w:tc>
      </w:tr>
    </w:tbl>
    <w:p>
      <w:pPr>
        <w:pStyle w:val="GesAbsatz"/>
      </w:pPr>
      <w:r>
        <w:t>Softwareversion: 3.9.4</w:t>
      </w:r>
    </w:p>
    <w:p>
      <w:pPr>
        <w:pStyle w:val="GesAbsatz"/>
      </w:pPr>
      <w:r>
        <w:t>Einschränkungen:</w:t>
      </w:r>
    </w:p>
    <w:p>
      <w:pPr>
        <w:pStyle w:val="GesAbsatz"/>
        <w:ind w:left="426" w:hanging="426"/>
      </w:pPr>
      <w:r>
        <w:t>1.</w:t>
      </w:r>
      <w:r>
        <w:tab/>
        <w:t>Die Messeinrichtung darf nur an Anlagen eingesetzt werden, bei denen die Abgasfeuchte 3 Vol.-% nicht überschreitet.</w:t>
      </w:r>
    </w:p>
    <w:p>
      <w:pPr>
        <w:pStyle w:val="GesAbsatz"/>
        <w:ind w:left="426" w:hanging="426"/>
      </w:pPr>
      <w:r>
        <w:t>2.</w:t>
      </w:r>
      <w:r>
        <w:tab/>
        <w:t>Die Messeinrichtung darf nur an Anlagen eingesetzt werden, bei denen die CO</w:t>
      </w:r>
      <w:r>
        <w:rPr>
          <w:vertAlign w:val="subscript"/>
        </w:rPr>
        <w:t>2</w:t>
      </w:r>
      <w:r>
        <w:t>-Konzentration 10 Vol.-% nicht überschreitet.</w:t>
      </w:r>
    </w:p>
    <w:p>
      <w:pPr>
        <w:pStyle w:val="GesAbsatz"/>
      </w:pPr>
      <w:r>
        <w:t>Hinweis:</w:t>
      </w:r>
    </w:p>
    <w:p>
      <w:pPr>
        <w:pStyle w:val="GesAbsatz"/>
      </w:pPr>
      <w:r>
        <w:t>Das Wartungsintervall beträgt vier Wochen.</w:t>
      </w:r>
    </w:p>
    <w:p>
      <w:pPr>
        <w:pStyle w:val="GesAbsatz"/>
      </w:pPr>
      <w:r>
        <w:t>Prüfbericht: TÜV Rheinland Energie und Umwelt GmbH, Köln</w:t>
      </w:r>
    </w:p>
    <w:p>
      <w:pPr>
        <w:pStyle w:val="GesAbsatz"/>
      </w:pPr>
      <w:r>
        <w:t>Bericht-Nr.: 936/21219398/A vom 11. Oktober 2012</w:t>
      </w:r>
    </w:p>
    <w:p>
      <w:pPr>
        <w:pStyle w:val="GesAbsatz"/>
        <w:rPr>
          <w:b/>
        </w:rPr>
      </w:pPr>
      <w:r>
        <w:rPr>
          <w:b/>
        </w:rPr>
        <w:t>5</w:t>
      </w:r>
      <w:r>
        <w:rPr>
          <w:b/>
        </w:rPr>
        <w:tab/>
        <w:t>Mehrkomponentenmesseinrichtungen</w:t>
      </w:r>
    </w:p>
    <w:p>
      <w:pPr>
        <w:pStyle w:val="GesAbsatz"/>
        <w:rPr>
          <w:b/>
        </w:rPr>
      </w:pPr>
      <w:r>
        <w:rPr>
          <w:b/>
        </w:rPr>
        <w:t>5.1</w:t>
      </w:r>
      <w:r>
        <w:rPr>
          <w:b/>
        </w:rPr>
        <w:tab/>
        <w:t>AR650/N für CO, HCl und CH</w:t>
      </w:r>
      <w:r>
        <w:rPr>
          <w:b/>
          <w:vertAlign w:val="subscript"/>
        </w:rPr>
        <w:t>4</w:t>
      </w:r>
    </w:p>
    <w:p>
      <w:pPr>
        <w:pStyle w:val="GesAbsatz"/>
      </w:pPr>
      <w:r>
        <w:t>Hersteller:</w:t>
      </w:r>
    </w:p>
    <w:p>
      <w:pPr>
        <w:pStyle w:val="GesAbsatz"/>
      </w:pPr>
      <w:r>
        <w:t>OPSIS AB, Furulund, Schweden</w:t>
      </w:r>
    </w:p>
    <w:p>
      <w:pPr>
        <w:pStyle w:val="GesAbsatz"/>
      </w:pPr>
      <w:r>
        <w:t>Eignung:</w:t>
      </w:r>
    </w:p>
    <w:p>
      <w:pPr>
        <w:pStyle w:val="GesAbsatz"/>
      </w:pPr>
      <w:r>
        <w:t>Fur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84"/>
        <w:gridCol w:w="2820"/>
        <w:gridCol w:w="1775"/>
      </w:tblGrid>
      <w:tr>
        <w:tc>
          <w:tcPr>
            <w:tcW w:w="2093" w:type="dxa"/>
            <w:shd w:val="clear" w:color="auto" w:fill="auto"/>
          </w:tcPr>
          <w:p>
            <w:pPr>
              <w:pStyle w:val="GesAbsatz"/>
              <w:tabs>
                <w:tab w:val="clear" w:pos="425"/>
              </w:tabs>
              <w:jc w:val="center"/>
            </w:pPr>
            <w:r>
              <w:t>Komponente</w:t>
            </w:r>
          </w:p>
        </w:tc>
        <w:tc>
          <w:tcPr>
            <w:tcW w:w="2584" w:type="dxa"/>
            <w:shd w:val="clear" w:color="auto" w:fill="auto"/>
          </w:tcPr>
          <w:p>
            <w:pPr>
              <w:pStyle w:val="GesAbsatz"/>
              <w:tabs>
                <w:tab w:val="clear" w:pos="425"/>
              </w:tabs>
              <w:jc w:val="center"/>
            </w:pPr>
            <w:r>
              <w:t>Zertifizierungsbereich</w:t>
            </w:r>
          </w:p>
        </w:tc>
        <w:tc>
          <w:tcPr>
            <w:tcW w:w="2820" w:type="dxa"/>
            <w:shd w:val="clear" w:color="auto" w:fill="auto"/>
          </w:tcPr>
          <w:p>
            <w:pPr>
              <w:pStyle w:val="GesAbsatz"/>
              <w:tabs>
                <w:tab w:val="clear" w:pos="425"/>
              </w:tabs>
              <w:jc w:val="center"/>
            </w:pPr>
            <w:r>
              <w:t>zusätzlicher Messbereich</w:t>
            </w:r>
          </w:p>
        </w:tc>
        <w:tc>
          <w:tcPr>
            <w:tcW w:w="1775" w:type="dxa"/>
            <w:shd w:val="clear" w:color="auto" w:fill="auto"/>
          </w:tcPr>
          <w:p>
            <w:pPr>
              <w:pStyle w:val="GesAbsatz"/>
              <w:tabs>
                <w:tab w:val="clear" w:pos="425"/>
              </w:tabs>
              <w:jc w:val="center"/>
            </w:pPr>
            <w:r>
              <w:t>Einheit</w:t>
            </w:r>
          </w:p>
        </w:tc>
      </w:tr>
      <w:tr>
        <w:tc>
          <w:tcPr>
            <w:tcW w:w="2093" w:type="dxa"/>
            <w:shd w:val="clear" w:color="auto" w:fill="auto"/>
          </w:tcPr>
          <w:p>
            <w:pPr>
              <w:pStyle w:val="GesAbsatz"/>
              <w:tabs>
                <w:tab w:val="clear" w:pos="425"/>
              </w:tabs>
            </w:pPr>
            <w:r>
              <w:t>CO</w:t>
            </w:r>
          </w:p>
        </w:tc>
        <w:tc>
          <w:tcPr>
            <w:tcW w:w="2584" w:type="dxa"/>
            <w:shd w:val="clear" w:color="auto" w:fill="auto"/>
          </w:tcPr>
          <w:p>
            <w:pPr>
              <w:pStyle w:val="GesAbsatz"/>
              <w:tabs>
                <w:tab w:val="clear" w:pos="425"/>
              </w:tabs>
              <w:jc w:val="center"/>
            </w:pPr>
            <w:r>
              <w:t>0 – 75</w:t>
            </w:r>
          </w:p>
        </w:tc>
        <w:tc>
          <w:tcPr>
            <w:tcW w:w="2820" w:type="dxa"/>
            <w:shd w:val="clear" w:color="auto" w:fill="auto"/>
          </w:tcPr>
          <w:p>
            <w:pPr>
              <w:pStyle w:val="GesAbsatz"/>
              <w:tabs>
                <w:tab w:val="clear" w:pos="425"/>
              </w:tabs>
              <w:jc w:val="center"/>
            </w:pPr>
            <w:r>
              <w:t>0 – 500</w:t>
            </w:r>
          </w:p>
        </w:tc>
        <w:tc>
          <w:tcPr>
            <w:tcW w:w="1775" w:type="dxa"/>
            <w:shd w:val="clear" w:color="auto" w:fill="auto"/>
          </w:tcPr>
          <w:p>
            <w:pPr>
              <w:pStyle w:val="GesAbsatz"/>
              <w:tabs>
                <w:tab w:val="clear" w:pos="425"/>
              </w:tabs>
              <w:jc w:val="center"/>
            </w:pPr>
            <w:r>
              <w:t>mg/m</w:t>
            </w:r>
            <w:r>
              <w:rPr>
                <w:vertAlign w:val="superscript"/>
              </w:rPr>
              <w:t>3</w:t>
            </w:r>
          </w:p>
        </w:tc>
      </w:tr>
      <w:tr>
        <w:tc>
          <w:tcPr>
            <w:tcW w:w="2093" w:type="dxa"/>
            <w:shd w:val="clear" w:color="auto" w:fill="auto"/>
          </w:tcPr>
          <w:p>
            <w:pPr>
              <w:pStyle w:val="GesAbsatz"/>
              <w:tabs>
                <w:tab w:val="clear" w:pos="425"/>
              </w:tabs>
            </w:pPr>
            <w:r>
              <w:t>HCl</w:t>
            </w:r>
          </w:p>
        </w:tc>
        <w:tc>
          <w:tcPr>
            <w:tcW w:w="2584" w:type="dxa"/>
            <w:shd w:val="clear" w:color="auto" w:fill="auto"/>
          </w:tcPr>
          <w:p>
            <w:pPr>
              <w:pStyle w:val="GesAbsatz"/>
              <w:tabs>
                <w:tab w:val="clear" w:pos="425"/>
              </w:tabs>
              <w:jc w:val="center"/>
            </w:pPr>
            <w:r>
              <w:t>0 – 15</w:t>
            </w:r>
          </w:p>
        </w:tc>
        <w:tc>
          <w:tcPr>
            <w:tcW w:w="2820" w:type="dxa"/>
            <w:shd w:val="clear" w:color="auto" w:fill="auto"/>
          </w:tcPr>
          <w:p>
            <w:pPr>
              <w:pStyle w:val="GesAbsatz"/>
              <w:tabs>
                <w:tab w:val="clear" w:pos="425"/>
              </w:tabs>
              <w:jc w:val="center"/>
            </w:pPr>
            <w:r>
              <w:t>0 – 90</w:t>
            </w:r>
          </w:p>
        </w:tc>
        <w:tc>
          <w:tcPr>
            <w:tcW w:w="1775" w:type="dxa"/>
            <w:shd w:val="clear" w:color="auto" w:fill="auto"/>
          </w:tcPr>
          <w:p>
            <w:pPr>
              <w:pStyle w:val="GesAbsatz"/>
              <w:tabs>
                <w:tab w:val="clear" w:pos="425"/>
              </w:tabs>
              <w:jc w:val="center"/>
            </w:pPr>
            <w:r>
              <w:t>mg/m</w:t>
            </w:r>
            <w:r>
              <w:rPr>
                <w:vertAlign w:val="superscript"/>
              </w:rPr>
              <w:t>3</w:t>
            </w:r>
          </w:p>
        </w:tc>
      </w:tr>
      <w:tr>
        <w:tc>
          <w:tcPr>
            <w:tcW w:w="2093" w:type="dxa"/>
            <w:shd w:val="clear" w:color="auto" w:fill="auto"/>
          </w:tcPr>
          <w:p>
            <w:pPr>
              <w:pStyle w:val="GesAbsatz"/>
              <w:tabs>
                <w:tab w:val="clear" w:pos="425"/>
              </w:tabs>
              <w:rPr>
                <w:vertAlign w:val="subscript"/>
              </w:rPr>
            </w:pPr>
            <w:r>
              <w:t>CH</w:t>
            </w:r>
            <w:r>
              <w:rPr>
                <w:vertAlign w:val="subscript"/>
              </w:rPr>
              <w:t>4</w:t>
            </w:r>
          </w:p>
        </w:tc>
        <w:tc>
          <w:tcPr>
            <w:tcW w:w="2584" w:type="dxa"/>
            <w:shd w:val="clear" w:color="auto" w:fill="auto"/>
          </w:tcPr>
          <w:p>
            <w:pPr>
              <w:pStyle w:val="GesAbsatz"/>
              <w:tabs>
                <w:tab w:val="clear" w:pos="425"/>
              </w:tabs>
              <w:jc w:val="center"/>
            </w:pPr>
            <w:r>
              <w:t>0 – 20</w:t>
            </w:r>
          </w:p>
        </w:tc>
        <w:tc>
          <w:tcPr>
            <w:tcW w:w="2820" w:type="dxa"/>
            <w:shd w:val="clear" w:color="auto" w:fill="auto"/>
          </w:tcPr>
          <w:p>
            <w:pPr>
              <w:pStyle w:val="GesAbsatz"/>
              <w:tabs>
                <w:tab w:val="clear" w:pos="425"/>
              </w:tabs>
              <w:jc w:val="center"/>
            </w:pPr>
            <w:r>
              <w:t>0 – 100</w:t>
            </w:r>
          </w:p>
        </w:tc>
        <w:tc>
          <w:tcPr>
            <w:tcW w:w="1775" w:type="dxa"/>
            <w:shd w:val="clear" w:color="auto" w:fill="auto"/>
          </w:tcPr>
          <w:p>
            <w:pPr>
              <w:pStyle w:val="GesAbsatz"/>
              <w:tabs>
                <w:tab w:val="clear" w:pos="425"/>
              </w:tabs>
              <w:jc w:val="center"/>
            </w:pPr>
            <w:r>
              <w:t>mg/m</w:t>
            </w:r>
            <w:r>
              <w:rPr>
                <w:vertAlign w:val="superscript"/>
              </w:rPr>
              <w:t>3</w:t>
            </w:r>
          </w:p>
        </w:tc>
      </w:tr>
    </w:tbl>
    <w:p>
      <w:pPr>
        <w:pStyle w:val="GesAbsatz"/>
      </w:pPr>
      <w:r>
        <w:t>Softwareversion: 7.21</w:t>
      </w:r>
    </w:p>
    <w:p>
      <w:pPr>
        <w:pStyle w:val="GesAbsatz"/>
      </w:pPr>
      <w:r>
        <w:t>Einschränkungen:</w:t>
      </w:r>
    </w:p>
    <w:p>
      <w:pPr>
        <w:pStyle w:val="GesAbsatz"/>
      </w:pPr>
      <w:r>
        <w:t>Keine</w:t>
      </w:r>
    </w:p>
    <w:p>
      <w:pPr>
        <w:pStyle w:val="GesAbsatz"/>
      </w:pPr>
      <w:r>
        <w:t>Hinweise:</w:t>
      </w:r>
    </w:p>
    <w:p>
      <w:pPr>
        <w:pStyle w:val="GesAbsatz"/>
      </w:pPr>
      <w:r>
        <w:t>1.</w:t>
      </w:r>
      <w:r>
        <w:tab/>
        <w:t>Die geprüfte Messweglänge beträgt 1 m.</w:t>
      </w:r>
    </w:p>
    <w:p>
      <w:pPr>
        <w:pStyle w:val="GesAbsatz"/>
      </w:pPr>
      <w:r>
        <w:t>2.</w:t>
      </w:r>
      <w:r>
        <w:tab/>
        <w:t>Das Wartungsintervall beträgt vier Wochen.</w:t>
      </w:r>
    </w:p>
    <w:p>
      <w:pPr>
        <w:pStyle w:val="GesAbsatz"/>
      </w:pPr>
      <w:r>
        <w:t>Prüfbericht: TÜV Rheinland Energie und Umwelt GmbH, Köln</w:t>
      </w:r>
    </w:p>
    <w:p>
      <w:pPr>
        <w:pStyle w:val="GesAbsatz"/>
      </w:pPr>
      <w:r>
        <w:t>Bericht-Nr.: 936/21220566/A vom 11. Oktober 2012</w:t>
      </w:r>
    </w:p>
    <w:p>
      <w:pPr>
        <w:pStyle w:val="GesAbsatz"/>
        <w:rPr>
          <w:b/>
        </w:rPr>
      </w:pPr>
      <w:r>
        <w:rPr>
          <w:b/>
        </w:rPr>
        <w:t>5.2</w:t>
      </w:r>
      <w:r>
        <w:rPr>
          <w:b/>
        </w:rPr>
        <w:tab/>
        <w:t>PG-350E für NO</w:t>
      </w:r>
      <w:r>
        <w:rPr>
          <w:b/>
          <w:vertAlign w:val="subscript"/>
        </w:rPr>
        <w:t>x</w:t>
      </w:r>
      <w:r>
        <w:rPr>
          <w:b/>
        </w:rPr>
        <w:t>, SO</w:t>
      </w:r>
      <w:r>
        <w:rPr>
          <w:b/>
          <w:vertAlign w:val="subscript"/>
        </w:rPr>
        <w:t>2</w:t>
      </w:r>
      <w:r>
        <w:rPr>
          <w:b/>
        </w:rPr>
        <w:t>, CO, CO</w:t>
      </w:r>
      <w:r>
        <w:rPr>
          <w:b/>
          <w:vertAlign w:val="subscript"/>
        </w:rPr>
        <w:t>2</w:t>
      </w:r>
      <w:r>
        <w:rPr>
          <w:b/>
        </w:rPr>
        <w:t xml:space="preserve"> und O</w:t>
      </w:r>
      <w:r>
        <w:rPr>
          <w:b/>
          <w:vertAlign w:val="subscript"/>
        </w:rPr>
        <w:t>2</w:t>
      </w:r>
    </w:p>
    <w:p>
      <w:pPr>
        <w:pStyle w:val="GesAbsatz"/>
      </w:pPr>
      <w:r>
        <w:t>Hersteller:</w:t>
      </w:r>
    </w:p>
    <w:p>
      <w:pPr>
        <w:pStyle w:val="GesAbsatz"/>
      </w:pPr>
      <w:r>
        <w:t>Horiba Europe GmbH, Leichlingen</w:t>
      </w:r>
    </w:p>
    <w:p>
      <w:pPr>
        <w:pStyle w:val="GesAbsatz"/>
      </w:pPr>
      <w:r>
        <w:t>Eignung:</w:t>
      </w:r>
    </w:p>
    <w:p>
      <w:pPr>
        <w:pStyle w:val="GesAbsatz"/>
      </w:pPr>
      <w:r>
        <w:t>Für genehmigungsbedürftige Anlagen sowie Anlagen der 27. BImSchV</w:t>
      </w:r>
    </w:p>
    <w:p>
      <w:pPr>
        <w:pStyle w:val="GesAbsatz"/>
      </w:pPr>
      <w:r>
        <w:lastRenderedPageBreak/>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84"/>
        <w:gridCol w:w="2820"/>
        <w:gridCol w:w="1775"/>
      </w:tblGrid>
      <w:tr>
        <w:tc>
          <w:tcPr>
            <w:tcW w:w="2376" w:type="dxa"/>
            <w:shd w:val="clear" w:color="auto" w:fill="auto"/>
          </w:tcPr>
          <w:p>
            <w:pPr>
              <w:pStyle w:val="GesAbsatz"/>
              <w:tabs>
                <w:tab w:val="clear" w:pos="425"/>
                <w:tab w:val="right" w:pos="2160"/>
              </w:tabs>
              <w:jc w:val="center"/>
            </w:pPr>
            <w:r>
              <w:t>Komponente</w:t>
            </w:r>
          </w:p>
        </w:tc>
        <w:tc>
          <w:tcPr>
            <w:tcW w:w="2584" w:type="dxa"/>
            <w:shd w:val="clear" w:color="auto" w:fill="auto"/>
          </w:tcPr>
          <w:p>
            <w:pPr>
              <w:pStyle w:val="GesAbsatz"/>
              <w:tabs>
                <w:tab w:val="clear" w:pos="425"/>
              </w:tabs>
              <w:jc w:val="center"/>
            </w:pPr>
            <w:r>
              <w:t>Zertifizierungsbereich</w:t>
            </w:r>
          </w:p>
        </w:tc>
        <w:tc>
          <w:tcPr>
            <w:tcW w:w="2820" w:type="dxa"/>
            <w:shd w:val="clear" w:color="auto" w:fill="auto"/>
          </w:tcPr>
          <w:p>
            <w:pPr>
              <w:pStyle w:val="GesAbsatz"/>
              <w:tabs>
                <w:tab w:val="clear" w:pos="425"/>
              </w:tabs>
              <w:jc w:val="center"/>
            </w:pPr>
            <w:r>
              <w:t>zusätzlicher Messbereich</w:t>
            </w:r>
          </w:p>
        </w:tc>
        <w:tc>
          <w:tcPr>
            <w:tcW w:w="1775" w:type="dxa"/>
            <w:shd w:val="clear" w:color="auto" w:fill="auto"/>
          </w:tcPr>
          <w:p>
            <w:pPr>
              <w:pStyle w:val="GesAbsatz"/>
              <w:tabs>
                <w:tab w:val="clear" w:pos="425"/>
              </w:tabs>
              <w:jc w:val="center"/>
            </w:pPr>
            <w:r>
              <w:t>Einheit</w:t>
            </w:r>
          </w:p>
        </w:tc>
      </w:tr>
      <w:tr>
        <w:tc>
          <w:tcPr>
            <w:tcW w:w="2376" w:type="dxa"/>
            <w:shd w:val="clear" w:color="auto" w:fill="auto"/>
          </w:tcPr>
          <w:p>
            <w:pPr>
              <w:pStyle w:val="GesAbsatz"/>
              <w:tabs>
                <w:tab w:val="clear" w:pos="425"/>
              </w:tabs>
              <w:rPr>
                <w:vertAlign w:val="subscript"/>
              </w:rPr>
            </w:pPr>
            <w:r>
              <w:t>NO</w:t>
            </w:r>
            <w:r>
              <w:rPr>
                <w:vertAlign w:val="subscript"/>
              </w:rPr>
              <w:t>x</w:t>
            </w:r>
          </w:p>
        </w:tc>
        <w:tc>
          <w:tcPr>
            <w:tcW w:w="2584" w:type="dxa"/>
            <w:shd w:val="clear" w:color="auto" w:fill="auto"/>
          </w:tcPr>
          <w:p>
            <w:pPr>
              <w:pStyle w:val="GesAbsatz"/>
              <w:tabs>
                <w:tab w:val="clear" w:pos="425"/>
              </w:tabs>
              <w:jc w:val="center"/>
            </w:pPr>
            <w:r>
              <w:t>0 – 205</w:t>
            </w:r>
            <w:r>
              <w:rPr>
                <w:vertAlign w:val="superscript"/>
              </w:rPr>
              <w:t>1</w:t>
            </w:r>
          </w:p>
        </w:tc>
        <w:tc>
          <w:tcPr>
            <w:tcW w:w="2820" w:type="dxa"/>
            <w:shd w:val="clear" w:color="auto" w:fill="auto"/>
          </w:tcPr>
          <w:p>
            <w:pPr>
              <w:pStyle w:val="GesAbsatz"/>
              <w:tabs>
                <w:tab w:val="clear" w:pos="425"/>
              </w:tabs>
              <w:jc w:val="center"/>
              <w:rPr>
                <w:vertAlign w:val="superscript"/>
              </w:rPr>
            </w:pPr>
            <w:r>
              <w:t>0 – 2 050</w:t>
            </w:r>
            <w:r>
              <w:rPr>
                <w:vertAlign w:val="superscript"/>
              </w:rPr>
              <w:t>2</w:t>
            </w:r>
          </w:p>
        </w:tc>
        <w:tc>
          <w:tcPr>
            <w:tcW w:w="1775" w:type="dxa"/>
            <w:shd w:val="clear" w:color="auto" w:fill="auto"/>
          </w:tcPr>
          <w:p>
            <w:pPr>
              <w:pStyle w:val="GesAbsatz"/>
              <w:tabs>
                <w:tab w:val="clear" w:pos="425"/>
              </w:tabs>
              <w:jc w:val="center"/>
            </w:pPr>
            <w:r>
              <w:t>mg/m</w:t>
            </w:r>
            <w:r>
              <w:rPr>
                <w:vertAlign w:val="superscript"/>
              </w:rPr>
              <w:t>3</w:t>
            </w:r>
          </w:p>
        </w:tc>
      </w:tr>
      <w:tr>
        <w:tc>
          <w:tcPr>
            <w:tcW w:w="2376" w:type="dxa"/>
            <w:shd w:val="clear" w:color="auto" w:fill="auto"/>
          </w:tcPr>
          <w:p>
            <w:pPr>
              <w:pStyle w:val="GesAbsatz"/>
              <w:tabs>
                <w:tab w:val="clear" w:pos="425"/>
              </w:tabs>
              <w:rPr>
                <w:vertAlign w:val="subscript"/>
              </w:rPr>
            </w:pPr>
            <w:r>
              <w:t>SO</w:t>
            </w:r>
            <w:r>
              <w:rPr>
                <w:vertAlign w:val="subscript"/>
              </w:rPr>
              <w:t>2</w:t>
            </w:r>
          </w:p>
        </w:tc>
        <w:tc>
          <w:tcPr>
            <w:tcW w:w="2584" w:type="dxa"/>
            <w:shd w:val="clear" w:color="auto" w:fill="auto"/>
          </w:tcPr>
          <w:p>
            <w:pPr>
              <w:pStyle w:val="GesAbsatz"/>
              <w:tabs>
                <w:tab w:val="clear" w:pos="425"/>
              </w:tabs>
              <w:jc w:val="center"/>
            </w:pPr>
            <w:r>
              <w:t>0 – 143</w:t>
            </w:r>
          </w:p>
        </w:tc>
        <w:tc>
          <w:tcPr>
            <w:tcW w:w="2820" w:type="dxa"/>
            <w:shd w:val="clear" w:color="auto" w:fill="auto"/>
          </w:tcPr>
          <w:p>
            <w:pPr>
              <w:pStyle w:val="GesAbsatz"/>
              <w:tabs>
                <w:tab w:val="clear" w:pos="425"/>
              </w:tabs>
              <w:jc w:val="center"/>
            </w:pPr>
            <w:r>
              <w:t>0 – 1430</w:t>
            </w:r>
          </w:p>
        </w:tc>
        <w:tc>
          <w:tcPr>
            <w:tcW w:w="1775" w:type="dxa"/>
            <w:shd w:val="clear" w:color="auto" w:fill="auto"/>
          </w:tcPr>
          <w:p>
            <w:pPr>
              <w:pStyle w:val="GesAbsatz"/>
              <w:tabs>
                <w:tab w:val="clear" w:pos="425"/>
              </w:tabs>
              <w:jc w:val="center"/>
            </w:pPr>
            <w:r>
              <w:t>mg/m</w:t>
            </w:r>
            <w:r>
              <w:rPr>
                <w:vertAlign w:val="superscript"/>
              </w:rPr>
              <w:t>3</w:t>
            </w:r>
          </w:p>
        </w:tc>
      </w:tr>
      <w:tr>
        <w:tc>
          <w:tcPr>
            <w:tcW w:w="2376" w:type="dxa"/>
            <w:shd w:val="clear" w:color="auto" w:fill="auto"/>
          </w:tcPr>
          <w:p>
            <w:pPr>
              <w:pStyle w:val="GesAbsatz"/>
              <w:tabs>
                <w:tab w:val="clear" w:pos="425"/>
              </w:tabs>
            </w:pPr>
            <w:r>
              <w:t>CO</w:t>
            </w:r>
          </w:p>
        </w:tc>
        <w:tc>
          <w:tcPr>
            <w:tcW w:w="2584" w:type="dxa"/>
            <w:shd w:val="clear" w:color="auto" w:fill="auto"/>
          </w:tcPr>
          <w:p>
            <w:pPr>
              <w:pStyle w:val="GesAbsatz"/>
              <w:tabs>
                <w:tab w:val="clear" w:pos="425"/>
              </w:tabs>
              <w:jc w:val="center"/>
            </w:pPr>
            <w:r>
              <w:t>0 – 75</w:t>
            </w:r>
          </w:p>
        </w:tc>
        <w:tc>
          <w:tcPr>
            <w:tcW w:w="2820" w:type="dxa"/>
            <w:shd w:val="clear" w:color="auto" w:fill="auto"/>
          </w:tcPr>
          <w:p>
            <w:pPr>
              <w:pStyle w:val="GesAbsatz"/>
              <w:tabs>
                <w:tab w:val="clear" w:pos="425"/>
              </w:tabs>
              <w:jc w:val="center"/>
            </w:pPr>
            <w:r>
              <w:t>0 – 1250</w:t>
            </w:r>
          </w:p>
        </w:tc>
        <w:tc>
          <w:tcPr>
            <w:tcW w:w="1775" w:type="dxa"/>
            <w:shd w:val="clear" w:color="auto" w:fill="auto"/>
          </w:tcPr>
          <w:p>
            <w:pPr>
              <w:pStyle w:val="GesAbsatz"/>
              <w:tabs>
                <w:tab w:val="clear" w:pos="425"/>
              </w:tabs>
              <w:jc w:val="center"/>
            </w:pPr>
            <w:r>
              <w:t>mg/m</w:t>
            </w:r>
            <w:r>
              <w:rPr>
                <w:vertAlign w:val="superscript"/>
              </w:rPr>
              <w:t>3</w:t>
            </w:r>
          </w:p>
        </w:tc>
      </w:tr>
      <w:tr>
        <w:tc>
          <w:tcPr>
            <w:tcW w:w="2376" w:type="dxa"/>
            <w:shd w:val="clear" w:color="auto" w:fill="auto"/>
          </w:tcPr>
          <w:p>
            <w:pPr>
              <w:pStyle w:val="GesAbsatz"/>
              <w:tabs>
                <w:tab w:val="clear" w:pos="425"/>
              </w:tabs>
              <w:rPr>
                <w:vertAlign w:val="subscript"/>
              </w:rPr>
            </w:pPr>
            <w:r>
              <w:t>CO</w:t>
            </w:r>
            <w:r>
              <w:rPr>
                <w:vertAlign w:val="subscript"/>
              </w:rPr>
              <w:t>2</w:t>
            </w:r>
          </w:p>
        </w:tc>
        <w:tc>
          <w:tcPr>
            <w:tcW w:w="2584" w:type="dxa"/>
            <w:shd w:val="clear" w:color="auto" w:fill="auto"/>
          </w:tcPr>
          <w:p>
            <w:pPr>
              <w:pStyle w:val="GesAbsatz"/>
              <w:tabs>
                <w:tab w:val="clear" w:pos="425"/>
              </w:tabs>
              <w:jc w:val="center"/>
            </w:pPr>
            <w:r>
              <w:t>0 – 20</w:t>
            </w:r>
          </w:p>
        </w:tc>
        <w:tc>
          <w:tcPr>
            <w:tcW w:w="2820" w:type="dxa"/>
            <w:shd w:val="clear" w:color="auto" w:fill="auto"/>
          </w:tcPr>
          <w:p>
            <w:pPr>
              <w:pStyle w:val="GesAbsatz"/>
              <w:tabs>
                <w:tab w:val="clear" w:pos="425"/>
              </w:tabs>
              <w:jc w:val="center"/>
            </w:pPr>
            <w:r>
              <w:t>–</w:t>
            </w:r>
          </w:p>
        </w:tc>
        <w:tc>
          <w:tcPr>
            <w:tcW w:w="1775" w:type="dxa"/>
            <w:shd w:val="clear" w:color="auto" w:fill="auto"/>
          </w:tcPr>
          <w:p>
            <w:pPr>
              <w:pStyle w:val="GesAbsatz"/>
              <w:tabs>
                <w:tab w:val="clear" w:pos="425"/>
              </w:tabs>
              <w:jc w:val="center"/>
            </w:pPr>
            <w:r>
              <w:t>Vol.-%</w:t>
            </w:r>
          </w:p>
        </w:tc>
      </w:tr>
      <w:tr>
        <w:tc>
          <w:tcPr>
            <w:tcW w:w="2376" w:type="dxa"/>
            <w:shd w:val="clear" w:color="auto" w:fill="auto"/>
          </w:tcPr>
          <w:p>
            <w:pPr>
              <w:pStyle w:val="GesAbsatz"/>
              <w:tabs>
                <w:tab w:val="clear" w:pos="425"/>
              </w:tabs>
              <w:rPr>
                <w:vertAlign w:val="subscript"/>
              </w:rPr>
            </w:pPr>
            <w:r>
              <w:t>O</w:t>
            </w:r>
            <w:r>
              <w:rPr>
                <w:vertAlign w:val="subscript"/>
              </w:rPr>
              <w:t>2</w:t>
            </w:r>
          </w:p>
        </w:tc>
        <w:tc>
          <w:tcPr>
            <w:tcW w:w="2584" w:type="dxa"/>
            <w:shd w:val="clear" w:color="auto" w:fill="auto"/>
          </w:tcPr>
          <w:p>
            <w:pPr>
              <w:pStyle w:val="GesAbsatz"/>
              <w:tabs>
                <w:tab w:val="clear" w:pos="425"/>
              </w:tabs>
              <w:jc w:val="center"/>
            </w:pPr>
            <w:r>
              <w:t>0 – 25</w:t>
            </w:r>
          </w:p>
        </w:tc>
        <w:tc>
          <w:tcPr>
            <w:tcW w:w="2820" w:type="dxa"/>
            <w:shd w:val="clear" w:color="auto" w:fill="auto"/>
          </w:tcPr>
          <w:p>
            <w:pPr>
              <w:pStyle w:val="GesAbsatz"/>
              <w:tabs>
                <w:tab w:val="clear" w:pos="425"/>
              </w:tabs>
              <w:jc w:val="center"/>
            </w:pPr>
            <w:r>
              <w:t>0 – 10</w:t>
            </w:r>
          </w:p>
        </w:tc>
        <w:tc>
          <w:tcPr>
            <w:tcW w:w="1775" w:type="dxa"/>
            <w:shd w:val="clear" w:color="auto" w:fill="auto"/>
          </w:tcPr>
          <w:p>
            <w:pPr>
              <w:pStyle w:val="GesAbsatz"/>
              <w:tabs>
                <w:tab w:val="clear" w:pos="425"/>
              </w:tabs>
              <w:jc w:val="center"/>
            </w:pPr>
            <w:r>
              <w:t>Vol.-%</w:t>
            </w:r>
          </w:p>
        </w:tc>
      </w:tr>
    </w:tbl>
    <w:p>
      <w:pPr>
        <w:pStyle w:val="GesAbsatz"/>
      </w:pPr>
      <w:r>
        <w:rPr>
          <w:vertAlign w:val="superscript"/>
        </w:rPr>
        <w:t>1</w:t>
      </w:r>
      <w:r>
        <w:t xml:space="preserve"> als NO</w:t>
      </w:r>
      <w:r>
        <w:rPr>
          <w:vertAlign w:val="subscript"/>
        </w:rPr>
        <w:t>2</w:t>
      </w:r>
      <w:r>
        <w:t>, dies entspricht ca. 0 – 134 mg/m</w:t>
      </w:r>
      <w:r>
        <w:rPr>
          <w:vertAlign w:val="superscript"/>
        </w:rPr>
        <w:t>3</w:t>
      </w:r>
      <w:r>
        <w:t xml:space="preserve"> NO</w:t>
      </w:r>
    </w:p>
    <w:p>
      <w:pPr>
        <w:pStyle w:val="GesAbsatz"/>
      </w:pPr>
      <w:r>
        <w:rPr>
          <w:vertAlign w:val="superscript"/>
        </w:rPr>
        <w:t>2</w:t>
      </w:r>
      <w:r>
        <w:t xml:space="preserve"> als NO</w:t>
      </w:r>
      <w:r>
        <w:rPr>
          <w:vertAlign w:val="subscript"/>
        </w:rPr>
        <w:t>2</w:t>
      </w:r>
      <w:r>
        <w:t>, dies entspricht ca. 0 – 1 340 mg/m</w:t>
      </w:r>
      <w:r>
        <w:rPr>
          <w:vertAlign w:val="superscript"/>
        </w:rPr>
        <w:t>3</w:t>
      </w:r>
      <w:r>
        <w:t xml:space="preserve"> NO</w:t>
      </w:r>
    </w:p>
    <w:p>
      <w:pPr>
        <w:pStyle w:val="GesAbsatz"/>
      </w:pPr>
      <w:r>
        <w:t>Softwareversion: P2000788001D/1.11</w:t>
      </w:r>
    </w:p>
    <w:p>
      <w:pPr>
        <w:pStyle w:val="GesAbsatz"/>
      </w:pPr>
      <w:r>
        <w:t>Einschränkungen:</w:t>
      </w:r>
    </w:p>
    <w:p>
      <w:pPr>
        <w:pStyle w:val="GesAbsatz"/>
      </w:pPr>
      <w:r>
        <w:t>Keine</w:t>
      </w:r>
    </w:p>
    <w:p>
      <w:pPr>
        <w:pStyle w:val="GesAbsatz"/>
      </w:pPr>
      <w:r>
        <w:t>Hinweise:</w:t>
      </w:r>
    </w:p>
    <w:p>
      <w:pPr>
        <w:pStyle w:val="GesAbsatz"/>
      </w:pPr>
      <w:r>
        <w:t>1.</w:t>
      </w:r>
      <w:r>
        <w:tab/>
        <w:t>Das Wartungsintervall beträgt vier Wochen.</w:t>
      </w:r>
    </w:p>
    <w:p>
      <w:pPr>
        <w:pStyle w:val="GesAbsatz"/>
        <w:ind w:left="426" w:hanging="426"/>
      </w:pPr>
      <w:r>
        <w:t>2.</w:t>
      </w:r>
      <w:r>
        <w:tab/>
        <w:t>Der Zertifizierungsbereich der Messkomponente SO</w:t>
      </w:r>
      <w:r>
        <w:rPr>
          <w:vertAlign w:val="subscript"/>
        </w:rPr>
        <w:t>2</w:t>
      </w:r>
      <w:r>
        <w:t xml:space="preserve"> ist zur Überwachung des Tagesmittelwertes an Anlagen der 17. BImSchV nicht geeignet.</w:t>
      </w:r>
    </w:p>
    <w:p>
      <w:pPr>
        <w:pStyle w:val="GesAbsatz"/>
      </w:pPr>
      <w:r>
        <w:t>3.</w:t>
      </w:r>
      <w:r>
        <w:tab/>
        <w:t>Der interne Trockner fur den Messgasstrom im PG-350E ist zu überbrücken.</w:t>
      </w:r>
    </w:p>
    <w:p>
      <w:pPr>
        <w:pStyle w:val="GesAbsatz"/>
        <w:ind w:left="426" w:hanging="426"/>
      </w:pPr>
      <w:r>
        <w:t>4.</w:t>
      </w:r>
      <w:r>
        <w:tab/>
        <w:t>Bei Messungen der Komponente SO</w:t>
      </w:r>
      <w:r>
        <w:rPr>
          <w:vertAlign w:val="subscript"/>
        </w:rPr>
        <w:t>2</w:t>
      </w:r>
      <w:r>
        <w:t xml:space="preserve"> ist der Permeationstrockner Typ PD-100 der Firma Horiba einzusetzen.</w:t>
      </w:r>
    </w:p>
    <w:p>
      <w:pPr>
        <w:pStyle w:val="GesAbsatz"/>
      </w:pPr>
      <w:r>
        <w:t>Prüfbericht: TÜV Rheinland Energie und Umwelt GmbH, Köln</w:t>
      </w:r>
    </w:p>
    <w:p>
      <w:pPr>
        <w:pStyle w:val="GesAbsatz"/>
      </w:pPr>
      <w:r>
        <w:t>Bericht-Nr.: 936/21217617/A vom 5. Oktober 2012</w:t>
      </w:r>
    </w:p>
    <w:p>
      <w:pPr>
        <w:pStyle w:val="GesAbsatz"/>
        <w:rPr>
          <w:b/>
          <w:lang w:val="en-US"/>
        </w:rPr>
      </w:pPr>
      <w:r>
        <w:rPr>
          <w:b/>
          <w:lang w:val="en-US"/>
        </w:rPr>
        <w:t>5.3</w:t>
      </w:r>
      <w:r>
        <w:rPr>
          <w:b/>
          <w:lang w:val="en-US"/>
        </w:rPr>
        <w:tab/>
        <w:t xml:space="preserve">MIR 9000 CLD Option </w:t>
      </w:r>
      <w:proofErr w:type="spellStart"/>
      <w:r>
        <w:rPr>
          <w:b/>
          <w:lang w:val="en-US"/>
        </w:rPr>
        <w:t>für</w:t>
      </w:r>
      <w:proofErr w:type="spellEnd"/>
      <w:r>
        <w:rPr>
          <w:b/>
          <w:lang w:val="en-US"/>
        </w:rPr>
        <w:t xml:space="preserve"> NO/NO</w:t>
      </w:r>
      <w:r>
        <w:rPr>
          <w:b/>
          <w:vertAlign w:val="subscript"/>
          <w:lang w:val="en-US"/>
        </w:rPr>
        <w:t>x</w:t>
      </w:r>
      <w:r>
        <w:rPr>
          <w:b/>
          <w:lang w:val="en-US"/>
        </w:rPr>
        <w:t>, NO</w:t>
      </w:r>
      <w:r>
        <w:rPr>
          <w:b/>
          <w:vertAlign w:val="subscript"/>
          <w:lang w:val="en-US"/>
        </w:rPr>
        <w:t>2</w:t>
      </w:r>
      <w:r>
        <w:rPr>
          <w:b/>
          <w:lang w:val="en-US"/>
        </w:rPr>
        <w:t>, CO</w:t>
      </w:r>
      <w:r>
        <w:rPr>
          <w:b/>
          <w:vertAlign w:val="subscript"/>
          <w:lang w:val="en-US"/>
        </w:rPr>
        <w:t>2</w:t>
      </w:r>
      <w:r>
        <w:rPr>
          <w:b/>
          <w:lang w:val="en-US"/>
        </w:rPr>
        <w:t>, O</w:t>
      </w:r>
      <w:r>
        <w:rPr>
          <w:b/>
          <w:vertAlign w:val="subscript"/>
          <w:lang w:val="en-US"/>
        </w:rPr>
        <w:t>2</w:t>
      </w:r>
      <w:r>
        <w:rPr>
          <w:b/>
          <w:lang w:val="en-US"/>
        </w:rPr>
        <w:t>, N</w:t>
      </w:r>
      <w:r>
        <w:rPr>
          <w:b/>
          <w:vertAlign w:val="subscript"/>
          <w:lang w:val="en-US"/>
        </w:rPr>
        <w:t>2</w:t>
      </w:r>
      <w:r>
        <w:rPr>
          <w:b/>
          <w:lang w:val="en-US"/>
        </w:rPr>
        <w:t>O und CH</w:t>
      </w:r>
      <w:r>
        <w:rPr>
          <w:b/>
          <w:vertAlign w:val="subscript"/>
          <w:lang w:val="en-US"/>
        </w:rPr>
        <w:t>4</w:t>
      </w:r>
    </w:p>
    <w:p>
      <w:pPr>
        <w:pStyle w:val="GesAbsatz"/>
      </w:pPr>
      <w:r>
        <w:t>Hersteller:</w:t>
      </w:r>
    </w:p>
    <w:p>
      <w:pPr>
        <w:pStyle w:val="GesAbsatz"/>
      </w:pPr>
      <w:proofErr w:type="spellStart"/>
      <w:r>
        <w:t>Environnement</w:t>
      </w:r>
      <w:proofErr w:type="spellEnd"/>
      <w:r>
        <w:t xml:space="preserve"> S.A., </w:t>
      </w:r>
      <w:proofErr w:type="spellStart"/>
      <w:r>
        <w:t>Poissy</w:t>
      </w:r>
      <w:proofErr w:type="spellEnd"/>
      <w:r>
        <w:t xml:space="preserve"> </w:t>
      </w:r>
      <w:proofErr w:type="spellStart"/>
      <w:r>
        <w:t>Cedex</w:t>
      </w:r>
      <w:proofErr w:type="spellEnd"/>
      <w:r>
        <w:t>, Frankreich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42"/>
        <w:gridCol w:w="2610"/>
        <w:gridCol w:w="1633"/>
      </w:tblGrid>
      <w:tr>
        <w:tc>
          <w:tcPr>
            <w:tcW w:w="2518" w:type="dxa"/>
            <w:shd w:val="clear" w:color="auto" w:fill="auto"/>
          </w:tcPr>
          <w:p>
            <w:pPr>
              <w:pStyle w:val="GesAbsatz"/>
              <w:tabs>
                <w:tab w:val="clear" w:pos="425"/>
              </w:tabs>
              <w:jc w:val="center"/>
            </w:pPr>
            <w:r>
              <w:t>Komponente</w:t>
            </w:r>
          </w:p>
        </w:tc>
        <w:tc>
          <w:tcPr>
            <w:tcW w:w="2442" w:type="dxa"/>
            <w:shd w:val="clear" w:color="auto" w:fill="auto"/>
          </w:tcPr>
          <w:p>
            <w:pPr>
              <w:pStyle w:val="GesAbsatz"/>
              <w:tabs>
                <w:tab w:val="clear" w:pos="425"/>
              </w:tabs>
              <w:jc w:val="center"/>
            </w:pPr>
            <w:r>
              <w:t>Zertifizierungsbereich</w:t>
            </w:r>
          </w:p>
        </w:tc>
        <w:tc>
          <w:tcPr>
            <w:tcW w:w="2610" w:type="dxa"/>
            <w:shd w:val="clear" w:color="auto" w:fill="auto"/>
          </w:tcPr>
          <w:p>
            <w:pPr>
              <w:pStyle w:val="GesAbsatz"/>
              <w:tabs>
                <w:tab w:val="clear" w:pos="425"/>
              </w:tabs>
              <w:jc w:val="center"/>
            </w:pPr>
            <w:r>
              <w:t>zusätzlicher Messbereich</w:t>
            </w:r>
          </w:p>
        </w:tc>
        <w:tc>
          <w:tcPr>
            <w:tcW w:w="1633" w:type="dxa"/>
            <w:shd w:val="clear" w:color="auto" w:fill="auto"/>
          </w:tcPr>
          <w:p>
            <w:pPr>
              <w:pStyle w:val="GesAbsatz"/>
              <w:tabs>
                <w:tab w:val="clear" w:pos="425"/>
              </w:tabs>
              <w:jc w:val="center"/>
            </w:pPr>
            <w:r>
              <w:t>Einheit</w:t>
            </w:r>
          </w:p>
        </w:tc>
      </w:tr>
      <w:tr>
        <w:tc>
          <w:tcPr>
            <w:tcW w:w="2518" w:type="dxa"/>
            <w:shd w:val="clear" w:color="auto" w:fill="auto"/>
          </w:tcPr>
          <w:p>
            <w:pPr>
              <w:pStyle w:val="GesAbsatz"/>
              <w:tabs>
                <w:tab w:val="clear" w:pos="425"/>
              </w:tabs>
              <w:rPr>
                <w:vertAlign w:val="subscript"/>
              </w:rPr>
            </w:pPr>
            <w:r>
              <w:t>NO/NO</w:t>
            </w:r>
            <w:r>
              <w:rPr>
                <w:vertAlign w:val="subscript"/>
              </w:rPr>
              <w:t>X</w:t>
            </w:r>
          </w:p>
        </w:tc>
        <w:tc>
          <w:tcPr>
            <w:tcW w:w="2442" w:type="dxa"/>
            <w:shd w:val="clear" w:color="auto" w:fill="auto"/>
          </w:tcPr>
          <w:p>
            <w:pPr>
              <w:pStyle w:val="GesAbsatz"/>
              <w:tabs>
                <w:tab w:val="clear" w:pos="425"/>
              </w:tabs>
              <w:jc w:val="center"/>
            </w:pPr>
            <w:r>
              <w:t>0 – 20</w:t>
            </w:r>
          </w:p>
        </w:tc>
        <w:tc>
          <w:tcPr>
            <w:tcW w:w="2610" w:type="dxa"/>
            <w:shd w:val="clear" w:color="auto" w:fill="auto"/>
          </w:tcPr>
          <w:p>
            <w:pPr>
              <w:pStyle w:val="GesAbsatz"/>
              <w:tabs>
                <w:tab w:val="clear" w:pos="425"/>
              </w:tabs>
              <w:jc w:val="center"/>
            </w:pPr>
            <w:r>
              <w:t>0 – 2 000</w:t>
            </w:r>
          </w:p>
        </w:tc>
        <w:tc>
          <w:tcPr>
            <w:tcW w:w="1633" w:type="dxa"/>
            <w:shd w:val="clear" w:color="auto" w:fill="auto"/>
          </w:tcPr>
          <w:p>
            <w:pPr>
              <w:pStyle w:val="GesAbsatz"/>
              <w:tabs>
                <w:tab w:val="clear" w:pos="425"/>
              </w:tabs>
              <w:jc w:val="center"/>
            </w:pPr>
            <w:r>
              <w:t>mg/m</w:t>
            </w:r>
            <w:r>
              <w:rPr>
                <w:vertAlign w:val="superscript"/>
              </w:rPr>
              <w:t>3</w:t>
            </w:r>
          </w:p>
        </w:tc>
      </w:tr>
      <w:tr>
        <w:tc>
          <w:tcPr>
            <w:tcW w:w="2518" w:type="dxa"/>
            <w:shd w:val="clear" w:color="auto" w:fill="auto"/>
          </w:tcPr>
          <w:p>
            <w:pPr>
              <w:pStyle w:val="GesAbsatz"/>
              <w:tabs>
                <w:tab w:val="clear" w:pos="425"/>
              </w:tabs>
              <w:rPr>
                <w:vertAlign w:val="subscript"/>
              </w:rPr>
            </w:pPr>
            <w:r>
              <w:t>NO</w:t>
            </w:r>
            <w:r>
              <w:rPr>
                <w:vertAlign w:val="subscript"/>
              </w:rPr>
              <w:t>2</w:t>
            </w:r>
          </w:p>
        </w:tc>
        <w:tc>
          <w:tcPr>
            <w:tcW w:w="2442" w:type="dxa"/>
            <w:shd w:val="clear" w:color="auto" w:fill="auto"/>
          </w:tcPr>
          <w:p>
            <w:pPr>
              <w:pStyle w:val="GesAbsatz"/>
              <w:tabs>
                <w:tab w:val="clear" w:pos="425"/>
              </w:tabs>
              <w:jc w:val="center"/>
            </w:pPr>
            <w:r>
              <w:t>0 – 20</w:t>
            </w:r>
          </w:p>
        </w:tc>
        <w:tc>
          <w:tcPr>
            <w:tcW w:w="2610" w:type="dxa"/>
            <w:shd w:val="clear" w:color="auto" w:fill="auto"/>
          </w:tcPr>
          <w:p>
            <w:pPr>
              <w:pStyle w:val="GesAbsatz"/>
              <w:tabs>
                <w:tab w:val="clear" w:pos="425"/>
              </w:tabs>
              <w:jc w:val="center"/>
            </w:pPr>
            <w:r>
              <w:t>0 – 200</w:t>
            </w:r>
          </w:p>
        </w:tc>
        <w:tc>
          <w:tcPr>
            <w:tcW w:w="1633" w:type="dxa"/>
            <w:shd w:val="clear" w:color="auto" w:fill="auto"/>
          </w:tcPr>
          <w:p>
            <w:pPr>
              <w:pStyle w:val="GesAbsatz"/>
              <w:tabs>
                <w:tab w:val="clear" w:pos="425"/>
              </w:tabs>
              <w:jc w:val="center"/>
            </w:pPr>
            <w:r>
              <w:t>mg/m</w:t>
            </w:r>
            <w:r>
              <w:rPr>
                <w:vertAlign w:val="superscript"/>
              </w:rPr>
              <w:t>3</w:t>
            </w:r>
          </w:p>
        </w:tc>
      </w:tr>
      <w:tr>
        <w:tc>
          <w:tcPr>
            <w:tcW w:w="2518" w:type="dxa"/>
            <w:shd w:val="clear" w:color="auto" w:fill="auto"/>
          </w:tcPr>
          <w:p>
            <w:pPr>
              <w:pStyle w:val="GesAbsatz"/>
              <w:tabs>
                <w:tab w:val="clear" w:pos="425"/>
              </w:tabs>
            </w:pPr>
            <w:r>
              <w:t>CO</w:t>
            </w:r>
            <w:r>
              <w:rPr>
                <w:vertAlign w:val="subscript"/>
              </w:rPr>
              <w:t>2</w:t>
            </w:r>
          </w:p>
        </w:tc>
        <w:tc>
          <w:tcPr>
            <w:tcW w:w="2442" w:type="dxa"/>
            <w:shd w:val="clear" w:color="auto" w:fill="auto"/>
          </w:tcPr>
          <w:p>
            <w:pPr>
              <w:pStyle w:val="GesAbsatz"/>
              <w:tabs>
                <w:tab w:val="clear" w:pos="425"/>
              </w:tabs>
              <w:jc w:val="center"/>
            </w:pPr>
            <w:r>
              <w:t>0 – 25</w:t>
            </w:r>
          </w:p>
        </w:tc>
        <w:tc>
          <w:tcPr>
            <w:tcW w:w="2610" w:type="dxa"/>
            <w:shd w:val="clear" w:color="auto" w:fill="auto"/>
          </w:tcPr>
          <w:p>
            <w:pPr>
              <w:pStyle w:val="GesAbsatz"/>
              <w:tabs>
                <w:tab w:val="clear" w:pos="425"/>
              </w:tabs>
              <w:jc w:val="center"/>
            </w:pPr>
            <w:r>
              <w:t>–</w:t>
            </w:r>
          </w:p>
        </w:tc>
        <w:tc>
          <w:tcPr>
            <w:tcW w:w="1633" w:type="dxa"/>
            <w:shd w:val="clear" w:color="auto" w:fill="auto"/>
          </w:tcPr>
          <w:p>
            <w:pPr>
              <w:pStyle w:val="GesAbsatz"/>
              <w:tabs>
                <w:tab w:val="clear" w:pos="425"/>
              </w:tabs>
              <w:jc w:val="center"/>
            </w:pPr>
            <w:r>
              <w:t>Vol.-%</w:t>
            </w:r>
          </w:p>
        </w:tc>
      </w:tr>
      <w:tr>
        <w:tc>
          <w:tcPr>
            <w:tcW w:w="2518" w:type="dxa"/>
            <w:shd w:val="clear" w:color="auto" w:fill="auto"/>
          </w:tcPr>
          <w:p>
            <w:pPr>
              <w:pStyle w:val="GesAbsatz"/>
              <w:tabs>
                <w:tab w:val="clear" w:pos="425"/>
              </w:tabs>
              <w:rPr>
                <w:vertAlign w:val="subscript"/>
              </w:rPr>
            </w:pPr>
            <w:r>
              <w:t>O</w:t>
            </w:r>
            <w:r>
              <w:rPr>
                <w:vertAlign w:val="subscript"/>
              </w:rPr>
              <w:t>2</w:t>
            </w:r>
          </w:p>
        </w:tc>
        <w:tc>
          <w:tcPr>
            <w:tcW w:w="2442" w:type="dxa"/>
            <w:shd w:val="clear" w:color="auto" w:fill="auto"/>
          </w:tcPr>
          <w:p>
            <w:pPr>
              <w:pStyle w:val="GesAbsatz"/>
              <w:tabs>
                <w:tab w:val="clear" w:pos="425"/>
              </w:tabs>
              <w:jc w:val="center"/>
            </w:pPr>
            <w:r>
              <w:t>0 – 10</w:t>
            </w:r>
          </w:p>
        </w:tc>
        <w:tc>
          <w:tcPr>
            <w:tcW w:w="2610" w:type="dxa"/>
            <w:shd w:val="clear" w:color="auto" w:fill="auto"/>
          </w:tcPr>
          <w:p>
            <w:pPr>
              <w:pStyle w:val="GesAbsatz"/>
              <w:tabs>
                <w:tab w:val="clear" w:pos="425"/>
              </w:tabs>
              <w:jc w:val="center"/>
            </w:pPr>
            <w:r>
              <w:t>0 – 25</w:t>
            </w:r>
          </w:p>
        </w:tc>
        <w:tc>
          <w:tcPr>
            <w:tcW w:w="1633" w:type="dxa"/>
            <w:shd w:val="clear" w:color="auto" w:fill="auto"/>
          </w:tcPr>
          <w:p>
            <w:pPr>
              <w:pStyle w:val="GesAbsatz"/>
              <w:tabs>
                <w:tab w:val="clear" w:pos="425"/>
              </w:tabs>
              <w:jc w:val="center"/>
            </w:pPr>
            <w:r>
              <w:t>Vol.-%</w:t>
            </w:r>
          </w:p>
        </w:tc>
      </w:tr>
      <w:tr>
        <w:tc>
          <w:tcPr>
            <w:tcW w:w="2518" w:type="dxa"/>
            <w:shd w:val="clear" w:color="auto" w:fill="auto"/>
          </w:tcPr>
          <w:p>
            <w:pPr>
              <w:pStyle w:val="GesAbsatz"/>
              <w:tabs>
                <w:tab w:val="clear" w:pos="425"/>
              </w:tabs>
            </w:pPr>
            <w:r>
              <w:t>N</w:t>
            </w:r>
            <w:r>
              <w:rPr>
                <w:vertAlign w:val="subscript"/>
              </w:rPr>
              <w:t>2</w:t>
            </w:r>
            <w:r>
              <w:t>O</w:t>
            </w:r>
          </w:p>
        </w:tc>
        <w:tc>
          <w:tcPr>
            <w:tcW w:w="2442" w:type="dxa"/>
            <w:shd w:val="clear" w:color="auto" w:fill="auto"/>
          </w:tcPr>
          <w:p>
            <w:pPr>
              <w:pStyle w:val="GesAbsatz"/>
              <w:tabs>
                <w:tab w:val="clear" w:pos="425"/>
              </w:tabs>
              <w:jc w:val="center"/>
            </w:pPr>
            <w:r>
              <w:t>0 – 20</w:t>
            </w:r>
          </w:p>
        </w:tc>
        <w:tc>
          <w:tcPr>
            <w:tcW w:w="2610" w:type="dxa"/>
            <w:shd w:val="clear" w:color="auto" w:fill="auto"/>
          </w:tcPr>
          <w:p>
            <w:pPr>
              <w:pStyle w:val="GesAbsatz"/>
              <w:tabs>
                <w:tab w:val="clear" w:pos="425"/>
              </w:tabs>
              <w:jc w:val="center"/>
            </w:pPr>
            <w:r>
              <w:t>0 – 200</w:t>
            </w:r>
          </w:p>
        </w:tc>
        <w:tc>
          <w:tcPr>
            <w:tcW w:w="1633" w:type="dxa"/>
            <w:shd w:val="clear" w:color="auto" w:fill="auto"/>
          </w:tcPr>
          <w:p>
            <w:pPr>
              <w:pStyle w:val="GesAbsatz"/>
              <w:tabs>
                <w:tab w:val="clear" w:pos="425"/>
              </w:tabs>
              <w:jc w:val="center"/>
            </w:pPr>
            <w:r>
              <w:t>mg/m</w:t>
            </w:r>
            <w:r>
              <w:rPr>
                <w:vertAlign w:val="superscript"/>
              </w:rPr>
              <w:t>3</w:t>
            </w:r>
          </w:p>
        </w:tc>
      </w:tr>
      <w:tr>
        <w:tc>
          <w:tcPr>
            <w:tcW w:w="2518" w:type="dxa"/>
            <w:shd w:val="clear" w:color="auto" w:fill="auto"/>
          </w:tcPr>
          <w:p>
            <w:pPr>
              <w:pStyle w:val="GesAbsatz"/>
              <w:tabs>
                <w:tab w:val="clear" w:pos="425"/>
              </w:tabs>
              <w:rPr>
                <w:vertAlign w:val="subscript"/>
              </w:rPr>
            </w:pPr>
            <w:r>
              <w:t>CH</w:t>
            </w:r>
            <w:r>
              <w:rPr>
                <w:vertAlign w:val="subscript"/>
              </w:rPr>
              <w:t>4</w:t>
            </w:r>
          </w:p>
        </w:tc>
        <w:tc>
          <w:tcPr>
            <w:tcW w:w="2442" w:type="dxa"/>
            <w:shd w:val="clear" w:color="auto" w:fill="auto"/>
          </w:tcPr>
          <w:p>
            <w:pPr>
              <w:pStyle w:val="GesAbsatz"/>
              <w:tabs>
                <w:tab w:val="clear" w:pos="425"/>
              </w:tabs>
              <w:jc w:val="center"/>
            </w:pPr>
            <w:r>
              <w:t>0 – 10</w:t>
            </w:r>
          </w:p>
        </w:tc>
        <w:tc>
          <w:tcPr>
            <w:tcW w:w="2610" w:type="dxa"/>
            <w:shd w:val="clear" w:color="auto" w:fill="auto"/>
          </w:tcPr>
          <w:p>
            <w:pPr>
              <w:pStyle w:val="GesAbsatz"/>
              <w:tabs>
                <w:tab w:val="clear" w:pos="425"/>
              </w:tabs>
              <w:jc w:val="center"/>
            </w:pPr>
            <w:r>
              <w:t>0 – 200</w:t>
            </w:r>
          </w:p>
        </w:tc>
        <w:tc>
          <w:tcPr>
            <w:tcW w:w="1633" w:type="dxa"/>
            <w:shd w:val="clear" w:color="auto" w:fill="auto"/>
          </w:tcPr>
          <w:p>
            <w:pPr>
              <w:pStyle w:val="GesAbsatz"/>
              <w:tabs>
                <w:tab w:val="clear" w:pos="425"/>
              </w:tabs>
              <w:jc w:val="center"/>
            </w:pPr>
            <w:r>
              <w:t>mg/m</w:t>
            </w:r>
            <w:r>
              <w:rPr>
                <w:vertAlign w:val="superscript"/>
              </w:rPr>
              <w:t>3</w:t>
            </w:r>
          </w:p>
        </w:tc>
      </w:tr>
    </w:tbl>
    <w:p>
      <w:pPr>
        <w:pStyle w:val="GesAbsatz"/>
      </w:pPr>
      <w:r>
        <w:t>Softwareversion: V6.5</w:t>
      </w:r>
    </w:p>
    <w:p>
      <w:pPr>
        <w:pStyle w:val="GesAbsatz"/>
      </w:pPr>
      <w:r>
        <w:t>Einschränkung:</w:t>
      </w:r>
    </w:p>
    <w:p>
      <w:pPr>
        <w:pStyle w:val="GesAbsatz"/>
      </w:pPr>
      <w:r>
        <w:t>Die Anforderung bei der Eignungsprüfung nach DIN EN 15267-3 für die Schutzart des Gehäuses wird nicht erfüllt. Die Messeinrichtung muss geschützt vor Staub und Niederschlag aufgestellt werden.</w:t>
      </w:r>
    </w:p>
    <w:p>
      <w:pPr>
        <w:pStyle w:val="GesAbsatz"/>
      </w:pPr>
      <w:r>
        <w:t>Hinweise:</w:t>
      </w:r>
    </w:p>
    <w:p>
      <w:pPr>
        <w:pStyle w:val="GesAbsatz"/>
      </w:pPr>
      <w:r>
        <w:t>1.</w:t>
      </w:r>
      <w:r>
        <w:tab/>
        <w:t>Das Wartungsintervall beträgt zwei Wochen.</w:t>
      </w:r>
    </w:p>
    <w:p>
      <w:pPr>
        <w:pStyle w:val="GesAbsatz"/>
        <w:ind w:left="426" w:hanging="426"/>
      </w:pPr>
      <w:r>
        <w:t>2.</w:t>
      </w:r>
      <w:r>
        <w:tab/>
        <w:t>Ergänzungsprüfung (Überführung in die DIN EN 15267) zu der Bekanntmachung des Umweltbundesamtes vom 19. Februar 2009 (BAnz. S. 899, Kapitel I Nummer 2.4).</w:t>
      </w:r>
    </w:p>
    <w:p>
      <w:pPr>
        <w:pStyle w:val="GesAbsatz"/>
      </w:pPr>
      <w:r>
        <w:lastRenderedPageBreak/>
        <w:t>Prüfbericht: TÜV Rheinland Energie und Umwelt GmbH, Köln</w:t>
      </w:r>
    </w:p>
    <w:p>
      <w:pPr>
        <w:pStyle w:val="GesAbsatz"/>
      </w:pPr>
      <w:r>
        <w:t>Bericht-Nr.: 936/21220780/B vom 5. Oktober 2012</w:t>
      </w:r>
    </w:p>
    <w:p>
      <w:pPr>
        <w:pStyle w:val="GesAbsatz"/>
        <w:rPr>
          <w:b/>
        </w:rPr>
      </w:pPr>
      <w:r>
        <w:rPr>
          <w:b/>
        </w:rPr>
        <w:t>5.4</w:t>
      </w:r>
      <w:r>
        <w:rPr>
          <w:b/>
        </w:rPr>
        <w:tab/>
        <w:t>MIR 9000 für CO, HCl, SO</w:t>
      </w:r>
      <w:r>
        <w:rPr>
          <w:b/>
          <w:vertAlign w:val="subscript"/>
        </w:rPr>
        <w:t>2</w:t>
      </w:r>
      <w:r>
        <w:rPr>
          <w:b/>
        </w:rPr>
        <w:t xml:space="preserve"> und NO</w:t>
      </w:r>
    </w:p>
    <w:p>
      <w:pPr>
        <w:pStyle w:val="GesAbsatz"/>
      </w:pPr>
      <w:r>
        <w:t>Hersteller:</w:t>
      </w:r>
    </w:p>
    <w:p>
      <w:pPr>
        <w:pStyle w:val="GesAbsatz"/>
      </w:pPr>
      <w:proofErr w:type="spellStart"/>
      <w:r>
        <w:t>Environnement</w:t>
      </w:r>
      <w:proofErr w:type="spellEnd"/>
      <w:r>
        <w:t xml:space="preserve"> S.A., </w:t>
      </w:r>
      <w:proofErr w:type="spellStart"/>
      <w:r>
        <w:t>Poissy</w:t>
      </w:r>
      <w:proofErr w:type="spellEnd"/>
      <w:r>
        <w:t xml:space="preserve"> </w:t>
      </w:r>
      <w:proofErr w:type="spellStart"/>
      <w:r>
        <w:t>Cedex</w:t>
      </w:r>
      <w:proofErr w:type="spellEnd"/>
      <w:r>
        <w:t>, Frankreich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641"/>
        <w:gridCol w:w="1624"/>
      </w:tblGrid>
      <w:tr>
        <w:tc>
          <w:tcPr>
            <w:tcW w:w="2518" w:type="dxa"/>
            <w:shd w:val="clear" w:color="auto" w:fill="auto"/>
          </w:tcPr>
          <w:p>
            <w:pPr>
              <w:pStyle w:val="GesAbsatz"/>
              <w:tabs>
                <w:tab w:val="clear" w:pos="425"/>
              </w:tabs>
              <w:jc w:val="center"/>
            </w:pPr>
            <w:r>
              <w:t>Komponente</w:t>
            </w:r>
          </w:p>
        </w:tc>
        <w:tc>
          <w:tcPr>
            <w:tcW w:w="2410" w:type="dxa"/>
            <w:shd w:val="clear" w:color="auto" w:fill="auto"/>
          </w:tcPr>
          <w:p>
            <w:pPr>
              <w:pStyle w:val="GesAbsatz"/>
              <w:tabs>
                <w:tab w:val="clear" w:pos="425"/>
              </w:tabs>
              <w:jc w:val="center"/>
            </w:pPr>
            <w:r>
              <w:t>Zertifizierungsbereich</w:t>
            </w:r>
          </w:p>
        </w:tc>
        <w:tc>
          <w:tcPr>
            <w:tcW w:w="2641" w:type="dxa"/>
            <w:shd w:val="clear" w:color="auto" w:fill="auto"/>
          </w:tcPr>
          <w:p>
            <w:pPr>
              <w:pStyle w:val="GesAbsatz"/>
              <w:tabs>
                <w:tab w:val="clear" w:pos="425"/>
              </w:tabs>
              <w:jc w:val="center"/>
            </w:pPr>
            <w:r>
              <w:t>zusätzlicher Messbereich</w:t>
            </w:r>
          </w:p>
        </w:tc>
        <w:tc>
          <w:tcPr>
            <w:tcW w:w="1624" w:type="dxa"/>
            <w:shd w:val="clear" w:color="auto" w:fill="auto"/>
          </w:tcPr>
          <w:p>
            <w:pPr>
              <w:pStyle w:val="GesAbsatz"/>
              <w:tabs>
                <w:tab w:val="clear" w:pos="425"/>
              </w:tabs>
              <w:jc w:val="center"/>
            </w:pPr>
            <w:r>
              <w:t>Einheit</w:t>
            </w:r>
          </w:p>
        </w:tc>
      </w:tr>
      <w:tr>
        <w:tc>
          <w:tcPr>
            <w:tcW w:w="2518" w:type="dxa"/>
            <w:shd w:val="clear" w:color="auto" w:fill="auto"/>
          </w:tcPr>
          <w:p>
            <w:pPr>
              <w:pStyle w:val="GesAbsatz"/>
              <w:tabs>
                <w:tab w:val="clear" w:pos="425"/>
              </w:tabs>
            </w:pPr>
            <w:r>
              <w:t>CO</w:t>
            </w:r>
          </w:p>
        </w:tc>
        <w:tc>
          <w:tcPr>
            <w:tcW w:w="2410" w:type="dxa"/>
            <w:shd w:val="clear" w:color="auto" w:fill="auto"/>
          </w:tcPr>
          <w:p>
            <w:pPr>
              <w:pStyle w:val="GesAbsatz"/>
              <w:tabs>
                <w:tab w:val="clear" w:pos="425"/>
              </w:tabs>
              <w:jc w:val="center"/>
            </w:pPr>
            <w:r>
              <w:t>0 – 75</w:t>
            </w:r>
          </w:p>
        </w:tc>
        <w:tc>
          <w:tcPr>
            <w:tcW w:w="2641" w:type="dxa"/>
            <w:shd w:val="clear" w:color="auto" w:fill="auto"/>
          </w:tcPr>
          <w:p>
            <w:pPr>
              <w:pStyle w:val="GesAbsatz"/>
              <w:tabs>
                <w:tab w:val="clear" w:pos="425"/>
              </w:tabs>
              <w:jc w:val="center"/>
            </w:pPr>
            <w:r>
              <w:t>0 – 500</w:t>
            </w:r>
          </w:p>
        </w:tc>
        <w:tc>
          <w:tcPr>
            <w:tcW w:w="1624" w:type="dxa"/>
            <w:shd w:val="clear" w:color="auto" w:fill="auto"/>
          </w:tcPr>
          <w:p>
            <w:pPr>
              <w:pStyle w:val="GesAbsatz"/>
              <w:tabs>
                <w:tab w:val="clear" w:pos="425"/>
              </w:tabs>
              <w:jc w:val="center"/>
            </w:pPr>
            <w:r>
              <w:t>mg/m</w:t>
            </w:r>
            <w:r>
              <w:rPr>
                <w:vertAlign w:val="superscript"/>
              </w:rPr>
              <w:t>3</w:t>
            </w:r>
          </w:p>
        </w:tc>
      </w:tr>
      <w:tr>
        <w:tc>
          <w:tcPr>
            <w:tcW w:w="2518" w:type="dxa"/>
            <w:shd w:val="clear" w:color="auto" w:fill="auto"/>
          </w:tcPr>
          <w:p>
            <w:pPr>
              <w:pStyle w:val="GesAbsatz"/>
              <w:tabs>
                <w:tab w:val="clear" w:pos="425"/>
              </w:tabs>
            </w:pPr>
            <w:r>
              <w:t>HCl</w:t>
            </w:r>
          </w:p>
        </w:tc>
        <w:tc>
          <w:tcPr>
            <w:tcW w:w="2410" w:type="dxa"/>
            <w:shd w:val="clear" w:color="auto" w:fill="auto"/>
          </w:tcPr>
          <w:p>
            <w:pPr>
              <w:pStyle w:val="GesAbsatz"/>
              <w:tabs>
                <w:tab w:val="clear" w:pos="425"/>
              </w:tabs>
              <w:jc w:val="center"/>
            </w:pPr>
            <w:r>
              <w:t>0 – 15</w:t>
            </w:r>
          </w:p>
        </w:tc>
        <w:tc>
          <w:tcPr>
            <w:tcW w:w="2641" w:type="dxa"/>
            <w:shd w:val="clear" w:color="auto" w:fill="auto"/>
          </w:tcPr>
          <w:p>
            <w:pPr>
              <w:pStyle w:val="GesAbsatz"/>
              <w:tabs>
                <w:tab w:val="clear" w:pos="425"/>
              </w:tabs>
              <w:jc w:val="center"/>
            </w:pPr>
            <w:r>
              <w:t>0 – 100</w:t>
            </w:r>
          </w:p>
        </w:tc>
        <w:tc>
          <w:tcPr>
            <w:tcW w:w="1624" w:type="dxa"/>
            <w:shd w:val="clear" w:color="auto" w:fill="auto"/>
          </w:tcPr>
          <w:p>
            <w:pPr>
              <w:pStyle w:val="GesAbsatz"/>
              <w:tabs>
                <w:tab w:val="clear" w:pos="425"/>
              </w:tabs>
              <w:jc w:val="center"/>
            </w:pPr>
            <w:r>
              <w:t>mg/m</w:t>
            </w:r>
            <w:r>
              <w:rPr>
                <w:vertAlign w:val="superscript"/>
              </w:rPr>
              <w:t>3</w:t>
            </w:r>
          </w:p>
        </w:tc>
      </w:tr>
      <w:tr>
        <w:tc>
          <w:tcPr>
            <w:tcW w:w="2518" w:type="dxa"/>
            <w:shd w:val="clear" w:color="auto" w:fill="auto"/>
          </w:tcPr>
          <w:p>
            <w:pPr>
              <w:pStyle w:val="GesAbsatz"/>
              <w:tabs>
                <w:tab w:val="clear" w:pos="425"/>
              </w:tabs>
              <w:rPr>
                <w:vertAlign w:val="subscript"/>
              </w:rPr>
            </w:pPr>
            <w:r>
              <w:t>SO</w:t>
            </w:r>
            <w:r>
              <w:rPr>
                <w:vertAlign w:val="subscript"/>
              </w:rPr>
              <w:t>2</w:t>
            </w:r>
          </w:p>
        </w:tc>
        <w:tc>
          <w:tcPr>
            <w:tcW w:w="2410" w:type="dxa"/>
            <w:shd w:val="clear" w:color="auto" w:fill="auto"/>
          </w:tcPr>
          <w:p>
            <w:pPr>
              <w:pStyle w:val="GesAbsatz"/>
              <w:tabs>
                <w:tab w:val="clear" w:pos="425"/>
              </w:tabs>
              <w:jc w:val="center"/>
            </w:pPr>
            <w:r>
              <w:t>0 – 75</w:t>
            </w:r>
          </w:p>
        </w:tc>
        <w:tc>
          <w:tcPr>
            <w:tcW w:w="2641" w:type="dxa"/>
            <w:shd w:val="clear" w:color="auto" w:fill="auto"/>
          </w:tcPr>
          <w:p>
            <w:pPr>
              <w:pStyle w:val="GesAbsatz"/>
              <w:tabs>
                <w:tab w:val="clear" w:pos="425"/>
              </w:tabs>
              <w:jc w:val="center"/>
            </w:pPr>
            <w:r>
              <w:t>0 – 200</w:t>
            </w:r>
          </w:p>
        </w:tc>
        <w:tc>
          <w:tcPr>
            <w:tcW w:w="1624" w:type="dxa"/>
            <w:shd w:val="clear" w:color="auto" w:fill="auto"/>
          </w:tcPr>
          <w:p>
            <w:pPr>
              <w:pStyle w:val="GesAbsatz"/>
              <w:tabs>
                <w:tab w:val="clear" w:pos="425"/>
              </w:tabs>
              <w:jc w:val="center"/>
            </w:pPr>
            <w:r>
              <w:t>mg/m</w:t>
            </w:r>
            <w:r>
              <w:rPr>
                <w:vertAlign w:val="superscript"/>
              </w:rPr>
              <w:t>3</w:t>
            </w:r>
          </w:p>
        </w:tc>
      </w:tr>
      <w:tr>
        <w:tc>
          <w:tcPr>
            <w:tcW w:w="2518" w:type="dxa"/>
            <w:shd w:val="clear" w:color="auto" w:fill="auto"/>
          </w:tcPr>
          <w:p>
            <w:pPr>
              <w:pStyle w:val="GesAbsatz"/>
              <w:tabs>
                <w:tab w:val="clear" w:pos="425"/>
              </w:tabs>
            </w:pPr>
            <w:r>
              <w:t>NO</w:t>
            </w:r>
          </w:p>
        </w:tc>
        <w:tc>
          <w:tcPr>
            <w:tcW w:w="2410" w:type="dxa"/>
            <w:shd w:val="clear" w:color="auto" w:fill="auto"/>
          </w:tcPr>
          <w:p>
            <w:pPr>
              <w:pStyle w:val="GesAbsatz"/>
              <w:tabs>
                <w:tab w:val="clear" w:pos="425"/>
              </w:tabs>
              <w:jc w:val="center"/>
            </w:pPr>
            <w:r>
              <w:t>0 – 100</w:t>
            </w:r>
          </w:p>
        </w:tc>
        <w:tc>
          <w:tcPr>
            <w:tcW w:w="2641" w:type="dxa"/>
            <w:shd w:val="clear" w:color="auto" w:fill="auto"/>
          </w:tcPr>
          <w:p>
            <w:pPr>
              <w:pStyle w:val="GesAbsatz"/>
              <w:tabs>
                <w:tab w:val="clear" w:pos="425"/>
              </w:tabs>
              <w:jc w:val="center"/>
            </w:pPr>
            <w:r>
              <w:t>0 – 500</w:t>
            </w:r>
          </w:p>
        </w:tc>
        <w:tc>
          <w:tcPr>
            <w:tcW w:w="1624" w:type="dxa"/>
            <w:shd w:val="clear" w:color="auto" w:fill="auto"/>
          </w:tcPr>
          <w:p>
            <w:pPr>
              <w:pStyle w:val="GesAbsatz"/>
              <w:tabs>
                <w:tab w:val="clear" w:pos="425"/>
              </w:tabs>
              <w:jc w:val="center"/>
            </w:pPr>
            <w:r>
              <w:t>mg/m</w:t>
            </w:r>
            <w:r>
              <w:rPr>
                <w:vertAlign w:val="superscript"/>
              </w:rPr>
              <w:t>3</w:t>
            </w:r>
          </w:p>
        </w:tc>
      </w:tr>
    </w:tbl>
    <w:p>
      <w:pPr>
        <w:pStyle w:val="GesAbsatz"/>
      </w:pPr>
      <w:r>
        <w:t>Softwareversion: V6.5</w:t>
      </w:r>
    </w:p>
    <w:p>
      <w:pPr>
        <w:pStyle w:val="GesAbsatz"/>
      </w:pPr>
      <w:r>
        <w:t>Einschränkung:</w:t>
      </w:r>
    </w:p>
    <w:p>
      <w:pPr>
        <w:pStyle w:val="GesAbsatz"/>
      </w:pPr>
      <w:r>
        <w:t>Die Anforderung bei der Eignungsprüfung nach DIN EN 15267-3 für die Schutzart des Gehäuses wird nicht erfüllt. Die Messeinrichtung muss geschützt vor Staub und Niederschlag aufgestellt werden.</w:t>
      </w:r>
    </w:p>
    <w:p>
      <w:pPr>
        <w:pStyle w:val="GesAbsatz"/>
      </w:pPr>
      <w:r>
        <w:t>Hinweise:</w:t>
      </w:r>
    </w:p>
    <w:p>
      <w:pPr>
        <w:pStyle w:val="GesAbsatz"/>
      </w:pPr>
      <w:r>
        <w:t>1.</w:t>
      </w:r>
      <w:r>
        <w:tab/>
        <w:t>Das Wartungsintervall beträgt zwei Wochen.</w:t>
      </w:r>
    </w:p>
    <w:p>
      <w:pPr>
        <w:pStyle w:val="GesAbsatz"/>
        <w:ind w:left="426" w:hanging="426"/>
      </w:pPr>
      <w:r>
        <w:t>2.</w:t>
      </w:r>
      <w:r>
        <w:tab/>
        <w:t>Ergänzungsprüfung (Überführung in die DIN EN 15267) zu der Bekanntmachung des Umweltbundesamtes vom 19. Februar 2009 (BAnz. S. 899, Kapitel I Nummer 2.5).</w:t>
      </w:r>
    </w:p>
    <w:p>
      <w:pPr>
        <w:pStyle w:val="GesAbsatz"/>
      </w:pPr>
      <w:r>
        <w:t>Prüfbericht: TÜV Rheinland Energie und Umwelt GmbH, Köln</w:t>
      </w:r>
    </w:p>
    <w:p>
      <w:pPr>
        <w:pStyle w:val="GesAbsatz"/>
      </w:pPr>
      <w:r>
        <w:t>Bericht-Nr.: 936/21220780/A vom 5. Oktober 2012</w:t>
      </w:r>
    </w:p>
    <w:p>
      <w:pPr>
        <w:pStyle w:val="GesAbsatz"/>
        <w:rPr>
          <w:b/>
        </w:rPr>
      </w:pPr>
      <w:r>
        <w:rPr>
          <w:b/>
        </w:rPr>
        <w:t>5.5</w:t>
      </w:r>
      <w:r>
        <w:rPr>
          <w:b/>
        </w:rPr>
        <w:tab/>
        <w:t>Zentraleinheit LDS 6 7MB6121 für HCl/H</w:t>
      </w:r>
      <w:r>
        <w:rPr>
          <w:b/>
          <w:vertAlign w:val="subscript"/>
        </w:rPr>
        <w:t>2</w:t>
      </w:r>
      <w:r>
        <w:rPr>
          <w:b/>
        </w:rPr>
        <w:t>O, Sensor 7MB6122</w:t>
      </w:r>
    </w:p>
    <w:p>
      <w:pPr>
        <w:pStyle w:val="GesAbsatz"/>
      </w:pPr>
      <w:r>
        <w:t>Hersteller:</w:t>
      </w:r>
    </w:p>
    <w:p>
      <w:pPr>
        <w:pStyle w:val="GesAbsatz"/>
      </w:pPr>
      <w:r>
        <w:t>Siemens AG, Karlsruhe</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551"/>
        <w:gridCol w:w="1701"/>
      </w:tblGrid>
      <w:tr>
        <w:tc>
          <w:tcPr>
            <w:tcW w:w="2518" w:type="dxa"/>
            <w:shd w:val="clear" w:color="auto" w:fill="auto"/>
          </w:tcPr>
          <w:p>
            <w:pPr>
              <w:pStyle w:val="GesAbsatz"/>
              <w:tabs>
                <w:tab w:val="clear" w:pos="425"/>
              </w:tabs>
              <w:jc w:val="center"/>
            </w:pPr>
            <w:r>
              <w:t>Komponente</w:t>
            </w:r>
          </w:p>
        </w:tc>
        <w:tc>
          <w:tcPr>
            <w:tcW w:w="2410" w:type="dxa"/>
            <w:shd w:val="clear" w:color="auto" w:fill="auto"/>
          </w:tcPr>
          <w:p>
            <w:pPr>
              <w:pStyle w:val="GesAbsatz"/>
              <w:tabs>
                <w:tab w:val="clear" w:pos="425"/>
              </w:tabs>
              <w:jc w:val="center"/>
            </w:pPr>
            <w:r>
              <w:t>Zertifizierungsbereich</w:t>
            </w:r>
          </w:p>
        </w:tc>
        <w:tc>
          <w:tcPr>
            <w:tcW w:w="2551" w:type="dxa"/>
            <w:shd w:val="clear" w:color="auto" w:fill="auto"/>
          </w:tcPr>
          <w:p>
            <w:pPr>
              <w:pStyle w:val="GesAbsatz"/>
              <w:tabs>
                <w:tab w:val="clear" w:pos="425"/>
              </w:tabs>
              <w:jc w:val="center"/>
            </w:pPr>
            <w:r>
              <w:t>zusätzlicher Messbereich</w:t>
            </w:r>
          </w:p>
        </w:tc>
        <w:tc>
          <w:tcPr>
            <w:tcW w:w="1701" w:type="dxa"/>
            <w:shd w:val="clear" w:color="auto" w:fill="auto"/>
          </w:tcPr>
          <w:p>
            <w:pPr>
              <w:pStyle w:val="GesAbsatz"/>
              <w:tabs>
                <w:tab w:val="clear" w:pos="425"/>
              </w:tabs>
              <w:jc w:val="center"/>
            </w:pPr>
            <w:r>
              <w:t>Einheit</w:t>
            </w:r>
          </w:p>
        </w:tc>
      </w:tr>
      <w:tr>
        <w:tc>
          <w:tcPr>
            <w:tcW w:w="2518" w:type="dxa"/>
            <w:shd w:val="clear" w:color="auto" w:fill="auto"/>
          </w:tcPr>
          <w:p>
            <w:pPr>
              <w:pStyle w:val="GesAbsatz"/>
              <w:tabs>
                <w:tab w:val="clear" w:pos="425"/>
              </w:tabs>
            </w:pPr>
            <w:r>
              <w:t>HCl</w:t>
            </w:r>
          </w:p>
        </w:tc>
        <w:tc>
          <w:tcPr>
            <w:tcW w:w="2410" w:type="dxa"/>
            <w:shd w:val="clear" w:color="auto" w:fill="auto"/>
          </w:tcPr>
          <w:p>
            <w:pPr>
              <w:pStyle w:val="GesAbsatz"/>
              <w:tabs>
                <w:tab w:val="clear" w:pos="425"/>
              </w:tabs>
              <w:jc w:val="center"/>
            </w:pPr>
            <w:r>
              <w:t>0 – 15</w:t>
            </w:r>
          </w:p>
        </w:tc>
        <w:tc>
          <w:tcPr>
            <w:tcW w:w="2551" w:type="dxa"/>
            <w:shd w:val="clear" w:color="auto" w:fill="auto"/>
          </w:tcPr>
          <w:p>
            <w:pPr>
              <w:pStyle w:val="GesAbsatz"/>
              <w:tabs>
                <w:tab w:val="clear" w:pos="425"/>
              </w:tabs>
              <w:jc w:val="center"/>
            </w:pPr>
            <w:r>
              <w:t>0 – 90</w:t>
            </w:r>
          </w:p>
        </w:tc>
        <w:tc>
          <w:tcPr>
            <w:tcW w:w="1701" w:type="dxa"/>
            <w:shd w:val="clear" w:color="auto" w:fill="auto"/>
          </w:tcPr>
          <w:p>
            <w:pPr>
              <w:pStyle w:val="GesAbsatz"/>
              <w:tabs>
                <w:tab w:val="clear" w:pos="425"/>
              </w:tabs>
              <w:jc w:val="center"/>
            </w:pPr>
            <w:r>
              <w:t>mg/m</w:t>
            </w:r>
            <w:r>
              <w:rPr>
                <w:vertAlign w:val="superscript"/>
              </w:rPr>
              <w:t>3</w:t>
            </w:r>
          </w:p>
        </w:tc>
      </w:tr>
      <w:tr>
        <w:tc>
          <w:tcPr>
            <w:tcW w:w="2518" w:type="dxa"/>
            <w:shd w:val="clear" w:color="auto" w:fill="auto"/>
          </w:tcPr>
          <w:p>
            <w:pPr>
              <w:pStyle w:val="GesAbsatz"/>
              <w:tabs>
                <w:tab w:val="clear" w:pos="425"/>
              </w:tabs>
            </w:pPr>
            <w:r>
              <w:t>H</w:t>
            </w:r>
            <w:r>
              <w:rPr>
                <w:vertAlign w:val="subscript"/>
              </w:rPr>
              <w:t>2</w:t>
            </w:r>
            <w:r>
              <w:t>O</w:t>
            </w:r>
          </w:p>
        </w:tc>
        <w:tc>
          <w:tcPr>
            <w:tcW w:w="2410" w:type="dxa"/>
            <w:shd w:val="clear" w:color="auto" w:fill="auto"/>
          </w:tcPr>
          <w:p>
            <w:pPr>
              <w:pStyle w:val="GesAbsatz"/>
              <w:tabs>
                <w:tab w:val="clear" w:pos="425"/>
              </w:tabs>
              <w:jc w:val="center"/>
            </w:pPr>
            <w:r>
              <w:t>0 – 30</w:t>
            </w:r>
          </w:p>
        </w:tc>
        <w:tc>
          <w:tcPr>
            <w:tcW w:w="2551" w:type="dxa"/>
            <w:shd w:val="clear" w:color="auto" w:fill="auto"/>
          </w:tcPr>
          <w:p>
            <w:pPr>
              <w:pStyle w:val="GesAbsatz"/>
              <w:tabs>
                <w:tab w:val="clear" w:pos="425"/>
              </w:tabs>
              <w:jc w:val="center"/>
            </w:pPr>
            <w:r>
              <w:t>–</w:t>
            </w:r>
          </w:p>
        </w:tc>
        <w:tc>
          <w:tcPr>
            <w:tcW w:w="1701" w:type="dxa"/>
            <w:shd w:val="clear" w:color="auto" w:fill="auto"/>
          </w:tcPr>
          <w:p>
            <w:pPr>
              <w:pStyle w:val="GesAbsatz"/>
              <w:tabs>
                <w:tab w:val="clear" w:pos="425"/>
              </w:tabs>
              <w:jc w:val="center"/>
            </w:pPr>
            <w:r>
              <w:t>Vol.-%</w:t>
            </w:r>
          </w:p>
        </w:tc>
      </w:tr>
    </w:tbl>
    <w:p>
      <w:pPr>
        <w:pStyle w:val="GesAbsatz"/>
      </w:pPr>
      <w:r>
        <w:t>Diese Messbereiche entsprechen für HCl bei einer Messweglänge von 2,0 m und für H</w:t>
      </w:r>
      <w:r>
        <w:rPr>
          <w:vertAlign w:val="subscript"/>
        </w:rPr>
        <w:t>2</w:t>
      </w:r>
      <w:r>
        <w:t>O von 1,25 m folgenden Produkten aus der Konzentration der Messkomponente und der optischen Weglänge: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551"/>
        <w:gridCol w:w="1701"/>
      </w:tblGrid>
      <w:tr>
        <w:tc>
          <w:tcPr>
            <w:tcW w:w="2518" w:type="dxa"/>
            <w:shd w:val="clear" w:color="auto" w:fill="auto"/>
          </w:tcPr>
          <w:p>
            <w:pPr>
              <w:pStyle w:val="GesAbsatz"/>
              <w:tabs>
                <w:tab w:val="clear" w:pos="425"/>
              </w:tabs>
              <w:jc w:val="center"/>
            </w:pPr>
            <w:r>
              <w:t>Komponente</w:t>
            </w:r>
          </w:p>
        </w:tc>
        <w:tc>
          <w:tcPr>
            <w:tcW w:w="2410" w:type="dxa"/>
            <w:shd w:val="clear" w:color="auto" w:fill="auto"/>
          </w:tcPr>
          <w:p>
            <w:pPr>
              <w:pStyle w:val="GesAbsatz"/>
              <w:tabs>
                <w:tab w:val="clear" w:pos="425"/>
              </w:tabs>
              <w:jc w:val="center"/>
            </w:pPr>
            <w:r>
              <w:t>Zertifizierungsbereich</w:t>
            </w:r>
          </w:p>
        </w:tc>
        <w:tc>
          <w:tcPr>
            <w:tcW w:w="2551" w:type="dxa"/>
            <w:shd w:val="clear" w:color="auto" w:fill="auto"/>
          </w:tcPr>
          <w:p>
            <w:pPr>
              <w:pStyle w:val="GesAbsatz"/>
              <w:tabs>
                <w:tab w:val="clear" w:pos="425"/>
              </w:tabs>
              <w:jc w:val="center"/>
            </w:pPr>
            <w:r>
              <w:t>zusätzlicher Messbereich</w:t>
            </w:r>
          </w:p>
        </w:tc>
        <w:tc>
          <w:tcPr>
            <w:tcW w:w="1701" w:type="dxa"/>
            <w:shd w:val="clear" w:color="auto" w:fill="auto"/>
          </w:tcPr>
          <w:p>
            <w:pPr>
              <w:pStyle w:val="GesAbsatz"/>
              <w:tabs>
                <w:tab w:val="clear" w:pos="425"/>
              </w:tabs>
              <w:jc w:val="center"/>
            </w:pPr>
            <w:r>
              <w:t>Einheit</w:t>
            </w:r>
          </w:p>
        </w:tc>
      </w:tr>
      <w:tr>
        <w:tc>
          <w:tcPr>
            <w:tcW w:w="2518" w:type="dxa"/>
            <w:shd w:val="clear" w:color="auto" w:fill="auto"/>
          </w:tcPr>
          <w:p>
            <w:pPr>
              <w:pStyle w:val="GesAbsatz"/>
              <w:tabs>
                <w:tab w:val="clear" w:pos="425"/>
              </w:tabs>
            </w:pPr>
            <w:r>
              <w:t>HCl</w:t>
            </w:r>
          </w:p>
        </w:tc>
        <w:tc>
          <w:tcPr>
            <w:tcW w:w="2410" w:type="dxa"/>
            <w:shd w:val="clear" w:color="auto" w:fill="auto"/>
          </w:tcPr>
          <w:p>
            <w:pPr>
              <w:pStyle w:val="GesAbsatz"/>
              <w:tabs>
                <w:tab w:val="clear" w:pos="425"/>
              </w:tabs>
              <w:jc w:val="center"/>
            </w:pPr>
            <w:r>
              <w:t>0 – 30,0</w:t>
            </w:r>
          </w:p>
        </w:tc>
        <w:tc>
          <w:tcPr>
            <w:tcW w:w="2551" w:type="dxa"/>
            <w:shd w:val="clear" w:color="auto" w:fill="auto"/>
          </w:tcPr>
          <w:p>
            <w:pPr>
              <w:pStyle w:val="GesAbsatz"/>
              <w:tabs>
                <w:tab w:val="clear" w:pos="425"/>
              </w:tabs>
              <w:jc w:val="center"/>
            </w:pPr>
            <w:r>
              <w:t>0 – 180</w:t>
            </w:r>
          </w:p>
        </w:tc>
        <w:tc>
          <w:tcPr>
            <w:tcW w:w="1701" w:type="dxa"/>
            <w:shd w:val="clear" w:color="auto" w:fill="auto"/>
          </w:tcPr>
          <w:p>
            <w:pPr>
              <w:pStyle w:val="GesAbsatz"/>
              <w:tabs>
                <w:tab w:val="clear" w:pos="425"/>
              </w:tabs>
              <w:jc w:val="center"/>
            </w:pPr>
            <w:r>
              <w:t>mg/m</w:t>
            </w:r>
            <w:r>
              <w:rPr>
                <w:vertAlign w:val="superscript"/>
              </w:rPr>
              <w:t>3</w:t>
            </w:r>
            <w:r>
              <w:t xml:space="preserve"> x m</w:t>
            </w:r>
          </w:p>
        </w:tc>
      </w:tr>
      <w:tr>
        <w:tc>
          <w:tcPr>
            <w:tcW w:w="2518" w:type="dxa"/>
            <w:shd w:val="clear" w:color="auto" w:fill="auto"/>
          </w:tcPr>
          <w:p>
            <w:pPr>
              <w:pStyle w:val="GesAbsatz"/>
              <w:tabs>
                <w:tab w:val="clear" w:pos="425"/>
              </w:tabs>
            </w:pPr>
            <w:r>
              <w:t>H</w:t>
            </w:r>
            <w:r>
              <w:rPr>
                <w:vertAlign w:val="subscript"/>
              </w:rPr>
              <w:t>2</w:t>
            </w:r>
            <w:r>
              <w:t>O</w:t>
            </w:r>
          </w:p>
        </w:tc>
        <w:tc>
          <w:tcPr>
            <w:tcW w:w="2410" w:type="dxa"/>
            <w:shd w:val="clear" w:color="auto" w:fill="auto"/>
          </w:tcPr>
          <w:p>
            <w:pPr>
              <w:pStyle w:val="GesAbsatz"/>
              <w:tabs>
                <w:tab w:val="clear" w:pos="425"/>
              </w:tabs>
              <w:jc w:val="center"/>
            </w:pPr>
            <w:r>
              <w:t>0 – 37,5</w:t>
            </w:r>
          </w:p>
        </w:tc>
        <w:tc>
          <w:tcPr>
            <w:tcW w:w="2551" w:type="dxa"/>
            <w:shd w:val="clear" w:color="auto" w:fill="auto"/>
          </w:tcPr>
          <w:p>
            <w:pPr>
              <w:pStyle w:val="GesAbsatz"/>
              <w:tabs>
                <w:tab w:val="clear" w:pos="425"/>
              </w:tabs>
              <w:jc w:val="center"/>
            </w:pPr>
            <w:r>
              <w:t>–</w:t>
            </w:r>
          </w:p>
        </w:tc>
        <w:tc>
          <w:tcPr>
            <w:tcW w:w="1701" w:type="dxa"/>
            <w:shd w:val="clear" w:color="auto" w:fill="auto"/>
          </w:tcPr>
          <w:p>
            <w:pPr>
              <w:pStyle w:val="GesAbsatz"/>
              <w:tabs>
                <w:tab w:val="clear" w:pos="425"/>
              </w:tabs>
              <w:jc w:val="center"/>
            </w:pPr>
            <w:r>
              <w:t>Vol.-% x m</w:t>
            </w:r>
          </w:p>
        </w:tc>
      </w:tr>
    </w:tbl>
    <w:p>
      <w:pPr>
        <w:pStyle w:val="GesAbsatz"/>
      </w:pPr>
      <w:r>
        <w:t>Softwareversion: R25</w:t>
      </w:r>
    </w:p>
    <w:p>
      <w:pPr>
        <w:pStyle w:val="GesAbsatz"/>
      </w:pPr>
      <w:r>
        <w:t>Einschränkungen:</w:t>
      </w:r>
    </w:p>
    <w:p>
      <w:pPr>
        <w:pStyle w:val="GesAbsatz"/>
        <w:ind w:left="426" w:hanging="426"/>
      </w:pPr>
      <w:r>
        <w:t>1.</w:t>
      </w:r>
      <w:r>
        <w:tab/>
        <w:t>Bei der HCl- und H</w:t>
      </w:r>
      <w:r>
        <w:rPr>
          <w:vertAlign w:val="subscript"/>
        </w:rPr>
        <w:t>2</w:t>
      </w:r>
      <w:r>
        <w:t>O-Messung übersteigt für Methankonzentrationen über 15 mg/m</w:t>
      </w:r>
      <w:r>
        <w:rPr>
          <w:vertAlign w:val="superscript"/>
        </w:rPr>
        <w:t>3</w:t>
      </w:r>
      <w:r>
        <w:t xml:space="preserve"> die Summe der negativen Einflüsse von Störkomponenten (Querempfindlichkeit) den Wert von 4% des Messbereichsendwertes.</w:t>
      </w:r>
    </w:p>
    <w:p>
      <w:pPr>
        <w:pStyle w:val="GesAbsatz"/>
        <w:ind w:left="426" w:hanging="426"/>
      </w:pPr>
      <w:r>
        <w:lastRenderedPageBreak/>
        <w:t>2.</w:t>
      </w:r>
      <w:r>
        <w:tab/>
        <w:t>Für die Komponente HCl und H</w:t>
      </w:r>
      <w:r>
        <w:rPr>
          <w:vertAlign w:val="subscript"/>
        </w:rPr>
        <w:t>2</w:t>
      </w:r>
      <w:r>
        <w:t>O konnte die Mindestanforderung an den Korrelationskoeffizienten der Kalibrierfunktion R² zum Teil nicht eingehalten werden.</w:t>
      </w:r>
    </w:p>
    <w:p>
      <w:pPr>
        <w:pStyle w:val="GesAbsatz"/>
        <w:ind w:left="426" w:hanging="426"/>
      </w:pPr>
      <w:r>
        <w:t>3.</w:t>
      </w:r>
      <w:r>
        <w:tab/>
        <w:t>Die Gehäuseschutzklasse für die Zentraleinheit beträgt lediglich IP 20. Sollten die Einsatzbedingungen eine höhere Gehäuseschutzklasse erfordern, so ist die Zentraleinheit in einen Messschrank mit entsprechender Schutzklasse zu integrieren.</w:t>
      </w:r>
    </w:p>
    <w:p>
      <w:pPr>
        <w:pStyle w:val="GesAbsatz"/>
      </w:pPr>
      <w:r>
        <w:t>Hinweise:</w:t>
      </w:r>
    </w:p>
    <w:p>
      <w:pPr>
        <w:pStyle w:val="GesAbsatz"/>
        <w:ind w:left="426" w:hanging="426"/>
      </w:pPr>
      <w:r>
        <w:t>1.</w:t>
      </w:r>
      <w:r>
        <w:tab/>
        <w:t xml:space="preserve">Für die Messeinrichtung in der </w:t>
      </w:r>
      <w:proofErr w:type="spellStart"/>
      <w:r>
        <w:t>Einkomponentenausführung</w:t>
      </w:r>
      <w:proofErr w:type="spellEnd"/>
      <w:r>
        <w:t xml:space="preserve"> LDS 6 HCl werden die Mindestanforderungen ebenfalls eingehalten. Die eignungsgeprüfte Gerätekonfiguration ist unter folgenden Bezeichnungen erhältlich: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43"/>
      </w:tblGrid>
      <w:tr>
        <w:tc>
          <w:tcPr>
            <w:tcW w:w="2518" w:type="dxa"/>
            <w:shd w:val="clear" w:color="auto" w:fill="auto"/>
          </w:tcPr>
          <w:p>
            <w:pPr>
              <w:pStyle w:val="GesAbsatz"/>
              <w:tabs>
                <w:tab w:val="clear" w:pos="425"/>
              </w:tabs>
            </w:pPr>
            <w:r>
              <w:t>Gerätebezeichnung</w:t>
            </w:r>
          </w:p>
        </w:tc>
        <w:tc>
          <w:tcPr>
            <w:tcW w:w="5943" w:type="dxa"/>
            <w:shd w:val="clear" w:color="auto" w:fill="auto"/>
          </w:tcPr>
          <w:p>
            <w:pPr>
              <w:pStyle w:val="GesAbsatz"/>
              <w:tabs>
                <w:tab w:val="clear" w:pos="425"/>
              </w:tabs>
              <w:jc w:val="center"/>
            </w:pPr>
            <w:r>
              <w:t>Messbereiche</w:t>
            </w:r>
          </w:p>
        </w:tc>
      </w:tr>
      <w:tr>
        <w:trPr>
          <w:trHeight w:val="706"/>
        </w:trPr>
        <w:tc>
          <w:tcPr>
            <w:tcW w:w="2518" w:type="dxa"/>
            <w:shd w:val="clear" w:color="auto" w:fill="auto"/>
          </w:tcPr>
          <w:p>
            <w:pPr>
              <w:pStyle w:val="GesAbsatz"/>
              <w:tabs>
                <w:tab w:val="clear" w:pos="425"/>
              </w:tabs>
            </w:pPr>
            <w:r>
              <w:t>7 MB 6121 – 0FT</w:t>
            </w:r>
          </w:p>
        </w:tc>
        <w:tc>
          <w:tcPr>
            <w:tcW w:w="5943" w:type="dxa"/>
            <w:shd w:val="clear" w:color="auto" w:fill="auto"/>
          </w:tcPr>
          <w:p>
            <w:pPr>
              <w:pStyle w:val="GesAbsatz"/>
              <w:tabs>
                <w:tab w:val="clear" w:pos="425"/>
              </w:tabs>
              <w:jc w:val="center"/>
            </w:pPr>
            <w:r>
              <w:t>0 – 15 mg/m</w:t>
            </w:r>
            <w:r>
              <w:rPr>
                <w:vertAlign w:val="superscript"/>
              </w:rPr>
              <w:t>3</w:t>
            </w:r>
            <w:r>
              <w:t xml:space="preserve"> bzw. 0 – 90 mg/m</w:t>
            </w:r>
            <w:r>
              <w:rPr>
                <w:vertAlign w:val="superscript"/>
              </w:rPr>
              <w:t>3</w:t>
            </w:r>
            <w:r>
              <w:t xml:space="preserve"> HCl</w:t>
            </w:r>
          </w:p>
          <w:p>
            <w:pPr>
              <w:pStyle w:val="GesAbsatz"/>
              <w:jc w:val="center"/>
            </w:pPr>
            <w:r>
              <w:t>0 – 30 Vol.-% H</w:t>
            </w:r>
            <w:r>
              <w:rPr>
                <w:vertAlign w:val="subscript"/>
              </w:rPr>
              <w:t>2</w:t>
            </w:r>
            <w:r>
              <w:t>O</w:t>
            </w:r>
          </w:p>
        </w:tc>
      </w:tr>
      <w:tr>
        <w:tc>
          <w:tcPr>
            <w:tcW w:w="2518" w:type="dxa"/>
            <w:shd w:val="clear" w:color="auto" w:fill="auto"/>
          </w:tcPr>
          <w:p>
            <w:pPr>
              <w:pStyle w:val="GesAbsatz"/>
              <w:tabs>
                <w:tab w:val="clear" w:pos="425"/>
              </w:tabs>
            </w:pPr>
            <w:r>
              <w:t>7 MB 6121 – 0ET</w:t>
            </w:r>
          </w:p>
        </w:tc>
        <w:tc>
          <w:tcPr>
            <w:tcW w:w="5943" w:type="dxa"/>
            <w:shd w:val="clear" w:color="auto" w:fill="auto"/>
          </w:tcPr>
          <w:p>
            <w:pPr>
              <w:pStyle w:val="GesAbsatz"/>
              <w:tabs>
                <w:tab w:val="clear" w:pos="425"/>
              </w:tabs>
              <w:jc w:val="center"/>
            </w:pPr>
            <w:r>
              <w:t>0 – 15 mg/m</w:t>
            </w:r>
            <w:r>
              <w:rPr>
                <w:vertAlign w:val="superscript"/>
              </w:rPr>
              <w:t>3</w:t>
            </w:r>
            <w:r>
              <w:t xml:space="preserve"> bzw. 0 – 90 mg/m</w:t>
            </w:r>
            <w:r>
              <w:rPr>
                <w:vertAlign w:val="superscript"/>
              </w:rPr>
              <w:t>3</w:t>
            </w:r>
            <w:r>
              <w:t xml:space="preserve"> HCl</w:t>
            </w:r>
          </w:p>
        </w:tc>
      </w:tr>
      <w:tr>
        <w:trPr>
          <w:trHeight w:val="706"/>
        </w:trPr>
        <w:tc>
          <w:tcPr>
            <w:tcW w:w="2518" w:type="dxa"/>
            <w:shd w:val="clear" w:color="auto" w:fill="auto"/>
          </w:tcPr>
          <w:p>
            <w:pPr>
              <w:pStyle w:val="GesAbsatz"/>
              <w:tabs>
                <w:tab w:val="clear" w:pos="425"/>
              </w:tabs>
            </w:pPr>
            <w:r>
              <w:t>Sensoreinheit</w:t>
            </w:r>
          </w:p>
          <w:p>
            <w:pPr>
              <w:pStyle w:val="GesAbsatz"/>
            </w:pPr>
            <w:r>
              <w:t>7 MB 6122 – 0W</w:t>
            </w:r>
          </w:p>
        </w:tc>
        <w:tc>
          <w:tcPr>
            <w:tcW w:w="5943" w:type="dxa"/>
            <w:shd w:val="clear" w:color="auto" w:fill="auto"/>
          </w:tcPr>
          <w:p>
            <w:pPr>
              <w:pStyle w:val="GesAbsatz"/>
              <w:jc w:val="center"/>
            </w:pPr>
            <w:r>
              <w:t>–</w:t>
            </w:r>
          </w:p>
        </w:tc>
      </w:tr>
    </w:tbl>
    <w:p>
      <w:pPr>
        <w:pStyle w:val="GesAbsatz"/>
      </w:pPr>
      <w:r>
        <w:t>2.</w:t>
      </w:r>
      <w:r>
        <w:tab/>
        <w:t>Die Messeinrichtung muss mit einer Spülluftversorgung betrieben werden.</w:t>
      </w:r>
    </w:p>
    <w:p>
      <w:pPr>
        <w:pStyle w:val="GesAbsatz"/>
        <w:ind w:left="426" w:hanging="426"/>
      </w:pPr>
      <w:r>
        <w:t>3.</w:t>
      </w:r>
      <w:r>
        <w:tab/>
        <w:t>Der Messeinrichtung ist der Wert der Messgastemperatur und der Messgasdruck zur Verfügung zu stellen. Dies kann als Analogsignal 4-20 mA erfolgen oder bei sehr konstanten Verhältnissen als Festwert parametriert werden.</w:t>
      </w:r>
    </w:p>
    <w:p>
      <w:pPr>
        <w:pStyle w:val="GesAbsatz"/>
      </w:pPr>
      <w:r>
        <w:t>4.</w:t>
      </w:r>
      <w:r>
        <w:tab/>
        <w:t>Das Wartungsintervall beträgt zwei Wochen.</w:t>
      </w:r>
    </w:p>
    <w:p>
      <w:pPr>
        <w:pStyle w:val="GesAbsatz"/>
        <w:ind w:left="426" w:hanging="426"/>
      </w:pPr>
      <w:r>
        <w:t>5.</w:t>
      </w:r>
      <w:r>
        <w:tab/>
        <w:t>Die Null- und Referenzpunktdrifts für HCl und H</w:t>
      </w:r>
      <w:r>
        <w:rPr>
          <w:vertAlign w:val="subscript"/>
        </w:rPr>
        <w:t>2</w:t>
      </w:r>
      <w:r>
        <w:t>O sind alle 12 Monate mit einer Justierhilfe zu überprüfen.</w:t>
      </w:r>
    </w:p>
    <w:p>
      <w:pPr>
        <w:pStyle w:val="GesAbsatz"/>
        <w:ind w:left="426" w:hanging="426"/>
      </w:pPr>
      <w:r>
        <w:t>6.</w:t>
      </w:r>
      <w:r>
        <w:tab/>
        <w:t>Der Gerätegrenzwert für die relative Transmission zur Störungsmeldung für Verschmutzung oder Dejustierung der Sensorköpfe ist auf mindestens 75% einzustellen. (Die Abnahme der Transmission kann ein Hinweis auf Dejustierung sein.)</w:t>
      </w:r>
    </w:p>
    <w:p>
      <w:pPr>
        <w:pStyle w:val="GesAbsatz"/>
        <w:ind w:left="426" w:hanging="426"/>
      </w:pPr>
      <w:r>
        <w:t>7.</w:t>
      </w:r>
      <w:r>
        <w:tab/>
        <w:t>Ergänzungsprüfung (Überführung in die DIN EN 15267) zu den Bekanntmachungen des Umweltbundesamtes vom 3. August 2009 (BAnz. S. 2929, Kapitel I Nummer 3.5) und vom 6. Juli 2012 (BAnz AT 20.07.2012 B11, Kapitel IV Mitteilung 30).</w:t>
      </w:r>
    </w:p>
    <w:p>
      <w:pPr>
        <w:pStyle w:val="GesAbsatz"/>
      </w:pPr>
      <w:r>
        <w:t>Prüfbericht: TÜV Süd Industrie Service GmbH, München</w:t>
      </w:r>
    </w:p>
    <w:p>
      <w:pPr>
        <w:pStyle w:val="GesAbsatz"/>
      </w:pPr>
      <w:r>
        <w:t>Bericht-Nr.: 1701628.20 vom 9. Oktober 2012</w:t>
      </w:r>
    </w:p>
    <w:p>
      <w:pPr>
        <w:pStyle w:val="GesAbsatz"/>
        <w:rPr>
          <w:b/>
        </w:rPr>
      </w:pPr>
      <w:r>
        <w:rPr>
          <w:b/>
        </w:rPr>
        <w:t>5.6</w:t>
      </w:r>
      <w:r>
        <w:rPr>
          <w:b/>
        </w:rPr>
        <w:tab/>
        <w:t>Zentraleinheit LDS 6 7MB6121 für NH</w:t>
      </w:r>
      <w:r>
        <w:rPr>
          <w:b/>
          <w:vertAlign w:val="subscript"/>
        </w:rPr>
        <w:t>3</w:t>
      </w:r>
      <w:r>
        <w:rPr>
          <w:b/>
        </w:rPr>
        <w:t>/H</w:t>
      </w:r>
      <w:r>
        <w:rPr>
          <w:b/>
          <w:vertAlign w:val="subscript"/>
        </w:rPr>
        <w:t>2</w:t>
      </w:r>
      <w:r>
        <w:rPr>
          <w:b/>
        </w:rPr>
        <w:t>O, Sensor 7MB6122</w:t>
      </w:r>
    </w:p>
    <w:p>
      <w:pPr>
        <w:pStyle w:val="GesAbsatz"/>
      </w:pPr>
      <w:r>
        <w:t>Hersteller:</w:t>
      </w:r>
    </w:p>
    <w:p>
      <w:pPr>
        <w:pStyle w:val="GesAbsatz"/>
      </w:pPr>
      <w:r>
        <w:t>Siemens AG, Karlsruhe</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95"/>
        <w:gridCol w:w="1564"/>
        <w:gridCol w:w="1560"/>
        <w:gridCol w:w="1668"/>
      </w:tblGrid>
      <w:tr>
        <w:tc>
          <w:tcPr>
            <w:tcW w:w="2093" w:type="dxa"/>
            <w:shd w:val="clear" w:color="auto" w:fill="auto"/>
          </w:tcPr>
          <w:p>
            <w:pPr>
              <w:pStyle w:val="GesAbsatz"/>
              <w:tabs>
                <w:tab w:val="clear" w:pos="425"/>
              </w:tabs>
              <w:jc w:val="center"/>
            </w:pPr>
            <w:r>
              <w:t>Komponente</w:t>
            </w:r>
          </w:p>
        </w:tc>
        <w:tc>
          <w:tcPr>
            <w:tcW w:w="2295" w:type="dxa"/>
            <w:shd w:val="clear" w:color="auto" w:fill="auto"/>
          </w:tcPr>
          <w:p>
            <w:pPr>
              <w:pStyle w:val="GesAbsatz"/>
              <w:tabs>
                <w:tab w:val="clear" w:pos="425"/>
              </w:tabs>
              <w:jc w:val="center"/>
            </w:pPr>
            <w:r>
              <w:t>Zertifizierungsbereich</w:t>
            </w:r>
          </w:p>
        </w:tc>
        <w:tc>
          <w:tcPr>
            <w:tcW w:w="3124" w:type="dxa"/>
            <w:gridSpan w:val="2"/>
            <w:shd w:val="clear" w:color="auto" w:fill="auto"/>
          </w:tcPr>
          <w:p>
            <w:pPr>
              <w:pStyle w:val="GesAbsatz"/>
              <w:tabs>
                <w:tab w:val="clear" w:pos="425"/>
              </w:tabs>
              <w:jc w:val="center"/>
            </w:pPr>
            <w:r>
              <w:t>zusätzliche Messbereiche</w:t>
            </w:r>
          </w:p>
        </w:tc>
        <w:tc>
          <w:tcPr>
            <w:tcW w:w="1668" w:type="dxa"/>
            <w:shd w:val="clear" w:color="auto" w:fill="auto"/>
          </w:tcPr>
          <w:p>
            <w:pPr>
              <w:pStyle w:val="GesAbsatz"/>
              <w:tabs>
                <w:tab w:val="clear" w:pos="425"/>
              </w:tabs>
              <w:jc w:val="center"/>
            </w:pPr>
            <w:r>
              <w:t>Einheit</w:t>
            </w:r>
          </w:p>
        </w:tc>
      </w:tr>
      <w:tr>
        <w:tc>
          <w:tcPr>
            <w:tcW w:w="2093" w:type="dxa"/>
            <w:shd w:val="clear" w:color="auto" w:fill="auto"/>
          </w:tcPr>
          <w:p>
            <w:pPr>
              <w:pStyle w:val="GesAbsatz"/>
              <w:tabs>
                <w:tab w:val="clear" w:pos="425"/>
              </w:tabs>
              <w:rPr>
                <w:vertAlign w:val="subscript"/>
              </w:rPr>
            </w:pPr>
            <w:r>
              <w:t>NH</w:t>
            </w:r>
            <w:r>
              <w:rPr>
                <w:vertAlign w:val="subscript"/>
              </w:rPr>
              <w:t>3</w:t>
            </w:r>
          </w:p>
        </w:tc>
        <w:tc>
          <w:tcPr>
            <w:tcW w:w="2295" w:type="dxa"/>
            <w:shd w:val="clear" w:color="auto" w:fill="auto"/>
          </w:tcPr>
          <w:p>
            <w:pPr>
              <w:pStyle w:val="GesAbsatz"/>
              <w:tabs>
                <w:tab w:val="clear" w:pos="425"/>
              </w:tabs>
              <w:jc w:val="center"/>
            </w:pPr>
            <w:r>
              <w:t>0 – 20</w:t>
            </w:r>
          </w:p>
        </w:tc>
        <w:tc>
          <w:tcPr>
            <w:tcW w:w="1564" w:type="dxa"/>
            <w:shd w:val="clear" w:color="auto" w:fill="auto"/>
          </w:tcPr>
          <w:p>
            <w:pPr>
              <w:pStyle w:val="GesAbsatz"/>
              <w:tabs>
                <w:tab w:val="clear" w:pos="425"/>
              </w:tabs>
              <w:jc w:val="center"/>
            </w:pPr>
            <w:r>
              <w:t>0 – 76</w:t>
            </w:r>
          </w:p>
        </w:tc>
        <w:tc>
          <w:tcPr>
            <w:tcW w:w="1560" w:type="dxa"/>
            <w:shd w:val="clear" w:color="auto" w:fill="auto"/>
          </w:tcPr>
          <w:p>
            <w:pPr>
              <w:pStyle w:val="GesAbsatz"/>
              <w:tabs>
                <w:tab w:val="clear" w:pos="425"/>
              </w:tabs>
              <w:jc w:val="center"/>
            </w:pPr>
            <w:r>
              <w:t>0 – 380</w:t>
            </w:r>
          </w:p>
        </w:tc>
        <w:tc>
          <w:tcPr>
            <w:tcW w:w="1668" w:type="dxa"/>
            <w:shd w:val="clear" w:color="auto" w:fill="auto"/>
          </w:tcPr>
          <w:p>
            <w:pPr>
              <w:pStyle w:val="GesAbsatz"/>
              <w:tabs>
                <w:tab w:val="clear" w:pos="425"/>
              </w:tabs>
              <w:jc w:val="center"/>
            </w:pPr>
            <w:r>
              <w:t>mg/m</w:t>
            </w:r>
            <w:r>
              <w:rPr>
                <w:vertAlign w:val="superscript"/>
              </w:rPr>
              <w:t>3</w:t>
            </w:r>
          </w:p>
        </w:tc>
      </w:tr>
      <w:tr>
        <w:tc>
          <w:tcPr>
            <w:tcW w:w="2093" w:type="dxa"/>
            <w:shd w:val="clear" w:color="auto" w:fill="auto"/>
          </w:tcPr>
          <w:p>
            <w:pPr>
              <w:pStyle w:val="GesAbsatz"/>
              <w:tabs>
                <w:tab w:val="clear" w:pos="425"/>
              </w:tabs>
            </w:pPr>
            <w:r>
              <w:t>H</w:t>
            </w:r>
            <w:r>
              <w:rPr>
                <w:vertAlign w:val="subscript"/>
              </w:rPr>
              <w:t>2</w:t>
            </w:r>
            <w:r>
              <w:t>O</w:t>
            </w:r>
          </w:p>
        </w:tc>
        <w:tc>
          <w:tcPr>
            <w:tcW w:w="2295" w:type="dxa"/>
            <w:shd w:val="clear" w:color="auto" w:fill="auto"/>
          </w:tcPr>
          <w:p>
            <w:pPr>
              <w:pStyle w:val="GesAbsatz"/>
              <w:tabs>
                <w:tab w:val="clear" w:pos="425"/>
              </w:tabs>
              <w:jc w:val="center"/>
            </w:pPr>
            <w:r>
              <w:t>0 – 30</w:t>
            </w:r>
          </w:p>
        </w:tc>
        <w:tc>
          <w:tcPr>
            <w:tcW w:w="1564" w:type="dxa"/>
            <w:shd w:val="clear" w:color="auto" w:fill="auto"/>
          </w:tcPr>
          <w:p>
            <w:pPr>
              <w:pStyle w:val="GesAbsatz"/>
              <w:tabs>
                <w:tab w:val="clear" w:pos="425"/>
              </w:tabs>
              <w:jc w:val="center"/>
            </w:pPr>
            <w:r>
              <w:t>0 – 40</w:t>
            </w:r>
          </w:p>
        </w:tc>
        <w:tc>
          <w:tcPr>
            <w:tcW w:w="1560" w:type="dxa"/>
            <w:shd w:val="clear" w:color="auto" w:fill="auto"/>
          </w:tcPr>
          <w:p>
            <w:pPr>
              <w:pStyle w:val="GesAbsatz"/>
              <w:tabs>
                <w:tab w:val="clear" w:pos="425"/>
              </w:tabs>
              <w:jc w:val="center"/>
            </w:pPr>
            <w:r>
              <w:t>–</w:t>
            </w:r>
          </w:p>
        </w:tc>
        <w:tc>
          <w:tcPr>
            <w:tcW w:w="1668" w:type="dxa"/>
            <w:shd w:val="clear" w:color="auto" w:fill="auto"/>
          </w:tcPr>
          <w:p>
            <w:pPr>
              <w:pStyle w:val="GesAbsatz"/>
              <w:tabs>
                <w:tab w:val="clear" w:pos="425"/>
              </w:tabs>
              <w:jc w:val="center"/>
            </w:pPr>
            <w:r>
              <w:t>Vol.-%</w:t>
            </w:r>
          </w:p>
        </w:tc>
      </w:tr>
    </w:tbl>
    <w:p>
      <w:pPr>
        <w:pStyle w:val="GesAbsatz"/>
      </w:pPr>
      <w:r>
        <w:t>Diese Messbereiche entsprechen bei einer Messweglänge von 1,25 m und für H</w:t>
      </w:r>
      <w:r>
        <w:rPr>
          <w:vertAlign w:val="subscript"/>
        </w:rPr>
        <w:t>2</w:t>
      </w:r>
      <w:r>
        <w:t>O folgenden Produkten aus der Konzentration der Messkomponente und der optischen Weglänge: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97"/>
        <w:gridCol w:w="1530"/>
        <w:gridCol w:w="1559"/>
        <w:gridCol w:w="1701"/>
      </w:tblGrid>
      <w:tr>
        <w:tc>
          <w:tcPr>
            <w:tcW w:w="2093" w:type="dxa"/>
            <w:shd w:val="clear" w:color="auto" w:fill="auto"/>
          </w:tcPr>
          <w:p>
            <w:pPr>
              <w:pStyle w:val="GesAbsatz"/>
              <w:tabs>
                <w:tab w:val="clear" w:pos="425"/>
              </w:tabs>
              <w:jc w:val="center"/>
            </w:pPr>
            <w:r>
              <w:t>Komponente</w:t>
            </w:r>
          </w:p>
        </w:tc>
        <w:tc>
          <w:tcPr>
            <w:tcW w:w="2297" w:type="dxa"/>
            <w:shd w:val="clear" w:color="auto" w:fill="auto"/>
          </w:tcPr>
          <w:p>
            <w:pPr>
              <w:pStyle w:val="GesAbsatz"/>
              <w:tabs>
                <w:tab w:val="clear" w:pos="425"/>
              </w:tabs>
              <w:jc w:val="center"/>
            </w:pPr>
            <w:r>
              <w:t>Zertifizierungsbereich</w:t>
            </w:r>
          </w:p>
        </w:tc>
        <w:tc>
          <w:tcPr>
            <w:tcW w:w="3089" w:type="dxa"/>
            <w:gridSpan w:val="2"/>
            <w:shd w:val="clear" w:color="auto" w:fill="auto"/>
          </w:tcPr>
          <w:p>
            <w:pPr>
              <w:pStyle w:val="GesAbsatz"/>
              <w:tabs>
                <w:tab w:val="clear" w:pos="425"/>
              </w:tabs>
              <w:jc w:val="center"/>
            </w:pPr>
            <w:r>
              <w:t>zusätzliche Messbereiche</w:t>
            </w:r>
          </w:p>
        </w:tc>
        <w:tc>
          <w:tcPr>
            <w:tcW w:w="1701" w:type="dxa"/>
            <w:shd w:val="clear" w:color="auto" w:fill="auto"/>
          </w:tcPr>
          <w:p>
            <w:pPr>
              <w:pStyle w:val="GesAbsatz"/>
              <w:tabs>
                <w:tab w:val="clear" w:pos="425"/>
              </w:tabs>
              <w:jc w:val="center"/>
            </w:pPr>
            <w:r>
              <w:t>Einheit</w:t>
            </w:r>
          </w:p>
        </w:tc>
      </w:tr>
      <w:tr>
        <w:tc>
          <w:tcPr>
            <w:tcW w:w="2093" w:type="dxa"/>
            <w:shd w:val="clear" w:color="auto" w:fill="auto"/>
          </w:tcPr>
          <w:p>
            <w:pPr>
              <w:pStyle w:val="GesAbsatz"/>
              <w:tabs>
                <w:tab w:val="clear" w:pos="425"/>
              </w:tabs>
              <w:rPr>
                <w:vertAlign w:val="subscript"/>
              </w:rPr>
            </w:pPr>
            <w:r>
              <w:t>NH</w:t>
            </w:r>
            <w:r>
              <w:rPr>
                <w:vertAlign w:val="subscript"/>
              </w:rPr>
              <w:t>3</w:t>
            </w:r>
          </w:p>
        </w:tc>
        <w:tc>
          <w:tcPr>
            <w:tcW w:w="2297" w:type="dxa"/>
            <w:shd w:val="clear" w:color="auto" w:fill="auto"/>
          </w:tcPr>
          <w:p>
            <w:pPr>
              <w:pStyle w:val="GesAbsatz"/>
              <w:tabs>
                <w:tab w:val="clear" w:pos="425"/>
              </w:tabs>
              <w:jc w:val="center"/>
            </w:pPr>
            <w:r>
              <w:t>0 – 25</w:t>
            </w:r>
          </w:p>
        </w:tc>
        <w:tc>
          <w:tcPr>
            <w:tcW w:w="1530" w:type="dxa"/>
            <w:shd w:val="clear" w:color="auto" w:fill="auto"/>
          </w:tcPr>
          <w:p>
            <w:pPr>
              <w:pStyle w:val="GesAbsatz"/>
              <w:tabs>
                <w:tab w:val="clear" w:pos="425"/>
              </w:tabs>
              <w:jc w:val="center"/>
            </w:pPr>
            <w:r>
              <w:t>0 – 95</w:t>
            </w:r>
          </w:p>
        </w:tc>
        <w:tc>
          <w:tcPr>
            <w:tcW w:w="1559" w:type="dxa"/>
            <w:shd w:val="clear" w:color="auto" w:fill="auto"/>
          </w:tcPr>
          <w:p>
            <w:pPr>
              <w:pStyle w:val="GesAbsatz"/>
              <w:tabs>
                <w:tab w:val="clear" w:pos="425"/>
              </w:tabs>
              <w:jc w:val="center"/>
            </w:pPr>
            <w:r>
              <w:t>0 – 475</w:t>
            </w:r>
          </w:p>
        </w:tc>
        <w:tc>
          <w:tcPr>
            <w:tcW w:w="1701" w:type="dxa"/>
            <w:shd w:val="clear" w:color="auto" w:fill="auto"/>
          </w:tcPr>
          <w:p>
            <w:pPr>
              <w:pStyle w:val="GesAbsatz"/>
              <w:tabs>
                <w:tab w:val="clear" w:pos="425"/>
              </w:tabs>
              <w:jc w:val="center"/>
            </w:pPr>
            <w:r>
              <w:t>mg/m</w:t>
            </w:r>
            <w:r>
              <w:rPr>
                <w:vertAlign w:val="superscript"/>
              </w:rPr>
              <w:t>3</w:t>
            </w:r>
            <w:r>
              <w:t xml:space="preserve"> x m</w:t>
            </w:r>
          </w:p>
        </w:tc>
      </w:tr>
      <w:tr>
        <w:tc>
          <w:tcPr>
            <w:tcW w:w="2093" w:type="dxa"/>
            <w:shd w:val="clear" w:color="auto" w:fill="auto"/>
          </w:tcPr>
          <w:p>
            <w:pPr>
              <w:pStyle w:val="GesAbsatz"/>
              <w:tabs>
                <w:tab w:val="clear" w:pos="425"/>
              </w:tabs>
            </w:pPr>
            <w:r>
              <w:t>H</w:t>
            </w:r>
            <w:r>
              <w:rPr>
                <w:vertAlign w:val="subscript"/>
              </w:rPr>
              <w:t>2</w:t>
            </w:r>
            <w:r>
              <w:t>O</w:t>
            </w:r>
          </w:p>
        </w:tc>
        <w:tc>
          <w:tcPr>
            <w:tcW w:w="2297" w:type="dxa"/>
            <w:shd w:val="clear" w:color="auto" w:fill="auto"/>
          </w:tcPr>
          <w:p>
            <w:pPr>
              <w:pStyle w:val="GesAbsatz"/>
              <w:tabs>
                <w:tab w:val="clear" w:pos="425"/>
              </w:tabs>
              <w:jc w:val="center"/>
            </w:pPr>
            <w:r>
              <w:t>0 – 37,5</w:t>
            </w:r>
          </w:p>
        </w:tc>
        <w:tc>
          <w:tcPr>
            <w:tcW w:w="1530" w:type="dxa"/>
            <w:shd w:val="clear" w:color="auto" w:fill="auto"/>
          </w:tcPr>
          <w:p>
            <w:pPr>
              <w:pStyle w:val="GesAbsatz"/>
              <w:tabs>
                <w:tab w:val="clear" w:pos="425"/>
              </w:tabs>
              <w:jc w:val="center"/>
            </w:pPr>
            <w:r>
              <w:t>0 – 50,0</w:t>
            </w:r>
          </w:p>
        </w:tc>
        <w:tc>
          <w:tcPr>
            <w:tcW w:w="1559" w:type="dxa"/>
            <w:shd w:val="clear" w:color="auto" w:fill="auto"/>
          </w:tcPr>
          <w:p>
            <w:pPr>
              <w:pStyle w:val="GesAbsatz"/>
              <w:tabs>
                <w:tab w:val="clear" w:pos="425"/>
              </w:tabs>
              <w:jc w:val="center"/>
            </w:pPr>
            <w:r>
              <w:t>–</w:t>
            </w:r>
          </w:p>
        </w:tc>
        <w:tc>
          <w:tcPr>
            <w:tcW w:w="1701" w:type="dxa"/>
            <w:shd w:val="clear" w:color="auto" w:fill="auto"/>
          </w:tcPr>
          <w:p>
            <w:pPr>
              <w:pStyle w:val="GesAbsatz"/>
              <w:tabs>
                <w:tab w:val="clear" w:pos="425"/>
              </w:tabs>
              <w:jc w:val="center"/>
            </w:pPr>
            <w:r>
              <w:t>Vol.-% x m</w:t>
            </w:r>
          </w:p>
        </w:tc>
      </w:tr>
    </w:tbl>
    <w:p>
      <w:pPr>
        <w:pStyle w:val="GesAbsatz"/>
      </w:pPr>
      <w:r>
        <w:t>Softwareversion: R25</w:t>
      </w:r>
    </w:p>
    <w:p>
      <w:pPr>
        <w:pStyle w:val="GesAbsatz"/>
      </w:pPr>
      <w:r>
        <w:t>Einschränkung:</w:t>
      </w:r>
    </w:p>
    <w:p>
      <w:pPr>
        <w:pStyle w:val="GesAbsatz"/>
      </w:pPr>
      <w:r>
        <w:lastRenderedPageBreak/>
        <w:t>Die Gehäuseschutzklasse für die Zentraleinheit beträgt lediglich IP 20. Sollten die Einsatzbedingungen eine höhere Gehäuseschutzklasse erfordern, so ist die Zentraleinheit in einem Messschrank mit entsprechender Schutzklasse zu integrieren.</w:t>
      </w:r>
    </w:p>
    <w:p>
      <w:pPr>
        <w:pStyle w:val="GesAbsatz"/>
      </w:pPr>
      <w:r>
        <w:t>Hinweise:</w:t>
      </w:r>
    </w:p>
    <w:p>
      <w:pPr>
        <w:pStyle w:val="GesAbsatz"/>
        <w:ind w:left="426" w:hanging="426"/>
      </w:pPr>
      <w:r>
        <w:t>1.</w:t>
      </w:r>
      <w:r>
        <w:tab/>
        <w:t xml:space="preserve">Für die Messeinrichtungen in der </w:t>
      </w:r>
      <w:proofErr w:type="spellStart"/>
      <w:r>
        <w:t>Einkomponentenausführung</w:t>
      </w:r>
      <w:proofErr w:type="spellEnd"/>
      <w:r>
        <w:t xml:space="preserve"> LDS 6 NH</w:t>
      </w:r>
      <w:r>
        <w:rPr>
          <w:vertAlign w:val="subscript"/>
        </w:rPr>
        <w:t>3</w:t>
      </w:r>
      <w:r>
        <w:t xml:space="preserve"> und LDS 6 H</w:t>
      </w:r>
      <w:r>
        <w:rPr>
          <w:vertAlign w:val="subscript"/>
        </w:rPr>
        <w:t>2</w:t>
      </w:r>
      <w:r>
        <w:t>O werden die Mindestanforderungen ebenfalls eingehalten. Die eignungsgeprüfte Gerätekonfiguration ist unter folgenden Bezeichnungen erhältlich: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100"/>
      </w:tblGrid>
      <w:tr>
        <w:tc>
          <w:tcPr>
            <w:tcW w:w="3369" w:type="dxa"/>
            <w:shd w:val="clear" w:color="auto" w:fill="auto"/>
          </w:tcPr>
          <w:p>
            <w:pPr>
              <w:pStyle w:val="GesAbsatz"/>
              <w:tabs>
                <w:tab w:val="clear" w:pos="425"/>
              </w:tabs>
              <w:jc w:val="center"/>
            </w:pPr>
            <w:r>
              <w:t>Gerätebezeichnung</w:t>
            </w:r>
          </w:p>
        </w:tc>
        <w:tc>
          <w:tcPr>
            <w:tcW w:w="4100" w:type="dxa"/>
            <w:tcBorders>
              <w:bottom w:val="single" w:sz="4" w:space="0" w:color="auto"/>
            </w:tcBorders>
            <w:shd w:val="clear" w:color="auto" w:fill="auto"/>
          </w:tcPr>
          <w:p>
            <w:pPr>
              <w:pStyle w:val="GesAbsatz"/>
              <w:tabs>
                <w:tab w:val="clear" w:pos="425"/>
              </w:tabs>
              <w:jc w:val="center"/>
            </w:pPr>
            <w:r>
              <w:t>Messbereiche</w:t>
            </w:r>
          </w:p>
        </w:tc>
      </w:tr>
      <w:tr>
        <w:tc>
          <w:tcPr>
            <w:tcW w:w="3369" w:type="dxa"/>
            <w:vMerge w:val="restart"/>
            <w:shd w:val="clear" w:color="auto" w:fill="auto"/>
          </w:tcPr>
          <w:p>
            <w:pPr>
              <w:pStyle w:val="GesAbsatz"/>
              <w:tabs>
                <w:tab w:val="clear" w:pos="425"/>
              </w:tabs>
            </w:pPr>
            <w:r>
              <w:t>7 MB 6121 – 0DT</w:t>
            </w:r>
          </w:p>
        </w:tc>
        <w:tc>
          <w:tcPr>
            <w:tcW w:w="4100" w:type="dxa"/>
            <w:tcBorders>
              <w:bottom w:val="nil"/>
            </w:tcBorders>
            <w:shd w:val="clear" w:color="auto" w:fill="auto"/>
          </w:tcPr>
          <w:p>
            <w:pPr>
              <w:pStyle w:val="GesAbsatz"/>
              <w:tabs>
                <w:tab w:val="clear" w:pos="425"/>
              </w:tabs>
              <w:jc w:val="center"/>
            </w:pPr>
            <w:r>
              <w:t>0 – 20 mg/m</w:t>
            </w:r>
            <w:r>
              <w:rPr>
                <w:vertAlign w:val="superscript"/>
              </w:rPr>
              <w:t>3</w:t>
            </w:r>
            <w:r>
              <w:t xml:space="preserve"> NH</w:t>
            </w:r>
            <w:r>
              <w:rPr>
                <w:vertAlign w:val="subscript"/>
              </w:rPr>
              <w:t>3</w:t>
            </w:r>
          </w:p>
        </w:tc>
      </w:tr>
      <w:tr>
        <w:tc>
          <w:tcPr>
            <w:tcW w:w="3369" w:type="dxa"/>
            <w:vMerge/>
            <w:shd w:val="clear" w:color="auto" w:fill="auto"/>
          </w:tcPr>
          <w:p>
            <w:pPr>
              <w:pStyle w:val="GesAbsatz"/>
              <w:tabs>
                <w:tab w:val="clear" w:pos="425"/>
              </w:tabs>
            </w:pPr>
          </w:p>
        </w:tc>
        <w:tc>
          <w:tcPr>
            <w:tcW w:w="4100" w:type="dxa"/>
            <w:tcBorders>
              <w:top w:val="nil"/>
              <w:bottom w:val="nil"/>
            </w:tcBorders>
            <w:shd w:val="clear" w:color="auto" w:fill="auto"/>
          </w:tcPr>
          <w:p>
            <w:pPr>
              <w:pStyle w:val="GesAbsatz"/>
              <w:tabs>
                <w:tab w:val="clear" w:pos="425"/>
              </w:tabs>
              <w:jc w:val="center"/>
            </w:pPr>
            <w:r>
              <w:t>0 – 76/0 – 380 mg/m</w:t>
            </w:r>
            <w:r>
              <w:rPr>
                <w:vertAlign w:val="superscript"/>
              </w:rPr>
              <w:t>3</w:t>
            </w:r>
            <w:r>
              <w:t xml:space="preserve"> NH</w:t>
            </w:r>
            <w:r>
              <w:rPr>
                <w:vertAlign w:val="subscript"/>
              </w:rPr>
              <w:t>3</w:t>
            </w:r>
          </w:p>
        </w:tc>
      </w:tr>
      <w:tr>
        <w:tc>
          <w:tcPr>
            <w:tcW w:w="3369" w:type="dxa"/>
            <w:vMerge/>
            <w:shd w:val="clear" w:color="auto" w:fill="auto"/>
          </w:tcPr>
          <w:p>
            <w:pPr>
              <w:pStyle w:val="GesAbsatz"/>
              <w:tabs>
                <w:tab w:val="clear" w:pos="425"/>
              </w:tabs>
            </w:pPr>
          </w:p>
        </w:tc>
        <w:tc>
          <w:tcPr>
            <w:tcW w:w="4100" w:type="dxa"/>
            <w:tcBorders>
              <w:top w:val="nil"/>
              <w:bottom w:val="single" w:sz="4" w:space="0" w:color="auto"/>
            </w:tcBorders>
            <w:shd w:val="clear" w:color="auto" w:fill="auto"/>
          </w:tcPr>
          <w:p>
            <w:pPr>
              <w:pStyle w:val="GesAbsatz"/>
              <w:tabs>
                <w:tab w:val="clear" w:pos="425"/>
              </w:tabs>
              <w:jc w:val="center"/>
            </w:pPr>
            <w:r>
              <w:t>0 – 30/0 – 40 Vol.-% H</w:t>
            </w:r>
            <w:r>
              <w:rPr>
                <w:vertAlign w:val="subscript"/>
              </w:rPr>
              <w:t>2</w:t>
            </w:r>
            <w:r>
              <w:t>O</w:t>
            </w:r>
          </w:p>
        </w:tc>
      </w:tr>
      <w:tr>
        <w:tc>
          <w:tcPr>
            <w:tcW w:w="3369" w:type="dxa"/>
            <w:vMerge w:val="restart"/>
            <w:shd w:val="clear" w:color="auto" w:fill="auto"/>
          </w:tcPr>
          <w:p>
            <w:pPr>
              <w:pStyle w:val="GesAbsatz"/>
              <w:tabs>
                <w:tab w:val="clear" w:pos="425"/>
              </w:tabs>
            </w:pPr>
            <w:r>
              <w:t>7 MB 6121 – 0CT</w:t>
            </w:r>
          </w:p>
        </w:tc>
        <w:tc>
          <w:tcPr>
            <w:tcW w:w="4100" w:type="dxa"/>
            <w:tcBorders>
              <w:bottom w:val="nil"/>
            </w:tcBorders>
            <w:shd w:val="clear" w:color="auto" w:fill="auto"/>
          </w:tcPr>
          <w:p>
            <w:pPr>
              <w:pStyle w:val="GesAbsatz"/>
              <w:tabs>
                <w:tab w:val="clear" w:pos="425"/>
              </w:tabs>
              <w:jc w:val="center"/>
            </w:pPr>
            <w:r>
              <w:t>0 – 20 mg/m</w:t>
            </w:r>
            <w:r>
              <w:rPr>
                <w:vertAlign w:val="superscript"/>
              </w:rPr>
              <w:t>3</w:t>
            </w:r>
            <w:r>
              <w:t xml:space="preserve"> NH</w:t>
            </w:r>
            <w:r>
              <w:rPr>
                <w:vertAlign w:val="subscript"/>
              </w:rPr>
              <w:t>3</w:t>
            </w:r>
          </w:p>
        </w:tc>
      </w:tr>
      <w:tr>
        <w:tc>
          <w:tcPr>
            <w:tcW w:w="3369" w:type="dxa"/>
            <w:vMerge/>
            <w:shd w:val="clear" w:color="auto" w:fill="auto"/>
          </w:tcPr>
          <w:p>
            <w:pPr>
              <w:pStyle w:val="GesAbsatz"/>
              <w:tabs>
                <w:tab w:val="clear" w:pos="425"/>
              </w:tabs>
            </w:pPr>
          </w:p>
        </w:tc>
        <w:tc>
          <w:tcPr>
            <w:tcW w:w="4100" w:type="dxa"/>
            <w:tcBorders>
              <w:top w:val="nil"/>
            </w:tcBorders>
            <w:shd w:val="clear" w:color="auto" w:fill="auto"/>
          </w:tcPr>
          <w:p>
            <w:pPr>
              <w:pStyle w:val="GesAbsatz"/>
              <w:tabs>
                <w:tab w:val="clear" w:pos="425"/>
              </w:tabs>
              <w:jc w:val="center"/>
            </w:pPr>
            <w:r>
              <w:t>0 – 76/0 – 380 mg/m</w:t>
            </w:r>
            <w:r>
              <w:rPr>
                <w:vertAlign w:val="superscript"/>
              </w:rPr>
              <w:t>3</w:t>
            </w:r>
            <w:r>
              <w:t xml:space="preserve"> NH</w:t>
            </w:r>
            <w:r>
              <w:rPr>
                <w:vertAlign w:val="subscript"/>
              </w:rPr>
              <w:t>3</w:t>
            </w:r>
          </w:p>
        </w:tc>
      </w:tr>
      <w:tr>
        <w:tc>
          <w:tcPr>
            <w:tcW w:w="3369" w:type="dxa"/>
            <w:tcBorders>
              <w:bottom w:val="single" w:sz="4" w:space="0" w:color="auto"/>
            </w:tcBorders>
            <w:shd w:val="clear" w:color="auto" w:fill="auto"/>
          </w:tcPr>
          <w:p>
            <w:pPr>
              <w:pStyle w:val="GesAbsatz"/>
              <w:tabs>
                <w:tab w:val="clear" w:pos="425"/>
              </w:tabs>
            </w:pPr>
            <w:r>
              <w:t>7 MB 6121 – 0MT</w:t>
            </w:r>
          </w:p>
        </w:tc>
        <w:tc>
          <w:tcPr>
            <w:tcW w:w="4100" w:type="dxa"/>
            <w:shd w:val="clear" w:color="auto" w:fill="auto"/>
          </w:tcPr>
          <w:p>
            <w:pPr>
              <w:pStyle w:val="GesAbsatz"/>
              <w:tabs>
                <w:tab w:val="clear" w:pos="425"/>
              </w:tabs>
              <w:jc w:val="center"/>
            </w:pPr>
            <w:r>
              <w:t>0 – 30/0 – 40 Vol.-% H</w:t>
            </w:r>
            <w:r>
              <w:rPr>
                <w:vertAlign w:val="subscript"/>
              </w:rPr>
              <w:t>2</w:t>
            </w:r>
            <w:r>
              <w:t>O</w:t>
            </w:r>
          </w:p>
        </w:tc>
      </w:tr>
      <w:tr>
        <w:tc>
          <w:tcPr>
            <w:tcW w:w="3369" w:type="dxa"/>
            <w:tcBorders>
              <w:bottom w:val="nil"/>
            </w:tcBorders>
            <w:shd w:val="clear" w:color="auto" w:fill="auto"/>
          </w:tcPr>
          <w:p>
            <w:pPr>
              <w:pStyle w:val="GesAbsatz"/>
              <w:tabs>
                <w:tab w:val="clear" w:pos="425"/>
              </w:tabs>
            </w:pPr>
            <w:r>
              <w:t>Sensoreinheit</w:t>
            </w:r>
          </w:p>
        </w:tc>
        <w:tc>
          <w:tcPr>
            <w:tcW w:w="4100" w:type="dxa"/>
            <w:vMerge w:val="restart"/>
            <w:shd w:val="clear" w:color="auto" w:fill="auto"/>
          </w:tcPr>
          <w:p>
            <w:pPr>
              <w:pStyle w:val="GesAbsatz"/>
              <w:tabs>
                <w:tab w:val="clear" w:pos="425"/>
              </w:tabs>
              <w:jc w:val="center"/>
            </w:pPr>
          </w:p>
        </w:tc>
      </w:tr>
      <w:tr>
        <w:tc>
          <w:tcPr>
            <w:tcW w:w="3369" w:type="dxa"/>
            <w:tcBorders>
              <w:top w:val="nil"/>
            </w:tcBorders>
            <w:shd w:val="clear" w:color="auto" w:fill="auto"/>
          </w:tcPr>
          <w:p>
            <w:pPr>
              <w:pStyle w:val="GesAbsatz"/>
              <w:tabs>
                <w:tab w:val="clear" w:pos="425"/>
              </w:tabs>
            </w:pPr>
            <w:r>
              <w:t>7 MB 6122 – 0W</w:t>
            </w:r>
          </w:p>
        </w:tc>
        <w:tc>
          <w:tcPr>
            <w:tcW w:w="4100" w:type="dxa"/>
            <w:vMerge/>
            <w:shd w:val="clear" w:color="auto" w:fill="auto"/>
          </w:tcPr>
          <w:p>
            <w:pPr>
              <w:pStyle w:val="GesAbsatz"/>
              <w:tabs>
                <w:tab w:val="clear" w:pos="425"/>
              </w:tabs>
              <w:jc w:val="center"/>
            </w:pPr>
          </w:p>
        </w:tc>
      </w:tr>
    </w:tbl>
    <w:p>
      <w:pPr>
        <w:pStyle w:val="GesAbsatz"/>
        <w:ind w:left="426" w:hanging="426"/>
      </w:pPr>
      <w:r>
        <w:t>2.</w:t>
      </w:r>
      <w:r>
        <w:tab/>
        <w:t>Zur Kompensation der Querempfindlichkeiten der NH</w:t>
      </w:r>
      <w:r>
        <w:rPr>
          <w:vertAlign w:val="subscript"/>
        </w:rPr>
        <w:t>3</w:t>
      </w:r>
      <w:r>
        <w:t>-Messung bezüglich O</w:t>
      </w:r>
      <w:r>
        <w:rPr>
          <w:vertAlign w:val="subscript"/>
        </w:rPr>
        <w:t>2</w:t>
      </w:r>
      <w:r>
        <w:t xml:space="preserve"> und CO</w:t>
      </w:r>
      <w:r>
        <w:rPr>
          <w:vertAlign w:val="subscript"/>
        </w:rPr>
        <w:t>2</w:t>
      </w:r>
      <w:r>
        <w:t xml:space="preserve"> sind die entsprechenden Parameter zur Kompensation am Gerät einzustellen.</w:t>
      </w:r>
    </w:p>
    <w:p>
      <w:pPr>
        <w:pStyle w:val="GesAbsatz"/>
        <w:ind w:left="426" w:hanging="426"/>
      </w:pPr>
      <w:r>
        <w:t>3.</w:t>
      </w:r>
      <w:r>
        <w:tab/>
        <w:t>Bei Verwendung des Kalibrier-Kit RC 3009 ist die dynamische Feuchtekorrektur zu deaktivieren.</w:t>
      </w:r>
    </w:p>
    <w:p>
      <w:pPr>
        <w:pStyle w:val="GesAbsatz"/>
        <w:ind w:left="426" w:hanging="426"/>
      </w:pPr>
      <w:r>
        <w:t>4.</w:t>
      </w:r>
      <w:r>
        <w:tab/>
        <w:t>Die Messeinrichtung muss mit einer Spülluftversorgung betrieben werden.</w:t>
      </w:r>
    </w:p>
    <w:p>
      <w:pPr>
        <w:pStyle w:val="GesAbsatz"/>
        <w:ind w:left="426" w:hanging="426"/>
      </w:pPr>
      <w:r>
        <w:t>5.</w:t>
      </w:r>
      <w:r>
        <w:tab/>
        <w:t>Der Messeinrichtung ist der Wert der Messgastemperatur und Messgasdruck zur Verfügung zu stellen. Dies kann als Analogsignal 4-20 mA erfolgen oder bei sehr konstanten Verhältnissen als Festwert parametriert werden.</w:t>
      </w:r>
    </w:p>
    <w:p>
      <w:pPr>
        <w:pStyle w:val="GesAbsatz"/>
        <w:ind w:left="426" w:hanging="426"/>
      </w:pPr>
      <w:r>
        <w:t>6.</w:t>
      </w:r>
      <w:r>
        <w:tab/>
        <w:t>Das Wartungsintervall beträgt zwei Wochen.</w:t>
      </w:r>
    </w:p>
    <w:p>
      <w:pPr>
        <w:pStyle w:val="GesAbsatz"/>
        <w:ind w:left="426" w:hanging="426"/>
      </w:pPr>
      <w:r>
        <w:t>7.</w:t>
      </w:r>
      <w:r>
        <w:tab/>
        <w:t>Die Null- und Referenzpunktdrifts für NH</w:t>
      </w:r>
      <w:r>
        <w:rPr>
          <w:vertAlign w:val="subscript"/>
        </w:rPr>
        <w:t>3</w:t>
      </w:r>
      <w:r>
        <w:t xml:space="preserve"> und H</w:t>
      </w:r>
      <w:r>
        <w:rPr>
          <w:vertAlign w:val="subscript"/>
        </w:rPr>
        <w:t>2</w:t>
      </w:r>
      <w:r>
        <w:t>O sind alle 9 Monate mit einer Justierhilfe zu überprüfen.</w:t>
      </w:r>
    </w:p>
    <w:p>
      <w:pPr>
        <w:pStyle w:val="GesAbsatz"/>
        <w:ind w:left="426" w:hanging="426"/>
      </w:pPr>
      <w:r>
        <w:t>8.</w:t>
      </w:r>
      <w:r>
        <w:tab/>
        <w:t>Die Alarmschwelle für die relative Transmission zur Störungsmeldung für Verschmutzung oder Dejustierung der Sensorköpfe ist auf mindestens 85 % einzustellen. (Die Abnahme der Transmission kann ein Hinweis auf Dejustierung sein.)</w:t>
      </w:r>
    </w:p>
    <w:p>
      <w:pPr>
        <w:pStyle w:val="GesAbsatz"/>
        <w:ind w:left="426" w:hanging="426"/>
      </w:pPr>
      <w:r>
        <w:t>9.</w:t>
      </w:r>
      <w:r>
        <w:tab/>
        <w:t>Ergänzungsprüfung (Überführung in die DIN EN 15267, zusätzliche Messbereiche) zu den Bekanntmachungen des Umweltbundesamtes vom 3. August 2009 (BAnz. S. 2929, Kapitel I Nummer 3.6) und vom 6. Juli 2012 (BAnz AT 20.07.2012 B11, Kapitel IV Mitteilung 29).</w:t>
      </w:r>
    </w:p>
    <w:p>
      <w:pPr>
        <w:pStyle w:val="GesAbsatz"/>
      </w:pPr>
      <w:r>
        <w:t>Prüfbericht: TÜV Süd Industrie Service GmbH, München</w:t>
      </w:r>
    </w:p>
    <w:p>
      <w:pPr>
        <w:pStyle w:val="GesAbsatz"/>
      </w:pPr>
      <w:r>
        <w:t>Bericht-Nr.: 1701628.10 vom 9. Oktober 2012</w:t>
      </w:r>
    </w:p>
    <w:p>
      <w:pPr>
        <w:pStyle w:val="GesAbsatz"/>
        <w:rPr>
          <w:b/>
        </w:rPr>
      </w:pPr>
      <w:r>
        <w:rPr>
          <w:b/>
        </w:rPr>
        <w:t>6</w:t>
      </w:r>
      <w:r>
        <w:rPr>
          <w:b/>
        </w:rPr>
        <w:tab/>
        <w:t>Messeinrichtungen mit modularem Aufbau</w:t>
      </w:r>
    </w:p>
    <w:p>
      <w:pPr>
        <w:pStyle w:val="GesAbsatz"/>
        <w:rPr>
          <w:b/>
          <w:lang w:val="en-US"/>
        </w:rPr>
      </w:pPr>
      <w:r>
        <w:rPr>
          <w:b/>
          <w:lang w:val="en-US"/>
        </w:rPr>
        <w:t>6.1</w:t>
      </w:r>
      <w:r>
        <w:rPr>
          <w:b/>
          <w:lang w:val="en-US"/>
        </w:rPr>
        <w:tab/>
        <w:t xml:space="preserve">Set CEM CERT 7MB1957 </w:t>
      </w:r>
      <w:proofErr w:type="spellStart"/>
      <w:r>
        <w:rPr>
          <w:b/>
          <w:lang w:val="en-US"/>
        </w:rPr>
        <w:t>für</w:t>
      </w:r>
      <w:proofErr w:type="spellEnd"/>
      <w:r>
        <w:rPr>
          <w:b/>
          <w:lang w:val="en-US"/>
        </w:rPr>
        <w:t xml:space="preserve"> CO, NO, SO</w:t>
      </w:r>
      <w:r>
        <w:rPr>
          <w:b/>
          <w:vertAlign w:val="subscript"/>
          <w:lang w:val="en-US"/>
        </w:rPr>
        <w:t>2</w:t>
      </w:r>
      <w:r>
        <w:rPr>
          <w:b/>
          <w:lang w:val="en-US"/>
        </w:rPr>
        <w:t xml:space="preserve"> und O</w:t>
      </w:r>
      <w:r>
        <w:rPr>
          <w:b/>
          <w:vertAlign w:val="subscript"/>
          <w:lang w:val="en-US"/>
        </w:rPr>
        <w:t>2</w:t>
      </w:r>
    </w:p>
    <w:p>
      <w:pPr>
        <w:pStyle w:val="GesAbsatz"/>
      </w:pPr>
      <w:r>
        <w:t>Hersteller:</w:t>
      </w:r>
    </w:p>
    <w:p>
      <w:pPr>
        <w:pStyle w:val="GesAbsatz"/>
      </w:pPr>
      <w:r>
        <w:t>Siemens AG, Karlsruhe</w:t>
      </w:r>
    </w:p>
    <w:p>
      <w:pPr>
        <w:pStyle w:val="GesAbsatz"/>
      </w:pPr>
      <w:r>
        <w:t>Eignung:</w:t>
      </w:r>
    </w:p>
    <w:p>
      <w:pPr>
        <w:pStyle w:val="GesAbsatz"/>
      </w:pPr>
      <w:r>
        <w:t>Für Anlagen der TA-Luft</w:t>
      </w:r>
    </w:p>
    <w:p>
      <w:pPr>
        <w:pStyle w:val="GesAbsatz"/>
      </w:pPr>
      <w:r>
        <w:t>Messbereiche in der Eignungsprüfung:</w:t>
      </w:r>
    </w:p>
    <w:p>
      <w:pPr>
        <w:pStyle w:val="GesAbsatz"/>
      </w:pPr>
      <w:r>
        <w:t>Die Eignungsprüfung umfasst folgende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02"/>
        <w:gridCol w:w="1711"/>
        <w:gridCol w:w="1712"/>
        <w:gridCol w:w="1712"/>
        <w:gridCol w:w="1718"/>
      </w:tblGrid>
      <w:tr>
        <w:tc>
          <w:tcPr>
            <w:tcW w:w="425" w:type="dxa"/>
            <w:shd w:val="clear" w:color="auto" w:fill="auto"/>
          </w:tcPr>
          <w:p>
            <w:pPr>
              <w:pStyle w:val="GesAbsatz"/>
              <w:tabs>
                <w:tab w:val="clear" w:pos="425"/>
              </w:tabs>
              <w:jc w:val="center"/>
            </w:pPr>
            <w:r>
              <w:t>Gerätevariante</w:t>
            </w:r>
          </w:p>
        </w:tc>
        <w:tc>
          <w:tcPr>
            <w:tcW w:w="1870" w:type="dxa"/>
            <w:shd w:val="clear" w:color="auto" w:fill="auto"/>
          </w:tcPr>
          <w:p>
            <w:pPr>
              <w:pStyle w:val="GesAbsatz"/>
              <w:tabs>
                <w:tab w:val="clear" w:pos="425"/>
              </w:tabs>
              <w:jc w:val="center"/>
            </w:pPr>
            <w:r>
              <w:t>Ultramat-Kennung</w:t>
            </w:r>
          </w:p>
        </w:tc>
        <w:tc>
          <w:tcPr>
            <w:tcW w:w="1870" w:type="dxa"/>
            <w:shd w:val="clear" w:color="auto" w:fill="auto"/>
          </w:tcPr>
          <w:p>
            <w:pPr>
              <w:pStyle w:val="GesAbsatz"/>
              <w:tabs>
                <w:tab w:val="clear" w:pos="425"/>
              </w:tabs>
              <w:jc w:val="center"/>
            </w:pPr>
            <w:r>
              <w:t>Komponente 1</w:t>
            </w:r>
          </w:p>
        </w:tc>
        <w:tc>
          <w:tcPr>
            <w:tcW w:w="1871" w:type="dxa"/>
            <w:shd w:val="clear" w:color="auto" w:fill="auto"/>
          </w:tcPr>
          <w:p>
            <w:pPr>
              <w:pStyle w:val="GesAbsatz"/>
              <w:tabs>
                <w:tab w:val="clear" w:pos="425"/>
              </w:tabs>
              <w:jc w:val="center"/>
            </w:pPr>
            <w:r>
              <w:t>Komponente 2</w:t>
            </w:r>
          </w:p>
        </w:tc>
        <w:tc>
          <w:tcPr>
            <w:tcW w:w="1871" w:type="dxa"/>
            <w:shd w:val="clear" w:color="auto" w:fill="auto"/>
          </w:tcPr>
          <w:p>
            <w:pPr>
              <w:pStyle w:val="GesAbsatz"/>
              <w:tabs>
                <w:tab w:val="clear" w:pos="425"/>
              </w:tabs>
              <w:jc w:val="center"/>
            </w:pPr>
            <w:r>
              <w:t>Komponente 3</w:t>
            </w:r>
          </w:p>
        </w:tc>
        <w:tc>
          <w:tcPr>
            <w:tcW w:w="1871" w:type="dxa"/>
            <w:shd w:val="clear" w:color="auto" w:fill="auto"/>
          </w:tcPr>
          <w:p>
            <w:pPr>
              <w:pStyle w:val="GesAbsatz"/>
              <w:tabs>
                <w:tab w:val="clear" w:pos="425"/>
              </w:tabs>
              <w:jc w:val="center"/>
            </w:pPr>
            <w:r>
              <w:t>Komponente 4</w:t>
            </w:r>
          </w:p>
        </w:tc>
      </w:tr>
      <w:tr>
        <w:tc>
          <w:tcPr>
            <w:tcW w:w="425" w:type="dxa"/>
            <w:shd w:val="clear" w:color="auto" w:fill="auto"/>
          </w:tcPr>
          <w:p>
            <w:pPr>
              <w:pStyle w:val="GesAbsatz"/>
              <w:tabs>
                <w:tab w:val="clear" w:pos="425"/>
              </w:tabs>
            </w:pPr>
            <w:r>
              <w:lastRenderedPageBreak/>
              <w:t>Ultramat 23-7MB2358</w:t>
            </w:r>
          </w:p>
        </w:tc>
        <w:tc>
          <w:tcPr>
            <w:tcW w:w="1870" w:type="dxa"/>
            <w:shd w:val="clear" w:color="auto" w:fill="auto"/>
          </w:tcPr>
          <w:p>
            <w:pPr>
              <w:pStyle w:val="GesAbsatz"/>
              <w:tabs>
                <w:tab w:val="clear" w:pos="425"/>
              </w:tabs>
              <w:jc w:val="center"/>
            </w:pPr>
            <w:r>
              <w:t>-Z-T13</w:t>
            </w:r>
          </w:p>
        </w:tc>
        <w:tc>
          <w:tcPr>
            <w:tcW w:w="1870" w:type="dxa"/>
            <w:shd w:val="clear" w:color="auto" w:fill="auto"/>
          </w:tcPr>
          <w:p>
            <w:pPr>
              <w:pStyle w:val="GesAbsatz"/>
              <w:tabs>
                <w:tab w:val="clear" w:pos="425"/>
              </w:tabs>
              <w:jc w:val="center"/>
            </w:pPr>
            <w:r>
              <w:t>CO</w:t>
            </w:r>
          </w:p>
        </w:tc>
        <w:tc>
          <w:tcPr>
            <w:tcW w:w="1871" w:type="dxa"/>
            <w:shd w:val="clear" w:color="auto" w:fill="auto"/>
          </w:tcPr>
          <w:p>
            <w:pPr>
              <w:pStyle w:val="GesAbsatz"/>
              <w:tabs>
                <w:tab w:val="clear" w:pos="425"/>
              </w:tabs>
              <w:jc w:val="center"/>
            </w:pPr>
            <w:r>
              <w:t>NO</w:t>
            </w:r>
          </w:p>
        </w:tc>
        <w:tc>
          <w:tcPr>
            <w:tcW w:w="1871" w:type="dxa"/>
            <w:shd w:val="clear" w:color="auto" w:fill="auto"/>
          </w:tcPr>
          <w:p>
            <w:pPr>
              <w:pStyle w:val="GesAbsatz"/>
              <w:tabs>
                <w:tab w:val="clear" w:pos="425"/>
              </w:tabs>
              <w:jc w:val="center"/>
            </w:pPr>
            <w:r>
              <w:t>SO</w:t>
            </w:r>
            <w:r>
              <w:rPr>
                <w:vertAlign w:val="subscript"/>
              </w:rPr>
              <w:t>2</w:t>
            </w:r>
          </w:p>
        </w:tc>
        <w:tc>
          <w:tcPr>
            <w:tcW w:w="1871" w:type="dxa"/>
            <w:shd w:val="clear" w:color="auto" w:fill="auto"/>
          </w:tcPr>
          <w:p>
            <w:pPr>
              <w:pStyle w:val="GesAbsatz"/>
              <w:tabs>
                <w:tab w:val="clear" w:pos="425"/>
              </w:tabs>
              <w:jc w:val="center"/>
            </w:pPr>
            <w:r>
              <w:t>O</w:t>
            </w:r>
            <w:r>
              <w:rPr>
                <w:vertAlign w:val="subscript"/>
              </w:rPr>
              <w:t>2paramagnetisch</w:t>
            </w:r>
          </w:p>
        </w:tc>
      </w:tr>
      <w:tr>
        <w:tc>
          <w:tcPr>
            <w:tcW w:w="425" w:type="dxa"/>
            <w:shd w:val="clear" w:color="auto" w:fill="auto"/>
          </w:tcPr>
          <w:p>
            <w:pPr>
              <w:pStyle w:val="GesAbsatz"/>
              <w:tabs>
                <w:tab w:val="clear" w:pos="425"/>
              </w:tabs>
            </w:pPr>
            <w:r>
              <w:t>Ultramat 23-7MB2358</w:t>
            </w:r>
          </w:p>
        </w:tc>
        <w:tc>
          <w:tcPr>
            <w:tcW w:w="1870" w:type="dxa"/>
            <w:shd w:val="clear" w:color="auto" w:fill="auto"/>
          </w:tcPr>
          <w:p>
            <w:pPr>
              <w:pStyle w:val="GesAbsatz"/>
              <w:tabs>
                <w:tab w:val="clear" w:pos="425"/>
              </w:tabs>
              <w:jc w:val="center"/>
            </w:pPr>
            <w:r>
              <w:t>-Z-T23</w:t>
            </w:r>
          </w:p>
        </w:tc>
        <w:tc>
          <w:tcPr>
            <w:tcW w:w="1870" w:type="dxa"/>
            <w:shd w:val="clear" w:color="auto" w:fill="auto"/>
          </w:tcPr>
          <w:p>
            <w:pPr>
              <w:pStyle w:val="GesAbsatz"/>
              <w:tabs>
                <w:tab w:val="clear" w:pos="425"/>
              </w:tabs>
              <w:jc w:val="center"/>
            </w:pPr>
            <w:r>
              <w:t>CO</w:t>
            </w:r>
          </w:p>
        </w:tc>
        <w:tc>
          <w:tcPr>
            <w:tcW w:w="1871" w:type="dxa"/>
            <w:shd w:val="clear" w:color="auto" w:fill="auto"/>
          </w:tcPr>
          <w:p>
            <w:pPr>
              <w:pStyle w:val="GesAbsatz"/>
              <w:tabs>
                <w:tab w:val="clear" w:pos="425"/>
              </w:tabs>
              <w:jc w:val="center"/>
            </w:pPr>
            <w:r>
              <w:t>NO</w:t>
            </w:r>
          </w:p>
        </w:tc>
        <w:tc>
          <w:tcPr>
            <w:tcW w:w="1871" w:type="dxa"/>
            <w:shd w:val="clear" w:color="auto" w:fill="auto"/>
          </w:tcPr>
          <w:p>
            <w:pPr>
              <w:pStyle w:val="GesAbsatz"/>
              <w:tabs>
                <w:tab w:val="clear" w:pos="425"/>
              </w:tabs>
              <w:jc w:val="center"/>
              <w:rPr>
                <w:vertAlign w:val="subscript"/>
              </w:rPr>
            </w:pPr>
            <w:r>
              <w:t>SO</w:t>
            </w:r>
            <w:r>
              <w:rPr>
                <w:vertAlign w:val="subscript"/>
              </w:rPr>
              <w:t>2</w:t>
            </w:r>
          </w:p>
        </w:tc>
        <w:tc>
          <w:tcPr>
            <w:tcW w:w="1871" w:type="dxa"/>
            <w:shd w:val="clear" w:color="auto" w:fill="auto"/>
          </w:tcPr>
          <w:p>
            <w:pPr>
              <w:pStyle w:val="GesAbsatz"/>
              <w:tabs>
                <w:tab w:val="clear" w:pos="425"/>
              </w:tabs>
              <w:jc w:val="center"/>
            </w:pPr>
            <w:r>
              <w:t>O</w:t>
            </w:r>
            <w:r>
              <w:rPr>
                <w:vertAlign w:val="subscript"/>
              </w:rPr>
              <w:t>2elektrochemisch</w:t>
            </w:r>
          </w:p>
        </w:tc>
      </w:tr>
      <w:tr>
        <w:tc>
          <w:tcPr>
            <w:tcW w:w="425" w:type="dxa"/>
            <w:shd w:val="clear" w:color="auto" w:fill="auto"/>
          </w:tcPr>
          <w:p>
            <w:pPr>
              <w:pStyle w:val="GesAbsatz"/>
              <w:tabs>
                <w:tab w:val="clear" w:pos="425"/>
              </w:tabs>
            </w:pPr>
            <w:r>
              <w:t>Ultramat 23-7MB2358</w:t>
            </w:r>
          </w:p>
        </w:tc>
        <w:tc>
          <w:tcPr>
            <w:tcW w:w="1870" w:type="dxa"/>
            <w:shd w:val="clear" w:color="auto" w:fill="auto"/>
          </w:tcPr>
          <w:p>
            <w:pPr>
              <w:pStyle w:val="GesAbsatz"/>
              <w:tabs>
                <w:tab w:val="clear" w:pos="425"/>
              </w:tabs>
              <w:jc w:val="center"/>
            </w:pPr>
            <w:r>
              <w:t>-Z-T33</w:t>
            </w:r>
          </w:p>
        </w:tc>
        <w:tc>
          <w:tcPr>
            <w:tcW w:w="1870" w:type="dxa"/>
            <w:shd w:val="clear" w:color="auto" w:fill="auto"/>
          </w:tcPr>
          <w:p>
            <w:pPr>
              <w:pStyle w:val="GesAbsatz"/>
              <w:tabs>
                <w:tab w:val="clear" w:pos="425"/>
              </w:tabs>
              <w:jc w:val="center"/>
            </w:pPr>
            <w:r>
              <w:t>CO</w:t>
            </w:r>
          </w:p>
        </w:tc>
        <w:tc>
          <w:tcPr>
            <w:tcW w:w="1871" w:type="dxa"/>
            <w:shd w:val="clear" w:color="auto" w:fill="auto"/>
          </w:tcPr>
          <w:p>
            <w:pPr>
              <w:pStyle w:val="GesAbsatz"/>
              <w:tabs>
                <w:tab w:val="clear" w:pos="425"/>
              </w:tabs>
              <w:jc w:val="center"/>
            </w:pPr>
            <w:r>
              <w:t>NO</w:t>
            </w:r>
          </w:p>
        </w:tc>
        <w:tc>
          <w:tcPr>
            <w:tcW w:w="1871" w:type="dxa"/>
            <w:shd w:val="clear" w:color="auto" w:fill="auto"/>
          </w:tcPr>
          <w:p>
            <w:pPr>
              <w:pStyle w:val="GesAbsatz"/>
              <w:tabs>
                <w:tab w:val="clear" w:pos="425"/>
              </w:tabs>
              <w:jc w:val="center"/>
              <w:rPr>
                <w:vertAlign w:val="subscript"/>
              </w:rPr>
            </w:pPr>
            <w:r>
              <w:t>SO</w:t>
            </w:r>
            <w:r>
              <w:rPr>
                <w:vertAlign w:val="subscript"/>
              </w:rPr>
              <w:t>2</w:t>
            </w:r>
          </w:p>
        </w:tc>
        <w:tc>
          <w:tcPr>
            <w:tcW w:w="1871" w:type="dxa"/>
            <w:shd w:val="clear" w:color="auto" w:fill="auto"/>
          </w:tcPr>
          <w:p>
            <w:pPr>
              <w:pStyle w:val="GesAbsatz"/>
              <w:tabs>
                <w:tab w:val="clear" w:pos="425"/>
              </w:tabs>
              <w:jc w:val="center"/>
            </w:pPr>
            <w:r>
              <w:t>–</w:t>
            </w:r>
          </w:p>
        </w:tc>
      </w:tr>
    </w:tbl>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708"/>
        <w:gridCol w:w="2628"/>
        <w:gridCol w:w="2777"/>
      </w:tblGrid>
      <w:tr>
        <w:tc>
          <w:tcPr>
            <w:tcW w:w="1526" w:type="dxa"/>
            <w:shd w:val="clear" w:color="auto" w:fill="auto"/>
          </w:tcPr>
          <w:p>
            <w:pPr>
              <w:pStyle w:val="GesAbsatz"/>
              <w:tabs>
                <w:tab w:val="clear" w:pos="425"/>
              </w:tabs>
              <w:jc w:val="center"/>
            </w:pPr>
            <w:r>
              <w:t>Komponente</w:t>
            </w:r>
          </w:p>
        </w:tc>
        <w:tc>
          <w:tcPr>
            <w:tcW w:w="2732" w:type="dxa"/>
            <w:shd w:val="clear" w:color="auto" w:fill="auto"/>
          </w:tcPr>
          <w:p>
            <w:pPr>
              <w:pStyle w:val="GesAbsatz"/>
              <w:tabs>
                <w:tab w:val="clear" w:pos="425"/>
              </w:tabs>
              <w:jc w:val="center"/>
            </w:pPr>
            <w:r>
              <w:t>Modul</w:t>
            </w:r>
          </w:p>
        </w:tc>
        <w:tc>
          <w:tcPr>
            <w:tcW w:w="2655" w:type="dxa"/>
            <w:shd w:val="clear" w:color="auto" w:fill="auto"/>
          </w:tcPr>
          <w:p>
            <w:pPr>
              <w:pStyle w:val="GesAbsatz"/>
              <w:tabs>
                <w:tab w:val="clear" w:pos="425"/>
              </w:tabs>
              <w:jc w:val="center"/>
            </w:pPr>
            <w:r>
              <w:t>Zertifizierungsbereich</w:t>
            </w:r>
          </w:p>
        </w:tc>
        <w:tc>
          <w:tcPr>
            <w:tcW w:w="2806" w:type="dxa"/>
            <w:shd w:val="clear" w:color="auto" w:fill="auto"/>
          </w:tcPr>
          <w:p>
            <w:pPr>
              <w:pStyle w:val="GesAbsatz"/>
              <w:tabs>
                <w:tab w:val="clear" w:pos="425"/>
              </w:tabs>
              <w:jc w:val="center"/>
            </w:pPr>
            <w:r>
              <w:t>zusätzliche Messbereiche</w:t>
            </w:r>
          </w:p>
        </w:tc>
      </w:tr>
      <w:tr>
        <w:tc>
          <w:tcPr>
            <w:tcW w:w="1526" w:type="dxa"/>
            <w:shd w:val="clear" w:color="auto" w:fill="auto"/>
          </w:tcPr>
          <w:p>
            <w:pPr>
              <w:pStyle w:val="GesAbsatz"/>
              <w:tabs>
                <w:tab w:val="clear" w:pos="425"/>
              </w:tabs>
            </w:pPr>
            <w:r>
              <w:t>CO</w:t>
            </w:r>
          </w:p>
        </w:tc>
        <w:tc>
          <w:tcPr>
            <w:tcW w:w="2732" w:type="dxa"/>
            <w:shd w:val="clear" w:color="auto" w:fill="auto"/>
          </w:tcPr>
          <w:p>
            <w:pPr>
              <w:pStyle w:val="GesAbsatz"/>
              <w:tabs>
                <w:tab w:val="clear" w:pos="425"/>
              </w:tabs>
              <w:jc w:val="center"/>
            </w:pPr>
            <w:r>
              <w:t>Ultramat 23-7MB2358</w:t>
            </w:r>
          </w:p>
        </w:tc>
        <w:tc>
          <w:tcPr>
            <w:tcW w:w="2655" w:type="dxa"/>
            <w:shd w:val="clear" w:color="auto" w:fill="auto"/>
          </w:tcPr>
          <w:p>
            <w:pPr>
              <w:pStyle w:val="GesAbsatz"/>
              <w:tabs>
                <w:tab w:val="clear" w:pos="425"/>
              </w:tabs>
              <w:jc w:val="center"/>
              <w:rPr>
                <w:vertAlign w:val="superscript"/>
              </w:rPr>
            </w:pPr>
            <w:r>
              <w:t>0 – 250 mg/m</w:t>
            </w:r>
            <w:r>
              <w:rPr>
                <w:vertAlign w:val="superscript"/>
              </w:rPr>
              <w:t>3</w:t>
            </w:r>
          </w:p>
        </w:tc>
        <w:tc>
          <w:tcPr>
            <w:tcW w:w="2806" w:type="dxa"/>
            <w:shd w:val="clear" w:color="auto" w:fill="auto"/>
          </w:tcPr>
          <w:p>
            <w:pPr>
              <w:pStyle w:val="GesAbsatz"/>
              <w:tabs>
                <w:tab w:val="clear" w:pos="425"/>
              </w:tabs>
              <w:jc w:val="center"/>
            </w:pPr>
            <w:r>
              <w:t>0 – 1 250 mg/m</w:t>
            </w:r>
            <w:r>
              <w:rPr>
                <w:vertAlign w:val="superscript"/>
              </w:rPr>
              <w:t>3</w:t>
            </w:r>
          </w:p>
        </w:tc>
      </w:tr>
      <w:tr>
        <w:tc>
          <w:tcPr>
            <w:tcW w:w="1526" w:type="dxa"/>
            <w:shd w:val="clear" w:color="auto" w:fill="auto"/>
          </w:tcPr>
          <w:p>
            <w:pPr>
              <w:pStyle w:val="GesAbsatz"/>
              <w:tabs>
                <w:tab w:val="clear" w:pos="425"/>
              </w:tabs>
            </w:pPr>
            <w:r>
              <w:t>NO</w:t>
            </w:r>
          </w:p>
        </w:tc>
        <w:tc>
          <w:tcPr>
            <w:tcW w:w="2732" w:type="dxa"/>
            <w:shd w:val="clear" w:color="auto" w:fill="auto"/>
          </w:tcPr>
          <w:p>
            <w:pPr>
              <w:pStyle w:val="GesAbsatz"/>
              <w:tabs>
                <w:tab w:val="clear" w:pos="425"/>
              </w:tabs>
              <w:jc w:val="center"/>
            </w:pPr>
            <w:r>
              <w:t>Ultramat 23-7MB2358</w:t>
            </w:r>
          </w:p>
        </w:tc>
        <w:tc>
          <w:tcPr>
            <w:tcW w:w="2655" w:type="dxa"/>
            <w:shd w:val="clear" w:color="auto" w:fill="auto"/>
          </w:tcPr>
          <w:p>
            <w:pPr>
              <w:pStyle w:val="GesAbsatz"/>
              <w:tabs>
                <w:tab w:val="clear" w:pos="425"/>
              </w:tabs>
              <w:jc w:val="center"/>
              <w:rPr>
                <w:vertAlign w:val="superscript"/>
              </w:rPr>
            </w:pPr>
            <w:r>
              <w:t>0 – 400 mg/m</w:t>
            </w:r>
            <w:r>
              <w:rPr>
                <w:vertAlign w:val="superscript"/>
              </w:rPr>
              <w:t>3</w:t>
            </w:r>
          </w:p>
        </w:tc>
        <w:tc>
          <w:tcPr>
            <w:tcW w:w="2806" w:type="dxa"/>
            <w:shd w:val="clear" w:color="auto" w:fill="auto"/>
          </w:tcPr>
          <w:p>
            <w:pPr>
              <w:pStyle w:val="GesAbsatz"/>
              <w:tabs>
                <w:tab w:val="clear" w:pos="425"/>
              </w:tabs>
              <w:jc w:val="center"/>
            </w:pPr>
            <w:r>
              <w:t>0 – 2 000 mg/m</w:t>
            </w:r>
            <w:r>
              <w:rPr>
                <w:vertAlign w:val="superscript"/>
              </w:rPr>
              <w:t>3</w:t>
            </w:r>
          </w:p>
        </w:tc>
      </w:tr>
      <w:tr>
        <w:tc>
          <w:tcPr>
            <w:tcW w:w="1526" w:type="dxa"/>
            <w:shd w:val="clear" w:color="auto" w:fill="auto"/>
          </w:tcPr>
          <w:p>
            <w:pPr>
              <w:pStyle w:val="GesAbsatz"/>
              <w:tabs>
                <w:tab w:val="clear" w:pos="425"/>
              </w:tabs>
              <w:rPr>
                <w:vertAlign w:val="subscript"/>
              </w:rPr>
            </w:pPr>
            <w:r>
              <w:t>SO</w:t>
            </w:r>
            <w:r>
              <w:rPr>
                <w:vertAlign w:val="subscript"/>
              </w:rPr>
              <w:t>2</w:t>
            </w:r>
          </w:p>
        </w:tc>
        <w:tc>
          <w:tcPr>
            <w:tcW w:w="2732" w:type="dxa"/>
            <w:shd w:val="clear" w:color="auto" w:fill="auto"/>
          </w:tcPr>
          <w:p>
            <w:pPr>
              <w:pStyle w:val="GesAbsatz"/>
              <w:tabs>
                <w:tab w:val="clear" w:pos="425"/>
              </w:tabs>
              <w:jc w:val="center"/>
            </w:pPr>
            <w:r>
              <w:t>Ultramat 23-7MB2358</w:t>
            </w:r>
          </w:p>
        </w:tc>
        <w:tc>
          <w:tcPr>
            <w:tcW w:w="2655" w:type="dxa"/>
            <w:shd w:val="clear" w:color="auto" w:fill="auto"/>
          </w:tcPr>
          <w:p>
            <w:pPr>
              <w:pStyle w:val="GesAbsatz"/>
              <w:tabs>
                <w:tab w:val="clear" w:pos="425"/>
              </w:tabs>
              <w:jc w:val="center"/>
              <w:rPr>
                <w:vertAlign w:val="superscript"/>
              </w:rPr>
            </w:pPr>
            <w:r>
              <w:t>0 – 400 mg/m</w:t>
            </w:r>
            <w:r>
              <w:rPr>
                <w:vertAlign w:val="superscript"/>
              </w:rPr>
              <w:t>3</w:t>
            </w:r>
          </w:p>
        </w:tc>
        <w:tc>
          <w:tcPr>
            <w:tcW w:w="2806" w:type="dxa"/>
            <w:shd w:val="clear" w:color="auto" w:fill="auto"/>
          </w:tcPr>
          <w:p>
            <w:pPr>
              <w:pStyle w:val="GesAbsatz"/>
              <w:tabs>
                <w:tab w:val="clear" w:pos="425"/>
              </w:tabs>
              <w:jc w:val="center"/>
            </w:pPr>
            <w:r>
              <w:t>0 – 2 000 mg/m</w:t>
            </w:r>
            <w:r>
              <w:rPr>
                <w:vertAlign w:val="superscript"/>
              </w:rPr>
              <w:t>3</w:t>
            </w:r>
          </w:p>
        </w:tc>
      </w:tr>
      <w:tr>
        <w:tc>
          <w:tcPr>
            <w:tcW w:w="1526" w:type="dxa"/>
            <w:shd w:val="clear" w:color="auto" w:fill="auto"/>
          </w:tcPr>
          <w:p>
            <w:pPr>
              <w:pStyle w:val="GesAbsatz"/>
              <w:tabs>
                <w:tab w:val="clear" w:pos="425"/>
              </w:tabs>
            </w:pPr>
            <w:r>
              <w:t>O</w:t>
            </w:r>
            <w:r>
              <w:rPr>
                <w:vertAlign w:val="subscript"/>
              </w:rPr>
              <w:t>2paramagnetisch</w:t>
            </w:r>
          </w:p>
        </w:tc>
        <w:tc>
          <w:tcPr>
            <w:tcW w:w="2732" w:type="dxa"/>
            <w:shd w:val="clear" w:color="auto" w:fill="auto"/>
          </w:tcPr>
          <w:p>
            <w:pPr>
              <w:pStyle w:val="GesAbsatz"/>
              <w:tabs>
                <w:tab w:val="clear" w:pos="425"/>
              </w:tabs>
              <w:jc w:val="center"/>
            </w:pPr>
            <w:r>
              <w:t>Ultramat 23-7MB2358</w:t>
            </w:r>
          </w:p>
        </w:tc>
        <w:tc>
          <w:tcPr>
            <w:tcW w:w="2655" w:type="dxa"/>
            <w:shd w:val="clear" w:color="auto" w:fill="auto"/>
          </w:tcPr>
          <w:p>
            <w:pPr>
              <w:pStyle w:val="GesAbsatz"/>
              <w:tabs>
                <w:tab w:val="clear" w:pos="425"/>
              </w:tabs>
              <w:jc w:val="center"/>
            </w:pPr>
            <w:r>
              <w:t>0 – 25 Vol.-%</w:t>
            </w:r>
          </w:p>
        </w:tc>
        <w:tc>
          <w:tcPr>
            <w:tcW w:w="2806" w:type="dxa"/>
            <w:shd w:val="clear" w:color="auto" w:fill="auto"/>
          </w:tcPr>
          <w:p>
            <w:pPr>
              <w:pStyle w:val="GesAbsatz"/>
              <w:tabs>
                <w:tab w:val="clear" w:pos="425"/>
              </w:tabs>
              <w:jc w:val="center"/>
            </w:pPr>
            <w:r>
              <w:t>–</w:t>
            </w:r>
          </w:p>
        </w:tc>
      </w:tr>
      <w:tr>
        <w:tc>
          <w:tcPr>
            <w:tcW w:w="1526" w:type="dxa"/>
            <w:shd w:val="clear" w:color="auto" w:fill="auto"/>
          </w:tcPr>
          <w:p>
            <w:pPr>
              <w:pStyle w:val="GesAbsatz"/>
              <w:tabs>
                <w:tab w:val="clear" w:pos="425"/>
              </w:tabs>
            </w:pPr>
            <w:r>
              <w:t>O</w:t>
            </w:r>
            <w:r>
              <w:rPr>
                <w:vertAlign w:val="subscript"/>
              </w:rPr>
              <w:t>2elektrochemisch</w:t>
            </w:r>
          </w:p>
        </w:tc>
        <w:tc>
          <w:tcPr>
            <w:tcW w:w="2732" w:type="dxa"/>
            <w:shd w:val="clear" w:color="auto" w:fill="auto"/>
          </w:tcPr>
          <w:p>
            <w:pPr>
              <w:pStyle w:val="GesAbsatz"/>
              <w:tabs>
                <w:tab w:val="clear" w:pos="425"/>
              </w:tabs>
              <w:jc w:val="center"/>
            </w:pPr>
            <w:r>
              <w:t>Ultramat 23-7MB2358</w:t>
            </w:r>
          </w:p>
        </w:tc>
        <w:tc>
          <w:tcPr>
            <w:tcW w:w="2655" w:type="dxa"/>
            <w:shd w:val="clear" w:color="auto" w:fill="auto"/>
          </w:tcPr>
          <w:p>
            <w:pPr>
              <w:pStyle w:val="GesAbsatz"/>
              <w:tabs>
                <w:tab w:val="clear" w:pos="425"/>
              </w:tabs>
              <w:jc w:val="center"/>
            </w:pPr>
            <w:r>
              <w:t>0 – 25 Vol.-%</w:t>
            </w:r>
          </w:p>
        </w:tc>
        <w:tc>
          <w:tcPr>
            <w:tcW w:w="2806" w:type="dxa"/>
            <w:shd w:val="clear" w:color="auto" w:fill="auto"/>
          </w:tcPr>
          <w:p>
            <w:pPr>
              <w:pStyle w:val="GesAbsatz"/>
              <w:tabs>
                <w:tab w:val="clear" w:pos="425"/>
              </w:tabs>
              <w:jc w:val="center"/>
            </w:pPr>
            <w:r>
              <w:t>–</w:t>
            </w:r>
          </w:p>
        </w:tc>
      </w:tr>
    </w:tbl>
    <w:p>
      <w:pPr>
        <w:pStyle w:val="GesAbsatz"/>
      </w:pPr>
      <w:r>
        <w:t>Softwareversionen: Ultramat 23-7MB2358: 2.14.07</w:t>
      </w:r>
    </w:p>
    <w:p>
      <w:pPr>
        <w:pStyle w:val="GesAbsatz"/>
        <w:rPr>
          <w:lang w:val="en-US"/>
        </w:rPr>
      </w:pPr>
      <w:r>
        <w:rPr>
          <w:lang w:val="en-US"/>
        </w:rPr>
        <w:t>SPS: Set CEM CERT Rev. 1.0</w:t>
      </w:r>
    </w:p>
    <w:p>
      <w:pPr>
        <w:pStyle w:val="GesAbsatz"/>
      </w:pPr>
      <w:r>
        <w:t>Einschränkungen:</w:t>
      </w:r>
    </w:p>
    <w:p>
      <w:pPr>
        <w:pStyle w:val="GesAbsatz"/>
        <w:ind w:left="426" w:hanging="426"/>
      </w:pPr>
      <w:r>
        <w:t>1.</w:t>
      </w:r>
      <w:r>
        <w:tab/>
        <w:t>Für die Komponente NO konnte die Mindestanforderung an den Korrelationskoeffizienten der Kalibrierfunktion R² nicht eingehalten werden.</w:t>
      </w:r>
    </w:p>
    <w:p>
      <w:pPr>
        <w:pStyle w:val="GesAbsatz"/>
        <w:ind w:left="426" w:hanging="426"/>
      </w:pPr>
      <w:r>
        <w:t>2.</w:t>
      </w:r>
      <w:r>
        <w:tab/>
        <w:t>Die Anforderung an die Gesamtunsicherheit bei der Eignungsprüfung nach DIN EN 15267-3 wurde für die Komponenten CO und NO nicht erfüllt und für die Komponente SO</w:t>
      </w:r>
      <w:r>
        <w:rPr>
          <w:vertAlign w:val="subscript"/>
        </w:rPr>
        <w:t>2</w:t>
      </w:r>
      <w:r>
        <w:t xml:space="preserve"> nur teilweise erfüllt.</w:t>
      </w:r>
    </w:p>
    <w:p>
      <w:pPr>
        <w:pStyle w:val="GesAbsatz"/>
        <w:ind w:left="426" w:hanging="426"/>
      </w:pPr>
      <w:r>
        <w:t>3.</w:t>
      </w:r>
      <w:r>
        <w:tab/>
        <w:t>Für die Komponente CO ist eine Überwachung erst ab einem Grenzwert von 130 mg/m</w:t>
      </w:r>
      <w:r>
        <w:rPr>
          <w:vertAlign w:val="superscript"/>
        </w:rPr>
        <w:t>3</w:t>
      </w:r>
      <w:r>
        <w:t xml:space="preserve"> möglich. Der Messbereich der Messeinrichtung ist entsprechend den geltenden Regelwerken einzustellen.</w:t>
      </w:r>
    </w:p>
    <w:p>
      <w:pPr>
        <w:pStyle w:val="GesAbsatz"/>
        <w:ind w:left="426" w:hanging="426"/>
      </w:pPr>
      <w:r>
        <w:t>4.</w:t>
      </w:r>
      <w:r>
        <w:tab/>
        <w:t>Die Gehäuseschutzklasse beträgt lediglich IP 20. Sollten die Einsatzbedingungen eine höhere Gehäuseschutzklasse erfordern, so sind die Analysenmodule in einen Messschrank mit entsprechender Schutzklasse zu integrieren.</w:t>
      </w:r>
    </w:p>
    <w:p>
      <w:pPr>
        <w:pStyle w:val="GesAbsatz"/>
        <w:ind w:left="426" w:hanging="426"/>
      </w:pPr>
      <w:r>
        <w:t>5.</w:t>
      </w:r>
      <w:r>
        <w:tab/>
        <w:t>Das Wartungsintervall des Moduls Ultramat 23-7MB2358 beträgt drei Monate. Im Falle einer Erweiterung um weitere Module des Set CEM CERT 7MB1957 ist die Funktionsfähigkeit der jeweiligen Zusammenstellung der Module im Rahmen der Prüfung des ordnungsgemäßen Einbaus zu prüfen und das Wartungsintervall zu bestimmen.</w:t>
      </w:r>
    </w:p>
    <w:p>
      <w:pPr>
        <w:pStyle w:val="GesAbsatz"/>
      </w:pPr>
      <w:r>
        <w:t>Hinweise:</w:t>
      </w:r>
    </w:p>
    <w:p>
      <w:pPr>
        <w:pStyle w:val="GesAbsatz"/>
      </w:pPr>
      <w:r>
        <w:t>1.</w:t>
      </w:r>
      <w:r>
        <w:tab/>
        <w:t>Die Messeinrichtungen sind mit einem Intervall von 24 h für die automatische Justierung zu betreiben.</w:t>
      </w:r>
    </w:p>
    <w:p>
      <w:pPr>
        <w:pStyle w:val="GesAbsatz"/>
      </w:pPr>
      <w:r>
        <w:t>2.</w:t>
      </w:r>
      <w:r>
        <w:tab/>
        <w:t>Der Analysator ist mit aktivierter Thermo-AUTOCAL-Funktion zu betreiben.</w:t>
      </w:r>
    </w:p>
    <w:p>
      <w:pPr>
        <w:pStyle w:val="GesAbsatz"/>
      </w:pPr>
      <w:r>
        <w:t>Prüfbericht: TÜV Süd Industrie Service GmbH, München</w:t>
      </w:r>
    </w:p>
    <w:p>
      <w:pPr>
        <w:pStyle w:val="GesAbsatz"/>
      </w:pPr>
      <w:r>
        <w:t>Bericht-Nr.: 1630664 vom 15. September 2012</w:t>
      </w:r>
    </w:p>
    <w:p>
      <w:pPr>
        <w:pStyle w:val="berschrift2"/>
      </w:pPr>
      <w:bookmarkStart w:id="3" w:name="_Toc395254039"/>
      <w:r>
        <w:t>II.</w:t>
      </w:r>
      <w:bookmarkEnd w:id="3"/>
    </w:p>
    <w:p>
      <w:pPr>
        <w:pStyle w:val="berschrift2"/>
      </w:pPr>
      <w:bookmarkStart w:id="4" w:name="_Toc395254040"/>
      <w:r>
        <w:t>Eignung für Messeinrichtungen zur kontinuierlichen Messung</w:t>
      </w:r>
      <w:r>
        <w:br/>
        <w:t>von Bezugsgrößen/Betriebsgrößen</w:t>
      </w:r>
      <w:bookmarkEnd w:id="4"/>
    </w:p>
    <w:p>
      <w:pPr>
        <w:pStyle w:val="GesAbsatz"/>
        <w:rPr>
          <w:b/>
        </w:rPr>
      </w:pPr>
      <w:r>
        <w:rPr>
          <w:b/>
        </w:rPr>
        <w:t>1</w:t>
      </w:r>
      <w:r>
        <w:rPr>
          <w:b/>
        </w:rPr>
        <w:tab/>
        <w:t>Mindesttemperatur</w:t>
      </w:r>
    </w:p>
    <w:p>
      <w:pPr>
        <w:pStyle w:val="GesAbsatz"/>
        <w:rPr>
          <w:b/>
        </w:rPr>
      </w:pPr>
      <w:r>
        <w:rPr>
          <w:b/>
        </w:rPr>
        <w:t>1.1</w:t>
      </w:r>
      <w:r>
        <w:rPr>
          <w:b/>
        </w:rPr>
        <w:tab/>
        <w:t xml:space="preserve">Teilstrahlungspyrometer </w:t>
      </w:r>
      <w:proofErr w:type="spellStart"/>
      <w:r>
        <w:rPr>
          <w:b/>
        </w:rPr>
        <w:t>Metis</w:t>
      </w:r>
      <w:proofErr w:type="spellEnd"/>
      <w:r>
        <w:rPr>
          <w:b/>
        </w:rPr>
        <w:t xml:space="preserve"> MY47</w:t>
      </w:r>
    </w:p>
    <w:p>
      <w:pPr>
        <w:pStyle w:val="GesAbsatz"/>
      </w:pPr>
      <w:r>
        <w:t>Hersteller:</w:t>
      </w:r>
    </w:p>
    <w:p>
      <w:pPr>
        <w:pStyle w:val="GesAbsatz"/>
      </w:pPr>
      <w:proofErr w:type="spellStart"/>
      <w:r>
        <w:t>Sensortherm</w:t>
      </w:r>
      <w:proofErr w:type="spellEnd"/>
      <w:r>
        <w:t xml:space="preserve"> GmbH Infrarot Mess- und Regeltechnik, Sulzbach/Taunus</w:t>
      </w:r>
    </w:p>
    <w:p>
      <w:pPr>
        <w:pStyle w:val="GesAbsatz"/>
      </w:pPr>
      <w:r>
        <w:t>Eignung:</w:t>
      </w:r>
    </w:p>
    <w:p>
      <w:pPr>
        <w:pStyle w:val="GesAbsatz"/>
      </w:pPr>
      <w:r>
        <w:lastRenderedPageBreak/>
        <w:t>Für genehmigungsbedürftige Anlagen sowie Anlagen der 27. BImSchV</w:t>
      </w:r>
    </w:p>
    <w:p>
      <w:pPr>
        <w:pStyle w:val="GesAbsatz"/>
      </w:pPr>
      <w:r>
        <w:t>Messbereich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52"/>
        <w:gridCol w:w="2358"/>
      </w:tblGrid>
      <w:tr>
        <w:tc>
          <w:tcPr>
            <w:tcW w:w="2518" w:type="dxa"/>
            <w:shd w:val="clear" w:color="auto" w:fill="auto"/>
          </w:tcPr>
          <w:p>
            <w:pPr>
              <w:pStyle w:val="GesAbsatz"/>
              <w:tabs>
                <w:tab w:val="clear" w:pos="425"/>
              </w:tabs>
              <w:jc w:val="center"/>
            </w:pPr>
            <w:r>
              <w:t>Komponente</w:t>
            </w:r>
          </w:p>
        </w:tc>
        <w:tc>
          <w:tcPr>
            <w:tcW w:w="3152" w:type="dxa"/>
            <w:shd w:val="clear" w:color="auto" w:fill="auto"/>
          </w:tcPr>
          <w:p>
            <w:pPr>
              <w:pStyle w:val="GesAbsatz"/>
              <w:tabs>
                <w:tab w:val="clear" w:pos="425"/>
              </w:tabs>
              <w:jc w:val="center"/>
            </w:pPr>
            <w:r>
              <w:t>Zertifizierungsbereich</w:t>
            </w:r>
          </w:p>
        </w:tc>
        <w:tc>
          <w:tcPr>
            <w:tcW w:w="2358" w:type="dxa"/>
            <w:shd w:val="clear" w:color="auto" w:fill="auto"/>
          </w:tcPr>
          <w:p>
            <w:pPr>
              <w:pStyle w:val="GesAbsatz"/>
              <w:tabs>
                <w:tab w:val="clear" w:pos="425"/>
              </w:tabs>
              <w:jc w:val="center"/>
            </w:pPr>
            <w:r>
              <w:t>Einheit</w:t>
            </w:r>
          </w:p>
        </w:tc>
      </w:tr>
      <w:tr>
        <w:tc>
          <w:tcPr>
            <w:tcW w:w="2518" w:type="dxa"/>
            <w:shd w:val="clear" w:color="auto" w:fill="auto"/>
          </w:tcPr>
          <w:p>
            <w:pPr>
              <w:pStyle w:val="GesAbsatz"/>
              <w:tabs>
                <w:tab w:val="clear" w:pos="425"/>
              </w:tabs>
            </w:pPr>
            <w:r>
              <w:t xml:space="preserve">Temperatur </w:t>
            </w:r>
          </w:p>
        </w:tc>
        <w:tc>
          <w:tcPr>
            <w:tcW w:w="3152" w:type="dxa"/>
            <w:shd w:val="clear" w:color="auto" w:fill="auto"/>
          </w:tcPr>
          <w:p>
            <w:pPr>
              <w:pStyle w:val="GesAbsatz"/>
              <w:tabs>
                <w:tab w:val="clear" w:pos="425"/>
              </w:tabs>
              <w:jc w:val="center"/>
            </w:pPr>
            <w:r>
              <w:t>400 – 1 300</w:t>
            </w:r>
          </w:p>
        </w:tc>
        <w:tc>
          <w:tcPr>
            <w:tcW w:w="2358" w:type="dxa"/>
            <w:shd w:val="clear" w:color="auto" w:fill="auto"/>
          </w:tcPr>
          <w:p>
            <w:pPr>
              <w:pStyle w:val="GesAbsatz"/>
              <w:tabs>
                <w:tab w:val="clear" w:pos="425"/>
              </w:tabs>
              <w:jc w:val="center"/>
            </w:pPr>
            <w:r>
              <w:t>°C</w:t>
            </w:r>
          </w:p>
        </w:tc>
      </w:tr>
    </w:tbl>
    <w:p>
      <w:pPr>
        <w:pStyle w:val="GesAbsatz"/>
      </w:pPr>
      <w:r>
        <w:t>Softwareversion: 1.73</w:t>
      </w:r>
    </w:p>
    <w:p>
      <w:pPr>
        <w:pStyle w:val="GesAbsatz"/>
      </w:pPr>
      <w:r>
        <w:t>Einschränkung:</w:t>
      </w:r>
    </w:p>
    <w:p>
      <w:pPr>
        <w:pStyle w:val="GesAbsatz"/>
      </w:pPr>
      <w:r>
        <w:t>Die Anforderung bei der Eignungsprüfung nach DIN EN 15267-3 an den Korrelationskoeffizienten der Kalibrierfunktion R² wurde nicht erfüllt.</w:t>
      </w:r>
    </w:p>
    <w:p>
      <w:pPr>
        <w:pStyle w:val="GesAbsatz"/>
      </w:pPr>
      <w:r>
        <w:t>Hinweis:</w:t>
      </w:r>
    </w:p>
    <w:p>
      <w:pPr>
        <w:pStyle w:val="GesAbsatz"/>
      </w:pPr>
      <w:r>
        <w:t xml:space="preserve">Die Messeinrichtung ist jährlich mittels eines </w:t>
      </w:r>
      <w:proofErr w:type="spellStart"/>
      <w:r>
        <w:t>Planckschen</w:t>
      </w:r>
      <w:proofErr w:type="spellEnd"/>
      <w:r>
        <w:t xml:space="preserve"> Strahlers zu überprüfen. Dabei ist die hinterlegte Korrekturfunktion mittels der Software SensorWin.exe auszuschalten.</w:t>
      </w:r>
    </w:p>
    <w:p>
      <w:pPr>
        <w:pStyle w:val="GesAbsatz"/>
      </w:pPr>
      <w:r>
        <w:t>Prüfbericht: TÜV Süd Industrie Service GmbH, München</w:t>
      </w:r>
    </w:p>
    <w:p>
      <w:pPr>
        <w:pStyle w:val="GesAbsatz"/>
      </w:pPr>
      <w:r>
        <w:t>Bericht-Nr.: 1629370 vom 28. September 2012</w:t>
      </w:r>
    </w:p>
    <w:p>
      <w:pPr>
        <w:pStyle w:val="GesAbsatz"/>
        <w:rPr>
          <w:b/>
        </w:rPr>
      </w:pPr>
      <w:r>
        <w:rPr>
          <w:b/>
        </w:rPr>
        <w:t>2</w:t>
      </w:r>
      <w:r>
        <w:rPr>
          <w:b/>
        </w:rPr>
        <w:tab/>
        <w:t>Abgasgeschwindigkeit</w:t>
      </w:r>
    </w:p>
    <w:p>
      <w:pPr>
        <w:pStyle w:val="GesAbsatz"/>
        <w:rPr>
          <w:b/>
        </w:rPr>
      </w:pPr>
      <w:r>
        <w:rPr>
          <w:b/>
        </w:rPr>
        <w:t>2.1</w:t>
      </w:r>
      <w:r>
        <w:rPr>
          <w:b/>
        </w:rPr>
        <w:tab/>
        <w:t>V-CEM5100 für Abgasgeschwindigkeit</w:t>
      </w:r>
    </w:p>
    <w:p>
      <w:pPr>
        <w:pStyle w:val="GesAbsatz"/>
      </w:pPr>
      <w:r>
        <w:t>Hersteller:</w:t>
      </w:r>
    </w:p>
    <w:p>
      <w:pPr>
        <w:pStyle w:val="GesAbsatz"/>
      </w:pPr>
      <w:r>
        <w:t>CODEL International Ltd., Bakewell, Derbyshire, Vereinigtes Königreich</w:t>
      </w:r>
    </w:p>
    <w:p>
      <w:pPr>
        <w:pStyle w:val="GesAbsatz"/>
      </w:pPr>
      <w:r>
        <w:t>Eignung:</w:t>
      </w:r>
    </w:p>
    <w:p>
      <w:pPr>
        <w:pStyle w:val="GesAbsatz"/>
      </w:pPr>
      <w:r>
        <w:t>Für genehmigungsbedürftige Anlagen sowie Anlagen der 27. BImSchV</w:t>
      </w:r>
    </w:p>
    <w:p>
      <w:pPr>
        <w:pStyle w:val="GesAbsatz"/>
      </w:pPr>
      <w:r>
        <w:t>Messbereich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41"/>
        <w:gridCol w:w="1849"/>
      </w:tblGrid>
      <w:tr>
        <w:tc>
          <w:tcPr>
            <w:tcW w:w="2943" w:type="dxa"/>
            <w:shd w:val="clear" w:color="auto" w:fill="auto"/>
          </w:tcPr>
          <w:p>
            <w:pPr>
              <w:pStyle w:val="GesAbsatz"/>
              <w:tabs>
                <w:tab w:val="clear" w:pos="425"/>
              </w:tabs>
              <w:jc w:val="center"/>
            </w:pPr>
            <w:r>
              <w:t>Komponente</w:t>
            </w:r>
          </w:p>
        </w:tc>
        <w:tc>
          <w:tcPr>
            <w:tcW w:w="3441" w:type="dxa"/>
            <w:shd w:val="clear" w:color="auto" w:fill="auto"/>
          </w:tcPr>
          <w:p>
            <w:pPr>
              <w:pStyle w:val="GesAbsatz"/>
              <w:tabs>
                <w:tab w:val="clear" w:pos="425"/>
              </w:tabs>
              <w:jc w:val="center"/>
            </w:pPr>
            <w:r>
              <w:t>Zertifizierungsbereich</w:t>
            </w:r>
          </w:p>
        </w:tc>
        <w:tc>
          <w:tcPr>
            <w:tcW w:w="1849" w:type="dxa"/>
            <w:shd w:val="clear" w:color="auto" w:fill="auto"/>
          </w:tcPr>
          <w:p>
            <w:pPr>
              <w:pStyle w:val="GesAbsatz"/>
              <w:tabs>
                <w:tab w:val="clear" w:pos="425"/>
              </w:tabs>
              <w:jc w:val="center"/>
            </w:pPr>
            <w:r>
              <w:t>Einheit</w:t>
            </w:r>
          </w:p>
        </w:tc>
      </w:tr>
      <w:tr>
        <w:tc>
          <w:tcPr>
            <w:tcW w:w="2943" w:type="dxa"/>
            <w:shd w:val="clear" w:color="auto" w:fill="auto"/>
          </w:tcPr>
          <w:p>
            <w:pPr>
              <w:pStyle w:val="GesAbsatz"/>
              <w:tabs>
                <w:tab w:val="clear" w:pos="425"/>
              </w:tabs>
            </w:pPr>
            <w:r>
              <w:t xml:space="preserve">Abgasgeschwindigkeit </w:t>
            </w:r>
          </w:p>
        </w:tc>
        <w:tc>
          <w:tcPr>
            <w:tcW w:w="3441" w:type="dxa"/>
            <w:shd w:val="clear" w:color="auto" w:fill="auto"/>
          </w:tcPr>
          <w:p>
            <w:pPr>
              <w:pStyle w:val="GesAbsatz"/>
              <w:tabs>
                <w:tab w:val="clear" w:pos="425"/>
              </w:tabs>
              <w:jc w:val="center"/>
            </w:pPr>
            <w:r>
              <w:t>3 – 50</w:t>
            </w:r>
          </w:p>
        </w:tc>
        <w:tc>
          <w:tcPr>
            <w:tcW w:w="1849" w:type="dxa"/>
            <w:shd w:val="clear" w:color="auto" w:fill="auto"/>
          </w:tcPr>
          <w:p>
            <w:pPr>
              <w:pStyle w:val="GesAbsatz"/>
              <w:tabs>
                <w:tab w:val="clear" w:pos="425"/>
              </w:tabs>
              <w:jc w:val="center"/>
            </w:pPr>
            <w:r>
              <w:t>m/s</w:t>
            </w:r>
          </w:p>
        </w:tc>
      </w:tr>
    </w:tbl>
    <w:p>
      <w:pPr>
        <w:pStyle w:val="GesAbsatz"/>
      </w:pPr>
      <w:r>
        <w:t>Softwareversion: 507.105B</w:t>
      </w:r>
    </w:p>
    <w:p>
      <w:pPr>
        <w:pStyle w:val="GesAbsatz"/>
      </w:pPr>
      <w:r>
        <w:t>Einschränkung:</w:t>
      </w:r>
    </w:p>
    <w:p>
      <w:pPr>
        <w:pStyle w:val="GesAbsatz"/>
      </w:pPr>
      <w:r>
        <w:t>Die untere Grenze des Geschwindigkeitsmessbereichs beträgt 3 m/s.</w:t>
      </w:r>
    </w:p>
    <w:p>
      <w:pPr>
        <w:pStyle w:val="GesAbsatz"/>
      </w:pPr>
      <w:r>
        <w:t>Hinweise:</w:t>
      </w:r>
    </w:p>
    <w:p>
      <w:pPr>
        <w:pStyle w:val="GesAbsatz"/>
      </w:pPr>
      <w:r>
        <w:t>1.</w:t>
      </w:r>
      <w:r>
        <w:tab/>
        <w:t>Das Wartungsintervall beträgt sechs Monate.</w:t>
      </w:r>
    </w:p>
    <w:p>
      <w:pPr>
        <w:pStyle w:val="GesAbsatz"/>
        <w:ind w:left="426" w:hanging="426"/>
      </w:pPr>
      <w:r>
        <w:t>2.</w:t>
      </w:r>
      <w:r>
        <w:tab/>
        <w:t>Das Gerät kann unter folgenden Randbedingungen eingesetzt werden: Feuchtegehalt &gt; 2%, Temperatur &gt; 40 °C, Kanaldurchmesser &gt; 0,5 m.</w:t>
      </w:r>
    </w:p>
    <w:p>
      <w:pPr>
        <w:pStyle w:val="GesAbsatz"/>
        <w:ind w:left="426" w:hanging="426"/>
      </w:pPr>
      <w:r>
        <w:t>3.</w:t>
      </w:r>
      <w:r>
        <w:tab/>
        <w:t>Ergänzungsprüfung (Wartungsintervallverlängerung) zu der Bekanntmachung des Umweltbundesamtes vom 6. Juli 2012 (BAnz AT 20.07.2012 B11, Kapitel II Nummer 2.1).</w:t>
      </w:r>
    </w:p>
    <w:p>
      <w:pPr>
        <w:pStyle w:val="GesAbsatz"/>
      </w:pPr>
      <w:r>
        <w:t>Prüfbericht: TÜV Rheinland Energie und Umwelt GmbH, Köln</w:t>
      </w:r>
    </w:p>
    <w:p>
      <w:pPr>
        <w:pStyle w:val="GesAbsatz"/>
      </w:pPr>
      <w:r>
        <w:t>Bericht-Nr.: 936/21216334/D vom 17. September 2012</w:t>
      </w:r>
    </w:p>
    <w:p>
      <w:pPr>
        <w:pStyle w:val="GesAbsatz"/>
        <w:rPr>
          <w:b/>
        </w:rPr>
      </w:pPr>
      <w:r>
        <w:rPr>
          <w:b/>
        </w:rPr>
        <w:t>2.2</w:t>
      </w:r>
      <w:r>
        <w:rPr>
          <w:b/>
        </w:rPr>
        <w:tab/>
        <w:t>FLOWSIC 100 für Abgasgeschwindigkeit</w:t>
      </w:r>
    </w:p>
    <w:p>
      <w:pPr>
        <w:pStyle w:val="GesAbsatz"/>
      </w:pPr>
      <w:r>
        <w:t>Hersteller:</w:t>
      </w:r>
    </w:p>
    <w:p>
      <w:pPr>
        <w:pStyle w:val="GesAbsatz"/>
      </w:pPr>
      <w:r>
        <w:t xml:space="preserve">SICK Engineering GmbH, </w:t>
      </w:r>
      <w:proofErr w:type="spellStart"/>
      <w:r>
        <w:t>Ottendorf-Okrilla</w:t>
      </w:r>
      <w:proofErr w:type="spellEnd"/>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90"/>
        <w:gridCol w:w="2655"/>
        <w:gridCol w:w="1675"/>
      </w:tblGrid>
      <w:tr>
        <w:tc>
          <w:tcPr>
            <w:tcW w:w="2518" w:type="dxa"/>
            <w:shd w:val="clear" w:color="auto" w:fill="auto"/>
          </w:tcPr>
          <w:p>
            <w:pPr>
              <w:pStyle w:val="GesAbsatz"/>
              <w:tabs>
                <w:tab w:val="clear" w:pos="425"/>
              </w:tabs>
              <w:jc w:val="center"/>
            </w:pPr>
            <w:r>
              <w:t>Komponente</w:t>
            </w:r>
          </w:p>
        </w:tc>
        <w:tc>
          <w:tcPr>
            <w:tcW w:w="2590" w:type="dxa"/>
            <w:shd w:val="clear" w:color="auto" w:fill="auto"/>
          </w:tcPr>
          <w:p>
            <w:pPr>
              <w:pStyle w:val="GesAbsatz"/>
              <w:tabs>
                <w:tab w:val="clear" w:pos="425"/>
              </w:tabs>
              <w:jc w:val="center"/>
            </w:pPr>
            <w:r>
              <w:t>Zertifizierungsbereich</w:t>
            </w:r>
          </w:p>
        </w:tc>
        <w:tc>
          <w:tcPr>
            <w:tcW w:w="2655" w:type="dxa"/>
            <w:shd w:val="clear" w:color="auto" w:fill="auto"/>
          </w:tcPr>
          <w:p>
            <w:pPr>
              <w:pStyle w:val="GesAbsatz"/>
              <w:tabs>
                <w:tab w:val="clear" w:pos="425"/>
              </w:tabs>
              <w:jc w:val="center"/>
            </w:pPr>
            <w:r>
              <w:t>zusätzlicher Messbereich</w:t>
            </w:r>
          </w:p>
        </w:tc>
        <w:tc>
          <w:tcPr>
            <w:tcW w:w="1675" w:type="dxa"/>
            <w:shd w:val="clear" w:color="auto" w:fill="auto"/>
          </w:tcPr>
          <w:p>
            <w:pPr>
              <w:pStyle w:val="GesAbsatz"/>
              <w:tabs>
                <w:tab w:val="clear" w:pos="425"/>
              </w:tabs>
              <w:jc w:val="center"/>
            </w:pPr>
            <w:r>
              <w:t>Einheit</w:t>
            </w:r>
          </w:p>
        </w:tc>
      </w:tr>
      <w:tr>
        <w:tc>
          <w:tcPr>
            <w:tcW w:w="2518" w:type="dxa"/>
            <w:shd w:val="clear" w:color="auto" w:fill="auto"/>
          </w:tcPr>
          <w:p>
            <w:pPr>
              <w:pStyle w:val="GesAbsatz"/>
              <w:tabs>
                <w:tab w:val="clear" w:pos="425"/>
              </w:tabs>
            </w:pPr>
            <w:r>
              <w:t xml:space="preserve">Abgasgeschwindigkeit </w:t>
            </w:r>
          </w:p>
        </w:tc>
        <w:tc>
          <w:tcPr>
            <w:tcW w:w="2590" w:type="dxa"/>
            <w:shd w:val="clear" w:color="auto" w:fill="auto"/>
          </w:tcPr>
          <w:p>
            <w:pPr>
              <w:pStyle w:val="GesAbsatz"/>
              <w:tabs>
                <w:tab w:val="clear" w:pos="425"/>
              </w:tabs>
              <w:jc w:val="center"/>
            </w:pPr>
            <w:r>
              <w:t>0 – 20</w:t>
            </w:r>
          </w:p>
        </w:tc>
        <w:tc>
          <w:tcPr>
            <w:tcW w:w="2655" w:type="dxa"/>
            <w:shd w:val="clear" w:color="auto" w:fill="auto"/>
          </w:tcPr>
          <w:p>
            <w:pPr>
              <w:pStyle w:val="GesAbsatz"/>
              <w:tabs>
                <w:tab w:val="clear" w:pos="425"/>
              </w:tabs>
              <w:jc w:val="center"/>
            </w:pPr>
            <w:r>
              <w:t>0 – 40</w:t>
            </w:r>
          </w:p>
        </w:tc>
        <w:tc>
          <w:tcPr>
            <w:tcW w:w="1675" w:type="dxa"/>
            <w:shd w:val="clear" w:color="auto" w:fill="auto"/>
          </w:tcPr>
          <w:p>
            <w:pPr>
              <w:pStyle w:val="GesAbsatz"/>
              <w:tabs>
                <w:tab w:val="clear" w:pos="425"/>
              </w:tabs>
              <w:jc w:val="center"/>
            </w:pPr>
            <w:r>
              <w:t>m/s</w:t>
            </w:r>
          </w:p>
        </w:tc>
      </w:tr>
    </w:tbl>
    <w:p>
      <w:pPr>
        <w:pStyle w:val="GesAbsatz"/>
      </w:pPr>
      <w:r>
        <w:t>Softwareversionen: Sensor (Version 1 – 3): 21.4.14</w:t>
      </w:r>
    </w:p>
    <w:p>
      <w:pPr>
        <w:pStyle w:val="GesAbsatz"/>
      </w:pPr>
      <w:r>
        <w:t>Sensor (Version 4 – 10): 1.4.14</w:t>
      </w:r>
    </w:p>
    <w:p>
      <w:pPr>
        <w:pStyle w:val="GesAbsatz"/>
      </w:pPr>
      <w:r>
        <w:lastRenderedPageBreak/>
        <w:t>MCU: 1.08.01</w:t>
      </w:r>
    </w:p>
    <w:p>
      <w:pPr>
        <w:pStyle w:val="GesAbsatz"/>
      </w:pPr>
      <w:r>
        <w:t>SOPAS ET: 02.32</w:t>
      </w:r>
    </w:p>
    <w:p>
      <w:pPr>
        <w:pStyle w:val="GesAbsatz"/>
      </w:pPr>
      <w:r>
        <w:t>Einschränkungen:</w:t>
      </w:r>
    </w:p>
    <w:p>
      <w:pPr>
        <w:pStyle w:val="GesAbsatz"/>
      </w:pPr>
      <w:r>
        <w:t>Keine</w:t>
      </w:r>
    </w:p>
    <w:p>
      <w:pPr>
        <w:pStyle w:val="GesAbsatz"/>
      </w:pPr>
      <w:r>
        <w:t>Hinweise:</w:t>
      </w:r>
    </w:p>
    <w:p>
      <w:pPr>
        <w:pStyle w:val="GesAbsatz"/>
      </w:pPr>
      <w:r>
        <w:t>1.</w:t>
      </w:r>
      <w:r>
        <w:tab/>
        <w:t>Die folgenden Versionen wurden während der Eignungsprüfung geprüft:</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992"/>
        <w:gridCol w:w="2977"/>
      </w:tblGrid>
      <w:tr>
        <w:tc>
          <w:tcPr>
            <w:tcW w:w="675" w:type="dxa"/>
            <w:shd w:val="clear" w:color="auto" w:fill="auto"/>
          </w:tcPr>
          <w:p>
            <w:pPr>
              <w:pStyle w:val="GesAbsatz"/>
              <w:tabs>
                <w:tab w:val="clear" w:pos="425"/>
              </w:tabs>
            </w:pPr>
            <w:r>
              <w:t>1</w:t>
            </w:r>
          </w:p>
        </w:tc>
        <w:tc>
          <w:tcPr>
            <w:tcW w:w="2977" w:type="dxa"/>
            <w:shd w:val="clear" w:color="auto" w:fill="auto"/>
          </w:tcPr>
          <w:p>
            <w:pPr>
              <w:pStyle w:val="GesAbsatz"/>
              <w:tabs>
                <w:tab w:val="clear" w:pos="425"/>
              </w:tabs>
            </w:pPr>
            <w:r>
              <w:t xml:space="preserve">FLOWSIC100 PR </w:t>
            </w:r>
          </w:p>
        </w:tc>
        <w:tc>
          <w:tcPr>
            <w:tcW w:w="992" w:type="dxa"/>
            <w:shd w:val="clear" w:color="auto" w:fill="auto"/>
          </w:tcPr>
          <w:p>
            <w:pPr>
              <w:pStyle w:val="GesAbsatz"/>
              <w:tabs>
                <w:tab w:val="clear" w:pos="425"/>
              </w:tabs>
            </w:pPr>
            <w:r>
              <w:t>6</w:t>
            </w:r>
          </w:p>
        </w:tc>
        <w:tc>
          <w:tcPr>
            <w:tcW w:w="2977" w:type="dxa"/>
            <w:shd w:val="clear" w:color="auto" w:fill="auto"/>
          </w:tcPr>
          <w:p>
            <w:pPr>
              <w:pStyle w:val="GesAbsatz"/>
              <w:tabs>
                <w:tab w:val="clear" w:pos="425"/>
              </w:tabs>
            </w:pPr>
            <w:r>
              <w:t>FLOWSIC100 H</w:t>
            </w:r>
          </w:p>
        </w:tc>
      </w:tr>
      <w:tr>
        <w:tc>
          <w:tcPr>
            <w:tcW w:w="675" w:type="dxa"/>
            <w:shd w:val="clear" w:color="auto" w:fill="auto"/>
          </w:tcPr>
          <w:p>
            <w:pPr>
              <w:pStyle w:val="GesAbsatz"/>
              <w:tabs>
                <w:tab w:val="clear" w:pos="425"/>
              </w:tabs>
            </w:pPr>
            <w:r>
              <w:t xml:space="preserve">2 </w:t>
            </w:r>
          </w:p>
        </w:tc>
        <w:tc>
          <w:tcPr>
            <w:tcW w:w="2977" w:type="dxa"/>
            <w:shd w:val="clear" w:color="auto" w:fill="auto"/>
          </w:tcPr>
          <w:p>
            <w:pPr>
              <w:pStyle w:val="GesAbsatz"/>
              <w:tabs>
                <w:tab w:val="clear" w:pos="425"/>
              </w:tabs>
            </w:pPr>
            <w:r>
              <w:t xml:space="preserve">FLOWSIC100 PR-AC </w:t>
            </w:r>
          </w:p>
        </w:tc>
        <w:tc>
          <w:tcPr>
            <w:tcW w:w="992" w:type="dxa"/>
            <w:shd w:val="clear" w:color="auto" w:fill="auto"/>
          </w:tcPr>
          <w:p>
            <w:pPr>
              <w:pStyle w:val="GesAbsatz"/>
              <w:tabs>
                <w:tab w:val="clear" w:pos="425"/>
              </w:tabs>
            </w:pPr>
            <w:r>
              <w:t xml:space="preserve">7 </w:t>
            </w:r>
          </w:p>
        </w:tc>
        <w:tc>
          <w:tcPr>
            <w:tcW w:w="2977" w:type="dxa"/>
            <w:shd w:val="clear" w:color="auto" w:fill="auto"/>
          </w:tcPr>
          <w:p>
            <w:pPr>
              <w:pStyle w:val="GesAbsatz"/>
              <w:tabs>
                <w:tab w:val="clear" w:pos="425"/>
              </w:tabs>
            </w:pPr>
            <w:r>
              <w:t>FLOWSIC100 H-AC</w:t>
            </w:r>
          </w:p>
        </w:tc>
      </w:tr>
      <w:tr>
        <w:tc>
          <w:tcPr>
            <w:tcW w:w="675" w:type="dxa"/>
            <w:shd w:val="clear" w:color="auto" w:fill="auto"/>
          </w:tcPr>
          <w:p>
            <w:pPr>
              <w:pStyle w:val="GesAbsatz"/>
              <w:tabs>
                <w:tab w:val="clear" w:pos="425"/>
              </w:tabs>
            </w:pPr>
            <w:r>
              <w:t>3</w:t>
            </w:r>
          </w:p>
        </w:tc>
        <w:tc>
          <w:tcPr>
            <w:tcW w:w="2977" w:type="dxa"/>
            <w:shd w:val="clear" w:color="auto" w:fill="auto"/>
          </w:tcPr>
          <w:p>
            <w:pPr>
              <w:pStyle w:val="GesAbsatz"/>
              <w:tabs>
                <w:tab w:val="clear" w:pos="425"/>
              </w:tabs>
            </w:pPr>
            <w:r>
              <w:t xml:space="preserve">FLOWSIC100 S </w:t>
            </w:r>
          </w:p>
        </w:tc>
        <w:tc>
          <w:tcPr>
            <w:tcW w:w="992" w:type="dxa"/>
            <w:shd w:val="clear" w:color="auto" w:fill="auto"/>
          </w:tcPr>
          <w:p>
            <w:pPr>
              <w:pStyle w:val="GesAbsatz"/>
              <w:tabs>
                <w:tab w:val="clear" w:pos="425"/>
              </w:tabs>
            </w:pPr>
            <w:r>
              <w:t xml:space="preserve">8 </w:t>
            </w:r>
          </w:p>
        </w:tc>
        <w:tc>
          <w:tcPr>
            <w:tcW w:w="2977" w:type="dxa"/>
            <w:shd w:val="clear" w:color="auto" w:fill="auto"/>
          </w:tcPr>
          <w:p>
            <w:pPr>
              <w:pStyle w:val="GesAbsatz"/>
              <w:tabs>
                <w:tab w:val="clear" w:pos="425"/>
              </w:tabs>
            </w:pPr>
            <w:r>
              <w:t>FLOWSIC100 PM</w:t>
            </w:r>
          </w:p>
        </w:tc>
      </w:tr>
      <w:tr>
        <w:tc>
          <w:tcPr>
            <w:tcW w:w="675" w:type="dxa"/>
            <w:shd w:val="clear" w:color="auto" w:fill="auto"/>
          </w:tcPr>
          <w:p>
            <w:pPr>
              <w:pStyle w:val="GesAbsatz"/>
              <w:tabs>
                <w:tab w:val="clear" w:pos="425"/>
              </w:tabs>
            </w:pPr>
            <w:r>
              <w:t xml:space="preserve">4 </w:t>
            </w:r>
          </w:p>
        </w:tc>
        <w:tc>
          <w:tcPr>
            <w:tcW w:w="2977" w:type="dxa"/>
            <w:shd w:val="clear" w:color="auto" w:fill="auto"/>
          </w:tcPr>
          <w:p>
            <w:pPr>
              <w:pStyle w:val="GesAbsatz"/>
              <w:tabs>
                <w:tab w:val="clear" w:pos="425"/>
              </w:tabs>
            </w:pPr>
            <w:r>
              <w:t xml:space="preserve">FLOWSIC100 M </w:t>
            </w:r>
          </w:p>
        </w:tc>
        <w:tc>
          <w:tcPr>
            <w:tcW w:w="992" w:type="dxa"/>
            <w:shd w:val="clear" w:color="auto" w:fill="auto"/>
          </w:tcPr>
          <w:p>
            <w:pPr>
              <w:pStyle w:val="GesAbsatz"/>
              <w:tabs>
                <w:tab w:val="clear" w:pos="425"/>
              </w:tabs>
            </w:pPr>
            <w:r>
              <w:t xml:space="preserve">9 </w:t>
            </w:r>
          </w:p>
        </w:tc>
        <w:tc>
          <w:tcPr>
            <w:tcW w:w="2977" w:type="dxa"/>
            <w:shd w:val="clear" w:color="auto" w:fill="auto"/>
          </w:tcPr>
          <w:p>
            <w:pPr>
              <w:pStyle w:val="GesAbsatz"/>
              <w:tabs>
                <w:tab w:val="clear" w:pos="425"/>
              </w:tabs>
            </w:pPr>
            <w:r>
              <w:t>FLOWSIC100 PH</w:t>
            </w:r>
          </w:p>
        </w:tc>
      </w:tr>
      <w:tr>
        <w:tc>
          <w:tcPr>
            <w:tcW w:w="675" w:type="dxa"/>
            <w:shd w:val="clear" w:color="auto" w:fill="auto"/>
          </w:tcPr>
          <w:p>
            <w:pPr>
              <w:pStyle w:val="GesAbsatz"/>
              <w:tabs>
                <w:tab w:val="clear" w:pos="425"/>
              </w:tabs>
            </w:pPr>
            <w:r>
              <w:t>5</w:t>
            </w:r>
          </w:p>
        </w:tc>
        <w:tc>
          <w:tcPr>
            <w:tcW w:w="2977" w:type="dxa"/>
            <w:shd w:val="clear" w:color="auto" w:fill="auto"/>
          </w:tcPr>
          <w:p>
            <w:pPr>
              <w:pStyle w:val="GesAbsatz"/>
              <w:tabs>
                <w:tab w:val="clear" w:pos="425"/>
              </w:tabs>
            </w:pPr>
            <w:r>
              <w:t xml:space="preserve"> FLOWSIC100 M-AC </w:t>
            </w:r>
          </w:p>
        </w:tc>
        <w:tc>
          <w:tcPr>
            <w:tcW w:w="992" w:type="dxa"/>
            <w:shd w:val="clear" w:color="auto" w:fill="auto"/>
          </w:tcPr>
          <w:p>
            <w:pPr>
              <w:pStyle w:val="GesAbsatz"/>
              <w:tabs>
                <w:tab w:val="clear" w:pos="425"/>
              </w:tabs>
            </w:pPr>
            <w:r>
              <w:t xml:space="preserve">10 </w:t>
            </w:r>
          </w:p>
        </w:tc>
        <w:tc>
          <w:tcPr>
            <w:tcW w:w="2977" w:type="dxa"/>
            <w:shd w:val="clear" w:color="auto" w:fill="auto"/>
          </w:tcPr>
          <w:p>
            <w:pPr>
              <w:pStyle w:val="GesAbsatz"/>
              <w:tabs>
                <w:tab w:val="clear" w:pos="425"/>
              </w:tabs>
            </w:pPr>
            <w:r>
              <w:t>FLOWSIC100 PH-S</w:t>
            </w:r>
          </w:p>
        </w:tc>
      </w:tr>
    </w:tbl>
    <w:p>
      <w:pPr>
        <w:pStyle w:val="GesAbsatz"/>
      </w:pPr>
      <w:r>
        <w:t>2.</w:t>
      </w:r>
      <w:r>
        <w:tab/>
        <w:t>Das Wartungsintervall beträgt sechs Monate.</w:t>
      </w:r>
    </w:p>
    <w:p>
      <w:pPr>
        <w:pStyle w:val="GesAbsatz"/>
        <w:ind w:left="426" w:hanging="426"/>
      </w:pPr>
      <w:r>
        <w:t>3.</w:t>
      </w:r>
      <w:r>
        <w:tab/>
        <w:t>Ergänzungsprüfung (Überführung in die DIN EN 15267) zu den Bekanntmachungen des Umweltbundesamtes vom 19. Februar 2009 (BAnz. S. 899, Kapitel II Nummer 1.1) und vom 10. Januar 2011 (BAnz. S. 294, Kapitel IV Mitteilung 15 und 30).</w:t>
      </w:r>
    </w:p>
    <w:p>
      <w:pPr>
        <w:pStyle w:val="GesAbsatz"/>
      </w:pPr>
      <w:r>
        <w:t>Prüfbericht: TÜV Rheinland Energie und Umwelt GmbH, Köln</w:t>
      </w:r>
    </w:p>
    <w:p>
      <w:pPr>
        <w:pStyle w:val="GesAbsatz"/>
      </w:pPr>
      <w:r>
        <w:t>Bericht-Nr.: 936/21220596/A vom 28. September 2012</w:t>
      </w:r>
    </w:p>
    <w:p>
      <w:pPr>
        <w:pStyle w:val="GesAbsatz"/>
        <w:rPr>
          <w:b/>
        </w:rPr>
      </w:pPr>
      <w:r>
        <w:rPr>
          <w:b/>
        </w:rPr>
        <w:t>2.3</w:t>
      </w:r>
      <w:r>
        <w:rPr>
          <w:b/>
        </w:rPr>
        <w:tab/>
        <w:t>SDF 22/32/50 für Abgasgeschwindigkeit</w:t>
      </w:r>
    </w:p>
    <w:p>
      <w:pPr>
        <w:pStyle w:val="GesAbsatz"/>
      </w:pPr>
      <w:r>
        <w:t>Hersteller:</w:t>
      </w:r>
    </w:p>
    <w:p>
      <w:pPr>
        <w:pStyle w:val="GesAbsatz"/>
      </w:pPr>
      <w:r>
        <w:t>S. K. I. GmbH, Mönchengladbach</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59"/>
        <w:gridCol w:w="1607"/>
        <w:gridCol w:w="1417"/>
        <w:gridCol w:w="1379"/>
      </w:tblGrid>
      <w:tr>
        <w:tc>
          <w:tcPr>
            <w:tcW w:w="2518" w:type="dxa"/>
            <w:shd w:val="clear" w:color="auto" w:fill="auto"/>
          </w:tcPr>
          <w:p>
            <w:pPr>
              <w:pStyle w:val="GesAbsatz"/>
              <w:tabs>
                <w:tab w:val="clear" w:pos="425"/>
              </w:tabs>
              <w:jc w:val="center"/>
            </w:pPr>
            <w:r>
              <w:t>Komponente</w:t>
            </w:r>
          </w:p>
        </w:tc>
        <w:tc>
          <w:tcPr>
            <w:tcW w:w="2259" w:type="dxa"/>
            <w:shd w:val="clear" w:color="auto" w:fill="auto"/>
          </w:tcPr>
          <w:p>
            <w:pPr>
              <w:pStyle w:val="GesAbsatz"/>
              <w:tabs>
                <w:tab w:val="clear" w:pos="425"/>
              </w:tabs>
              <w:jc w:val="center"/>
            </w:pPr>
            <w:r>
              <w:t>Zertifizierungsbereich</w:t>
            </w:r>
          </w:p>
        </w:tc>
        <w:tc>
          <w:tcPr>
            <w:tcW w:w="3024" w:type="dxa"/>
            <w:gridSpan w:val="2"/>
            <w:shd w:val="clear" w:color="auto" w:fill="auto"/>
          </w:tcPr>
          <w:p>
            <w:pPr>
              <w:pStyle w:val="GesAbsatz"/>
              <w:tabs>
                <w:tab w:val="clear" w:pos="425"/>
              </w:tabs>
              <w:jc w:val="center"/>
            </w:pPr>
            <w:r>
              <w:t>zusätzliche Messbereiche</w:t>
            </w:r>
          </w:p>
        </w:tc>
        <w:tc>
          <w:tcPr>
            <w:tcW w:w="1379" w:type="dxa"/>
            <w:shd w:val="clear" w:color="auto" w:fill="auto"/>
          </w:tcPr>
          <w:p>
            <w:pPr>
              <w:pStyle w:val="GesAbsatz"/>
              <w:tabs>
                <w:tab w:val="clear" w:pos="425"/>
              </w:tabs>
              <w:jc w:val="center"/>
            </w:pPr>
            <w:r>
              <w:t>Einheit</w:t>
            </w:r>
          </w:p>
        </w:tc>
      </w:tr>
      <w:tr>
        <w:tc>
          <w:tcPr>
            <w:tcW w:w="2518" w:type="dxa"/>
            <w:shd w:val="clear" w:color="auto" w:fill="auto"/>
          </w:tcPr>
          <w:p>
            <w:pPr>
              <w:pStyle w:val="GesAbsatz"/>
              <w:tabs>
                <w:tab w:val="clear" w:pos="425"/>
              </w:tabs>
            </w:pPr>
            <w:r>
              <w:t xml:space="preserve">Abgasgeschwindigkeit </w:t>
            </w:r>
          </w:p>
        </w:tc>
        <w:tc>
          <w:tcPr>
            <w:tcW w:w="2259" w:type="dxa"/>
            <w:shd w:val="clear" w:color="auto" w:fill="auto"/>
          </w:tcPr>
          <w:p>
            <w:pPr>
              <w:pStyle w:val="GesAbsatz"/>
              <w:tabs>
                <w:tab w:val="clear" w:pos="425"/>
              </w:tabs>
              <w:jc w:val="center"/>
            </w:pPr>
            <w:r>
              <w:t>2 – 20</w:t>
            </w:r>
          </w:p>
        </w:tc>
        <w:tc>
          <w:tcPr>
            <w:tcW w:w="1607" w:type="dxa"/>
            <w:shd w:val="clear" w:color="auto" w:fill="auto"/>
          </w:tcPr>
          <w:p>
            <w:pPr>
              <w:pStyle w:val="GesAbsatz"/>
              <w:tabs>
                <w:tab w:val="clear" w:pos="425"/>
              </w:tabs>
              <w:jc w:val="center"/>
            </w:pPr>
            <w:r>
              <w:t>2 – 40</w:t>
            </w:r>
          </w:p>
        </w:tc>
        <w:tc>
          <w:tcPr>
            <w:tcW w:w="1417" w:type="dxa"/>
            <w:shd w:val="clear" w:color="auto" w:fill="auto"/>
          </w:tcPr>
          <w:p>
            <w:pPr>
              <w:pStyle w:val="GesAbsatz"/>
              <w:tabs>
                <w:tab w:val="clear" w:pos="425"/>
              </w:tabs>
              <w:jc w:val="center"/>
            </w:pPr>
            <w:r>
              <w:t>2 – 60</w:t>
            </w:r>
          </w:p>
        </w:tc>
        <w:tc>
          <w:tcPr>
            <w:tcW w:w="1379" w:type="dxa"/>
            <w:shd w:val="clear" w:color="auto" w:fill="auto"/>
          </w:tcPr>
          <w:p>
            <w:pPr>
              <w:pStyle w:val="GesAbsatz"/>
              <w:tabs>
                <w:tab w:val="clear" w:pos="425"/>
              </w:tabs>
              <w:jc w:val="center"/>
            </w:pPr>
            <w:r>
              <w:t>m/s</w:t>
            </w:r>
          </w:p>
        </w:tc>
      </w:tr>
    </w:tbl>
    <w:p>
      <w:pPr>
        <w:pStyle w:val="GesAbsatz"/>
      </w:pPr>
      <w:r>
        <w:t>Softwareversion: LSE-QAL-2.10</w:t>
      </w:r>
    </w:p>
    <w:p>
      <w:pPr>
        <w:pStyle w:val="GesAbsatz"/>
      </w:pPr>
      <w:r>
        <w:t>Einschränkung:</w:t>
      </w:r>
    </w:p>
    <w:p>
      <w:pPr>
        <w:pStyle w:val="GesAbsatz"/>
      </w:pPr>
      <w:r>
        <w:t>Die untere Grenze des Geschwindigkeitsmessbereichs beträgt 2 m/s.</w:t>
      </w:r>
    </w:p>
    <w:p>
      <w:pPr>
        <w:pStyle w:val="GesAbsatz"/>
      </w:pPr>
      <w:r>
        <w:t>Hinweise:</w:t>
      </w:r>
    </w:p>
    <w:p>
      <w:pPr>
        <w:pStyle w:val="GesAbsatz"/>
        <w:ind w:left="426" w:hanging="426"/>
      </w:pPr>
      <w:r>
        <w:t>1.</w:t>
      </w:r>
      <w:r>
        <w:tab/>
        <w:t>Nach einer Filterstörung mit hoher Staubbelastung ist die Sonde auf Verschmutzungen zu überprüfen und gegebenenfalls zu reinigen.</w:t>
      </w:r>
    </w:p>
    <w:p>
      <w:pPr>
        <w:pStyle w:val="GesAbsatz"/>
      </w:pPr>
      <w:r>
        <w:t>2.</w:t>
      </w:r>
      <w:r>
        <w:tab/>
        <w:t>Das Wartungsintervall beträgt vier Wochen.</w:t>
      </w:r>
    </w:p>
    <w:p>
      <w:pPr>
        <w:pStyle w:val="GesAbsatz"/>
      </w:pPr>
      <w:r>
        <w:t>3.</w:t>
      </w:r>
      <w:r>
        <w:tab/>
        <w:t>Es gibt 3 unterschiedliche Sonden, die sich in der Größe des Profils unterscheiden, SDF 22, 32 und 50.</w:t>
      </w:r>
    </w:p>
    <w:p>
      <w:pPr>
        <w:pStyle w:val="GesAbsatz"/>
      </w:pPr>
      <w:r>
        <w:t>Prüfbericht: TÜV Rheinland Energie und Umwelt GmbH, Köln</w:t>
      </w:r>
    </w:p>
    <w:p>
      <w:pPr>
        <w:pStyle w:val="GesAbsatz"/>
      </w:pPr>
      <w:r>
        <w:t>Bericht-Nr.: 936/21219344/A vom 8. Oktober 2012</w:t>
      </w:r>
    </w:p>
    <w:p>
      <w:pPr>
        <w:pStyle w:val="GesAbsatz"/>
        <w:rPr>
          <w:b/>
        </w:rPr>
      </w:pPr>
      <w:r>
        <w:rPr>
          <w:b/>
        </w:rPr>
        <w:t>2.4</w:t>
      </w:r>
      <w:r>
        <w:rPr>
          <w:b/>
        </w:rPr>
        <w:tab/>
      </w:r>
      <w:proofErr w:type="spellStart"/>
      <w:r>
        <w:rPr>
          <w:b/>
        </w:rPr>
        <w:t>Torbar</w:t>
      </w:r>
      <w:proofErr w:type="spellEnd"/>
      <w:r>
        <w:rPr>
          <w:b/>
        </w:rPr>
        <w:t xml:space="preserve"> für Abgasgeschwindigkeit</w:t>
      </w:r>
    </w:p>
    <w:p>
      <w:pPr>
        <w:pStyle w:val="GesAbsatz"/>
      </w:pPr>
      <w:r>
        <w:t>Hersteller:</w:t>
      </w:r>
    </w:p>
    <w:p>
      <w:pPr>
        <w:pStyle w:val="GesAbsatz"/>
      </w:pPr>
      <w:r>
        <w:t xml:space="preserve">ABB Ltd., </w:t>
      </w:r>
      <w:proofErr w:type="spellStart"/>
      <w:r>
        <w:t>Workington</w:t>
      </w:r>
      <w:proofErr w:type="spellEnd"/>
      <w:r>
        <w:t>, Vereinigtes Königreich</w:t>
      </w:r>
    </w:p>
    <w:p>
      <w:pPr>
        <w:pStyle w:val="GesAbsatz"/>
      </w:pPr>
      <w:r>
        <w:t>Eignung:</w:t>
      </w:r>
    </w:p>
    <w:p>
      <w:pPr>
        <w:pStyle w:val="GesAbsatz"/>
      </w:pPr>
      <w:r>
        <w:t>Für genehmigungsbedürftige Anlagen sowie Anlagen der 27. BImSchV</w:t>
      </w:r>
    </w:p>
    <w:p>
      <w:pPr>
        <w:pStyle w:val="GesAbsatz"/>
      </w:pPr>
      <w:r>
        <w:t>Messbereiche in der Eignungsprüfung:</w:t>
      </w:r>
    </w:p>
    <w:p>
      <w:pPr>
        <w:pStyle w:val="GesAbsatz"/>
      </w:pPr>
      <w:r>
        <w:t>Type A:</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268"/>
      </w:tblGrid>
      <w:tr>
        <w:tc>
          <w:tcPr>
            <w:tcW w:w="2943" w:type="dxa"/>
            <w:shd w:val="clear" w:color="auto" w:fill="auto"/>
          </w:tcPr>
          <w:p>
            <w:pPr>
              <w:pStyle w:val="GesAbsatz"/>
              <w:tabs>
                <w:tab w:val="clear" w:pos="425"/>
              </w:tabs>
              <w:jc w:val="center"/>
            </w:pPr>
            <w:r>
              <w:lastRenderedPageBreak/>
              <w:t>Komponente</w:t>
            </w:r>
          </w:p>
        </w:tc>
        <w:tc>
          <w:tcPr>
            <w:tcW w:w="2552" w:type="dxa"/>
            <w:shd w:val="clear" w:color="auto" w:fill="auto"/>
          </w:tcPr>
          <w:p>
            <w:pPr>
              <w:pStyle w:val="GesAbsatz"/>
              <w:tabs>
                <w:tab w:val="clear" w:pos="425"/>
              </w:tabs>
              <w:jc w:val="center"/>
            </w:pPr>
            <w:r>
              <w:t>Zertifizierungsbereich</w:t>
            </w:r>
          </w:p>
        </w:tc>
        <w:tc>
          <w:tcPr>
            <w:tcW w:w="2268" w:type="dxa"/>
            <w:shd w:val="clear" w:color="auto" w:fill="auto"/>
          </w:tcPr>
          <w:p>
            <w:pPr>
              <w:pStyle w:val="GesAbsatz"/>
              <w:tabs>
                <w:tab w:val="clear" w:pos="425"/>
              </w:tabs>
              <w:jc w:val="center"/>
            </w:pPr>
            <w:r>
              <w:t>Einheit</w:t>
            </w:r>
          </w:p>
        </w:tc>
      </w:tr>
      <w:tr>
        <w:tc>
          <w:tcPr>
            <w:tcW w:w="2943" w:type="dxa"/>
            <w:shd w:val="clear" w:color="auto" w:fill="auto"/>
          </w:tcPr>
          <w:p>
            <w:pPr>
              <w:pStyle w:val="GesAbsatz"/>
              <w:tabs>
                <w:tab w:val="clear" w:pos="425"/>
              </w:tabs>
            </w:pPr>
            <w:r>
              <w:t xml:space="preserve">Abgasgeschwindigkeit </w:t>
            </w:r>
          </w:p>
        </w:tc>
        <w:tc>
          <w:tcPr>
            <w:tcW w:w="2552" w:type="dxa"/>
            <w:shd w:val="clear" w:color="auto" w:fill="auto"/>
          </w:tcPr>
          <w:p>
            <w:pPr>
              <w:pStyle w:val="GesAbsatz"/>
              <w:tabs>
                <w:tab w:val="clear" w:pos="425"/>
              </w:tabs>
              <w:jc w:val="center"/>
            </w:pPr>
            <w:r>
              <w:t>2 – 25</w:t>
            </w:r>
          </w:p>
        </w:tc>
        <w:tc>
          <w:tcPr>
            <w:tcW w:w="2268" w:type="dxa"/>
            <w:shd w:val="clear" w:color="auto" w:fill="auto"/>
          </w:tcPr>
          <w:p>
            <w:pPr>
              <w:pStyle w:val="GesAbsatz"/>
              <w:tabs>
                <w:tab w:val="clear" w:pos="425"/>
              </w:tabs>
              <w:jc w:val="center"/>
            </w:pPr>
            <w:r>
              <w:t>m/s</w:t>
            </w:r>
          </w:p>
        </w:tc>
      </w:tr>
    </w:tbl>
    <w:p>
      <w:pPr>
        <w:pStyle w:val="GesAbsatz"/>
      </w:pPr>
      <w:r>
        <w:t>Type C:</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268"/>
      </w:tblGrid>
      <w:tr>
        <w:tc>
          <w:tcPr>
            <w:tcW w:w="2943" w:type="dxa"/>
            <w:shd w:val="clear" w:color="auto" w:fill="auto"/>
          </w:tcPr>
          <w:p>
            <w:pPr>
              <w:pStyle w:val="GesAbsatz"/>
              <w:tabs>
                <w:tab w:val="clear" w:pos="425"/>
              </w:tabs>
              <w:jc w:val="center"/>
            </w:pPr>
            <w:r>
              <w:t>Komponente</w:t>
            </w:r>
          </w:p>
        </w:tc>
        <w:tc>
          <w:tcPr>
            <w:tcW w:w="2552" w:type="dxa"/>
            <w:shd w:val="clear" w:color="auto" w:fill="auto"/>
          </w:tcPr>
          <w:p>
            <w:pPr>
              <w:pStyle w:val="GesAbsatz"/>
              <w:tabs>
                <w:tab w:val="clear" w:pos="425"/>
              </w:tabs>
              <w:jc w:val="center"/>
            </w:pPr>
            <w:r>
              <w:t>zusätzlicher Messbereich</w:t>
            </w:r>
          </w:p>
        </w:tc>
        <w:tc>
          <w:tcPr>
            <w:tcW w:w="2268" w:type="dxa"/>
            <w:shd w:val="clear" w:color="auto" w:fill="auto"/>
          </w:tcPr>
          <w:p>
            <w:pPr>
              <w:pStyle w:val="GesAbsatz"/>
              <w:tabs>
                <w:tab w:val="clear" w:pos="425"/>
              </w:tabs>
              <w:jc w:val="center"/>
            </w:pPr>
            <w:r>
              <w:t>Einheit</w:t>
            </w:r>
          </w:p>
        </w:tc>
      </w:tr>
      <w:tr>
        <w:tc>
          <w:tcPr>
            <w:tcW w:w="2943" w:type="dxa"/>
            <w:shd w:val="clear" w:color="auto" w:fill="auto"/>
          </w:tcPr>
          <w:p>
            <w:pPr>
              <w:pStyle w:val="GesAbsatz"/>
              <w:tabs>
                <w:tab w:val="clear" w:pos="425"/>
              </w:tabs>
            </w:pPr>
            <w:r>
              <w:t xml:space="preserve">Abgasgeschwindigkeit </w:t>
            </w:r>
          </w:p>
        </w:tc>
        <w:tc>
          <w:tcPr>
            <w:tcW w:w="2552" w:type="dxa"/>
            <w:shd w:val="clear" w:color="auto" w:fill="auto"/>
          </w:tcPr>
          <w:p>
            <w:pPr>
              <w:pStyle w:val="GesAbsatz"/>
              <w:tabs>
                <w:tab w:val="clear" w:pos="425"/>
              </w:tabs>
              <w:jc w:val="center"/>
            </w:pPr>
            <w:r>
              <w:t>2 – 35</w:t>
            </w:r>
          </w:p>
        </w:tc>
        <w:tc>
          <w:tcPr>
            <w:tcW w:w="2268" w:type="dxa"/>
            <w:shd w:val="clear" w:color="auto" w:fill="auto"/>
          </w:tcPr>
          <w:p>
            <w:pPr>
              <w:pStyle w:val="GesAbsatz"/>
              <w:tabs>
                <w:tab w:val="clear" w:pos="425"/>
              </w:tabs>
              <w:jc w:val="center"/>
            </w:pPr>
            <w:r>
              <w:t>m/s</w:t>
            </w:r>
          </w:p>
        </w:tc>
      </w:tr>
    </w:tbl>
    <w:p>
      <w:pPr>
        <w:pStyle w:val="GesAbsatz"/>
      </w:pPr>
      <w:r>
        <w:t>Softwareversion: Version 27</w:t>
      </w:r>
    </w:p>
    <w:p>
      <w:pPr>
        <w:pStyle w:val="GesAbsatz"/>
      </w:pPr>
      <w:r>
        <w:t>Einschränkung:</w:t>
      </w:r>
    </w:p>
    <w:p>
      <w:pPr>
        <w:pStyle w:val="GesAbsatz"/>
      </w:pPr>
      <w:r>
        <w:t>Die untere Grenze des Geschwindigkeitsmessbereichs beträgt 2 m/s.</w:t>
      </w:r>
    </w:p>
    <w:p>
      <w:pPr>
        <w:pStyle w:val="GesAbsatz"/>
      </w:pPr>
      <w:r>
        <w:t>Hinweise:</w:t>
      </w:r>
    </w:p>
    <w:p>
      <w:pPr>
        <w:pStyle w:val="GesAbsatz"/>
        <w:ind w:left="426" w:hanging="426"/>
      </w:pPr>
      <w:r>
        <w:t>1.</w:t>
      </w:r>
      <w:r>
        <w:tab/>
        <w:t>Nach einer Filterstörung mit hoher Staubbelastung ist die Sonde auf Verschmutzungen zu überprüfen und gegebenenfalls zu reinigen.</w:t>
      </w:r>
    </w:p>
    <w:p>
      <w:pPr>
        <w:pStyle w:val="GesAbsatz"/>
      </w:pPr>
      <w:r>
        <w:t>2.</w:t>
      </w:r>
      <w:r>
        <w:tab/>
        <w:t>Das Wartungsintervall beträgt vier Wochen.</w:t>
      </w:r>
    </w:p>
    <w:p>
      <w:pPr>
        <w:pStyle w:val="GesAbsatz"/>
      </w:pPr>
      <w:r>
        <w:t>3.</w:t>
      </w:r>
      <w:r>
        <w:tab/>
        <w:t>Es können 2 unterschiedliche Drucktransmittertypen zum Einsatz kommen, Type A und Type C.</w:t>
      </w:r>
    </w:p>
    <w:p>
      <w:pPr>
        <w:pStyle w:val="GesAbsatz"/>
      </w:pPr>
      <w:r>
        <w:t>Prüfbericht: TÜV Rheinland Energie und Umwelt GmbH, Köln</w:t>
      </w:r>
    </w:p>
    <w:p>
      <w:pPr>
        <w:pStyle w:val="GesAbsatz"/>
      </w:pPr>
      <w:r>
        <w:t>Bericht-Nr.: 936/21215448/A vom 11. Oktober 2012</w:t>
      </w:r>
    </w:p>
    <w:p>
      <w:pPr>
        <w:pStyle w:val="GesAbsatz"/>
        <w:rPr>
          <w:b/>
        </w:rPr>
      </w:pPr>
      <w:r>
        <w:rPr>
          <w:b/>
        </w:rPr>
        <w:t>2.5</w:t>
      </w:r>
      <w:r>
        <w:rPr>
          <w:b/>
        </w:rPr>
        <w:tab/>
        <w:t>D-FL 100 für Abgasgeschwindigkeit</w:t>
      </w:r>
    </w:p>
    <w:p>
      <w:pPr>
        <w:pStyle w:val="GesAbsatz"/>
      </w:pPr>
      <w:r>
        <w:t>Hersteller:</w:t>
      </w:r>
    </w:p>
    <w:p>
      <w:pPr>
        <w:pStyle w:val="GesAbsatz"/>
      </w:pPr>
      <w:r>
        <w:t>DURAG GmbH, Hamburg</w:t>
      </w:r>
    </w:p>
    <w:p>
      <w:pPr>
        <w:pStyle w:val="GesAbsatz"/>
      </w:pPr>
      <w:r>
        <w:t>Eignung:</w:t>
      </w:r>
    </w:p>
    <w:p>
      <w:pPr>
        <w:pStyle w:val="GesAbsatz"/>
      </w:pPr>
      <w:r>
        <w:t>Für genehmigungsbedürftige Anlagen sowie Anlagen der 27. BImSchV</w:t>
      </w:r>
    </w:p>
    <w:p>
      <w:pPr>
        <w:pStyle w:val="GesAbsatz"/>
      </w:pPr>
      <w:r>
        <w:t>Messbereiche in der Eignungsprüfung:</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268"/>
      </w:tblGrid>
      <w:tr>
        <w:tc>
          <w:tcPr>
            <w:tcW w:w="2943" w:type="dxa"/>
            <w:shd w:val="clear" w:color="auto" w:fill="auto"/>
          </w:tcPr>
          <w:p>
            <w:pPr>
              <w:pStyle w:val="GesAbsatz"/>
              <w:tabs>
                <w:tab w:val="clear" w:pos="425"/>
              </w:tabs>
              <w:jc w:val="center"/>
            </w:pPr>
            <w:r>
              <w:t>Komponente</w:t>
            </w:r>
          </w:p>
        </w:tc>
        <w:tc>
          <w:tcPr>
            <w:tcW w:w="2552" w:type="dxa"/>
            <w:shd w:val="clear" w:color="auto" w:fill="auto"/>
          </w:tcPr>
          <w:p>
            <w:pPr>
              <w:pStyle w:val="GesAbsatz"/>
              <w:tabs>
                <w:tab w:val="clear" w:pos="425"/>
              </w:tabs>
              <w:jc w:val="center"/>
            </w:pPr>
            <w:r>
              <w:t>Zertifizierungsbereich</w:t>
            </w:r>
          </w:p>
        </w:tc>
        <w:tc>
          <w:tcPr>
            <w:tcW w:w="2268" w:type="dxa"/>
            <w:shd w:val="clear" w:color="auto" w:fill="auto"/>
          </w:tcPr>
          <w:p>
            <w:pPr>
              <w:pStyle w:val="GesAbsatz"/>
              <w:tabs>
                <w:tab w:val="clear" w:pos="425"/>
              </w:tabs>
              <w:jc w:val="center"/>
            </w:pPr>
            <w:r>
              <w:t>Einheit</w:t>
            </w:r>
          </w:p>
        </w:tc>
      </w:tr>
      <w:tr>
        <w:tc>
          <w:tcPr>
            <w:tcW w:w="2943" w:type="dxa"/>
            <w:shd w:val="clear" w:color="auto" w:fill="auto"/>
          </w:tcPr>
          <w:p>
            <w:pPr>
              <w:pStyle w:val="GesAbsatz"/>
              <w:tabs>
                <w:tab w:val="clear" w:pos="425"/>
              </w:tabs>
            </w:pPr>
            <w:r>
              <w:t>Abgasgeschwindigkeit</w:t>
            </w:r>
          </w:p>
        </w:tc>
        <w:tc>
          <w:tcPr>
            <w:tcW w:w="2552" w:type="dxa"/>
            <w:shd w:val="clear" w:color="auto" w:fill="auto"/>
          </w:tcPr>
          <w:p>
            <w:pPr>
              <w:pStyle w:val="GesAbsatz"/>
              <w:tabs>
                <w:tab w:val="clear" w:pos="425"/>
              </w:tabs>
              <w:jc w:val="center"/>
            </w:pPr>
            <w:r>
              <w:t>3 – 30</w:t>
            </w:r>
          </w:p>
        </w:tc>
        <w:tc>
          <w:tcPr>
            <w:tcW w:w="2268" w:type="dxa"/>
            <w:shd w:val="clear" w:color="auto" w:fill="auto"/>
          </w:tcPr>
          <w:p>
            <w:pPr>
              <w:pStyle w:val="GesAbsatz"/>
              <w:tabs>
                <w:tab w:val="clear" w:pos="425"/>
              </w:tabs>
              <w:jc w:val="center"/>
            </w:pPr>
            <w:r>
              <w:t>m/s</w:t>
            </w:r>
          </w:p>
        </w:tc>
      </w:tr>
    </w:tbl>
    <w:p>
      <w:pPr>
        <w:pStyle w:val="GesAbsatz"/>
        <w:rPr>
          <w:lang w:val="en-US"/>
        </w:rPr>
      </w:pPr>
      <w:r>
        <w:t xml:space="preserve">Softwareversionen: D-FL 100-10: V. 2.0, </w:t>
      </w:r>
      <w:proofErr w:type="spellStart"/>
      <w:r>
        <w:t>Hardw</w:t>
      </w:r>
      <w:proofErr w:type="spellEnd"/>
      <w:r>
        <w:t xml:space="preserve">. </w:t>
      </w:r>
      <w:r>
        <w:rPr>
          <w:lang w:val="en-US"/>
        </w:rPr>
        <w:t>Rev. 3,</w:t>
      </w:r>
    </w:p>
    <w:p>
      <w:pPr>
        <w:pStyle w:val="GesAbsatz"/>
        <w:rPr>
          <w:lang w:val="en-US"/>
        </w:rPr>
      </w:pPr>
      <w:r>
        <w:rPr>
          <w:lang w:val="en-US"/>
        </w:rPr>
        <w:t>D-FL 100-20: V. 01.00R0000</w:t>
      </w:r>
    </w:p>
    <w:p>
      <w:pPr>
        <w:pStyle w:val="GesAbsatz"/>
        <w:rPr>
          <w:lang w:val="en-US"/>
        </w:rPr>
      </w:pPr>
      <w:r>
        <w:rPr>
          <w:lang w:val="en-US"/>
        </w:rPr>
        <w:t>D-ISC 100: V. 01.00R0100</w:t>
      </w:r>
    </w:p>
    <w:p>
      <w:pPr>
        <w:pStyle w:val="GesAbsatz"/>
      </w:pPr>
      <w:r>
        <w:t>D-ESI 100: V. 1.0.330</w:t>
      </w:r>
    </w:p>
    <w:p>
      <w:pPr>
        <w:pStyle w:val="GesAbsatz"/>
      </w:pPr>
      <w:r>
        <w:t>Einschränkungen:</w:t>
      </w:r>
    </w:p>
    <w:p>
      <w:pPr>
        <w:pStyle w:val="GesAbsatz"/>
      </w:pPr>
      <w:r>
        <w:t>1.</w:t>
      </w:r>
      <w:r>
        <w:tab/>
        <w:t>Die Messeinrichtung kann nur in nicht wasserdampfgesättigtem Abgas eingesetzt werden.</w:t>
      </w:r>
    </w:p>
    <w:p>
      <w:pPr>
        <w:pStyle w:val="GesAbsatz"/>
      </w:pPr>
      <w:r>
        <w:t>2.</w:t>
      </w:r>
      <w:r>
        <w:tab/>
        <w:t>Die untere Grenze des Geschwindigkeitsmessbereichs beträgt 3 m/s.</w:t>
      </w:r>
    </w:p>
    <w:p>
      <w:pPr>
        <w:pStyle w:val="GesAbsatz"/>
      </w:pPr>
      <w:r>
        <w:t>Hinweise:</w:t>
      </w:r>
    </w:p>
    <w:p>
      <w:pPr>
        <w:pStyle w:val="GesAbsatz"/>
      </w:pPr>
      <w:r>
        <w:t>1.</w:t>
      </w:r>
      <w:r>
        <w:tab/>
        <w:t>Das Wartungsintervall beträgt vier Wochen.</w:t>
      </w:r>
    </w:p>
    <w:p>
      <w:pPr>
        <w:pStyle w:val="GesAbsatz"/>
        <w:ind w:left="426" w:hanging="426"/>
      </w:pPr>
      <w:r>
        <w:t>2.</w:t>
      </w:r>
      <w:r>
        <w:tab/>
        <w:t>Die Messeinrichtung D-FL 100 kann sowohl mit der Auswerteeinheit D-FL 100-10 als auch mit der Auswerteeinheit D-FL 100-20 eingesetzt werden.</w:t>
      </w:r>
    </w:p>
    <w:p>
      <w:pPr>
        <w:pStyle w:val="GesAbsatz"/>
        <w:ind w:left="426" w:hanging="426"/>
      </w:pPr>
      <w:r>
        <w:t>3.</w:t>
      </w:r>
      <w:r>
        <w:tab/>
        <w:t>Die Auswerteeinheit D-FL 100-20 verfügt über kein Display und keine Bedienmöglichkeit. Zur Parametrierung und Visualisierung von Messwerten wird die Software D-ESI 100 verwendet. Optional besteht die Möglichkeit zur Parametrierung der Auswerteeinheit und Visualisierung der Daten die Universal-Steuereinheit D-ISC 100 anzuschließen.</w:t>
      </w:r>
    </w:p>
    <w:p>
      <w:pPr>
        <w:pStyle w:val="GesAbsatz"/>
        <w:ind w:left="426" w:hanging="426"/>
      </w:pPr>
      <w:r>
        <w:t>4.</w:t>
      </w:r>
      <w:r>
        <w:tab/>
        <w:t xml:space="preserve">Die Auswerteeinheit D-FL 100-20 verfügt über die digitale Schnittstelle </w:t>
      </w:r>
      <w:proofErr w:type="spellStart"/>
      <w:r>
        <w:t>Modbus</w:t>
      </w:r>
      <w:proofErr w:type="spellEnd"/>
      <w:r>
        <w:t xml:space="preserve"> (EIA-485, seriell) entsprechend VDI 4201 Blatt 1 und 3.</w:t>
      </w:r>
    </w:p>
    <w:p>
      <w:pPr>
        <w:pStyle w:val="GesAbsatz"/>
        <w:ind w:left="426" w:hanging="426"/>
      </w:pPr>
      <w:r>
        <w:t>5.</w:t>
      </w:r>
      <w:r>
        <w:tab/>
        <w:t xml:space="preserve">Bei Kombination der Auswerteeinheit D-FL 100-20 mit der Universal-Steuereinheit D-ISC 100 ist die </w:t>
      </w:r>
      <w:proofErr w:type="spellStart"/>
      <w:r>
        <w:t>Modbus</w:t>
      </w:r>
      <w:proofErr w:type="spellEnd"/>
      <w:r>
        <w:t>-Schnittstelle nach VDI 4201 nicht nutzbar.</w:t>
      </w:r>
    </w:p>
    <w:p>
      <w:pPr>
        <w:pStyle w:val="GesAbsatz"/>
      </w:pPr>
      <w:r>
        <w:t>Prüfbericht: TÜV Rheinland Energie und Umwelt GmbH, Köln</w:t>
      </w:r>
    </w:p>
    <w:p>
      <w:pPr>
        <w:pStyle w:val="GesAbsatz"/>
      </w:pPr>
      <w:r>
        <w:t>Bericht-Nr.: 936/21218492/A vom 11. Oktober 2012</w:t>
      </w:r>
    </w:p>
    <w:p>
      <w:pPr>
        <w:pStyle w:val="berschrift2"/>
      </w:pPr>
      <w:bookmarkStart w:id="5" w:name="_Toc395254041"/>
      <w:r>
        <w:lastRenderedPageBreak/>
        <w:t>III.</w:t>
      </w:r>
      <w:r>
        <w:br/>
        <w:t>Eignung elektronischer Systeme zum Erfassen und Auswerten</w:t>
      </w:r>
      <w:r>
        <w:br/>
        <w:t>kontinuierlicher Emissionsmessungen und zur Emissionsdatenfernübertragung</w:t>
      </w:r>
      <w:bookmarkEnd w:id="5"/>
    </w:p>
    <w:p>
      <w:pPr>
        <w:pStyle w:val="GesAbsatz"/>
        <w:rPr>
          <w:b/>
        </w:rPr>
      </w:pPr>
      <w:r>
        <w:rPr>
          <w:b/>
        </w:rPr>
        <w:t>1</w:t>
      </w:r>
      <w:r>
        <w:rPr>
          <w:b/>
        </w:rPr>
        <w:tab/>
        <w:t>Auswerterechner</w:t>
      </w:r>
    </w:p>
    <w:p>
      <w:pPr>
        <w:pStyle w:val="GesAbsatz"/>
        <w:rPr>
          <w:b/>
        </w:rPr>
      </w:pPr>
      <w:r>
        <w:rPr>
          <w:b/>
        </w:rPr>
        <w:t>1.1</w:t>
      </w:r>
      <w:r>
        <w:rPr>
          <w:b/>
        </w:rPr>
        <w:tab/>
        <w:t>MEAC2012 (Software-Version 3.00)</w:t>
      </w:r>
    </w:p>
    <w:p>
      <w:pPr>
        <w:pStyle w:val="GesAbsatz"/>
      </w:pPr>
      <w:r>
        <w:t>Hersteller:</w:t>
      </w:r>
    </w:p>
    <w:p>
      <w:pPr>
        <w:pStyle w:val="GesAbsatz"/>
      </w:pPr>
      <w:r>
        <w:t>SICK MAIHAK GmbH, Hamburg</w:t>
      </w:r>
    </w:p>
    <w:p>
      <w:pPr>
        <w:pStyle w:val="GesAbsatz"/>
      </w:pPr>
      <w:r>
        <w:t>Eignung:</w:t>
      </w:r>
    </w:p>
    <w:p>
      <w:pPr>
        <w:pStyle w:val="GesAbsatz"/>
      </w:pPr>
      <w:r>
        <w:t>Emissionsdatenerfassung, -auswertung und -fernübertragung an Anlagen mit kontinuierlicher Überwachung</w:t>
      </w:r>
    </w:p>
    <w:p>
      <w:pPr>
        <w:pStyle w:val="GesAbsatz"/>
      </w:pPr>
      <w:r>
        <w:t>Softwareversion: 3.00</w:t>
      </w:r>
    </w:p>
    <w:p>
      <w:pPr>
        <w:pStyle w:val="GesAbsatz"/>
      </w:pPr>
      <w:r>
        <w:t>Einschränkung:</w:t>
      </w:r>
    </w:p>
    <w:p>
      <w:pPr>
        <w:pStyle w:val="GesAbsatz"/>
      </w:pPr>
      <w:r>
        <w:t xml:space="preserve">Bei Einsatz von </w:t>
      </w:r>
      <w:proofErr w:type="spellStart"/>
      <w:r>
        <w:t>DAE’s</w:t>
      </w:r>
      <w:proofErr w:type="spellEnd"/>
      <w:r>
        <w:t xml:space="preserve"> zur Datenerfassung darf die Umgebungstemperatur von –5 °C nicht unterschritten werden.</w:t>
      </w:r>
    </w:p>
    <w:p>
      <w:pPr>
        <w:pStyle w:val="GesAbsatz"/>
      </w:pPr>
      <w:r>
        <w:t>Hinweis:</w:t>
      </w:r>
    </w:p>
    <w:p>
      <w:pPr>
        <w:pStyle w:val="GesAbsatz"/>
      </w:pPr>
      <w:r>
        <w:t>Ergänzungsprüfung (Softwareversionsänderung Version 3.0) zu der Bekanntmachung des Umweltbundesamtes vom 21. Februar 2006 (BAnz. S. 2653, Kapitel III Nummer 1.5).</w:t>
      </w:r>
    </w:p>
    <w:p>
      <w:pPr>
        <w:pStyle w:val="GesAbsatz"/>
      </w:pPr>
      <w:r>
        <w:t>Prüfinstitut: TÜV Süd Industrie Service GmbH, München</w:t>
      </w:r>
    </w:p>
    <w:p>
      <w:pPr>
        <w:pStyle w:val="GesAbsatz"/>
      </w:pPr>
      <w:r>
        <w:t>Bericht-Nr.: 1724510 vom 9. Januar 2013</w:t>
      </w:r>
    </w:p>
    <w:p>
      <w:pPr>
        <w:pStyle w:val="GesAbsatz"/>
        <w:ind w:left="426" w:hanging="426"/>
        <w:rPr>
          <w:b/>
        </w:rPr>
      </w:pPr>
      <w:r>
        <w:rPr>
          <w:b/>
        </w:rPr>
        <w:t>1.2</w:t>
      </w:r>
      <w:r>
        <w:rPr>
          <w:b/>
        </w:rPr>
        <w:tab/>
        <w:t>EMI3000 (Version 2.00) in Kombination mit einem UNIX-Rechner oder Windows PC und der Software EFÜ</w:t>
      </w:r>
    </w:p>
    <w:p>
      <w:pPr>
        <w:pStyle w:val="GesAbsatz"/>
      </w:pPr>
      <w:r>
        <w:t>Hersteller:</w:t>
      </w:r>
    </w:p>
    <w:p>
      <w:pPr>
        <w:pStyle w:val="GesAbsatz"/>
      </w:pPr>
      <w:r>
        <w:t>ITBK Ingenieurgesellschaft mbH, Bruchköbel</w:t>
      </w:r>
    </w:p>
    <w:p>
      <w:pPr>
        <w:pStyle w:val="GesAbsatz"/>
      </w:pPr>
      <w:r>
        <w:t>Eignung:</w:t>
      </w:r>
    </w:p>
    <w:p>
      <w:pPr>
        <w:pStyle w:val="GesAbsatz"/>
      </w:pPr>
      <w:r>
        <w:t>Emissionsdatenerfassung, -auswertung und -fernübertragung an Anlagen mit kontinuierlicher Überwachung</w:t>
      </w:r>
    </w:p>
    <w:p>
      <w:pPr>
        <w:pStyle w:val="GesAbsatz"/>
      </w:pPr>
      <w:r>
        <w:t>Softwareversionen:</w:t>
      </w:r>
    </w:p>
    <w:p>
      <w:pPr>
        <w:pStyle w:val="GesAbsatz"/>
      </w:pPr>
      <w:r>
        <w:t>Modul: EMI3000 V 2.0</w:t>
      </w:r>
    </w:p>
    <w:p>
      <w:pPr>
        <w:pStyle w:val="GesAbsatz"/>
      </w:pPr>
      <w:r>
        <w:t>Beschreibung: Emissionsauswertesystem ohne EFÜ</w:t>
      </w:r>
    </w:p>
    <w:p>
      <w:pPr>
        <w:pStyle w:val="GesAbsatz"/>
      </w:pPr>
      <w:r>
        <w:t>Modul: EMI3000 EFÜ V 2.0</w:t>
      </w:r>
    </w:p>
    <w:p>
      <w:pPr>
        <w:pStyle w:val="GesAbsatz"/>
      </w:pPr>
      <w:r>
        <w:t>Beschreibung: EFÜ-Fernübertragungsmodul</w:t>
      </w:r>
    </w:p>
    <w:p>
      <w:pPr>
        <w:pStyle w:val="GesAbsatz"/>
      </w:pPr>
      <w:r>
        <w:t>Voraussetzung: Für den Betrieb von EFÜ ist mindestens die Softwareversion V 2.0 erforderlich.</w:t>
      </w:r>
    </w:p>
    <w:p>
      <w:pPr>
        <w:pStyle w:val="GesAbsatz"/>
      </w:pPr>
      <w:r>
        <w:t>Einschränkungen:</w:t>
      </w:r>
    </w:p>
    <w:p>
      <w:pPr>
        <w:pStyle w:val="GesAbsatz"/>
        <w:ind w:left="426" w:hanging="426"/>
      </w:pPr>
      <w:r>
        <w:t>1.</w:t>
      </w:r>
      <w:r>
        <w:tab/>
        <w:t>Um das System in Kombination mit einem Auswerte-PC und vor Zugriff auf gespeicherte Daten im Dauerbetrieb zu schützen, müssen die über den Administrator des PC-Betriebssystems erteilten Zugangsrechte bei Datei-Verwaltungsprogrammen (wie z.B. Explorer) beschränkt werden.</w:t>
      </w:r>
    </w:p>
    <w:p>
      <w:pPr>
        <w:pStyle w:val="GesAbsatz"/>
        <w:ind w:left="426" w:hanging="426"/>
      </w:pPr>
      <w:r>
        <w:t>2.</w:t>
      </w:r>
      <w:r>
        <w:tab/>
        <w:t>Eine Fernübertragung der Daten ist nur in Verbindung mit einem Auswerte-PC und der EFÜ-Software möglich.</w:t>
      </w:r>
    </w:p>
    <w:p>
      <w:pPr>
        <w:pStyle w:val="GesAbsatz"/>
      </w:pPr>
      <w:r>
        <w:t>Hinweis:</w:t>
      </w:r>
    </w:p>
    <w:p>
      <w:pPr>
        <w:pStyle w:val="GesAbsatz"/>
      </w:pPr>
      <w:r>
        <w:t>Die physikalischen Grenzen der Datenübertragung mittels RS 232C/RS 485 sind bei der Installation in Kombination mit einem Systemarbeitsplatz zu beachten.</w:t>
      </w:r>
    </w:p>
    <w:p>
      <w:pPr>
        <w:pStyle w:val="GesAbsatz"/>
      </w:pPr>
      <w:r>
        <w:t>Prüfinstitut: TÜV Süd Industrie Service GmbH, München</w:t>
      </w:r>
    </w:p>
    <w:p>
      <w:pPr>
        <w:pStyle w:val="GesAbsatz"/>
      </w:pPr>
      <w:r>
        <w:t>Bericht-Nr.: 1243631 vom 9. Januar 2013</w:t>
      </w:r>
    </w:p>
    <w:p>
      <w:pPr>
        <w:pStyle w:val="berschrift2"/>
      </w:pPr>
      <w:bookmarkStart w:id="6" w:name="_Toc395254042"/>
      <w:r>
        <w:lastRenderedPageBreak/>
        <w:t>IV.</w:t>
      </w:r>
      <w:r>
        <w:br/>
        <w:t>Eignung von Messeinrichtungen zur kontinuierlichen</w:t>
      </w:r>
      <w:r>
        <w:br/>
        <w:t>Überwachung von Immissionen</w:t>
      </w:r>
      <w:bookmarkEnd w:id="6"/>
    </w:p>
    <w:p>
      <w:pPr>
        <w:pStyle w:val="GesAbsatz"/>
      </w:pPr>
      <w:r>
        <w:t>Unter Bezugnahme auf die Nummer 3.2 der Bekanntmachung der für die Durchführung der Richtlinie 96/62/EG des Rates vom 27. September 1996 über die Beurteilung und Kontrolle der Luftqualität zuständigen Stellen vom 1. Oktober 1998 (BAnz. S. 15 126) wird im Auftrag des BMU die Eignung der folgenden Messeinrichtung bekannt gegeben:</w:t>
      </w:r>
    </w:p>
    <w:p>
      <w:pPr>
        <w:pStyle w:val="GesAbsatz"/>
        <w:rPr>
          <w:b/>
        </w:rPr>
      </w:pPr>
      <w:r>
        <w:rPr>
          <w:b/>
        </w:rPr>
        <w:t>1</w:t>
      </w:r>
      <w:r>
        <w:rPr>
          <w:b/>
        </w:rPr>
        <w:tab/>
        <w:t>Benzol</w:t>
      </w:r>
    </w:p>
    <w:p>
      <w:pPr>
        <w:pStyle w:val="GesAbsatz"/>
        <w:rPr>
          <w:b/>
        </w:rPr>
      </w:pPr>
      <w:r>
        <w:rPr>
          <w:b/>
        </w:rPr>
        <w:t>1.1</w:t>
      </w:r>
      <w:r>
        <w:rPr>
          <w:b/>
        </w:rPr>
        <w:tab/>
        <w:t>VOC72M für Benzol</w:t>
      </w:r>
    </w:p>
    <w:p>
      <w:pPr>
        <w:pStyle w:val="GesAbsatz"/>
      </w:pPr>
      <w:r>
        <w:t>Hersteller:</w:t>
      </w:r>
    </w:p>
    <w:p>
      <w:pPr>
        <w:pStyle w:val="GesAbsatz"/>
      </w:pPr>
      <w:proofErr w:type="spellStart"/>
      <w:r>
        <w:t>Environnement</w:t>
      </w:r>
      <w:proofErr w:type="spellEnd"/>
      <w:r>
        <w:t xml:space="preserve"> S. A., </w:t>
      </w:r>
      <w:proofErr w:type="spellStart"/>
      <w:r>
        <w:t>Poissy</w:t>
      </w:r>
      <w:proofErr w:type="spellEnd"/>
      <w:r>
        <w:t>, Frankreich</w:t>
      </w:r>
    </w:p>
    <w:p>
      <w:pPr>
        <w:pStyle w:val="GesAbsatz"/>
      </w:pPr>
      <w:r>
        <w:t>Eignung:</w:t>
      </w:r>
    </w:p>
    <w:p>
      <w:pPr>
        <w:pStyle w:val="GesAbsatz"/>
      </w:pPr>
      <w:r>
        <w:t>Zur kontinuierlichen Bestimmung der Immissionskonzentration von Benzol in der Außenluft im stationären Einsatz</w:t>
      </w:r>
    </w:p>
    <w:p>
      <w:pPr>
        <w:pStyle w:val="GesAbsatz"/>
      </w:pPr>
      <w:r>
        <w:t>Messbereich in der Eignungsprüfung: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77"/>
        <w:gridCol w:w="2925"/>
      </w:tblGrid>
      <w:tr>
        <w:tc>
          <w:tcPr>
            <w:tcW w:w="2376" w:type="dxa"/>
            <w:shd w:val="clear" w:color="auto" w:fill="auto"/>
          </w:tcPr>
          <w:p>
            <w:pPr>
              <w:pStyle w:val="GesAbsatz"/>
              <w:tabs>
                <w:tab w:val="clear" w:pos="425"/>
              </w:tabs>
              <w:jc w:val="center"/>
            </w:pPr>
            <w:r>
              <w:t>Komponente</w:t>
            </w:r>
          </w:p>
        </w:tc>
        <w:tc>
          <w:tcPr>
            <w:tcW w:w="3577" w:type="dxa"/>
            <w:shd w:val="clear" w:color="auto" w:fill="auto"/>
          </w:tcPr>
          <w:p>
            <w:pPr>
              <w:pStyle w:val="GesAbsatz"/>
              <w:tabs>
                <w:tab w:val="clear" w:pos="425"/>
              </w:tabs>
              <w:jc w:val="center"/>
            </w:pPr>
            <w:r>
              <w:t>Zertifizierungsbereich</w:t>
            </w:r>
          </w:p>
        </w:tc>
        <w:tc>
          <w:tcPr>
            <w:tcW w:w="2925" w:type="dxa"/>
            <w:shd w:val="clear" w:color="auto" w:fill="auto"/>
          </w:tcPr>
          <w:p>
            <w:pPr>
              <w:pStyle w:val="GesAbsatz"/>
              <w:tabs>
                <w:tab w:val="clear" w:pos="425"/>
              </w:tabs>
              <w:jc w:val="center"/>
            </w:pPr>
            <w:r>
              <w:t>Einheit</w:t>
            </w:r>
          </w:p>
        </w:tc>
      </w:tr>
      <w:tr>
        <w:tc>
          <w:tcPr>
            <w:tcW w:w="2376" w:type="dxa"/>
            <w:shd w:val="clear" w:color="auto" w:fill="auto"/>
          </w:tcPr>
          <w:p>
            <w:pPr>
              <w:pStyle w:val="GesAbsatz"/>
              <w:tabs>
                <w:tab w:val="clear" w:pos="425"/>
              </w:tabs>
            </w:pPr>
            <w:r>
              <w:t xml:space="preserve">Benzol </w:t>
            </w:r>
          </w:p>
        </w:tc>
        <w:tc>
          <w:tcPr>
            <w:tcW w:w="3577" w:type="dxa"/>
            <w:shd w:val="clear" w:color="auto" w:fill="auto"/>
          </w:tcPr>
          <w:p>
            <w:pPr>
              <w:pStyle w:val="GesAbsatz"/>
              <w:tabs>
                <w:tab w:val="clear" w:pos="425"/>
              </w:tabs>
              <w:jc w:val="center"/>
            </w:pPr>
            <w:r>
              <w:t>0 – 50</w:t>
            </w:r>
          </w:p>
        </w:tc>
        <w:tc>
          <w:tcPr>
            <w:tcW w:w="2925" w:type="dxa"/>
            <w:shd w:val="clear" w:color="auto" w:fill="auto"/>
          </w:tcPr>
          <w:p>
            <w:pPr>
              <w:pStyle w:val="GesAbsatz"/>
              <w:tabs>
                <w:tab w:val="clear" w:pos="425"/>
              </w:tabs>
              <w:jc w:val="center"/>
            </w:pPr>
            <w:r>
              <w:t>μg/m</w:t>
            </w:r>
            <w:r>
              <w:rPr>
                <w:vertAlign w:val="superscript"/>
              </w:rPr>
              <w:t>3</w:t>
            </w:r>
          </w:p>
        </w:tc>
      </w:tr>
    </w:tbl>
    <w:p>
      <w:pPr>
        <w:pStyle w:val="GesAbsatz"/>
      </w:pPr>
      <w:r>
        <w:t>Softwareversion: 3.0.9</w:t>
      </w:r>
    </w:p>
    <w:p>
      <w:pPr>
        <w:pStyle w:val="GesAbsatz"/>
      </w:pPr>
      <w:r>
        <w:t>Einschränkung:</w:t>
      </w:r>
    </w:p>
    <w:p>
      <w:pPr>
        <w:pStyle w:val="GesAbsatz"/>
      </w:pPr>
      <w:r>
        <w:t>Der zulässige Umgebungstemperaturbereich am Aufstellungsort der Messeinrichtung beträgt 5 °C bis 35 °C.</w:t>
      </w:r>
    </w:p>
    <w:p>
      <w:pPr>
        <w:pStyle w:val="GesAbsatz"/>
      </w:pPr>
      <w:r>
        <w:t>Hinweise:</w:t>
      </w:r>
    </w:p>
    <w:p>
      <w:pPr>
        <w:pStyle w:val="GesAbsatz"/>
      </w:pPr>
      <w:r>
        <w:t>1.</w:t>
      </w:r>
      <w:r>
        <w:tab/>
        <w:t>Das Messgerät ist verfahrensbedingt nicht mit einem lebenden Nullpunkt ausgestattet.</w:t>
      </w:r>
    </w:p>
    <w:p>
      <w:pPr>
        <w:pStyle w:val="GesAbsatz"/>
      </w:pPr>
      <w:r>
        <w:t>2.</w:t>
      </w:r>
      <w:r>
        <w:tab/>
        <w:t>Die Messeinrichtung ist in einem verschließbaren Messcontainer zu betreiben.</w:t>
      </w:r>
    </w:p>
    <w:p>
      <w:pPr>
        <w:pStyle w:val="GesAbsatz"/>
      </w:pPr>
      <w:r>
        <w:t>3.</w:t>
      </w:r>
      <w:r>
        <w:tab/>
        <w:t>Der Prüfbericht über die Eignungsprüfung ist im Internet unter www.qal1.de einsehbar.</w:t>
      </w:r>
    </w:p>
    <w:p>
      <w:pPr>
        <w:pStyle w:val="GesAbsatz"/>
      </w:pPr>
      <w:r>
        <w:t>Prüfinstitut: TÜV Rheinland Energie und Umwelt GmbH, Köln</w:t>
      </w:r>
    </w:p>
    <w:p>
      <w:pPr>
        <w:pStyle w:val="GesAbsatz"/>
      </w:pPr>
      <w:r>
        <w:t>Bericht-Nr.: 936/21217807/A vom 6. August 2012</w:t>
      </w:r>
    </w:p>
    <w:p>
      <w:pPr>
        <w:pStyle w:val="berschrift2"/>
      </w:pPr>
      <w:bookmarkStart w:id="7" w:name="_Toc395254043"/>
      <w:r>
        <w:t>V.</w:t>
      </w:r>
      <w:r>
        <w:br/>
        <w:t>Mitteilungen zur Bundeseinheitlichen Praxis bei der Überwachung</w:t>
      </w:r>
      <w:r>
        <w:br/>
        <w:t>von Emissionen und Immissionen</w:t>
      </w:r>
      <w:bookmarkEnd w:id="7"/>
    </w:p>
    <w:p>
      <w:pPr>
        <w:pStyle w:val="GesAbsatz"/>
        <w:ind w:left="426" w:hanging="426"/>
        <w:rPr>
          <w:b/>
        </w:rPr>
      </w:pPr>
      <w:r>
        <w:rPr>
          <w:b/>
        </w:rPr>
        <w:t>1</w:t>
      </w:r>
      <w:r>
        <w:rPr>
          <w:b/>
        </w:rPr>
        <w:tab/>
        <w:t>Mitteilung zu der Bekanntmachung des Umweltbundesamtes vom 15. Juli 2011 (BAnz. S. 2725, Kapitel I Nummer 3.1)</w:t>
      </w:r>
    </w:p>
    <w:p>
      <w:pPr>
        <w:pStyle w:val="GesAbsatz"/>
      </w:pPr>
      <w:r>
        <w:t xml:space="preserve">Die Baugruppe Photometer der Emissionsmesseinrichtung HM 1400 TRX für Hg der Firma </w:t>
      </w:r>
      <w:proofErr w:type="spellStart"/>
      <w:r>
        <w:t>Verewa</w:t>
      </w:r>
      <w:proofErr w:type="spellEnd"/>
      <w:r>
        <w:t xml:space="preserve"> Umwelt- und Prozessmesstechnik GmbH wurde geändert und wird seit August 2012 unter der Bezeichnung HM-1400 PM im Werk der </w:t>
      </w:r>
      <w:proofErr w:type="spellStart"/>
      <w:r>
        <w:t>Verewa</w:t>
      </w:r>
      <w:proofErr w:type="spellEnd"/>
      <w:r>
        <w:t xml:space="preserve"> Umwelt- und Prozessmesstechnik GmbH hergestellt.</w:t>
      </w:r>
    </w:p>
    <w:p>
      <w:pPr>
        <w:pStyle w:val="GesAbsatz"/>
      </w:pPr>
      <w:r>
        <w:t>Stellungnahme des TÜV Nord Umweltschutz GmbH &amp; Co. KG vom 19. Oktober 2012</w:t>
      </w:r>
    </w:p>
    <w:p>
      <w:pPr>
        <w:pStyle w:val="GesAbsatz"/>
        <w:ind w:left="426" w:hanging="426"/>
        <w:rPr>
          <w:b/>
        </w:rPr>
      </w:pPr>
      <w:r>
        <w:rPr>
          <w:b/>
        </w:rPr>
        <w:t>2</w:t>
      </w:r>
      <w:r>
        <w:rPr>
          <w:b/>
        </w:rPr>
        <w:tab/>
        <w:t>Mitteilung zu den Bekanntmachungen des Umweltbundesamtes vom 12. April 2007 (BAnz. S. 4139, Kapitel III Nummer 1.2) und vom 6. Juli 2012 (BAnz AT 20.07.2012 B11, Kapitel IV, 6. Mitteilung)</w:t>
      </w:r>
    </w:p>
    <w:p>
      <w:pPr>
        <w:pStyle w:val="GesAbsatz"/>
      </w:pPr>
      <w:r>
        <w:t>Die Messeinrichtung BAM-1020 mit PM</w:t>
      </w:r>
      <w:r>
        <w:rPr>
          <w:vertAlign w:val="subscript"/>
        </w:rPr>
        <w:t>10</w:t>
      </w:r>
      <w:r>
        <w:t xml:space="preserve">-Vorabscheider der Fa. Met </w:t>
      </w:r>
      <w:proofErr w:type="spellStart"/>
      <w:r>
        <w:t>One</w:t>
      </w:r>
      <w:proofErr w:type="spellEnd"/>
      <w:r>
        <w:t xml:space="preserve"> Instruments, Inc. für die Messkomponente Schwebstaub PM</w:t>
      </w:r>
      <w:r>
        <w:rPr>
          <w:vertAlign w:val="subscript"/>
        </w:rPr>
        <w:t>10</w:t>
      </w:r>
      <w:r>
        <w:t xml:space="preserve"> erfüllt die Anforderungen der DIN EN 12341 (Ausgabe März 1998) sowie des Leitfadens „Demonstration </w:t>
      </w:r>
      <w:proofErr w:type="spellStart"/>
      <w:r>
        <w:t>of</w:t>
      </w:r>
      <w:proofErr w:type="spellEnd"/>
      <w:r>
        <w:t xml:space="preserve"> </w:t>
      </w:r>
      <w:proofErr w:type="spellStart"/>
      <w:r>
        <w:t>Equivalence</w:t>
      </w:r>
      <w:proofErr w:type="spellEnd"/>
      <w:r>
        <w:t xml:space="preserve"> </w:t>
      </w:r>
      <w:proofErr w:type="spellStart"/>
      <w:r>
        <w:t>of</w:t>
      </w:r>
      <w:proofErr w:type="spellEnd"/>
      <w:r>
        <w:t xml:space="preserve"> </w:t>
      </w:r>
      <w:proofErr w:type="spellStart"/>
      <w:r>
        <w:t>Ambient</w:t>
      </w:r>
      <w:proofErr w:type="spellEnd"/>
      <w:r>
        <w:t xml:space="preserve"> Air Monitoring </w:t>
      </w:r>
      <w:proofErr w:type="spellStart"/>
      <w:r>
        <w:t>Methods</w:t>
      </w:r>
      <w:proofErr w:type="spellEnd"/>
      <w:r>
        <w:t>“ in der Version vom Januar 2010. Darüber hinaus erfüllt die Herstellung und das Qualitätsmanagement der Messeinrichtung BAM-1020 mit PM10-Vorabscheider die Anforderungen der DIN EN 15267.</w:t>
      </w:r>
    </w:p>
    <w:p>
      <w:pPr>
        <w:pStyle w:val="GesAbsatz"/>
      </w:pPr>
      <w:r>
        <w:t>Der Prüfbericht über die Eignungsprüfung mit der Berichtsnummer 936/21205333/A sowie ein Addendum zum Prüfbericht mit der Berichtsnummer 936/21220762/A sind im Internet unter www.qal1.de einsehbar.</w:t>
      </w:r>
    </w:p>
    <w:p>
      <w:pPr>
        <w:pStyle w:val="GesAbsatz"/>
      </w:pPr>
      <w:r>
        <w:t>Stellungnahme der TÜV Rheinland Energie und Umwelt GmbH vom 4. Oktober 2012</w:t>
      </w:r>
    </w:p>
    <w:p>
      <w:pPr>
        <w:pStyle w:val="GesAbsatz"/>
        <w:ind w:left="426" w:hanging="426"/>
        <w:rPr>
          <w:b/>
        </w:rPr>
      </w:pPr>
      <w:r>
        <w:rPr>
          <w:b/>
        </w:rPr>
        <w:t>3</w:t>
      </w:r>
      <w:r>
        <w:rPr>
          <w:b/>
        </w:rPr>
        <w:tab/>
        <w:t>Mitteilung zu den Bekanntmachungen des Umweltbundesamtes vom 23. September 2007 (BAnz. S. 7925,</w:t>
      </w:r>
    </w:p>
    <w:p>
      <w:pPr>
        <w:pStyle w:val="GesAbsatz"/>
      </w:pPr>
      <w:r>
        <w:lastRenderedPageBreak/>
        <w:t>Kapitel II Nummer 1.1) und vom 10. Januar 2011 (BAnz. S. 294, Kapitel IV, 19. und 20. Mitteilung)</w:t>
      </w:r>
    </w:p>
    <w:p>
      <w:pPr>
        <w:pStyle w:val="GesAbsatz"/>
      </w:pPr>
      <w:r>
        <w:t xml:space="preserve">Die Messeinrichtung M100E bzw. T100 für SO2 der Fa. Teledyne </w:t>
      </w:r>
      <w:proofErr w:type="spellStart"/>
      <w:r>
        <w:t>Advanced</w:t>
      </w:r>
      <w:proofErr w:type="spellEnd"/>
      <w:r>
        <w:t xml:space="preserve"> Pollution Instrumentation erfüllt die Anforderungen der DIN EN 14212 (Ausgabe Juni 2005). Darüber hinaus erfüllt die Herstellung und das Qualitätsmanagement der Messeinrichtung M100E bzw. T100 für SO</w:t>
      </w:r>
      <w:r>
        <w:rPr>
          <w:vertAlign w:val="subscript"/>
        </w:rPr>
        <w:t>2</w:t>
      </w:r>
      <w:r>
        <w:t xml:space="preserve"> die Anforderungen der DIN EN 15267.</w:t>
      </w:r>
    </w:p>
    <w:p>
      <w:pPr>
        <w:pStyle w:val="GesAbsatz"/>
      </w:pPr>
      <w:r>
        <w:t>Der Prüfbericht über die Eignungsprüfung mit der Berichtsnummer 936/21205926/B sowie ein Addendum als fester Bestandteil zum Prüfbericht mit der Berichtsnummer 936/21219874/A sind im Internet unter www.qal1.de einsehbar.</w:t>
      </w:r>
    </w:p>
    <w:p>
      <w:pPr>
        <w:pStyle w:val="GesAbsatz"/>
      </w:pPr>
      <w:r>
        <w:t>Die aktuelle Softwareversion für die Messeinrichtung M100E lautet:</w:t>
      </w:r>
    </w:p>
    <w:p>
      <w:pPr>
        <w:pStyle w:val="GesAbsatz"/>
      </w:pPr>
      <w:r>
        <w:t>G.6 mit Library Version 6.4</w:t>
      </w:r>
    </w:p>
    <w:p>
      <w:pPr>
        <w:pStyle w:val="GesAbsatz"/>
      </w:pPr>
      <w:r>
        <w:t>Die aktuelle Softwareversion für die Messeinrichtung T100 lautet:</w:t>
      </w:r>
    </w:p>
    <w:p>
      <w:pPr>
        <w:pStyle w:val="GesAbsatz"/>
      </w:pPr>
      <w:r>
        <w:t>1.0.3 mit Library Version 7.0.3</w:t>
      </w:r>
    </w:p>
    <w:p>
      <w:pPr>
        <w:pStyle w:val="GesAbsatz"/>
      </w:pPr>
      <w:r>
        <w:t>Stellungnahme der TÜV Rheinland Energie und Umwelt GmbH vom 11. Oktober 2012</w:t>
      </w:r>
    </w:p>
    <w:p>
      <w:pPr>
        <w:pStyle w:val="GesAbsatz"/>
        <w:ind w:left="426" w:hanging="426"/>
        <w:rPr>
          <w:b/>
        </w:rPr>
      </w:pPr>
      <w:r>
        <w:rPr>
          <w:b/>
        </w:rPr>
        <w:t>4</w:t>
      </w:r>
      <w:r>
        <w:rPr>
          <w:b/>
        </w:rPr>
        <w:tab/>
        <w:t>Mitteilung zu den Bekanntmachungen des Umweltbundesamtes vom 23. September 2007 (BAnz. S. 7925, Kapitel II Nummer 2.1) und vom 10. Januar 2011 (BAnz. S. 294, Kapitel IV, 21. und 22. Mitteilung)</w:t>
      </w:r>
    </w:p>
    <w:p>
      <w:pPr>
        <w:pStyle w:val="GesAbsatz"/>
      </w:pPr>
      <w:r>
        <w:t xml:space="preserve">Die Messeinrichtung M200E bzw. T200 für NO, NO2 und NOx der Fa. Teledyne </w:t>
      </w:r>
      <w:proofErr w:type="spellStart"/>
      <w:r>
        <w:t>Advanced</w:t>
      </w:r>
      <w:proofErr w:type="spellEnd"/>
      <w:r>
        <w:t xml:space="preserve"> Pollution Instrumentation erfüllt die Anforderungen der DIN EN 14211 (Ausgabe Juni 2005). Darüber hinaus erfüllt die Herstellung und das Qualitätsmanagement der Messeinrichtung M200E bzw. T200 für NO, NO</w:t>
      </w:r>
      <w:r>
        <w:rPr>
          <w:vertAlign w:val="subscript"/>
        </w:rPr>
        <w:t>2</w:t>
      </w:r>
      <w:r>
        <w:t xml:space="preserve"> und NO</w:t>
      </w:r>
      <w:r>
        <w:rPr>
          <w:vertAlign w:val="subscript"/>
        </w:rPr>
        <w:t>x</w:t>
      </w:r>
      <w:r>
        <w:t xml:space="preserve"> die Anforderungen der DIN EN 15267.</w:t>
      </w:r>
    </w:p>
    <w:p>
      <w:pPr>
        <w:pStyle w:val="GesAbsatz"/>
      </w:pPr>
      <w:r>
        <w:t>Der Prüfbericht über die Eignungsprüfung mit der Berichtsnummer 936/21205926/A sowie ein Addendum als fester Bestandteil zum Prüfbericht mit der Berichtsnummer 936/21219874/B sind im Internet unter www.qal1.de einsehbar.</w:t>
      </w:r>
    </w:p>
    <w:p>
      <w:pPr>
        <w:pStyle w:val="GesAbsatz"/>
      </w:pPr>
      <w:r>
        <w:t>Die aktuelle Softwareversion für die Messeinrichtung M200E lautet:</w:t>
      </w:r>
    </w:p>
    <w:p>
      <w:pPr>
        <w:pStyle w:val="GesAbsatz"/>
      </w:pPr>
      <w:r>
        <w:t>K.7 mit Library Version 6.4</w:t>
      </w:r>
    </w:p>
    <w:p>
      <w:pPr>
        <w:pStyle w:val="GesAbsatz"/>
      </w:pPr>
      <w:r>
        <w:t>Die aktuelle Softwareversion für die Messeinrichtung T200 lautet:</w:t>
      </w:r>
    </w:p>
    <w:p>
      <w:pPr>
        <w:pStyle w:val="GesAbsatz"/>
      </w:pPr>
      <w:r>
        <w:t>1.0.4 mit Library Version 7.0.3</w:t>
      </w:r>
    </w:p>
    <w:p>
      <w:pPr>
        <w:pStyle w:val="GesAbsatz"/>
      </w:pPr>
      <w:r>
        <w:t>Stellungnahme der TÜV Rheinland Energie und Umwelt GmbH vom 11. Oktober 2012</w:t>
      </w:r>
    </w:p>
    <w:p>
      <w:pPr>
        <w:pStyle w:val="GesAbsatz"/>
        <w:ind w:left="426" w:hanging="426"/>
        <w:rPr>
          <w:b/>
        </w:rPr>
      </w:pPr>
      <w:r>
        <w:rPr>
          <w:b/>
        </w:rPr>
        <w:t>5</w:t>
      </w:r>
      <w:r>
        <w:rPr>
          <w:b/>
        </w:rPr>
        <w:tab/>
        <w:t>Mitteilung zu den Bekanntmachungen des Umweltbundesamtes vom 25. Juli 2005 (BAnz. S. 15 700, Kapitel IV Nummer 2.1) und vom 10. Januar 2011 (BAnz. S. 294, Kapitel IV, 23. und 24. Mitteilung)</w:t>
      </w:r>
    </w:p>
    <w:p>
      <w:pPr>
        <w:pStyle w:val="GesAbsatz"/>
      </w:pPr>
      <w:r>
        <w:t xml:space="preserve">Die Messeinrichtung M300E bzw. T300 für CO der Fa. Teledyne </w:t>
      </w:r>
      <w:proofErr w:type="spellStart"/>
      <w:r>
        <w:t>Advanced</w:t>
      </w:r>
      <w:proofErr w:type="spellEnd"/>
      <w:r>
        <w:t xml:space="preserve"> Pollution Instrumentation erfüllt die Anforderungen der DIN EN 14626 (Ausgabe Juli 2005). Darüber hinaus erfüllt die Herstellung und das Qualitätsmanagement der Messeinrichtung M300E bzw. T300 für CO die Anforderungen der DIN EN 15267.</w:t>
      </w:r>
    </w:p>
    <w:p>
      <w:pPr>
        <w:pStyle w:val="GesAbsatz"/>
      </w:pPr>
      <w:r>
        <w:t>Der Prüfbericht über die Eignungsprüfung mit der Berichtsnummer 936/21207124/B1_DE sowie ein Addendum als fester Bestandteil zum Prüfbericht mit der Berichtsnummer 936/21219874/C sind im Internet unter www.qal1.de einsehbar.</w:t>
      </w:r>
    </w:p>
    <w:p>
      <w:pPr>
        <w:pStyle w:val="GesAbsatz"/>
      </w:pPr>
      <w:r>
        <w:t>Die aktuelle Softwareversion für die Messeinrichtung M300E lautet:</w:t>
      </w:r>
    </w:p>
    <w:p>
      <w:pPr>
        <w:pStyle w:val="GesAbsatz"/>
      </w:pPr>
      <w:r>
        <w:t>M.0 mit Library Version 6.4</w:t>
      </w:r>
    </w:p>
    <w:p>
      <w:pPr>
        <w:pStyle w:val="GesAbsatz"/>
      </w:pPr>
      <w:r>
        <w:t>Die aktuelle Softwareversion für die Messeinrichtung T300 lautet:</w:t>
      </w:r>
    </w:p>
    <w:p>
      <w:pPr>
        <w:pStyle w:val="GesAbsatz"/>
      </w:pPr>
      <w:r>
        <w:t>1.0.4 mit Library Version 7.0.3</w:t>
      </w:r>
    </w:p>
    <w:p>
      <w:pPr>
        <w:pStyle w:val="GesAbsatz"/>
      </w:pPr>
      <w:r>
        <w:t>Stellungnahme der TÜV Rheinland Energie und Umwelt GmbH vom 11. Oktober 2012</w:t>
      </w:r>
    </w:p>
    <w:p>
      <w:pPr>
        <w:pStyle w:val="GesAbsatz"/>
        <w:ind w:left="426" w:hanging="426"/>
        <w:rPr>
          <w:b/>
        </w:rPr>
      </w:pPr>
      <w:r>
        <w:rPr>
          <w:b/>
        </w:rPr>
        <w:t>6</w:t>
      </w:r>
      <w:r>
        <w:rPr>
          <w:b/>
        </w:rPr>
        <w:tab/>
        <w:t>Mitteilung zu den Bekanntmachungen des Umweltbundesamtes vom 25. Juli 2005 (BAnz. S. 15 700, Kapitel IV Nummer 3.1) und vom 10. Januar 2011 (BAnz. S. 294, Kapitel IV, 25. und 26. Mitteilung)</w:t>
      </w:r>
    </w:p>
    <w:p>
      <w:pPr>
        <w:pStyle w:val="GesAbsatz"/>
      </w:pPr>
      <w:r>
        <w:t>Die Messeinrichtung M400E bzw. T400 für O</w:t>
      </w:r>
      <w:r>
        <w:rPr>
          <w:vertAlign w:val="subscript"/>
        </w:rPr>
        <w:t>3</w:t>
      </w:r>
      <w:r>
        <w:t xml:space="preserve"> der Fa. Teledyne </w:t>
      </w:r>
      <w:proofErr w:type="spellStart"/>
      <w:r>
        <w:t>Advanced</w:t>
      </w:r>
      <w:proofErr w:type="spellEnd"/>
      <w:r>
        <w:t xml:space="preserve"> Pollution Instrumentation erfüllt die Anforderungen der DIN EN 14625 (Ausgabe Juli 2005). Darüber hinaus erfüllt die Herstellung und das Qualitätsmanagement der Messeinrichtung M400E bzw. T400 für O</w:t>
      </w:r>
      <w:r>
        <w:rPr>
          <w:vertAlign w:val="subscript"/>
        </w:rPr>
        <w:t>3</w:t>
      </w:r>
      <w:r>
        <w:t xml:space="preserve"> die Anforderungen der DIN EN 15267.</w:t>
      </w:r>
    </w:p>
    <w:p>
      <w:pPr>
        <w:pStyle w:val="GesAbsatz"/>
      </w:pPr>
      <w:r>
        <w:t>Der Prüfbericht über die Eignungsprüfung mit der Berichtsnummer 936/21207124/A1_DE sowie ein Addendum als fester Bestandteil zum Prüfbericht mit der Berichtsnummer 936/21219874/D sind im Internet unter www.qal1.de einsehbar.</w:t>
      </w:r>
    </w:p>
    <w:p>
      <w:pPr>
        <w:pStyle w:val="GesAbsatz"/>
      </w:pPr>
      <w:r>
        <w:t>Die aktuelle Softwareversion für die Messeinrichtung M400E lautet:</w:t>
      </w:r>
    </w:p>
    <w:p>
      <w:pPr>
        <w:pStyle w:val="GesAbsatz"/>
      </w:pPr>
      <w:r>
        <w:lastRenderedPageBreak/>
        <w:t>E.5 mit Library Version 6.4</w:t>
      </w:r>
    </w:p>
    <w:p>
      <w:pPr>
        <w:pStyle w:val="GesAbsatz"/>
      </w:pPr>
      <w:r>
        <w:t>Die aktuelle Softwareversion für die Messeinrichtung T400 lautet:</w:t>
      </w:r>
    </w:p>
    <w:p>
      <w:pPr>
        <w:pStyle w:val="GesAbsatz"/>
      </w:pPr>
      <w:r>
        <w:t>1.0.4 mit Library Version 7.0.3</w:t>
      </w:r>
    </w:p>
    <w:p>
      <w:pPr>
        <w:pStyle w:val="GesAbsatz"/>
      </w:pPr>
      <w:r>
        <w:t>Stellungnahme der TÜV Rheinland Energie und Umwelt GmbH vom 11. Oktober 2012</w:t>
      </w:r>
    </w:p>
    <w:p>
      <w:pPr>
        <w:pStyle w:val="GesAbsatz"/>
        <w:ind w:left="426" w:hanging="426"/>
        <w:rPr>
          <w:b/>
        </w:rPr>
      </w:pPr>
      <w:r>
        <w:rPr>
          <w:b/>
        </w:rPr>
        <w:t>7</w:t>
      </w:r>
      <w:r>
        <w:rPr>
          <w:b/>
        </w:rPr>
        <w:tab/>
        <w:t>Mitteilung zu den Bekanntmachungen des Umweltbundesamtes vom 21. Februar 2006 (BAnz. S. 2653, Kapitel IV Nummer 2.1) und vom 23. Februar 2012 (BAnz. S. 920, Kapitel V, 16. Mitteilung)</w:t>
      </w:r>
    </w:p>
    <w:p>
      <w:pPr>
        <w:pStyle w:val="GesAbsatz"/>
      </w:pPr>
      <w:r>
        <w:t>Die Messeinrichtung APMA 370 für CO der Firma Horiba Ltd., Japan sowie der Horiba Europe GmbH kann optional mit einem zusätzlichen Kalibriergaseingang ausgestattet werden. Die Zufuhr des Kalibriergases kann sowohl vor und hinter dem Messgasfilter mittels eines zusätzlichen Dreiwegeventils erfolgen.</w:t>
      </w:r>
    </w:p>
    <w:p>
      <w:pPr>
        <w:pStyle w:val="GesAbsatz"/>
      </w:pPr>
      <w:r>
        <w:t>Stellungnahme der TÜV Rheinland Energie und Umwelt GmbH vom 11. Oktober 2012</w:t>
      </w:r>
    </w:p>
    <w:p>
      <w:pPr>
        <w:pStyle w:val="GesAbsatz"/>
        <w:ind w:left="426" w:hanging="426"/>
        <w:rPr>
          <w:b/>
        </w:rPr>
      </w:pPr>
      <w:r>
        <w:rPr>
          <w:b/>
        </w:rPr>
        <w:t>8</w:t>
      </w:r>
      <w:r>
        <w:rPr>
          <w:b/>
        </w:rPr>
        <w:tab/>
        <w:t>Mitteilung zu den Bekanntmachungen des Umweltbundesamtes vom 12. September 2006 (BAnz. S. 6715, Kapitel IV Nummer 3.1) und vom 23. Februar 2012 (BAnz. S. 920, Kapitel V, 17. Mitteilung)</w:t>
      </w:r>
    </w:p>
    <w:p>
      <w:pPr>
        <w:pStyle w:val="GesAbsatz"/>
      </w:pPr>
      <w:r>
        <w:t>Die Messeinrichtung APNA 370 für NO, NO</w:t>
      </w:r>
      <w:r>
        <w:rPr>
          <w:vertAlign w:val="subscript"/>
        </w:rPr>
        <w:t>2</w:t>
      </w:r>
      <w:r>
        <w:t xml:space="preserve"> und NO</w:t>
      </w:r>
      <w:r>
        <w:rPr>
          <w:vertAlign w:val="subscript"/>
        </w:rPr>
        <w:t>x</w:t>
      </w:r>
      <w:r>
        <w:t xml:space="preserve"> der Firma Horiba Ltd., Japan sowie der Horiba Europe GmbH kann optional mit einem zusätzlichen Kalibriergaseingang ausgestattet werden. Die Zufuhr des Kalibriergases kann sowohl vor und hinter dem Messgasfilter mittels eines zusätzlichen Dreiwegeventils erfolgen.</w:t>
      </w:r>
    </w:p>
    <w:p>
      <w:pPr>
        <w:pStyle w:val="GesAbsatz"/>
      </w:pPr>
      <w:r>
        <w:t>Stellungnahme der TÜV Rheinland Energie und Umwelt GmbH vom 11. Oktober 2012</w:t>
      </w:r>
    </w:p>
    <w:p>
      <w:pPr>
        <w:pStyle w:val="GesAbsatz"/>
        <w:ind w:left="426" w:hanging="426"/>
        <w:rPr>
          <w:b/>
        </w:rPr>
      </w:pPr>
      <w:r>
        <w:rPr>
          <w:b/>
        </w:rPr>
        <w:t>9</w:t>
      </w:r>
      <w:r>
        <w:rPr>
          <w:b/>
        </w:rPr>
        <w:tab/>
        <w:t>Mitteilung zu den Bekanntmachungen des Umweltbundesamtes vom 21. Februar 2006 (BAnz. S. 2653, Kapitel IV Nummer 3.1) und vom 23. Februar 2012 (BAnz. S. 920, Kapitel V, 15. Mitteilung)</w:t>
      </w:r>
    </w:p>
    <w:p>
      <w:pPr>
        <w:pStyle w:val="GesAbsatz"/>
      </w:pPr>
      <w:r>
        <w:t>Die Messeinrichtung APOA 370 für O</w:t>
      </w:r>
      <w:r>
        <w:rPr>
          <w:vertAlign w:val="subscript"/>
        </w:rPr>
        <w:t>3</w:t>
      </w:r>
      <w:r>
        <w:t xml:space="preserve"> der Firma Horiba Ltd., Japan sowie der Horiba Europe GmbH kann optional mit einem zusätzlichen Kalibriergaseingang ausgestattet werden. Die Zufuhr des Kalibriergases kann sowohl vor und hinter dem Messgasfilter mittels eines zusätzlichen Dreiwegeventils erfolgen.</w:t>
      </w:r>
    </w:p>
    <w:p>
      <w:pPr>
        <w:pStyle w:val="GesAbsatz"/>
      </w:pPr>
      <w:r>
        <w:t>Stellungnahme der TÜV Rheinland Energie und Umwelt GmbH vom 11. Oktober 2012</w:t>
      </w:r>
    </w:p>
    <w:p>
      <w:pPr>
        <w:pStyle w:val="GesAbsatz"/>
        <w:ind w:left="426" w:hanging="426"/>
        <w:rPr>
          <w:b/>
        </w:rPr>
      </w:pPr>
      <w:r>
        <w:rPr>
          <w:b/>
        </w:rPr>
        <w:t>10</w:t>
      </w:r>
      <w:r>
        <w:rPr>
          <w:b/>
        </w:rPr>
        <w:tab/>
        <w:t>Mitteilung zu den Bekanntmachungen des Umweltbundesamtes vom 12. September 2006 (BAnz. S. 6715, Kapitel IV Nummer 2.1) und vom 23. Februar 2012 (BAnz. S. 920, Kapitel V, 18. Mitteilung)</w:t>
      </w:r>
    </w:p>
    <w:p>
      <w:pPr>
        <w:pStyle w:val="GesAbsatz"/>
      </w:pPr>
      <w:r>
        <w:t>Die Messeinrichtung APSA 370 für SO</w:t>
      </w:r>
      <w:r>
        <w:rPr>
          <w:vertAlign w:val="subscript"/>
        </w:rPr>
        <w:t>2</w:t>
      </w:r>
      <w:r>
        <w:t xml:space="preserve"> der Firma Horiba Ltd., Japan sowie der Horiba Europe GmbH kann optional mit einem zusätzlichen Kalibriergaseingang ausgestattet werden. Die Zufuhr des Kalibriergases kann sowohl vor und hinter dem Messgasfilter mittels eines zusätzlichen Dreiwegeventils erfolgen.</w:t>
      </w:r>
    </w:p>
    <w:p>
      <w:pPr>
        <w:pStyle w:val="GesAbsatz"/>
      </w:pPr>
      <w:r>
        <w:t>Stellungnahme der TÜV Rheinland Energie und Umwelt GmbH vom 11. Oktober 2012</w:t>
      </w:r>
    </w:p>
    <w:p>
      <w:pPr>
        <w:pStyle w:val="GesAbsatz"/>
        <w:ind w:left="426" w:hanging="426"/>
        <w:rPr>
          <w:b/>
        </w:rPr>
      </w:pPr>
      <w:r>
        <w:rPr>
          <w:b/>
        </w:rPr>
        <w:t>11</w:t>
      </w:r>
      <w:r>
        <w:rPr>
          <w:b/>
        </w:rPr>
        <w:tab/>
        <w:t>Mitteilung zu der Bekanntmachung des Umweltbundesamtes vom 23. Februar 2012 (BAnz. S. 920, Kapitel IV, Nummer 2.1)</w:t>
      </w:r>
    </w:p>
    <w:p>
      <w:pPr>
        <w:pStyle w:val="GesAbsatz"/>
      </w:pPr>
      <w:r>
        <w:t>Die Messeinrichtung AR500 mit ER120 für NO</w:t>
      </w:r>
      <w:r>
        <w:rPr>
          <w:vertAlign w:val="subscript"/>
        </w:rPr>
        <w:t>2</w:t>
      </w:r>
      <w:r>
        <w:t>, SO</w:t>
      </w:r>
      <w:r>
        <w:rPr>
          <w:vertAlign w:val="subscript"/>
        </w:rPr>
        <w:t>2</w:t>
      </w:r>
      <w:r>
        <w:t xml:space="preserve"> und O</w:t>
      </w:r>
      <w:r>
        <w:rPr>
          <w:vertAlign w:val="subscript"/>
        </w:rPr>
        <w:t>3</w:t>
      </w:r>
      <w:r>
        <w:t xml:space="preserve"> der Firma </w:t>
      </w:r>
      <w:proofErr w:type="spellStart"/>
      <w:r>
        <w:t>Opsis</w:t>
      </w:r>
      <w:proofErr w:type="spellEnd"/>
      <w:r>
        <w:t xml:space="preserve"> AB kann auch mit den Sende- und Empfangseinheiten ER110 und ER150 betrieben werden.</w:t>
      </w:r>
    </w:p>
    <w:p>
      <w:pPr>
        <w:pStyle w:val="GesAbsatz"/>
      </w:pPr>
      <w:r>
        <w:t>Stellungnahme der TÜV Rheinland Energie und Umwelt GmbH vom 10. Oktober 2012</w:t>
      </w:r>
    </w:p>
    <w:p>
      <w:pPr>
        <w:pStyle w:val="GesAbsatz"/>
        <w:ind w:left="426" w:hanging="426"/>
        <w:rPr>
          <w:b/>
        </w:rPr>
      </w:pPr>
      <w:r>
        <w:rPr>
          <w:b/>
        </w:rPr>
        <w:t>12</w:t>
      </w:r>
      <w:r>
        <w:rPr>
          <w:b/>
        </w:rPr>
        <w:tab/>
        <w:t>Mitteilung zu den Bekanntmachungen des Umweltbundesamtes vom 3. August 2009 (BAnz. S. 2929, Kapitel II Nummer 2.1) und vom 23. Februar 2012 (BAnz. S. 920, Kapitel V, 2. und 3. Mitteilung)</w:t>
      </w:r>
    </w:p>
    <w:p>
      <w:pPr>
        <w:pStyle w:val="GesAbsatz"/>
      </w:pPr>
      <w:r>
        <w:t>Die aktuelle Softwareversion der Staubimmissionsmesseinrichtung SWAM 5a Dual Channel Monitor für PM</w:t>
      </w:r>
      <w:r>
        <w:rPr>
          <w:vertAlign w:val="subscript"/>
        </w:rPr>
        <w:t>10</w:t>
      </w:r>
      <w:r>
        <w:t xml:space="preserve"> und PM</w:t>
      </w:r>
      <w:r>
        <w:rPr>
          <w:vertAlign w:val="subscript"/>
        </w:rPr>
        <w:t>2,5</w:t>
      </w:r>
      <w:r>
        <w:t xml:space="preserve"> der Firma FAI Instruments s. r. l. lautet:</w:t>
      </w:r>
    </w:p>
    <w:p>
      <w:pPr>
        <w:pStyle w:val="GesAbsatz"/>
      </w:pPr>
      <w:r>
        <w:t>04-09.01.85-30.02.00</w:t>
      </w:r>
    </w:p>
    <w:p>
      <w:pPr>
        <w:pStyle w:val="GesAbsatz"/>
      </w:pPr>
      <w:r>
        <w:t>Stellungnahme der TÜV Rheinland Energie und Umwelt GmbH vom 15. Oktober 2012</w:t>
      </w:r>
    </w:p>
    <w:p>
      <w:pPr>
        <w:pStyle w:val="GesAbsatz"/>
        <w:ind w:left="426" w:hanging="426"/>
        <w:rPr>
          <w:b/>
        </w:rPr>
      </w:pPr>
      <w:r>
        <w:rPr>
          <w:b/>
        </w:rPr>
        <w:t>13</w:t>
      </w:r>
      <w:r>
        <w:rPr>
          <w:b/>
        </w:rPr>
        <w:tab/>
        <w:t>Mitteilung zu den Bekanntmachungen des Umweltbundesamtes vom 12. April 2007 (BAnz. S. 4139, Kapitel III Nummer 1.1 und 2.1) und vom 15. Juli 2011 (BAnz. S. 2725, Kapitel III, 22. Mitteilung)</w:t>
      </w:r>
    </w:p>
    <w:p>
      <w:pPr>
        <w:pStyle w:val="GesAbsatz"/>
      </w:pPr>
      <w:r>
        <w:t>Die aktuelle Softwareversion der Immissions-Messeinrichtung Modell 5030 SHARP MONITOR mit PM</w:t>
      </w:r>
      <w:r>
        <w:rPr>
          <w:vertAlign w:val="subscript"/>
        </w:rPr>
        <w:t>10</w:t>
      </w:r>
      <w:r>
        <w:t>- und mit PM</w:t>
      </w:r>
      <w:r>
        <w:rPr>
          <w:vertAlign w:val="subscript"/>
        </w:rPr>
        <w:t>2,5</w:t>
      </w:r>
      <w:r>
        <w:t>-Vorabscheider der Firma Thermo Fisher Scientific ist:</w:t>
      </w:r>
    </w:p>
    <w:p>
      <w:pPr>
        <w:pStyle w:val="GesAbsatz"/>
      </w:pPr>
      <w:r>
        <w:t>v1.21</w:t>
      </w:r>
    </w:p>
    <w:p>
      <w:pPr>
        <w:pStyle w:val="GesAbsatz"/>
      </w:pPr>
      <w:r>
        <w:t>Alle Systeme mit Software v1.19 und v.1.20 müssen auf die aktuelle Software v.1.21 upgedatet werden.</w:t>
      </w:r>
    </w:p>
    <w:p>
      <w:pPr>
        <w:pStyle w:val="GesAbsatz"/>
      </w:pPr>
      <w:r>
        <w:t>Stellungnahme der TÜV Rheinland Energie und Umwelt GmbH vom 6. Oktober 2012</w:t>
      </w:r>
    </w:p>
    <w:p>
      <w:pPr>
        <w:pStyle w:val="GesAbsatz"/>
        <w:ind w:left="426" w:hanging="426"/>
        <w:rPr>
          <w:b/>
        </w:rPr>
      </w:pPr>
      <w:r>
        <w:rPr>
          <w:b/>
        </w:rPr>
        <w:t>14</w:t>
      </w:r>
      <w:r>
        <w:rPr>
          <w:b/>
        </w:rPr>
        <w:tab/>
        <w:t>Mitteilung zu den Bekanntmachungen des Umweltbundesamtes vom 21. Februar 2006 (BAnz. S. 2653, Kapitel IV Nummer 2.2) und vom 6. Juli 2012 (BAnz AT 20.07.2012, Kapitel IV, 25. Mitteilung)</w:t>
      </w:r>
    </w:p>
    <w:p>
      <w:pPr>
        <w:pStyle w:val="GesAbsatz"/>
      </w:pPr>
      <w:r>
        <w:lastRenderedPageBreak/>
        <w:t>Die aktuelle Softwareversion für die Immissionsmesseinrichtung Model 48i für CO der Firma Thermo Fisher Scientific lautet:</w:t>
      </w:r>
    </w:p>
    <w:p>
      <w:pPr>
        <w:pStyle w:val="GesAbsatz"/>
      </w:pPr>
      <w:r>
        <w:t>V 01.06.10 (112308-00)</w:t>
      </w:r>
    </w:p>
    <w:p>
      <w:pPr>
        <w:pStyle w:val="GesAbsatz"/>
      </w:pPr>
      <w:r>
        <w:t>Stellungnahme der TÜV Rheinland Energie und Umwelt GmbH vom 6. Oktober 2012</w:t>
      </w:r>
    </w:p>
    <w:p>
      <w:pPr>
        <w:pStyle w:val="GesAbsatz"/>
        <w:ind w:left="426" w:hanging="426"/>
        <w:rPr>
          <w:b/>
        </w:rPr>
      </w:pPr>
      <w:r>
        <w:rPr>
          <w:b/>
        </w:rPr>
        <w:t>15</w:t>
      </w:r>
      <w:r>
        <w:rPr>
          <w:b/>
        </w:rPr>
        <w:tab/>
        <w:t>Mitteilung zu der Bekanntmachung des Umweltbundesamtes vom 23. Februar 2012 (BAnz. S. 920, Kapitel III Nummer 1.2)</w:t>
      </w:r>
    </w:p>
    <w:p>
      <w:pPr>
        <w:pStyle w:val="GesAbsatz"/>
      </w:pPr>
      <w:r>
        <w:t xml:space="preserve">Die Auswerteeinrichtung D-EMS 2000 der Firma DURAG </w:t>
      </w:r>
      <w:proofErr w:type="spellStart"/>
      <w:r>
        <w:t>data</w:t>
      </w:r>
      <w:proofErr w:type="spellEnd"/>
      <w:r>
        <w:t xml:space="preserve"> </w:t>
      </w:r>
      <w:proofErr w:type="spellStart"/>
      <w:r>
        <w:t>systems</w:t>
      </w:r>
      <w:proofErr w:type="spellEnd"/>
      <w:r>
        <w:t xml:space="preserve"> GmbH verfügt auch über die digitale Schnittstelle – </w:t>
      </w:r>
      <w:proofErr w:type="spellStart"/>
      <w:r>
        <w:t>Modbus</w:t>
      </w:r>
      <w:proofErr w:type="spellEnd"/>
      <w:r>
        <w:t xml:space="preserve"> (EIA-485, seriell) entsprechend VDI 4201 Blatt 1 und 3.</w:t>
      </w:r>
    </w:p>
    <w:p>
      <w:pPr>
        <w:pStyle w:val="GesAbsatz"/>
      </w:pPr>
      <w:r>
        <w:t>Die aktuelle Softwareversion lautet:</w:t>
      </w:r>
    </w:p>
    <w:p>
      <w:pPr>
        <w:pStyle w:val="GesAbsatz"/>
      </w:pPr>
      <w:r>
        <w:t>V 4.50.11917</w:t>
      </w:r>
    </w:p>
    <w:p>
      <w:pPr>
        <w:pStyle w:val="GesAbsatz"/>
      </w:pPr>
      <w:r>
        <w:t>Stellungnahme der TÜV Rheinland Energie und Umwelt GmbH vom 12. Oktober 2012</w:t>
      </w:r>
    </w:p>
    <w:p>
      <w:pPr>
        <w:pStyle w:val="GesAbsatz"/>
        <w:ind w:left="426" w:hanging="426"/>
        <w:rPr>
          <w:b/>
        </w:rPr>
      </w:pPr>
      <w:r>
        <w:rPr>
          <w:b/>
        </w:rPr>
        <w:t>16</w:t>
      </w:r>
      <w:r>
        <w:rPr>
          <w:b/>
        </w:rPr>
        <w:tab/>
        <w:t>Mitteilung zu der Bekanntmachung des Umweltbundesamtes vom 23. Februar 2012 (BAnz. S. 920, Kapitel III Nummer 1.3)</w:t>
      </w:r>
    </w:p>
    <w:p>
      <w:pPr>
        <w:pStyle w:val="GesAbsatz"/>
      </w:pPr>
      <w:r>
        <w:t xml:space="preserve">Die Auswerteeinrichtung D-EMS 2000 </w:t>
      </w:r>
      <w:proofErr w:type="spellStart"/>
      <w:r>
        <w:t>AiO</w:t>
      </w:r>
      <w:proofErr w:type="spellEnd"/>
      <w:r>
        <w:t xml:space="preserve"> der Firma DURAG </w:t>
      </w:r>
      <w:proofErr w:type="spellStart"/>
      <w:r>
        <w:t>data</w:t>
      </w:r>
      <w:proofErr w:type="spellEnd"/>
      <w:r>
        <w:t xml:space="preserve"> </w:t>
      </w:r>
      <w:proofErr w:type="spellStart"/>
      <w:r>
        <w:t>systems</w:t>
      </w:r>
      <w:proofErr w:type="spellEnd"/>
      <w:r>
        <w:t xml:space="preserve"> GmbH verfügt auch über die digitale Schnittstelle – </w:t>
      </w:r>
      <w:proofErr w:type="spellStart"/>
      <w:r>
        <w:t>Modbus</w:t>
      </w:r>
      <w:proofErr w:type="spellEnd"/>
      <w:r>
        <w:t xml:space="preserve"> (EIA-485, seriell) entsprechend VDI 4201 Blatt 1 und 3.</w:t>
      </w:r>
    </w:p>
    <w:p>
      <w:pPr>
        <w:pStyle w:val="GesAbsatz"/>
      </w:pPr>
      <w:r>
        <w:t>Die aktuelle Softwareversion lautet:</w:t>
      </w:r>
    </w:p>
    <w:p>
      <w:pPr>
        <w:pStyle w:val="GesAbsatz"/>
      </w:pPr>
      <w:r>
        <w:t>V 4.50. 11931</w:t>
      </w:r>
    </w:p>
    <w:p>
      <w:pPr>
        <w:pStyle w:val="GesAbsatz"/>
      </w:pPr>
      <w:r>
        <w:t>Stellungnahme der TÜV Rheinland Energie und Umwelt GmbH vom 12. Oktober 2012</w:t>
      </w:r>
    </w:p>
    <w:p>
      <w:pPr>
        <w:pStyle w:val="GesAbsatz"/>
        <w:ind w:left="426" w:hanging="426"/>
        <w:rPr>
          <w:b/>
        </w:rPr>
      </w:pPr>
      <w:r>
        <w:rPr>
          <w:b/>
        </w:rPr>
        <w:t>17</w:t>
      </w:r>
      <w:r>
        <w:rPr>
          <w:b/>
        </w:rPr>
        <w:tab/>
        <w:t>Mitteilung zu den Bekanntmachungen des Umweltbundesamtes vom 3. August 2009 (BAnz. S. 2929, Kapitel I Nummer 3.2) und vom 6. Juli 2012 (BAnz AT 20.07.2012 B11, Kapitel IV, 22. Mitteilung)</w:t>
      </w:r>
    </w:p>
    <w:p>
      <w:pPr>
        <w:pStyle w:val="GesAbsatz"/>
      </w:pPr>
      <w:r>
        <w:t>Die Emissions-Messeinrichtung GM 32 In-situ Gasanalysator, in der Ausführung Cross-</w:t>
      </w:r>
      <w:proofErr w:type="spellStart"/>
      <w:r>
        <w:t>Duct</w:t>
      </w:r>
      <w:proofErr w:type="spellEnd"/>
      <w:r>
        <w:t>, für NO und SO</w:t>
      </w:r>
      <w:r>
        <w:rPr>
          <w:vertAlign w:val="subscript"/>
        </w:rPr>
        <w:t>2</w:t>
      </w:r>
      <w:r>
        <w:t xml:space="preserve"> der Firma SICK MAIHAK GmbH ist auch als Ex-Variante für den Einsatz in explosionsgefährdeten Bereichen der Zone 1 (Kategorie 2G) und Zone 2 (Kategorie 3G) verfügbar.</w:t>
      </w:r>
    </w:p>
    <w:p>
      <w:pPr>
        <w:pStyle w:val="GesAbsatz"/>
      </w:pPr>
      <w:r>
        <w:t>Die Emissions-Messeinrichtung GM 32 In-situ Gasanalysator, Ausführung Cross-</w:t>
      </w:r>
      <w:proofErr w:type="spellStart"/>
      <w:r>
        <w:t>Duct</w:t>
      </w:r>
      <w:proofErr w:type="spellEnd"/>
      <w:r>
        <w:t xml:space="preserve"> für NO und SO</w:t>
      </w:r>
      <w:r>
        <w:rPr>
          <w:vertAlign w:val="subscript"/>
        </w:rPr>
        <w:t>2</w:t>
      </w:r>
      <w:r>
        <w:t xml:space="preserve"> der Firma SICK MAIHAK GmbH kann auch mit dem neuen Prozessor TX25 ausgestattet sein.</w:t>
      </w:r>
    </w:p>
    <w:p>
      <w:pPr>
        <w:pStyle w:val="GesAbsatz"/>
      </w:pPr>
      <w:r>
        <w:t>Die aktuelle Softwareversion der Emissions-Messeinrichtung GM 32 In-situ Gasanalysator, Ausführung Cross-</w:t>
      </w:r>
      <w:proofErr w:type="spellStart"/>
      <w:r>
        <w:t>Duct</w:t>
      </w:r>
      <w:proofErr w:type="spellEnd"/>
      <w:r>
        <w:t xml:space="preserve"> für NO und SO</w:t>
      </w:r>
      <w:r>
        <w:rPr>
          <w:vertAlign w:val="subscript"/>
        </w:rPr>
        <w:t>2</w:t>
      </w:r>
      <w:r>
        <w:t xml:space="preserve"> der Firma SICK MAIHAK GmbH ist:</w:t>
      </w:r>
    </w:p>
    <w:p>
      <w:pPr>
        <w:pStyle w:val="GesAbsatz"/>
      </w:pPr>
      <w:r>
        <w:t>GM32: 9125967 W051 (alter Prozessor) bzw.</w:t>
      </w:r>
    </w:p>
    <w:p>
      <w:pPr>
        <w:pStyle w:val="GesAbsatz"/>
      </w:pPr>
      <w:r>
        <w:t>GM32: 9171698 0000 (neuer Prozessor)</w:t>
      </w:r>
    </w:p>
    <w:p>
      <w:pPr>
        <w:pStyle w:val="GesAbsatz"/>
      </w:pPr>
      <w:r>
        <w:t>Die aktuelle Softwareversion für die Spülluftvorsätze der Emissions-Messeinrichtung GM 32 In-situ Gasanalysator, Ausführung Cross-</w:t>
      </w:r>
      <w:proofErr w:type="spellStart"/>
      <w:r>
        <w:t>Duct</w:t>
      </w:r>
      <w:proofErr w:type="spellEnd"/>
      <w:r>
        <w:t xml:space="preserve"> für NO und SO</w:t>
      </w:r>
      <w:r>
        <w:rPr>
          <w:vertAlign w:val="subscript"/>
        </w:rPr>
        <w:t>2</w:t>
      </w:r>
      <w:r>
        <w:t xml:space="preserve"> der Firma SICK MAIHAK GmbH ist:</w:t>
      </w:r>
    </w:p>
    <w:p>
      <w:pPr>
        <w:pStyle w:val="GesAbsatz"/>
      </w:pPr>
      <w:r>
        <w:t>9091948 WJ24</w:t>
      </w:r>
    </w:p>
    <w:p>
      <w:pPr>
        <w:pStyle w:val="GesAbsatz"/>
      </w:pPr>
      <w:r>
        <w:t>Stellungnahme der TÜV Rheinland Energie und Umwelt GmbH vom 2. Oktober 2012</w:t>
      </w:r>
    </w:p>
    <w:p>
      <w:pPr>
        <w:pStyle w:val="GesAbsatz"/>
        <w:ind w:left="426" w:hanging="426"/>
        <w:rPr>
          <w:b/>
        </w:rPr>
      </w:pPr>
      <w:r>
        <w:rPr>
          <w:b/>
        </w:rPr>
        <w:t>18</w:t>
      </w:r>
      <w:r>
        <w:rPr>
          <w:b/>
        </w:rPr>
        <w:tab/>
        <w:t>Mitteilung zu den Bekanntmachungen des Umweltbundesamtes vom 3. August 2009 (BAnz. S. 2929, Kapitel I, Nummer 3.3) und vom 6. Juli 2012 (BAnz AT 20.07.2012 B11, Kapitel IV, 22. Mitteilung)</w:t>
      </w:r>
    </w:p>
    <w:p>
      <w:pPr>
        <w:pStyle w:val="GesAbsatz"/>
      </w:pPr>
      <w:r>
        <w:t>Die Emissions-Messeinrichtung GM 32 In-situ Gasanalysator, in der Ausführung Messlanze GMP, für NO und SO</w:t>
      </w:r>
      <w:r>
        <w:rPr>
          <w:vertAlign w:val="subscript"/>
        </w:rPr>
        <w:t>2</w:t>
      </w:r>
      <w:r>
        <w:t xml:space="preserve"> der Firma SICK MAIHAK GmbH ist auch als Ex-Variante für den Einsatz in explosionsgefährdeten Bereichen der Zone 1 (Kategorie 2G) und Zone 2 (Kategorie 3G) verfügbar.</w:t>
      </w:r>
    </w:p>
    <w:p>
      <w:pPr>
        <w:pStyle w:val="GesAbsatz"/>
      </w:pPr>
      <w:r>
        <w:t>Die Emissions-Messeinrichtung GM 32 In-situ Gasanalysator, Ausführung Messlanze GMP für NO und SO</w:t>
      </w:r>
      <w:r>
        <w:rPr>
          <w:vertAlign w:val="subscript"/>
        </w:rPr>
        <w:t>2</w:t>
      </w:r>
      <w:r>
        <w:t xml:space="preserve"> der Firma SICK MAIHAK GmbH kann auch mit dem neuen Prozessor TX25 ausgestattet sein.</w:t>
      </w:r>
    </w:p>
    <w:p>
      <w:pPr>
        <w:pStyle w:val="GesAbsatz"/>
      </w:pPr>
      <w:r>
        <w:t>Die aktuelle Softwareversion der Emissions-Messeinrichtung GM 32 In-situ Gasanalysator, Ausführung Messlanze GMP für NO und SO</w:t>
      </w:r>
      <w:r>
        <w:rPr>
          <w:vertAlign w:val="subscript"/>
        </w:rPr>
        <w:t>2</w:t>
      </w:r>
      <w:r>
        <w:t xml:space="preserve"> der Firma SICK MAIHAK GmbH ist:</w:t>
      </w:r>
    </w:p>
    <w:p>
      <w:pPr>
        <w:pStyle w:val="GesAbsatz"/>
      </w:pPr>
      <w:r>
        <w:t>GM32: 9125967 W051 (alter Prozessor) bzw.</w:t>
      </w:r>
    </w:p>
    <w:p>
      <w:pPr>
        <w:pStyle w:val="GesAbsatz"/>
      </w:pPr>
      <w:r>
        <w:t>GM32: 9171698 0000 (neuer Prozessor)</w:t>
      </w:r>
    </w:p>
    <w:p>
      <w:pPr>
        <w:pStyle w:val="GesAbsatz"/>
      </w:pPr>
      <w:r>
        <w:t>Die aktuelle Softwareversion für die Spülluftvorsätze und die Messlanze GMP der Emissions-Messeinrichtung GM 32 In-situ Gasanalysator, Ausführung Messlanze GMP für NO und SO2 der Firma SICK MAIHAK GmbH ist:</w:t>
      </w:r>
    </w:p>
    <w:p>
      <w:pPr>
        <w:pStyle w:val="GesAbsatz"/>
      </w:pPr>
      <w:r>
        <w:t>9091948 WJ24</w:t>
      </w:r>
    </w:p>
    <w:p>
      <w:pPr>
        <w:pStyle w:val="GesAbsatz"/>
      </w:pPr>
      <w:r>
        <w:lastRenderedPageBreak/>
        <w:t>Stellungnahme der TÜV Rheinland Energie und Umwelt GmbH vom 2. Oktober 2012</w:t>
      </w:r>
    </w:p>
    <w:p>
      <w:pPr>
        <w:pStyle w:val="GesAbsatz"/>
        <w:ind w:left="426" w:hanging="426"/>
        <w:rPr>
          <w:b/>
        </w:rPr>
      </w:pPr>
      <w:r>
        <w:rPr>
          <w:b/>
        </w:rPr>
        <w:t>19</w:t>
      </w:r>
      <w:r>
        <w:rPr>
          <w:b/>
        </w:rPr>
        <w:tab/>
        <w:t>Mitteilung zu den Bekanntmachungen des Umweltbundesamtes vom 12. September 2006 (BAnz. S. 6715, Kapitel I Nummer 2.3 und 2.4) und vom 6. Juli 2012 (BAnz AT 20.07.2012 B11, Kapitel IV, 14. Mitteilung)</w:t>
      </w:r>
    </w:p>
    <w:p>
      <w:pPr>
        <w:pStyle w:val="GesAbsatz"/>
      </w:pPr>
      <w:r>
        <w:t>Die aktuellen Softwareversionen der Messeinrichtung GM 35 In-situ Gasanalysator, in der Version Cross-</w:t>
      </w:r>
      <w:proofErr w:type="spellStart"/>
      <w:r>
        <w:t>Duct</w:t>
      </w:r>
      <w:proofErr w:type="spellEnd"/>
      <w:r>
        <w:t xml:space="preserve"> und Messlanze GMP, für CO, CO</w:t>
      </w:r>
      <w:r>
        <w:rPr>
          <w:vertAlign w:val="subscript"/>
        </w:rPr>
        <w:t>2</w:t>
      </w:r>
      <w:r>
        <w:t xml:space="preserve"> und H</w:t>
      </w:r>
      <w:r>
        <w:rPr>
          <w:vertAlign w:val="subscript"/>
        </w:rPr>
        <w:t>2</w:t>
      </w:r>
      <w:r>
        <w:t>O der Firma SICK MAIHAK GmbH lauten:</w:t>
      </w:r>
    </w:p>
    <w:p>
      <w:pPr>
        <w:pStyle w:val="GesAbsatz"/>
      </w:pPr>
      <w:r>
        <w:t>SE-Einheit: 9062244 VI21</w:t>
      </w:r>
    </w:p>
    <w:p>
      <w:pPr>
        <w:pStyle w:val="GesAbsatz"/>
      </w:pPr>
      <w:r>
        <w:t>Auswerteeinheit: 9062243 T895</w:t>
      </w:r>
    </w:p>
    <w:p>
      <w:pPr>
        <w:pStyle w:val="GesAbsatz"/>
      </w:pPr>
      <w:r>
        <w:t>Spülluft: 9091948 WJ24</w:t>
      </w:r>
    </w:p>
    <w:p>
      <w:pPr>
        <w:pStyle w:val="GesAbsatz"/>
      </w:pPr>
      <w:r>
        <w:t>Stellungnahme der TÜV Rheinland Energie und Umwelt GmbH vom 6. Oktober 2012</w:t>
      </w:r>
    </w:p>
    <w:p>
      <w:pPr>
        <w:pStyle w:val="GesAbsatz"/>
        <w:ind w:left="426" w:hanging="426"/>
        <w:rPr>
          <w:b/>
        </w:rPr>
      </w:pPr>
      <w:r>
        <w:rPr>
          <w:b/>
        </w:rPr>
        <w:t>20</w:t>
      </w:r>
      <w:r>
        <w:rPr>
          <w:b/>
        </w:rPr>
        <w:tab/>
        <w:t>Mitteilung zu der Bekanntmachung des Umweltbundesamtes vom 10. Januar 2011 (BAnz. S. 294, Kapitel I, Nummer 1.1)</w:t>
      </w:r>
    </w:p>
    <w:p>
      <w:pPr>
        <w:pStyle w:val="GesAbsatz"/>
      </w:pPr>
      <w:r>
        <w:t>Die aktuelle Softwareversion der Messeinrichtung D-R 800 für Staub der DURAG GmbH lautet:</w:t>
      </w:r>
    </w:p>
    <w:p>
      <w:pPr>
        <w:pStyle w:val="GesAbsatz"/>
      </w:pPr>
      <w:r>
        <w:t>V1.77</w:t>
      </w:r>
    </w:p>
    <w:p>
      <w:pPr>
        <w:pStyle w:val="GesAbsatz"/>
      </w:pPr>
      <w:r>
        <w:t>Stellungnahme der TÜV Rheinland Energie und Umwelt GmbH vom 15. Oktober 2012</w:t>
      </w:r>
    </w:p>
    <w:p>
      <w:pPr>
        <w:pStyle w:val="GesAbsatz"/>
        <w:ind w:left="426" w:hanging="426"/>
        <w:rPr>
          <w:b/>
        </w:rPr>
      </w:pPr>
      <w:r>
        <w:rPr>
          <w:b/>
        </w:rPr>
        <w:t>21</w:t>
      </w:r>
      <w:r>
        <w:rPr>
          <w:b/>
        </w:rPr>
        <w:tab/>
        <w:t>Mitteilung zu den Bekanntmachungen des Umweltbundesamtes vom 3. August 2009 (BAnz. S. 2929, Kapitel I Nummer 2.2) und vom 6. Juli 2012 (BAnz AT 20.07.2012 B11, Kapitel IV, 20. Mitteilung)</w:t>
      </w:r>
    </w:p>
    <w:p>
      <w:pPr>
        <w:pStyle w:val="GesAbsatz"/>
      </w:pPr>
      <w:r>
        <w:t>Die aktuellen Softwareversionen der Messeinrichtung DUSTHUNTER SF100 für Staub der Firma SICK Engineering GmbH lauten:</w:t>
      </w:r>
    </w:p>
    <w:p>
      <w:pPr>
        <w:pStyle w:val="GesAbsatz"/>
      </w:pPr>
      <w:r>
        <w:t>MCU Firmware: 01.08.00</w:t>
      </w:r>
    </w:p>
    <w:p>
      <w:pPr>
        <w:pStyle w:val="GesAbsatz"/>
      </w:pPr>
      <w:r>
        <w:t>MCU Hardware: 1.8</w:t>
      </w:r>
    </w:p>
    <w:p>
      <w:pPr>
        <w:pStyle w:val="GesAbsatz"/>
      </w:pPr>
      <w:r>
        <w:t>Software Sensor (Messkopf): 01.09.00</w:t>
      </w:r>
    </w:p>
    <w:p>
      <w:pPr>
        <w:pStyle w:val="GesAbsatz"/>
      </w:pPr>
      <w:r>
        <w:t>Stellungnahme der TÜV Rheinland Energie und Umwelt GmbH vom 15. Oktober 2012</w:t>
      </w:r>
    </w:p>
    <w:p>
      <w:pPr>
        <w:pStyle w:val="GesAbsatz"/>
        <w:ind w:left="426" w:hanging="426"/>
        <w:rPr>
          <w:b/>
        </w:rPr>
      </w:pPr>
      <w:r>
        <w:rPr>
          <w:b/>
        </w:rPr>
        <w:t>22</w:t>
      </w:r>
      <w:r>
        <w:rPr>
          <w:b/>
        </w:rPr>
        <w:tab/>
        <w:t>Mitteilung zu den Bekanntmachungen des Umweltbundesamtes vom 19. Februar 2009 (BAnz. S. 899, Kapitel I Nummer 1.5) und vom 6. Juli 2012 (BAnz AT 20.07.2012 B11, Kapitel IV, 17. Mitteilung)</w:t>
      </w:r>
    </w:p>
    <w:p>
      <w:pPr>
        <w:pStyle w:val="GesAbsatz"/>
      </w:pPr>
      <w:r>
        <w:t>Die aktuellen Softwareversionen der Messeinrichtung DUSTHUNTER T100 für Staub der Firma SICK Engineering GmbH lauten:</w:t>
      </w:r>
    </w:p>
    <w:p>
      <w:pPr>
        <w:pStyle w:val="GesAbsatz"/>
      </w:pPr>
      <w:r>
        <w:t>MCU Firmware: 01.08.00</w:t>
      </w:r>
    </w:p>
    <w:p>
      <w:pPr>
        <w:pStyle w:val="GesAbsatz"/>
      </w:pPr>
      <w:r>
        <w:t>MCU Hardware: 1.8</w:t>
      </w:r>
    </w:p>
    <w:p>
      <w:pPr>
        <w:pStyle w:val="GesAbsatz"/>
      </w:pPr>
      <w:r>
        <w:t>Software Sensor (Messkopf): 01.09.00</w:t>
      </w:r>
    </w:p>
    <w:p>
      <w:pPr>
        <w:pStyle w:val="GesAbsatz"/>
      </w:pPr>
      <w:r>
        <w:t>Stellungnahme der TÜV Rheinland Energie und Umwelt GmbH vom 15. Oktober 2012</w:t>
      </w:r>
    </w:p>
    <w:p>
      <w:pPr>
        <w:pStyle w:val="GesAbsatz"/>
        <w:ind w:left="426" w:hanging="426"/>
        <w:rPr>
          <w:b/>
        </w:rPr>
      </w:pPr>
      <w:r>
        <w:rPr>
          <w:b/>
        </w:rPr>
        <w:t>23</w:t>
      </w:r>
      <w:r>
        <w:rPr>
          <w:b/>
        </w:rPr>
        <w:tab/>
        <w:t>Mitteilung zu den Bekanntmachungen des Umweltbundesamtes vom 3. August 2009 (BAnz. S. 2929, Kapitel I Nummer 2.3) und vom 6. Juli 2012 (BAnz AT 20.07.2012 B11, Kapitel IV, 21. Mitteilung)</w:t>
      </w:r>
    </w:p>
    <w:p>
      <w:pPr>
        <w:pStyle w:val="GesAbsatz"/>
      </w:pPr>
      <w:r>
        <w:t>Die aktuellen Softwareversionen der Messeinrichtung DUSTHUNTER T200 für Staub der Firma SICK Engineering GmbH lauten:</w:t>
      </w:r>
    </w:p>
    <w:p>
      <w:pPr>
        <w:pStyle w:val="GesAbsatz"/>
      </w:pPr>
      <w:r>
        <w:t>MCU Firmware: 01.08.00</w:t>
      </w:r>
    </w:p>
    <w:p>
      <w:pPr>
        <w:pStyle w:val="GesAbsatz"/>
      </w:pPr>
      <w:r>
        <w:t>MCU Hardware: 1.8</w:t>
      </w:r>
    </w:p>
    <w:p>
      <w:pPr>
        <w:pStyle w:val="GesAbsatz"/>
      </w:pPr>
      <w:r>
        <w:t>Software Sensor (Messkopf): 01.09.00</w:t>
      </w:r>
    </w:p>
    <w:p>
      <w:pPr>
        <w:pStyle w:val="GesAbsatz"/>
      </w:pPr>
      <w:r>
        <w:t>Stellungnahme der TÜV Rheinland Energie und Umwelt GmbH vom 15. Oktober 2012</w:t>
      </w:r>
    </w:p>
    <w:p>
      <w:pPr>
        <w:pStyle w:val="GesAbsatz"/>
        <w:ind w:left="426" w:hanging="426"/>
        <w:rPr>
          <w:b/>
        </w:rPr>
      </w:pPr>
      <w:r>
        <w:rPr>
          <w:b/>
        </w:rPr>
        <w:t>24</w:t>
      </w:r>
      <w:r>
        <w:rPr>
          <w:b/>
        </w:rPr>
        <w:tab/>
        <w:t>Mitteilung zu den Bekanntmachungen des Umweltbundesamtes vom 3. August 2009 (BAnz. S. 2929, Kapitel I Nummer 2.1) und vom 6. Juli 2012 (BAnz AT 20.07.2012 B11, Kapitel IV, 16. Mitteilung)</w:t>
      </w:r>
    </w:p>
    <w:p>
      <w:pPr>
        <w:pStyle w:val="GesAbsatz"/>
      </w:pPr>
      <w:r>
        <w:t>Die aktuellen Softwareversionen der Messeinrichtung DUSTHUNTER C200 für Staub der Firma SICK Engineering GmbH lauten:</w:t>
      </w:r>
    </w:p>
    <w:p>
      <w:pPr>
        <w:pStyle w:val="GesAbsatz"/>
      </w:pPr>
      <w:r>
        <w:t>MCU Firmware: 01.08.00</w:t>
      </w:r>
    </w:p>
    <w:p>
      <w:pPr>
        <w:pStyle w:val="GesAbsatz"/>
      </w:pPr>
      <w:r>
        <w:t>MCU Hardware: 1.8</w:t>
      </w:r>
    </w:p>
    <w:p>
      <w:pPr>
        <w:pStyle w:val="GesAbsatz"/>
      </w:pPr>
      <w:r>
        <w:lastRenderedPageBreak/>
        <w:t>Software Sensor (Messkopf): 01.09.00</w:t>
      </w:r>
    </w:p>
    <w:p>
      <w:pPr>
        <w:pStyle w:val="GesAbsatz"/>
      </w:pPr>
      <w:r>
        <w:t>Stellungnahme der TÜV Rheinland Energie und Umwelt GmbH vom 15. Oktober 2012</w:t>
      </w:r>
    </w:p>
    <w:p>
      <w:pPr>
        <w:pStyle w:val="GesAbsatz"/>
        <w:ind w:left="426" w:hanging="426"/>
        <w:rPr>
          <w:b/>
        </w:rPr>
      </w:pPr>
      <w:r>
        <w:rPr>
          <w:b/>
        </w:rPr>
        <w:t>25</w:t>
      </w:r>
      <w:r>
        <w:rPr>
          <w:b/>
        </w:rPr>
        <w:tab/>
        <w:t>Mitteilung zu der Bekanntmachung des Umweltbundesamtes vom 6. Juli 2012 (BAnz AT 20.07.2012 B11, Kapitel II Nummer 2.2)</w:t>
      </w:r>
    </w:p>
    <w:p>
      <w:pPr>
        <w:pStyle w:val="GesAbsatz"/>
      </w:pPr>
      <w:r>
        <w:t>Die aktuellen Softwareversionen der Messeinrichtung FMD 09 für Abgasgeschwindigkeit der Firma Dr. Födisch Umweltmesstechnik AG lauten:</w:t>
      </w:r>
    </w:p>
    <w:p>
      <w:pPr>
        <w:pStyle w:val="GesAbsatz"/>
        <w:rPr>
          <w:lang w:val="en-US"/>
        </w:rPr>
      </w:pPr>
      <w:r>
        <w:rPr>
          <w:lang w:val="en-US"/>
        </w:rPr>
        <w:t>Main Version: 2.07</w:t>
      </w:r>
    </w:p>
    <w:p>
      <w:pPr>
        <w:pStyle w:val="GesAbsatz"/>
        <w:rPr>
          <w:lang w:val="en-US"/>
        </w:rPr>
      </w:pPr>
      <w:r>
        <w:rPr>
          <w:lang w:val="en-US"/>
        </w:rPr>
        <w:t>I/O Version: 1.13</w:t>
      </w:r>
    </w:p>
    <w:p>
      <w:pPr>
        <w:pStyle w:val="GesAbsatz"/>
      </w:pPr>
      <w:r>
        <w:t>Stellungnahme der TÜV Rheinland Energie und Umwelt GmbH vom 15. Oktober 2012</w:t>
      </w:r>
    </w:p>
    <w:p>
      <w:pPr>
        <w:pStyle w:val="GesAbsatz"/>
        <w:ind w:left="426" w:hanging="426"/>
        <w:rPr>
          <w:b/>
        </w:rPr>
      </w:pPr>
      <w:r>
        <w:rPr>
          <w:b/>
        </w:rPr>
        <w:t>26</w:t>
      </w:r>
      <w:r>
        <w:rPr>
          <w:b/>
        </w:rPr>
        <w:tab/>
        <w:t>Mitteilung zu den Bekanntmachungen des Umweltbundesamtes vom 10. Januar 2011 (BAnz. S. 294, Kapitel I Nummer 2.1) und vom 6. Juli 2012 (BAnz AT 20.07.2012 B11, Kapitel IV, 15. Mitteilung)</w:t>
      </w:r>
    </w:p>
    <w:p>
      <w:pPr>
        <w:pStyle w:val="GesAbsatz"/>
      </w:pPr>
      <w:r>
        <w:t>Die aktuellen Softwareversionen der Messeinrichtung GM 700-2 für HF der Firma SICK MAIHAK GmbH lauten:</w:t>
      </w:r>
    </w:p>
    <w:p>
      <w:pPr>
        <w:pStyle w:val="GesAbsatz"/>
      </w:pPr>
      <w:r>
        <w:t>Messkopf GMM 700-2 (HF): 9105060 VA24</w:t>
      </w:r>
    </w:p>
    <w:p>
      <w:pPr>
        <w:pStyle w:val="GesAbsatz"/>
      </w:pPr>
      <w:r>
        <w:t>Auswerteeinheit (AWE): 9100821 UK52</w:t>
      </w:r>
    </w:p>
    <w:p>
      <w:pPr>
        <w:pStyle w:val="GesAbsatz"/>
      </w:pPr>
      <w:r>
        <w:t>Spülluft: 9091948 WJ24</w:t>
      </w:r>
    </w:p>
    <w:p>
      <w:pPr>
        <w:pStyle w:val="GesAbsatz"/>
      </w:pPr>
      <w:r>
        <w:t>Stellungnahme der TÜV Rheinland Energie und Umwelt GmbH vom 6. Oktober 2012</w:t>
      </w:r>
    </w:p>
    <w:p>
      <w:pPr>
        <w:pStyle w:val="GesAbsatz"/>
        <w:ind w:left="426" w:hanging="426"/>
        <w:rPr>
          <w:b/>
        </w:rPr>
      </w:pPr>
      <w:r>
        <w:rPr>
          <w:b/>
        </w:rPr>
        <w:t>27</w:t>
      </w:r>
      <w:r>
        <w:rPr>
          <w:b/>
        </w:rPr>
        <w:tab/>
        <w:t>Mitteilung zu der Bekanntmachung des Umweltbundesamtes vom 12. Juli 2010 (BAnz. S. 2597, Kapitel I Nummer 1.1)</w:t>
      </w:r>
    </w:p>
    <w:p>
      <w:pPr>
        <w:pStyle w:val="GesAbsatz"/>
      </w:pPr>
      <w:r>
        <w:t>Der Analysatoreinschub der Messeinrichtung MCA04 für N</w:t>
      </w:r>
      <w:r>
        <w:rPr>
          <w:vertAlign w:val="subscript"/>
        </w:rPr>
        <w:t>2</w:t>
      </w:r>
      <w:r>
        <w:t>O, NO</w:t>
      </w:r>
      <w:r>
        <w:rPr>
          <w:vertAlign w:val="subscript"/>
        </w:rPr>
        <w:t>2</w:t>
      </w:r>
      <w:r>
        <w:t>, H</w:t>
      </w:r>
      <w:r>
        <w:rPr>
          <w:vertAlign w:val="subscript"/>
        </w:rPr>
        <w:t>2</w:t>
      </w:r>
      <w:r>
        <w:t>O, HCl, CO, NO, SO</w:t>
      </w:r>
      <w:r>
        <w:rPr>
          <w:vertAlign w:val="subscript"/>
        </w:rPr>
        <w:t>2</w:t>
      </w:r>
      <w:r>
        <w:t>, NH</w:t>
      </w:r>
      <w:r>
        <w:rPr>
          <w:vertAlign w:val="subscript"/>
        </w:rPr>
        <w:t>3</w:t>
      </w:r>
      <w:r>
        <w:t>, CO</w:t>
      </w:r>
      <w:r>
        <w:rPr>
          <w:vertAlign w:val="subscript"/>
        </w:rPr>
        <w:t>2</w:t>
      </w:r>
      <w:r>
        <w:t xml:space="preserve"> und O</w:t>
      </w:r>
      <w:r>
        <w:rPr>
          <w:vertAlign w:val="subscript"/>
        </w:rPr>
        <w:t>2</w:t>
      </w:r>
      <w:r>
        <w:t xml:space="preserve"> der Firma Dr. Födisch Umweltmesstechnik AG kann im ursprünglich geprüften Gehäuse CARDPAC 4/5HE 84TE 461T und im neuen Gehäuse TES-2012 eingebaut sein.</w:t>
      </w:r>
    </w:p>
    <w:p>
      <w:pPr>
        <w:pStyle w:val="GesAbsatz"/>
      </w:pPr>
      <w:r>
        <w:t>Stellungnahme der TÜV Rheinland Energie und Umwelt GmbH vom 11. Oktober 2012</w:t>
      </w:r>
    </w:p>
    <w:p>
      <w:pPr>
        <w:pStyle w:val="GesAbsatz"/>
        <w:ind w:left="426" w:hanging="426"/>
        <w:rPr>
          <w:b/>
        </w:rPr>
      </w:pPr>
      <w:r>
        <w:rPr>
          <w:b/>
        </w:rPr>
        <w:t>28</w:t>
      </w:r>
      <w:r>
        <w:rPr>
          <w:b/>
        </w:rPr>
        <w:tab/>
        <w:t>Mitteilung zu den Bekanntmachungen des Umweltbundesamtes vom 23. Februar 2012 (BAnz. S. 920, Kapitel I Nummer 4.5) und vom 6. Juli 2012 (BAnz AT 20.07.2012 B11, Kapitel IV, 4. Mitteilung)</w:t>
      </w:r>
    </w:p>
    <w:p>
      <w:pPr>
        <w:pStyle w:val="GesAbsatz"/>
      </w:pPr>
      <w:r>
        <w:t>Die Messeinrichtung ENDA-5000 mit Analysenmodul CMA-5800 der Horiba GmbH für die Komponenten NO</w:t>
      </w:r>
      <w:r>
        <w:rPr>
          <w:vertAlign w:val="subscript"/>
        </w:rPr>
        <w:t>X</w:t>
      </w:r>
      <w:r>
        <w:t>, SO</w:t>
      </w:r>
      <w:r>
        <w:rPr>
          <w:vertAlign w:val="subscript"/>
        </w:rPr>
        <w:t>2</w:t>
      </w:r>
      <w:r>
        <w:t>, CO, CO</w:t>
      </w:r>
      <w:r>
        <w:rPr>
          <w:vertAlign w:val="subscript"/>
        </w:rPr>
        <w:t>2</w:t>
      </w:r>
      <w:r>
        <w:t xml:space="preserve"> und O</w:t>
      </w:r>
      <w:r>
        <w:rPr>
          <w:vertAlign w:val="subscript"/>
        </w:rPr>
        <w:t>2</w:t>
      </w:r>
      <w:r>
        <w:t xml:space="preserve"> kann neben den bereits bekannt gegebenen Entnahmesonden auch mit der Messgasentnahmesonde GAS 222.21 der Firma SICOM Prozeß- und Umwelttechnik GmbH betrieben werden. Diese ist baugleich mit einer Sonde der Firma Bühler Technologies GmbH mit gleicher oben genannter Typbezeichnung.</w:t>
      </w:r>
    </w:p>
    <w:p>
      <w:pPr>
        <w:pStyle w:val="GesAbsatz"/>
      </w:pPr>
      <w:r>
        <w:t>Stellungnahme der TÜV Rheinland Energie und Umwelt GmbH vom 11. Oktober 2012</w:t>
      </w:r>
    </w:p>
    <w:p>
      <w:pPr>
        <w:pStyle w:val="GesAbsatz"/>
        <w:ind w:left="426" w:hanging="426"/>
        <w:rPr>
          <w:b/>
        </w:rPr>
      </w:pPr>
      <w:r>
        <w:rPr>
          <w:b/>
        </w:rPr>
        <w:t>29</w:t>
      </w:r>
      <w:r>
        <w:rPr>
          <w:b/>
        </w:rPr>
        <w:tab/>
        <w:t>Mitteilung zu dem Rundschreiben des BMU vom 5. Oktober 1999 – IG I 3 - 51134/2 - (GMBl. 1999 S. 719, Kapitel I Nummer 5.3) und zu der Bekanntmachung des Umweltbundesamtes vom 12. Juli 2010 (BAnz. S. 2597, Kapitel III, 1. Mitteilung)</w:t>
      </w:r>
    </w:p>
    <w:p>
      <w:pPr>
        <w:pStyle w:val="GesAbsatz"/>
      </w:pPr>
      <w:r>
        <w:t>Die aktuelle Softwareversion der Messeinrichtung MCS 100 E HW für SO</w:t>
      </w:r>
      <w:r>
        <w:rPr>
          <w:vertAlign w:val="subscript"/>
        </w:rPr>
        <w:t>2</w:t>
      </w:r>
      <w:r>
        <w:t>, NO, CO, CO</w:t>
      </w:r>
      <w:r>
        <w:rPr>
          <w:vertAlign w:val="subscript"/>
        </w:rPr>
        <w:t>2</w:t>
      </w:r>
      <w:r>
        <w:t>, HCl, NH</w:t>
      </w:r>
      <w:r>
        <w:rPr>
          <w:vertAlign w:val="subscript"/>
        </w:rPr>
        <w:t>3</w:t>
      </w:r>
      <w:r>
        <w:t>, O</w:t>
      </w:r>
      <w:r>
        <w:rPr>
          <w:vertAlign w:val="subscript"/>
        </w:rPr>
        <w:t>2</w:t>
      </w:r>
      <w:r>
        <w:t xml:space="preserve"> und H</w:t>
      </w:r>
      <w:r>
        <w:rPr>
          <w:vertAlign w:val="subscript"/>
        </w:rPr>
        <w:t>2</w:t>
      </w:r>
      <w:r>
        <w:t>O der Firma SICK MAIHAK GmbH lautet:</w:t>
      </w:r>
    </w:p>
    <w:p>
      <w:pPr>
        <w:pStyle w:val="GesAbsatz"/>
      </w:pPr>
      <w:r>
        <w:t>1.44</w:t>
      </w:r>
    </w:p>
    <w:p>
      <w:pPr>
        <w:pStyle w:val="GesAbsatz"/>
      </w:pPr>
      <w:r>
        <w:t>Stellungnahme der TÜV Rheinland Energie und Umwelt GmbH vom 15. Oktober 2012</w:t>
      </w:r>
    </w:p>
    <w:p>
      <w:pPr>
        <w:pStyle w:val="GesAbsatz"/>
        <w:ind w:left="426" w:hanging="426"/>
        <w:rPr>
          <w:b/>
        </w:rPr>
      </w:pPr>
      <w:r>
        <w:rPr>
          <w:b/>
        </w:rPr>
        <w:t>30</w:t>
      </w:r>
      <w:r>
        <w:rPr>
          <w:b/>
        </w:rPr>
        <w:tab/>
        <w:t>Mitteilung zu dem Rundschreiben des BMU vom 5. Oktober 1999 – IG I 3 - 51134/2 (GMBl. 1999 S. 719, Kapitel I Nummer 5.4)</w:t>
      </w:r>
    </w:p>
    <w:p>
      <w:pPr>
        <w:pStyle w:val="GesAbsatz"/>
      </w:pPr>
      <w:r>
        <w:t>Die aktuelle Softwareversion der Messeinrichtung MCS 100 E PD für SO2, NO, NO2, CO, HCl, O2 und CO2 der Firma</w:t>
      </w:r>
    </w:p>
    <w:p>
      <w:pPr>
        <w:pStyle w:val="GesAbsatz"/>
      </w:pPr>
      <w:r>
        <w:t>SICK MAIHAK GmbH lautet:</w:t>
      </w:r>
    </w:p>
    <w:p>
      <w:pPr>
        <w:pStyle w:val="GesAbsatz"/>
      </w:pPr>
      <w:r>
        <w:t>1.44</w:t>
      </w:r>
    </w:p>
    <w:p>
      <w:pPr>
        <w:pStyle w:val="GesAbsatz"/>
      </w:pPr>
      <w:r>
        <w:t>Stellungnahme der TÜV Rheinland Energie und Umwelt GmbH vom 15. Oktober 2012</w:t>
      </w:r>
    </w:p>
    <w:p>
      <w:pPr>
        <w:pStyle w:val="GesAbsatz"/>
        <w:ind w:left="426" w:hanging="426"/>
        <w:rPr>
          <w:b/>
        </w:rPr>
      </w:pPr>
      <w:r>
        <w:rPr>
          <w:b/>
        </w:rPr>
        <w:t>31</w:t>
      </w:r>
      <w:r>
        <w:rPr>
          <w:b/>
        </w:rPr>
        <w:tab/>
        <w:t>Mitteilung zu der Bekanntmachung des Umweltbundesamtes vom 21. Februar 2006 (BAnz. S. 2653, Kapitel I Nummer 2.1)</w:t>
      </w:r>
    </w:p>
    <w:p>
      <w:pPr>
        <w:pStyle w:val="GesAbsatz"/>
      </w:pPr>
      <w:r>
        <w:t xml:space="preserve">Die aktuelle Software-Version für die Messeinrichtung ECO PHYSICS CLD 822 </w:t>
      </w:r>
      <w:proofErr w:type="spellStart"/>
      <w:r>
        <w:t>Mh</w:t>
      </w:r>
      <w:proofErr w:type="spellEnd"/>
      <w:r>
        <w:t xml:space="preserve"> (Zweikanalgerät) und ECO PHYSICS CLD 82 </w:t>
      </w:r>
      <w:proofErr w:type="spellStart"/>
      <w:r>
        <w:t>Mh</w:t>
      </w:r>
      <w:proofErr w:type="spellEnd"/>
      <w:r>
        <w:t xml:space="preserve"> (Einkanalgerät) für NO und NO</w:t>
      </w:r>
      <w:r>
        <w:rPr>
          <w:vertAlign w:val="subscript"/>
        </w:rPr>
        <w:t>x</w:t>
      </w:r>
      <w:r>
        <w:t xml:space="preserve"> der Fa. ECO PHYSICS AG lautet V 1.40.</w:t>
      </w:r>
    </w:p>
    <w:p>
      <w:pPr>
        <w:pStyle w:val="GesAbsatz"/>
      </w:pPr>
      <w:r>
        <w:lastRenderedPageBreak/>
        <w:t>Stellungnahme der TÜV SÜD Industrie Service GmbH vom 11. Oktober 2012</w:t>
      </w:r>
    </w:p>
    <w:p>
      <w:pPr>
        <w:pStyle w:val="GesAbsatz"/>
        <w:ind w:left="426" w:hanging="426"/>
        <w:rPr>
          <w:b/>
        </w:rPr>
      </w:pPr>
      <w:r>
        <w:rPr>
          <w:b/>
        </w:rPr>
        <w:t>32</w:t>
      </w:r>
      <w:r>
        <w:rPr>
          <w:b/>
        </w:rPr>
        <w:tab/>
        <w:t>Mitteilung zu den Bekanntmachungen des Umweltbundesamtes vom 14. Februar 2008 (BAnz. S. 901, Kapitel I Nummer 2.4) und vom 15. Juli 2011 (BAnz. S. 2725, Kapitel III, 2. Mitteilung)</w:t>
      </w:r>
    </w:p>
    <w:p>
      <w:pPr>
        <w:pStyle w:val="GesAbsatz"/>
      </w:pPr>
      <w:r>
        <w:t>Die aktuelle Software-Version für die Messeinrichtungen Ultramat 23-7MB2335/2337 für CO, NO und O</w:t>
      </w:r>
      <w:r>
        <w:rPr>
          <w:vertAlign w:val="subscript"/>
        </w:rPr>
        <w:t>2</w:t>
      </w:r>
      <w:r>
        <w:t xml:space="preserve"> der Fa. Siemens AG lautet 2.15.01.</w:t>
      </w:r>
    </w:p>
    <w:p>
      <w:pPr>
        <w:pStyle w:val="GesAbsatz"/>
      </w:pPr>
      <w:r>
        <w:t>Stellungnahme der TÜV Süd Industrie Service GmbH vom 8. Oktober 2012</w:t>
      </w:r>
    </w:p>
    <w:p>
      <w:pPr>
        <w:pStyle w:val="GesAbsatz"/>
        <w:ind w:left="426" w:hanging="426"/>
        <w:rPr>
          <w:b/>
        </w:rPr>
      </w:pPr>
      <w:r>
        <w:rPr>
          <w:b/>
        </w:rPr>
        <w:t>33</w:t>
      </w:r>
      <w:r>
        <w:rPr>
          <w:b/>
        </w:rPr>
        <w:tab/>
        <w:t>Mitteilung zu den Bekanntmachungen des Umweltbundesamtes vom 14. Februar 2008 (BAnz. S. 901, Kapitel I Nummer 2.5) und vom 15. Juli 2011 (BAnz. S. 2725, Kapitel III, 3. Mitteilung)</w:t>
      </w:r>
    </w:p>
    <w:p>
      <w:pPr>
        <w:pStyle w:val="GesAbsatz"/>
      </w:pPr>
      <w:r>
        <w:t>Die aktuelle Software-Version für die Mehrkomponentenmesseinrichtung Ultramat 23-7MB2338 der Fa. Siemens AG lautet 2.15.01.</w:t>
      </w:r>
    </w:p>
    <w:p>
      <w:pPr>
        <w:pStyle w:val="GesAbsatz"/>
      </w:pPr>
      <w:r>
        <w:t>Stellungnahme der TÜV Süd Industrie Service GmbH vom 8. Oktober 2012</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12.02.2013 (BAnz. v. 05.03.2013)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61.4-64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6851E7-11E7-4BB5-B70A-22652518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637A1-23BB-4774-852A-D68D59B4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24</Pages>
  <Words>7675</Words>
  <Characters>48463</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56026</CharactersWithSpaces>
  <SharedDoc>false</SharedDoc>
  <HLinks>
    <vt:vector size="42" baseType="variant">
      <vt:variant>
        <vt:i4>1179706</vt:i4>
      </vt:variant>
      <vt:variant>
        <vt:i4>38</vt:i4>
      </vt:variant>
      <vt:variant>
        <vt:i4>0</vt:i4>
      </vt:variant>
      <vt:variant>
        <vt:i4>5</vt:i4>
      </vt:variant>
      <vt:variant>
        <vt:lpwstr/>
      </vt:variant>
      <vt:variant>
        <vt:lpwstr>_Toc354480541</vt:lpwstr>
      </vt:variant>
      <vt:variant>
        <vt:i4>1179706</vt:i4>
      </vt:variant>
      <vt:variant>
        <vt:i4>32</vt:i4>
      </vt:variant>
      <vt:variant>
        <vt:i4>0</vt:i4>
      </vt:variant>
      <vt:variant>
        <vt:i4>5</vt:i4>
      </vt:variant>
      <vt:variant>
        <vt:lpwstr/>
      </vt:variant>
      <vt:variant>
        <vt:lpwstr>_Toc354480540</vt:lpwstr>
      </vt:variant>
      <vt:variant>
        <vt:i4>1376314</vt:i4>
      </vt:variant>
      <vt:variant>
        <vt:i4>26</vt:i4>
      </vt:variant>
      <vt:variant>
        <vt:i4>0</vt:i4>
      </vt:variant>
      <vt:variant>
        <vt:i4>5</vt:i4>
      </vt:variant>
      <vt:variant>
        <vt:lpwstr/>
      </vt:variant>
      <vt:variant>
        <vt:lpwstr>_Toc354480539</vt:lpwstr>
      </vt:variant>
      <vt:variant>
        <vt:i4>1376314</vt:i4>
      </vt:variant>
      <vt:variant>
        <vt:i4>20</vt:i4>
      </vt:variant>
      <vt:variant>
        <vt:i4>0</vt:i4>
      </vt:variant>
      <vt:variant>
        <vt:i4>5</vt:i4>
      </vt:variant>
      <vt:variant>
        <vt:lpwstr/>
      </vt:variant>
      <vt:variant>
        <vt:lpwstr>_Toc354480538</vt:lpwstr>
      </vt:variant>
      <vt:variant>
        <vt:i4>1376314</vt:i4>
      </vt:variant>
      <vt:variant>
        <vt:i4>14</vt:i4>
      </vt:variant>
      <vt:variant>
        <vt:i4>0</vt:i4>
      </vt:variant>
      <vt:variant>
        <vt:i4>5</vt:i4>
      </vt:variant>
      <vt:variant>
        <vt:lpwstr/>
      </vt:variant>
      <vt:variant>
        <vt:lpwstr>_Toc354480537</vt:lpwstr>
      </vt:variant>
      <vt:variant>
        <vt:i4>1376314</vt:i4>
      </vt:variant>
      <vt:variant>
        <vt:i4>8</vt:i4>
      </vt:variant>
      <vt:variant>
        <vt:i4>0</vt:i4>
      </vt:variant>
      <vt:variant>
        <vt:i4>5</vt:i4>
      </vt:variant>
      <vt:variant>
        <vt:lpwstr/>
      </vt:variant>
      <vt:variant>
        <vt:lpwstr>_Toc354480536</vt:lpwstr>
      </vt:variant>
      <vt:variant>
        <vt:i4>1376314</vt:i4>
      </vt:variant>
      <vt:variant>
        <vt:i4>2</vt:i4>
      </vt:variant>
      <vt:variant>
        <vt:i4>0</vt:i4>
      </vt:variant>
      <vt:variant>
        <vt:i4>5</vt:i4>
      </vt:variant>
      <vt:variant>
        <vt:lpwstr/>
      </vt:variant>
      <vt:variant>
        <vt:lpwstr>_Toc354480535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3</cp:revision>
  <cp:lastPrinted>2004-12-14T11:08:00Z</cp:lastPrinted>
  <dcterms:created xsi:type="dcterms:W3CDTF">2014-08-08T07:38:00Z</dcterms:created>
  <dcterms:modified xsi:type="dcterms:W3CDTF">2024-07-25T07:04:00Z</dcterms:modified>
</cp:coreProperties>
</file>