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31064654"/>
      <w:r>
        <w:t>Bekanntmachung</w:t>
      </w:r>
      <w:r>
        <w:br/>
        <w:t>über die bun</w:t>
      </w:r>
      <w:bookmarkStart w:id="1" w:name="_GoBack"/>
      <w:bookmarkEnd w:id="1"/>
      <w:r>
        <w:t>deseinheitliche Praxis</w:t>
      </w:r>
      <w:r>
        <w:br/>
        <w:t>bei der Überwachung der Emissionen und der Immissionen</w:t>
      </w:r>
      <w:bookmarkEnd w:id="0"/>
    </w:p>
    <w:p>
      <w:pPr>
        <w:pStyle w:val="GesAbsatz"/>
        <w:jc w:val="center"/>
      </w:pPr>
      <w:r>
        <w:t>vom 6. Juli 2012</w:t>
      </w:r>
    </w:p>
    <w:p>
      <w:pPr>
        <w:pStyle w:val="GesAbsatz"/>
        <w:jc w:val="center"/>
      </w:pPr>
    </w:p>
    <w:p>
      <w:pPr>
        <w:pStyle w:val="GesAbsatz"/>
        <w:jc w:val="center"/>
        <w:rPr>
          <w:b/>
          <w:snapToGrid w:val="0"/>
          <w:sz w:val="22"/>
        </w:rPr>
      </w:pPr>
      <w:r>
        <w:rPr>
          <w:b/>
          <w:snapToGrid w:val="0"/>
          <w:sz w:val="22"/>
        </w:rPr>
        <w:t>Inhalt:</w:t>
      </w:r>
    </w:p>
    <w:p>
      <w:pPr>
        <w:pStyle w:val="Verzeichnis1"/>
        <w:rPr>
          <w:b w:val="0"/>
          <w:caps w:val="0"/>
          <w:noProof/>
          <w:sz w:val="24"/>
          <w:szCs w:val="24"/>
        </w:rPr>
      </w:pPr>
      <w:r>
        <w:fldChar w:fldCharType="begin"/>
      </w:r>
      <w:r>
        <w:instrText xml:space="preserve"> TOC \o "1-3" \h \z \u </w:instrText>
      </w:r>
      <w:r>
        <w:fldChar w:fldCharType="separate"/>
      </w:r>
      <w:hyperlink w:anchor="_Toc331064654" w:history="1">
        <w:r>
          <w:rPr>
            <w:rStyle w:val="Hyperlink"/>
            <w:noProof/>
          </w:rPr>
          <w:t>Bekanntmachung über die bundeseinheitliche Praxis bei der Überwachung der Emissionen und der Immissionen</w:t>
        </w:r>
        <w:r>
          <w:rPr>
            <w:noProof/>
            <w:webHidden/>
          </w:rPr>
          <w:tab/>
        </w:r>
        <w:r>
          <w:rPr>
            <w:noProof/>
            <w:webHidden/>
          </w:rPr>
          <w:fldChar w:fldCharType="begin"/>
        </w:r>
        <w:r>
          <w:rPr>
            <w:noProof/>
            <w:webHidden/>
          </w:rPr>
          <w:instrText xml:space="preserve"> PAGEREF _Toc331064654 \h </w:instrText>
        </w:r>
        <w:r>
          <w:rPr>
            <w:noProof/>
            <w:webHidden/>
          </w:rPr>
        </w:r>
        <w:r>
          <w:rPr>
            <w:noProof/>
            <w:webHidden/>
          </w:rPr>
          <w:fldChar w:fldCharType="separate"/>
        </w:r>
        <w:r>
          <w:rPr>
            <w:noProof/>
            <w:webHidden/>
          </w:rPr>
          <w:t>1</w:t>
        </w:r>
        <w:r>
          <w:rPr>
            <w:noProof/>
            <w:webHidden/>
          </w:rPr>
          <w:fldChar w:fldCharType="end"/>
        </w:r>
      </w:hyperlink>
    </w:p>
    <w:p>
      <w:pPr>
        <w:pStyle w:val="Verzeichnis2"/>
        <w:rPr>
          <w:smallCaps w:val="0"/>
          <w:noProof/>
          <w:sz w:val="24"/>
          <w:szCs w:val="24"/>
        </w:rPr>
      </w:pPr>
      <w:hyperlink w:anchor="_Toc331064655" w:history="1">
        <w:r>
          <w:rPr>
            <w:rStyle w:val="Hyperlink"/>
            <w:noProof/>
          </w:rPr>
          <w:t>I. Eignung von Messeinrichtungen zur kontinuierlichen Überwachung von Emissionen</w:t>
        </w:r>
        <w:r>
          <w:rPr>
            <w:noProof/>
            <w:webHidden/>
          </w:rPr>
          <w:tab/>
        </w:r>
        <w:r>
          <w:rPr>
            <w:noProof/>
            <w:webHidden/>
          </w:rPr>
          <w:fldChar w:fldCharType="begin"/>
        </w:r>
        <w:r>
          <w:rPr>
            <w:noProof/>
            <w:webHidden/>
          </w:rPr>
          <w:instrText xml:space="preserve"> PAGEREF _Toc331064655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left" w:pos="600"/>
        </w:tabs>
        <w:rPr>
          <w:i w:val="0"/>
          <w:noProof/>
          <w:sz w:val="24"/>
          <w:szCs w:val="24"/>
        </w:rPr>
      </w:pPr>
      <w:hyperlink w:anchor="_Toc331064656" w:history="1">
        <w:r>
          <w:rPr>
            <w:rStyle w:val="Hyperlink"/>
            <w:noProof/>
          </w:rPr>
          <w:t>1</w:t>
        </w:r>
        <w:r>
          <w:rPr>
            <w:i w:val="0"/>
            <w:noProof/>
            <w:sz w:val="24"/>
            <w:szCs w:val="24"/>
          </w:rPr>
          <w:tab/>
        </w:r>
        <w:r>
          <w:rPr>
            <w:rStyle w:val="Hyperlink"/>
            <w:noProof/>
          </w:rPr>
          <w:t>Staubförmige Emissionen (Staubkonzentration)</w:t>
        </w:r>
        <w:r>
          <w:rPr>
            <w:noProof/>
            <w:webHidden/>
          </w:rPr>
          <w:tab/>
        </w:r>
        <w:r>
          <w:rPr>
            <w:noProof/>
            <w:webHidden/>
          </w:rPr>
          <w:fldChar w:fldCharType="begin"/>
        </w:r>
        <w:r>
          <w:rPr>
            <w:noProof/>
            <w:webHidden/>
          </w:rPr>
          <w:instrText xml:space="preserve"> PAGEREF _Toc331064656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left" w:pos="600"/>
        </w:tabs>
        <w:rPr>
          <w:i w:val="0"/>
          <w:noProof/>
          <w:sz w:val="24"/>
          <w:szCs w:val="24"/>
        </w:rPr>
      </w:pPr>
      <w:hyperlink w:anchor="_Toc331064657" w:history="1">
        <w:r>
          <w:rPr>
            <w:rStyle w:val="Hyperlink"/>
            <w:noProof/>
          </w:rPr>
          <w:t>2</w:t>
        </w:r>
        <w:r>
          <w:rPr>
            <w:i w:val="0"/>
            <w:noProof/>
            <w:sz w:val="24"/>
            <w:szCs w:val="24"/>
          </w:rPr>
          <w:tab/>
        </w:r>
        <w:r>
          <w:rPr>
            <w:rStyle w:val="Hyperlink"/>
            <w:rFonts w:cs="Arial"/>
            <w:noProof/>
          </w:rPr>
          <w:t>Quecksilber</w:t>
        </w:r>
        <w:r>
          <w:rPr>
            <w:noProof/>
            <w:webHidden/>
          </w:rPr>
          <w:tab/>
        </w:r>
        <w:r>
          <w:rPr>
            <w:noProof/>
            <w:webHidden/>
          </w:rPr>
          <w:fldChar w:fldCharType="begin"/>
        </w:r>
        <w:r>
          <w:rPr>
            <w:noProof/>
            <w:webHidden/>
          </w:rPr>
          <w:instrText xml:space="preserve"> PAGEREF _Toc331064657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left" w:pos="600"/>
        </w:tabs>
        <w:rPr>
          <w:i w:val="0"/>
          <w:noProof/>
          <w:sz w:val="24"/>
          <w:szCs w:val="24"/>
        </w:rPr>
      </w:pPr>
      <w:hyperlink w:anchor="_Toc331064658" w:history="1">
        <w:r>
          <w:rPr>
            <w:rStyle w:val="Hyperlink"/>
            <w:noProof/>
          </w:rPr>
          <w:t>3</w:t>
        </w:r>
        <w:r>
          <w:rPr>
            <w:i w:val="0"/>
            <w:noProof/>
            <w:sz w:val="24"/>
            <w:szCs w:val="24"/>
          </w:rPr>
          <w:tab/>
        </w:r>
        <w:r>
          <w:rPr>
            <w:rStyle w:val="Hyperlink"/>
            <w:rFonts w:cs="Arial"/>
            <w:noProof/>
          </w:rPr>
          <w:t>Mehrkomponentenmesseinrichtungen</w:t>
        </w:r>
        <w:r>
          <w:rPr>
            <w:noProof/>
            <w:webHidden/>
          </w:rPr>
          <w:tab/>
        </w:r>
        <w:r>
          <w:rPr>
            <w:noProof/>
            <w:webHidden/>
          </w:rPr>
          <w:fldChar w:fldCharType="begin"/>
        </w:r>
        <w:r>
          <w:rPr>
            <w:noProof/>
            <w:webHidden/>
          </w:rPr>
          <w:instrText xml:space="preserve"> PAGEREF _Toc331064658 \h </w:instrText>
        </w:r>
        <w:r>
          <w:rPr>
            <w:noProof/>
            <w:webHidden/>
          </w:rPr>
        </w:r>
        <w:r>
          <w:rPr>
            <w:noProof/>
            <w:webHidden/>
          </w:rPr>
          <w:fldChar w:fldCharType="separate"/>
        </w:r>
        <w:r>
          <w:rPr>
            <w:noProof/>
            <w:webHidden/>
          </w:rPr>
          <w:t>4</w:t>
        </w:r>
        <w:r>
          <w:rPr>
            <w:noProof/>
            <w:webHidden/>
          </w:rPr>
          <w:fldChar w:fldCharType="end"/>
        </w:r>
      </w:hyperlink>
    </w:p>
    <w:p>
      <w:pPr>
        <w:pStyle w:val="Verzeichnis2"/>
        <w:rPr>
          <w:smallCaps w:val="0"/>
          <w:noProof/>
          <w:sz w:val="24"/>
          <w:szCs w:val="24"/>
        </w:rPr>
      </w:pPr>
      <w:hyperlink w:anchor="_Toc331064659" w:history="1">
        <w:r>
          <w:rPr>
            <w:rStyle w:val="Hyperlink"/>
            <w:noProof/>
          </w:rPr>
          <w:t>II. Eignung für Messeinrichtungen  zur kontinuierlichen Messung von Bezugsgrößen/Betriebsgrößen</w:t>
        </w:r>
        <w:r>
          <w:rPr>
            <w:noProof/>
            <w:webHidden/>
          </w:rPr>
          <w:tab/>
        </w:r>
        <w:r>
          <w:rPr>
            <w:noProof/>
            <w:webHidden/>
          </w:rPr>
          <w:fldChar w:fldCharType="begin"/>
        </w:r>
        <w:r>
          <w:rPr>
            <w:noProof/>
            <w:webHidden/>
          </w:rPr>
          <w:instrText xml:space="preserve"> PAGEREF _Toc331064659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left" w:pos="600"/>
        </w:tabs>
        <w:rPr>
          <w:i w:val="0"/>
          <w:noProof/>
          <w:sz w:val="24"/>
          <w:szCs w:val="24"/>
        </w:rPr>
      </w:pPr>
      <w:hyperlink w:anchor="_Toc331064660" w:history="1">
        <w:r>
          <w:rPr>
            <w:rStyle w:val="Hyperlink"/>
            <w:noProof/>
          </w:rPr>
          <w:t>1</w:t>
        </w:r>
        <w:r>
          <w:rPr>
            <w:i w:val="0"/>
            <w:noProof/>
            <w:sz w:val="24"/>
            <w:szCs w:val="24"/>
          </w:rPr>
          <w:tab/>
        </w:r>
        <w:r>
          <w:rPr>
            <w:rStyle w:val="Hyperlink"/>
            <w:rFonts w:cs="Arial"/>
            <w:noProof/>
          </w:rPr>
          <w:t>Sauerstoff</w:t>
        </w:r>
        <w:r>
          <w:rPr>
            <w:noProof/>
            <w:webHidden/>
          </w:rPr>
          <w:tab/>
        </w:r>
        <w:r>
          <w:rPr>
            <w:noProof/>
            <w:webHidden/>
          </w:rPr>
          <w:fldChar w:fldCharType="begin"/>
        </w:r>
        <w:r>
          <w:rPr>
            <w:noProof/>
            <w:webHidden/>
          </w:rPr>
          <w:instrText xml:space="preserve"> PAGEREF _Toc331064660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left" w:pos="600"/>
        </w:tabs>
        <w:rPr>
          <w:i w:val="0"/>
          <w:noProof/>
          <w:sz w:val="24"/>
          <w:szCs w:val="24"/>
        </w:rPr>
      </w:pPr>
      <w:hyperlink w:anchor="_Toc331064661" w:history="1">
        <w:r>
          <w:rPr>
            <w:rStyle w:val="Hyperlink"/>
            <w:noProof/>
          </w:rPr>
          <w:t>2</w:t>
        </w:r>
        <w:r>
          <w:rPr>
            <w:i w:val="0"/>
            <w:noProof/>
            <w:sz w:val="24"/>
            <w:szCs w:val="24"/>
          </w:rPr>
          <w:tab/>
        </w:r>
        <w:r>
          <w:rPr>
            <w:rStyle w:val="Hyperlink"/>
            <w:rFonts w:cs="Arial"/>
            <w:noProof/>
          </w:rPr>
          <w:t>Abgasgeschwindigkeit</w:t>
        </w:r>
        <w:r>
          <w:rPr>
            <w:noProof/>
            <w:webHidden/>
          </w:rPr>
          <w:tab/>
        </w:r>
        <w:r>
          <w:rPr>
            <w:noProof/>
            <w:webHidden/>
          </w:rPr>
          <w:fldChar w:fldCharType="begin"/>
        </w:r>
        <w:r>
          <w:rPr>
            <w:noProof/>
            <w:webHidden/>
          </w:rPr>
          <w:instrText xml:space="preserve"> PAGEREF _Toc331064661 \h </w:instrText>
        </w:r>
        <w:r>
          <w:rPr>
            <w:noProof/>
            <w:webHidden/>
          </w:rPr>
        </w:r>
        <w:r>
          <w:rPr>
            <w:noProof/>
            <w:webHidden/>
          </w:rPr>
          <w:fldChar w:fldCharType="separate"/>
        </w:r>
        <w:r>
          <w:rPr>
            <w:noProof/>
            <w:webHidden/>
          </w:rPr>
          <w:t>6</w:t>
        </w:r>
        <w:r>
          <w:rPr>
            <w:noProof/>
            <w:webHidden/>
          </w:rPr>
          <w:fldChar w:fldCharType="end"/>
        </w:r>
      </w:hyperlink>
    </w:p>
    <w:p>
      <w:pPr>
        <w:pStyle w:val="Verzeichnis2"/>
        <w:rPr>
          <w:smallCaps w:val="0"/>
          <w:noProof/>
          <w:sz w:val="24"/>
          <w:szCs w:val="24"/>
        </w:rPr>
      </w:pPr>
      <w:hyperlink w:anchor="_Toc331064662" w:history="1">
        <w:r>
          <w:rPr>
            <w:rStyle w:val="Hyperlink"/>
            <w:noProof/>
          </w:rPr>
          <w:t>III. Eignung von Messeinrichtungen zur kontinuierlichen Überwachung von Immissionen</w:t>
        </w:r>
        <w:r>
          <w:rPr>
            <w:noProof/>
            <w:webHidden/>
          </w:rPr>
          <w:tab/>
        </w:r>
        <w:r>
          <w:rPr>
            <w:noProof/>
            <w:webHidden/>
          </w:rPr>
          <w:fldChar w:fldCharType="begin"/>
        </w:r>
        <w:r>
          <w:rPr>
            <w:noProof/>
            <w:webHidden/>
          </w:rPr>
          <w:instrText xml:space="preserve"> PAGEREF _Toc331064662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left" w:pos="600"/>
        </w:tabs>
        <w:rPr>
          <w:i w:val="0"/>
          <w:noProof/>
          <w:sz w:val="24"/>
          <w:szCs w:val="24"/>
        </w:rPr>
      </w:pPr>
      <w:hyperlink w:anchor="_Toc331064663" w:history="1">
        <w:r>
          <w:rPr>
            <w:rStyle w:val="Hyperlink"/>
            <w:noProof/>
          </w:rPr>
          <w:t>1</w:t>
        </w:r>
        <w:r>
          <w:rPr>
            <w:i w:val="0"/>
            <w:noProof/>
            <w:sz w:val="24"/>
            <w:szCs w:val="24"/>
          </w:rPr>
          <w:tab/>
        </w:r>
        <w:r>
          <w:rPr>
            <w:rStyle w:val="Hyperlink"/>
            <w:rFonts w:cs="Arial"/>
            <w:noProof/>
          </w:rPr>
          <w:t>Schwebstaub (PM</w:t>
        </w:r>
        <w:r>
          <w:rPr>
            <w:rStyle w:val="Hyperlink"/>
            <w:rFonts w:cs="Arial"/>
            <w:noProof/>
            <w:vertAlign w:val="subscript"/>
          </w:rPr>
          <w:t>2,5</w:t>
        </w:r>
        <w:r>
          <w:rPr>
            <w:rStyle w:val="Hyperlink"/>
            <w:rFonts w:cs="Arial"/>
            <w:noProof/>
          </w:rPr>
          <w:t>-Fraktion)</w:t>
        </w:r>
        <w:r>
          <w:rPr>
            <w:noProof/>
            <w:webHidden/>
          </w:rPr>
          <w:tab/>
        </w:r>
        <w:r>
          <w:rPr>
            <w:noProof/>
            <w:webHidden/>
          </w:rPr>
          <w:fldChar w:fldCharType="begin"/>
        </w:r>
        <w:r>
          <w:rPr>
            <w:noProof/>
            <w:webHidden/>
          </w:rPr>
          <w:instrText xml:space="preserve"> PAGEREF _Toc331064663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left" w:pos="600"/>
        </w:tabs>
        <w:rPr>
          <w:i w:val="0"/>
          <w:noProof/>
          <w:sz w:val="24"/>
          <w:szCs w:val="24"/>
        </w:rPr>
      </w:pPr>
      <w:hyperlink w:anchor="_Toc331064664" w:history="1">
        <w:r>
          <w:rPr>
            <w:rStyle w:val="Hyperlink"/>
            <w:noProof/>
          </w:rPr>
          <w:t>2</w:t>
        </w:r>
        <w:r>
          <w:rPr>
            <w:i w:val="0"/>
            <w:noProof/>
            <w:sz w:val="24"/>
            <w:szCs w:val="24"/>
          </w:rPr>
          <w:tab/>
        </w:r>
        <w:r>
          <w:rPr>
            <w:rStyle w:val="Hyperlink"/>
            <w:rFonts w:cs="Arial"/>
            <w:noProof/>
          </w:rPr>
          <w:t>Mehrkomponentenmesseinrichtung</w:t>
        </w:r>
        <w:r>
          <w:rPr>
            <w:rStyle w:val="Hyperlink"/>
            <w:noProof/>
          </w:rPr>
          <w:t>en</w:t>
        </w:r>
        <w:r>
          <w:rPr>
            <w:noProof/>
            <w:webHidden/>
          </w:rPr>
          <w:tab/>
        </w:r>
        <w:r>
          <w:rPr>
            <w:noProof/>
            <w:webHidden/>
          </w:rPr>
          <w:fldChar w:fldCharType="begin"/>
        </w:r>
        <w:r>
          <w:rPr>
            <w:noProof/>
            <w:webHidden/>
          </w:rPr>
          <w:instrText xml:space="preserve"> PAGEREF _Toc331064664 \h </w:instrText>
        </w:r>
        <w:r>
          <w:rPr>
            <w:noProof/>
            <w:webHidden/>
          </w:rPr>
        </w:r>
        <w:r>
          <w:rPr>
            <w:noProof/>
            <w:webHidden/>
          </w:rPr>
          <w:fldChar w:fldCharType="separate"/>
        </w:r>
        <w:r>
          <w:rPr>
            <w:noProof/>
            <w:webHidden/>
          </w:rPr>
          <w:t>8</w:t>
        </w:r>
        <w:r>
          <w:rPr>
            <w:noProof/>
            <w:webHidden/>
          </w:rPr>
          <w:fldChar w:fldCharType="end"/>
        </w:r>
      </w:hyperlink>
    </w:p>
    <w:p>
      <w:pPr>
        <w:pStyle w:val="Verzeichnis2"/>
        <w:rPr>
          <w:smallCaps w:val="0"/>
          <w:noProof/>
          <w:sz w:val="24"/>
          <w:szCs w:val="24"/>
        </w:rPr>
      </w:pPr>
      <w:hyperlink w:anchor="_Toc331064665" w:history="1">
        <w:r>
          <w:rPr>
            <w:rStyle w:val="Hyperlink"/>
            <w:noProof/>
          </w:rPr>
          <w:t>IV. Mitteilungen zur bundeseinheitlichen Praxis bei der Überwachung von Emissionen und Immissionen</w:t>
        </w:r>
        <w:r>
          <w:rPr>
            <w:noProof/>
            <w:webHidden/>
          </w:rPr>
          <w:tab/>
        </w:r>
        <w:r>
          <w:rPr>
            <w:noProof/>
            <w:webHidden/>
          </w:rPr>
          <w:fldChar w:fldCharType="begin"/>
        </w:r>
        <w:r>
          <w:rPr>
            <w:noProof/>
            <w:webHidden/>
          </w:rPr>
          <w:instrText xml:space="preserve"> PAGEREF _Toc331064665 \h </w:instrText>
        </w:r>
        <w:r>
          <w:rPr>
            <w:noProof/>
            <w:webHidden/>
          </w:rPr>
        </w:r>
        <w:r>
          <w:rPr>
            <w:noProof/>
            <w:webHidden/>
          </w:rPr>
          <w:fldChar w:fldCharType="separate"/>
        </w:r>
        <w:r>
          <w:rPr>
            <w:noProof/>
            <w:webHidden/>
          </w:rPr>
          <w:t>8</w:t>
        </w:r>
        <w:r>
          <w:rPr>
            <w:noProof/>
            <w:webHidden/>
          </w:rPr>
          <w:fldChar w:fldCharType="end"/>
        </w:r>
      </w:hyperlink>
    </w:p>
    <w:p>
      <w:pPr>
        <w:pStyle w:val="GesAbsatz"/>
        <w:jc w:val="left"/>
      </w:pPr>
      <w:r>
        <w:fldChar w:fldCharType="end"/>
      </w:r>
    </w:p>
    <w:p>
      <w:pPr>
        <w:pStyle w:val="berschrift2"/>
      </w:pPr>
      <w:bookmarkStart w:id="2" w:name="_Toc331064655"/>
      <w:r>
        <w:t>I.</w:t>
      </w:r>
      <w:r>
        <w:br/>
        <w:t>Eignung von Messeinrichtungen</w:t>
      </w:r>
      <w:r>
        <w:br/>
        <w:t>zur kontinuierlichen Überwachung von Emissionen</w:t>
      </w:r>
      <w:bookmarkEnd w:id="2"/>
    </w:p>
    <w:p>
      <w:pPr>
        <w:pStyle w:val="GesAbsatz"/>
      </w:pPr>
      <w:r>
        <w:t xml:space="preserve">Unter Bezugnahme auf Nummer 3 der Richtlinie über die bundeseinheitliche Praxis bei der Überwachung der Emissionen, Rundschreiben des Bundesministeriums für Umwelt, Naturschutz und Reaktorsicherheit (BMU) - IG I 2 - 45053/5 (GMBl 2005, S. 795), zuletzt geändert am 4. August 2010 (GMBl 2010, S. 1172), wird im Auftrag des BMU die Eignung der folgenden Messeinrichtungen bekannt gegeben: </w:t>
      </w:r>
    </w:p>
    <w:p>
      <w:pPr>
        <w:pStyle w:val="berschrift3"/>
        <w:jc w:val="left"/>
      </w:pPr>
      <w:bookmarkStart w:id="3" w:name="_Toc331064656"/>
      <w:r>
        <w:t>1</w:t>
      </w:r>
      <w:r>
        <w:tab/>
        <w:t>Staubförmige Emissionen (Staubkonzentration)</w:t>
      </w:r>
      <w:bookmarkEnd w:id="3"/>
    </w:p>
    <w:p>
      <w:pPr>
        <w:pStyle w:val="berschriftneutral"/>
      </w:pPr>
      <w:r>
        <w:t>1.1</w:t>
      </w:r>
      <w:r>
        <w:tab/>
        <w:t>D-R 820 F für Staub</w:t>
      </w:r>
    </w:p>
    <w:p>
      <w:pPr>
        <w:pStyle w:val="GesAbsatz"/>
      </w:pPr>
      <w:r>
        <w:t>Hersteller:</w:t>
      </w:r>
    </w:p>
    <w:p>
      <w:pPr>
        <w:pStyle w:val="GesAbsatz"/>
      </w:pPr>
      <w:r>
        <w:t xml:space="preserve">Durag GmbH, Hamburg </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Style w:val="Tabellenraster"/>
        <w:tblW w:w="0" w:type="auto"/>
        <w:tblLook w:val="01E0" w:firstRow="1" w:lastRow="1" w:firstColumn="1" w:lastColumn="1" w:noHBand="0" w:noVBand="0"/>
      </w:tblPr>
      <w:tblGrid>
        <w:gridCol w:w="1508"/>
        <w:gridCol w:w="2374"/>
        <w:gridCol w:w="3338"/>
        <w:gridCol w:w="2408"/>
      </w:tblGrid>
      <w:tr>
        <w:tc>
          <w:tcPr>
            <w:tcW w:w="1526" w:type="dxa"/>
          </w:tcPr>
          <w:p>
            <w:pPr>
              <w:pStyle w:val="GesAbsatz"/>
              <w:tabs>
                <w:tab w:val="clear" w:pos="425"/>
              </w:tabs>
            </w:pPr>
            <w:r>
              <w:t>Komponente</w:t>
            </w:r>
          </w:p>
        </w:tc>
        <w:tc>
          <w:tcPr>
            <w:tcW w:w="2410" w:type="dxa"/>
          </w:tcPr>
          <w:p>
            <w:pPr>
              <w:pStyle w:val="GesAbsatz"/>
              <w:tabs>
                <w:tab w:val="clear" w:pos="425"/>
              </w:tabs>
            </w:pPr>
            <w:r>
              <w:t>Zertifizierungsbereich</w:t>
            </w:r>
          </w:p>
        </w:tc>
        <w:tc>
          <w:tcPr>
            <w:tcW w:w="3397" w:type="dxa"/>
          </w:tcPr>
          <w:p>
            <w:pPr>
              <w:pStyle w:val="GesAbsatz"/>
              <w:tabs>
                <w:tab w:val="clear" w:pos="425"/>
              </w:tabs>
            </w:pPr>
            <w:r>
              <w:t>zusätzlicher Messbereich</w:t>
            </w:r>
          </w:p>
        </w:tc>
        <w:tc>
          <w:tcPr>
            <w:tcW w:w="2445" w:type="dxa"/>
          </w:tcPr>
          <w:p>
            <w:pPr>
              <w:pStyle w:val="GesAbsatz"/>
              <w:tabs>
                <w:tab w:val="clear" w:pos="425"/>
              </w:tabs>
            </w:pPr>
            <w:r>
              <w:t xml:space="preserve">Einheit </w:t>
            </w:r>
          </w:p>
        </w:tc>
      </w:tr>
      <w:tr>
        <w:tc>
          <w:tcPr>
            <w:tcW w:w="1526" w:type="dxa"/>
          </w:tcPr>
          <w:p>
            <w:pPr>
              <w:pStyle w:val="GesAbsatz"/>
              <w:tabs>
                <w:tab w:val="clear" w:pos="425"/>
              </w:tabs>
            </w:pPr>
            <w:r>
              <w:t>Gesamtstaub</w:t>
            </w:r>
          </w:p>
        </w:tc>
        <w:tc>
          <w:tcPr>
            <w:tcW w:w="2410" w:type="dxa"/>
          </w:tcPr>
          <w:p>
            <w:pPr>
              <w:pStyle w:val="GesAbsatz"/>
              <w:tabs>
                <w:tab w:val="clear" w:pos="425"/>
              </w:tabs>
              <w:jc w:val="center"/>
            </w:pPr>
            <w:r>
              <w:t>0 – 15</w:t>
            </w:r>
          </w:p>
        </w:tc>
        <w:tc>
          <w:tcPr>
            <w:tcW w:w="3397" w:type="dxa"/>
          </w:tcPr>
          <w:p>
            <w:pPr>
              <w:pStyle w:val="GesAbsatz"/>
              <w:tabs>
                <w:tab w:val="clear" w:pos="425"/>
              </w:tabs>
              <w:jc w:val="center"/>
            </w:pPr>
            <w:r>
              <w:t>0 – 100</w:t>
            </w:r>
          </w:p>
        </w:tc>
        <w:tc>
          <w:tcPr>
            <w:tcW w:w="2445" w:type="dxa"/>
          </w:tcPr>
          <w:p>
            <w:pPr>
              <w:pStyle w:val="GesAbsatz"/>
              <w:tabs>
                <w:tab w:val="clear" w:pos="425"/>
              </w:tabs>
              <w:jc w:val="center"/>
            </w:pPr>
            <w:r>
              <w:t>mg/m</w:t>
            </w:r>
            <w:r>
              <w:rPr>
                <w:vertAlign w:val="superscript"/>
              </w:rPr>
              <w:t>3</w:t>
            </w:r>
          </w:p>
        </w:tc>
      </w:tr>
    </w:tbl>
    <w:p>
      <w:pPr>
        <w:pStyle w:val="GesAbsatz"/>
      </w:pPr>
      <w:r>
        <w:t>Softwareversion: 1.15h</w:t>
      </w:r>
    </w:p>
    <w:p>
      <w:pPr>
        <w:pStyle w:val="GesAbsatz"/>
      </w:pPr>
      <w:r>
        <w:t>Einschränkungen:</w:t>
      </w:r>
    </w:p>
    <w:p>
      <w:pPr>
        <w:pStyle w:val="GesAbsatz"/>
      </w:pPr>
      <w:r>
        <w:t xml:space="preserve">Keine </w:t>
      </w:r>
    </w:p>
    <w:p>
      <w:pPr>
        <w:pStyle w:val="GesAbsatz"/>
      </w:pPr>
      <w:r>
        <w:t xml:space="preserve">Hinweise: </w:t>
      </w:r>
    </w:p>
    <w:p>
      <w:pPr>
        <w:pStyle w:val="GesAbsatz"/>
        <w:ind w:left="426" w:hanging="426"/>
      </w:pPr>
      <w:r>
        <w:t>1</w:t>
      </w:r>
      <w:r>
        <w:tab/>
        <w:t>Das Wartungsintervall beträgt vier Wochen.</w:t>
      </w:r>
    </w:p>
    <w:p>
      <w:pPr>
        <w:pStyle w:val="GesAbsatz"/>
        <w:ind w:left="426" w:hanging="426"/>
      </w:pPr>
      <w:r>
        <w:t>2</w:t>
      </w:r>
      <w:r>
        <w:tab/>
        <w:t>Die Anforderung bei der Eignungsprüfung nach DIN EN 15267-3 an den Korrelationskoeffizienten R</w:t>
      </w:r>
      <w:r>
        <w:rPr>
          <w:vertAlign w:val="superscript"/>
        </w:rPr>
        <w:t>2</w:t>
      </w:r>
      <w:r>
        <w:t xml:space="preserve"> der Kalibrierfunktion wurde nicht erfüllt.</w:t>
      </w:r>
    </w:p>
    <w:p>
      <w:pPr>
        <w:pStyle w:val="GesAbsatz"/>
      </w:pPr>
      <w:r>
        <w:t>Prüfbericht: TÜV Rheinland Energie und Umwelt GmbH, Köln</w:t>
      </w:r>
    </w:p>
    <w:p>
      <w:pPr>
        <w:pStyle w:val="GesAbsatz"/>
      </w:pPr>
      <w:r>
        <w:t xml:space="preserve">Bericht-Nr.: 936/21210225/A vom 21. März 2012 </w:t>
      </w:r>
    </w:p>
    <w:p>
      <w:pPr>
        <w:pStyle w:val="GesAbsatz"/>
      </w:pPr>
    </w:p>
    <w:p>
      <w:pPr>
        <w:pStyle w:val="berschriftneutral"/>
      </w:pPr>
      <w:r>
        <w:lastRenderedPageBreak/>
        <w:t>1.2</w:t>
      </w:r>
      <w:r>
        <w:tab/>
        <w:t>PFM 06 ED für Staub</w:t>
      </w:r>
    </w:p>
    <w:p>
      <w:pPr>
        <w:pStyle w:val="GesAbsatz"/>
      </w:pPr>
      <w:r>
        <w:t>Hersteller:</w:t>
      </w:r>
    </w:p>
    <w:p>
      <w:pPr>
        <w:pStyle w:val="GesAbsatz"/>
      </w:pPr>
      <w:r>
        <w:t xml:space="preserve">Dr. Födisch Umweltmesstechnik AG, Markranstädt </w:t>
      </w:r>
    </w:p>
    <w:p>
      <w:pPr>
        <w:pStyle w:val="GesAbsatz"/>
      </w:pPr>
      <w:r>
        <w:t>Eignung:</w:t>
      </w:r>
    </w:p>
    <w:p>
      <w:pPr>
        <w:pStyle w:val="GesAbsatz"/>
      </w:pPr>
      <w:r>
        <w:t xml:space="preserve">Für genehmigungsbedürftige Anlagen sowie Anlagen der 27. BImSchV </w:t>
      </w:r>
    </w:p>
    <w:p>
      <w:pPr>
        <w:pStyle w:val="GesAbsatz"/>
      </w:pPr>
      <w:r>
        <w:t xml:space="preserve">Messbereiche in der Eignungsprüfung: </w:t>
      </w:r>
    </w:p>
    <w:tbl>
      <w:tblPr>
        <w:tblStyle w:val="Tabellenraster"/>
        <w:tblW w:w="0" w:type="auto"/>
        <w:tblLook w:val="01E0" w:firstRow="1" w:lastRow="1" w:firstColumn="1" w:lastColumn="1" w:noHBand="0" w:noVBand="0"/>
      </w:tblPr>
      <w:tblGrid>
        <w:gridCol w:w="2444"/>
        <w:gridCol w:w="2342"/>
        <w:gridCol w:w="2547"/>
        <w:gridCol w:w="1280"/>
      </w:tblGrid>
      <w:tr>
        <w:tc>
          <w:tcPr>
            <w:tcW w:w="2444" w:type="dxa"/>
          </w:tcPr>
          <w:p>
            <w:pPr>
              <w:pStyle w:val="GesAbsatz"/>
              <w:tabs>
                <w:tab w:val="clear" w:pos="425"/>
              </w:tabs>
            </w:pPr>
            <w:r>
              <w:t>Komponente</w:t>
            </w:r>
          </w:p>
        </w:tc>
        <w:tc>
          <w:tcPr>
            <w:tcW w:w="2342" w:type="dxa"/>
          </w:tcPr>
          <w:p>
            <w:pPr>
              <w:pStyle w:val="GesAbsatz"/>
              <w:tabs>
                <w:tab w:val="clear" w:pos="425"/>
              </w:tabs>
              <w:jc w:val="center"/>
            </w:pPr>
            <w:r>
              <w:t>Zertifizierungsbereich</w:t>
            </w:r>
          </w:p>
        </w:tc>
        <w:tc>
          <w:tcPr>
            <w:tcW w:w="2547" w:type="dxa"/>
          </w:tcPr>
          <w:p>
            <w:pPr>
              <w:pStyle w:val="GesAbsatz"/>
              <w:tabs>
                <w:tab w:val="clear" w:pos="425"/>
              </w:tabs>
              <w:jc w:val="center"/>
            </w:pPr>
            <w:r>
              <w:t>zusätzlicher Messbereich</w:t>
            </w:r>
          </w:p>
        </w:tc>
        <w:tc>
          <w:tcPr>
            <w:tcW w:w="1280" w:type="dxa"/>
          </w:tcPr>
          <w:p>
            <w:pPr>
              <w:pStyle w:val="GesAbsatz"/>
              <w:tabs>
                <w:tab w:val="clear" w:pos="425"/>
              </w:tabs>
              <w:jc w:val="center"/>
            </w:pPr>
            <w:r>
              <w:t>Einheit</w:t>
            </w:r>
          </w:p>
        </w:tc>
      </w:tr>
      <w:tr>
        <w:tc>
          <w:tcPr>
            <w:tcW w:w="2444" w:type="dxa"/>
          </w:tcPr>
          <w:p>
            <w:pPr>
              <w:pStyle w:val="GesAbsatz"/>
              <w:tabs>
                <w:tab w:val="clear" w:pos="425"/>
              </w:tabs>
            </w:pPr>
            <w:r>
              <w:t>Gesamtstaub</w:t>
            </w:r>
          </w:p>
        </w:tc>
        <w:tc>
          <w:tcPr>
            <w:tcW w:w="2342" w:type="dxa"/>
          </w:tcPr>
          <w:p>
            <w:pPr>
              <w:pStyle w:val="GesAbsatz"/>
              <w:tabs>
                <w:tab w:val="clear" w:pos="425"/>
              </w:tabs>
              <w:jc w:val="center"/>
            </w:pPr>
            <w:r>
              <w:t>0 – 15</w:t>
            </w:r>
          </w:p>
        </w:tc>
        <w:tc>
          <w:tcPr>
            <w:tcW w:w="2547" w:type="dxa"/>
          </w:tcPr>
          <w:p>
            <w:pPr>
              <w:pStyle w:val="GesAbsatz"/>
              <w:tabs>
                <w:tab w:val="clear" w:pos="425"/>
              </w:tabs>
              <w:jc w:val="center"/>
            </w:pPr>
            <w:r>
              <w:t>0 – 100</w:t>
            </w:r>
          </w:p>
        </w:tc>
        <w:tc>
          <w:tcPr>
            <w:tcW w:w="1280" w:type="dxa"/>
          </w:tcPr>
          <w:p>
            <w:pPr>
              <w:pStyle w:val="GesAbsatz"/>
              <w:tabs>
                <w:tab w:val="clear" w:pos="425"/>
              </w:tabs>
              <w:jc w:val="center"/>
            </w:pPr>
            <w:r>
              <w:t>mg/m</w:t>
            </w:r>
            <w:r>
              <w:rPr>
                <w:vertAlign w:val="superscript"/>
              </w:rPr>
              <w:t>3</w:t>
            </w:r>
          </w:p>
        </w:tc>
      </w:tr>
    </w:tbl>
    <w:p>
      <w:pPr>
        <w:pStyle w:val="GesAbsatz"/>
      </w:pPr>
      <w:r>
        <w:t>Softwareversion: 1.15h</w:t>
      </w:r>
    </w:p>
    <w:p>
      <w:pPr>
        <w:pStyle w:val="GesAbsatz"/>
      </w:pPr>
      <w:r>
        <w:t>Einschränkungen:</w:t>
      </w:r>
    </w:p>
    <w:p>
      <w:pPr>
        <w:pStyle w:val="GesAbsatz"/>
      </w:pPr>
      <w:r>
        <w:t xml:space="preserve">Keine </w:t>
      </w:r>
    </w:p>
    <w:p>
      <w:pPr>
        <w:pStyle w:val="GesAbsatz"/>
      </w:pPr>
      <w:r>
        <w:t xml:space="preserve">Hinweise: </w:t>
      </w:r>
    </w:p>
    <w:p>
      <w:pPr>
        <w:pStyle w:val="GesAbsatz"/>
        <w:ind w:left="426" w:hanging="426"/>
      </w:pPr>
      <w:r>
        <w:t>1</w:t>
      </w:r>
      <w:r>
        <w:tab/>
        <w:t>Das Wartungsintervall beträgt vier Wochen.</w:t>
      </w:r>
    </w:p>
    <w:p>
      <w:pPr>
        <w:pStyle w:val="GesAbsatz"/>
        <w:ind w:left="426" w:hanging="426"/>
      </w:pPr>
      <w:r>
        <w:t>2</w:t>
      </w:r>
      <w:r>
        <w:tab/>
        <w:t>Die Anforderung bei der Eignungsprüfung nach DIN EN 15267-3 an den Korrelationskoeffizienten R</w:t>
      </w:r>
      <w:r>
        <w:rPr>
          <w:vertAlign w:val="superscript"/>
        </w:rPr>
        <w:t>2</w:t>
      </w:r>
      <w:r>
        <w:t xml:space="preserve"> der Kalibrierfunktion wurde nicht erfüllt.</w:t>
      </w:r>
    </w:p>
    <w:p>
      <w:pPr>
        <w:pStyle w:val="GesAbsatz"/>
      </w:pPr>
      <w:r>
        <w:t>Prüfbericht: TÜV Rheinland Energie und Umwelt GmbH, Köln</w:t>
      </w:r>
    </w:p>
    <w:p>
      <w:pPr>
        <w:pStyle w:val="GesAbsatz"/>
      </w:pPr>
      <w:r>
        <w:t xml:space="preserve">Bericht-Nr.: 936/21218036/A vom 23. März 2012 </w:t>
      </w:r>
    </w:p>
    <w:p>
      <w:pPr>
        <w:pStyle w:val="GesAbsatz"/>
      </w:pPr>
    </w:p>
    <w:p>
      <w:pPr>
        <w:pStyle w:val="berschriftneutral"/>
      </w:pPr>
      <w:r>
        <w:t>1.3</w:t>
      </w:r>
      <w:r>
        <w:tab/>
        <w:t>4500 MKIII für Staub</w:t>
      </w:r>
    </w:p>
    <w:p>
      <w:pPr>
        <w:pStyle w:val="GesAbsatz"/>
      </w:pPr>
    </w:p>
    <w:p>
      <w:pPr>
        <w:pStyle w:val="GesAbsatz"/>
      </w:pPr>
      <w:r>
        <w:t>Hersteller:</w:t>
      </w:r>
    </w:p>
    <w:p>
      <w:pPr>
        <w:pStyle w:val="GesAbsatz"/>
      </w:pPr>
      <w:r>
        <w:t xml:space="preserve">Land Instruments International Ltd., Dronfield, Großbritannien </w:t>
      </w:r>
    </w:p>
    <w:p>
      <w:pPr>
        <w:pStyle w:val="GesAbsatz"/>
      </w:pPr>
      <w:r>
        <w:t>Eignung:</w:t>
      </w:r>
    </w:p>
    <w:p>
      <w:pPr>
        <w:pStyle w:val="GesAbsatz"/>
      </w:pPr>
      <w:r>
        <w:t xml:space="preserve">Für genehmigungsbedürftige Anlagen sowie Anlagen der 27. BImSchV </w:t>
      </w:r>
    </w:p>
    <w:p>
      <w:pPr>
        <w:pStyle w:val="GesAbsatz"/>
      </w:pPr>
      <w:r>
        <w:t xml:space="preserve">Messbereiche in der Eignungsprüfung: </w:t>
      </w:r>
    </w:p>
    <w:tbl>
      <w:tblPr>
        <w:tblStyle w:val="Tabellenraster"/>
        <w:tblW w:w="0" w:type="auto"/>
        <w:tblLook w:val="01E0" w:firstRow="1" w:lastRow="1" w:firstColumn="1" w:lastColumn="1" w:noHBand="0" w:noVBand="0"/>
      </w:tblPr>
      <w:tblGrid>
        <w:gridCol w:w="1384"/>
        <w:gridCol w:w="2268"/>
        <w:gridCol w:w="879"/>
        <w:gridCol w:w="993"/>
        <w:gridCol w:w="963"/>
        <w:gridCol w:w="1276"/>
      </w:tblGrid>
      <w:tr>
        <w:tc>
          <w:tcPr>
            <w:tcW w:w="1384" w:type="dxa"/>
          </w:tcPr>
          <w:p>
            <w:pPr>
              <w:pStyle w:val="GesAbsatz"/>
              <w:tabs>
                <w:tab w:val="clear" w:pos="425"/>
              </w:tabs>
            </w:pPr>
            <w:r>
              <w:t>Komponente</w:t>
            </w:r>
          </w:p>
        </w:tc>
        <w:tc>
          <w:tcPr>
            <w:tcW w:w="2268" w:type="dxa"/>
          </w:tcPr>
          <w:p>
            <w:pPr>
              <w:pStyle w:val="GesAbsatz"/>
              <w:tabs>
                <w:tab w:val="clear" w:pos="425"/>
              </w:tabs>
              <w:jc w:val="center"/>
            </w:pPr>
            <w:r>
              <w:t>Zertifizierungsbereich</w:t>
            </w:r>
          </w:p>
        </w:tc>
        <w:tc>
          <w:tcPr>
            <w:tcW w:w="2835" w:type="dxa"/>
            <w:gridSpan w:val="3"/>
          </w:tcPr>
          <w:p>
            <w:pPr>
              <w:pStyle w:val="GesAbsatz"/>
              <w:tabs>
                <w:tab w:val="clear" w:pos="425"/>
              </w:tabs>
              <w:jc w:val="center"/>
            </w:pPr>
            <w:r>
              <w:t>zusätzlicher Messbereich</w:t>
            </w:r>
          </w:p>
        </w:tc>
        <w:tc>
          <w:tcPr>
            <w:tcW w:w="1276" w:type="dxa"/>
          </w:tcPr>
          <w:p>
            <w:pPr>
              <w:pStyle w:val="GesAbsatz"/>
              <w:tabs>
                <w:tab w:val="clear" w:pos="425"/>
              </w:tabs>
              <w:jc w:val="center"/>
            </w:pPr>
            <w:r>
              <w:t>Einheit</w:t>
            </w:r>
          </w:p>
        </w:tc>
      </w:tr>
      <w:tr>
        <w:tc>
          <w:tcPr>
            <w:tcW w:w="1384" w:type="dxa"/>
          </w:tcPr>
          <w:p>
            <w:pPr>
              <w:pStyle w:val="GesAbsatz"/>
              <w:tabs>
                <w:tab w:val="clear" w:pos="425"/>
              </w:tabs>
            </w:pPr>
            <w:r>
              <w:t>Staub</w:t>
            </w:r>
          </w:p>
        </w:tc>
        <w:tc>
          <w:tcPr>
            <w:tcW w:w="2268" w:type="dxa"/>
          </w:tcPr>
          <w:p>
            <w:pPr>
              <w:pStyle w:val="GesAbsatz"/>
              <w:tabs>
                <w:tab w:val="clear" w:pos="425"/>
              </w:tabs>
              <w:jc w:val="center"/>
            </w:pPr>
            <w:r>
              <w:t>0 – 0,2</w:t>
            </w:r>
          </w:p>
        </w:tc>
        <w:tc>
          <w:tcPr>
            <w:tcW w:w="879" w:type="dxa"/>
          </w:tcPr>
          <w:p>
            <w:pPr>
              <w:pStyle w:val="GesAbsatz"/>
              <w:tabs>
                <w:tab w:val="clear" w:pos="425"/>
              </w:tabs>
              <w:jc w:val="center"/>
            </w:pPr>
            <w:r>
              <w:t>0 – 0,1</w:t>
            </w:r>
          </w:p>
        </w:tc>
        <w:tc>
          <w:tcPr>
            <w:tcW w:w="993" w:type="dxa"/>
          </w:tcPr>
          <w:p>
            <w:pPr>
              <w:pStyle w:val="GesAbsatz"/>
              <w:tabs>
                <w:tab w:val="clear" w:pos="425"/>
              </w:tabs>
              <w:jc w:val="center"/>
            </w:pPr>
            <w:r>
              <w:t>0 – 0,4</w:t>
            </w:r>
          </w:p>
        </w:tc>
        <w:tc>
          <w:tcPr>
            <w:tcW w:w="963" w:type="dxa"/>
          </w:tcPr>
          <w:p>
            <w:pPr>
              <w:pStyle w:val="GesAbsatz"/>
              <w:tabs>
                <w:tab w:val="clear" w:pos="425"/>
              </w:tabs>
              <w:jc w:val="center"/>
            </w:pPr>
            <w:r>
              <w:t>0 – 1,2</w:t>
            </w:r>
          </w:p>
        </w:tc>
        <w:tc>
          <w:tcPr>
            <w:tcW w:w="1276" w:type="dxa"/>
          </w:tcPr>
          <w:p>
            <w:pPr>
              <w:pStyle w:val="GesAbsatz"/>
              <w:tabs>
                <w:tab w:val="clear" w:pos="425"/>
              </w:tabs>
              <w:jc w:val="center"/>
            </w:pPr>
            <w:r>
              <w:t>Ext.</w:t>
            </w:r>
          </w:p>
        </w:tc>
      </w:tr>
    </w:tbl>
    <w:p>
      <w:pPr>
        <w:pStyle w:val="GesAbsatz"/>
      </w:pPr>
    </w:p>
    <w:p>
      <w:pPr>
        <w:pStyle w:val="GesAbsatz"/>
      </w:pPr>
      <w:r>
        <w:t xml:space="preserve">0 – 0,2 Ext. </w:t>
      </w:r>
      <w:r>
        <w:rPr>
          <w:rFonts w:ascii="Lucida Sans Unicode" w:hAnsi="Lucida Sans Unicode" w:cs="Lucida Sans Unicode"/>
        </w:rPr>
        <w:t>≙</w:t>
      </w:r>
      <w:r>
        <w:rPr>
          <w:rFonts w:cs="Arial"/>
        </w:rPr>
        <w:t xml:space="preserve"> 15 mg/m</w:t>
      </w:r>
      <w:r>
        <w:rPr>
          <w:rFonts w:cs="Arial"/>
          <w:vertAlign w:val="superscript"/>
        </w:rPr>
        <w:t>3</w:t>
      </w:r>
      <w:r>
        <w:rPr>
          <w:rFonts w:cs="Arial"/>
        </w:rPr>
        <w:t xml:space="preserve"> Staub bei 5 m</w:t>
      </w:r>
      <w:r>
        <w:t xml:space="preserve"> Messweglänge </w:t>
      </w:r>
    </w:p>
    <w:p>
      <w:pPr>
        <w:pStyle w:val="GesAbsatz"/>
        <w:tabs>
          <w:tab w:val="clear" w:pos="425"/>
          <w:tab w:val="left" w:pos="2127"/>
        </w:tabs>
      </w:pPr>
      <w:r>
        <w:t>Softwareversionen:</w:t>
      </w:r>
      <w:r>
        <w:tab/>
        <w:t>Control Software Version: 01.03.01,</w:t>
      </w:r>
    </w:p>
    <w:p>
      <w:pPr>
        <w:pStyle w:val="GesAbsatz"/>
        <w:tabs>
          <w:tab w:val="clear" w:pos="425"/>
          <w:tab w:val="left" w:pos="2127"/>
        </w:tabs>
      </w:pPr>
      <w:r>
        <w:tab/>
        <w:t>HI Software Version: 01.02.01</w:t>
      </w:r>
    </w:p>
    <w:p>
      <w:pPr>
        <w:pStyle w:val="GesAbsatz"/>
        <w:tabs>
          <w:tab w:val="clear" w:pos="425"/>
          <w:tab w:val="left" w:pos="2127"/>
        </w:tabs>
      </w:pPr>
      <w:r>
        <w:t>Einschränkung:</w:t>
      </w:r>
    </w:p>
    <w:p>
      <w:pPr>
        <w:pStyle w:val="GesAbsatz"/>
      </w:pPr>
      <w:r>
        <w:t xml:space="preserve">Die Messeinrichtung kann nur eingesetzt werden, wenn eine Unterschreitung des Taupunktes ausgeschlossen werden kann. </w:t>
      </w:r>
    </w:p>
    <w:p>
      <w:pPr>
        <w:pStyle w:val="GesAbsatz"/>
      </w:pPr>
      <w:r>
        <w:t xml:space="preserve">Hinweise: </w:t>
      </w:r>
    </w:p>
    <w:p>
      <w:pPr>
        <w:pStyle w:val="GesAbsatz"/>
        <w:ind w:left="426" w:hanging="426"/>
      </w:pPr>
      <w:r>
        <w:t>1.</w:t>
      </w:r>
      <w:r>
        <w:tab/>
        <w:t>Die Staubkonzentration wird im feuchten Abgas unter Betriebsbedingungen gemessen.</w:t>
      </w:r>
    </w:p>
    <w:p>
      <w:pPr>
        <w:pStyle w:val="GesAbsatz"/>
        <w:ind w:left="426" w:hanging="426"/>
      </w:pPr>
      <w:r>
        <w:t>2.</w:t>
      </w:r>
      <w:r>
        <w:tab/>
        <w:t>Das Wartungsintervall beträgt sechs Monate.</w:t>
      </w:r>
    </w:p>
    <w:p>
      <w:pPr>
        <w:pStyle w:val="GesAbsatz"/>
        <w:ind w:left="426" w:hanging="426"/>
      </w:pPr>
      <w:r>
        <w:t>3.</w:t>
      </w:r>
      <w:r>
        <w:tab/>
        <w:t>Durch die Messweglänge von 5 m und dem bei der Kalibrierung ermittelten Messbereich von 15 mg/m</w:t>
      </w:r>
      <w:r>
        <w:rPr>
          <w:vertAlign w:val="superscript"/>
        </w:rPr>
        <w:t>3</w:t>
      </w:r>
      <w:r>
        <w:t xml:space="preserve"> ergibt sich ein Produkt von 75 mg m/m</w:t>
      </w:r>
      <w:r>
        <w:rPr>
          <w:vertAlign w:val="superscript"/>
        </w:rPr>
        <w:t>3</w:t>
      </w:r>
      <w:r>
        <w:t xml:space="preserve"> an der Feldtestanlage.</w:t>
      </w:r>
    </w:p>
    <w:p>
      <w:pPr>
        <w:pStyle w:val="GesAbsatz"/>
        <w:ind w:left="426" w:hanging="426"/>
      </w:pPr>
      <w:r>
        <w:t>4.</w:t>
      </w:r>
      <w:r>
        <w:tab/>
        <w:t>Die Anforderungen bei der Eignungsprüfung nach DIN EN 15267-3 an den Korrelationskoeffizienten R2 der Kalibrierfunktion wurde nicht erfüllt.</w:t>
      </w:r>
    </w:p>
    <w:p>
      <w:pPr>
        <w:pStyle w:val="GesAbsatz"/>
        <w:ind w:left="426" w:hanging="426"/>
      </w:pPr>
      <w:r>
        <w:t>5.</w:t>
      </w:r>
      <w:r>
        <w:tab/>
        <w:t>Ergänzungsprüfung (Wartungsintervallverlängerung) zur Bekanntmachung des Umweltbundesamtes vom 23. Februar 2012 (BAnz. S. 920, Kapitel I Nummer 1.1).</w:t>
      </w:r>
    </w:p>
    <w:p>
      <w:pPr>
        <w:pStyle w:val="GesAbsatz"/>
      </w:pPr>
      <w:r>
        <w:t>Prüfbericht: TÜV Rheinland Energie und Umwelt GmbH, Köln</w:t>
      </w:r>
    </w:p>
    <w:p>
      <w:pPr>
        <w:pStyle w:val="GesAbsatz"/>
      </w:pPr>
      <w:r>
        <w:lastRenderedPageBreak/>
        <w:t xml:space="preserve">Bericht-Nr.: 936/21217693/A vom 21. März 2012 </w:t>
      </w:r>
    </w:p>
    <w:p>
      <w:pPr>
        <w:pStyle w:val="GesAbsatz"/>
      </w:pPr>
    </w:p>
    <w:p>
      <w:pPr>
        <w:pStyle w:val="berschrift3"/>
        <w:jc w:val="left"/>
        <w:rPr>
          <w:rFonts w:cs="Arial"/>
        </w:rPr>
      </w:pPr>
      <w:bookmarkStart w:id="4" w:name="_Toc331064657"/>
      <w:r>
        <w:t>2</w:t>
      </w:r>
      <w:r>
        <w:rPr>
          <w:rFonts w:ascii="Arial Unicode MS" w:hAnsi="Arial Unicode MS" w:cs="Arial Unicode MS"/>
        </w:rPr>
        <w:tab/>
      </w:r>
      <w:r>
        <w:rPr>
          <w:rFonts w:cs="Arial"/>
        </w:rPr>
        <w:t>Quecksilber</w:t>
      </w:r>
      <w:bookmarkEnd w:id="4"/>
    </w:p>
    <w:p>
      <w:pPr>
        <w:pStyle w:val="berschriftneutral"/>
        <w:rPr>
          <w:rFonts w:cs="Arial"/>
        </w:rPr>
      </w:pPr>
      <w:r>
        <w:t>2.1</w:t>
      </w:r>
      <w:r>
        <w:rPr>
          <w:rFonts w:ascii="Arial Unicode MS" w:hAnsi="Arial Unicode MS" w:cs="Arial Unicode MS"/>
        </w:rPr>
        <w:t> </w:t>
      </w:r>
      <w:r>
        <w:rPr>
          <w:rFonts w:cs="Arial"/>
        </w:rPr>
        <w:t>SM-4 für Hg</w:t>
      </w:r>
    </w:p>
    <w:p>
      <w:pPr>
        <w:pStyle w:val="GesAbsatz"/>
      </w:pPr>
      <w:r>
        <w:t>Hersteller:</w:t>
      </w:r>
    </w:p>
    <w:p>
      <w:pPr>
        <w:pStyle w:val="GesAbsatz"/>
      </w:pPr>
      <w:r>
        <w:t>Mercury Instruments GmbH, Karlsfeld,</w:t>
      </w:r>
    </w:p>
    <w:p>
      <w:pPr>
        <w:pStyle w:val="GesAbsatz"/>
      </w:pPr>
      <w:r>
        <w:t xml:space="preserve">IMT Innovative Messtechnik GmbH, Moosbach </w:t>
      </w:r>
    </w:p>
    <w:p>
      <w:pPr>
        <w:pStyle w:val="GesAbsatz"/>
      </w:pPr>
      <w:r>
        <w:t>Eignung:</w:t>
      </w:r>
    </w:p>
    <w:p>
      <w:pPr>
        <w:pStyle w:val="GesAbsatz"/>
      </w:pPr>
      <w:r>
        <w:t xml:space="preserve">Für Anlagen der 13. und 17. BImSchV </w:t>
      </w:r>
    </w:p>
    <w:p>
      <w:pPr>
        <w:pStyle w:val="GesAbsatz"/>
      </w:pPr>
      <w:r>
        <w:t>Messbereiche in der Eignungsprüfung:</w:t>
      </w:r>
    </w:p>
    <w:tbl>
      <w:tblPr>
        <w:tblStyle w:val="Tabellenraster"/>
        <w:tblW w:w="0" w:type="auto"/>
        <w:tblLook w:val="01E0" w:firstRow="1" w:lastRow="1" w:firstColumn="1" w:lastColumn="1" w:noHBand="0" w:noVBand="0"/>
      </w:tblPr>
      <w:tblGrid>
        <w:gridCol w:w="1384"/>
        <w:gridCol w:w="2410"/>
        <w:gridCol w:w="1701"/>
        <w:gridCol w:w="1417"/>
      </w:tblGrid>
      <w:tr>
        <w:tc>
          <w:tcPr>
            <w:tcW w:w="1384" w:type="dxa"/>
          </w:tcPr>
          <w:p>
            <w:pPr>
              <w:pStyle w:val="GesAbsatz"/>
              <w:tabs>
                <w:tab w:val="clear" w:pos="425"/>
              </w:tabs>
            </w:pPr>
            <w:r>
              <w:t>Komponente</w:t>
            </w:r>
          </w:p>
        </w:tc>
        <w:tc>
          <w:tcPr>
            <w:tcW w:w="2410" w:type="dxa"/>
          </w:tcPr>
          <w:p>
            <w:pPr>
              <w:pStyle w:val="GesAbsatz"/>
              <w:tabs>
                <w:tab w:val="clear" w:pos="425"/>
              </w:tabs>
              <w:jc w:val="center"/>
            </w:pPr>
            <w:r>
              <w:t>Zertifizierungsbereich</w:t>
            </w:r>
          </w:p>
        </w:tc>
        <w:tc>
          <w:tcPr>
            <w:tcW w:w="1701" w:type="dxa"/>
          </w:tcPr>
          <w:p>
            <w:pPr>
              <w:pStyle w:val="GesAbsatz"/>
              <w:tabs>
                <w:tab w:val="clear" w:pos="425"/>
              </w:tabs>
              <w:jc w:val="center"/>
            </w:pPr>
            <w:r>
              <w:t>zusätzlicher Messbereich</w:t>
            </w:r>
          </w:p>
        </w:tc>
        <w:tc>
          <w:tcPr>
            <w:tcW w:w="1417" w:type="dxa"/>
          </w:tcPr>
          <w:p>
            <w:pPr>
              <w:pStyle w:val="GesAbsatz"/>
              <w:tabs>
                <w:tab w:val="clear" w:pos="425"/>
              </w:tabs>
              <w:jc w:val="center"/>
            </w:pPr>
            <w:r>
              <w:t>Einheit</w:t>
            </w:r>
          </w:p>
        </w:tc>
      </w:tr>
      <w:tr>
        <w:tc>
          <w:tcPr>
            <w:tcW w:w="1384" w:type="dxa"/>
          </w:tcPr>
          <w:p>
            <w:pPr>
              <w:pStyle w:val="GesAbsatz"/>
              <w:tabs>
                <w:tab w:val="clear" w:pos="425"/>
              </w:tabs>
            </w:pPr>
            <w:r>
              <w:t>Hg</w:t>
            </w:r>
          </w:p>
        </w:tc>
        <w:tc>
          <w:tcPr>
            <w:tcW w:w="2410" w:type="dxa"/>
          </w:tcPr>
          <w:p>
            <w:pPr>
              <w:pStyle w:val="GesAbsatz"/>
              <w:tabs>
                <w:tab w:val="clear" w:pos="425"/>
              </w:tabs>
              <w:jc w:val="center"/>
            </w:pPr>
            <w:r>
              <w:t>0 – 45</w:t>
            </w:r>
          </w:p>
        </w:tc>
        <w:tc>
          <w:tcPr>
            <w:tcW w:w="1701" w:type="dxa"/>
          </w:tcPr>
          <w:p>
            <w:pPr>
              <w:pStyle w:val="GesAbsatz"/>
              <w:tabs>
                <w:tab w:val="clear" w:pos="425"/>
              </w:tabs>
              <w:jc w:val="center"/>
            </w:pPr>
            <w:r>
              <w:t>0 – 100</w:t>
            </w:r>
          </w:p>
        </w:tc>
        <w:tc>
          <w:tcPr>
            <w:tcW w:w="1417" w:type="dxa"/>
          </w:tcPr>
          <w:p>
            <w:pPr>
              <w:pStyle w:val="GesAbsatz"/>
              <w:tabs>
                <w:tab w:val="clear" w:pos="425"/>
              </w:tabs>
              <w:jc w:val="center"/>
            </w:pPr>
            <w:r>
              <w:t>µg/m</w:t>
            </w:r>
            <w:r>
              <w:rPr>
                <w:vertAlign w:val="superscript"/>
              </w:rPr>
              <w:t>3</w:t>
            </w:r>
          </w:p>
        </w:tc>
      </w:tr>
    </w:tbl>
    <w:p>
      <w:pPr>
        <w:pStyle w:val="GesAbsatz"/>
      </w:pPr>
      <w:r>
        <w:t>Softwareversion: 6.35</w:t>
      </w:r>
    </w:p>
    <w:p>
      <w:pPr>
        <w:pStyle w:val="GesAbsatz"/>
      </w:pPr>
      <w:r>
        <w:t>Einschränkung:</w:t>
      </w:r>
    </w:p>
    <w:p>
      <w:pPr>
        <w:pStyle w:val="GesAbsatz"/>
      </w:pPr>
      <w:r>
        <w:t xml:space="preserve">Die Anforderung bei der Eignungsprüfung nach DIN EN 15267-3 an die Einstellzeit wurde nicht erfüllt. </w:t>
      </w:r>
    </w:p>
    <w:p>
      <w:pPr>
        <w:pStyle w:val="GesAbsatz"/>
      </w:pPr>
      <w:r>
        <w:t xml:space="preserve">Hinweise: </w:t>
      </w:r>
    </w:p>
    <w:p>
      <w:pPr>
        <w:pStyle w:val="GesAbsatz"/>
        <w:ind w:left="426" w:hanging="426"/>
      </w:pPr>
      <w:r>
        <w:t>1.</w:t>
      </w:r>
      <w:r>
        <w:tab/>
        <w:t>Zur Referenzpunktprüfung (QAL3) sind feuchte Prüfgase einzusetzen. Dazu verfügt die Messeinrichtung über einen eingebauten Prüfgasgenerator. Alternativ kann auch ein externer Prüfgasgenerator (Typ HOVACAL) eingesetzt werden.</w:t>
      </w:r>
    </w:p>
    <w:p>
      <w:pPr>
        <w:pStyle w:val="GesAbsatz"/>
        <w:ind w:left="426" w:hanging="426"/>
      </w:pPr>
      <w:r>
        <w:t>2.</w:t>
      </w:r>
      <w:r>
        <w:tab/>
        <w:t>Das Wartungsintervall beträgt drei Monate.</w:t>
      </w:r>
    </w:p>
    <w:p>
      <w:pPr>
        <w:pStyle w:val="GesAbsatz"/>
        <w:ind w:left="426" w:hanging="426"/>
      </w:pPr>
      <w:r>
        <w:t>3.</w:t>
      </w:r>
      <w:r>
        <w:tab/>
        <w:t>Die Messeinrichtung führt alle drei Tage eine automatische Referenzpunktkorrektur durch.</w:t>
      </w:r>
    </w:p>
    <w:p>
      <w:pPr>
        <w:pStyle w:val="GesAbsatz"/>
        <w:ind w:left="426" w:hanging="426"/>
      </w:pPr>
      <w:r>
        <w:t>4.</w:t>
      </w:r>
      <w:r>
        <w:tab/>
        <w:t>Die Länge der Messgasleitung betrug 15 m.</w:t>
      </w:r>
    </w:p>
    <w:p>
      <w:pPr>
        <w:pStyle w:val="GesAbsatz"/>
      </w:pPr>
      <w:r>
        <w:t>Prüfbericht: TÜV Rheinland Energie und Umwelt GmbH, Köln</w:t>
      </w:r>
    </w:p>
    <w:p>
      <w:pPr>
        <w:pStyle w:val="GesAbsatz"/>
      </w:pPr>
      <w:r>
        <w:t xml:space="preserve">Bericht-Nr.: 936/21213740/A vom 26. März 2012 </w:t>
      </w:r>
    </w:p>
    <w:p>
      <w:pPr>
        <w:pStyle w:val="berschriftneutral"/>
        <w:rPr>
          <w:rFonts w:cs="Arial"/>
        </w:rPr>
      </w:pPr>
      <w:r>
        <w:t>2.2</w:t>
      </w:r>
      <w:r>
        <w:rPr>
          <w:rFonts w:ascii="Arial Unicode MS" w:hAnsi="Arial Unicode MS" w:cs="Arial Unicode MS"/>
        </w:rPr>
        <w:t> </w:t>
      </w:r>
      <w:r>
        <w:rPr>
          <w:rFonts w:cs="Arial"/>
        </w:rPr>
        <w:t>AR602Z/Hg für Hg</w:t>
      </w:r>
    </w:p>
    <w:p>
      <w:pPr>
        <w:pStyle w:val="GesAbsatz"/>
      </w:pPr>
      <w:r>
        <w:t>Hersteller:</w:t>
      </w:r>
    </w:p>
    <w:p>
      <w:pPr>
        <w:pStyle w:val="GesAbsatz"/>
      </w:pPr>
      <w:proofErr w:type="spellStart"/>
      <w:r>
        <w:t>Opsis</w:t>
      </w:r>
      <w:proofErr w:type="spellEnd"/>
      <w:r>
        <w:t xml:space="preserve"> AB, Furulund/Schweden </w:t>
      </w:r>
    </w:p>
    <w:p>
      <w:pPr>
        <w:pStyle w:val="GesAbsatz"/>
      </w:pPr>
      <w:r>
        <w:t>Eignung:</w:t>
      </w:r>
    </w:p>
    <w:p>
      <w:pPr>
        <w:pStyle w:val="GesAbsatz"/>
      </w:pPr>
      <w:r>
        <w:t xml:space="preserve">Für Anlagen gemäß § 2 Nummer 6 der 17. BImSchV </w:t>
      </w:r>
    </w:p>
    <w:p>
      <w:pPr>
        <w:pStyle w:val="GesAbsatz"/>
      </w:pPr>
      <w:r>
        <w:t xml:space="preserve">Messbereiche in der Eignungsprüfung: </w:t>
      </w:r>
    </w:p>
    <w:tbl>
      <w:tblPr>
        <w:tblStyle w:val="Tabellenraster"/>
        <w:tblW w:w="0" w:type="auto"/>
        <w:tblLook w:val="01E0" w:firstRow="1" w:lastRow="1" w:firstColumn="1" w:lastColumn="1" w:noHBand="0" w:noVBand="0"/>
      </w:tblPr>
      <w:tblGrid>
        <w:gridCol w:w="1526"/>
        <w:gridCol w:w="2835"/>
        <w:gridCol w:w="1588"/>
        <w:gridCol w:w="992"/>
      </w:tblGrid>
      <w:tr>
        <w:tc>
          <w:tcPr>
            <w:tcW w:w="1526" w:type="dxa"/>
          </w:tcPr>
          <w:p>
            <w:pPr>
              <w:pStyle w:val="GesAbsatz"/>
              <w:tabs>
                <w:tab w:val="clear" w:pos="425"/>
              </w:tabs>
            </w:pPr>
            <w:r>
              <w:t>Komponente</w:t>
            </w:r>
          </w:p>
        </w:tc>
        <w:tc>
          <w:tcPr>
            <w:tcW w:w="2835" w:type="dxa"/>
          </w:tcPr>
          <w:p>
            <w:pPr>
              <w:pStyle w:val="GesAbsatz"/>
              <w:tabs>
                <w:tab w:val="clear" w:pos="425"/>
              </w:tabs>
              <w:jc w:val="center"/>
            </w:pPr>
            <w:r>
              <w:t>Zertifizierungsbereich</w:t>
            </w:r>
          </w:p>
        </w:tc>
        <w:tc>
          <w:tcPr>
            <w:tcW w:w="1588" w:type="dxa"/>
          </w:tcPr>
          <w:p>
            <w:pPr>
              <w:pStyle w:val="GesAbsatz"/>
              <w:tabs>
                <w:tab w:val="clear" w:pos="425"/>
              </w:tabs>
              <w:jc w:val="center"/>
            </w:pPr>
            <w:r>
              <w:t>zusätzlicher Messbereich</w:t>
            </w:r>
          </w:p>
        </w:tc>
        <w:tc>
          <w:tcPr>
            <w:tcW w:w="992" w:type="dxa"/>
          </w:tcPr>
          <w:p>
            <w:pPr>
              <w:pStyle w:val="GesAbsatz"/>
              <w:tabs>
                <w:tab w:val="clear" w:pos="425"/>
              </w:tabs>
              <w:jc w:val="center"/>
            </w:pPr>
            <w:r>
              <w:t>Einheit</w:t>
            </w:r>
          </w:p>
        </w:tc>
      </w:tr>
      <w:tr>
        <w:tc>
          <w:tcPr>
            <w:tcW w:w="1526" w:type="dxa"/>
          </w:tcPr>
          <w:p>
            <w:pPr>
              <w:pStyle w:val="GesAbsatz"/>
              <w:tabs>
                <w:tab w:val="clear" w:pos="425"/>
              </w:tabs>
            </w:pPr>
            <w:r>
              <w:t>Hg</w:t>
            </w:r>
          </w:p>
        </w:tc>
        <w:tc>
          <w:tcPr>
            <w:tcW w:w="2835" w:type="dxa"/>
          </w:tcPr>
          <w:p>
            <w:pPr>
              <w:pStyle w:val="GesAbsatz"/>
              <w:tabs>
                <w:tab w:val="clear" w:pos="425"/>
              </w:tabs>
              <w:jc w:val="center"/>
            </w:pPr>
            <w:r>
              <w:t>0 – 45</w:t>
            </w:r>
          </w:p>
        </w:tc>
        <w:tc>
          <w:tcPr>
            <w:tcW w:w="1588" w:type="dxa"/>
          </w:tcPr>
          <w:p>
            <w:pPr>
              <w:pStyle w:val="GesAbsatz"/>
              <w:tabs>
                <w:tab w:val="clear" w:pos="425"/>
              </w:tabs>
              <w:jc w:val="center"/>
            </w:pPr>
            <w:r>
              <w:t>0 – 100</w:t>
            </w:r>
          </w:p>
        </w:tc>
        <w:tc>
          <w:tcPr>
            <w:tcW w:w="992" w:type="dxa"/>
          </w:tcPr>
          <w:p>
            <w:pPr>
              <w:pStyle w:val="GesAbsatz"/>
              <w:tabs>
                <w:tab w:val="clear" w:pos="425"/>
              </w:tabs>
              <w:jc w:val="center"/>
            </w:pPr>
            <w:r>
              <w:t>µg/m</w:t>
            </w:r>
            <w:r>
              <w:rPr>
                <w:vertAlign w:val="superscript"/>
              </w:rPr>
              <w:t>3</w:t>
            </w:r>
          </w:p>
        </w:tc>
      </w:tr>
    </w:tbl>
    <w:p>
      <w:pPr>
        <w:pStyle w:val="GesAbsatz"/>
      </w:pPr>
      <w:r>
        <w:t>Softwareversion: 7.21</w:t>
      </w:r>
    </w:p>
    <w:p>
      <w:pPr>
        <w:pStyle w:val="GesAbsatz"/>
      </w:pPr>
      <w:r>
        <w:t>Einschränkung:</w:t>
      </w:r>
    </w:p>
    <w:p>
      <w:pPr>
        <w:pStyle w:val="GesAbsatz"/>
      </w:pPr>
      <w:r>
        <w:t xml:space="preserve">Die Anforderung bei der Eignungsprüfung nach DIN EN 15267-3 an die Einstellzeit wurde nicht erfüllt. </w:t>
      </w:r>
    </w:p>
    <w:p>
      <w:pPr>
        <w:pStyle w:val="GesAbsatz"/>
      </w:pPr>
      <w:r>
        <w:t xml:space="preserve">Hinweise: </w:t>
      </w:r>
    </w:p>
    <w:p>
      <w:pPr>
        <w:pStyle w:val="GesAbsatz"/>
        <w:ind w:left="426" w:hanging="426"/>
      </w:pPr>
      <w:r>
        <w:t>1</w:t>
      </w:r>
      <w:r>
        <w:tab/>
        <w:t>Das Wartungsintervall beträgt zwei Monate.</w:t>
      </w:r>
    </w:p>
    <w:p>
      <w:pPr>
        <w:pStyle w:val="GesAbsatz"/>
        <w:ind w:left="426" w:hanging="426"/>
      </w:pPr>
      <w:r>
        <w:t>2</w:t>
      </w:r>
      <w:r>
        <w:tab/>
        <w:t xml:space="preserve">Für die regelmäßige Kontrolle des Referenzpunktes im Wartungsintervall muss der Prüfgasgenerator </w:t>
      </w:r>
      <w:proofErr w:type="spellStart"/>
      <w:r>
        <w:t>HovaCal</w:t>
      </w:r>
      <w:proofErr w:type="spellEnd"/>
      <w:r>
        <w:t xml:space="preserve"> zur Verfügung stehen.</w:t>
      </w:r>
    </w:p>
    <w:p>
      <w:pPr>
        <w:pStyle w:val="GesAbsatz"/>
        <w:ind w:left="426" w:hanging="426"/>
      </w:pPr>
      <w:r>
        <w:t>3</w:t>
      </w:r>
      <w:r>
        <w:tab/>
        <w:t>Die Länge der beheizten Messgasleitung betrug im Labor- und im Feldtest 10 m.</w:t>
      </w:r>
    </w:p>
    <w:p>
      <w:pPr>
        <w:pStyle w:val="GesAbsatz"/>
        <w:ind w:left="426" w:hanging="426"/>
      </w:pPr>
      <w:r>
        <w:t>4</w:t>
      </w:r>
      <w:r>
        <w:tab/>
        <w:t>Zur Querempfindlichkeitskompensation muss die Komponente SO</w:t>
      </w:r>
      <w:r>
        <w:rPr>
          <w:vertAlign w:val="subscript"/>
        </w:rPr>
        <w:t>2</w:t>
      </w:r>
      <w:r>
        <w:t xml:space="preserve"> in der Messzelle bestimmt werden.</w:t>
      </w:r>
    </w:p>
    <w:p>
      <w:pPr>
        <w:pStyle w:val="GesAbsatz"/>
        <w:ind w:left="426" w:hanging="426"/>
      </w:pPr>
      <w:r>
        <w:lastRenderedPageBreak/>
        <w:t>5</w:t>
      </w:r>
      <w:r>
        <w:tab/>
        <w:t>Nach Revision oder Fehlfunktionen in der Abgasreinigung müssen die Filter in der Probenahmesonde überprüft und gegebenenfalls ausgetauscht werden.</w:t>
      </w:r>
    </w:p>
    <w:p>
      <w:pPr>
        <w:pStyle w:val="GesAbsatz"/>
        <w:ind w:left="426" w:hanging="426"/>
      </w:pPr>
      <w:r>
        <w:t>6</w:t>
      </w:r>
      <w:r>
        <w:tab/>
        <w:t>Ergänzungsprüfung (Wartungsintervallverlängerung) zur Bekanntmachung des Umweltbundesamtes vom 23. Februar 2012 (BAnz. S. 920, Kapitel I Nummer 3.1).</w:t>
      </w:r>
    </w:p>
    <w:p>
      <w:pPr>
        <w:pStyle w:val="GesAbsatz"/>
      </w:pPr>
      <w:r>
        <w:t>Prüfbericht: TÜV Rheinland Energie und Umwelt GmbH, Köln</w:t>
      </w:r>
    </w:p>
    <w:p>
      <w:pPr>
        <w:pStyle w:val="GesAbsatz"/>
      </w:pPr>
      <w:r>
        <w:t xml:space="preserve">Bericht-Nr.: 936/21215492/B vom 9. März 2012 </w:t>
      </w:r>
    </w:p>
    <w:p>
      <w:pPr>
        <w:pStyle w:val="GesAbsatz"/>
      </w:pPr>
    </w:p>
    <w:p>
      <w:pPr>
        <w:pStyle w:val="berschriftneutral"/>
        <w:rPr>
          <w:rFonts w:cs="Arial"/>
        </w:rPr>
      </w:pPr>
      <w:r>
        <w:t>2.3</w:t>
      </w:r>
      <w:r>
        <w:rPr>
          <w:rFonts w:ascii="Arial Unicode MS" w:hAnsi="Arial Unicode MS" w:cs="Arial Unicode MS"/>
        </w:rPr>
        <w:t> </w:t>
      </w:r>
      <w:r>
        <w:rPr>
          <w:rFonts w:cs="Arial"/>
        </w:rPr>
        <w:t>MERCEM300Z für Hg</w:t>
      </w:r>
    </w:p>
    <w:p>
      <w:pPr>
        <w:pStyle w:val="GesAbsatz"/>
      </w:pPr>
      <w:r>
        <w:t>Hersteller:</w:t>
      </w:r>
    </w:p>
    <w:p>
      <w:pPr>
        <w:pStyle w:val="GesAbsatz"/>
      </w:pPr>
      <w:r>
        <w:t xml:space="preserve">SICK MAIHAK GmbH, Meersburg </w:t>
      </w:r>
    </w:p>
    <w:p>
      <w:pPr>
        <w:pStyle w:val="GesAbsatz"/>
      </w:pPr>
      <w:r>
        <w:t>Eignung:</w:t>
      </w:r>
    </w:p>
    <w:p>
      <w:pPr>
        <w:pStyle w:val="GesAbsatz"/>
      </w:pPr>
      <w:r>
        <w:t xml:space="preserve">Für Anlagen gemäß 13. und 17. BImSchV </w:t>
      </w:r>
    </w:p>
    <w:p>
      <w:pPr>
        <w:pStyle w:val="GesAbsatz"/>
      </w:pPr>
      <w:r>
        <w:t xml:space="preserve">Messbereiche in der Eignungsprüfung: </w:t>
      </w:r>
    </w:p>
    <w:tbl>
      <w:tblPr>
        <w:tblStyle w:val="Tabellenraster"/>
        <w:tblW w:w="0" w:type="auto"/>
        <w:tblLook w:val="01E0" w:firstRow="1" w:lastRow="1" w:firstColumn="1" w:lastColumn="1" w:noHBand="0" w:noVBand="0"/>
      </w:tblPr>
      <w:tblGrid>
        <w:gridCol w:w="1526"/>
        <w:gridCol w:w="1867"/>
        <w:gridCol w:w="855"/>
        <w:gridCol w:w="1134"/>
        <w:gridCol w:w="1276"/>
        <w:gridCol w:w="1134"/>
      </w:tblGrid>
      <w:tr>
        <w:tc>
          <w:tcPr>
            <w:tcW w:w="1526" w:type="dxa"/>
          </w:tcPr>
          <w:p>
            <w:pPr>
              <w:pStyle w:val="GesAbsatz"/>
              <w:tabs>
                <w:tab w:val="clear" w:pos="425"/>
              </w:tabs>
            </w:pPr>
            <w:r>
              <w:t>Komponente</w:t>
            </w:r>
          </w:p>
        </w:tc>
        <w:tc>
          <w:tcPr>
            <w:tcW w:w="1867" w:type="dxa"/>
          </w:tcPr>
          <w:p>
            <w:pPr>
              <w:pStyle w:val="GesAbsatz"/>
              <w:tabs>
                <w:tab w:val="clear" w:pos="425"/>
              </w:tabs>
            </w:pPr>
            <w:r>
              <w:t>Zertifizierungsbereich</w:t>
            </w:r>
          </w:p>
        </w:tc>
        <w:tc>
          <w:tcPr>
            <w:tcW w:w="3265" w:type="dxa"/>
            <w:gridSpan w:val="3"/>
          </w:tcPr>
          <w:p>
            <w:pPr>
              <w:pStyle w:val="GesAbsatz"/>
              <w:tabs>
                <w:tab w:val="clear" w:pos="425"/>
              </w:tabs>
            </w:pPr>
            <w:r>
              <w:t>zusätzlicher Messbereich</w:t>
            </w:r>
          </w:p>
        </w:tc>
        <w:tc>
          <w:tcPr>
            <w:tcW w:w="1134" w:type="dxa"/>
          </w:tcPr>
          <w:p>
            <w:pPr>
              <w:pStyle w:val="GesAbsatz"/>
              <w:tabs>
                <w:tab w:val="clear" w:pos="425"/>
              </w:tabs>
            </w:pPr>
            <w:r>
              <w:t xml:space="preserve">Einheit </w:t>
            </w:r>
          </w:p>
        </w:tc>
      </w:tr>
      <w:tr>
        <w:tc>
          <w:tcPr>
            <w:tcW w:w="1526" w:type="dxa"/>
          </w:tcPr>
          <w:p>
            <w:pPr>
              <w:pStyle w:val="GesAbsatz"/>
              <w:tabs>
                <w:tab w:val="clear" w:pos="425"/>
              </w:tabs>
            </w:pPr>
            <w:r>
              <w:t>Hg</w:t>
            </w:r>
          </w:p>
        </w:tc>
        <w:tc>
          <w:tcPr>
            <w:tcW w:w="1867" w:type="dxa"/>
          </w:tcPr>
          <w:p>
            <w:pPr>
              <w:pStyle w:val="GesAbsatz"/>
              <w:tabs>
                <w:tab w:val="clear" w:pos="425"/>
              </w:tabs>
            </w:pPr>
            <w:r>
              <w:t>0 – 10</w:t>
            </w:r>
          </w:p>
        </w:tc>
        <w:tc>
          <w:tcPr>
            <w:tcW w:w="855" w:type="dxa"/>
          </w:tcPr>
          <w:p>
            <w:pPr>
              <w:pStyle w:val="GesAbsatz"/>
              <w:tabs>
                <w:tab w:val="clear" w:pos="425"/>
              </w:tabs>
            </w:pPr>
            <w:r>
              <w:t>0 – 45</w:t>
            </w:r>
          </w:p>
        </w:tc>
        <w:tc>
          <w:tcPr>
            <w:tcW w:w="1134" w:type="dxa"/>
          </w:tcPr>
          <w:p>
            <w:pPr>
              <w:pStyle w:val="GesAbsatz"/>
              <w:tabs>
                <w:tab w:val="clear" w:pos="425"/>
              </w:tabs>
            </w:pPr>
            <w:r>
              <w:t>0 – 100</w:t>
            </w:r>
          </w:p>
        </w:tc>
        <w:tc>
          <w:tcPr>
            <w:tcW w:w="1276" w:type="dxa"/>
          </w:tcPr>
          <w:p>
            <w:pPr>
              <w:pStyle w:val="GesAbsatz"/>
              <w:tabs>
                <w:tab w:val="clear" w:pos="425"/>
              </w:tabs>
            </w:pPr>
            <w:r>
              <w:t>0 – 1.000</w:t>
            </w:r>
          </w:p>
        </w:tc>
        <w:tc>
          <w:tcPr>
            <w:tcW w:w="1134" w:type="dxa"/>
          </w:tcPr>
          <w:p>
            <w:pPr>
              <w:pStyle w:val="GesAbsatz"/>
              <w:tabs>
                <w:tab w:val="clear" w:pos="425"/>
              </w:tabs>
            </w:pPr>
            <w:r>
              <w:t>µg/m</w:t>
            </w:r>
            <w:r>
              <w:rPr>
                <w:vertAlign w:val="superscript"/>
              </w:rPr>
              <w:t>3</w:t>
            </w:r>
            <w:r>
              <w:t xml:space="preserve"> </w:t>
            </w:r>
          </w:p>
        </w:tc>
      </w:tr>
    </w:tbl>
    <w:p>
      <w:pPr>
        <w:pStyle w:val="GesAbsatz"/>
      </w:pPr>
      <w:r>
        <w:t>Softwareversion: 9162140 VL27</w:t>
      </w:r>
    </w:p>
    <w:p>
      <w:pPr>
        <w:pStyle w:val="GesAbsatz"/>
      </w:pPr>
      <w:r>
        <w:t>Einschränkungen:</w:t>
      </w:r>
    </w:p>
    <w:p>
      <w:pPr>
        <w:pStyle w:val="GesAbsatz"/>
      </w:pPr>
      <w:r>
        <w:t xml:space="preserve">Keine </w:t>
      </w:r>
    </w:p>
    <w:p>
      <w:pPr>
        <w:pStyle w:val="GesAbsatz"/>
      </w:pPr>
      <w:r>
        <w:t xml:space="preserve">Hinweise: </w:t>
      </w:r>
    </w:p>
    <w:p>
      <w:pPr>
        <w:pStyle w:val="GesAbsatz"/>
        <w:tabs>
          <w:tab w:val="clear" w:pos="425"/>
          <w:tab w:val="left" w:pos="851"/>
        </w:tabs>
        <w:ind w:left="426" w:hanging="426"/>
      </w:pPr>
      <w:r>
        <w:t>1.</w:t>
      </w:r>
      <w:r>
        <w:tab/>
        <w:t>Bei der Prüfung der Messeinrichtung ist feuchtes Prüfgas einzusetzen.</w:t>
      </w:r>
    </w:p>
    <w:p>
      <w:pPr>
        <w:pStyle w:val="GesAbsatz"/>
        <w:tabs>
          <w:tab w:val="clear" w:pos="425"/>
          <w:tab w:val="left" w:pos="426"/>
          <w:tab w:val="left" w:pos="851"/>
        </w:tabs>
        <w:ind w:left="426" w:hanging="426"/>
      </w:pPr>
      <w:r>
        <w:t>2.</w:t>
      </w:r>
      <w:r>
        <w:tab/>
        <w:t>Das Wartungsintervall beträgt drei Monate.</w:t>
      </w:r>
    </w:p>
    <w:p>
      <w:pPr>
        <w:pStyle w:val="GesAbsatz"/>
        <w:tabs>
          <w:tab w:val="clear" w:pos="425"/>
          <w:tab w:val="left" w:pos="426"/>
          <w:tab w:val="left" w:pos="851"/>
        </w:tabs>
        <w:ind w:left="426" w:hanging="426"/>
      </w:pPr>
      <w:r>
        <w:t>3.</w:t>
      </w:r>
      <w:r>
        <w:tab/>
        <w:t xml:space="preserve">Zur Referenzpunktkontrolle von Hg muss ein geeigneter Hg-Prüfgasgenerator, z. B. vom Typ </w:t>
      </w:r>
      <w:proofErr w:type="spellStart"/>
      <w:r>
        <w:t>HovaCal</w:t>
      </w:r>
      <w:proofErr w:type="spellEnd"/>
      <w:r>
        <w:t>, eingesetzt werden. Optional ist der Betrieb der Messeinrichtung auch mit einem internen Prüfgasgenerator möglich; auf einen externen Prüfgasgenerator kann dann verzichtet werden. Für kurzfristige Systemchecks steht eine interne Hg-Küvette zur Verfügung, deren Daten aber nicht für QAL3-Zwecke genutzt werden können.</w:t>
      </w:r>
    </w:p>
    <w:p>
      <w:pPr>
        <w:pStyle w:val="GesAbsatz"/>
        <w:tabs>
          <w:tab w:val="clear" w:pos="425"/>
          <w:tab w:val="left" w:pos="426"/>
          <w:tab w:val="left" w:pos="851"/>
        </w:tabs>
        <w:ind w:left="426" w:hanging="426"/>
      </w:pPr>
      <w:r>
        <w:t>4.</w:t>
      </w:r>
      <w:r>
        <w:tab/>
        <w:t>Die Länge der Messgasleitung im Feldtest betrug 35 m.</w:t>
      </w:r>
    </w:p>
    <w:p>
      <w:pPr>
        <w:pStyle w:val="GesAbsatz"/>
        <w:tabs>
          <w:tab w:val="clear" w:pos="425"/>
          <w:tab w:val="left" w:pos="426"/>
          <w:tab w:val="left" w:pos="851"/>
        </w:tabs>
        <w:ind w:left="426" w:hanging="426"/>
      </w:pPr>
      <w:r>
        <w:t>5.</w:t>
      </w:r>
      <w:r>
        <w:tab/>
        <w:t>Ergänzungsprüfung (Zulassung eines zusätzlichen Anlagentyps, Weiterführung des Feldtests) zur Bekanntmachung des Umweltbundesamtes vom 23. Februar 2012 (BAnz. S. 920, Kapitel I Nummer 3.2).</w:t>
      </w:r>
    </w:p>
    <w:p>
      <w:pPr>
        <w:pStyle w:val="GesAbsatz"/>
      </w:pPr>
      <w:r>
        <w:t>Prüfbericht: TÜV Rheinland Energie und Umwelt GmbH, Köln</w:t>
      </w:r>
    </w:p>
    <w:p>
      <w:pPr>
        <w:pStyle w:val="GesAbsatz"/>
      </w:pPr>
      <w:r>
        <w:t xml:space="preserve">Bericht-Nr.: 936/21216054/B vom 19. März 2012 </w:t>
      </w:r>
    </w:p>
    <w:p>
      <w:pPr>
        <w:pStyle w:val="GesAbsatz"/>
      </w:pPr>
    </w:p>
    <w:p>
      <w:pPr>
        <w:pStyle w:val="berschrift3"/>
        <w:jc w:val="left"/>
        <w:rPr>
          <w:rFonts w:cs="Arial"/>
        </w:rPr>
      </w:pPr>
      <w:bookmarkStart w:id="5" w:name="_Toc331064658"/>
      <w:r>
        <w:t>3</w:t>
      </w:r>
      <w:r>
        <w:rPr>
          <w:rFonts w:ascii="Arial Unicode MS" w:hAnsi="Arial Unicode MS" w:cs="Arial Unicode MS"/>
        </w:rPr>
        <w:tab/>
      </w:r>
      <w:r>
        <w:rPr>
          <w:rFonts w:cs="Arial"/>
        </w:rPr>
        <w:t>Mehrkomponentenmesseinrichtungen</w:t>
      </w:r>
      <w:bookmarkEnd w:id="5"/>
    </w:p>
    <w:p>
      <w:pPr>
        <w:pStyle w:val="berschriftneutral"/>
        <w:rPr>
          <w:rFonts w:cs="Arial"/>
        </w:rPr>
      </w:pPr>
      <w:r>
        <w:t>3.1</w:t>
      </w:r>
      <w:r>
        <w:rPr>
          <w:rFonts w:ascii="Arial Unicode MS" w:hAnsi="Arial Unicode MS" w:cs="Arial Unicode MS"/>
        </w:rPr>
        <w:t> </w:t>
      </w:r>
      <w:r>
        <w:rPr>
          <w:rFonts w:cs="Arial"/>
        </w:rPr>
        <w:t>GASMET CEMS für CO, NO, NO</w:t>
      </w:r>
      <w:r>
        <w:rPr>
          <w:rFonts w:cs="Arial"/>
          <w:vertAlign w:val="subscript"/>
        </w:rPr>
        <w:t>2</w:t>
      </w:r>
      <w:r>
        <w:rPr>
          <w:rFonts w:cs="Arial"/>
        </w:rPr>
        <w:t>, N</w:t>
      </w:r>
      <w:r>
        <w:rPr>
          <w:rFonts w:cs="Arial"/>
          <w:vertAlign w:val="subscript"/>
        </w:rPr>
        <w:t>2</w:t>
      </w:r>
      <w:r>
        <w:rPr>
          <w:rFonts w:cs="Arial"/>
        </w:rPr>
        <w:t>O, SO</w:t>
      </w:r>
      <w:r>
        <w:rPr>
          <w:rFonts w:cs="Arial"/>
          <w:vertAlign w:val="subscript"/>
        </w:rPr>
        <w:t>2</w:t>
      </w:r>
      <w:r>
        <w:rPr>
          <w:rFonts w:cs="Arial"/>
        </w:rPr>
        <w:t>, HCl, HF, NH</w:t>
      </w:r>
      <w:r>
        <w:rPr>
          <w:rFonts w:cs="Arial"/>
          <w:vertAlign w:val="subscript"/>
        </w:rPr>
        <w:t>3</w:t>
      </w:r>
      <w:r>
        <w:rPr>
          <w:rFonts w:cs="Arial"/>
        </w:rPr>
        <w:t>, CO</w:t>
      </w:r>
      <w:r>
        <w:rPr>
          <w:rFonts w:cs="Arial"/>
          <w:vertAlign w:val="subscript"/>
        </w:rPr>
        <w:t>2</w:t>
      </w:r>
      <w:r>
        <w:rPr>
          <w:rFonts w:cs="Arial"/>
        </w:rPr>
        <w:t>, H</w:t>
      </w:r>
      <w:r>
        <w:rPr>
          <w:rFonts w:cs="Arial"/>
          <w:vertAlign w:val="subscript"/>
        </w:rPr>
        <w:t>2</w:t>
      </w:r>
      <w:r>
        <w:rPr>
          <w:rFonts w:cs="Arial"/>
        </w:rPr>
        <w:t>O und O</w:t>
      </w:r>
      <w:r>
        <w:rPr>
          <w:rFonts w:cs="Arial"/>
          <w:vertAlign w:val="subscript"/>
        </w:rPr>
        <w:t>2</w:t>
      </w:r>
    </w:p>
    <w:p>
      <w:pPr>
        <w:pStyle w:val="GesAbsatz"/>
      </w:pPr>
      <w:r>
        <w:t>Hersteller:</w:t>
      </w:r>
    </w:p>
    <w:p>
      <w:pPr>
        <w:pStyle w:val="GesAbsatz"/>
      </w:pPr>
      <w:proofErr w:type="spellStart"/>
      <w:r>
        <w:t>Gasmet</w:t>
      </w:r>
      <w:proofErr w:type="spellEnd"/>
      <w:r>
        <w:t xml:space="preserve"> Technologies </w:t>
      </w:r>
      <w:proofErr w:type="spellStart"/>
      <w:r>
        <w:t>Oy</w:t>
      </w:r>
      <w:proofErr w:type="spellEnd"/>
      <w:r>
        <w:t xml:space="preserve">, Helsinki, Finnland </w:t>
      </w:r>
    </w:p>
    <w:p>
      <w:pPr>
        <w:pStyle w:val="GesAbsatz"/>
      </w:pPr>
      <w:r>
        <w:t>Eignung:</w:t>
      </w:r>
    </w:p>
    <w:p>
      <w:pPr>
        <w:pStyle w:val="GesAbsatz"/>
      </w:pPr>
      <w:r>
        <w:t xml:space="preserve">Für genehmigungsbedürftige Anlagen sowie Anlagen der 27. BImSchV </w:t>
      </w:r>
    </w:p>
    <w:p>
      <w:pPr>
        <w:pStyle w:val="GesAbsatz"/>
      </w:pPr>
      <w:r>
        <w:t xml:space="preserve">Messbereiche in der Eignungsprüfung: </w:t>
      </w:r>
    </w:p>
    <w:tbl>
      <w:tblPr>
        <w:tblStyle w:val="Tabellenraster"/>
        <w:tblW w:w="0" w:type="auto"/>
        <w:tblLook w:val="01E0" w:firstRow="1" w:lastRow="1" w:firstColumn="1" w:lastColumn="1" w:noHBand="0" w:noVBand="0"/>
      </w:tblPr>
      <w:tblGrid>
        <w:gridCol w:w="1526"/>
        <w:gridCol w:w="2135"/>
        <w:gridCol w:w="1579"/>
        <w:gridCol w:w="1559"/>
        <w:gridCol w:w="1276"/>
      </w:tblGrid>
      <w:tr>
        <w:tc>
          <w:tcPr>
            <w:tcW w:w="1526" w:type="dxa"/>
          </w:tcPr>
          <w:p>
            <w:pPr>
              <w:pStyle w:val="GesAbsatz"/>
              <w:tabs>
                <w:tab w:val="clear" w:pos="425"/>
              </w:tabs>
            </w:pPr>
            <w:r>
              <w:t>Komponente</w:t>
            </w:r>
          </w:p>
        </w:tc>
        <w:tc>
          <w:tcPr>
            <w:tcW w:w="2135" w:type="dxa"/>
          </w:tcPr>
          <w:p>
            <w:pPr>
              <w:pStyle w:val="GesAbsatz"/>
              <w:tabs>
                <w:tab w:val="clear" w:pos="425"/>
              </w:tabs>
              <w:jc w:val="center"/>
            </w:pPr>
            <w:r>
              <w:t>Zertifizierungsbereich</w:t>
            </w:r>
          </w:p>
        </w:tc>
        <w:tc>
          <w:tcPr>
            <w:tcW w:w="3138" w:type="dxa"/>
            <w:gridSpan w:val="2"/>
          </w:tcPr>
          <w:p>
            <w:pPr>
              <w:pStyle w:val="GesAbsatz"/>
              <w:tabs>
                <w:tab w:val="clear" w:pos="425"/>
              </w:tabs>
              <w:jc w:val="center"/>
            </w:pPr>
            <w:r>
              <w:t>Zusätzlicher Messbereich</w:t>
            </w:r>
          </w:p>
        </w:tc>
        <w:tc>
          <w:tcPr>
            <w:tcW w:w="1276" w:type="dxa"/>
          </w:tcPr>
          <w:p>
            <w:pPr>
              <w:pStyle w:val="GesAbsatz"/>
              <w:tabs>
                <w:tab w:val="clear" w:pos="425"/>
              </w:tabs>
              <w:jc w:val="center"/>
            </w:pPr>
            <w:r>
              <w:t>Einheit</w:t>
            </w:r>
          </w:p>
        </w:tc>
      </w:tr>
      <w:tr>
        <w:tc>
          <w:tcPr>
            <w:tcW w:w="1526" w:type="dxa"/>
          </w:tcPr>
          <w:p>
            <w:pPr>
              <w:pStyle w:val="GesAbsatz"/>
              <w:tabs>
                <w:tab w:val="clear" w:pos="425"/>
              </w:tabs>
            </w:pPr>
            <w:r>
              <w:t>CO</w:t>
            </w:r>
          </w:p>
        </w:tc>
        <w:tc>
          <w:tcPr>
            <w:tcW w:w="2135" w:type="dxa"/>
          </w:tcPr>
          <w:p>
            <w:pPr>
              <w:pStyle w:val="GesAbsatz"/>
              <w:tabs>
                <w:tab w:val="clear" w:pos="425"/>
              </w:tabs>
              <w:jc w:val="center"/>
            </w:pPr>
            <w:r>
              <w:t>0 – 75</w:t>
            </w:r>
          </w:p>
        </w:tc>
        <w:tc>
          <w:tcPr>
            <w:tcW w:w="1579" w:type="dxa"/>
          </w:tcPr>
          <w:p>
            <w:pPr>
              <w:pStyle w:val="GesAbsatz"/>
              <w:tabs>
                <w:tab w:val="clear" w:pos="425"/>
              </w:tabs>
              <w:jc w:val="center"/>
            </w:pPr>
            <w:r>
              <w:t>0 – 300</w:t>
            </w:r>
          </w:p>
        </w:tc>
        <w:tc>
          <w:tcPr>
            <w:tcW w:w="1559" w:type="dxa"/>
          </w:tcPr>
          <w:p>
            <w:pPr>
              <w:pStyle w:val="GesAbsatz"/>
              <w:tabs>
                <w:tab w:val="clear" w:pos="425"/>
              </w:tabs>
              <w:jc w:val="center"/>
            </w:pPr>
            <w:r>
              <w:t>0 – 1.500</w:t>
            </w:r>
          </w:p>
        </w:tc>
        <w:tc>
          <w:tcPr>
            <w:tcW w:w="1276" w:type="dxa"/>
          </w:tcPr>
          <w:p>
            <w:pPr>
              <w:pStyle w:val="GesAbsatz"/>
              <w:tabs>
                <w:tab w:val="clear" w:pos="425"/>
              </w:tabs>
              <w:jc w:val="center"/>
            </w:pPr>
            <w:r>
              <w:t>mg/m</w:t>
            </w:r>
            <w:r>
              <w:rPr>
                <w:vertAlign w:val="superscript"/>
              </w:rPr>
              <w:t>3</w:t>
            </w:r>
          </w:p>
        </w:tc>
      </w:tr>
      <w:tr>
        <w:tc>
          <w:tcPr>
            <w:tcW w:w="1526" w:type="dxa"/>
          </w:tcPr>
          <w:p>
            <w:pPr>
              <w:pStyle w:val="GesAbsatz"/>
              <w:tabs>
                <w:tab w:val="clear" w:pos="425"/>
              </w:tabs>
              <w:rPr>
                <w:lang w:val="en-GB"/>
              </w:rPr>
            </w:pPr>
            <w:r>
              <w:rPr>
                <w:lang w:val="en-GB"/>
              </w:rPr>
              <w:t>NO</w:t>
            </w:r>
          </w:p>
        </w:tc>
        <w:tc>
          <w:tcPr>
            <w:tcW w:w="2135" w:type="dxa"/>
          </w:tcPr>
          <w:p>
            <w:pPr>
              <w:pStyle w:val="GesAbsatz"/>
              <w:tabs>
                <w:tab w:val="clear" w:pos="425"/>
              </w:tabs>
              <w:jc w:val="center"/>
              <w:rPr>
                <w:lang w:val="en-GB"/>
              </w:rPr>
            </w:pPr>
            <w:r>
              <w:rPr>
                <w:lang w:val="en-GB"/>
              </w:rPr>
              <w:t>0 – 200</w:t>
            </w:r>
          </w:p>
        </w:tc>
        <w:tc>
          <w:tcPr>
            <w:tcW w:w="1579" w:type="dxa"/>
          </w:tcPr>
          <w:p>
            <w:pPr>
              <w:pStyle w:val="GesAbsatz"/>
              <w:tabs>
                <w:tab w:val="clear" w:pos="425"/>
              </w:tabs>
              <w:jc w:val="center"/>
              <w:rPr>
                <w:lang w:val="en-GB"/>
              </w:rPr>
            </w:pPr>
            <w:r>
              <w:rPr>
                <w:lang w:val="en-GB"/>
              </w:rPr>
              <w:t>0 – 600</w:t>
            </w:r>
          </w:p>
        </w:tc>
        <w:tc>
          <w:tcPr>
            <w:tcW w:w="1559" w:type="dxa"/>
          </w:tcPr>
          <w:p>
            <w:pPr>
              <w:pStyle w:val="GesAbsatz"/>
              <w:tabs>
                <w:tab w:val="clear" w:pos="425"/>
              </w:tabs>
              <w:jc w:val="center"/>
              <w:rPr>
                <w:lang w:val="en-GB"/>
              </w:rPr>
            </w:pPr>
            <w:r>
              <w:rPr>
                <w:lang w:val="en-GB"/>
              </w:rPr>
              <w:t>0 – 2.000</w:t>
            </w:r>
          </w:p>
        </w:tc>
        <w:tc>
          <w:tcPr>
            <w:tcW w:w="1276" w:type="dxa"/>
          </w:tcPr>
          <w:p>
            <w:pPr>
              <w:pStyle w:val="GesAbsatz"/>
              <w:tabs>
                <w:tab w:val="clear" w:pos="425"/>
              </w:tabs>
              <w:jc w:val="center"/>
              <w:rPr>
                <w:lang w:val="en-GB"/>
              </w:rPr>
            </w:pPr>
            <w:r>
              <w:rPr>
                <w:lang w:val="en-GB"/>
              </w:rPr>
              <w:t>mg/m</w:t>
            </w:r>
            <w:r>
              <w:rPr>
                <w:vertAlign w:val="superscript"/>
                <w:lang w:val="en-GB"/>
              </w:rPr>
              <w:t>3</w:t>
            </w:r>
          </w:p>
        </w:tc>
      </w:tr>
      <w:tr>
        <w:tc>
          <w:tcPr>
            <w:tcW w:w="1526" w:type="dxa"/>
          </w:tcPr>
          <w:p>
            <w:pPr>
              <w:pStyle w:val="GesAbsatz"/>
              <w:tabs>
                <w:tab w:val="clear" w:pos="425"/>
              </w:tabs>
              <w:rPr>
                <w:lang w:val="en-GB"/>
              </w:rPr>
            </w:pPr>
            <w:r>
              <w:rPr>
                <w:lang w:val="en-GB"/>
              </w:rPr>
              <w:lastRenderedPageBreak/>
              <w:t>NO</w:t>
            </w:r>
            <w:r>
              <w:rPr>
                <w:vertAlign w:val="subscript"/>
                <w:lang w:val="en-GB"/>
              </w:rPr>
              <w:t>2</w:t>
            </w:r>
          </w:p>
        </w:tc>
        <w:tc>
          <w:tcPr>
            <w:tcW w:w="2135" w:type="dxa"/>
          </w:tcPr>
          <w:p>
            <w:pPr>
              <w:pStyle w:val="GesAbsatz"/>
              <w:tabs>
                <w:tab w:val="clear" w:pos="425"/>
              </w:tabs>
              <w:jc w:val="center"/>
              <w:rPr>
                <w:lang w:val="en-GB"/>
              </w:rPr>
            </w:pPr>
            <w:r>
              <w:rPr>
                <w:lang w:val="en-GB"/>
              </w:rPr>
              <w:t>0 – 200</w:t>
            </w:r>
          </w:p>
        </w:tc>
        <w:tc>
          <w:tcPr>
            <w:tcW w:w="1579" w:type="dxa"/>
          </w:tcPr>
          <w:p>
            <w:pPr>
              <w:pStyle w:val="GesAbsatz"/>
              <w:tabs>
                <w:tab w:val="clear" w:pos="425"/>
              </w:tabs>
              <w:jc w:val="center"/>
              <w:rPr>
                <w:lang w:val="en-GB"/>
              </w:rPr>
            </w:pPr>
            <w:r>
              <w:rPr>
                <w:lang w:val="en-GB"/>
              </w:rPr>
              <w:t>0 – 500</w:t>
            </w:r>
          </w:p>
        </w:tc>
        <w:tc>
          <w:tcPr>
            <w:tcW w:w="1559" w:type="dxa"/>
          </w:tcPr>
          <w:p>
            <w:pPr>
              <w:pStyle w:val="GesAbsatz"/>
              <w:tabs>
                <w:tab w:val="clear" w:pos="425"/>
              </w:tabs>
              <w:jc w:val="center"/>
              <w:rPr>
                <w:lang w:val="en-GB"/>
              </w:rPr>
            </w:pPr>
            <w:r>
              <w:rPr>
                <w:lang w:val="en-GB"/>
              </w:rPr>
              <w:t>–</w:t>
            </w:r>
          </w:p>
        </w:tc>
        <w:tc>
          <w:tcPr>
            <w:tcW w:w="1276" w:type="dxa"/>
          </w:tcPr>
          <w:p>
            <w:pPr>
              <w:pStyle w:val="GesAbsatz"/>
              <w:tabs>
                <w:tab w:val="clear" w:pos="425"/>
              </w:tabs>
              <w:jc w:val="center"/>
              <w:rPr>
                <w:lang w:val="en-GB"/>
              </w:rPr>
            </w:pPr>
            <w:r>
              <w:rPr>
                <w:lang w:val="en-GB"/>
              </w:rPr>
              <w:t>mg/m</w:t>
            </w:r>
            <w:r>
              <w:rPr>
                <w:vertAlign w:val="superscript"/>
                <w:lang w:val="en-GB"/>
              </w:rPr>
              <w:t>3</w:t>
            </w:r>
          </w:p>
        </w:tc>
      </w:tr>
      <w:tr>
        <w:tc>
          <w:tcPr>
            <w:tcW w:w="1526" w:type="dxa"/>
          </w:tcPr>
          <w:p>
            <w:pPr>
              <w:pStyle w:val="GesAbsatz"/>
              <w:tabs>
                <w:tab w:val="clear" w:pos="425"/>
              </w:tabs>
            </w:pPr>
            <w:r>
              <w:t>N</w:t>
            </w:r>
            <w:r>
              <w:rPr>
                <w:vertAlign w:val="subscript"/>
              </w:rPr>
              <w:t>2</w:t>
            </w:r>
            <w:r>
              <w:t>O</w:t>
            </w:r>
          </w:p>
        </w:tc>
        <w:tc>
          <w:tcPr>
            <w:tcW w:w="2135" w:type="dxa"/>
          </w:tcPr>
          <w:p>
            <w:pPr>
              <w:pStyle w:val="GesAbsatz"/>
              <w:tabs>
                <w:tab w:val="clear" w:pos="425"/>
              </w:tabs>
              <w:jc w:val="center"/>
            </w:pPr>
            <w:r>
              <w:t>0 – 100</w:t>
            </w:r>
          </w:p>
        </w:tc>
        <w:tc>
          <w:tcPr>
            <w:tcW w:w="1579" w:type="dxa"/>
          </w:tcPr>
          <w:p>
            <w:pPr>
              <w:pStyle w:val="GesAbsatz"/>
              <w:tabs>
                <w:tab w:val="clear" w:pos="425"/>
              </w:tabs>
              <w:jc w:val="center"/>
            </w:pPr>
            <w:r>
              <w:t>0 – 500</w:t>
            </w:r>
          </w:p>
        </w:tc>
        <w:tc>
          <w:tcPr>
            <w:tcW w:w="1559" w:type="dxa"/>
          </w:tcPr>
          <w:p>
            <w:pPr>
              <w:pStyle w:val="GesAbsatz"/>
              <w:tabs>
                <w:tab w:val="clear" w:pos="425"/>
              </w:tabs>
              <w:jc w:val="center"/>
            </w:pPr>
            <w:r>
              <w:t>–</w:t>
            </w:r>
          </w:p>
        </w:tc>
        <w:tc>
          <w:tcPr>
            <w:tcW w:w="1276" w:type="dxa"/>
          </w:tcPr>
          <w:p>
            <w:pPr>
              <w:pStyle w:val="GesAbsatz"/>
              <w:tabs>
                <w:tab w:val="clear" w:pos="425"/>
              </w:tabs>
              <w:jc w:val="center"/>
            </w:pPr>
            <w:r>
              <w:t>mg/m</w:t>
            </w:r>
            <w:r>
              <w:rPr>
                <w:vertAlign w:val="superscript"/>
              </w:rPr>
              <w:t>3</w:t>
            </w:r>
          </w:p>
        </w:tc>
      </w:tr>
      <w:tr>
        <w:tc>
          <w:tcPr>
            <w:tcW w:w="1526" w:type="dxa"/>
          </w:tcPr>
          <w:p>
            <w:pPr>
              <w:pStyle w:val="GesAbsatz"/>
              <w:tabs>
                <w:tab w:val="clear" w:pos="425"/>
              </w:tabs>
            </w:pPr>
            <w:r>
              <w:t>SO</w:t>
            </w:r>
            <w:r>
              <w:rPr>
                <w:vertAlign w:val="subscript"/>
              </w:rPr>
              <w:t>2</w:t>
            </w:r>
          </w:p>
        </w:tc>
        <w:tc>
          <w:tcPr>
            <w:tcW w:w="2135" w:type="dxa"/>
          </w:tcPr>
          <w:p>
            <w:pPr>
              <w:pStyle w:val="GesAbsatz"/>
              <w:tabs>
                <w:tab w:val="clear" w:pos="425"/>
              </w:tabs>
              <w:jc w:val="center"/>
            </w:pPr>
            <w:r>
              <w:t>0 – 75</w:t>
            </w:r>
          </w:p>
        </w:tc>
        <w:tc>
          <w:tcPr>
            <w:tcW w:w="1579" w:type="dxa"/>
          </w:tcPr>
          <w:p>
            <w:pPr>
              <w:pStyle w:val="GesAbsatz"/>
              <w:tabs>
                <w:tab w:val="clear" w:pos="425"/>
              </w:tabs>
              <w:jc w:val="center"/>
            </w:pPr>
            <w:r>
              <w:t>0 – 300</w:t>
            </w:r>
          </w:p>
        </w:tc>
        <w:tc>
          <w:tcPr>
            <w:tcW w:w="1559" w:type="dxa"/>
          </w:tcPr>
          <w:p>
            <w:pPr>
              <w:pStyle w:val="GesAbsatz"/>
              <w:tabs>
                <w:tab w:val="clear" w:pos="425"/>
              </w:tabs>
              <w:jc w:val="center"/>
            </w:pPr>
            <w:r>
              <w:t>0 – 1.500</w:t>
            </w:r>
          </w:p>
        </w:tc>
        <w:tc>
          <w:tcPr>
            <w:tcW w:w="1276" w:type="dxa"/>
          </w:tcPr>
          <w:p>
            <w:pPr>
              <w:pStyle w:val="GesAbsatz"/>
              <w:tabs>
                <w:tab w:val="clear" w:pos="425"/>
              </w:tabs>
              <w:jc w:val="center"/>
            </w:pPr>
            <w:r>
              <w:t>mg/m</w:t>
            </w:r>
            <w:r>
              <w:rPr>
                <w:vertAlign w:val="superscript"/>
              </w:rPr>
              <w:t>3</w:t>
            </w:r>
          </w:p>
        </w:tc>
      </w:tr>
      <w:tr>
        <w:tc>
          <w:tcPr>
            <w:tcW w:w="1526" w:type="dxa"/>
          </w:tcPr>
          <w:p>
            <w:pPr>
              <w:pStyle w:val="GesAbsatz"/>
              <w:tabs>
                <w:tab w:val="clear" w:pos="425"/>
              </w:tabs>
            </w:pPr>
            <w:r>
              <w:t>HCl</w:t>
            </w:r>
          </w:p>
        </w:tc>
        <w:tc>
          <w:tcPr>
            <w:tcW w:w="2135" w:type="dxa"/>
          </w:tcPr>
          <w:p>
            <w:pPr>
              <w:pStyle w:val="GesAbsatz"/>
              <w:tabs>
                <w:tab w:val="clear" w:pos="425"/>
              </w:tabs>
              <w:jc w:val="center"/>
            </w:pPr>
            <w:r>
              <w:t>0 – 15</w:t>
            </w:r>
          </w:p>
        </w:tc>
        <w:tc>
          <w:tcPr>
            <w:tcW w:w="1579" w:type="dxa"/>
          </w:tcPr>
          <w:p>
            <w:pPr>
              <w:pStyle w:val="GesAbsatz"/>
              <w:tabs>
                <w:tab w:val="clear" w:pos="425"/>
              </w:tabs>
              <w:jc w:val="center"/>
            </w:pPr>
            <w:r>
              <w:t>0 – 90</w:t>
            </w:r>
          </w:p>
        </w:tc>
        <w:tc>
          <w:tcPr>
            <w:tcW w:w="1559" w:type="dxa"/>
          </w:tcPr>
          <w:p>
            <w:pPr>
              <w:pStyle w:val="GesAbsatz"/>
              <w:tabs>
                <w:tab w:val="clear" w:pos="425"/>
              </w:tabs>
              <w:jc w:val="center"/>
            </w:pPr>
            <w:r>
              <w:t>–</w:t>
            </w:r>
          </w:p>
        </w:tc>
        <w:tc>
          <w:tcPr>
            <w:tcW w:w="1276" w:type="dxa"/>
          </w:tcPr>
          <w:p>
            <w:pPr>
              <w:pStyle w:val="GesAbsatz"/>
              <w:tabs>
                <w:tab w:val="clear" w:pos="425"/>
              </w:tabs>
              <w:jc w:val="center"/>
            </w:pPr>
            <w:r>
              <w:t>mg/m</w:t>
            </w:r>
            <w:r>
              <w:rPr>
                <w:vertAlign w:val="superscript"/>
              </w:rPr>
              <w:t>3</w:t>
            </w:r>
          </w:p>
        </w:tc>
      </w:tr>
      <w:tr>
        <w:tc>
          <w:tcPr>
            <w:tcW w:w="1526" w:type="dxa"/>
          </w:tcPr>
          <w:p>
            <w:pPr>
              <w:pStyle w:val="GesAbsatz"/>
              <w:tabs>
                <w:tab w:val="clear" w:pos="425"/>
              </w:tabs>
            </w:pPr>
            <w:r>
              <w:t>HF</w:t>
            </w:r>
          </w:p>
        </w:tc>
        <w:tc>
          <w:tcPr>
            <w:tcW w:w="2135" w:type="dxa"/>
          </w:tcPr>
          <w:p>
            <w:pPr>
              <w:pStyle w:val="GesAbsatz"/>
              <w:tabs>
                <w:tab w:val="clear" w:pos="425"/>
              </w:tabs>
              <w:jc w:val="center"/>
            </w:pPr>
            <w:r>
              <w:t>0 – 3</w:t>
            </w:r>
          </w:p>
        </w:tc>
        <w:tc>
          <w:tcPr>
            <w:tcW w:w="1579" w:type="dxa"/>
          </w:tcPr>
          <w:p>
            <w:pPr>
              <w:pStyle w:val="GesAbsatz"/>
              <w:tabs>
                <w:tab w:val="clear" w:pos="425"/>
              </w:tabs>
              <w:jc w:val="center"/>
            </w:pPr>
            <w:r>
              <w:t>0 – 10</w:t>
            </w:r>
          </w:p>
        </w:tc>
        <w:tc>
          <w:tcPr>
            <w:tcW w:w="1559" w:type="dxa"/>
          </w:tcPr>
          <w:p>
            <w:pPr>
              <w:pStyle w:val="GesAbsatz"/>
              <w:tabs>
                <w:tab w:val="clear" w:pos="425"/>
              </w:tabs>
              <w:jc w:val="center"/>
            </w:pPr>
            <w:r>
              <w:t>–</w:t>
            </w:r>
          </w:p>
        </w:tc>
        <w:tc>
          <w:tcPr>
            <w:tcW w:w="1276" w:type="dxa"/>
          </w:tcPr>
          <w:p>
            <w:pPr>
              <w:pStyle w:val="GesAbsatz"/>
              <w:tabs>
                <w:tab w:val="clear" w:pos="425"/>
              </w:tabs>
              <w:jc w:val="center"/>
            </w:pPr>
            <w:r>
              <w:t>mg/m</w:t>
            </w:r>
            <w:r>
              <w:rPr>
                <w:vertAlign w:val="superscript"/>
              </w:rPr>
              <w:t>3</w:t>
            </w:r>
          </w:p>
        </w:tc>
      </w:tr>
      <w:tr>
        <w:tc>
          <w:tcPr>
            <w:tcW w:w="1526" w:type="dxa"/>
          </w:tcPr>
          <w:p>
            <w:pPr>
              <w:pStyle w:val="GesAbsatz"/>
              <w:tabs>
                <w:tab w:val="clear" w:pos="425"/>
              </w:tabs>
            </w:pPr>
            <w:r>
              <w:t>NH</w:t>
            </w:r>
            <w:r>
              <w:rPr>
                <w:vertAlign w:val="subscript"/>
              </w:rPr>
              <w:t>3</w:t>
            </w:r>
          </w:p>
        </w:tc>
        <w:tc>
          <w:tcPr>
            <w:tcW w:w="2135" w:type="dxa"/>
          </w:tcPr>
          <w:p>
            <w:pPr>
              <w:pStyle w:val="GesAbsatz"/>
              <w:tabs>
                <w:tab w:val="clear" w:pos="425"/>
              </w:tabs>
              <w:jc w:val="center"/>
            </w:pPr>
            <w:r>
              <w:t>0 – 15</w:t>
            </w:r>
          </w:p>
        </w:tc>
        <w:tc>
          <w:tcPr>
            <w:tcW w:w="1579" w:type="dxa"/>
          </w:tcPr>
          <w:p>
            <w:pPr>
              <w:pStyle w:val="GesAbsatz"/>
              <w:tabs>
                <w:tab w:val="clear" w:pos="425"/>
              </w:tabs>
              <w:jc w:val="center"/>
            </w:pPr>
            <w:r>
              <w:t>0 – 50</w:t>
            </w:r>
          </w:p>
        </w:tc>
        <w:tc>
          <w:tcPr>
            <w:tcW w:w="1559" w:type="dxa"/>
          </w:tcPr>
          <w:p>
            <w:pPr>
              <w:pStyle w:val="GesAbsatz"/>
              <w:tabs>
                <w:tab w:val="clear" w:pos="425"/>
              </w:tabs>
              <w:jc w:val="center"/>
            </w:pPr>
            <w:r>
              <w:t>–</w:t>
            </w:r>
          </w:p>
        </w:tc>
        <w:tc>
          <w:tcPr>
            <w:tcW w:w="1276" w:type="dxa"/>
          </w:tcPr>
          <w:p>
            <w:pPr>
              <w:pStyle w:val="GesAbsatz"/>
              <w:tabs>
                <w:tab w:val="clear" w:pos="425"/>
              </w:tabs>
              <w:jc w:val="center"/>
            </w:pPr>
            <w:r>
              <w:t>mg/m</w:t>
            </w:r>
            <w:r>
              <w:rPr>
                <w:vertAlign w:val="superscript"/>
              </w:rPr>
              <w:t>3</w:t>
            </w:r>
          </w:p>
        </w:tc>
      </w:tr>
      <w:tr>
        <w:tc>
          <w:tcPr>
            <w:tcW w:w="1526" w:type="dxa"/>
          </w:tcPr>
          <w:p>
            <w:pPr>
              <w:pStyle w:val="GesAbsatz"/>
              <w:tabs>
                <w:tab w:val="clear" w:pos="425"/>
              </w:tabs>
              <w:rPr>
                <w:lang w:val="en-GB"/>
              </w:rPr>
            </w:pPr>
            <w:r>
              <w:rPr>
                <w:lang w:val="en-GB"/>
              </w:rPr>
              <w:t>CO</w:t>
            </w:r>
            <w:r>
              <w:rPr>
                <w:vertAlign w:val="subscript"/>
                <w:lang w:val="en-GB"/>
              </w:rPr>
              <w:t>2</w:t>
            </w:r>
          </w:p>
        </w:tc>
        <w:tc>
          <w:tcPr>
            <w:tcW w:w="2135" w:type="dxa"/>
          </w:tcPr>
          <w:p>
            <w:pPr>
              <w:pStyle w:val="GesAbsatz"/>
              <w:tabs>
                <w:tab w:val="clear" w:pos="425"/>
              </w:tabs>
              <w:jc w:val="center"/>
              <w:rPr>
                <w:lang w:val="en-GB"/>
              </w:rPr>
            </w:pPr>
            <w:r>
              <w:rPr>
                <w:lang w:val="en-GB"/>
              </w:rPr>
              <w:t>0 – 25</w:t>
            </w:r>
          </w:p>
        </w:tc>
        <w:tc>
          <w:tcPr>
            <w:tcW w:w="1579" w:type="dxa"/>
          </w:tcPr>
          <w:p>
            <w:pPr>
              <w:pStyle w:val="GesAbsatz"/>
              <w:tabs>
                <w:tab w:val="clear" w:pos="425"/>
              </w:tabs>
              <w:jc w:val="center"/>
              <w:rPr>
                <w:lang w:val="en-GB"/>
              </w:rPr>
            </w:pPr>
            <w:r>
              <w:rPr>
                <w:lang w:val="en-GB"/>
              </w:rPr>
              <w:t>–</w:t>
            </w:r>
          </w:p>
        </w:tc>
        <w:tc>
          <w:tcPr>
            <w:tcW w:w="1559" w:type="dxa"/>
          </w:tcPr>
          <w:p>
            <w:pPr>
              <w:pStyle w:val="GesAbsatz"/>
              <w:tabs>
                <w:tab w:val="clear" w:pos="425"/>
              </w:tabs>
              <w:jc w:val="center"/>
              <w:rPr>
                <w:lang w:val="en-GB"/>
              </w:rPr>
            </w:pPr>
            <w:r>
              <w:rPr>
                <w:lang w:val="en-GB"/>
              </w:rPr>
              <w:t>–</w:t>
            </w:r>
          </w:p>
        </w:tc>
        <w:tc>
          <w:tcPr>
            <w:tcW w:w="1276" w:type="dxa"/>
          </w:tcPr>
          <w:p>
            <w:pPr>
              <w:pStyle w:val="GesAbsatz"/>
              <w:tabs>
                <w:tab w:val="clear" w:pos="425"/>
              </w:tabs>
              <w:jc w:val="center"/>
              <w:rPr>
                <w:lang w:val="en-GB"/>
              </w:rPr>
            </w:pPr>
            <w:r>
              <w:rPr>
                <w:lang w:val="en-GB"/>
              </w:rPr>
              <w:t>Vol.-%</w:t>
            </w:r>
          </w:p>
        </w:tc>
      </w:tr>
      <w:tr>
        <w:tc>
          <w:tcPr>
            <w:tcW w:w="1526" w:type="dxa"/>
          </w:tcPr>
          <w:p>
            <w:pPr>
              <w:pStyle w:val="GesAbsatz"/>
              <w:tabs>
                <w:tab w:val="clear" w:pos="425"/>
              </w:tabs>
              <w:rPr>
                <w:lang w:val="en-GB"/>
              </w:rPr>
            </w:pPr>
            <w:r>
              <w:rPr>
                <w:lang w:val="en-GB"/>
              </w:rPr>
              <w:t>H</w:t>
            </w:r>
            <w:r>
              <w:rPr>
                <w:vertAlign w:val="subscript"/>
                <w:lang w:val="en-GB"/>
              </w:rPr>
              <w:t>2</w:t>
            </w:r>
            <w:r>
              <w:rPr>
                <w:lang w:val="en-GB"/>
              </w:rPr>
              <w:t>O</w:t>
            </w:r>
          </w:p>
        </w:tc>
        <w:tc>
          <w:tcPr>
            <w:tcW w:w="2135" w:type="dxa"/>
          </w:tcPr>
          <w:p>
            <w:pPr>
              <w:pStyle w:val="GesAbsatz"/>
              <w:tabs>
                <w:tab w:val="clear" w:pos="425"/>
              </w:tabs>
              <w:jc w:val="center"/>
              <w:rPr>
                <w:lang w:val="en-GB"/>
              </w:rPr>
            </w:pPr>
            <w:r>
              <w:rPr>
                <w:lang w:val="en-GB"/>
              </w:rPr>
              <w:t>0 – 30</w:t>
            </w:r>
          </w:p>
        </w:tc>
        <w:tc>
          <w:tcPr>
            <w:tcW w:w="1579" w:type="dxa"/>
          </w:tcPr>
          <w:p>
            <w:pPr>
              <w:pStyle w:val="GesAbsatz"/>
              <w:tabs>
                <w:tab w:val="clear" w:pos="425"/>
              </w:tabs>
              <w:jc w:val="center"/>
              <w:rPr>
                <w:lang w:val="en-GB"/>
              </w:rPr>
            </w:pPr>
            <w:r>
              <w:rPr>
                <w:lang w:val="en-GB"/>
              </w:rPr>
              <w:t>0 – 40</w:t>
            </w:r>
          </w:p>
        </w:tc>
        <w:tc>
          <w:tcPr>
            <w:tcW w:w="1559" w:type="dxa"/>
          </w:tcPr>
          <w:p>
            <w:pPr>
              <w:pStyle w:val="GesAbsatz"/>
              <w:tabs>
                <w:tab w:val="clear" w:pos="425"/>
              </w:tabs>
              <w:jc w:val="center"/>
              <w:rPr>
                <w:lang w:val="en-GB"/>
              </w:rPr>
            </w:pPr>
            <w:r>
              <w:rPr>
                <w:lang w:val="en-GB"/>
              </w:rPr>
              <w:t>–</w:t>
            </w:r>
          </w:p>
        </w:tc>
        <w:tc>
          <w:tcPr>
            <w:tcW w:w="1276" w:type="dxa"/>
          </w:tcPr>
          <w:p>
            <w:pPr>
              <w:pStyle w:val="GesAbsatz"/>
              <w:tabs>
                <w:tab w:val="clear" w:pos="425"/>
              </w:tabs>
              <w:jc w:val="center"/>
              <w:rPr>
                <w:lang w:val="en-GB"/>
              </w:rPr>
            </w:pPr>
            <w:r>
              <w:rPr>
                <w:lang w:val="en-GB"/>
              </w:rPr>
              <w:t>Vol.-%</w:t>
            </w:r>
          </w:p>
        </w:tc>
      </w:tr>
      <w:tr>
        <w:tc>
          <w:tcPr>
            <w:tcW w:w="1526" w:type="dxa"/>
          </w:tcPr>
          <w:p>
            <w:pPr>
              <w:pStyle w:val="GesAbsatz"/>
              <w:tabs>
                <w:tab w:val="clear" w:pos="425"/>
              </w:tabs>
              <w:rPr>
                <w:lang w:val="en-GB"/>
              </w:rPr>
            </w:pPr>
            <w:r>
              <w:rPr>
                <w:lang w:val="en-GB"/>
              </w:rPr>
              <w:t>O</w:t>
            </w:r>
            <w:r>
              <w:rPr>
                <w:vertAlign w:val="subscript"/>
                <w:lang w:val="en-GB"/>
              </w:rPr>
              <w:t>2</w:t>
            </w:r>
          </w:p>
        </w:tc>
        <w:tc>
          <w:tcPr>
            <w:tcW w:w="2135" w:type="dxa"/>
          </w:tcPr>
          <w:p>
            <w:pPr>
              <w:pStyle w:val="GesAbsatz"/>
              <w:tabs>
                <w:tab w:val="clear" w:pos="425"/>
              </w:tabs>
              <w:jc w:val="center"/>
              <w:rPr>
                <w:lang w:val="en-GB"/>
              </w:rPr>
            </w:pPr>
            <w:r>
              <w:rPr>
                <w:lang w:val="en-GB"/>
              </w:rPr>
              <w:t>0 – 25</w:t>
            </w:r>
          </w:p>
        </w:tc>
        <w:tc>
          <w:tcPr>
            <w:tcW w:w="1579" w:type="dxa"/>
          </w:tcPr>
          <w:p>
            <w:pPr>
              <w:pStyle w:val="GesAbsatz"/>
              <w:tabs>
                <w:tab w:val="clear" w:pos="425"/>
              </w:tabs>
              <w:jc w:val="center"/>
              <w:rPr>
                <w:lang w:val="en-GB"/>
              </w:rPr>
            </w:pPr>
            <w:r>
              <w:rPr>
                <w:lang w:val="en-GB"/>
              </w:rPr>
              <w:t>–</w:t>
            </w:r>
          </w:p>
        </w:tc>
        <w:tc>
          <w:tcPr>
            <w:tcW w:w="1559" w:type="dxa"/>
          </w:tcPr>
          <w:p>
            <w:pPr>
              <w:pStyle w:val="GesAbsatz"/>
              <w:tabs>
                <w:tab w:val="clear" w:pos="425"/>
              </w:tabs>
              <w:jc w:val="center"/>
              <w:rPr>
                <w:lang w:val="en-GB"/>
              </w:rPr>
            </w:pPr>
            <w:r>
              <w:rPr>
                <w:lang w:val="en-GB"/>
              </w:rPr>
              <w:t>–</w:t>
            </w:r>
          </w:p>
        </w:tc>
        <w:tc>
          <w:tcPr>
            <w:tcW w:w="1276" w:type="dxa"/>
          </w:tcPr>
          <w:p>
            <w:pPr>
              <w:pStyle w:val="GesAbsatz"/>
              <w:tabs>
                <w:tab w:val="clear" w:pos="425"/>
              </w:tabs>
              <w:jc w:val="center"/>
              <w:rPr>
                <w:lang w:val="en-GB"/>
              </w:rPr>
            </w:pPr>
            <w:r>
              <w:rPr>
                <w:lang w:val="en-GB"/>
              </w:rPr>
              <w:t>Vol.-%</w:t>
            </w:r>
          </w:p>
        </w:tc>
      </w:tr>
    </w:tbl>
    <w:p>
      <w:pPr>
        <w:pStyle w:val="GesAbsatz"/>
      </w:pPr>
    </w:p>
    <w:p>
      <w:pPr>
        <w:pStyle w:val="GesAbsatz"/>
        <w:tabs>
          <w:tab w:val="clear" w:pos="425"/>
          <w:tab w:val="left" w:pos="2127"/>
        </w:tabs>
      </w:pPr>
      <w:r>
        <w:t>Softwareversionen:</w:t>
      </w:r>
      <w:r>
        <w:tab/>
      </w:r>
      <w:proofErr w:type="spellStart"/>
      <w:r>
        <w:t>Calcmet</w:t>
      </w:r>
      <w:proofErr w:type="spellEnd"/>
      <w:r>
        <w:t>: 11.101 mit Auswertemodul 4.42.2,</w:t>
      </w:r>
    </w:p>
    <w:p>
      <w:pPr>
        <w:pStyle w:val="GesAbsatz"/>
        <w:tabs>
          <w:tab w:val="clear" w:pos="425"/>
          <w:tab w:val="left" w:pos="2127"/>
        </w:tabs>
      </w:pPr>
      <w:r>
        <w:tab/>
        <w:t xml:space="preserve">OXITEC Ver. 1.50 </w:t>
      </w:r>
      <w:proofErr w:type="spellStart"/>
      <w:r>
        <w:t>np</w:t>
      </w:r>
      <w:proofErr w:type="spellEnd"/>
    </w:p>
    <w:p>
      <w:pPr>
        <w:pStyle w:val="GesAbsatz"/>
      </w:pPr>
      <w:r>
        <w:t>Einschränkungen:</w:t>
      </w:r>
    </w:p>
    <w:p>
      <w:pPr>
        <w:pStyle w:val="GesAbsatz"/>
      </w:pPr>
      <w:r>
        <w:t xml:space="preserve">Keine </w:t>
      </w:r>
    </w:p>
    <w:p>
      <w:pPr>
        <w:pStyle w:val="GesAbsatz"/>
      </w:pPr>
      <w:r>
        <w:t xml:space="preserve">Hinweise: </w:t>
      </w:r>
    </w:p>
    <w:p>
      <w:pPr>
        <w:pStyle w:val="GesAbsatz"/>
        <w:ind w:left="426" w:hanging="426"/>
      </w:pPr>
      <w:r>
        <w:t>1.</w:t>
      </w:r>
      <w:r>
        <w:tab/>
        <w:t>Bei der Prüfung von HF, HCl und NH</w:t>
      </w:r>
      <w:r>
        <w:rPr>
          <w:vertAlign w:val="subscript"/>
        </w:rPr>
        <w:t>3</w:t>
      </w:r>
      <w:r>
        <w:t xml:space="preserve"> sind feuchte Prüfgase einzusetzen.</w:t>
      </w:r>
    </w:p>
    <w:p>
      <w:pPr>
        <w:pStyle w:val="GesAbsatz"/>
        <w:ind w:left="426" w:hanging="426"/>
      </w:pPr>
      <w:r>
        <w:t>2.</w:t>
      </w:r>
      <w:r>
        <w:tab/>
        <w:t>Das Wartungsintervall beträgt vier Wochen.</w:t>
      </w:r>
    </w:p>
    <w:p>
      <w:pPr>
        <w:pStyle w:val="GesAbsatz"/>
        <w:ind w:left="426" w:hanging="426"/>
      </w:pPr>
      <w:r>
        <w:t>3.</w:t>
      </w:r>
      <w:r>
        <w:tab/>
        <w:t>Nach Anlagenstörungen ist die Probenahmesonde zu reinigen.</w:t>
      </w:r>
    </w:p>
    <w:p>
      <w:pPr>
        <w:pStyle w:val="GesAbsatz"/>
        <w:ind w:left="426" w:hanging="426"/>
      </w:pPr>
      <w:r>
        <w:t>4.</w:t>
      </w:r>
      <w:r>
        <w:tab/>
        <w:t>Zur O</w:t>
      </w:r>
      <w:r>
        <w:rPr>
          <w:vertAlign w:val="subscript"/>
        </w:rPr>
        <w:t>2</w:t>
      </w:r>
      <w:r>
        <w:t>-Messung ist der Analysator OXITEC 500E SME 5 der Firma ENOTEC GmbH, Marienheide, Deutschland, integriert.</w:t>
      </w:r>
    </w:p>
    <w:p>
      <w:pPr>
        <w:pStyle w:val="GesAbsatz"/>
        <w:ind w:left="426" w:hanging="426"/>
      </w:pPr>
      <w:r>
        <w:t>5.</w:t>
      </w:r>
      <w:r>
        <w:tab/>
        <w:t>Ergänzungsprüfung (Überführung in die DIN EN 15267) zur Bekanntmachung des Umweltbundesamtes vom 15. Juli 2011 (BAnz. S. 2725, Kapitel I Nummer 4.1 und Kapitel III 10. Mitteilung).</w:t>
      </w:r>
    </w:p>
    <w:p>
      <w:pPr>
        <w:pStyle w:val="GesAbsatz"/>
      </w:pPr>
      <w:r>
        <w:t>Prüfbericht: TÜV Rheinland Energie und Umwelt GmbH, Köln</w:t>
      </w:r>
    </w:p>
    <w:p>
      <w:pPr>
        <w:pStyle w:val="GesAbsatz"/>
      </w:pPr>
      <w:r>
        <w:t xml:space="preserve">Bericht-Nr.: 936/21218384/A vom 16. März 2012 </w:t>
      </w:r>
    </w:p>
    <w:p>
      <w:pPr>
        <w:pStyle w:val="GesAbsatz"/>
      </w:pPr>
    </w:p>
    <w:p>
      <w:pPr>
        <w:pStyle w:val="berschrift2"/>
      </w:pPr>
      <w:bookmarkStart w:id="6" w:name="_Toc331064659"/>
      <w:r>
        <w:t>II.</w:t>
      </w:r>
      <w:r>
        <w:br/>
        <w:t xml:space="preserve">Eignung für Messeinrichtungen </w:t>
      </w:r>
      <w:r>
        <w:br/>
        <w:t>zur kontinuierlichen Messung von Bezugsgrößen/Betriebsgrößen</w:t>
      </w:r>
      <w:bookmarkEnd w:id="6"/>
    </w:p>
    <w:p>
      <w:pPr>
        <w:pStyle w:val="berschrift3"/>
        <w:jc w:val="left"/>
        <w:rPr>
          <w:rFonts w:cs="Arial"/>
        </w:rPr>
      </w:pPr>
      <w:bookmarkStart w:id="7" w:name="_Toc331064660"/>
      <w:r>
        <w:t>1</w:t>
      </w:r>
      <w:r>
        <w:rPr>
          <w:rFonts w:ascii="Arial Unicode MS" w:hAnsi="Arial Unicode MS" w:cs="Arial Unicode MS"/>
        </w:rPr>
        <w:tab/>
      </w:r>
      <w:r>
        <w:rPr>
          <w:rFonts w:cs="Arial"/>
        </w:rPr>
        <w:t>Sauerstoff</w:t>
      </w:r>
      <w:bookmarkEnd w:id="7"/>
    </w:p>
    <w:p>
      <w:pPr>
        <w:pStyle w:val="berschriftneutral"/>
        <w:rPr>
          <w:rFonts w:cs="Arial"/>
        </w:rPr>
      </w:pPr>
      <w:r>
        <w:t>1.1</w:t>
      </w:r>
      <w:r>
        <w:rPr>
          <w:rFonts w:ascii="Arial Unicode MS" w:hAnsi="Arial Unicode MS" w:cs="Arial Unicode MS"/>
        </w:rPr>
        <w:t> </w:t>
      </w:r>
      <w:proofErr w:type="spellStart"/>
      <w:r>
        <w:rPr>
          <w:rFonts w:cs="Arial"/>
        </w:rPr>
        <w:t>Oxatex</w:t>
      </w:r>
      <w:proofErr w:type="spellEnd"/>
      <w:r>
        <w:rPr>
          <w:rFonts w:cs="Arial"/>
        </w:rPr>
        <w:t xml:space="preserve"> 3107 C67 für O</w:t>
      </w:r>
      <w:r>
        <w:rPr>
          <w:rFonts w:cs="Arial"/>
          <w:vertAlign w:val="subscript"/>
        </w:rPr>
        <w:t>2</w:t>
      </w:r>
    </w:p>
    <w:p>
      <w:pPr>
        <w:pStyle w:val="GesAbsatz"/>
      </w:pPr>
      <w:r>
        <w:t>Hersteller:</w:t>
      </w:r>
    </w:p>
    <w:p>
      <w:pPr>
        <w:pStyle w:val="GesAbsatz"/>
      </w:pPr>
      <w:proofErr w:type="spellStart"/>
      <w:r>
        <w:t>Fives</w:t>
      </w:r>
      <w:proofErr w:type="spellEnd"/>
      <w:r>
        <w:t xml:space="preserve"> </w:t>
      </w:r>
      <w:proofErr w:type="spellStart"/>
      <w:r>
        <w:t>Pillard</w:t>
      </w:r>
      <w:proofErr w:type="spellEnd"/>
      <w:r>
        <w:t xml:space="preserve">, Marseille, Frankreich </w:t>
      </w:r>
    </w:p>
    <w:p>
      <w:pPr>
        <w:pStyle w:val="GesAbsatz"/>
      </w:pPr>
      <w:r>
        <w:t>Eignung:</w:t>
      </w:r>
    </w:p>
    <w:p>
      <w:pPr>
        <w:pStyle w:val="GesAbsatz"/>
      </w:pPr>
      <w:r>
        <w:t xml:space="preserve">Für genehmigungsbedürftige Anlagen sowie Anlagen der 27. BImSchV </w:t>
      </w:r>
    </w:p>
    <w:p>
      <w:pPr>
        <w:pStyle w:val="GesAbsatz"/>
      </w:pPr>
      <w:r>
        <w:t xml:space="preserve">Messbereich in der Eignungsprüfung: </w:t>
      </w:r>
    </w:p>
    <w:tbl>
      <w:tblPr>
        <w:tblStyle w:val="Tabellenraster"/>
        <w:tblW w:w="0" w:type="auto"/>
        <w:tblLook w:val="01E0" w:firstRow="1" w:lastRow="1" w:firstColumn="1" w:lastColumn="1" w:noHBand="0" w:noVBand="0"/>
      </w:tblPr>
      <w:tblGrid>
        <w:gridCol w:w="1526"/>
        <w:gridCol w:w="2977"/>
        <w:gridCol w:w="1701"/>
      </w:tblGrid>
      <w:tr>
        <w:tc>
          <w:tcPr>
            <w:tcW w:w="1526" w:type="dxa"/>
          </w:tcPr>
          <w:p>
            <w:pPr>
              <w:pStyle w:val="GesAbsatz"/>
              <w:tabs>
                <w:tab w:val="clear" w:pos="425"/>
              </w:tabs>
            </w:pPr>
            <w:r>
              <w:t>Komponente</w:t>
            </w:r>
          </w:p>
        </w:tc>
        <w:tc>
          <w:tcPr>
            <w:tcW w:w="2977" w:type="dxa"/>
          </w:tcPr>
          <w:p>
            <w:pPr>
              <w:pStyle w:val="GesAbsatz"/>
              <w:tabs>
                <w:tab w:val="clear" w:pos="425"/>
              </w:tabs>
              <w:jc w:val="center"/>
            </w:pPr>
            <w:r>
              <w:t>Zertifizierungsbereich</w:t>
            </w:r>
          </w:p>
        </w:tc>
        <w:tc>
          <w:tcPr>
            <w:tcW w:w="1701" w:type="dxa"/>
          </w:tcPr>
          <w:p>
            <w:pPr>
              <w:pStyle w:val="GesAbsatz"/>
              <w:tabs>
                <w:tab w:val="clear" w:pos="425"/>
              </w:tabs>
              <w:jc w:val="center"/>
            </w:pPr>
            <w:r>
              <w:t>Einheit</w:t>
            </w:r>
          </w:p>
        </w:tc>
      </w:tr>
      <w:tr>
        <w:tc>
          <w:tcPr>
            <w:tcW w:w="1526" w:type="dxa"/>
          </w:tcPr>
          <w:p>
            <w:pPr>
              <w:pStyle w:val="GesAbsatz"/>
              <w:tabs>
                <w:tab w:val="clear" w:pos="425"/>
              </w:tabs>
            </w:pPr>
            <w:r>
              <w:t>O</w:t>
            </w:r>
            <w:r>
              <w:rPr>
                <w:vertAlign w:val="subscript"/>
              </w:rPr>
              <w:t>2</w:t>
            </w:r>
          </w:p>
        </w:tc>
        <w:tc>
          <w:tcPr>
            <w:tcW w:w="2977" w:type="dxa"/>
          </w:tcPr>
          <w:p>
            <w:pPr>
              <w:pStyle w:val="GesAbsatz"/>
              <w:tabs>
                <w:tab w:val="clear" w:pos="425"/>
              </w:tabs>
              <w:jc w:val="center"/>
            </w:pPr>
            <w:r>
              <w:t>0 – 20,9</w:t>
            </w:r>
          </w:p>
        </w:tc>
        <w:tc>
          <w:tcPr>
            <w:tcW w:w="1701" w:type="dxa"/>
          </w:tcPr>
          <w:p>
            <w:pPr>
              <w:pStyle w:val="GesAbsatz"/>
              <w:tabs>
                <w:tab w:val="clear" w:pos="425"/>
              </w:tabs>
              <w:jc w:val="center"/>
            </w:pPr>
            <w:r>
              <w:t>Vol.-%</w:t>
            </w:r>
          </w:p>
        </w:tc>
      </w:tr>
    </w:tbl>
    <w:p>
      <w:pPr>
        <w:pStyle w:val="GesAbsatz"/>
      </w:pPr>
      <w:r>
        <w:t>Softwareversion: V 3.1</w:t>
      </w:r>
    </w:p>
    <w:p>
      <w:pPr>
        <w:pStyle w:val="GesAbsatz"/>
      </w:pPr>
      <w:r>
        <w:t>Einschränkungen:</w:t>
      </w:r>
    </w:p>
    <w:p>
      <w:pPr>
        <w:pStyle w:val="GesAbsatz"/>
      </w:pPr>
      <w:r>
        <w:t xml:space="preserve">Keine </w:t>
      </w:r>
    </w:p>
    <w:p>
      <w:pPr>
        <w:pStyle w:val="GesAbsatz"/>
      </w:pPr>
      <w:r>
        <w:lastRenderedPageBreak/>
        <w:t xml:space="preserve">Hinweise: </w:t>
      </w:r>
    </w:p>
    <w:p>
      <w:pPr>
        <w:pStyle w:val="GesAbsatz"/>
        <w:ind w:left="426" w:hanging="426"/>
      </w:pPr>
      <w:r>
        <w:t>1</w:t>
      </w:r>
      <w:r>
        <w:tab/>
        <w:t>Das Wartungsintervall beträgt vier Wochen.</w:t>
      </w:r>
    </w:p>
    <w:p>
      <w:pPr>
        <w:pStyle w:val="GesAbsatz"/>
        <w:ind w:left="426" w:hanging="426"/>
      </w:pPr>
      <w:r>
        <w:t>2</w:t>
      </w:r>
      <w:r>
        <w:tab/>
        <w:t>Bei Abgasrandbedingungen mit hoher Feuchte in Verbindung mit hohem Staubgehalt sowie Staubgehalt mit Neigung zum Verkleben ist eine häufigere Kontrolle des Filters notwendig.</w:t>
      </w:r>
    </w:p>
    <w:p>
      <w:pPr>
        <w:pStyle w:val="GesAbsatz"/>
      </w:pPr>
      <w:r>
        <w:t>Prüfbericht: TÜV Rheinland Energie und Umwelt GmbH, Köln</w:t>
      </w:r>
    </w:p>
    <w:p>
      <w:pPr>
        <w:pStyle w:val="GesAbsatz"/>
      </w:pPr>
      <w:r>
        <w:t xml:space="preserve">Bericht-Nr.: 936/21212141/A vom 20. März 2012 </w:t>
      </w:r>
    </w:p>
    <w:p>
      <w:pPr>
        <w:pStyle w:val="GesAbsatz"/>
      </w:pPr>
    </w:p>
    <w:p>
      <w:pPr>
        <w:pStyle w:val="berschrift3"/>
        <w:jc w:val="left"/>
        <w:rPr>
          <w:rFonts w:cs="Arial"/>
        </w:rPr>
      </w:pPr>
      <w:bookmarkStart w:id="8" w:name="_Toc331064661"/>
      <w:r>
        <w:t>2</w:t>
      </w:r>
      <w:r>
        <w:rPr>
          <w:rFonts w:ascii="Arial Unicode MS" w:hAnsi="Arial Unicode MS" w:cs="Arial Unicode MS"/>
        </w:rPr>
        <w:tab/>
      </w:r>
      <w:r>
        <w:rPr>
          <w:rFonts w:cs="Arial"/>
        </w:rPr>
        <w:t>Abgasgeschwindigkeit</w:t>
      </w:r>
      <w:bookmarkEnd w:id="8"/>
    </w:p>
    <w:p>
      <w:pPr>
        <w:pStyle w:val="berschriftneutral"/>
        <w:rPr>
          <w:rFonts w:cs="Arial"/>
        </w:rPr>
      </w:pPr>
      <w:r>
        <w:t>2.1</w:t>
      </w:r>
      <w:r>
        <w:rPr>
          <w:rFonts w:ascii="Arial Unicode MS" w:hAnsi="Arial Unicode MS" w:cs="Arial Unicode MS"/>
        </w:rPr>
        <w:t> </w:t>
      </w:r>
      <w:r>
        <w:rPr>
          <w:rFonts w:cs="Arial"/>
        </w:rPr>
        <w:t>V-CEM5100 für Abgasgeschwindigkeit</w:t>
      </w:r>
    </w:p>
    <w:p>
      <w:pPr>
        <w:pStyle w:val="GesAbsatz"/>
      </w:pPr>
      <w:r>
        <w:t>Hersteller:</w:t>
      </w:r>
    </w:p>
    <w:p>
      <w:pPr>
        <w:pStyle w:val="GesAbsatz"/>
      </w:pPr>
      <w:r>
        <w:t xml:space="preserve">CODEL International Ltd., Bakewell, Derbyshire, Vereinigtes Königreich </w:t>
      </w:r>
    </w:p>
    <w:p>
      <w:pPr>
        <w:pStyle w:val="GesAbsatz"/>
      </w:pPr>
      <w:r>
        <w:t>Eignung:</w:t>
      </w:r>
    </w:p>
    <w:p>
      <w:pPr>
        <w:pStyle w:val="GesAbsatz"/>
      </w:pPr>
      <w:r>
        <w:t xml:space="preserve">Für genehmigungsbedürftige Anlagen sowie Anlagen der 27. BImSchV </w:t>
      </w:r>
    </w:p>
    <w:p>
      <w:pPr>
        <w:pStyle w:val="GesAbsatz"/>
      </w:pPr>
      <w:r>
        <w:t xml:space="preserve">Messbereich in der Eignungsprüfung: </w:t>
      </w:r>
    </w:p>
    <w:tbl>
      <w:tblPr>
        <w:tblStyle w:val="Tabellenraster"/>
        <w:tblW w:w="0" w:type="auto"/>
        <w:tblLook w:val="01E0" w:firstRow="1" w:lastRow="1" w:firstColumn="1" w:lastColumn="1" w:noHBand="0" w:noVBand="0"/>
      </w:tblPr>
      <w:tblGrid>
        <w:gridCol w:w="2235"/>
        <w:gridCol w:w="2268"/>
        <w:gridCol w:w="1134"/>
      </w:tblGrid>
      <w:tr>
        <w:tc>
          <w:tcPr>
            <w:tcW w:w="2235" w:type="dxa"/>
          </w:tcPr>
          <w:p>
            <w:pPr>
              <w:pStyle w:val="GesAbsatz"/>
              <w:tabs>
                <w:tab w:val="clear" w:pos="425"/>
              </w:tabs>
            </w:pPr>
            <w:r>
              <w:t>Komponente</w:t>
            </w:r>
          </w:p>
        </w:tc>
        <w:tc>
          <w:tcPr>
            <w:tcW w:w="2268" w:type="dxa"/>
          </w:tcPr>
          <w:p>
            <w:pPr>
              <w:pStyle w:val="GesAbsatz"/>
              <w:tabs>
                <w:tab w:val="clear" w:pos="425"/>
              </w:tabs>
            </w:pPr>
            <w:r>
              <w:t>Zertifizierungsbereich</w:t>
            </w:r>
          </w:p>
        </w:tc>
        <w:tc>
          <w:tcPr>
            <w:tcW w:w="1134" w:type="dxa"/>
          </w:tcPr>
          <w:p>
            <w:pPr>
              <w:pStyle w:val="GesAbsatz"/>
              <w:tabs>
                <w:tab w:val="clear" w:pos="425"/>
              </w:tabs>
            </w:pPr>
            <w:r>
              <w:t xml:space="preserve">Einheit </w:t>
            </w:r>
          </w:p>
        </w:tc>
      </w:tr>
      <w:tr>
        <w:tc>
          <w:tcPr>
            <w:tcW w:w="2235" w:type="dxa"/>
          </w:tcPr>
          <w:p>
            <w:pPr>
              <w:pStyle w:val="GesAbsatz"/>
              <w:tabs>
                <w:tab w:val="clear" w:pos="425"/>
              </w:tabs>
              <w:jc w:val="center"/>
            </w:pPr>
            <w:r>
              <w:t>Abgasgeschwindigkeit</w:t>
            </w:r>
          </w:p>
        </w:tc>
        <w:tc>
          <w:tcPr>
            <w:tcW w:w="2268" w:type="dxa"/>
          </w:tcPr>
          <w:p>
            <w:pPr>
              <w:pStyle w:val="GesAbsatz"/>
              <w:tabs>
                <w:tab w:val="clear" w:pos="425"/>
              </w:tabs>
              <w:jc w:val="center"/>
            </w:pPr>
            <w:r>
              <w:t>3 – 50</w:t>
            </w:r>
          </w:p>
        </w:tc>
        <w:tc>
          <w:tcPr>
            <w:tcW w:w="1134" w:type="dxa"/>
          </w:tcPr>
          <w:p>
            <w:pPr>
              <w:pStyle w:val="GesAbsatz"/>
              <w:tabs>
                <w:tab w:val="clear" w:pos="425"/>
              </w:tabs>
              <w:jc w:val="center"/>
            </w:pPr>
            <w:r>
              <w:t>m/s</w:t>
            </w:r>
          </w:p>
        </w:tc>
      </w:tr>
    </w:tbl>
    <w:p>
      <w:pPr>
        <w:pStyle w:val="GesAbsatz"/>
      </w:pPr>
      <w:r>
        <w:t>Softwareversion: 507.105B</w:t>
      </w:r>
    </w:p>
    <w:p>
      <w:pPr>
        <w:pStyle w:val="GesAbsatz"/>
      </w:pPr>
      <w:r>
        <w:t>Einschränkung:</w:t>
      </w:r>
    </w:p>
    <w:p>
      <w:pPr>
        <w:pStyle w:val="GesAbsatz"/>
      </w:pPr>
      <w:r>
        <w:t xml:space="preserve">Die untere Grenze des Geschwindigkeitsmessbereichs beträgt 3 m/s. </w:t>
      </w:r>
    </w:p>
    <w:p>
      <w:pPr>
        <w:pStyle w:val="GesAbsatz"/>
      </w:pPr>
      <w:r>
        <w:t xml:space="preserve">Hinweise: </w:t>
      </w:r>
    </w:p>
    <w:p>
      <w:pPr>
        <w:pStyle w:val="GesAbsatz"/>
        <w:ind w:left="426" w:hanging="426"/>
      </w:pPr>
      <w:r>
        <w:t>1</w:t>
      </w:r>
      <w:r>
        <w:tab/>
        <w:t>Das Wartungsintervall beträgt drei Monate.</w:t>
      </w:r>
    </w:p>
    <w:p>
      <w:pPr>
        <w:pStyle w:val="GesAbsatz"/>
        <w:ind w:left="426" w:hanging="426"/>
      </w:pPr>
      <w:r>
        <w:t>2</w:t>
      </w:r>
      <w:r>
        <w:tab/>
        <w:t>Das Gerät kann unter folgenden Randbedingungen eingesetzt werden: Feuchtegehalt &gt;2 %, Temperatur &gt;40 °C, Kanaldurchmesser &gt;0,5 m.</w:t>
      </w:r>
    </w:p>
    <w:p>
      <w:pPr>
        <w:pStyle w:val="GesAbsatz"/>
        <w:ind w:left="426" w:hanging="426"/>
      </w:pPr>
      <w:r>
        <w:t>3</w:t>
      </w:r>
      <w:r>
        <w:tab/>
        <w:t>Ergänzungsprüfung (Wartungsintervallverlängerung) zur Bekanntmachung des Umweltbundesamtes vom 23. Februar 2012 (BAnz. S. 920, Kapitel II Nummer 2.2).</w:t>
      </w:r>
    </w:p>
    <w:p>
      <w:pPr>
        <w:pStyle w:val="GesAbsatz"/>
      </w:pPr>
      <w:r>
        <w:t>Prüfbericht: TÜV Rheinland Energie und Umwelt GmbH, Köln</w:t>
      </w:r>
    </w:p>
    <w:p>
      <w:pPr>
        <w:pStyle w:val="GesAbsatz"/>
      </w:pPr>
      <w:r>
        <w:t xml:space="preserve">Bericht-Nr.: 936/21216334/C vom 20. März 2012 </w:t>
      </w:r>
    </w:p>
    <w:p>
      <w:pPr>
        <w:pStyle w:val="berschriftneutral"/>
        <w:rPr>
          <w:rFonts w:cs="Arial"/>
        </w:rPr>
      </w:pPr>
      <w:r>
        <w:t>2.2</w:t>
      </w:r>
      <w:r>
        <w:rPr>
          <w:rFonts w:ascii="Arial Unicode MS" w:hAnsi="Arial Unicode MS" w:cs="Arial Unicode MS"/>
        </w:rPr>
        <w:t> </w:t>
      </w:r>
      <w:r>
        <w:rPr>
          <w:rFonts w:cs="Arial"/>
        </w:rPr>
        <w:t>FMD 09 für Abgasgeschwindigkeit</w:t>
      </w:r>
    </w:p>
    <w:p>
      <w:pPr>
        <w:pStyle w:val="GesAbsatz"/>
      </w:pPr>
      <w:r>
        <w:t>Hersteller:</w:t>
      </w:r>
    </w:p>
    <w:p>
      <w:pPr>
        <w:pStyle w:val="GesAbsatz"/>
      </w:pPr>
      <w:r>
        <w:t xml:space="preserve">Dr. Födisch Umweltmesstechnik AG, Markranstädt </w:t>
      </w:r>
    </w:p>
    <w:p>
      <w:pPr>
        <w:pStyle w:val="GesAbsatz"/>
      </w:pPr>
      <w:r>
        <w:t>Eignung:</w:t>
      </w:r>
    </w:p>
    <w:p>
      <w:pPr>
        <w:pStyle w:val="GesAbsatz"/>
      </w:pPr>
      <w:r>
        <w:t xml:space="preserve">Für genehmigungsbedürftige Anlagen sowie Anlagen der 27. BImSchV </w:t>
      </w:r>
    </w:p>
    <w:p>
      <w:pPr>
        <w:pStyle w:val="GesAbsatz"/>
      </w:pPr>
      <w:r>
        <w:t xml:space="preserve">Messbereiche in der Eignungsprüfung: </w:t>
      </w:r>
    </w:p>
    <w:tbl>
      <w:tblPr>
        <w:tblStyle w:val="Tabellenraster"/>
        <w:tblW w:w="0" w:type="auto"/>
        <w:tblLook w:val="01E0" w:firstRow="1" w:lastRow="1" w:firstColumn="1" w:lastColumn="1" w:noHBand="0" w:noVBand="0"/>
      </w:tblPr>
      <w:tblGrid>
        <w:gridCol w:w="2486"/>
        <w:gridCol w:w="2300"/>
        <w:gridCol w:w="1701"/>
        <w:gridCol w:w="1305"/>
      </w:tblGrid>
      <w:tr>
        <w:tc>
          <w:tcPr>
            <w:tcW w:w="2486" w:type="dxa"/>
          </w:tcPr>
          <w:p>
            <w:pPr>
              <w:pStyle w:val="GesAbsatz"/>
              <w:tabs>
                <w:tab w:val="clear" w:pos="425"/>
              </w:tabs>
            </w:pPr>
            <w:r>
              <w:t>Komponente</w:t>
            </w:r>
          </w:p>
        </w:tc>
        <w:tc>
          <w:tcPr>
            <w:tcW w:w="2300" w:type="dxa"/>
          </w:tcPr>
          <w:p>
            <w:pPr>
              <w:pStyle w:val="GesAbsatz"/>
              <w:tabs>
                <w:tab w:val="clear" w:pos="425"/>
              </w:tabs>
              <w:jc w:val="center"/>
            </w:pPr>
            <w:r>
              <w:t>Zertifizierungsbereich</w:t>
            </w:r>
          </w:p>
        </w:tc>
        <w:tc>
          <w:tcPr>
            <w:tcW w:w="1701" w:type="dxa"/>
          </w:tcPr>
          <w:p>
            <w:pPr>
              <w:pStyle w:val="GesAbsatz"/>
              <w:tabs>
                <w:tab w:val="clear" w:pos="425"/>
              </w:tabs>
              <w:jc w:val="center"/>
            </w:pPr>
            <w:r>
              <w:t>zusätzlicher Messbereich</w:t>
            </w:r>
          </w:p>
        </w:tc>
        <w:tc>
          <w:tcPr>
            <w:tcW w:w="1305" w:type="dxa"/>
          </w:tcPr>
          <w:p>
            <w:pPr>
              <w:pStyle w:val="GesAbsatz"/>
              <w:tabs>
                <w:tab w:val="clear" w:pos="425"/>
              </w:tabs>
              <w:jc w:val="center"/>
            </w:pPr>
            <w:r>
              <w:t>Einheit</w:t>
            </w:r>
          </w:p>
        </w:tc>
      </w:tr>
      <w:tr>
        <w:tc>
          <w:tcPr>
            <w:tcW w:w="2486" w:type="dxa"/>
          </w:tcPr>
          <w:p>
            <w:pPr>
              <w:pStyle w:val="GesAbsatz"/>
              <w:tabs>
                <w:tab w:val="clear" w:pos="425"/>
              </w:tabs>
              <w:jc w:val="center"/>
            </w:pPr>
            <w:r>
              <w:t>Abgasgeschwindigkeit</w:t>
            </w:r>
          </w:p>
        </w:tc>
        <w:tc>
          <w:tcPr>
            <w:tcW w:w="2300" w:type="dxa"/>
          </w:tcPr>
          <w:p>
            <w:pPr>
              <w:pStyle w:val="GesAbsatz"/>
              <w:tabs>
                <w:tab w:val="clear" w:pos="425"/>
              </w:tabs>
              <w:jc w:val="center"/>
            </w:pPr>
            <w:r>
              <w:t>2 – 30</w:t>
            </w:r>
          </w:p>
        </w:tc>
        <w:tc>
          <w:tcPr>
            <w:tcW w:w="1701" w:type="dxa"/>
          </w:tcPr>
          <w:p>
            <w:pPr>
              <w:pStyle w:val="GesAbsatz"/>
              <w:tabs>
                <w:tab w:val="clear" w:pos="425"/>
              </w:tabs>
              <w:jc w:val="center"/>
            </w:pPr>
            <w:r>
              <w:t>2 – 60</w:t>
            </w:r>
          </w:p>
        </w:tc>
        <w:tc>
          <w:tcPr>
            <w:tcW w:w="1305" w:type="dxa"/>
          </w:tcPr>
          <w:p>
            <w:pPr>
              <w:pStyle w:val="GesAbsatz"/>
              <w:tabs>
                <w:tab w:val="clear" w:pos="425"/>
              </w:tabs>
              <w:jc w:val="center"/>
            </w:pPr>
            <w:r>
              <w:t>m/s</w:t>
            </w:r>
          </w:p>
        </w:tc>
      </w:tr>
    </w:tbl>
    <w:p>
      <w:pPr>
        <w:pStyle w:val="GesAbsatz"/>
        <w:tabs>
          <w:tab w:val="clear" w:pos="425"/>
          <w:tab w:val="left" w:pos="2268"/>
        </w:tabs>
      </w:pPr>
      <w:r>
        <w:t>Softwareversionen:</w:t>
      </w:r>
      <w:r>
        <w:tab/>
        <w:t>Main Version: 2.0,</w:t>
      </w:r>
    </w:p>
    <w:p>
      <w:pPr>
        <w:pStyle w:val="GesAbsatz"/>
        <w:tabs>
          <w:tab w:val="clear" w:pos="425"/>
          <w:tab w:val="left" w:pos="2268"/>
        </w:tabs>
      </w:pPr>
      <w:r>
        <w:tab/>
        <w:t>I/O Version: 1.1</w:t>
      </w:r>
    </w:p>
    <w:p>
      <w:pPr>
        <w:pStyle w:val="GesAbsatz"/>
      </w:pPr>
      <w:r>
        <w:t>Einschränkung:</w:t>
      </w:r>
    </w:p>
    <w:p>
      <w:pPr>
        <w:pStyle w:val="GesAbsatz"/>
      </w:pPr>
      <w:r>
        <w:t xml:space="preserve">Die untere Grenze des Geschwindigkeitsmessbereichs beträgt 2 m/s. </w:t>
      </w:r>
    </w:p>
    <w:p>
      <w:pPr>
        <w:pStyle w:val="GesAbsatz"/>
      </w:pPr>
      <w:r>
        <w:t xml:space="preserve">Hinweise: </w:t>
      </w:r>
    </w:p>
    <w:p>
      <w:pPr>
        <w:pStyle w:val="GesAbsatz"/>
        <w:ind w:left="426" w:hanging="426"/>
      </w:pPr>
      <w:r>
        <w:t>1.</w:t>
      </w:r>
      <w:r>
        <w:tab/>
        <w:t>Das Wartungsintervall beträgt drei Monate.</w:t>
      </w:r>
    </w:p>
    <w:p>
      <w:pPr>
        <w:pStyle w:val="GesAbsatz"/>
        <w:ind w:left="426" w:hanging="426"/>
      </w:pPr>
      <w:r>
        <w:lastRenderedPageBreak/>
        <w:t>2.</w:t>
      </w:r>
      <w:r>
        <w:tab/>
        <w:t>Nach einer Filterstörung mit hoher Staubbelastung ist die Sonde auf Verschmutzungen zu überprüfen und gegebenenfalls zu reinigen.</w:t>
      </w:r>
    </w:p>
    <w:p>
      <w:pPr>
        <w:pStyle w:val="GesAbsatz"/>
        <w:ind w:left="426" w:hanging="426"/>
      </w:pPr>
      <w:r>
        <w:t>3.</w:t>
      </w:r>
      <w:r>
        <w:tab/>
        <w:t>Als Drucktransmitter kann der SMAR LD301 in einem Bereich von 0 bis 500 Pa oder von 0 bis 1 000 Pa eingesetzt werden.</w:t>
      </w:r>
    </w:p>
    <w:p>
      <w:pPr>
        <w:pStyle w:val="GesAbsatz"/>
        <w:ind w:left="426" w:hanging="426"/>
      </w:pPr>
      <w:r>
        <w:t>4.</w:t>
      </w:r>
      <w:r>
        <w:tab/>
        <w:t>Ergänzungsprüfung (zusätzlicher Messbereich) zur Bekanntmachung des Umweltbundesamtes vom 23. Februar 2012 (BAnz. S. 920, Kapitel II Nummer 2.1).</w:t>
      </w:r>
    </w:p>
    <w:p>
      <w:pPr>
        <w:pStyle w:val="GesAbsatz"/>
      </w:pPr>
      <w:r>
        <w:t>Prüfbericht: TÜV Rheinland Energie und Umwelt GmbH, Köln</w:t>
      </w:r>
    </w:p>
    <w:p>
      <w:pPr>
        <w:pStyle w:val="GesAbsatz"/>
      </w:pPr>
      <w:r>
        <w:t xml:space="preserve">Bericht-Nr.: 936/21212361/C vom 20. März 2012 </w:t>
      </w:r>
    </w:p>
    <w:p>
      <w:pPr>
        <w:pStyle w:val="GesAbsatz"/>
      </w:pPr>
    </w:p>
    <w:p>
      <w:pPr>
        <w:pStyle w:val="berschrift2"/>
      </w:pPr>
      <w:bookmarkStart w:id="9" w:name="_Toc331064662"/>
      <w:r>
        <w:t>III.</w:t>
      </w:r>
      <w:r>
        <w:br/>
        <w:t>Eignung von Messeinrichtungen</w:t>
      </w:r>
      <w:r>
        <w:br/>
        <w:t>zur kontinuierlichen Überwachung von Immissionen</w:t>
      </w:r>
      <w:bookmarkEnd w:id="9"/>
    </w:p>
    <w:p>
      <w:pPr>
        <w:pStyle w:val="GesAbsatz"/>
      </w:pPr>
      <w:r>
        <w:t xml:space="preserve">Unter Bezugnahme auf die Nummer 3.2 der Bekanntmachung der für die Durchführung der Richtlinie 96/62/EG des Rates vom 27. September 1996 über die Beurteilung und Kontrolle der Luftqualität zuständigen Stellen vom 1. Oktober 1998 (BAnz. S. 15 126) wird im Auftrag des BMU die Eignung der folgenden Messeinrichtung bekannt gegeben: </w:t>
      </w:r>
    </w:p>
    <w:p>
      <w:pPr>
        <w:pStyle w:val="berschrift3"/>
        <w:jc w:val="left"/>
        <w:rPr>
          <w:rFonts w:cs="Arial"/>
        </w:rPr>
      </w:pPr>
      <w:bookmarkStart w:id="10" w:name="_Toc331064663"/>
      <w:r>
        <w:t>1</w:t>
      </w:r>
      <w:r>
        <w:rPr>
          <w:rFonts w:ascii="Arial Unicode MS" w:hAnsi="Arial Unicode MS" w:cs="Arial Unicode MS"/>
        </w:rPr>
        <w:tab/>
      </w:r>
      <w:r>
        <w:rPr>
          <w:rFonts w:cs="Arial"/>
        </w:rPr>
        <w:t>Schwebstaub (PM</w:t>
      </w:r>
      <w:r>
        <w:rPr>
          <w:rFonts w:cs="Arial"/>
          <w:vertAlign w:val="subscript"/>
        </w:rPr>
        <w:t>2,5</w:t>
      </w:r>
      <w:r>
        <w:rPr>
          <w:rFonts w:cs="Arial"/>
        </w:rPr>
        <w:t>-Fraktion)</w:t>
      </w:r>
      <w:bookmarkEnd w:id="10"/>
    </w:p>
    <w:p>
      <w:pPr>
        <w:pStyle w:val="berschriftneutral"/>
      </w:pPr>
      <w:r>
        <w:t>1.1</w:t>
      </w:r>
      <w:r>
        <w:rPr>
          <w:rFonts w:ascii="Arial Unicode MS" w:hAnsi="Arial Unicode MS" w:cs="Arial Unicode MS"/>
        </w:rPr>
        <w:tab/>
      </w:r>
      <w:r>
        <w:rPr>
          <w:rFonts w:cs="Arial"/>
        </w:rPr>
        <w:t xml:space="preserve">TEOM 1405-F Ambient </w:t>
      </w:r>
      <w:r>
        <w:rPr>
          <w:rFonts w:cs="Arial"/>
          <w:lang w:val="en-US"/>
        </w:rPr>
        <w:t>Par</w:t>
      </w:r>
      <w:r>
        <w:rPr>
          <w:lang w:val="en-US"/>
        </w:rPr>
        <w:t>ticulate</w:t>
      </w:r>
      <w:r>
        <w:t xml:space="preserve"> Monitor mit PM</w:t>
      </w:r>
      <w:r>
        <w:rPr>
          <w:vertAlign w:val="subscript"/>
        </w:rPr>
        <w:t>2,5</w:t>
      </w:r>
      <w:r>
        <w:t>-Vorabscheider für Schwebstaub PM</w:t>
      </w:r>
      <w:r>
        <w:rPr>
          <w:vertAlign w:val="subscript"/>
        </w:rPr>
        <w:t>2,5</w:t>
      </w:r>
    </w:p>
    <w:p>
      <w:pPr>
        <w:pStyle w:val="GesAbsatz"/>
      </w:pPr>
      <w:r>
        <w:t>Hersteller:</w:t>
      </w:r>
    </w:p>
    <w:p>
      <w:pPr>
        <w:pStyle w:val="GesAbsatz"/>
      </w:pPr>
      <w:r>
        <w:t xml:space="preserve">Thermo Fisher </w:t>
      </w:r>
      <w:r>
        <w:rPr>
          <w:lang w:val="en-US"/>
        </w:rPr>
        <w:t>Scientific</w:t>
      </w:r>
      <w:r>
        <w:t xml:space="preserve">, Franklin, USA </w:t>
      </w:r>
    </w:p>
    <w:p>
      <w:pPr>
        <w:pStyle w:val="GesAbsatz"/>
      </w:pPr>
      <w:r>
        <w:t>Eignung:</w:t>
      </w:r>
    </w:p>
    <w:p>
      <w:pPr>
        <w:pStyle w:val="GesAbsatz"/>
      </w:pPr>
      <w:r>
        <w:t>Zur kontinuierlichen Immissionsmessung der PM</w:t>
      </w:r>
      <w:r>
        <w:rPr>
          <w:vertAlign w:val="subscript"/>
        </w:rPr>
        <w:t>2,5</w:t>
      </w:r>
      <w:r>
        <w:t xml:space="preserve">-Fraktion im Schwebstaub im stationären Einsatz </w:t>
      </w:r>
    </w:p>
    <w:p>
      <w:pPr>
        <w:pStyle w:val="GesAbsatz"/>
      </w:pPr>
      <w:r>
        <w:t xml:space="preserve">Messbereich in der Eignungsprüfung: </w:t>
      </w:r>
    </w:p>
    <w:tbl>
      <w:tblPr>
        <w:tblStyle w:val="Tabellenraster"/>
        <w:tblW w:w="0" w:type="auto"/>
        <w:tblLook w:val="01E0" w:firstRow="1" w:lastRow="1" w:firstColumn="1" w:lastColumn="1" w:noHBand="0" w:noVBand="0"/>
      </w:tblPr>
      <w:tblGrid>
        <w:gridCol w:w="2093"/>
        <w:gridCol w:w="2551"/>
        <w:gridCol w:w="1560"/>
      </w:tblGrid>
      <w:tr>
        <w:tc>
          <w:tcPr>
            <w:tcW w:w="2093" w:type="dxa"/>
          </w:tcPr>
          <w:p>
            <w:pPr>
              <w:pStyle w:val="GesAbsatz"/>
              <w:tabs>
                <w:tab w:val="clear" w:pos="425"/>
              </w:tabs>
            </w:pPr>
            <w:r>
              <w:t>Komponente</w:t>
            </w:r>
          </w:p>
        </w:tc>
        <w:tc>
          <w:tcPr>
            <w:tcW w:w="2551" w:type="dxa"/>
          </w:tcPr>
          <w:p>
            <w:pPr>
              <w:pStyle w:val="GesAbsatz"/>
              <w:tabs>
                <w:tab w:val="clear" w:pos="425"/>
              </w:tabs>
              <w:jc w:val="center"/>
            </w:pPr>
            <w:r>
              <w:t>Zertifizierungsbereich</w:t>
            </w:r>
          </w:p>
        </w:tc>
        <w:tc>
          <w:tcPr>
            <w:tcW w:w="1560" w:type="dxa"/>
          </w:tcPr>
          <w:p>
            <w:pPr>
              <w:pStyle w:val="GesAbsatz"/>
              <w:tabs>
                <w:tab w:val="clear" w:pos="425"/>
              </w:tabs>
              <w:jc w:val="center"/>
            </w:pPr>
            <w:r>
              <w:t>Einheit</w:t>
            </w:r>
          </w:p>
        </w:tc>
      </w:tr>
      <w:tr>
        <w:tc>
          <w:tcPr>
            <w:tcW w:w="2093" w:type="dxa"/>
          </w:tcPr>
          <w:p>
            <w:pPr>
              <w:pStyle w:val="GesAbsatz"/>
              <w:tabs>
                <w:tab w:val="clear" w:pos="425"/>
              </w:tabs>
            </w:pPr>
            <w:r>
              <w:t>PM</w:t>
            </w:r>
            <w:r>
              <w:rPr>
                <w:vertAlign w:val="subscript"/>
              </w:rPr>
              <w:t>2,5</w:t>
            </w:r>
          </w:p>
        </w:tc>
        <w:tc>
          <w:tcPr>
            <w:tcW w:w="2551" w:type="dxa"/>
          </w:tcPr>
          <w:p>
            <w:pPr>
              <w:pStyle w:val="GesAbsatz"/>
              <w:tabs>
                <w:tab w:val="clear" w:pos="425"/>
              </w:tabs>
              <w:jc w:val="center"/>
            </w:pPr>
            <w:r>
              <w:t>0 – 1 000</w:t>
            </w:r>
          </w:p>
        </w:tc>
        <w:tc>
          <w:tcPr>
            <w:tcW w:w="1560" w:type="dxa"/>
          </w:tcPr>
          <w:p>
            <w:pPr>
              <w:pStyle w:val="GesAbsatz"/>
              <w:tabs>
                <w:tab w:val="clear" w:pos="425"/>
              </w:tabs>
              <w:jc w:val="center"/>
            </w:pPr>
            <w:r>
              <w:t>µg/m</w:t>
            </w:r>
            <w:r>
              <w:rPr>
                <w:vertAlign w:val="superscript"/>
              </w:rPr>
              <w:t>3</w:t>
            </w:r>
          </w:p>
        </w:tc>
      </w:tr>
    </w:tbl>
    <w:p>
      <w:pPr>
        <w:pStyle w:val="GesAbsatz"/>
      </w:pPr>
      <w:r>
        <w:t>Softwareversion: 1.56</w:t>
      </w:r>
    </w:p>
    <w:p>
      <w:pPr>
        <w:pStyle w:val="GesAbsatz"/>
      </w:pPr>
      <w:r>
        <w:t>Einschränkung:</w:t>
      </w:r>
    </w:p>
    <w:p>
      <w:pPr>
        <w:pStyle w:val="GesAbsatz"/>
      </w:pPr>
      <w:r>
        <w:t xml:space="preserve">Der zulässige Umgebungstemperaturbereich am Aufstellungsort der Messeinrichtung beträgt 8 °C bis 25 °C. </w:t>
      </w:r>
    </w:p>
    <w:p>
      <w:pPr>
        <w:pStyle w:val="GesAbsatz"/>
      </w:pPr>
      <w:r>
        <w:t xml:space="preserve">Hinweise: </w:t>
      </w:r>
    </w:p>
    <w:p>
      <w:pPr>
        <w:pStyle w:val="GesAbsatz"/>
        <w:ind w:left="426" w:hanging="426"/>
      </w:pPr>
      <w:r>
        <w:t>1.</w:t>
      </w:r>
      <w:r>
        <w:tab/>
        <w:t xml:space="preserve">Die Anforderungen gemäß des Leitfadens „Demonstration of </w:t>
      </w:r>
      <w:r>
        <w:rPr>
          <w:lang w:val="en-US"/>
        </w:rPr>
        <w:t>Equivalence</w:t>
      </w:r>
      <w:r>
        <w:t xml:space="preserve"> of Ambient Air Monitoring </w:t>
      </w:r>
      <w:r>
        <w:rPr>
          <w:lang w:val="en-US"/>
        </w:rPr>
        <w:t>Methods</w:t>
      </w:r>
      <w:r>
        <w:t>“ werden für die Messkomponente PM</w:t>
      </w:r>
      <w:r>
        <w:rPr>
          <w:vertAlign w:val="subscript"/>
        </w:rPr>
        <w:t>2,5</w:t>
      </w:r>
      <w:r>
        <w:t xml:space="preserve"> eingehalten.</w:t>
      </w:r>
    </w:p>
    <w:p>
      <w:pPr>
        <w:pStyle w:val="GesAbsatz"/>
        <w:ind w:left="426" w:hanging="426"/>
      </w:pPr>
      <w:r>
        <w:t>2.</w:t>
      </w:r>
      <w:r>
        <w:tab/>
        <w:t>Die Messeinrichtung ist mit dem gravimetrischen PM</w:t>
      </w:r>
      <w:r>
        <w:rPr>
          <w:vertAlign w:val="subscript"/>
        </w:rPr>
        <w:t>2,5</w:t>
      </w:r>
      <w:r>
        <w:t>-Referenzverfahren nach DIN EN 14907 regelmäßig am Standort zu kalibrieren.</w:t>
      </w:r>
    </w:p>
    <w:p>
      <w:pPr>
        <w:pStyle w:val="GesAbsatz"/>
        <w:ind w:left="426" w:hanging="426"/>
      </w:pPr>
      <w:r>
        <w:t>3.</w:t>
      </w:r>
      <w:r>
        <w:tab/>
        <w:t>Der Prüfbericht über die Eignungsprüfung ist im Internet unter www.qal1.de einsehbar.</w:t>
      </w:r>
    </w:p>
    <w:p>
      <w:pPr>
        <w:pStyle w:val="GesAbsatz"/>
      </w:pPr>
      <w:r>
        <w:t>Prüfinstitut: TÜV Rheinland Energie und Umwelt GmbH, Köln</w:t>
      </w:r>
    </w:p>
    <w:p>
      <w:pPr>
        <w:pStyle w:val="GesAbsatz"/>
      </w:pPr>
      <w:r>
        <w:t xml:space="preserve">Bericht-Nr.: 936/21209885/C vom 11. März 2012 </w:t>
      </w:r>
    </w:p>
    <w:p>
      <w:pPr>
        <w:pStyle w:val="berschrift3"/>
        <w:jc w:val="left"/>
      </w:pPr>
      <w:bookmarkStart w:id="11" w:name="_Toc331064664"/>
      <w:r>
        <w:t>2</w:t>
      </w:r>
      <w:r>
        <w:rPr>
          <w:rFonts w:ascii="Arial Unicode MS" w:hAnsi="Arial Unicode MS" w:cs="Arial Unicode MS"/>
        </w:rPr>
        <w:tab/>
      </w:r>
      <w:r>
        <w:rPr>
          <w:rFonts w:cs="Arial"/>
        </w:rPr>
        <w:t>Mehrkomponentenmesseinrichtung</w:t>
      </w:r>
      <w:r>
        <w:t>en</w:t>
      </w:r>
      <w:bookmarkEnd w:id="11"/>
    </w:p>
    <w:p>
      <w:pPr>
        <w:pStyle w:val="berschriftneutral"/>
        <w:rPr>
          <w:rFonts w:cs="Arial"/>
        </w:rPr>
      </w:pPr>
      <w:r>
        <w:t>2.1</w:t>
      </w:r>
      <w:r>
        <w:rPr>
          <w:rFonts w:ascii="Arial Unicode MS" w:hAnsi="Arial Unicode MS" w:cs="Arial Unicode MS"/>
        </w:rPr>
        <w:tab/>
      </w:r>
      <w:r>
        <w:rPr>
          <w:rFonts w:cs="Arial"/>
        </w:rPr>
        <w:t xml:space="preserve">TEOM 1405-DF </w:t>
      </w:r>
      <w:proofErr w:type="spellStart"/>
      <w:r>
        <w:rPr>
          <w:rFonts w:cs="Arial"/>
        </w:rPr>
        <w:t>Ambient</w:t>
      </w:r>
      <w:proofErr w:type="spellEnd"/>
      <w:r>
        <w:rPr>
          <w:rFonts w:cs="Arial"/>
        </w:rPr>
        <w:t xml:space="preserve"> </w:t>
      </w:r>
      <w:proofErr w:type="spellStart"/>
      <w:r>
        <w:rPr>
          <w:rFonts w:cs="Arial"/>
        </w:rPr>
        <w:t>Particulate</w:t>
      </w:r>
      <w:proofErr w:type="spellEnd"/>
      <w:r>
        <w:rPr>
          <w:rFonts w:cs="Arial"/>
        </w:rPr>
        <w:t xml:space="preserve"> Monitor mit PM</w:t>
      </w:r>
      <w:r>
        <w:rPr>
          <w:rFonts w:cs="Arial"/>
          <w:vertAlign w:val="subscript"/>
        </w:rPr>
        <w:t>10</w:t>
      </w:r>
      <w:r>
        <w:rPr>
          <w:rFonts w:cs="Arial"/>
        </w:rPr>
        <w:t>-Vorabscheider und virtuellem Impaktor für Schwebstaub PM</w:t>
      </w:r>
      <w:r>
        <w:rPr>
          <w:rFonts w:cs="Arial"/>
          <w:vertAlign w:val="subscript"/>
        </w:rPr>
        <w:t>10</w:t>
      </w:r>
      <w:r>
        <w:rPr>
          <w:rFonts w:cs="Arial"/>
        </w:rPr>
        <w:t xml:space="preserve"> und PM</w:t>
      </w:r>
      <w:r>
        <w:rPr>
          <w:rFonts w:cs="Arial"/>
          <w:vertAlign w:val="subscript"/>
        </w:rPr>
        <w:t>2,5</w:t>
      </w:r>
    </w:p>
    <w:p>
      <w:pPr>
        <w:pStyle w:val="GesAbsatz"/>
      </w:pPr>
      <w:r>
        <w:t>Hersteller:</w:t>
      </w:r>
    </w:p>
    <w:p>
      <w:pPr>
        <w:pStyle w:val="GesAbsatz"/>
      </w:pPr>
      <w:r>
        <w:t xml:space="preserve">Thermo Fisher </w:t>
      </w:r>
      <w:r>
        <w:rPr>
          <w:lang w:val="en-US"/>
        </w:rPr>
        <w:t>Scientific</w:t>
      </w:r>
      <w:r>
        <w:t xml:space="preserve">, Franklin, USA </w:t>
      </w:r>
    </w:p>
    <w:p>
      <w:pPr>
        <w:pStyle w:val="GesAbsatz"/>
      </w:pPr>
      <w:r>
        <w:t>Eignung:</w:t>
      </w:r>
    </w:p>
    <w:p>
      <w:pPr>
        <w:pStyle w:val="GesAbsatz"/>
      </w:pPr>
      <w:r>
        <w:t>Zur kontinuierlichen parallelen Immissionsmessung der PM</w:t>
      </w:r>
      <w:r>
        <w:rPr>
          <w:vertAlign w:val="subscript"/>
        </w:rPr>
        <w:t>10</w:t>
      </w:r>
      <w:r>
        <w:t>- und der PM</w:t>
      </w:r>
      <w:r>
        <w:rPr>
          <w:vertAlign w:val="subscript"/>
        </w:rPr>
        <w:t>2,5</w:t>
      </w:r>
      <w:r>
        <w:t xml:space="preserve">-Fraktion im Schwebstaub im stationären Einsatz </w:t>
      </w:r>
    </w:p>
    <w:p>
      <w:pPr>
        <w:pStyle w:val="GesAbsatz"/>
      </w:pPr>
      <w:r>
        <w:t xml:space="preserve">Messbereich in der Eignungsprüfung: </w:t>
      </w:r>
    </w:p>
    <w:tbl>
      <w:tblPr>
        <w:tblStyle w:val="Tabellenraster"/>
        <w:tblW w:w="0" w:type="auto"/>
        <w:tblLook w:val="01E0" w:firstRow="1" w:lastRow="1" w:firstColumn="1" w:lastColumn="1" w:noHBand="0" w:noVBand="0"/>
      </w:tblPr>
      <w:tblGrid>
        <w:gridCol w:w="1323"/>
        <w:gridCol w:w="2216"/>
        <w:gridCol w:w="992"/>
      </w:tblGrid>
      <w:tr>
        <w:tc>
          <w:tcPr>
            <w:tcW w:w="1323" w:type="dxa"/>
          </w:tcPr>
          <w:p>
            <w:pPr>
              <w:pStyle w:val="GesAbsatz"/>
              <w:tabs>
                <w:tab w:val="clear" w:pos="425"/>
              </w:tabs>
            </w:pPr>
            <w:r>
              <w:lastRenderedPageBreak/>
              <w:t>Komponente</w:t>
            </w:r>
          </w:p>
        </w:tc>
        <w:tc>
          <w:tcPr>
            <w:tcW w:w="2216" w:type="dxa"/>
          </w:tcPr>
          <w:p>
            <w:pPr>
              <w:pStyle w:val="GesAbsatz"/>
              <w:tabs>
                <w:tab w:val="clear" w:pos="425"/>
              </w:tabs>
            </w:pPr>
            <w:r>
              <w:t>Zertifizierungsbereich</w:t>
            </w:r>
          </w:p>
        </w:tc>
        <w:tc>
          <w:tcPr>
            <w:tcW w:w="992" w:type="dxa"/>
          </w:tcPr>
          <w:p>
            <w:pPr>
              <w:pStyle w:val="GesAbsatz"/>
              <w:tabs>
                <w:tab w:val="clear" w:pos="425"/>
              </w:tabs>
            </w:pPr>
            <w:r>
              <w:t xml:space="preserve">Einheit </w:t>
            </w:r>
          </w:p>
        </w:tc>
      </w:tr>
      <w:tr>
        <w:tc>
          <w:tcPr>
            <w:tcW w:w="1323" w:type="dxa"/>
          </w:tcPr>
          <w:p>
            <w:pPr>
              <w:pStyle w:val="GesAbsatz"/>
              <w:tabs>
                <w:tab w:val="clear" w:pos="425"/>
              </w:tabs>
              <w:rPr>
                <w:lang w:val="en-GB"/>
              </w:rPr>
            </w:pPr>
            <w:r>
              <w:rPr>
                <w:lang w:val="en-GB"/>
              </w:rPr>
              <w:t>PM</w:t>
            </w:r>
            <w:r>
              <w:rPr>
                <w:vertAlign w:val="subscript"/>
                <w:lang w:val="en-GB"/>
              </w:rPr>
              <w:t>10</w:t>
            </w:r>
          </w:p>
        </w:tc>
        <w:tc>
          <w:tcPr>
            <w:tcW w:w="2216" w:type="dxa"/>
          </w:tcPr>
          <w:p>
            <w:pPr>
              <w:pStyle w:val="GesAbsatz"/>
              <w:tabs>
                <w:tab w:val="clear" w:pos="425"/>
              </w:tabs>
              <w:jc w:val="center"/>
              <w:rPr>
                <w:lang w:val="en-GB"/>
              </w:rPr>
            </w:pPr>
            <w:r>
              <w:rPr>
                <w:lang w:val="en-GB"/>
              </w:rPr>
              <w:t>0 – 1.000</w:t>
            </w:r>
          </w:p>
        </w:tc>
        <w:tc>
          <w:tcPr>
            <w:tcW w:w="992" w:type="dxa"/>
          </w:tcPr>
          <w:p>
            <w:pPr>
              <w:pStyle w:val="GesAbsatz"/>
              <w:tabs>
                <w:tab w:val="clear" w:pos="425"/>
              </w:tabs>
              <w:jc w:val="center"/>
              <w:rPr>
                <w:lang w:val="en-GB"/>
              </w:rPr>
            </w:pPr>
            <w:r>
              <w:rPr>
                <w:lang w:val="en-GB"/>
              </w:rPr>
              <w:t>µg/m</w:t>
            </w:r>
            <w:r>
              <w:rPr>
                <w:vertAlign w:val="superscript"/>
                <w:lang w:val="en-GB"/>
              </w:rPr>
              <w:t>3</w:t>
            </w:r>
          </w:p>
        </w:tc>
      </w:tr>
      <w:tr>
        <w:tc>
          <w:tcPr>
            <w:tcW w:w="1323" w:type="dxa"/>
          </w:tcPr>
          <w:p>
            <w:pPr>
              <w:pStyle w:val="GesAbsatz"/>
              <w:tabs>
                <w:tab w:val="clear" w:pos="425"/>
              </w:tabs>
              <w:rPr>
                <w:lang w:val="en-GB"/>
              </w:rPr>
            </w:pPr>
            <w:r>
              <w:rPr>
                <w:lang w:val="en-GB"/>
              </w:rPr>
              <w:t>PM</w:t>
            </w:r>
            <w:r>
              <w:rPr>
                <w:vertAlign w:val="subscript"/>
                <w:lang w:val="en-GB"/>
              </w:rPr>
              <w:t>2,5</w:t>
            </w:r>
          </w:p>
        </w:tc>
        <w:tc>
          <w:tcPr>
            <w:tcW w:w="2216" w:type="dxa"/>
          </w:tcPr>
          <w:p>
            <w:pPr>
              <w:pStyle w:val="GesAbsatz"/>
              <w:tabs>
                <w:tab w:val="clear" w:pos="425"/>
              </w:tabs>
              <w:jc w:val="center"/>
              <w:rPr>
                <w:lang w:val="en-GB"/>
              </w:rPr>
            </w:pPr>
            <w:r>
              <w:rPr>
                <w:lang w:val="en-GB"/>
              </w:rPr>
              <w:t>0 – 1.000</w:t>
            </w:r>
          </w:p>
        </w:tc>
        <w:tc>
          <w:tcPr>
            <w:tcW w:w="992" w:type="dxa"/>
          </w:tcPr>
          <w:p>
            <w:pPr>
              <w:pStyle w:val="GesAbsatz"/>
              <w:tabs>
                <w:tab w:val="clear" w:pos="425"/>
              </w:tabs>
              <w:jc w:val="center"/>
              <w:rPr>
                <w:lang w:val="en-GB"/>
              </w:rPr>
            </w:pPr>
            <w:r>
              <w:rPr>
                <w:lang w:val="en-GB"/>
              </w:rPr>
              <w:t>µg/m</w:t>
            </w:r>
            <w:r>
              <w:rPr>
                <w:vertAlign w:val="superscript"/>
                <w:lang w:val="en-GB"/>
              </w:rPr>
              <w:t>3</w:t>
            </w:r>
          </w:p>
        </w:tc>
      </w:tr>
    </w:tbl>
    <w:p>
      <w:pPr>
        <w:pStyle w:val="GesAbsatz"/>
      </w:pPr>
      <w:r>
        <w:t>Softwareversion: 1.56</w:t>
      </w:r>
    </w:p>
    <w:p>
      <w:pPr>
        <w:pStyle w:val="GesAbsatz"/>
      </w:pPr>
      <w:r>
        <w:t>Einschränkung:</w:t>
      </w:r>
    </w:p>
    <w:p>
      <w:pPr>
        <w:pStyle w:val="GesAbsatz"/>
      </w:pPr>
      <w:r>
        <w:t xml:space="preserve">Der zulässige Umgebungstemperaturbereich am Aufstellungsort der Messeinrichtung beträgt 8 °C bis 25 °C. </w:t>
      </w:r>
    </w:p>
    <w:p>
      <w:pPr>
        <w:pStyle w:val="GesAbsatz"/>
      </w:pPr>
      <w:r>
        <w:t xml:space="preserve">Hinweise: </w:t>
      </w:r>
    </w:p>
    <w:p>
      <w:pPr>
        <w:pStyle w:val="GesAbsatz"/>
        <w:ind w:left="426" w:hanging="426"/>
      </w:pPr>
      <w:r>
        <w:t>1.</w:t>
      </w:r>
      <w:r>
        <w:tab/>
        <w:t>Die Anforderungen an den Variationskoeffizienten R</w:t>
      </w:r>
      <w:r>
        <w:rPr>
          <w:vertAlign w:val="superscript"/>
        </w:rPr>
        <w:t>2</w:t>
      </w:r>
      <w:r>
        <w:t xml:space="preserve"> gemäß Richtlinie EN 12341 wurden für den Standort Teddington nicht eingehalten.</w:t>
      </w:r>
    </w:p>
    <w:p>
      <w:pPr>
        <w:pStyle w:val="GesAbsatz"/>
        <w:ind w:left="426" w:hanging="426"/>
      </w:pPr>
      <w:r>
        <w:t>2.</w:t>
      </w:r>
      <w:r>
        <w:tab/>
        <w:t>Die Referenz-Äquivalenzfunktion liegt für den Standort Teddington nicht in den Grenzen des Akzeptanzbereichs gemäß der Richtlinie EN 12341.</w:t>
      </w:r>
    </w:p>
    <w:p>
      <w:pPr>
        <w:pStyle w:val="GesAbsatz"/>
        <w:ind w:left="426" w:hanging="426"/>
      </w:pPr>
      <w:r>
        <w:t>3.</w:t>
      </w:r>
      <w:r>
        <w:tab/>
        <w:t xml:space="preserve">Die Anforderungen gemäß des Leitfadens „Demonstration of </w:t>
      </w:r>
      <w:r>
        <w:rPr>
          <w:lang w:val="en-US"/>
        </w:rPr>
        <w:t>Equivalence</w:t>
      </w:r>
      <w:r>
        <w:t xml:space="preserve"> of Ambient Air Monitoring </w:t>
      </w:r>
      <w:r>
        <w:rPr>
          <w:lang w:val="en-US"/>
        </w:rPr>
        <w:t>Methods</w:t>
      </w:r>
      <w:r>
        <w:t>“ werden für die Messkomponenten PM</w:t>
      </w:r>
      <w:r>
        <w:rPr>
          <w:vertAlign w:val="subscript"/>
        </w:rPr>
        <w:t>10</w:t>
      </w:r>
      <w:r>
        <w:t xml:space="preserve"> und PM</w:t>
      </w:r>
      <w:r>
        <w:rPr>
          <w:vertAlign w:val="subscript"/>
        </w:rPr>
        <w:t xml:space="preserve">2,5 </w:t>
      </w:r>
      <w:r>
        <w:t>eingehalten.</w:t>
      </w:r>
    </w:p>
    <w:p>
      <w:pPr>
        <w:pStyle w:val="GesAbsatz"/>
        <w:ind w:left="426" w:hanging="426"/>
      </w:pPr>
      <w:r>
        <w:t>4.</w:t>
      </w:r>
      <w:r>
        <w:tab/>
        <w:t>Die Messeinrichtung ist mit dem gravimetrischen PM</w:t>
      </w:r>
      <w:r>
        <w:rPr>
          <w:vertAlign w:val="subscript"/>
        </w:rPr>
        <w:t>10</w:t>
      </w:r>
      <w:r>
        <w:t>-Referenzverfahren nach DIN EN 12341 regelmäßig am Standort zu kalibrieren.</w:t>
      </w:r>
    </w:p>
    <w:p>
      <w:pPr>
        <w:pStyle w:val="GesAbsatz"/>
        <w:ind w:left="426" w:hanging="426"/>
      </w:pPr>
      <w:r>
        <w:t>5.</w:t>
      </w:r>
      <w:r>
        <w:tab/>
        <w:t>Die Messeinrichtung ist mit dem gravimetrischen PM</w:t>
      </w:r>
      <w:r>
        <w:rPr>
          <w:vertAlign w:val="subscript"/>
        </w:rPr>
        <w:t>2,5</w:t>
      </w:r>
      <w:r>
        <w:t>-Referenzverfahren nach DIN EN 14907 regelmäßig am Standort zu kalibrieren.</w:t>
      </w:r>
    </w:p>
    <w:p>
      <w:pPr>
        <w:pStyle w:val="GesAbsatz"/>
        <w:ind w:left="426" w:hanging="426"/>
      </w:pPr>
      <w:r>
        <w:t>6.</w:t>
      </w:r>
      <w:r>
        <w:tab/>
        <w:t>Der Prüfbericht über die Eignungsprüfung ist im Internet unter www.qal1.de einsehbar.</w:t>
      </w:r>
    </w:p>
    <w:p>
      <w:pPr>
        <w:pStyle w:val="GesAbsatz"/>
      </w:pPr>
      <w:r>
        <w:t>Prüfbericht: TÜV Rheinland Energie und Umwelt GmbH, Köln</w:t>
      </w:r>
    </w:p>
    <w:p>
      <w:pPr>
        <w:pStyle w:val="GesAbsatz"/>
      </w:pPr>
      <w:r>
        <w:t xml:space="preserve">Bericht-Nr.: 936/21209885/A vom 11. März 2012 </w:t>
      </w:r>
    </w:p>
    <w:p>
      <w:pPr>
        <w:pStyle w:val="GesAbsatz"/>
      </w:pPr>
    </w:p>
    <w:p>
      <w:pPr>
        <w:pStyle w:val="berschrift2"/>
      </w:pPr>
      <w:bookmarkStart w:id="12" w:name="_Toc331064665"/>
      <w:r>
        <w:t>IV.</w:t>
      </w:r>
      <w:r>
        <w:br/>
        <w:t>Mitteilungen zur bundeseinheitlichen Praxis</w:t>
      </w:r>
      <w:r>
        <w:br/>
        <w:t>bei der Überwachung von Emissionen und Immissionen</w:t>
      </w:r>
      <w:bookmarkEnd w:id="12"/>
    </w:p>
    <w:p>
      <w:pPr>
        <w:pStyle w:val="GesAbsatz"/>
      </w:pPr>
    </w:p>
    <w:p>
      <w:pPr>
        <w:pStyle w:val="berschriftneutral"/>
        <w:ind w:left="426" w:hanging="426"/>
      </w:pPr>
      <w:r>
        <w:t>1</w:t>
      </w:r>
      <w:r>
        <w:tab/>
        <w:t>Mitteilung zur Bekanntmachung des Umweltbundesamtes vom 3. August 2009 (BAnz. S. 2929, Kapitel I Nummer 3.1)</w:t>
      </w:r>
    </w:p>
    <w:p>
      <w:pPr>
        <w:pStyle w:val="GesAbsatz"/>
        <w:tabs>
          <w:tab w:val="left" w:pos="851"/>
        </w:tabs>
        <w:ind w:left="426" w:hanging="426"/>
      </w:pPr>
      <w:r>
        <w:tab/>
        <w:t xml:space="preserve">Die Mehrkomponenten-Messeinrichtung ACF-NT V0309 der Firma ABB Automation GmbH, Frankfurt/Main, wird mit folgender neuer Hardware ausgeliefert: </w:t>
      </w:r>
    </w:p>
    <w:p>
      <w:pPr>
        <w:pStyle w:val="GesAbsatz"/>
        <w:tabs>
          <w:tab w:val="clear" w:pos="425"/>
          <w:tab w:val="left" w:pos="851"/>
        </w:tabs>
        <w:ind w:left="851" w:hanging="425"/>
      </w:pPr>
      <w:r>
        <w:t>–</w:t>
      </w:r>
      <w:r>
        <w:tab/>
        <w:t>Als Auswerterechner wird ein TQ-Mini-PC mit Intel-Atom Prozessor und Windows XP SP2 eingesetzt.</w:t>
      </w:r>
    </w:p>
    <w:p>
      <w:pPr>
        <w:pStyle w:val="GesAbsatz"/>
        <w:tabs>
          <w:tab w:val="clear" w:pos="425"/>
          <w:tab w:val="left" w:pos="851"/>
        </w:tabs>
        <w:ind w:left="851" w:hanging="425"/>
      </w:pPr>
      <w:r>
        <w:t>–</w:t>
      </w:r>
      <w:r>
        <w:tab/>
        <w:t>Bei Systemen mit FID wird eine Durchflussbegrenzung für Wasserstoff eingesetzt.</w:t>
      </w:r>
    </w:p>
    <w:p>
      <w:pPr>
        <w:pStyle w:val="GesAbsatz"/>
        <w:tabs>
          <w:tab w:val="clear" w:pos="425"/>
          <w:tab w:val="left" w:pos="851"/>
        </w:tabs>
        <w:ind w:left="851" w:hanging="425"/>
      </w:pPr>
      <w:r>
        <w:t>–</w:t>
      </w:r>
      <w:r>
        <w:tab/>
        <w:t>Für die Spannungsversorgung der Messgasventile wird ein Netzteil von ABB eingesetzt.</w:t>
      </w:r>
    </w:p>
    <w:p>
      <w:pPr>
        <w:pStyle w:val="GesAbsatz"/>
        <w:tabs>
          <w:tab w:val="left" w:pos="851"/>
        </w:tabs>
        <w:ind w:left="426" w:hanging="426"/>
        <w:rPr>
          <w:rFonts w:cs="Arial"/>
        </w:rPr>
      </w:pPr>
      <w:r>
        <w:tab/>
        <w:t>Stellungnahme der TÜV Rheinland Energie und Umwelt GmbH vom 23. März 2012</w:t>
      </w:r>
    </w:p>
    <w:p>
      <w:pPr>
        <w:pStyle w:val="berschriftneutral"/>
        <w:ind w:left="426" w:hanging="426"/>
      </w:pPr>
      <w:r>
        <w:t>2</w:t>
      </w:r>
      <w:r>
        <w:tab/>
        <w:t>Mitteilung zur Bekanntmachung des Umweltbundesamtes vom 12. Juli 2010 (BAnz. S. 2597, Kapitel II Nummer 1.1 7. Hinweis)</w:t>
      </w:r>
    </w:p>
    <w:p>
      <w:pPr>
        <w:pStyle w:val="GesAbsatz"/>
        <w:ind w:left="426" w:hanging="426"/>
      </w:pPr>
      <w:r>
        <w:tab/>
        <w:t>Für die Messeinrichtung APDA-371 mit PM</w:t>
      </w:r>
      <w:r>
        <w:rPr>
          <w:vertAlign w:val="subscript"/>
        </w:rPr>
        <w:t>2,5</w:t>
      </w:r>
      <w:r>
        <w:t>-Vorabscheider der Firma Horiba Europe GmbH für die Mess­komponente Schwebstaub PM</w:t>
      </w:r>
      <w:r>
        <w:rPr>
          <w:vertAlign w:val="subscript"/>
        </w:rPr>
        <w:t>2,5</w:t>
      </w:r>
      <w:r>
        <w:t xml:space="preserve"> werden die Anforderungen an die Dichtheit des Probenahmesystems nach einer Neubewertung eingehalten. </w:t>
      </w:r>
    </w:p>
    <w:p>
      <w:pPr>
        <w:pStyle w:val="GesAbsatz"/>
        <w:ind w:left="426" w:hanging="426"/>
      </w:pPr>
      <w:r>
        <w:tab/>
        <w:t xml:space="preserve">Die Messeinrichtung erfüllt ebenfalls die Anforderungen des Leitfadens „Demonstration of </w:t>
      </w:r>
      <w:r>
        <w:rPr>
          <w:lang w:val="en-US"/>
        </w:rPr>
        <w:t>Equivalence</w:t>
      </w:r>
      <w:r>
        <w:t xml:space="preserve"> of Ambient Air Monitoring </w:t>
      </w:r>
      <w:r>
        <w:rPr>
          <w:lang w:val="en-US"/>
        </w:rPr>
        <w:t>Methods</w:t>
      </w:r>
      <w:r>
        <w:t xml:space="preserve">“ in der Version vom Januar 2010. </w:t>
      </w:r>
    </w:p>
    <w:p>
      <w:pPr>
        <w:pStyle w:val="GesAbsatz"/>
        <w:ind w:left="426" w:hanging="426"/>
      </w:pPr>
      <w:r>
        <w:tab/>
        <w:t>Die Messeinrichtung kann optional mit der Pumpe BX-125 betrieben werden.</w:t>
      </w:r>
    </w:p>
    <w:p>
      <w:pPr>
        <w:pStyle w:val="GesAbsatz"/>
        <w:ind w:left="426" w:hanging="426"/>
      </w:pPr>
      <w:r>
        <w:tab/>
        <w:t xml:space="preserve">Die Messeinrichtung erhält eine neu designte Rückplatte um die erweiterten Schnittstellen u. a. des optionalen Reportprozessors BX-965 unterzubringen. </w:t>
      </w:r>
    </w:p>
    <w:p>
      <w:pPr>
        <w:pStyle w:val="GesAbsatz"/>
      </w:pPr>
      <w:r>
        <w:tab/>
        <w:t>Die aktuelle Softwareversion der Messeinrichtung lautet:</w:t>
      </w:r>
    </w:p>
    <w:p>
      <w:pPr>
        <w:pStyle w:val="GesAbsatz"/>
      </w:pPr>
      <w:r>
        <w:tab/>
        <w:t>3236-07 5.0.15</w:t>
      </w:r>
    </w:p>
    <w:p>
      <w:pPr>
        <w:pStyle w:val="GesAbsatz"/>
        <w:rPr>
          <w:rFonts w:cs="Arial"/>
        </w:rPr>
      </w:pPr>
      <w:r>
        <w:lastRenderedPageBreak/>
        <w:tab/>
        <w:t>Stellungnahme der TÜV Rheinland Energie und Umwelt GmbH vom 22. März 2012</w:t>
      </w:r>
    </w:p>
    <w:p>
      <w:pPr>
        <w:pStyle w:val="berschriftneutral"/>
        <w:ind w:left="426" w:hanging="426"/>
      </w:pPr>
      <w:r>
        <w:t>3</w:t>
      </w:r>
      <w:r>
        <w:tab/>
        <w:t>Mitteilung zu Bekanntmachungen des Umweltbundesamtes vom 12. April 2007 (BAnz. S. 4139, Kapitel III Nummer 1.2) und vom 12. Juli 2010 (BAnz. S. 2597, Kapitel III 8. Mitteilung)</w:t>
      </w:r>
    </w:p>
    <w:p>
      <w:pPr>
        <w:pStyle w:val="GesAbsatz"/>
        <w:ind w:left="426" w:hanging="426"/>
      </w:pPr>
      <w:r>
        <w:tab/>
        <w:t>Die Messeinrichtung APDA-371 mit PM</w:t>
      </w:r>
      <w:r>
        <w:rPr>
          <w:vertAlign w:val="subscript"/>
        </w:rPr>
        <w:t>10</w:t>
      </w:r>
      <w:r>
        <w:t>-Vorabscheider der Firma Horiba Europe GmbH für die Messkomponente Schwebstaub PM</w:t>
      </w:r>
      <w:r>
        <w:rPr>
          <w:vertAlign w:val="subscript"/>
        </w:rPr>
        <w:t>10</w:t>
      </w:r>
      <w:r>
        <w:t xml:space="preserve"> kann optional mit der Pumpe BX-125 betrieben werden. </w:t>
      </w:r>
    </w:p>
    <w:p>
      <w:pPr>
        <w:pStyle w:val="GesAbsatz"/>
        <w:ind w:left="426" w:hanging="426"/>
      </w:pPr>
      <w:r>
        <w:tab/>
        <w:t xml:space="preserve">Die Messeinrichtung erhält eine neu designte Rückplatte um die erweiterten Schnittstellen u. a. des optionalen Reportprozessors BX-965 unterzubringen. </w:t>
      </w:r>
    </w:p>
    <w:p>
      <w:pPr>
        <w:pStyle w:val="GesAbsatz"/>
        <w:ind w:left="426" w:hanging="426"/>
      </w:pPr>
      <w:r>
        <w:tab/>
        <w:t>Die aktuelle Softwareversion der Messeinrichtung lautet:</w:t>
      </w:r>
    </w:p>
    <w:p>
      <w:pPr>
        <w:pStyle w:val="GesAbsatz"/>
        <w:ind w:left="426" w:hanging="426"/>
      </w:pPr>
      <w:r>
        <w:tab/>
        <w:t>3236-07 5.0.15</w:t>
      </w:r>
    </w:p>
    <w:p>
      <w:pPr>
        <w:pStyle w:val="GesAbsatz"/>
        <w:ind w:left="426" w:hanging="426"/>
        <w:rPr>
          <w:rFonts w:cs="Arial"/>
        </w:rPr>
      </w:pPr>
      <w:r>
        <w:tab/>
        <w:t>Stellungnahme der TÜV Rheinland Energie und Umwelt GmbH vom 22. März 2012</w:t>
      </w:r>
    </w:p>
    <w:p>
      <w:pPr>
        <w:pStyle w:val="berschriftneutral"/>
        <w:ind w:left="426" w:hanging="426"/>
      </w:pPr>
      <w:r>
        <w:t>4</w:t>
      </w:r>
      <w:r>
        <w:tab/>
        <w:t>Mitteilung zur Bekanntmachung des Umweltbundesamtes vom 23. Februar 2012 (BAnz. S. 920, Kapitel I Nummer 4.5)</w:t>
      </w:r>
    </w:p>
    <w:p>
      <w:pPr>
        <w:pStyle w:val="GesAbsatz"/>
        <w:ind w:left="426" w:hanging="426"/>
      </w:pPr>
      <w:r>
        <w:tab/>
        <w:t xml:space="preserve">Die Mehrkomponenten-Messeinrichtung ENDA-5000 mit Analysenmodul CMA-5800 der Fa. Horiba GmbH kann sowohl mit der bereits bekannt gegebenen Gasentnahmesonde Typ SP2000 der Firma M&amp;C als auch mit den beiden Sondentypen SP2200-H/C/l/BB bzw. SP2200-H/I/BB-F des gleichen Herstellers vertrieben werden. </w:t>
      </w:r>
    </w:p>
    <w:p>
      <w:pPr>
        <w:pStyle w:val="GesAbsatz"/>
        <w:ind w:left="426" w:hanging="426"/>
        <w:rPr>
          <w:rFonts w:cs="Arial"/>
        </w:rPr>
      </w:pPr>
      <w:r>
        <w:tab/>
        <w:t>Stellungnahme der TÜV Rheinland Energie und Umwelt GmbH vom 20. März 2012</w:t>
      </w:r>
    </w:p>
    <w:p>
      <w:pPr>
        <w:pStyle w:val="berschriftneutral"/>
        <w:ind w:left="426" w:hanging="426"/>
      </w:pPr>
      <w:r>
        <w:t>5</w:t>
      </w:r>
      <w:r>
        <w:tab/>
        <w:t>Mitteilung zu Bekanntmachungen des Umweltbundesamtes vom 12. Juli 2010 (BAnz. S. 2597, Kapitel II Nummer 1.1) und vom 15. Juli 2011 (BAnz. S. 2725, Kapitel III 11. Mitteilung)</w:t>
      </w:r>
    </w:p>
    <w:p>
      <w:pPr>
        <w:pStyle w:val="GesAbsatz"/>
        <w:ind w:left="426" w:hanging="426"/>
      </w:pPr>
      <w:r>
        <w:tab/>
        <w:t>Die Messeinrichtung BAM-1020 mit PM</w:t>
      </w:r>
      <w:r>
        <w:rPr>
          <w:vertAlign w:val="subscript"/>
        </w:rPr>
        <w:t>2,5</w:t>
      </w:r>
      <w:r>
        <w:t>-Vorabscheider der Firma Met One Instruments, Inc. für die Mess­komponente Schwebstaub PM</w:t>
      </w:r>
      <w:r>
        <w:rPr>
          <w:vertAlign w:val="subscript"/>
        </w:rPr>
        <w:t>2,5</w:t>
      </w:r>
      <w:r>
        <w:t xml:space="preserve"> erhält eine neu designte Rückplatte um die erweiterten Schnittstellen u. a. des optionalen Reportprozessors BX-965 unterzubringen. </w:t>
      </w:r>
    </w:p>
    <w:p>
      <w:pPr>
        <w:pStyle w:val="GesAbsatz"/>
        <w:ind w:left="426" w:hanging="426"/>
      </w:pPr>
      <w:r>
        <w:tab/>
        <w:t>Die aktuelle Softwareversion der Messeinrichtung lautet:</w:t>
      </w:r>
    </w:p>
    <w:p>
      <w:pPr>
        <w:pStyle w:val="GesAbsatz"/>
        <w:ind w:left="426" w:hanging="426"/>
      </w:pPr>
      <w:r>
        <w:tab/>
        <w:t>3236-07 5.0.15</w:t>
      </w:r>
    </w:p>
    <w:p>
      <w:pPr>
        <w:pStyle w:val="GesAbsatz"/>
        <w:ind w:left="426" w:hanging="426"/>
      </w:pPr>
      <w:r>
        <w:tab/>
        <w:t>Die aktuelle Softwareversion der Messeinrichtung mit Touch Screen Display (Option BX-970) lautet:</w:t>
      </w:r>
    </w:p>
    <w:p>
      <w:pPr>
        <w:pStyle w:val="GesAbsatz"/>
        <w:ind w:left="426" w:hanging="426"/>
      </w:pPr>
      <w:r>
        <w:tab/>
        <w:t>3236-77 V5.1.2</w:t>
      </w:r>
    </w:p>
    <w:p>
      <w:pPr>
        <w:pStyle w:val="GesAbsatz"/>
        <w:ind w:left="426" w:hanging="426"/>
      </w:pPr>
      <w:r>
        <w:tab/>
        <w:t>Stellungnahme der TÜV Rheinland Energie und Umwelt GmbH vom 21. März 2012</w:t>
      </w:r>
    </w:p>
    <w:p>
      <w:pPr>
        <w:pStyle w:val="berschriftneutral"/>
        <w:ind w:left="426" w:hanging="426"/>
      </w:pPr>
      <w:r>
        <w:t>6</w:t>
      </w:r>
      <w:r>
        <w:tab/>
        <w:t>Mitteilung zu Bekanntmachungen des Umweltbundesamtes vom 12. April 2007 (BAnz. S. 4139, Kapitel III Nummer 1.2) und vom 15. Juli 2011 (BAnz. S. 2725, Kapitel III 12. Mitteilung)</w:t>
      </w:r>
    </w:p>
    <w:p>
      <w:pPr>
        <w:pStyle w:val="GesAbsatz"/>
        <w:ind w:left="426" w:hanging="426"/>
      </w:pPr>
      <w:r>
        <w:tab/>
        <w:t>Die Messeinrichtung BAM-1020 mit PM</w:t>
      </w:r>
      <w:r>
        <w:rPr>
          <w:vertAlign w:val="subscript"/>
        </w:rPr>
        <w:t>10</w:t>
      </w:r>
      <w:r>
        <w:t>-Vorabscheider der Firma Met One Instruments, Inc. für die Messkomponente Schwebstaub PM</w:t>
      </w:r>
      <w:r>
        <w:rPr>
          <w:vertAlign w:val="subscript"/>
        </w:rPr>
        <w:t>10</w:t>
      </w:r>
      <w:r>
        <w:t xml:space="preserve"> erhält eine neu designte Rückplatte um die erweiterten Schnittstellen des optionalen Reportprozessors BX-965 unterzubringen. </w:t>
      </w:r>
    </w:p>
    <w:p>
      <w:pPr>
        <w:pStyle w:val="GesAbsatz"/>
        <w:ind w:left="426" w:hanging="426"/>
      </w:pPr>
      <w:r>
        <w:tab/>
        <w:t>Die aktuelle Softwareversion der Messeinrichtung lautet:</w:t>
      </w:r>
    </w:p>
    <w:p>
      <w:pPr>
        <w:pStyle w:val="GesAbsatz"/>
        <w:ind w:left="426" w:hanging="426"/>
      </w:pPr>
      <w:r>
        <w:tab/>
        <w:t>3236-07 5.0.15</w:t>
      </w:r>
    </w:p>
    <w:p>
      <w:pPr>
        <w:pStyle w:val="GesAbsatz"/>
        <w:ind w:left="426" w:hanging="426"/>
      </w:pPr>
      <w:r>
        <w:tab/>
        <w:t>Die aktuelle Softwareversion der Messeinrichtung mit Touch Screen Display (Option BX-970) lautet:</w:t>
      </w:r>
    </w:p>
    <w:p>
      <w:pPr>
        <w:pStyle w:val="GesAbsatz"/>
        <w:ind w:left="426" w:hanging="426"/>
      </w:pPr>
      <w:r>
        <w:tab/>
        <w:t>3236-77 V5.1.2</w:t>
      </w:r>
    </w:p>
    <w:p>
      <w:pPr>
        <w:pStyle w:val="GesAbsatz"/>
        <w:ind w:left="426" w:hanging="426"/>
      </w:pPr>
      <w:r>
        <w:tab/>
        <w:t>Stellungnahme der TÜV Rheinland Energie und Umwelt GmbH vom 21. März 2012</w:t>
      </w:r>
    </w:p>
    <w:p>
      <w:pPr>
        <w:pStyle w:val="berschriftneutral"/>
        <w:ind w:left="426" w:hanging="426"/>
      </w:pPr>
      <w:r>
        <w:t>7</w:t>
      </w:r>
      <w:r>
        <w:tab/>
        <w:t>Mitteilung zur Bekanntmachung des Umweltbundesamtes vom 2. März 2012 (BAnz. S. 920, Kapitel I Nummer 4.6)</w:t>
      </w:r>
    </w:p>
    <w:p>
      <w:pPr>
        <w:pStyle w:val="GesAbsatz"/>
        <w:ind w:left="426" w:hanging="426"/>
      </w:pPr>
      <w:r>
        <w:tab/>
        <w:t>Die aktuelle Softwareversion für die Messeinrichtung LaserGas II für HCl und H</w:t>
      </w:r>
      <w:r>
        <w:rPr>
          <w:vertAlign w:val="subscript"/>
        </w:rPr>
        <w:t>2</w:t>
      </w:r>
      <w:r>
        <w:t xml:space="preserve">O der Fa. NEO Monitors AS lautet: </w:t>
      </w:r>
    </w:p>
    <w:p>
      <w:pPr>
        <w:pStyle w:val="GesAbsatz"/>
      </w:pPr>
      <w:r>
        <w:tab/>
        <w:t>6.1f1</w:t>
      </w:r>
    </w:p>
    <w:p>
      <w:pPr>
        <w:pStyle w:val="GesAbsatz"/>
        <w:rPr>
          <w:rFonts w:cs="Arial"/>
        </w:rPr>
      </w:pPr>
      <w:r>
        <w:tab/>
        <w:t>Stellungnahme der TÜV Rheinland Energie und Umwelt GmbH vom 20. März 2012</w:t>
      </w:r>
    </w:p>
    <w:p>
      <w:pPr>
        <w:pStyle w:val="berschriftneutral"/>
        <w:ind w:left="426" w:hanging="426"/>
      </w:pPr>
      <w:r>
        <w:t>8</w:t>
      </w:r>
      <w:r>
        <w:tab/>
        <w:t>Mitteilung zu Bekanntmachungen des Umweltbundesamtes vom 19. Februar 2009 (BAnz. S. 899, Kapitel I Nummer 2.3) und vom 25. Januar 2010 (BAnz. S. 552, Kapitel IV 14. Mitteilung)</w:t>
      </w:r>
    </w:p>
    <w:p>
      <w:pPr>
        <w:pStyle w:val="GesAbsatz"/>
        <w:ind w:left="426" w:hanging="426"/>
      </w:pPr>
      <w:r>
        <w:tab/>
        <w:t>Die aktuelle Softwareversion für die Messeinrichtung LaserGas II für NH</w:t>
      </w:r>
      <w:r>
        <w:rPr>
          <w:vertAlign w:val="subscript"/>
        </w:rPr>
        <w:t>3</w:t>
      </w:r>
      <w:r>
        <w:t xml:space="preserve"> und H</w:t>
      </w:r>
      <w:r>
        <w:rPr>
          <w:vertAlign w:val="subscript"/>
        </w:rPr>
        <w:t>2</w:t>
      </w:r>
      <w:r>
        <w:t xml:space="preserve">O der Fa. NEO Monitors AS lautet: </w:t>
      </w:r>
    </w:p>
    <w:p>
      <w:pPr>
        <w:pStyle w:val="GesAbsatz"/>
      </w:pPr>
      <w:r>
        <w:tab/>
        <w:t>6.1f1</w:t>
      </w:r>
    </w:p>
    <w:p>
      <w:pPr>
        <w:pStyle w:val="GesAbsatz"/>
        <w:rPr>
          <w:rFonts w:cs="Arial"/>
        </w:rPr>
      </w:pPr>
      <w:r>
        <w:tab/>
        <w:t>Stellungnahme der TÜV Rheinland Energie und Umwelt GmbH vom 20. März 2012</w:t>
      </w:r>
    </w:p>
    <w:p>
      <w:pPr>
        <w:pStyle w:val="berschriftneutral"/>
        <w:ind w:left="426" w:hanging="426"/>
      </w:pPr>
      <w:r>
        <w:lastRenderedPageBreak/>
        <w:t>9</w:t>
      </w:r>
      <w:r>
        <w:tab/>
        <w:t>Mitteilung zu Bekanntmachungen des Umweltbundesamtes vom 12. April 2007 (BAnz. S. 4139, Kapitel II Nummer 1.1) und vom 15. Juli 2011 (BAnz. S. 2725, Kapitel III 13. Mitteilung)</w:t>
      </w:r>
    </w:p>
    <w:p>
      <w:pPr>
        <w:pStyle w:val="GesAbsatz"/>
        <w:ind w:left="426" w:hanging="426"/>
      </w:pPr>
      <w:r>
        <w:tab/>
        <w:t>Die aktuellen Softwareversionen des Emissionsrechners TALAS/net mit UmweltOffice2005 und EFÜ Modul der Firma NIS Ingenieurgesellschaft mbH sind:</w:t>
      </w:r>
    </w:p>
    <w:p>
      <w:pPr>
        <w:pStyle w:val="GesAbsatz"/>
        <w:tabs>
          <w:tab w:val="left" w:pos="2694"/>
        </w:tabs>
        <w:ind w:left="426" w:hanging="426"/>
        <w:jc w:val="left"/>
      </w:pPr>
      <w:r>
        <w:tab/>
        <w:t>TALAS/net:</w:t>
      </w:r>
      <w:r>
        <w:tab/>
        <w:t xml:space="preserve">5.2 (020) </w:t>
      </w:r>
    </w:p>
    <w:p>
      <w:pPr>
        <w:pStyle w:val="GesAbsatz"/>
        <w:tabs>
          <w:tab w:val="left" w:pos="2694"/>
        </w:tabs>
        <w:ind w:left="426" w:hanging="426"/>
        <w:jc w:val="left"/>
        <w:rPr>
          <w:lang w:val="en-GB"/>
        </w:rPr>
      </w:pPr>
      <w:r>
        <w:rPr>
          <w:lang w:val="en-GB"/>
        </w:rPr>
        <w:tab/>
        <w:t>UmweltOffice2005:</w:t>
      </w:r>
      <w:r>
        <w:rPr>
          <w:lang w:val="en-GB"/>
        </w:rPr>
        <w:tab/>
        <w:t xml:space="preserve">5.5.9 </w:t>
      </w:r>
    </w:p>
    <w:p>
      <w:pPr>
        <w:pStyle w:val="GesAbsatz"/>
        <w:tabs>
          <w:tab w:val="left" w:pos="2694"/>
        </w:tabs>
        <w:ind w:left="426" w:hanging="426"/>
        <w:jc w:val="left"/>
      </w:pPr>
      <w:r>
        <w:tab/>
        <w:t>Oracle-Datenbank:</w:t>
      </w:r>
      <w:r>
        <w:tab/>
        <w:t xml:space="preserve">10.1 </w:t>
      </w:r>
    </w:p>
    <w:p>
      <w:pPr>
        <w:pStyle w:val="GesAbsatz"/>
        <w:tabs>
          <w:tab w:val="left" w:pos="2694"/>
        </w:tabs>
        <w:ind w:left="426" w:hanging="426"/>
        <w:jc w:val="left"/>
      </w:pPr>
      <w:r>
        <w:tab/>
      </w:r>
      <w:proofErr w:type="spellStart"/>
      <w:r>
        <w:t>TService</w:t>
      </w:r>
      <w:proofErr w:type="spellEnd"/>
      <w:r>
        <w:t>:</w:t>
      </w:r>
      <w:r>
        <w:tab/>
        <w:t xml:space="preserve">5.3 (003) </w:t>
      </w:r>
    </w:p>
    <w:p>
      <w:pPr>
        <w:pStyle w:val="GesAbsatz"/>
        <w:tabs>
          <w:tab w:val="left" w:pos="2694"/>
        </w:tabs>
        <w:ind w:left="426" w:hanging="426"/>
        <w:jc w:val="left"/>
      </w:pPr>
      <w:r>
        <w:tab/>
        <w:t>TAP52:</w:t>
      </w:r>
      <w:r>
        <w:tab/>
        <w:t xml:space="preserve">5.2 (021) </w:t>
      </w:r>
    </w:p>
    <w:p>
      <w:pPr>
        <w:pStyle w:val="GesAbsatz"/>
        <w:tabs>
          <w:tab w:val="left" w:pos="2694"/>
        </w:tabs>
        <w:ind w:left="426" w:hanging="426"/>
        <w:jc w:val="left"/>
      </w:pPr>
      <w:r>
        <w:tab/>
        <w:t>Stellungnahme der TÜV Rheinland Energie und Umwelt GmbH vom 16. März 2012</w:t>
      </w:r>
    </w:p>
    <w:p>
      <w:pPr>
        <w:pStyle w:val="berschriftneutral"/>
        <w:ind w:left="426" w:hanging="426"/>
      </w:pPr>
      <w:r>
        <w:t>10</w:t>
      </w:r>
      <w:r>
        <w:tab/>
        <w:t>Mitteilung zu Bekanntmachungen des Umweltbundesamtes vom 12. April 2007 (BAnz. S. 4139, Kapitel II Nummer 1.2) und vom 15. Juli 2011 (BAnz. S. 2725, Kapitel III 14. Mitteilung)</w:t>
      </w:r>
    </w:p>
    <w:p>
      <w:pPr>
        <w:pStyle w:val="GesAbsatz"/>
        <w:tabs>
          <w:tab w:val="left" w:pos="2694"/>
        </w:tabs>
        <w:ind w:left="426" w:hanging="426"/>
        <w:jc w:val="left"/>
      </w:pPr>
      <w:r>
        <w:tab/>
        <w:t xml:space="preserve">Die aktuellen Softwareversionen des Emissionsrechners TALAS/net mit DSM-05 und EFÜ Modul der Firma NIS Ingenieurgesellschaft mbH sind: TALAS/net: 5.2 (020) </w:t>
      </w:r>
    </w:p>
    <w:p>
      <w:pPr>
        <w:pStyle w:val="GesAbsatz"/>
        <w:tabs>
          <w:tab w:val="left" w:pos="2694"/>
        </w:tabs>
        <w:ind w:left="426" w:hanging="426"/>
        <w:jc w:val="left"/>
      </w:pPr>
      <w:r>
        <w:tab/>
        <w:t xml:space="preserve">DSM-05: 5.5.9 </w:t>
      </w:r>
    </w:p>
    <w:p>
      <w:pPr>
        <w:pStyle w:val="GesAbsatz"/>
        <w:tabs>
          <w:tab w:val="left" w:pos="2694"/>
        </w:tabs>
        <w:ind w:left="426" w:hanging="426"/>
        <w:jc w:val="left"/>
      </w:pPr>
      <w:r>
        <w:tab/>
        <w:t xml:space="preserve">Oracle-Datenbank: 10.1 </w:t>
      </w:r>
    </w:p>
    <w:p>
      <w:pPr>
        <w:pStyle w:val="GesAbsatz"/>
        <w:tabs>
          <w:tab w:val="left" w:pos="2694"/>
        </w:tabs>
        <w:ind w:left="426" w:hanging="426"/>
        <w:jc w:val="left"/>
      </w:pPr>
      <w:r>
        <w:tab/>
      </w:r>
      <w:proofErr w:type="spellStart"/>
      <w:r>
        <w:t>TService</w:t>
      </w:r>
      <w:proofErr w:type="spellEnd"/>
      <w:r>
        <w:t xml:space="preserve">: 5.3 (003) </w:t>
      </w:r>
    </w:p>
    <w:p>
      <w:pPr>
        <w:pStyle w:val="GesAbsatz"/>
        <w:tabs>
          <w:tab w:val="left" w:pos="2694"/>
        </w:tabs>
        <w:ind w:left="426" w:hanging="426"/>
        <w:jc w:val="left"/>
      </w:pPr>
      <w:r>
        <w:tab/>
        <w:t xml:space="preserve">TAP52: 5.2 (021) </w:t>
      </w:r>
    </w:p>
    <w:p>
      <w:pPr>
        <w:pStyle w:val="GesAbsatz"/>
        <w:tabs>
          <w:tab w:val="left" w:pos="2694"/>
        </w:tabs>
        <w:ind w:left="426" w:hanging="426"/>
        <w:jc w:val="left"/>
      </w:pPr>
      <w:r>
        <w:tab/>
        <w:t>Stellungnahme der TÜV Rheinland Energie und Umwelt GmbH vom 16. März 2012</w:t>
      </w:r>
    </w:p>
    <w:p>
      <w:pPr>
        <w:pStyle w:val="berschriftneutral"/>
        <w:ind w:left="426" w:hanging="426"/>
      </w:pPr>
      <w:r>
        <w:t>11</w:t>
      </w:r>
      <w:r>
        <w:tab/>
        <w:t>Mitteilung zu Bekanntmachungen des Umweltbundesamtes vom 21. Februar 2006 (BAnz. S. 2653, Kapitel III Nummer 1.2) und vom 15. Juli 2011 (BAnz. S. 2725, Kapitel III 15. Mitteilung)</w:t>
      </w:r>
    </w:p>
    <w:p>
      <w:pPr>
        <w:pStyle w:val="GesAbsatz"/>
        <w:tabs>
          <w:tab w:val="left" w:pos="2694"/>
        </w:tabs>
        <w:ind w:left="426" w:hanging="426"/>
        <w:jc w:val="left"/>
      </w:pPr>
      <w:r>
        <w:tab/>
        <w:t xml:space="preserve">Die aktuellen Softwareversionen des Emissionsrechners TALAS/e mit UmweltOffice2005 und EFÜ Modul der Firma NIS Ingenieurgesellschaft mbH sind: TALAS/e: 4.2 (018) </w:t>
      </w:r>
    </w:p>
    <w:p>
      <w:pPr>
        <w:pStyle w:val="GesAbsatz"/>
        <w:tabs>
          <w:tab w:val="left" w:pos="2694"/>
        </w:tabs>
        <w:ind w:left="426" w:hanging="426"/>
        <w:jc w:val="left"/>
      </w:pPr>
      <w:r>
        <w:tab/>
        <w:t xml:space="preserve">UmweltOffice2005: 5.5.9 </w:t>
      </w:r>
    </w:p>
    <w:p>
      <w:pPr>
        <w:pStyle w:val="GesAbsatz"/>
        <w:tabs>
          <w:tab w:val="left" w:pos="2694"/>
        </w:tabs>
        <w:ind w:left="426" w:hanging="426"/>
        <w:jc w:val="left"/>
      </w:pPr>
      <w:r>
        <w:tab/>
        <w:t xml:space="preserve">Oracle-Datenbank: 10.1 </w:t>
      </w:r>
    </w:p>
    <w:p>
      <w:pPr>
        <w:pStyle w:val="GesAbsatz"/>
        <w:tabs>
          <w:tab w:val="left" w:pos="2694"/>
        </w:tabs>
        <w:ind w:left="426" w:hanging="426"/>
        <w:jc w:val="left"/>
      </w:pPr>
      <w:r>
        <w:tab/>
      </w:r>
      <w:proofErr w:type="spellStart"/>
      <w:r>
        <w:t>TService</w:t>
      </w:r>
      <w:proofErr w:type="spellEnd"/>
      <w:r>
        <w:t xml:space="preserve">: 5.3 (003) </w:t>
      </w:r>
    </w:p>
    <w:p>
      <w:pPr>
        <w:pStyle w:val="GesAbsatz"/>
        <w:tabs>
          <w:tab w:val="left" w:pos="2694"/>
        </w:tabs>
        <w:ind w:left="426" w:hanging="426"/>
        <w:jc w:val="left"/>
      </w:pPr>
      <w:r>
        <w:tab/>
        <w:t xml:space="preserve">TAP42: 4.2 (017) </w:t>
      </w:r>
    </w:p>
    <w:p>
      <w:pPr>
        <w:pStyle w:val="GesAbsatz"/>
        <w:tabs>
          <w:tab w:val="left" w:pos="2694"/>
        </w:tabs>
        <w:ind w:left="426" w:hanging="426"/>
        <w:jc w:val="left"/>
      </w:pPr>
      <w:r>
        <w:tab/>
        <w:t>Stellungnahme der TÜV Rheinland Energie und Umwelt GmbH vom 16. März 2012</w:t>
      </w:r>
    </w:p>
    <w:p>
      <w:pPr>
        <w:pStyle w:val="berschriftneutral"/>
        <w:ind w:left="426" w:hanging="426"/>
      </w:pPr>
      <w:r>
        <w:t>12</w:t>
      </w:r>
      <w:r>
        <w:tab/>
        <w:t>Mitteilung zur Bekanntmachung des Umweltbundesamtes vom 23. Februar 2012 (BAnz. S. 920, Kapitel I Nummer 1.2)</w:t>
      </w:r>
    </w:p>
    <w:p>
      <w:pPr>
        <w:pStyle w:val="GesAbsatz"/>
      </w:pPr>
      <w:r>
        <w:tab/>
        <w:t>Die neue Bezeichnung der Messeinrichtung PCME STACK 181 WS für Staub der Fa. PCME Ltd. lautet:</w:t>
      </w:r>
    </w:p>
    <w:p>
      <w:pPr>
        <w:pStyle w:val="GesAbsatz"/>
      </w:pPr>
      <w:r>
        <w:tab/>
        <w:t>PCME QAL 181 WS</w:t>
      </w:r>
    </w:p>
    <w:p>
      <w:pPr>
        <w:pStyle w:val="GesAbsatz"/>
      </w:pPr>
      <w:r>
        <w:tab/>
        <w:t>Stellungnahme der TÜV Rheinland Energie und Umwelt GmbH vom 12. März 2012</w:t>
      </w:r>
    </w:p>
    <w:p>
      <w:pPr>
        <w:pStyle w:val="berschriftneutral"/>
        <w:ind w:left="426" w:hanging="426"/>
      </w:pPr>
      <w:r>
        <w:t>13</w:t>
      </w:r>
      <w:r>
        <w:tab/>
        <w:t>Mitteilung zur Bekanntmachung des Umweltbundesamtes vom 23. Februar 2012 (BAnz. S. 920, Kapitel I Nummer 4.7)</w:t>
      </w:r>
    </w:p>
    <w:p>
      <w:pPr>
        <w:pStyle w:val="GesAbsatz"/>
        <w:ind w:left="426" w:hanging="426"/>
      </w:pPr>
      <w:r>
        <w:tab/>
        <w:t>Die aktuelle Softwareversion für die Messeinrichtung SERVOTOUGH Laser Model 2930 für NH</w:t>
      </w:r>
      <w:r>
        <w:rPr>
          <w:vertAlign w:val="subscript"/>
        </w:rPr>
        <w:t>3</w:t>
      </w:r>
      <w:r>
        <w:t xml:space="preserve"> und H</w:t>
      </w:r>
      <w:r>
        <w:rPr>
          <w:vertAlign w:val="subscript"/>
        </w:rPr>
        <w:t>2</w:t>
      </w:r>
      <w:r>
        <w:t xml:space="preserve">O der Fa. Servomex Group Ltd., Crowborough, England lautet: </w:t>
      </w:r>
    </w:p>
    <w:p>
      <w:pPr>
        <w:pStyle w:val="GesAbsatz"/>
      </w:pPr>
      <w:r>
        <w:tab/>
        <w:t>6.1f1</w:t>
      </w:r>
    </w:p>
    <w:p>
      <w:pPr>
        <w:pStyle w:val="GesAbsatz"/>
      </w:pPr>
      <w:r>
        <w:tab/>
        <w:t>Stellungnahme der TÜV Rheinland Energie und Umwelt GmbH vom 23. März 2012</w:t>
      </w:r>
    </w:p>
    <w:p>
      <w:pPr>
        <w:pStyle w:val="berschriftneutral"/>
        <w:ind w:left="426" w:hanging="426"/>
      </w:pPr>
      <w:r>
        <w:t>14</w:t>
      </w:r>
      <w:r>
        <w:tab/>
        <w:t>Mitteilung zu Bekanntmachungen des Umweltbundesamtes vom 12. September 2006 (BAnz. S. 6715, Kapitel I Nummer 2.3 und 2.4) und vom 23. Februar 2012 (BAnz. S. 920, Kapitel V 11. Mitteilung)</w:t>
      </w:r>
    </w:p>
    <w:p>
      <w:pPr>
        <w:pStyle w:val="GesAbsatz"/>
        <w:ind w:left="426" w:hanging="426"/>
      </w:pPr>
      <w:r>
        <w:tab/>
        <w:t>Die Messeinrichtung GM 35 In-situ Gasanalysator, in der Version Cross-</w:t>
      </w:r>
      <w:proofErr w:type="spellStart"/>
      <w:r>
        <w:t>Duct</w:t>
      </w:r>
      <w:proofErr w:type="spellEnd"/>
      <w:r>
        <w:t xml:space="preserve"> und Messlanze GMP, für CO, CO</w:t>
      </w:r>
      <w:r>
        <w:rPr>
          <w:vertAlign w:val="subscript"/>
        </w:rPr>
        <w:t>2</w:t>
      </w:r>
      <w:r>
        <w:t xml:space="preserve"> und H</w:t>
      </w:r>
      <w:r>
        <w:rPr>
          <w:vertAlign w:val="subscript"/>
        </w:rPr>
        <w:t>2</w:t>
      </w:r>
      <w:r>
        <w:t>O der Firma SICK MAIHAK GmbH ist auch in der Gerätevariante GM 35-10 verfügbar, bei der das CO-Messmodul durch ein N</w:t>
      </w:r>
      <w:r>
        <w:rPr>
          <w:vertAlign w:val="subscript"/>
        </w:rPr>
        <w:t>2</w:t>
      </w:r>
      <w:r>
        <w:t>O-Messmodul ausgetauscht wurde. Die Eignungsbekanntgabe für die Messkomponenten CO</w:t>
      </w:r>
      <w:r>
        <w:rPr>
          <w:vertAlign w:val="subscript"/>
        </w:rPr>
        <w:t>2</w:t>
      </w:r>
      <w:r>
        <w:t xml:space="preserve"> und H</w:t>
      </w:r>
      <w:r>
        <w:rPr>
          <w:vertAlign w:val="subscript"/>
        </w:rPr>
        <w:t>2</w:t>
      </w:r>
      <w:r>
        <w:t>O bleibt davon unberührt. Die Messkomponente N</w:t>
      </w:r>
      <w:r>
        <w:rPr>
          <w:vertAlign w:val="subscript"/>
        </w:rPr>
        <w:t>2</w:t>
      </w:r>
      <w:r>
        <w:t xml:space="preserve">O ist nicht eignungsgeprüft. </w:t>
      </w:r>
    </w:p>
    <w:p>
      <w:pPr>
        <w:pStyle w:val="GesAbsatz"/>
        <w:ind w:left="426" w:hanging="426"/>
      </w:pPr>
      <w:r>
        <w:tab/>
        <w:t>Die aktuellen Softwareversionen für die Gerätevariante GM 35-10 lauten:</w:t>
      </w:r>
    </w:p>
    <w:p>
      <w:pPr>
        <w:pStyle w:val="GesAbsatz"/>
        <w:tabs>
          <w:tab w:val="left" w:pos="2835"/>
        </w:tabs>
        <w:ind w:left="426" w:hanging="426"/>
      </w:pPr>
      <w:r>
        <w:lastRenderedPageBreak/>
        <w:tab/>
        <w:t>SE-Einheit:</w:t>
      </w:r>
      <w:r>
        <w:tab/>
        <w:t xml:space="preserve">9165036 0000 </w:t>
      </w:r>
    </w:p>
    <w:p>
      <w:pPr>
        <w:pStyle w:val="GesAbsatz"/>
        <w:tabs>
          <w:tab w:val="left" w:pos="2835"/>
        </w:tabs>
        <w:ind w:left="426" w:hanging="426"/>
      </w:pPr>
      <w:r>
        <w:tab/>
        <w:t>Auswerteeinheit:</w:t>
      </w:r>
      <w:r>
        <w:tab/>
        <w:t xml:space="preserve">9165035 0000 </w:t>
      </w:r>
    </w:p>
    <w:p>
      <w:pPr>
        <w:pStyle w:val="GesAbsatz"/>
        <w:tabs>
          <w:tab w:val="left" w:pos="2835"/>
        </w:tabs>
        <w:ind w:left="426" w:hanging="426"/>
      </w:pPr>
      <w:r>
        <w:tab/>
        <w:t>Spülluft:</w:t>
      </w:r>
      <w:r>
        <w:tab/>
        <w:t xml:space="preserve">9091948 QC24 </w:t>
      </w:r>
    </w:p>
    <w:p>
      <w:pPr>
        <w:pStyle w:val="GesAbsatz"/>
        <w:ind w:left="426" w:hanging="426"/>
      </w:pPr>
      <w:r>
        <w:tab/>
        <w:t>Stellungnahme der TÜV Rheinland Energie und Umwelt GmbH vom 11. März 2012</w:t>
      </w:r>
    </w:p>
    <w:p>
      <w:pPr>
        <w:pStyle w:val="berschriftneutral"/>
        <w:ind w:left="426" w:hanging="426"/>
      </w:pPr>
      <w:r>
        <w:t>15</w:t>
      </w:r>
      <w:r>
        <w:tab/>
        <w:t>Mitteilung zur Bekanntmachung des Umweltbundesamtes vom 10. Januar 2011 (BAnz. S. 294, Kapitel I Nummer 2.1)</w:t>
      </w:r>
    </w:p>
    <w:p>
      <w:pPr>
        <w:pStyle w:val="GesAbsatz"/>
        <w:ind w:left="426" w:hanging="426"/>
      </w:pPr>
      <w:r>
        <w:tab/>
        <w:t xml:space="preserve">Die Softwareversionen der Messeinrichtung GM 700 für HF der Firma SICK MAIHAK GmbH wurden überarbeitet. Die Null- und Referenzpunktbestimmung wurde verbessert. Bei der jährlichen Funktionsprüfung ist zu überprüfen, ob der lebende Nullpunkt aktiviert ist. </w:t>
      </w:r>
    </w:p>
    <w:p>
      <w:pPr>
        <w:pStyle w:val="GesAbsatz"/>
        <w:ind w:left="426" w:hanging="426"/>
      </w:pPr>
      <w:r>
        <w:tab/>
        <w:t>Die aktuellen Softwareversionen lauten:</w:t>
      </w:r>
    </w:p>
    <w:p>
      <w:pPr>
        <w:pStyle w:val="GesAbsatz"/>
        <w:tabs>
          <w:tab w:val="left" w:pos="3544"/>
        </w:tabs>
        <w:ind w:left="426" w:hanging="426"/>
      </w:pPr>
      <w:r>
        <w:tab/>
        <w:t>Messkopf GMM 700-2 (HF):</w:t>
      </w:r>
      <w:r>
        <w:tab/>
        <w:t>9105060 VA24</w:t>
      </w:r>
    </w:p>
    <w:p>
      <w:pPr>
        <w:pStyle w:val="GesAbsatz"/>
        <w:tabs>
          <w:tab w:val="left" w:pos="3544"/>
        </w:tabs>
        <w:ind w:left="426" w:hanging="426"/>
      </w:pPr>
      <w:r>
        <w:tab/>
        <w:t>Auswerteeinheit (AWE):</w:t>
      </w:r>
      <w:r>
        <w:tab/>
        <w:t xml:space="preserve">9100821 UK52 </w:t>
      </w:r>
    </w:p>
    <w:p>
      <w:pPr>
        <w:pStyle w:val="GesAbsatz"/>
        <w:ind w:left="426" w:hanging="426"/>
      </w:pPr>
      <w:r>
        <w:tab/>
        <w:t>Stellungnahme der TÜV Rheinland Energie und Umwelt GmbH vom 14. März 2012</w:t>
      </w:r>
    </w:p>
    <w:p>
      <w:pPr>
        <w:pStyle w:val="berschriftneutral"/>
        <w:ind w:left="426" w:hanging="426"/>
      </w:pPr>
      <w:r>
        <w:t>16</w:t>
      </w:r>
      <w:r>
        <w:tab/>
        <w:t>Mitteilung zu Bekanntmachungen des Umweltbundesamtes vom 3. August 2009 (BAnz. S. 2929, Kapitel I Nummer 2.1) und vom 10. Januar 2011 (BAnz. S. 294, Kapitel IV 9. und 30. Mitteilung)</w:t>
      </w:r>
    </w:p>
    <w:p>
      <w:pPr>
        <w:pStyle w:val="GesAbsatz"/>
        <w:ind w:left="426" w:hanging="426"/>
      </w:pPr>
      <w:r>
        <w:tab/>
        <w:t xml:space="preserve">Die Messeinrichtung DUSTHUNTER C200 für Staub der Firma SICK Engineering GmbH sowie die Herstellung und das Qualitätsmanagementsystem dieser Messeinrichtung erfüllen die Anforderungen der DIN EN 15267. </w:t>
      </w:r>
    </w:p>
    <w:p>
      <w:pPr>
        <w:pStyle w:val="GesAbsatz"/>
        <w:ind w:left="426" w:hanging="426"/>
      </w:pPr>
      <w:r>
        <w:tab/>
        <w:t>Aufgrund der Überführung in die DIN EN 15267 wird folgender Hinweis ergänzt: Die Anforderungen bei der Eignungsprüfung nach DIN EN 15267-3 an den Korrelationskoeffizienten R</w:t>
      </w:r>
      <w:r>
        <w:rPr>
          <w:vertAlign w:val="superscript"/>
        </w:rPr>
        <w:t>2</w:t>
      </w:r>
      <w:r>
        <w:t xml:space="preserve"> der Kalibrierfunktion wurde nicht erfüllt. </w:t>
      </w:r>
    </w:p>
    <w:p>
      <w:pPr>
        <w:pStyle w:val="GesAbsatz"/>
        <w:ind w:left="426" w:hanging="426"/>
      </w:pPr>
      <w:r>
        <w:tab/>
        <w:t>Stellungnahme der TÜV Rheinland Energie und Umwelt GmbH vom 20. März 2012</w:t>
      </w:r>
    </w:p>
    <w:p>
      <w:pPr>
        <w:pStyle w:val="berschriftneutral"/>
        <w:ind w:left="426" w:hanging="426"/>
      </w:pPr>
      <w:r>
        <w:t>17</w:t>
      </w:r>
      <w:r>
        <w:tab/>
        <w:t>Mitteilung zu Bekanntmachungen des Umweltbundesamtes vom 19. Februar 2009 (BAnz. S. 899, Kapitel I Nummer 1.5) und vom 10. Januar 2011 (BAnz. S. 294, Kapitel IV 13. und 30. Mitteilung)</w:t>
      </w:r>
    </w:p>
    <w:p>
      <w:pPr>
        <w:pStyle w:val="GesAbsatz"/>
        <w:ind w:left="426" w:hanging="426"/>
      </w:pPr>
      <w:r>
        <w:tab/>
        <w:t xml:space="preserve">Die Messeinrichtung DUSTHUNTER T100 für Staub der Firma SICK Engineering GmbH sowie die Herstellung und das Qualitätsmanagementsystem dieser Messeinrichtung erfüllen die Anforderungen der DIN EN 15267. </w:t>
      </w:r>
    </w:p>
    <w:p>
      <w:pPr>
        <w:pStyle w:val="GesAbsatz"/>
        <w:ind w:left="426" w:hanging="426"/>
      </w:pPr>
      <w:r>
        <w:tab/>
        <w:t xml:space="preserve">Aufgrund der Überführung in die DIN EN 15267 wird folgender Hinweis ergänzt: Die Anforderungen bei der Eignungsprüfung nach DIN EN 15267-3 an den Korrelationskoeffizienten R2 der Kalibrierfunktion wurde nicht erfüllt. </w:t>
      </w:r>
    </w:p>
    <w:p>
      <w:pPr>
        <w:pStyle w:val="GesAbsatz"/>
        <w:ind w:left="426" w:hanging="426"/>
      </w:pPr>
      <w:r>
        <w:tab/>
        <w:t>Stellungnahme der TÜV Rheinland Energie und Umwelt GmbH vom 20. März 2012</w:t>
      </w:r>
    </w:p>
    <w:p>
      <w:pPr>
        <w:pStyle w:val="berschriftneutral"/>
        <w:ind w:left="426" w:hanging="426"/>
      </w:pPr>
      <w:r>
        <w:t>18</w:t>
      </w:r>
      <w:r>
        <w:tab/>
        <w:t>Mitteilung zu Bekanntmachungen des Umweltbundesamtes vom 19. Februar 2009 (BAnz. S. 899, Kapitel I Nummer 1.2) und vom 10. Januar 2011 (BAnz. S. 294, Kapitel IV 12. und 30. Mitteilung)</w:t>
      </w:r>
    </w:p>
    <w:p>
      <w:pPr>
        <w:pStyle w:val="GesAbsatz"/>
        <w:ind w:left="426" w:hanging="426"/>
      </w:pPr>
      <w:r>
        <w:tab/>
        <w:t xml:space="preserve">Die Messeinrichtung DUSTHUNTER SP100 für Staub der Firma SICK Engineering GmbH sowie die Herstellung und das Qualitätsmanagementsystem dieser Messeinrichtung erfüllen die Anforderungen der DIN EN 15267. </w:t>
      </w:r>
    </w:p>
    <w:p>
      <w:pPr>
        <w:pStyle w:val="GesAbsatz"/>
        <w:ind w:left="426" w:hanging="426"/>
      </w:pPr>
      <w:r>
        <w:tab/>
        <w:t>Stellungnahme der TÜV Rheinland Energie und Umwelt GmbH vom 20. März 2012</w:t>
      </w:r>
    </w:p>
    <w:p>
      <w:pPr>
        <w:pStyle w:val="berschriftneutral"/>
        <w:ind w:left="426" w:hanging="426"/>
      </w:pPr>
      <w:r>
        <w:t>19</w:t>
      </w:r>
      <w:r>
        <w:tab/>
        <w:t>Mitteilung zu Bekanntmachungen des Umweltbundesamtes vom 19. Februar 2009 (BAnz. S. 899, Kapitel I Nummer 1.3) und vom 10. Januar 2011 (BAnz. S. 294, Kapitel IV 10. und 30. Mitteilung)</w:t>
      </w:r>
    </w:p>
    <w:p>
      <w:pPr>
        <w:pStyle w:val="GesAbsatz"/>
        <w:ind w:left="426" w:hanging="426"/>
      </w:pPr>
      <w:r>
        <w:tab/>
        <w:t xml:space="preserve">Die Messeinrichtung DUSTHUNTER SB100 für Staub der Firma SICK Engineering GmbH sowie die Herstellung und das Qualitätsmanagementsystem dieser Messeinrichtung erfüllen die Anforderungen der DIN EN 15267. </w:t>
      </w:r>
    </w:p>
    <w:p>
      <w:pPr>
        <w:pStyle w:val="GesAbsatz"/>
        <w:ind w:left="426" w:hanging="426"/>
      </w:pPr>
      <w:r>
        <w:tab/>
        <w:t>Stellungnahme der TÜV Rheinland Energie und Umwelt GmbH vom 20. März 2012</w:t>
      </w:r>
    </w:p>
    <w:p>
      <w:pPr>
        <w:pStyle w:val="berschriftneutral"/>
        <w:ind w:left="426" w:hanging="426"/>
      </w:pPr>
      <w:r>
        <w:t>20</w:t>
      </w:r>
      <w:r>
        <w:tab/>
        <w:t>Mitteilung zu Bekanntmachungen des Umweltbundesamtes vom 3. August 2009 (BAnz. S. 2929, Kapitel I Nummer 2.2) und vom 10. Januar 2011 (BAnz. S. 294, Kapitel IV 11. und 30. Mitteilung)</w:t>
      </w:r>
    </w:p>
    <w:p>
      <w:pPr>
        <w:pStyle w:val="GesAbsatz"/>
        <w:ind w:left="426" w:hanging="426"/>
      </w:pPr>
      <w:r>
        <w:tab/>
        <w:t xml:space="preserve">Die Messeinrichtung DUSTHUNTER SF100 für Staub der Firma SICK Engineering GmbH sowie die Herstellung und das Qualitätsmanagementsystem dieser Messeinrichtung erfüllen die Anforderungen der DIN EN 15267. </w:t>
      </w:r>
    </w:p>
    <w:p>
      <w:pPr>
        <w:pStyle w:val="GesAbsatz"/>
        <w:ind w:left="426" w:hanging="426"/>
      </w:pPr>
      <w:r>
        <w:tab/>
        <w:t xml:space="preserve">Aufgrund der Überführung in die DIN EN 15267 wird folgender Hinweis ergänzt: Die Anforderung bei der Eignungsprüfung nach DIN EN 15267-3 an den Korrelationskoeffizienten R2 der Kalibrierfunktion wurde nicht erfüllt. </w:t>
      </w:r>
    </w:p>
    <w:p>
      <w:pPr>
        <w:pStyle w:val="GesAbsatz"/>
        <w:ind w:left="426" w:hanging="426"/>
      </w:pPr>
      <w:r>
        <w:lastRenderedPageBreak/>
        <w:tab/>
        <w:t>Stellungnahme der TÜV Rheinland Energie und Umwelt GmbH vom 20. März 2012</w:t>
      </w:r>
    </w:p>
    <w:p>
      <w:pPr>
        <w:pStyle w:val="berschriftneutral"/>
        <w:ind w:left="426" w:hanging="426"/>
      </w:pPr>
      <w:r>
        <w:t>21</w:t>
      </w:r>
      <w:r>
        <w:tab/>
        <w:t>Mitteilung zu Bekanntmachungen des Umweltbundesamtes vom 3. August 2009 (BAnz. S. 2929, Kapitel I Nummer 2.3) und vom 10. Januar 2011 (BAnz. S. 294, Kapitel IV 14. und 30. Mitteilung)</w:t>
      </w:r>
    </w:p>
    <w:p>
      <w:pPr>
        <w:pStyle w:val="GesAbsatz"/>
        <w:ind w:left="426" w:hanging="426"/>
      </w:pPr>
      <w:r>
        <w:tab/>
        <w:t xml:space="preserve">Die Messeinrichtung DUSTHUNTER T200 für Staub der Firma SICK Engineering GmbH sowie die Herstellung und das Qualitätsmanagementsystem dieser Messeinrichtung erfüllen die Anforderungen der DIN EN 15267. </w:t>
      </w:r>
    </w:p>
    <w:p>
      <w:pPr>
        <w:pStyle w:val="GesAbsatz"/>
        <w:ind w:left="426" w:hanging="426"/>
      </w:pPr>
      <w:r>
        <w:tab/>
        <w:t>Aufgrund der Überführung in die DIN EN 15267 wird folgender Hinweis ergänzt: Die Anforderung bei der Eignungsprüfung nach DIN EN 15267-3 an den Korrelationskoeffizienten R</w:t>
      </w:r>
      <w:r>
        <w:rPr>
          <w:vertAlign w:val="superscript"/>
        </w:rPr>
        <w:t>2</w:t>
      </w:r>
      <w:r>
        <w:t xml:space="preserve"> der Kalibrierfunktion wurde nicht erfüllt. </w:t>
      </w:r>
    </w:p>
    <w:p>
      <w:pPr>
        <w:pStyle w:val="GesAbsatz"/>
        <w:ind w:left="426" w:hanging="426"/>
      </w:pPr>
      <w:r>
        <w:tab/>
        <w:t>Stellungnahme der TÜV Rheinland Energie und Umwelt GmbH vom 20. März 2012</w:t>
      </w:r>
    </w:p>
    <w:p>
      <w:pPr>
        <w:pStyle w:val="berschriftneutral"/>
        <w:ind w:left="426" w:hanging="426"/>
      </w:pPr>
      <w:r>
        <w:t>22</w:t>
      </w:r>
      <w:r>
        <w:tab/>
        <w:t>Mitteilung zu Bekanntmachungen des Umweltbundesamtes vom 3. August 2009 (BAnz. S. 2929, Kapitel I Nummer 3.2 und 3.3) und vom 15. Juli 2011 (BAnz. S. 2725, Kapitel III 16. Mitteilung)</w:t>
      </w:r>
    </w:p>
    <w:p>
      <w:pPr>
        <w:pStyle w:val="GesAbsatz"/>
        <w:ind w:left="426" w:hanging="426"/>
      </w:pPr>
      <w:r>
        <w:tab/>
        <w:t xml:space="preserve">Die Messeinrichtung GM 32 In-Situ Gasanalysator, in der Ausführung Messlanze GMP und Cross </w:t>
      </w:r>
      <w:proofErr w:type="spellStart"/>
      <w:r>
        <w:t>Duct</w:t>
      </w:r>
      <w:proofErr w:type="spellEnd"/>
      <w:r>
        <w:t>, für NO und SO</w:t>
      </w:r>
      <w:r>
        <w:rPr>
          <w:vertAlign w:val="subscript"/>
        </w:rPr>
        <w:t>2</w:t>
      </w:r>
      <w:r>
        <w:t xml:space="preserve"> der Firma SICK MAIHAK GmbH sowie die Herstellung und das Qualitätsmanagementsystem dieser Messeinrichtung erfüllen die Anforderungen der DIN EN 15267. </w:t>
      </w:r>
    </w:p>
    <w:p>
      <w:pPr>
        <w:pStyle w:val="GesAbsatz"/>
        <w:ind w:left="426" w:hanging="426"/>
      </w:pPr>
      <w:r>
        <w:tab/>
        <w:t>Stellungnahme der TÜV Rheinland Energie und Umwelt GmbH vom 20. März 2012</w:t>
      </w:r>
    </w:p>
    <w:p>
      <w:pPr>
        <w:pStyle w:val="berschriftneutral"/>
        <w:ind w:left="426" w:hanging="426"/>
      </w:pPr>
      <w:r>
        <w:t>23</w:t>
      </w:r>
      <w:r>
        <w:tab/>
        <w:t>Mitteilung zu Bekanntmachungen des Umweltbundesamtes vom 21. Februar 2006 (BAnz. S. 2653, Kapitel IV Nummer 4.1) und vom 12. Juli 2010 (BAnz. S. 2597, Kapitel III 4. Mitteilung)</w:t>
      </w:r>
    </w:p>
    <w:p>
      <w:pPr>
        <w:pStyle w:val="GesAbsatz"/>
        <w:ind w:left="426" w:hanging="426"/>
      </w:pPr>
      <w:r>
        <w:tab/>
        <w:t>Bei der Immissionsmesseinrichtung Modell 42i für NO</w:t>
      </w:r>
      <w:r>
        <w:rPr>
          <w:vertAlign w:val="subscript"/>
        </w:rPr>
        <w:t>x</w:t>
      </w:r>
      <w:r>
        <w:t xml:space="preserve"> der Firma Thermo Fisher </w:t>
      </w:r>
      <w:r>
        <w:rPr>
          <w:lang w:val="en-US"/>
        </w:rPr>
        <w:t>Scientific</w:t>
      </w:r>
      <w:r>
        <w:t xml:space="preserve"> wurde die Betriebsspannung des Kühlers für den Photomultiplier von 15 V auf 13 V geändert, um die Lebenszeit des Bauteils zu erhöhen. </w:t>
      </w:r>
    </w:p>
    <w:p>
      <w:pPr>
        <w:pStyle w:val="GesAbsatz"/>
        <w:ind w:left="426" w:hanging="426"/>
      </w:pPr>
      <w:r>
        <w:tab/>
        <w:t>Stellungnahme der TÜV Rheinland Energie und Umwelt GmbH vom 20. März 2012</w:t>
      </w:r>
    </w:p>
    <w:p>
      <w:pPr>
        <w:pStyle w:val="berschriftneutral"/>
        <w:ind w:left="426" w:hanging="426"/>
      </w:pPr>
      <w:r>
        <w:t>24</w:t>
      </w:r>
      <w:r>
        <w:tab/>
        <w:t>Mitteilung zu Bekanntmachungen des Umweltbundesamtes vom 12. September 2006 (BAnz. S. 6715, Kapitel IV Nummer 2.2) und vom 15. Juli 2011 (BAnz. S. 2725, Kapitel III 19. Mitteilung)</w:t>
      </w:r>
    </w:p>
    <w:p>
      <w:pPr>
        <w:pStyle w:val="GesAbsatz"/>
        <w:ind w:left="426" w:hanging="426"/>
      </w:pPr>
      <w:r>
        <w:tab/>
        <w:t>Die aktuelle Softwareversion für die Immissionsmesseinrichtung Modell 43i für SO</w:t>
      </w:r>
      <w:r>
        <w:rPr>
          <w:vertAlign w:val="subscript"/>
        </w:rPr>
        <w:t>2</w:t>
      </w:r>
      <w:r>
        <w:t xml:space="preserve"> der Firma Thermo Fisher </w:t>
      </w:r>
      <w:r>
        <w:rPr>
          <w:lang w:val="en-US"/>
        </w:rPr>
        <w:t>Scientific</w:t>
      </w:r>
      <w:r>
        <w:t xml:space="preserve"> lautet 01.06.08. </w:t>
      </w:r>
    </w:p>
    <w:p>
      <w:pPr>
        <w:pStyle w:val="GesAbsatz"/>
        <w:ind w:left="426" w:hanging="426"/>
      </w:pPr>
      <w:r>
        <w:tab/>
        <w:t>Die Immissionsmesseinrichtung Modell 43i für SO</w:t>
      </w:r>
      <w:r>
        <w:rPr>
          <w:vertAlign w:val="subscript"/>
        </w:rPr>
        <w:t>2</w:t>
      </w:r>
      <w:r>
        <w:t xml:space="preserve"> der Firma Thermo Fisher </w:t>
      </w:r>
      <w:r>
        <w:rPr>
          <w:lang w:val="en-US"/>
        </w:rPr>
        <w:t>Scientific</w:t>
      </w:r>
      <w:r>
        <w:t xml:space="preserve"> wird zukünftig mit der Vakuumpumpe der Firma KNF vom Typ PU2737-N86 ausgerüstet. </w:t>
      </w:r>
    </w:p>
    <w:p>
      <w:pPr>
        <w:pStyle w:val="GesAbsatz"/>
        <w:ind w:left="426" w:hanging="426"/>
      </w:pPr>
      <w:r>
        <w:tab/>
        <w:t>Stellungnahme der TÜV Rheinland Energie und Umwelt GmbH vom 20. März 2012</w:t>
      </w:r>
    </w:p>
    <w:p>
      <w:pPr>
        <w:pStyle w:val="berschriftneutral"/>
        <w:ind w:left="426" w:hanging="426"/>
      </w:pPr>
      <w:r>
        <w:t>25</w:t>
      </w:r>
      <w:r>
        <w:tab/>
        <w:t>Mitteilung zu Bekanntmachungen des Umweltbundesamtes vom 21. Februar 2006 (BAnz. S. 2653, Kapitel IV Nummer 2.2) und vom 15. Juli 2011 (BAnz. S. 2725, Kapitel III 20. Mitteilung)</w:t>
      </w:r>
    </w:p>
    <w:p>
      <w:pPr>
        <w:pStyle w:val="GesAbsatz"/>
        <w:ind w:left="426" w:hanging="426"/>
      </w:pPr>
      <w:r>
        <w:tab/>
        <w:t xml:space="preserve">Die Immissionsmesseinrichtung Modell 48i für CO der Firma Thermo Fisher </w:t>
      </w:r>
      <w:r>
        <w:rPr>
          <w:lang w:val="en-US"/>
        </w:rPr>
        <w:t>Scientific</w:t>
      </w:r>
      <w:r>
        <w:t xml:space="preserve"> wird zukünftig mit der Vakuumpumpe der Firma KNF vom Typ PU2737-N86 ausgerüstet. </w:t>
      </w:r>
    </w:p>
    <w:p>
      <w:pPr>
        <w:pStyle w:val="GesAbsatz"/>
        <w:ind w:left="426" w:hanging="426"/>
      </w:pPr>
      <w:r>
        <w:tab/>
        <w:t>Stellungnahme der TÜV Rheinland Energie und Umwelt GmbH vom 20. März 2012</w:t>
      </w:r>
    </w:p>
    <w:p>
      <w:pPr>
        <w:pStyle w:val="berschriftneutral"/>
        <w:ind w:left="426" w:hanging="426"/>
      </w:pPr>
      <w:r>
        <w:t>26</w:t>
      </w:r>
      <w:r>
        <w:tab/>
        <w:t>Mitteilung zu Bekanntmachungen des Umweltbundesamtes vom 21. Februar 2006 (BAnz. S. 2653, Kapitel IV Nummer 3.2) und vom 23. Februar 2012 (BAnz. S. 920, Kapitel V 1. Mitteilung)</w:t>
      </w:r>
    </w:p>
    <w:p>
      <w:pPr>
        <w:pStyle w:val="GesAbsatz"/>
        <w:ind w:left="426" w:hanging="426"/>
      </w:pPr>
      <w:r>
        <w:tab/>
        <w:t>Die Immissionsmesseinrichtung Modell 49i für O</w:t>
      </w:r>
      <w:r>
        <w:rPr>
          <w:vertAlign w:val="subscript"/>
        </w:rPr>
        <w:t>3</w:t>
      </w:r>
      <w:r>
        <w:t xml:space="preserve"> der Firma Thermo Fisher </w:t>
      </w:r>
      <w:r>
        <w:rPr>
          <w:lang w:val="en-US"/>
        </w:rPr>
        <w:t>Scientific</w:t>
      </w:r>
      <w:r>
        <w:t xml:space="preserve"> wird zukünftig mit der Vakuumpumpe der Firma KNF vom Typ PU2737-N86 ausgerüstet. </w:t>
      </w:r>
    </w:p>
    <w:p>
      <w:pPr>
        <w:pStyle w:val="GesAbsatz"/>
        <w:ind w:left="426" w:hanging="426"/>
      </w:pPr>
      <w:r>
        <w:tab/>
        <w:t>Stellungnahme der TÜV Rheinland Energie und Umwelt GmbH vom 20. März 2012</w:t>
      </w:r>
    </w:p>
    <w:p>
      <w:pPr>
        <w:pStyle w:val="berschriftneutral"/>
        <w:ind w:left="426" w:hanging="426"/>
      </w:pPr>
      <w:r>
        <w:t>27</w:t>
      </w:r>
      <w:r>
        <w:tab/>
        <w:t>Mitteilung zur Bekanntmachung des Umweltbundesamtes vom 23. Februar 2012 (BAnz. S. 920, Kapitel I Nummer 4.4)</w:t>
      </w:r>
    </w:p>
    <w:p>
      <w:pPr>
        <w:pStyle w:val="GesAbsatz"/>
        <w:ind w:left="426" w:hanging="426"/>
      </w:pPr>
      <w:r>
        <w:tab/>
        <w:t xml:space="preserve">Die aktuelle Software-Version für das Analysatormodul der Messeinrichtungen der EasyLine EL3000 Serie der Firma ABB Automation GmbH, Frankfurt am Main, lautet 3.3.2. </w:t>
      </w:r>
    </w:p>
    <w:p>
      <w:pPr>
        <w:pStyle w:val="GesAbsatz"/>
        <w:ind w:left="426" w:hanging="426"/>
      </w:pPr>
      <w:r>
        <w:tab/>
        <w:t>Stellungnahme der TÜV Süd Industrie Service GmbH vom 16. März 2012</w:t>
      </w:r>
    </w:p>
    <w:p>
      <w:pPr>
        <w:pStyle w:val="berschriftneutral"/>
        <w:ind w:left="426" w:hanging="426"/>
      </w:pPr>
      <w:r>
        <w:t>28</w:t>
      </w:r>
      <w:r>
        <w:tab/>
        <w:t>Mitteilung zur Bekanntmachung des Umweltbundesamtes vom 23. Februar 2012 (BAnz. S. 920, Kapitel I Nummer 4.2)</w:t>
      </w:r>
    </w:p>
    <w:p>
      <w:pPr>
        <w:pStyle w:val="GesAbsatz"/>
        <w:ind w:left="426" w:hanging="426"/>
      </w:pPr>
      <w:r>
        <w:tab/>
        <w:t xml:space="preserve">Die aktuelle Software-Version für das Analysatormodul der Messeinrichtungen der AO2000 Serie der Firma ABB Automation GmbH, Frankfurt am Main, lautet 3.3.2. </w:t>
      </w:r>
    </w:p>
    <w:p>
      <w:pPr>
        <w:pStyle w:val="GesAbsatz"/>
        <w:ind w:left="426" w:hanging="426"/>
      </w:pPr>
      <w:r>
        <w:tab/>
        <w:t xml:space="preserve">Die aktuelle Software-Version für die Zentraleinheit der Messeinrichtungen der AO2000 Serie der Firma ABB Automation GmbH, Frankfurt am Main, lautet 5.1.2. </w:t>
      </w:r>
    </w:p>
    <w:p>
      <w:pPr>
        <w:pStyle w:val="GesAbsatz"/>
        <w:ind w:left="426" w:hanging="426"/>
      </w:pPr>
      <w:r>
        <w:tab/>
        <w:t>Stellungnahme der TÜV Süd Industrie Service GmbH vom 16. März 2012</w:t>
      </w:r>
    </w:p>
    <w:p>
      <w:pPr>
        <w:pStyle w:val="berschriftneutral"/>
        <w:ind w:left="426" w:hanging="426"/>
      </w:pPr>
      <w:r>
        <w:lastRenderedPageBreak/>
        <w:t>29</w:t>
      </w:r>
      <w:r>
        <w:tab/>
        <w:t>Mitteilung zu Bekanntmachungen des Umweltbundesamtes vom 3. August 2009 (BAnz. S. 2929, Kapitel I Nummer 3.6) und vom 23. Februar 2012 (BAnz. S. 920, Kapitel V 20. Mitteilung)</w:t>
      </w:r>
    </w:p>
    <w:p>
      <w:pPr>
        <w:pStyle w:val="GesAbsatz"/>
        <w:ind w:left="426" w:hanging="426"/>
      </w:pPr>
      <w:r>
        <w:tab/>
        <w:t>Die aktuelle Software-Version für die Messeinrichtung LDS 6 7MB6121/6122 für NH</w:t>
      </w:r>
      <w:r>
        <w:rPr>
          <w:vertAlign w:val="subscript"/>
        </w:rPr>
        <w:t>3</w:t>
      </w:r>
      <w:r>
        <w:t>/H</w:t>
      </w:r>
      <w:r>
        <w:rPr>
          <w:vertAlign w:val="subscript"/>
        </w:rPr>
        <w:t>2</w:t>
      </w:r>
      <w:r>
        <w:t xml:space="preserve">O der Fa. Siemens AG lautet R25. </w:t>
      </w:r>
    </w:p>
    <w:p>
      <w:pPr>
        <w:pStyle w:val="GesAbsatz"/>
      </w:pPr>
      <w:r>
        <w:tab/>
        <w:t>Stellungnahme der TÜV Süd Industrie Service GmbH vom 16. März 2012</w:t>
      </w:r>
    </w:p>
    <w:p>
      <w:pPr>
        <w:pStyle w:val="berschriftneutral"/>
        <w:ind w:left="426" w:hanging="426"/>
      </w:pPr>
      <w:r>
        <w:t>30</w:t>
      </w:r>
      <w:r>
        <w:tab/>
        <w:t>Mitteilung zu Bekanntmachungen des Umweltbundesamtes vom 3. August 2009 (BAnz. S. 2929, Kapitel I Nummer 3.5) und vom 23. Februar 2012 (BAnz. S. 920, Kapitel V 19. Mitteilung)</w:t>
      </w:r>
    </w:p>
    <w:p>
      <w:pPr>
        <w:pStyle w:val="GesAbsatz"/>
        <w:ind w:left="426" w:hanging="426"/>
      </w:pPr>
      <w:r>
        <w:tab/>
        <w:t>Die aktuelle Software-Version für die Messeinrichtung LDS 6 7MB6121/6122 für HCl/H</w:t>
      </w:r>
      <w:r>
        <w:rPr>
          <w:vertAlign w:val="subscript"/>
        </w:rPr>
        <w:t>2</w:t>
      </w:r>
      <w:r>
        <w:t xml:space="preserve">O der Fa. Siemens AG lautet R25. </w:t>
      </w:r>
    </w:p>
    <w:p>
      <w:pPr>
        <w:pStyle w:val="GesAbsatz"/>
        <w:ind w:left="426" w:hanging="426"/>
      </w:pPr>
      <w:r>
        <w:tab/>
        <w:t>Stellungnahme der TÜV Süd Industrie Service GmbH vom 16. März 2012</w:t>
      </w:r>
    </w:p>
    <w:p>
      <w:pPr>
        <w:pStyle w:val="berschriftneutral"/>
        <w:ind w:left="426" w:hanging="426"/>
      </w:pPr>
      <w:r>
        <w:t>31</w:t>
      </w:r>
      <w:r>
        <w:tab/>
        <w:t>Mitteilung zur Bekanntmachung des Umweltbundesamtes vom 23. Februar 2012 (BAnz. S. 920, Kapitel IV Nummer 1.1)</w:t>
      </w:r>
    </w:p>
    <w:p>
      <w:pPr>
        <w:pStyle w:val="GesAbsatz"/>
        <w:ind w:left="426" w:hanging="426"/>
      </w:pPr>
      <w:r>
        <w:tab/>
        <w:t xml:space="preserve">Die aktuelle Softwareversion der Immissionsmesseinrichtung TEOM 1405-F Ambient </w:t>
      </w:r>
      <w:r>
        <w:rPr>
          <w:lang w:val="en-US"/>
        </w:rPr>
        <w:t>Particulate</w:t>
      </w:r>
      <w:r>
        <w:t xml:space="preserve"> Monitor mit PM</w:t>
      </w:r>
      <w:r>
        <w:rPr>
          <w:vertAlign w:val="subscript"/>
        </w:rPr>
        <w:t>10</w:t>
      </w:r>
      <w:r>
        <w:t>-Vorabscheider für Schwebstaub PM</w:t>
      </w:r>
      <w:r>
        <w:rPr>
          <w:vertAlign w:val="subscript"/>
        </w:rPr>
        <w:t>10</w:t>
      </w:r>
      <w:r>
        <w:t xml:space="preserve"> der Fa. Thermo Fisher </w:t>
      </w:r>
      <w:r>
        <w:rPr>
          <w:lang w:val="en-US"/>
        </w:rPr>
        <w:t>Scientific</w:t>
      </w:r>
      <w:r>
        <w:t xml:space="preserve"> lautet: 1.56 </w:t>
      </w:r>
    </w:p>
    <w:p>
      <w:pPr>
        <w:pStyle w:val="GesAbsatz"/>
        <w:ind w:left="426" w:hanging="426"/>
      </w:pPr>
      <w:r>
        <w:tab/>
        <w:t>Stellungnahme der TÜV Rheinland Energie und Umwelt GmbH vom 2. Mai 2012</w:t>
      </w:r>
    </w:p>
    <w:p>
      <w:pPr>
        <w:pStyle w:val="GesAbsatz"/>
        <w:ind w:left="426" w:hanging="426"/>
      </w:pPr>
    </w:p>
    <w:p>
      <w:pPr>
        <w:pStyle w:val="GesAbsatz"/>
        <w:ind w:left="426" w:hanging="426"/>
      </w:pPr>
    </w:p>
    <w:p>
      <w:pPr>
        <w:pStyle w:val="GesAbsatz"/>
        <w:ind w:left="426" w:hanging="426"/>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06.06.2012 (BAnz. v. 20.07.2012 B11)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61.4-63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C28C69-7C69-4403-A0C5-444AFC99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paragraph" w:customStyle="1" w:styleId="berschriftneutral">
    <w:name w:val="Überschrift neutral"/>
    <w:basedOn w:val="GesAbsatz"/>
    <w:rPr>
      <w:b/>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b1">
    <w:name w:val="nb1"/>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13</Pages>
  <Words>4187</Words>
  <Characters>27252</Characters>
  <Application>Microsoft Office Word</Application>
  <DocSecurity>0</DocSecurity>
  <Lines>227</Lines>
  <Paragraphs>62</Paragraphs>
  <ScaleCrop>false</ScaleCrop>
  <HeadingPairs>
    <vt:vector size="2" baseType="variant">
      <vt:variant>
        <vt:lpstr>Titel</vt:lpstr>
      </vt:variant>
      <vt:variant>
        <vt:i4>1</vt:i4>
      </vt:variant>
    </vt:vector>
  </HeadingPairs>
  <TitlesOfParts>
    <vt:vector size="1" baseType="lpstr">
      <vt:lpstr>Bekanntmachung</vt:lpstr>
    </vt:vector>
  </TitlesOfParts>
  <Company>LANUV NRW</Company>
  <LinksUpToDate>false</LinksUpToDate>
  <CharactersWithSpaces>31377</CharactersWithSpaces>
  <SharedDoc>false</SharedDoc>
  <HLinks>
    <vt:vector size="72" baseType="variant">
      <vt:variant>
        <vt:i4>1441842</vt:i4>
      </vt:variant>
      <vt:variant>
        <vt:i4>68</vt:i4>
      </vt:variant>
      <vt:variant>
        <vt:i4>0</vt:i4>
      </vt:variant>
      <vt:variant>
        <vt:i4>5</vt:i4>
      </vt:variant>
      <vt:variant>
        <vt:lpwstr/>
      </vt:variant>
      <vt:variant>
        <vt:lpwstr>_Toc331064665</vt:lpwstr>
      </vt:variant>
      <vt:variant>
        <vt:i4>1441842</vt:i4>
      </vt:variant>
      <vt:variant>
        <vt:i4>62</vt:i4>
      </vt:variant>
      <vt:variant>
        <vt:i4>0</vt:i4>
      </vt:variant>
      <vt:variant>
        <vt:i4>5</vt:i4>
      </vt:variant>
      <vt:variant>
        <vt:lpwstr/>
      </vt:variant>
      <vt:variant>
        <vt:lpwstr>_Toc331064664</vt:lpwstr>
      </vt:variant>
      <vt:variant>
        <vt:i4>1441842</vt:i4>
      </vt:variant>
      <vt:variant>
        <vt:i4>56</vt:i4>
      </vt:variant>
      <vt:variant>
        <vt:i4>0</vt:i4>
      </vt:variant>
      <vt:variant>
        <vt:i4>5</vt:i4>
      </vt:variant>
      <vt:variant>
        <vt:lpwstr/>
      </vt:variant>
      <vt:variant>
        <vt:lpwstr>_Toc331064663</vt:lpwstr>
      </vt:variant>
      <vt:variant>
        <vt:i4>1441842</vt:i4>
      </vt:variant>
      <vt:variant>
        <vt:i4>50</vt:i4>
      </vt:variant>
      <vt:variant>
        <vt:i4>0</vt:i4>
      </vt:variant>
      <vt:variant>
        <vt:i4>5</vt:i4>
      </vt:variant>
      <vt:variant>
        <vt:lpwstr/>
      </vt:variant>
      <vt:variant>
        <vt:lpwstr>_Toc331064662</vt:lpwstr>
      </vt:variant>
      <vt:variant>
        <vt:i4>1441842</vt:i4>
      </vt:variant>
      <vt:variant>
        <vt:i4>44</vt:i4>
      </vt:variant>
      <vt:variant>
        <vt:i4>0</vt:i4>
      </vt:variant>
      <vt:variant>
        <vt:i4>5</vt:i4>
      </vt:variant>
      <vt:variant>
        <vt:lpwstr/>
      </vt:variant>
      <vt:variant>
        <vt:lpwstr>_Toc331064661</vt:lpwstr>
      </vt:variant>
      <vt:variant>
        <vt:i4>1441842</vt:i4>
      </vt:variant>
      <vt:variant>
        <vt:i4>38</vt:i4>
      </vt:variant>
      <vt:variant>
        <vt:i4>0</vt:i4>
      </vt:variant>
      <vt:variant>
        <vt:i4>5</vt:i4>
      </vt:variant>
      <vt:variant>
        <vt:lpwstr/>
      </vt:variant>
      <vt:variant>
        <vt:lpwstr>_Toc331064660</vt:lpwstr>
      </vt:variant>
      <vt:variant>
        <vt:i4>1376306</vt:i4>
      </vt:variant>
      <vt:variant>
        <vt:i4>32</vt:i4>
      </vt:variant>
      <vt:variant>
        <vt:i4>0</vt:i4>
      </vt:variant>
      <vt:variant>
        <vt:i4>5</vt:i4>
      </vt:variant>
      <vt:variant>
        <vt:lpwstr/>
      </vt:variant>
      <vt:variant>
        <vt:lpwstr>_Toc331064659</vt:lpwstr>
      </vt:variant>
      <vt:variant>
        <vt:i4>1376306</vt:i4>
      </vt:variant>
      <vt:variant>
        <vt:i4>26</vt:i4>
      </vt:variant>
      <vt:variant>
        <vt:i4>0</vt:i4>
      </vt:variant>
      <vt:variant>
        <vt:i4>5</vt:i4>
      </vt:variant>
      <vt:variant>
        <vt:lpwstr/>
      </vt:variant>
      <vt:variant>
        <vt:lpwstr>_Toc331064658</vt:lpwstr>
      </vt:variant>
      <vt:variant>
        <vt:i4>1376306</vt:i4>
      </vt:variant>
      <vt:variant>
        <vt:i4>20</vt:i4>
      </vt:variant>
      <vt:variant>
        <vt:i4>0</vt:i4>
      </vt:variant>
      <vt:variant>
        <vt:i4>5</vt:i4>
      </vt:variant>
      <vt:variant>
        <vt:lpwstr/>
      </vt:variant>
      <vt:variant>
        <vt:lpwstr>_Toc331064657</vt:lpwstr>
      </vt:variant>
      <vt:variant>
        <vt:i4>1376306</vt:i4>
      </vt:variant>
      <vt:variant>
        <vt:i4>14</vt:i4>
      </vt:variant>
      <vt:variant>
        <vt:i4>0</vt:i4>
      </vt:variant>
      <vt:variant>
        <vt:i4>5</vt:i4>
      </vt:variant>
      <vt:variant>
        <vt:lpwstr/>
      </vt:variant>
      <vt:variant>
        <vt:lpwstr>_Toc331064656</vt:lpwstr>
      </vt:variant>
      <vt:variant>
        <vt:i4>1376306</vt:i4>
      </vt:variant>
      <vt:variant>
        <vt:i4>8</vt:i4>
      </vt:variant>
      <vt:variant>
        <vt:i4>0</vt:i4>
      </vt:variant>
      <vt:variant>
        <vt:i4>5</vt:i4>
      </vt:variant>
      <vt:variant>
        <vt:lpwstr/>
      </vt:variant>
      <vt:variant>
        <vt:lpwstr>_Toc331064655</vt:lpwstr>
      </vt:variant>
      <vt:variant>
        <vt:i4>1376306</vt:i4>
      </vt:variant>
      <vt:variant>
        <vt:i4>2</vt:i4>
      </vt:variant>
      <vt:variant>
        <vt:i4>0</vt:i4>
      </vt:variant>
      <vt:variant>
        <vt:i4>5</vt:i4>
      </vt:variant>
      <vt:variant>
        <vt:lpwstr/>
      </vt:variant>
      <vt:variant>
        <vt:lpwstr>_Toc331064654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creator>adler</dc:creator>
  <cp:lastModifiedBy>Rüter, Dr., Ingo</cp:lastModifiedBy>
  <cp:revision>3</cp:revision>
  <cp:lastPrinted>2004-12-14T11:08:00Z</cp:lastPrinted>
  <dcterms:created xsi:type="dcterms:W3CDTF">2014-08-08T07:43:00Z</dcterms:created>
  <dcterms:modified xsi:type="dcterms:W3CDTF">2024-07-25T07:04:00Z</dcterms:modified>
</cp:coreProperties>
</file>