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301857899"/>
      <w:r>
        <w:t>Bekanntm</w:t>
      </w:r>
      <w:bookmarkStart w:id="1" w:name="_GoBack"/>
      <w:bookmarkEnd w:id="1"/>
      <w:r>
        <w:t xml:space="preserve">achung über die bundeseinheitliche Praxis bei der </w:t>
      </w:r>
      <w:r>
        <w:br/>
        <w:t>Überwachung der Emissionen und der Immi</w:t>
      </w:r>
      <w:r>
        <w:t>s</w:t>
      </w:r>
      <w:r>
        <w:t>sionen</w:t>
      </w:r>
      <w:bookmarkEnd w:id="0"/>
    </w:p>
    <w:p>
      <w:pPr>
        <w:jc w:val="center"/>
      </w:pPr>
      <w:r>
        <w:t>vom 15. Juli 2011</w:t>
      </w:r>
    </w:p>
    <w:p>
      <w:pPr>
        <w:pStyle w:val="GesAbsatz"/>
      </w:pPr>
    </w:p>
    <w:p>
      <w:pPr>
        <w:pStyle w:val="GesAbsatz"/>
        <w:jc w:val="center"/>
        <w:rPr>
          <w:b/>
          <w:sz w:val="22"/>
          <w:szCs w:val="22"/>
        </w:rPr>
      </w:pPr>
      <w:r>
        <w:rPr>
          <w:b/>
          <w:sz w:val="22"/>
          <w:szCs w:val="22"/>
        </w:rPr>
        <w:t>Inhalt:</w:t>
      </w:r>
    </w:p>
    <w:p>
      <w:pPr>
        <w:pStyle w:val="Verzeichnis1"/>
        <w:tabs>
          <w:tab w:val="right" w:leader="dot" w:pos="9628"/>
        </w:tabs>
        <w:rPr>
          <w:b w:val="0"/>
          <w:bCs w:val="0"/>
          <w:caps w:val="0"/>
          <w:noProof/>
          <w:sz w:val="24"/>
          <w:szCs w:val="24"/>
        </w:rPr>
      </w:pPr>
      <w:r>
        <w:rPr>
          <w:bCs w:val="0"/>
          <w:caps w:val="0"/>
        </w:rPr>
        <w:fldChar w:fldCharType="begin"/>
      </w:r>
      <w:r>
        <w:rPr>
          <w:bCs w:val="0"/>
          <w:caps w:val="0"/>
        </w:rPr>
        <w:instrText xml:space="preserve"> TOC \o "1-3" \h \z \u </w:instrText>
      </w:r>
      <w:r>
        <w:rPr>
          <w:bCs w:val="0"/>
          <w:caps w:val="0"/>
        </w:rPr>
        <w:fldChar w:fldCharType="separate"/>
      </w:r>
      <w:hyperlink w:anchor="_Toc301857899" w:history="1">
        <w:r>
          <w:rPr>
            <w:rStyle w:val="Hyperlink"/>
            <w:noProof/>
          </w:rPr>
          <w:t>Bekanntmachung über die bundeseinheitliche Praxis bei der  Überwachung der Emissionen und der Immissionen</w:t>
        </w:r>
        <w:r>
          <w:rPr>
            <w:noProof/>
            <w:webHidden/>
          </w:rPr>
          <w:tab/>
        </w:r>
        <w:r>
          <w:rPr>
            <w:noProof/>
            <w:webHidden/>
          </w:rPr>
          <w:fldChar w:fldCharType="begin"/>
        </w:r>
        <w:r>
          <w:rPr>
            <w:noProof/>
            <w:webHidden/>
          </w:rPr>
          <w:instrText xml:space="preserve"> PAGEREF _Toc301857899 \h </w:instrText>
        </w:r>
        <w:r>
          <w:rPr>
            <w:noProof/>
          </w:rPr>
        </w:r>
        <w:r>
          <w:rPr>
            <w:noProof/>
            <w:webHidden/>
          </w:rPr>
          <w:fldChar w:fldCharType="separate"/>
        </w:r>
        <w:r>
          <w:rPr>
            <w:noProof/>
            <w:webHidden/>
          </w:rPr>
          <w:t>1</w:t>
        </w:r>
        <w:r>
          <w:rPr>
            <w:noProof/>
            <w:webHidden/>
          </w:rPr>
          <w:fldChar w:fldCharType="end"/>
        </w:r>
      </w:hyperlink>
    </w:p>
    <w:p>
      <w:pPr>
        <w:pStyle w:val="Verzeichnis2"/>
        <w:tabs>
          <w:tab w:val="right" w:leader="dot" w:pos="9628"/>
        </w:tabs>
        <w:rPr>
          <w:smallCaps w:val="0"/>
          <w:noProof/>
          <w:sz w:val="24"/>
          <w:szCs w:val="24"/>
        </w:rPr>
      </w:pPr>
      <w:hyperlink w:anchor="_Toc301857900" w:history="1">
        <w:r>
          <w:rPr>
            <w:rStyle w:val="Hyperlink"/>
            <w:noProof/>
          </w:rPr>
          <w:t>I. Eignung von Messeinrichtungen zur kontinuierlichen Überwachung von Emissionen</w:t>
        </w:r>
        <w:r>
          <w:rPr>
            <w:noProof/>
            <w:webHidden/>
          </w:rPr>
          <w:tab/>
        </w:r>
        <w:r>
          <w:rPr>
            <w:noProof/>
            <w:webHidden/>
          </w:rPr>
          <w:fldChar w:fldCharType="begin"/>
        </w:r>
        <w:r>
          <w:rPr>
            <w:noProof/>
            <w:webHidden/>
          </w:rPr>
          <w:instrText xml:space="preserve"> PAGEREF _Toc301857900 \h </w:instrText>
        </w:r>
        <w:r>
          <w:rPr>
            <w:noProof/>
          </w:rPr>
        </w:r>
        <w:r>
          <w:rPr>
            <w:noProof/>
            <w:webHidden/>
          </w:rPr>
          <w:fldChar w:fldCharType="separate"/>
        </w:r>
        <w:r>
          <w:rPr>
            <w:noProof/>
            <w:webHidden/>
          </w:rPr>
          <w:t>1</w:t>
        </w:r>
        <w:r>
          <w:rPr>
            <w:noProof/>
            <w:webHidden/>
          </w:rPr>
          <w:fldChar w:fldCharType="end"/>
        </w:r>
      </w:hyperlink>
    </w:p>
    <w:p>
      <w:pPr>
        <w:pStyle w:val="Verzeichnis3"/>
        <w:tabs>
          <w:tab w:val="left" w:pos="800"/>
          <w:tab w:val="right" w:leader="dot" w:pos="9628"/>
        </w:tabs>
        <w:rPr>
          <w:i w:val="0"/>
          <w:iCs w:val="0"/>
          <w:noProof/>
          <w:sz w:val="24"/>
          <w:szCs w:val="24"/>
        </w:rPr>
      </w:pPr>
      <w:hyperlink w:anchor="_Toc301857901" w:history="1">
        <w:r>
          <w:rPr>
            <w:rStyle w:val="Hyperlink"/>
            <w:noProof/>
          </w:rPr>
          <w:t>1</w:t>
        </w:r>
        <w:r>
          <w:rPr>
            <w:i w:val="0"/>
            <w:iCs w:val="0"/>
            <w:noProof/>
            <w:sz w:val="24"/>
            <w:szCs w:val="24"/>
          </w:rPr>
          <w:tab/>
        </w:r>
        <w:r>
          <w:rPr>
            <w:rStyle w:val="Hyperlink"/>
            <w:noProof/>
          </w:rPr>
          <w:t>Staubförmige Emissionen (Staubkonzentration)</w:t>
        </w:r>
        <w:r>
          <w:rPr>
            <w:noProof/>
            <w:webHidden/>
          </w:rPr>
          <w:tab/>
        </w:r>
        <w:r>
          <w:rPr>
            <w:noProof/>
            <w:webHidden/>
          </w:rPr>
          <w:fldChar w:fldCharType="begin"/>
        </w:r>
        <w:r>
          <w:rPr>
            <w:noProof/>
            <w:webHidden/>
          </w:rPr>
          <w:instrText xml:space="preserve"> PAGEREF _Toc301857901 \h </w:instrText>
        </w:r>
        <w:r>
          <w:rPr>
            <w:noProof/>
          </w:rPr>
        </w:r>
        <w:r>
          <w:rPr>
            <w:noProof/>
            <w:webHidden/>
          </w:rPr>
          <w:fldChar w:fldCharType="separate"/>
        </w:r>
        <w:r>
          <w:rPr>
            <w:noProof/>
            <w:webHidden/>
          </w:rPr>
          <w:t>1</w:t>
        </w:r>
        <w:r>
          <w:rPr>
            <w:noProof/>
            <w:webHidden/>
          </w:rPr>
          <w:fldChar w:fldCharType="end"/>
        </w:r>
      </w:hyperlink>
    </w:p>
    <w:p>
      <w:pPr>
        <w:pStyle w:val="Verzeichnis3"/>
        <w:tabs>
          <w:tab w:val="left" w:pos="800"/>
          <w:tab w:val="right" w:leader="dot" w:pos="9628"/>
        </w:tabs>
        <w:rPr>
          <w:i w:val="0"/>
          <w:iCs w:val="0"/>
          <w:noProof/>
          <w:sz w:val="24"/>
          <w:szCs w:val="24"/>
        </w:rPr>
      </w:pPr>
      <w:hyperlink w:anchor="_Toc301857902" w:history="1">
        <w:r>
          <w:rPr>
            <w:rStyle w:val="Hyperlink"/>
            <w:noProof/>
          </w:rPr>
          <w:t>2</w:t>
        </w:r>
        <w:r>
          <w:rPr>
            <w:i w:val="0"/>
            <w:iCs w:val="0"/>
            <w:noProof/>
            <w:sz w:val="24"/>
            <w:szCs w:val="24"/>
          </w:rPr>
          <w:tab/>
        </w:r>
        <w:r>
          <w:rPr>
            <w:rStyle w:val="Hyperlink"/>
            <w:noProof/>
          </w:rPr>
          <w:t>Gesamt-Kohlenstoff</w:t>
        </w:r>
        <w:r>
          <w:rPr>
            <w:noProof/>
            <w:webHidden/>
          </w:rPr>
          <w:tab/>
        </w:r>
        <w:r>
          <w:rPr>
            <w:noProof/>
            <w:webHidden/>
          </w:rPr>
          <w:fldChar w:fldCharType="begin"/>
        </w:r>
        <w:r>
          <w:rPr>
            <w:noProof/>
            <w:webHidden/>
          </w:rPr>
          <w:instrText xml:space="preserve"> PAGEREF _Toc301857902 \h </w:instrText>
        </w:r>
        <w:r>
          <w:rPr>
            <w:noProof/>
          </w:rPr>
        </w:r>
        <w:r>
          <w:rPr>
            <w:noProof/>
            <w:webHidden/>
          </w:rPr>
          <w:fldChar w:fldCharType="separate"/>
        </w:r>
        <w:r>
          <w:rPr>
            <w:noProof/>
            <w:webHidden/>
          </w:rPr>
          <w:t>2</w:t>
        </w:r>
        <w:r>
          <w:rPr>
            <w:noProof/>
            <w:webHidden/>
          </w:rPr>
          <w:fldChar w:fldCharType="end"/>
        </w:r>
      </w:hyperlink>
    </w:p>
    <w:p>
      <w:pPr>
        <w:pStyle w:val="Verzeichnis3"/>
        <w:tabs>
          <w:tab w:val="left" w:pos="800"/>
          <w:tab w:val="right" w:leader="dot" w:pos="9628"/>
        </w:tabs>
        <w:rPr>
          <w:i w:val="0"/>
          <w:iCs w:val="0"/>
          <w:noProof/>
          <w:sz w:val="24"/>
          <w:szCs w:val="24"/>
        </w:rPr>
      </w:pPr>
      <w:hyperlink w:anchor="_Toc301857903" w:history="1">
        <w:r>
          <w:rPr>
            <w:rStyle w:val="Hyperlink"/>
            <w:noProof/>
          </w:rPr>
          <w:t>3</w:t>
        </w:r>
        <w:r>
          <w:rPr>
            <w:i w:val="0"/>
            <w:iCs w:val="0"/>
            <w:noProof/>
            <w:sz w:val="24"/>
            <w:szCs w:val="24"/>
          </w:rPr>
          <w:tab/>
        </w:r>
        <w:r>
          <w:rPr>
            <w:rStyle w:val="Hyperlink"/>
            <w:noProof/>
          </w:rPr>
          <w:t>Quecksilber</w:t>
        </w:r>
        <w:r>
          <w:rPr>
            <w:noProof/>
            <w:webHidden/>
          </w:rPr>
          <w:tab/>
        </w:r>
        <w:r>
          <w:rPr>
            <w:noProof/>
            <w:webHidden/>
          </w:rPr>
          <w:fldChar w:fldCharType="begin"/>
        </w:r>
        <w:r>
          <w:rPr>
            <w:noProof/>
            <w:webHidden/>
          </w:rPr>
          <w:instrText xml:space="preserve"> PAGEREF _Toc301857903 \h </w:instrText>
        </w:r>
        <w:r>
          <w:rPr>
            <w:noProof/>
          </w:rPr>
        </w:r>
        <w:r>
          <w:rPr>
            <w:noProof/>
            <w:webHidden/>
          </w:rPr>
          <w:fldChar w:fldCharType="separate"/>
        </w:r>
        <w:r>
          <w:rPr>
            <w:noProof/>
            <w:webHidden/>
          </w:rPr>
          <w:t>2</w:t>
        </w:r>
        <w:r>
          <w:rPr>
            <w:noProof/>
            <w:webHidden/>
          </w:rPr>
          <w:fldChar w:fldCharType="end"/>
        </w:r>
      </w:hyperlink>
    </w:p>
    <w:p>
      <w:pPr>
        <w:pStyle w:val="Verzeichnis3"/>
        <w:tabs>
          <w:tab w:val="left" w:pos="800"/>
          <w:tab w:val="right" w:leader="dot" w:pos="9628"/>
        </w:tabs>
        <w:rPr>
          <w:i w:val="0"/>
          <w:iCs w:val="0"/>
          <w:noProof/>
          <w:sz w:val="24"/>
          <w:szCs w:val="24"/>
        </w:rPr>
      </w:pPr>
      <w:hyperlink w:anchor="_Toc301857904" w:history="1">
        <w:r>
          <w:rPr>
            <w:rStyle w:val="Hyperlink"/>
            <w:noProof/>
          </w:rPr>
          <w:t>4</w:t>
        </w:r>
        <w:r>
          <w:rPr>
            <w:i w:val="0"/>
            <w:iCs w:val="0"/>
            <w:noProof/>
            <w:sz w:val="24"/>
            <w:szCs w:val="24"/>
          </w:rPr>
          <w:tab/>
        </w:r>
        <w:r>
          <w:rPr>
            <w:rStyle w:val="Hyperlink"/>
            <w:noProof/>
          </w:rPr>
          <w:t>Mehrkomponentenmesseinrichtungen</w:t>
        </w:r>
        <w:r>
          <w:rPr>
            <w:noProof/>
            <w:webHidden/>
          </w:rPr>
          <w:tab/>
        </w:r>
        <w:r>
          <w:rPr>
            <w:noProof/>
            <w:webHidden/>
          </w:rPr>
          <w:fldChar w:fldCharType="begin"/>
        </w:r>
        <w:r>
          <w:rPr>
            <w:noProof/>
            <w:webHidden/>
          </w:rPr>
          <w:instrText xml:space="preserve"> PAGEREF _Toc301857904 \h </w:instrText>
        </w:r>
        <w:r>
          <w:rPr>
            <w:noProof/>
          </w:rPr>
        </w:r>
        <w:r>
          <w:rPr>
            <w:noProof/>
            <w:webHidden/>
          </w:rPr>
          <w:fldChar w:fldCharType="separate"/>
        </w:r>
        <w:r>
          <w:rPr>
            <w:noProof/>
            <w:webHidden/>
          </w:rPr>
          <w:t>3</w:t>
        </w:r>
        <w:r>
          <w:rPr>
            <w:noProof/>
            <w:webHidden/>
          </w:rPr>
          <w:fldChar w:fldCharType="end"/>
        </w:r>
      </w:hyperlink>
    </w:p>
    <w:p>
      <w:pPr>
        <w:pStyle w:val="Verzeichnis2"/>
        <w:tabs>
          <w:tab w:val="right" w:leader="dot" w:pos="9628"/>
        </w:tabs>
        <w:rPr>
          <w:smallCaps w:val="0"/>
          <w:noProof/>
          <w:sz w:val="24"/>
          <w:szCs w:val="24"/>
        </w:rPr>
      </w:pPr>
      <w:hyperlink w:anchor="_Toc301857905" w:history="1">
        <w:r>
          <w:rPr>
            <w:rStyle w:val="Hyperlink"/>
            <w:noProof/>
          </w:rPr>
          <w:t>II. Eignung für Messeinrichtungen zur kontinuierlichen Messung von  Bezugsgrößen/Betriebsgrößen</w:t>
        </w:r>
        <w:r>
          <w:rPr>
            <w:noProof/>
            <w:webHidden/>
          </w:rPr>
          <w:tab/>
        </w:r>
        <w:r>
          <w:rPr>
            <w:noProof/>
            <w:webHidden/>
          </w:rPr>
          <w:fldChar w:fldCharType="begin"/>
        </w:r>
        <w:r>
          <w:rPr>
            <w:noProof/>
            <w:webHidden/>
          </w:rPr>
          <w:instrText xml:space="preserve"> PAGEREF _Toc301857905 \h </w:instrText>
        </w:r>
        <w:r>
          <w:rPr>
            <w:noProof/>
          </w:rPr>
        </w:r>
        <w:r>
          <w:rPr>
            <w:noProof/>
            <w:webHidden/>
          </w:rPr>
          <w:fldChar w:fldCharType="separate"/>
        </w:r>
        <w:r>
          <w:rPr>
            <w:noProof/>
            <w:webHidden/>
          </w:rPr>
          <w:t>5</w:t>
        </w:r>
        <w:r>
          <w:rPr>
            <w:noProof/>
            <w:webHidden/>
          </w:rPr>
          <w:fldChar w:fldCharType="end"/>
        </w:r>
      </w:hyperlink>
    </w:p>
    <w:p>
      <w:pPr>
        <w:pStyle w:val="Verzeichnis3"/>
        <w:tabs>
          <w:tab w:val="left" w:pos="800"/>
          <w:tab w:val="right" w:leader="dot" w:pos="9628"/>
        </w:tabs>
        <w:rPr>
          <w:i w:val="0"/>
          <w:iCs w:val="0"/>
          <w:noProof/>
          <w:sz w:val="24"/>
          <w:szCs w:val="24"/>
        </w:rPr>
      </w:pPr>
      <w:hyperlink w:anchor="_Toc301857906" w:history="1">
        <w:r>
          <w:rPr>
            <w:rStyle w:val="Hyperlink"/>
            <w:noProof/>
          </w:rPr>
          <w:t>1</w:t>
        </w:r>
        <w:r>
          <w:rPr>
            <w:i w:val="0"/>
            <w:iCs w:val="0"/>
            <w:noProof/>
            <w:sz w:val="24"/>
            <w:szCs w:val="24"/>
          </w:rPr>
          <w:tab/>
        </w:r>
        <w:r>
          <w:rPr>
            <w:rStyle w:val="Hyperlink"/>
            <w:noProof/>
          </w:rPr>
          <w:t>Abgasgeschwindigkeit</w:t>
        </w:r>
        <w:r>
          <w:rPr>
            <w:noProof/>
            <w:webHidden/>
          </w:rPr>
          <w:tab/>
        </w:r>
        <w:r>
          <w:rPr>
            <w:noProof/>
            <w:webHidden/>
          </w:rPr>
          <w:fldChar w:fldCharType="begin"/>
        </w:r>
        <w:r>
          <w:rPr>
            <w:noProof/>
            <w:webHidden/>
          </w:rPr>
          <w:instrText xml:space="preserve"> PAGEREF _Toc301857906 \h </w:instrText>
        </w:r>
        <w:r>
          <w:rPr>
            <w:noProof/>
          </w:rPr>
        </w:r>
        <w:r>
          <w:rPr>
            <w:noProof/>
            <w:webHidden/>
          </w:rPr>
          <w:fldChar w:fldCharType="separate"/>
        </w:r>
        <w:r>
          <w:rPr>
            <w:noProof/>
            <w:webHidden/>
          </w:rPr>
          <w:t>5</w:t>
        </w:r>
        <w:r>
          <w:rPr>
            <w:noProof/>
            <w:webHidden/>
          </w:rPr>
          <w:fldChar w:fldCharType="end"/>
        </w:r>
      </w:hyperlink>
    </w:p>
    <w:p>
      <w:pPr>
        <w:pStyle w:val="Verzeichnis2"/>
        <w:tabs>
          <w:tab w:val="right" w:leader="dot" w:pos="9628"/>
        </w:tabs>
        <w:rPr>
          <w:smallCaps w:val="0"/>
          <w:noProof/>
          <w:sz w:val="24"/>
          <w:szCs w:val="24"/>
        </w:rPr>
      </w:pPr>
      <w:hyperlink w:anchor="_Toc301857907" w:history="1">
        <w:r>
          <w:rPr>
            <w:rStyle w:val="Hyperlink"/>
            <w:noProof/>
          </w:rPr>
          <w:t>III. Mitteilungen zur Bundeseinheitlichen Praxis bei der Überwachung  von Emissionen und Immissionen</w:t>
        </w:r>
        <w:r>
          <w:rPr>
            <w:noProof/>
            <w:webHidden/>
          </w:rPr>
          <w:tab/>
        </w:r>
        <w:r>
          <w:rPr>
            <w:noProof/>
            <w:webHidden/>
          </w:rPr>
          <w:fldChar w:fldCharType="begin"/>
        </w:r>
        <w:r>
          <w:rPr>
            <w:noProof/>
            <w:webHidden/>
          </w:rPr>
          <w:instrText xml:space="preserve"> PAGEREF _Toc301857907 \h </w:instrText>
        </w:r>
        <w:r>
          <w:rPr>
            <w:noProof/>
          </w:rPr>
        </w:r>
        <w:r>
          <w:rPr>
            <w:noProof/>
            <w:webHidden/>
          </w:rPr>
          <w:fldChar w:fldCharType="separate"/>
        </w:r>
        <w:r>
          <w:rPr>
            <w:noProof/>
            <w:webHidden/>
          </w:rPr>
          <w:t>6</w:t>
        </w:r>
        <w:r>
          <w:rPr>
            <w:noProof/>
            <w:webHidden/>
          </w:rPr>
          <w:fldChar w:fldCharType="end"/>
        </w:r>
      </w:hyperlink>
    </w:p>
    <w:p>
      <w:pPr>
        <w:jc w:val="center"/>
        <w:rPr>
          <w:b/>
        </w:rPr>
      </w:pPr>
      <w:r>
        <w:rPr>
          <w:rFonts w:ascii="Times New Roman" w:hAnsi="Times New Roman"/>
          <w:bCs/>
          <w:caps/>
        </w:rPr>
        <w:fldChar w:fldCharType="end"/>
      </w:r>
    </w:p>
    <w:p>
      <w:pPr>
        <w:pStyle w:val="berschrift2"/>
      </w:pPr>
      <w:bookmarkStart w:id="2" w:name="_Toc301857900"/>
      <w:r>
        <w:t>I.</w:t>
      </w:r>
      <w:r>
        <w:br/>
        <w:t>Eignung von Messeinrichtungen zur kontinuierlichen Überwachung von Emiss</w:t>
      </w:r>
      <w:r>
        <w:t>i</w:t>
      </w:r>
      <w:r>
        <w:t>onen</w:t>
      </w:r>
      <w:bookmarkEnd w:id="2"/>
    </w:p>
    <w:p>
      <w:pPr>
        <w:pStyle w:val="GesAbsatz"/>
      </w:pPr>
      <w:r>
        <w:t>Unter Bezugnahme auf Nummer 3 der Richtlinie über die bundeseinheitliche Praxis bei der Überwachung der Emissionen - Rundschreiben des Bundesministeriums für Umwelt, Naturschutz und Reaktorsicherheit (BMU) - IG I 2 - 45053/5 (GMBl 2005, S. 795) - wird im Auftrag des BMU die Eignung der folgenden Messeinrichtu</w:t>
      </w:r>
      <w:r>
        <w:t>n</w:t>
      </w:r>
      <w:r>
        <w:t>gen bekannt gegeben:</w:t>
      </w:r>
    </w:p>
    <w:p>
      <w:pPr>
        <w:pStyle w:val="berschrift3"/>
        <w:jc w:val="left"/>
      </w:pPr>
      <w:bookmarkStart w:id="3" w:name="_Toc301857901"/>
      <w:proofErr w:type="gramStart"/>
      <w:r>
        <w:t>1</w:t>
      </w:r>
      <w:r>
        <w:tab/>
        <w:t>Staubförmige</w:t>
      </w:r>
      <w:proofErr w:type="gramEnd"/>
      <w:r>
        <w:t xml:space="preserve"> Emissionen (Staubkonzentration)</w:t>
      </w:r>
      <w:bookmarkEnd w:id="3"/>
    </w:p>
    <w:p>
      <w:pPr>
        <w:pStyle w:val="GesAbsatz"/>
        <w:rPr>
          <w:b/>
        </w:rPr>
      </w:pPr>
      <w:r>
        <w:rPr>
          <w:b/>
        </w:rPr>
        <w:t>1.1</w:t>
      </w:r>
      <w:r>
        <w:rPr>
          <w:b/>
        </w:rPr>
        <w:tab/>
        <w:t>4500 MKIIl für Staub</w:t>
      </w:r>
    </w:p>
    <w:p>
      <w:pPr>
        <w:pStyle w:val="GesAbsatz"/>
      </w:pPr>
      <w:r>
        <w:t>Hersteller:</w:t>
      </w:r>
    </w:p>
    <w:p>
      <w:pPr>
        <w:pStyle w:val="GesAbsatz"/>
      </w:pPr>
      <w:r>
        <w:t>Land Instruments International Ltd., Dronfield, Großbritannien</w:t>
      </w:r>
    </w:p>
    <w:p>
      <w:pPr>
        <w:pStyle w:val="GesAbsatz"/>
      </w:pPr>
      <w:r>
        <w:t>Eignung:</w:t>
      </w:r>
    </w:p>
    <w:p>
      <w:pPr>
        <w:pStyle w:val="GesAbsatz"/>
      </w:pPr>
      <w:r>
        <w:t>Für genehmigungsbedürftige Anlagen und Anlagen der 27. BImSchV</w:t>
      </w:r>
    </w:p>
    <w:p>
      <w:pPr>
        <w:pStyle w:val="GesAbsatz"/>
      </w:pPr>
      <w:r>
        <w:t>Messbereiche in der Eignungsprüfung: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0"/>
        <w:gridCol w:w="2078"/>
        <w:gridCol w:w="1717"/>
        <w:gridCol w:w="1472"/>
        <w:gridCol w:w="1472"/>
        <w:gridCol w:w="1559"/>
      </w:tblGrid>
      <w:tr>
        <w:tc>
          <w:tcPr>
            <w:tcW w:w="1352" w:type="dxa"/>
            <w:shd w:val="clear" w:color="auto" w:fill="auto"/>
          </w:tcPr>
          <w:p>
            <w:pPr>
              <w:pStyle w:val="GesAbsatz"/>
              <w:tabs>
                <w:tab w:val="clear" w:pos="425"/>
              </w:tabs>
              <w:rPr>
                <w:sz w:val="18"/>
                <w:szCs w:val="18"/>
              </w:rPr>
            </w:pPr>
            <w:r>
              <w:rPr>
                <w:sz w:val="18"/>
                <w:szCs w:val="18"/>
              </w:rPr>
              <w:t>Komponente</w:t>
            </w:r>
          </w:p>
        </w:tc>
        <w:tc>
          <w:tcPr>
            <w:tcW w:w="2128" w:type="dxa"/>
            <w:shd w:val="clear" w:color="auto" w:fill="auto"/>
          </w:tcPr>
          <w:p>
            <w:pPr>
              <w:pStyle w:val="GesAbsatz"/>
              <w:tabs>
                <w:tab w:val="clear" w:pos="425"/>
              </w:tabs>
              <w:rPr>
                <w:sz w:val="18"/>
                <w:szCs w:val="18"/>
              </w:rPr>
            </w:pPr>
            <w:r>
              <w:rPr>
                <w:sz w:val="18"/>
                <w:szCs w:val="18"/>
              </w:rPr>
              <w:t>Zertifizierungsb</w:t>
            </w:r>
            <w:r>
              <w:rPr>
                <w:sz w:val="18"/>
                <w:szCs w:val="18"/>
              </w:rPr>
              <w:t>e</w:t>
            </w:r>
            <w:r>
              <w:rPr>
                <w:sz w:val="18"/>
                <w:szCs w:val="18"/>
              </w:rPr>
              <w:t>reich</w:t>
            </w:r>
          </w:p>
        </w:tc>
        <w:tc>
          <w:tcPr>
            <w:tcW w:w="4778" w:type="dxa"/>
            <w:gridSpan w:val="3"/>
            <w:shd w:val="clear" w:color="auto" w:fill="auto"/>
          </w:tcPr>
          <w:p>
            <w:pPr>
              <w:pStyle w:val="GesAbsatz"/>
              <w:tabs>
                <w:tab w:val="clear" w:pos="425"/>
              </w:tabs>
              <w:rPr>
                <w:sz w:val="18"/>
                <w:szCs w:val="18"/>
              </w:rPr>
            </w:pPr>
            <w:r>
              <w:rPr>
                <w:sz w:val="18"/>
                <w:szCs w:val="18"/>
              </w:rPr>
              <w:t>zusätzliche Messbereiche</w:t>
            </w:r>
          </w:p>
        </w:tc>
        <w:tc>
          <w:tcPr>
            <w:tcW w:w="1596" w:type="dxa"/>
            <w:shd w:val="clear" w:color="auto" w:fill="auto"/>
          </w:tcPr>
          <w:p>
            <w:pPr>
              <w:pStyle w:val="GesAbsatz"/>
              <w:tabs>
                <w:tab w:val="clear" w:pos="425"/>
              </w:tabs>
              <w:rPr>
                <w:sz w:val="18"/>
                <w:szCs w:val="18"/>
              </w:rPr>
            </w:pPr>
            <w:r>
              <w:rPr>
                <w:sz w:val="18"/>
                <w:szCs w:val="18"/>
              </w:rPr>
              <w:t>Einheit</w:t>
            </w:r>
          </w:p>
        </w:tc>
      </w:tr>
      <w:tr>
        <w:tc>
          <w:tcPr>
            <w:tcW w:w="1352" w:type="dxa"/>
            <w:shd w:val="clear" w:color="auto" w:fill="auto"/>
          </w:tcPr>
          <w:p>
            <w:pPr>
              <w:pStyle w:val="GesAbsatz"/>
              <w:tabs>
                <w:tab w:val="clear" w:pos="425"/>
              </w:tabs>
            </w:pPr>
            <w:r>
              <w:t>Staub</w:t>
            </w:r>
          </w:p>
        </w:tc>
        <w:tc>
          <w:tcPr>
            <w:tcW w:w="2128" w:type="dxa"/>
            <w:shd w:val="clear" w:color="auto" w:fill="auto"/>
          </w:tcPr>
          <w:p>
            <w:pPr>
              <w:pStyle w:val="GesAbsatz"/>
              <w:tabs>
                <w:tab w:val="clear" w:pos="425"/>
              </w:tabs>
            </w:pPr>
            <w:r>
              <w:t>0-0,2</w:t>
            </w:r>
          </w:p>
        </w:tc>
        <w:tc>
          <w:tcPr>
            <w:tcW w:w="1762" w:type="dxa"/>
            <w:shd w:val="clear" w:color="auto" w:fill="auto"/>
          </w:tcPr>
          <w:p>
            <w:pPr>
              <w:pStyle w:val="GesAbsatz"/>
              <w:tabs>
                <w:tab w:val="clear" w:pos="425"/>
              </w:tabs>
            </w:pPr>
            <w:r>
              <w:t>0-0,1</w:t>
            </w:r>
          </w:p>
        </w:tc>
        <w:tc>
          <w:tcPr>
            <w:tcW w:w="1508" w:type="dxa"/>
            <w:shd w:val="clear" w:color="auto" w:fill="auto"/>
          </w:tcPr>
          <w:p>
            <w:pPr>
              <w:pStyle w:val="GesAbsatz"/>
              <w:tabs>
                <w:tab w:val="clear" w:pos="425"/>
              </w:tabs>
            </w:pPr>
            <w:r>
              <w:t>0-0,4</w:t>
            </w:r>
          </w:p>
        </w:tc>
        <w:tc>
          <w:tcPr>
            <w:tcW w:w="1508" w:type="dxa"/>
            <w:shd w:val="clear" w:color="auto" w:fill="auto"/>
          </w:tcPr>
          <w:p>
            <w:pPr>
              <w:pStyle w:val="GesAbsatz"/>
              <w:tabs>
                <w:tab w:val="clear" w:pos="425"/>
              </w:tabs>
            </w:pPr>
            <w:r>
              <w:t>0-1,2</w:t>
            </w:r>
          </w:p>
        </w:tc>
        <w:tc>
          <w:tcPr>
            <w:tcW w:w="1596" w:type="dxa"/>
            <w:shd w:val="clear" w:color="auto" w:fill="auto"/>
          </w:tcPr>
          <w:p>
            <w:pPr>
              <w:pStyle w:val="GesAbsatz"/>
              <w:tabs>
                <w:tab w:val="clear" w:pos="425"/>
              </w:tabs>
            </w:pPr>
            <w:r>
              <w:t>Ext.</w:t>
            </w:r>
          </w:p>
        </w:tc>
      </w:tr>
    </w:tbl>
    <w:p>
      <w:pPr>
        <w:pStyle w:val="GesAbsatz"/>
      </w:pPr>
      <w:r>
        <w:t>0-0,2 Ext</w:t>
      </w:r>
      <w:proofErr w:type="gramStart"/>
      <w:r>
        <w:t>. :</w:t>
      </w:r>
      <w:proofErr w:type="gramEnd"/>
      <w:r>
        <w:rPr>
          <w:rFonts w:ascii="Lucida Sans Unicode" w:hAnsi="Lucida Sans Unicode" w:cs="Lucida Sans Unicode"/>
          <w:color w:val="auto"/>
        </w:rPr>
        <w:t xml:space="preserve"> </w:t>
      </w:r>
      <w:r>
        <w:rPr>
          <w:rFonts w:ascii="Lucida Sans Unicode" w:hAnsi="Lucida Sans Unicode" w:cs="Lucida Sans Unicode"/>
        </w:rPr>
        <w:t>≙</w:t>
      </w:r>
      <w:r>
        <w:t xml:space="preserve"> 15 mg/m</w:t>
      </w:r>
      <w:r>
        <w:rPr>
          <w:vertAlign w:val="superscript"/>
        </w:rPr>
        <w:t>3</w:t>
      </w:r>
      <w:r>
        <w:t xml:space="preserve"> Staub bei 5 m Messweglänge</w:t>
      </w:r>
    </w:p>
    <w:p>
      <w:pPr>
        <w:pStyle w:val="GesAbsatz"/>
        <w:tabs>
          <w:tab w:val="clear" w:pos="425"/>
          <w:tab w:val="left" w:pos="2127"/>
        </w:tabs>
      </w:pPr>
      <w:r>
        <w:t>Softwareversionen:</w:t>
      </w:r>
      <w:r>
        <w:tab/>
        <w:t>Control Software Version: 01.03.01</w:t>
      </w:r>
    </w:p>
    <w:p>
      <w:pPr>
        <w:pStyle w:val="GesAbsatz"/>
        <w:tabs>
          <w:tab w:val="clear" w:pos="425"/>
          <w:tab w:val="left" w:pos="2127"/>
        </w:tabs>
      </w:pPr>
      <w:r>
        <w:tab/>
        <w:t>HI Software Version: 01.02.01</w:t>
      </w:r>
    </w:p>
    <w:p>
      <w:pPr>
        <w:pStyle w:val="GesAbsatz"/>
      </w:pPr>
      <w:r>
        <w:t>Einschränkung:</w:t>
      </w:r>
    </w:p>
    <w:p>
      <w:pPr>
        <w:pStyle w:val="GesAbsatz"/>
      </w:pPr>
      <w:r>
        <w:t>Die Messeinrichtung kann nur eingesetzt werden, wenn eine Unterschreitung des Taupunktes ausgeschlo</w:t>
      </w:r>
      <w:r>
        <w:t>s</w:t>
      </w:r>
      <w:r>
        <w:t>sen werden kann.</w:t>
      </w:r>
    </w:p>
    <w:p>
      <w:pPr>
        <w:pStyle w:val="GesAbsatz"/>
      </w:pPr>
      <w:r>
        <w:t>Hinweise:</w:t>
      </w:r>
    </w:p>
    <w:p>
      <w:pPr>
        <w:pStyle w:val="GesAbsatz"/>
        <w:ind w:left="426" w:hanging="426"/>
      </w:pPr>
      <w:r>
        <w:t>1.</w:t>
      </w:r>
      <w:r>
        <w:tab/>
        <w:t>Die Staubkonzentration wird im feuchten Abgas unter Betriebsbedingungen gemessen.</w:t>
      </w:r>
    </w:p>
    <w:p>
      <w:pPr>
        <w:pStyle w:val="GesAbsatz"/>
        <w:ind w:left="426" w:hanging="426"/>
      </w:pPr>
      <w:r>
        <w:t>2.</w:t>
      </w:r>
      <w:r>
        <w:tab/>
        <w:t>Das Wartungsintervall beträgt vier Wochen.</w:t>
      </w:r>
    </w:p>
    <w:p>
      <w:pPr>
        <w:pStyle w:val="GesAbsatz"/>
        <w:ind w:left="426" w:hanging="426"/>
      </w:pPr>
      <w:r>
        <w:t>3.</w:t>
      </w:r>
      <w:r>
        <w:tab/>
        <w:t>Durch die Messweglänge von 5 m und dem bei der Kalibrierung ermittelten Messbereich von 15 mg/m</w:t>
      </w:r>
      <w:r>
        <w:rPr>
          <w:vertAlign w:val="superscript"/>
        </w:rPr>
        <w:t>3</w:t>
      </w:r>
      <w:r>
        <w:t xml:space="preserve"> ergibt sich ein Produkt von 75 mg m/m</w:t>
      </w:r>
      <w:r>
        <w:rPr>
          <w:vertAlign w:val="superscript"/>
        </w:rPr>
        <w:t>3</w:t>
      </w:r>
      <w:r>
        <w:t xml:space="preserve"> an der Feldtestanlage.</w:t>
      </w:r>
    </w:p>
    <w:p>
      <w:pPr>
        <w:pStyle w:val="GesAbsatz"/>
        <w:ind w:left="426" w:hanging="426"/>
      </w:pPr>
      <w:r>
        <w:t>4.</w:t>
      </w:r>
      <w:r>
        <w:tab/>
        <w:t>Die Anforderung bei der Eignungsprüfung nach DIN EN15267-3 an den Korrelationskoeffizienten R</w:t>
      </w:r>
      <w:r>
        <w:rPr>
          <w:vertAlign w:val="superscript"/>
        </w:rPr>
        <w:t>2</w:t>
      </w:r>
      <w:r>
        <w:t xml:space="preserve"> der Kalibrierfunktion wurde nicht erfüllt.</w:t>
      </w:r>
    </w:p>
    <w:p>
      <w:pPr>
        <w:pStyle w:val="GesAbsatz"/>
      </w:pPr>
      <w:r>
        <w:lastRenderedPageBreak/>
        <w:t>Prüfbericht:</w:t>
      </w:r>
    </w:p>
    <w:p>
      <w:pPr>
        <w:pStyle w:val="GesAbsatz"/>
      </w:pPr>
      <w:r>
        <w:t>TÜV Rheinland Energie und Umwelt GmbH, Köln</w:t>
      </w:r>
    </w:p>
    <w:p>
      <w:pPr>
        <w:pStyle w:val="GesAbsatz"/>
      </w:pPr>
      <w:r>
        <w:t>Bericht-Nr.: 936/21213182/A vom 31. März 2011</w:t>
      </w:r>
    </w:p>
    <w:p>
      <w:pPr>
        <w:pStyle w:val="berschrift3"/>
        <w:jc w:val="left"/>
      </w:pPr>
      <w:bookmarkStart w:id="4" w:name="_Toc301857902"/>
      <w:r>
        <w:t>2</w:t>
      </w:r>
      <w:r>
        <w:tab/>
        <w:t>Gesamt-Kohlenstoff</w:t>
      </w:r>
      <w:bookmarkEnd w:id="4"/>
    </w:p>
    <w:p>
      <w:pPr>
        <w:pStyle w:val="GesAbsatz"/>
        <w:rPr>
          <w:b/>
        </w:rPr>
      </w:pPr>
      <w:r>
        <w:rPr>
          <w:b/>
        </w:rPr>
        <w:t>2.1</w:t>
      </w:r>
      <w:r>
        <w:rPr>
          <w:b/>
        </w:rPr>
        <w:tab/>
        <w:t>GMS810-FIDOR für Gesamt-Kohlenstoff</w:t>
      </w:r>
    </w:p>
    <w:p>
      <w:pPr>
        <w:pStyle w:val="GesAbsatz"/>
      </w:pPr>
      <w:r>
        <w:t>Hersteller:</w:t>
      </w:r>
    </w:p>
    <w:p>
      <w:pPr>
        <w:pStyle w:val="GesAbsatz"/>
      </w:pPr>
      <w:r>
        <w:t>SICK MAIHAK GmbH, Hamburg</w:t>
      </w:r>
    </w:p>
    <w:p>
      <w:pPr>
        <w:pStyle w:val="GesAbsatz"/>
      </w:pPr>
      <w:r>
        <w:t>Eignung:</w:t>
      </w:r>
    </w:p>
    <w:p>
      <w:pPr>
        <w:pStyle w:val="GesAbsatz"/>
      </w:pPr>
      <w:r>
        <w:t>Für genehmigungsbedürftige Anlagen sowie Anlagen der 27. BImSchV</w:t>
      </w:r>
    </w:p>
    <w:p>
      <w:pPr>
        <w:pStyle w:val="GesAbsatz"/>
      </w:pPr>
      <w:r>
        <w:t>Messbereiche in der Eignungsprüfung: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8"/>
        <w:gridCol w:w="2076"/>
        <w:gridCol w:w="1711"/>
        <w:gridCol w:w="1477"/>
        <w:gridCol w:w="1477"/>
        <w:gridCol w:w="1559"/>
      </w:tblGrid>
      <w:tr>
        <w:tc>
          <w:tcPr>
            <w:tcW w:w="1351" w:type="dxa"/>
            <w:shd w:val="clear" w:color="auto" w:fill="auto"/>
          </w:tcPr>
          <w:p>
            <w:pPr>
              <w:pStyle w:val="GesAbsatz"/>
              <w:tabs>
                <w:tab w:val="clear" w:pos="425"/>
              </w:tabs>
              <w:rPr>
                <w:sz w:val="18"/>
                <w:szCs w:val="18"/>
              </w:rPr>
            </w:pPr>
            <w:r>
              <w:rPr>
                <w:sz w:val="18"/>
                <w:szCs w:val="18"/>
              </w:rPr>
              <w:t>Kompone</w:t>
            </w:r>
            <w:r>
              <w:rPr>
                <w:sz w:val="18"/>
                <w:szCs w:val="18"/>
              </w:rPr>
              <w:t>n</w:t>
            </w:r>
            <w:r>
              <w:rPr>
                <w:sz w:val="18"/>
                <w:szCs w:val="18"/>
              </w:rPr>
              <w:t>te</w:t>
            </w:r>
          </w:p>
        </w:tc>
        <w:tc>
          <w:tcPr>
            <w:tcW w:w="2128" w:type="dxa"/>
            <w:shd w:val="clear" w:color="auto" w:fill="auto"/>
          </w:tcPr>
          <w:p>
            <w:pPr>
              <w:pStyle w:val="GesAbsatz"/>
              <w:tabs>
                <w:tab w:val="clear" w:pos="425"/>
              </w:tabs>
              <w:rPr>
                <w:sz w:val="18"/>
                <w:szCs w:val="18"/>
              </w:rPr>
            </w:pPr>
            <w:r>
              <w:rPr>
                <w:sz w:val="18"/>
                <w:szCs w:val="18"/>
              </w:rPr>
              <w:t>Zertifizierungsb</w:t>
            </w:r>
            <w:r>
              <w:rPr>
                <w:sz w:val="18"/>
                <w:szCs w:val="18"/>
              </w:rPr>
              <w:t>e</w:t>
            </w:r>
            <w:r>
              <w:rPr>
                <w:sz w:val="18"/>
                <w:szCs w:val="18"/>
              </w:rPr>
              <w:t>reich</w:t>
            </w:r>
          </w:p>
        </w:tc>
        <w:tc>
          <w:tcPr>
            <w:tcW w:w="4786" w:type="dxa"/>
            <w:gridSpan w:val="3"/>
            <w:shd w:val="clear" w:color="auto" w:fill="auto"/>
          </w:tcPr>
          <w:p>
            <w:pPr>
              <w:pStyle w:val="GesAbsatz"/>
              <w:tabs>
                <w:tab w:val="clear" w:pos="425"/>
              </w:tabs>
              <w:rPr>
                <w:sz w:val="18"/>
                <w:szCs w:val="18"/>
              </w:rPr>
            </w:pPr>
            <w:r>
              <w:rPr>
                <w:sz w:val="18"/>
                <w:szCs w:val="18"/>
              </w:rPr>
              <w:t>zusätzliche Messbereiche</w:t>
            </w:r>
          </w:p>
        </w:tc>
        <w:tc>
          <w:tcPr>
            <w:tcW w:w="1589" w:type="dxa"/>
            <w:shd w:val="clear" w:color="auto" w:fill="auto"/>
          </w:tcPr>
          <w:p>
            <w:pPr>
              <w:pStyle w:val="GesAbsatz"/>
              <w:tabs>
                <w:tab w:val="clear" w:pos="425"/>
              </w:tabs>
              <w:rPr>
                <w:sz w:val="18"/>
                <w:szCs w:val="18"/>
              </w:rPr>
            </w:pPr>
            <w:r>
              <w:rPr>
                <w:sz w:val="18"/>
                <w:szCs w:val="18"/>
              </w:rPr>
              <w:t>Einheit</w:t>
            </w:r>
          </w:p>
        </w:tc>
      </w:tr>
      <w:tr>
        <w:tc>
          <w:tcPr>
            <w:tcW w:w="1351" w:type="dxa"/>
            <w:shd w:val="clear" w:color="auto" w:fill="auto"/>
          </w:tcPr>
          <w:p>
            <w:pPr>
              <w:pStyle w:val="GesAbsatz"/>
              <w:tabs>
                <w:tab w:val="clear" w:pos="425"/>
              </w:tabs>
            </w:pPr>
            <w:r>
              <w:t>Gesamt-Kohlenstoff</w:t>
            </w:r>
          </w:p>
        </w:tc>
        <w:tc>
          <w:tcPr>
            <w:tcW w:w="2128" w:type="dxa"/>
            <w:shd w:val="clear" w:color="auto" w:fill="auto"/>
          </w:tcPr>
          <w:p>
            <w:pPr>
              <w:pStyle w:val="GesAbsatz"/>
              <w:tabs>
                <w:tab w:val="clear" w:pos="425"/>
              </w:tabs>
            </w:pPr>
            <w:r>
              <w:t>0-15</w:t>
            </w:r>
          </w:p>
        </w:tc>
        <w:tc>
          <w:tcPr>
            <w:tcW w:w="1760" w:type="dxa"/>
            <w:shd w:val="clear" w:color="auto" w:fill="auto"/>
          </w:tcPr>
          <w:p>
            <w:pPr>
              <w:pStyle w:val="GesAbsatz"/>
              <w:tabs>
                <w:tab w:val="clear" w:pos="425"/>
              </w:tabs>
            </w:pPr>
            <w:r>
              <w:t>0-50</w:t>
            </w:r>
          </w:p>
        </w:tc>
        <w:tc>
          <w:tcPr>
            <w:tcW w:w="1513" w:type="dxa"/>
            <w:shd w:val="clear" w:color="auto" w:fill="auto"/>
          </w:tcPr>
          <w:p>
            <w:pPr>
              <w:pStyle w:val="GesAbsatz"/>
              <w:tabs>
                <w:tab w:val="clear" w:pos="425"/>
              </w:tabs>
            </w:pPr>
            <w:r>
              <w:t>0-150</w:t>
            </w:r>
          </w:p>
        </w:tc>
        <w:tc>
          <w:tcPr>
            <w:tcW w:w="1513" w:type="dxa"/>
            <w:shd w:val="clear" w:color="auto" w:fill="auto"/>
          </w:tcPr>
          <w:p>
            <w:pPr>
              <w:pStyle w:val="GesAbsatz"/>
              <w:tabs>
                <w:tab w:val="clear" w:pos="425"/>
              </w:tabs>
            </w:pPr>
            <w:r>
              <w:t>0-500</w:t>
            </w:r>
          </w:p>
        </w:tc>
        <w:tc>
          <w:tcPr>
            <w:tcW w:w="1589" w:type="dxa"/>
            <w:shd w:val="clear" w:color="auto" w:fill="auto"/>
          </w:tcPr>
          <w:p>
            <w:pPr>
              <w:pStyle w:val="GesAbsatz"/>
              <w:tabs>
                <w:tab w:val="clear" w:pos="425"/>
              </w:tabs>
            </w:pPr>
            <w:r>
              <w:t>mg/m</w:t>
            </w:r>
            <w:r>
              <w:rPr>
                <w:vertAlign w:val="superscript"/>
              </w:rPr>
              <w:t>3</w:t>
            </w:r>
          </w:p>
        </w:tc>
      </w:tr>
    </w:tbl>
    <w:p>
      <w:pPr>
        <w:pStyle w:val="GesAbsatz"/>
      </w:pPr>
      <w:r>
        <w:t>Softwareversion:</w:t>
      </w:r>
      <w:r>
        <w:tab/>
        <w:t>2.00a</w:t>
      </w:r>
    </w:p>
    <w:p>
      <w:pPr>
        <w:pStyle w:val="GesAbsatz"/>
      </w:pPr>
      <w:r>
        <w:t>Einschränkungen:</w:t>
      </w:r>
    </w:p>
    <w:p>
      <w:pPr>
        <w:pStyle w:val="GesAbsatz"/>
      </w:pPr>
      <w:r>
        <w:t>Keine</w:t>
      </w:r>
    </w:p>
    <w:p>
      <w:pPr>
        <w:pStyle w:val="GesAbsatz"/>
      </w:pPr>
      <w:r>
        <w:t>Hinweise:</w:t>
      </w:r>
    </w:p>
    <w:p>
      <w:pPr>
        <w:pStyle w:val="GesAbsatz"/>
        <w:ind w:left="426" w:hanging="426"/>
      </w:pPr>
      <w:r>
        <w:t>1.</w:t>
      </w:r>
      <w:r>
        <w:tab/>
        <w:t>Die Messeinrichtung kann sowohl mit einer Netzspannung von 230 Volt, als auch mit einer Netzspa</w:t>
      </w:r>
      <w:r>
        <w:t>n</w:t>
      </w:r>
      <w:r>
        <w:t>nung von 110 Volt betrieben werden.</w:t>
      </w:r>
    </w:p>
    <w:p>
      <w:pPr>
        <w:pStyle w:val="GesAbsatz"/>
        <w:ind w:left="426" w:hanging="426"/>
      </w:pPr>
      <w:r>
        <w:t>2.</w:t>
      </w:r>
      <w:r>
        <w:tab/>
        <w:t>Das Wartungsintervall beträgt vier Wochen.</w:t>
      </w:r>
    </w:p>
    <w:p>
      <w:pPr>
        <w:pStyle w:val="GesAbsatz"/>
        <w:ind w:left="426" w:hanging="426"/>
      </w:pPr>
      <w:r>
        <w:t>Prüfbericht:</w:t>
      </w:r>
    </w:p>
    <w:p>
      <w:pPr>
        <w:pStyle w:val="GesAbsatz"/>
      </w:pPr>
      <w:r>
        <w:t>TÜV Rheinland Energie und Umwelt GmbH, Köln</w:t>
      </w:r>
    </w:p>
    <w:p>
      <w:pPr>
        <w:pStyle w:val="GesAbsatz"/>
      </w:pPr>
      <w:r>
        <w:t>Bericht-Nr.: 936/21216085/A vom 25. März 2011</w:t>
      </w:r>
    </w:p>
    <w:p>
      <w:pPr>
        <w:pStyle w:val="berschrift3"/>
        <w:jc w:val="left"/>
      </w:pPr>
      <w:bookmarkStart w:id="5" w:name="_Toc301857903"/>
      <w:r>
        <w:t>3</w:t>
      </w:r>
      <w:r>
        <w:tab/>
        <w:t>Quecksilber</w:t>
      </w:r>
      <w:bookmarkEnd w:id="5"/>
    </w:p>
    <w:p>
      <w:pPr>
        <w:pStyle w:val="GesAbsatz"/>
        <w:rPr>
          <w:b/>
        </w:rPr>
      </w:pPr>
      <w:r>
        <w:rPr>
          <w:b/>
        </w:rPr>
        <w:t>3.1</w:t>
      </w:r>
      <w:r>
        <w:rPr>
          <w:b/>
        </w:rPr>
        <w:tab/>
        <w:t>HM 1400 TRX</w:t>
      </w:r>
    </w:p>
    <w:p>
      <w:pPr>
        <w:pStyle w:val="GesAbsatz"/>
      </w:pPr>
      <w:r>
        <w:t>Hersteller:</w:t>
      </w:r>
    </w:p>
    <w:p>
      <w:pPr>
        <w:pStyle w:val="GesAbsatz"/>
      </w:pPr>
      <w:r>
        <w:t>VEREWA Umwelt- und Prozessmesstechnik GmbH, Hamburg</w:t>
      </w:r>
    </w:p>
    <w:p>
      <w:pPr>
        <w:pStyle w:val="GesAbsatz"/>
      </w:pPr>
      <w:r>
        <w:t>Eignung:</w:t>
      </w:r>
    </w:p>
    <w:p>
      <w:pPr>
        <w:pStyle w:val="GesAbsatz"/>
      </w:pPr>
      <w:r>
        <w:t>Für Abfallverbrennungsanlagen gemäß § 2 Nummer 6 der 17. BImSchV</w:t>
      </w:r>
    </w:p>
    <w:p>
      <w:pPr>
        <w:pStyle w:val="GesAbsatz"/>
      </w:pPr>
      <w:r>
        <w:t>Messbereiche in der Eignungsprüfung: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0"/>
        <w:gridCol w:w="2743"/>
        <w:gridCol w:w="2793"/>
        <w:gridCol w:w="2732"/>
      </w:tblGrid>
      <w:tr>
        <w:tc>
          <w:tcPr>
            <w:tcW w:w="1384" w:type="dxa"/>
            <w:shd w:val="clear" w:color="auto" w:fill="auto"/>
          </w:tcPr>
          <w:p>
            <w:pPr>
              <w:pStyle w:val="GesAbsatz"/>
              <w:tabs>
                <w:tab w:val="clear" w:pos="425"/>
              </w:tabs>
              <w:rPr>
                <w:sz w:val="18"/>
                <w:szCs w:val="18"/>
              </w:rPr>
            </w:pPr>
            <w:r>
              <w:rPr>
                <w:sz w:val="18"/>
                <w:szCs w:val="18"/>
              </w:rPr>
              <w:t>Komponente -</w:t>
            </w:r>
          </w:p>
        </w:tc>
        <w:tc>
          <w:tcPr>
            <w:tcW w:w="2810" w:type="dxa"/>
            <w:shd w:val="clear" w:color="auto" w:fill="auto"/>
          </w:tcPr>
          <w:p>
            <w:pPr>
              <w:pStyle w:val="GesAbsatz"/>
              <w:tabs>
                <w:tab w:val="clear" w:pos="425"/>
              </w:tabs>
              <w:rPr>
                <w:sz w:val="18"/>
                <w:szCs w:val="18"/>
              </w:rPr>
            </w:pPr>
            <w:r>
              <w:rPr>
                <w:sz w:val="18"/>
                <w:szCs w:val="18"/>
              </w:rPr>
              <w:t>Zertifizierungsbereich</w:t>
            </w:r>
          </w:p>
        </w:tc>
        <w:tc>
          <w:tcPr>
            <w:tcW w:w="2862" w:type="dxa"/>
            <w:shd w:val="clear" w:color="auto" w:fill="auto"/>
          </w:tcPr>
          <w:p>
            <w:pPr>
              <w:pStyle w:val="GesAbsatz"/>
              <w:tabs>
                <w:tab w:val="clear" w:pos="425"/>
              </w:tabs>
              <w:rPr>
                <w:sz w:val="18"/>
                <w:szCs w:val="18"/>
              </w:rPr>
            </w:pPr>
            <w:r>
              <w:rPr>
                <w:sz w:val="18"/>
                <w:szCs w:val="18"/>
              </w:rPr>
              <w:t>zusätzlicher Messbereich</w:t>
            </w:r>
          </w:p>
        </w:tc>
        <w:tc>
          <w:tcPr>
            <w:tcW w:w="2798" w:type="dxa"/>
            <w:shd w:val="clear" w:color="auto" w:fill="auto"/>
          </w:tcPr>
          <w:p>
            <w:pPr>
              <w:pStyle w:val="GesAbsatz"/>
              <w:tabs>
                <w:tab w:val="clear" w:pos="425"/>
              </w:tabs>
              <w:rPr>
                <w:sz w:val="18"/>
                <w:szCs w:val="18"/>
              </w:rPr>
            </w:pPr>
            <w:r>
              <w:rPr>
                <w:sz w:val="18"/>
                <w:szCs w:val="18"/>
              </w:rPr>
              <w:t>Einheit</w:t>
            </w:r>
          </w:p>
        </w:tc>
      </w:tr>
      <w:tr>
        <w:tc>
          <w:tcPr>
            <w:tcW w:w="1384" w:type="dxa"/>
            <w:shd w:val="clear" w:color="auto" w:fill="auto"/>
          </w:tcPr>
          <w:p>
            <w:pPr>
              <w:pStyle w:val="GesAbsatz"/>
              <w:tabs>
                <w:tab w:val="clear" w:pos="425"/>
              </w:tabs>
            </w:pPr>
            <w:r>
              <w:t>Hg</w:t>
            </w:r>
          </w:p>
        </w:tc>
        <w:tc>
          <w:tcPr>
            <w:tcW w:w="2810" w:type="dxa"/>
            <w:shd w:val="clear" w:color="auto" w:fill="auto"/>
          </w:tcPr>
          <w:p>
            <w:pPr>
              <w:pStyle w:val="GesAbsatz"/>
              <w:tabs>
                <w:tab w:val="clear" w:pos="425"/>
              </w:tabs>
            </w:pPr>
            <w:r>
              <w:t>0-45</w:t>
            </w:r>
          </w:p>
        </w:tc>
        <w:tc>
          <w:tcPr>
            <w:tcW w:w="2862" w:type="dxa"/>
            <w:shd w:val="clear" w:color="auto" w:fill="auto"/>
          </w:tcPr>
          <w:p>
            <w:pPr>
              <w:pStyle w:val="GesAbsatz"/>
              <w:tabs>
                <w:tab w:val="clear" w:pos="425"/>
              </w:tabs>
            </w:pPr>
            <w:r>
              <w:t>0-75</w:t>
            </w:r>
          </w:p>
        </w:tc>
        <w:tc>
          <w:tcPr>
            <w:tcW w:w="2798" w:type="dxa"/>
            <w:shd w:val="clear" w:color="auto" w:fill="auto"/>
          </w:tcPr>
          <w:p>
            <w:pPr>
              <w:pStyle w:val="GesAbsatz"/>
              <w:tabs>
                <w:tab w:val="clear" w:pos="425"/>
              </w:tabs>
            </w:pPr>
            <w:r>
              <w:rPr>
                <w:rFonts w:cs="Arial"/>
              </w:rPr>
              <w:t>μ</w:t>
            </w:r>
            <w:r>
              <w:t>g/m</w:t>
            </w:r>
            <w:r>
              <w:rPr>
                <w:vertAlign w:val="superscript"/>
              </w:rPr>
              <w:t>3</w:t>
            </w:r>
          </w:p>
        </w:tc>
      </w:tr>
    </w:tbl>
    <w:p>
      <w:pPr>
        <w:pStyle w:val="GesAbsatz"/>
        <w:tabs>
          <w:tab w:val="clear" w:pos="425"/>
          <w:tab w:val="left" w:pos="2127"/>
        </w:tabs>
        <w:ind w:left="2127" w:hanging="2127"/>
      </w:pPr>
      <w:r>
        <w:t>Softwareversion:</w:t>
      </w:r>
      <w:r>
        <w:tab/>
        <w:t>2.01 (Die Display-Software [Version: DIS TRX 002] enthält nur die Sprachpakete und hat keinen Einfluss auf die Funktion)</w:t>
      </w:r>
    </w:p>
    <w:p>
      <w:pPr>
        <w:pStyle w:val="GesAbsatz"/>
      </w:pPr>
      <w:r>
        <w:t>Einschränkungen:</w:t>
      </w:r>
    </w:p>
    <w:p>
      <w:pPr>
        <w:pStyle w:val="GesAbsatz"/>
      </w:pPr>
      <w:r>
        <w:t>Keine</w:t>
      </w:r>
    </w:p>
    <w:p>
      <w:pPr>
        <w:pStyle w:val="GesAbsatz"/>
      </w:pPr>
      <w:r>
        <w:t>Hinweise:</w:t>
      </w:r>
    </w:p>
    <w:p>
      <w:pPr>
        <w:pStyle w:val="GesAbsatz"/>
        <w:ind w:left="426" w:hanging="426"/>
      </w:pPr>
      <w:r>
        <w:t>1.</w:t>
      </w:r>
      <w:r>
        <w:tab/>
        <w:t>Das Wartungsintervall beträgt vier Wochen.</w:t>
      </w:r>
    </w:p>
    <w:p>
      <w:pPr>
        <w:pStyle w:val="GesAbsatz"/>
        <w:ind w:left="426" w:hanging="426"/>
      </w:pPr>
      <w:r>
        <w:t>2.</w:t>
      </w:r>
      <w:r>
        <w:tab/>
        <w:t>Für die regelmäßige Kontrolle des Null- und Referenzpunktes im Wartungsintervall muss der Prüfga</w:t>
      </w:r>
      <w:r>
        <w:t>s</w:t>
      </w:r>
      <w:r>
        <w:t>generator HovaCal zur Verfügung stehen.</w:t>
      </w:r>
    </w:p>
    <w:p>
      <w:pPr>
        <w:pStyle w:val="GesAbsatz"/>
        <w:ind w:left="426" w:hanging="426"/>
      </w:pPr>
      <w:r>
        <w:t>3.</w:t>
      </w:r>
      <w:r>
        <w:tab/>
        <w:t>Alle zwei Stunden erfolgt eine automatische Justierung des Nullpunktes mit gereinigter Umgebungsluft.</w:t>
      </w:r>
    </w:p>
    <w:p>
      <w:pPr>
        <w:pStyle w:val="GesAbsatz"/>
        <w:ind w:left="426" w:hanging="426"/>
      </w:pPr>
      <w:r>
        <w:lastRenderedPageBreak/>
        <w:t>4.</w:t>
      </w:r>
      <w:r>
        <w:tab/>
        <w:t>Bei O</w:t>
      </w:r>
      <w:r>
        <w:rPr>
          <w:vertAlign w:val="subscript"/>
        </w:rPr>
        <w:t>2</w:t>
      </w:r>
      <w:r>
        <w:t>-Gehalten über 18 Vol.-% kann es notwendig sein, die Füllung des Hg</w:t>
      </w:r>
      <w:r>
        <w:rPr>
          <w:vertAlign w:val="superscript"/>
        </w:rPr>
        <w:t>2+</w:t>
      </w:r>
      <w:r>
        <w:t>/Hg</w:t>
      </w:r>
      <w:r>
        <w:rPr>
          <w:vertAlign w:val="superscript"/>
        </w:rPr>
        <w:t>0</w:t>
      </w:r>
      <w:r>
        <w:t>-Reaktors häufiger als halbjährlich auszutauschen.</w:t>
      </w:r>
    </w:p>
    <w:p>
      <w:pPr>
        <w:pStyle w:val="GesAbsatz"/>
        <w:ind w:left="426" w:hanging="426"/>
      </w:pPr>
      <w:r>
        <w:t>5.</w:t>
      </w:r>
      <w:r>
        <w:tab/>
        <w:t>Die Länge der beheizten Messgasleitung betrug im Labortest 5 m und im Feldtest 10 m.</w:t>
      </w:r>
    </w:p>
    <w:p>
      <w:pPr>
        <w:pStyle w:val="GesAbsatz"/>
      </w:pPr>
      <w:r>
        <w:t>Prüfbericht:</w:t>
      </w:r>
    </w:p>
    <w:p>
      <w:pPr>
        <w:pStyle w:val="GesAbsatz"/>
      </w:pPr>
      <w:r>
        <w:t>TÜV NORD Umweltschutz GmbH &amp; Co. KG, Hamburg</w:t>
      </w:r>
    </w:p>
    <w:p>
      <w:pPr>
        <w:pStyle w:val="GesAbsatz"/>
      </w:pPr>
      <w:r>
        <w:t>Bericht-Nr.: 109GMT007/8000632287 vom 30. Juni 2011</w:t>
      </w:r>
    </w:p>
    <w:p>
      <w:pPr>
        <w:pStyle w:val="berschrift3"/>
        <w:jc w:val="left"/>
      </w:pPr>
      <w:bookmarkStart w:id="6" w:name="_Toc301857904"/>
      <w:r>
        <w:t>4</w:t>
      </w:r>
      <w:r>
        <w:tab/>
        <w:t>Mehrkomponentenmesseinrichtungen</w:t>
      </w:r>
      <w:bookmarkEnd w:id="6"/>
    </w:p>
    <w:p>
      <w:pPr>
        <w:pStyle w:val="GesAbsatz"/>
        <w:rPr>
          <w:lang w:val="en-GB"/>
        </w:rPr>
      </w:pPr>
      <w:r>
        <w:rPr>
          <w:lang w:val="en-GB"/>
        </w:rPr>
        <w:t>4.1</w:t>
      </w:r>
      <w:r>
        <w:rPr>
          <w:lang w:val="en-GB"/>
        </w:rPr>
        <w:tab/>
        <w:t xml:space="preserve">Gasmet CEMS </w:t>
      </w:r>
      <w:r>
        <w:t>für</w:t>
      </w:r>
      <w:r>
        <w:rPr>
          <w:lang w:val="en-GB"/>
        </w:rPr>
        <w:t xml:space="preserve"> HF, CO, NO, NO</w:t>
      </w:r>
      <w:r>
        <w:rPr>
          <w:vertAlign w:val="subscript"/>
          <w:lang w:val="en-GB"/>
        </w:rPr>
        <w:t>2</w:t>
      </w:r>
      <w:r>
        <w:rPr>
          <w:lang w:val="en-GB"/>
        </w:rPr>
        <w:t>, N</w:t>
      </w:r>
      <w:r>
        <w:rPr>
          <w:vertAlign w:val="subscript"/>
          <w:lang w:val="en-GB"/>
        </w:rPr>
        <w:t>2</w:t>
      </w:r>
      <w:r>
        <w:rPr>
          <w:lang w:val="en-GB"/>
        </w:rPr>
        <w:t>O, SO</w:t>
      </w:r>
      <w:r>
        <w:rPr>
          <w:vertAlign w:val="subscript"/>
          <w:lang w:val="en-GB"/>
        </w:rPr>
        <w:t>2</w:t>
      </w:r>
      <w:r>
        <w:rPr>
          <w:lang w:val="en-GB"/>
        </w:rPr>
        <w:t>, NH</w:t>
      </w:r>
      <w:r>
        <w:rPr>
          <w:vertAlign w:val="subscript"/>
          <w:lang w:val="en-GB"/>
        </w:rPr>
        <w:t>3</w:t>
      </w:r>
      <w:r>
        <w:rPr>
          <w:lang w:val="en-GB"/>
        </w:rPr>
        <w:t>, HCl, CO</w:t>
      </w:r>
      <w:r>
        <w:rPr>
          <w:vertAlign w:val="subscript"/>
          <w:lang w:val="en-GB"/>
        </w:rPr>
        <w:t>2</w:t>
      </w:r>
      <w:r>
        <w:rPr>
          <w:lang w:val="en-GB"/>
        </w:rPr>
        <w:t>, H</w:t>
      </w:r>
      <w:r>
        <w:rPr>
          <w:vertAlign w:val="subscript"/>
          <w:lang w:val="en-GB"/>
        </w:rPr>
        <w:t>2</w:t>
      </w:r>
      <w:r>
        <w:rPr>
          <w:lang w:val="en-GB"/>
        </w:rPr>
        <w:t>O und O</w:t>
      </w:r>
      <w:r>
        <w:rPr>
          <w:vertAlign w:val="subscript"/>
          <w:lang w:val="en-GB"/>
        </w:rPr>
        <w:t>2</w:t>
      </w:r>
    </w:p>
    <w:p>
      <w:pPr>
        <w:pStyle w:val="GesAbsatz"/>
      </w:pPr>
      <w:r>
        <w:t>Hersteller:</w:t>
      </w:r>
    </w:p>
    <w:p>
      <w:pPr>
        <w:pStyle w:val="GesAbsatz"/>
      </w:pPr>
      <w:r>
        <w:t>Gasmet Technologies Oy, Helsinki, Finnland</w:t>
      </w:r>
    </w:p>
    <w:p>
      <w:pPr>
        <w:pStyle w:val="GesAbsatz"/>
      </w:pPr>
      <w:r>
        <w:t>Eignung:</w:t>
      </w:r>
    </w:p>
    <w:p>
      <w:pPr>
        <w:pStyle w:val="GesAbsatz"/>
      </w:pPr>
      <w:r>
        <w:t>Für genehmigungsbedürftige Anlagen sowie Anlagen der 27. BImSchV</w:t>
      </w:r>
    </w:p>
    <w:p>
      <w:pPr>
        <w:pStyle w:val="GesAbsatz"/>
      </w:pPr>
      <w:r>
        <w:t>Messbereiche in der Eignungsprüfung: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7"/>
        <w:gridCol w:w="2986"/>
        <w:gridCol w:w="2985"/>
        <w:gridCol w:w="2990"/>
      </w:tblGrid>
      <w:tr>
        <w:tc>
          <w:tcPr>
            <w:tcW w:w="425" w:type="dxa"/>
            <w:shd w:val="clear" w:color="auto" w:fill="auto"/>
          </w:tcPr>
          <w:p>
            <w:pPr>
              <w:pStyle w:val="GesAbsatz"/>
              <w:tabs>
                <w:tab w:val="clear" w:pos="425"/>
              </w:tabs>
              <w:rPr>
                <w:sz w:val="18"/>
                <w:szCs w:val="18"/>
              </w:rPr>
            </w:pPr>
            <w:r>
              <w:rPr>
                <w:sz w:val="18"/>
                <w:szCs w:val="18"/>
              </w:rPr>
              <w:t>Kompone</w:t>
            </w:r>
            <w:r>
              <w:rPr>
                <w:sz w:val="18"/>
                <w:szCs w:val="18"/>
              </w:rPr>
              <w:t>n</w:t>
            </w:r>
            <w:r>
              <w:rPr>
                <w:sz w:val="18"/>
                <w:szCs w:val="18"/>
              </w:rPr>
              <w:t>te</w:t>
            </w:r>
          </w:p>
        </w:tc>
        <w:tc>
          <w:tcPr>
            <w:tcW w:w="3117" w:type="dxa"/>
            <w:shd w:val="clear" w:color="auto" w:fill="auto"/>
          </w:tcPr>
          <w:p>
            <w:pPr>
              <w:pStyle w:val="GesAbsatz"/>
              <w:tabs>
                <w:tab w:val="clear" w:pos="425"/>
              </w:tabs>
              <w:rPr>
                <w:sz w:val="18"/>
                <w:szCs w:val="18"/>
              </w:rPr>
            </w:pPr>
            <w:r>
              <w:rPr>
                <w:sz w:val="18"/>
                <w:szCs w:val="18"/>
              </w:rPr>
              <w:t>Zertifizierungsbereich</w:t>
            </w:r>
          </w:p>
        </w:tc>
        <w:tc>
          <w:tcPr>
            <w:tcW w:w="3118" w:type="dxa"/>
            <w:shd w:val="clear" w:color="auto" w:fill="auto"/>
          </w:tcPr>
          <w:p>
            <w:pPr>
              <w:pStyle w:val="GesAbsatz"/>
              <w:tabs>
                <w:tab w:val="clear" w:pos="425"/>
              </w:tabs>
              <w:rPr>
                <w:sz w:val="18"/>
                <w:szCs w:val="18"/>
              </w:rPr>
            </w:pPr>
            <w:r>
              <w:rPr>
                <w:sz w:val="18"/>
                <w:szCs w:val="18"/>
              </w:rPr>
              <w:t>zusätzlicher Messbereich</w:t>
            </w:r>
          </w:p>
        </w:tc>
        <w:tc>
          <w:tcPr>
            <w:tcW w:w="3118" w:type="dxa"/>
            <w:shd w:val="clear" w:color="auto" w:fill="auto"/>
          </w:tcPr>
          <w:p>
            <w:pPr>
              <w:pStyle w:val="GesAbsatz"/>
              <w:tabs>
                <w:tab w:val="clear" w:pos="425"/>
              </w:tabs>
              <w:rPr>
                <w:sz w:val="18"/>
                <w:szCs w:val="18"/>
              </w:rPr>
            </w:pPr>
            <w:r>
              <w:rPr>
                <w:sz w:val="18"/>
                <w:szCs w:val="18"/>
              </w:rPr>
              <w:t>Einheit</w:t>
            </w:r>
          </w:p>
        </w:tc>
      </w:tr>
      <w:tr>
        <w:tc>
          <w:tcPr>
            <w:tcW w:w="425" w:type="dxa"/>
            <w:shd w:val="clear" w:color="auto" w:fill="auto"/>
          </w:tcPr>
          <w:p>
            <w:pPr>
              <w:pStyle w:val="GesAbsatz"/>
              <w:tabs>
                <w:tab w:val="clear" w:pos="425"/>
              </w:tabs>
              <w:rPr>
                <w:lang w:val="en-GB"/>
              </w:rPr>
            </w:pPr>
            <w:r>
              <w:rPr>
                <w:lang w:val="en-GB"/>
              </w:rPr>
              <w:t>HF</w:t>
            </w:r>
          </w:p>
        </w:tc>
        <w:tc>
          <w:tcPr>
            <w:tcW w:w="3117" w:type="dxa"/>
            <w:shd w:val="clear" w:color="auto" w:fill="auto"/>
          </w:tcPr>
          <w:p>
            <w:pPr>
              <w:pStyle w:val="GesAbsatz"/>
              <w:tabs>
                <w:tab w:val="clear" w:pos="425"/>
              </w:tabs>
              <w:rPr>
                <w:lang w:val="en-GB"/>
              </w:rPr>
            </w:pPr>
            <w:r>
              <w:rPr>
                <w:lang w:val="en-GB"/>
              </w:rPr>
              <w:t>0-3</w:t>
            </w:r>
          </w:p>
        </w:tc>
        <w:tc>
          <w:tcPr>
            <w:tcW w:w="3118" w:type="dxa"/>
            <w:shd w:val="clear" w:color="auto" w:fill="auto"/>
          </w:tcPr>
          <w:p>
            <w:pPr>
              <w:pStyle w:val="GesAbsatz"/>
              <w:tabs>
                <w:tab w:val="clear" w:pos="425"/>
              </w:tabs>
              <w:rPr>
                <w:lang w:val="en-GB"/>
              </w:rPr>
            </w:pPr>
            <w:r>
              <w:rPr>
                <w:lang w:val="en-GB"/>
              </w:rPr>
              <w:t>0-10</w:t>
            </w:r>
          </w:p>
        </w:tc>
        <w:tc>
          <w:tcPr>
            <w:tcW w:w="3118" w:type="dxa"/>
            <w:shd w:val="clear" w:color="auto" w:fill="auto"/>
          </w:tcPr>
          <w:p>
            <w:pPr>
              <w:pStyle w:val="GesAbsatz"/>
              <w:tabs>
                <w:tab w:val="clear" w:pos="425"/>
              </w:tabs>
              <w:rPr>
                <w:lang w:val="en-GB"/>
              </w:rPr>
            </w:pPr>
            <w:r>
              <w:rPr>
                <w:lang w:val="en-GB"/>
              </w:rPr>
              <w:t>mg/m</w:t>
            </w:r>
            <w:r>
              <w:rPr>
                <w:vertAlign w:val="superscript"/>
                <w:lang w:val="en-GB"/>
              </w:rPr>
              <w:t>3</w:t>
            </w:r>
          </w:p>
        </w:tc>
      </w:tr>
      <w:tr>
        <w:tc>
          <w:tcPr>
            <w:tcW w:w="425" w:type="dxa"/>
            <w:shd w:val="clear" w:color="auto" w:fill="auto"/>
          </w:tcPr>
          <w:p>
            <w:pPr>
              <w:pStyle w:val="GesAbsatz"/>
              <w:tabs>
                <w:tab w:val="clear" w:pos="425"/>
              </w:tabs>
              <w:rPr>
                <w:lang w:val="en-GB"/>
              </w:rPr>
            </w:pPr>
            <w:r>
              <w:rPr>
                <w:lang w:val="en-GB"/>
              </w:rPr>
              <w:t>O</w:t>
            </w:r>
            <w:r>
              <w:rPr>
                <w:vertAlign w:val="subscript"/>
                <w:lang w:val="en-GB"/>
              </w:rPr>
              <w:t>2</w:t>
            </w:r>
          </w:p>
        </w:tc>
        <w:tc>
          <w:tcPr>
            <w:tcW w:w="3117" w:type="dxa"/>
            <w:shd w:val="clear" w:color="auto" w:fill="auto"/>
          </w:tcPr>
          <w:p>
            <w:pPr>
              <w:pStyle w:val="GesAbsatz"/>
              <w:tabs>
                <w:tab w:val="clear" w:pos="425"/>
              </w:tabs>
              <w:rPr>
                <w:lang w:val="en-GB"/>
              </w:rPr>
            </w:pPr>
            <w:r>
              <w:rPr>
                <w:lang w:val="en-GB"/>
              </w:rPr>
              <w:t>0-25</w:t>
            </w:r>
          </w:p>
        </w:tc>
        <w:tc>
          <w:tcPr>
            <w:tcW w:w="3118" w:type="dxa"/>
            <w:shd w:val="clear" w:color="auto" w:fill="auto"/>
          </w:tcPr>
          <w:p>
            <w:pPr>
              <w:pStyle w:val="GesAbsatz"/>
              <w:tabs>
                <w:tab w:val="clear" w:pos="425"/>
              </w:tabs>
              <w:rPr>
                <w:lang w:val="en-GB"/>
              </w:rPr>
            </w:pPr>
            <w:r>
              <w:rPr>
                <w:lang w:val="en-GB"/>
              </w:rPr>
              <w:t>-</w:t>
            </w:r>
          </w:p>
        </w:tc>
        <w:tc>
          <w:tcPr>
            <w:tcW w:w="3118" w:type="dxa"/>
            <w:shd w:val="clear" w:color="auto" w:fill="auto"/>
          </w:tcPr>
          <w:p>
            <w:pPr>
              <w:pStyle w:val="GesAbsatz"/>
              <w:tabs>
                <w:tab w:val="clear" w:pos="425"/>
              </w:tabs>
              <w:rPr>
                <w:lang w:val="en-GB"/>
              </w:rPr>
            </w:pPr>
            <w:r>
              <w:rPr>
                <w:lang w:val="en-GB"/>
              </w:rPr>
              <w:t>Vol.-%</w:t>
            </w:r>
          </w:p>
        </w:tc>
      </w:tr>
      <w:tr>
        <w:tc>
          <w:tcPr>
            <w:tcW w:w="425" w:type="dxa"/>
            <w:shd w:val="clear" w:color="auto" w:fill="auto"/>
          </w:tcPr>
          <w:p>
            <w:pPr>
              <w:pStyle w:val="GesAbsatz"/>
              <w:tabs>
                <w:tab w:val="clear" w:pos="425"/>
              </w:tabs>
              <w:rPr>
                <w:lang w:val="en-GB"/>
              </w:rPr>
            </w:pPr>
            <w:r>
              <w:rPr>
                <w:lang w:val="en-GB"/>
              </w:rPr>
              <w:t>CO</w:t>
            </w:r>
          </w:p>
        </w:tc>
        <w:tc>
          <w:tcPr>
            <w:tcW w:w="3117" w:type="dxa"/>
            <w:shd w:val="clear" w:color="auto" w:fill="auto"/>
          </w:tcPr>
          <w:p>
            <w:pPr>
              <w:pStyle w:val="GesAbsatz"/>
              <w:tabs>
                <w:tab w:val="clear" w:pos="425"/>
              </w:tabs>
              <w:rPr>
                <w:lang w:val="en-GB"/>
              </w:rPr>
            </w:pPr>
            <w:r>
              <w:rPr>
                <w:lang w:val="en-GB"/>
              </w:rPr>
              <w:t>0-75</w:t>
            </w:r>
          </w:p>
        </w:tc>
        <w:tc>
          <w:tcPr>
            <w:tcW w:w="3118" w:type="dxa"/>
            <w:shd w:val="clear" w:color="auto" w:fill="auto"/>
          </w:tcPr>
          <w:p>
            <w:pPr>
              <w:pStyle w:val="GesAbsatz"/>
              <w:tabs>
                <w:tab w:val="clear" w:pos="425"/>
              </w:tabs>
              <w:rPr>
                <w:lang w:val="en-GB"/>
              </w:rPr>
            </w:pPr>
            <w:r>
              <w:rPr>
                <w:lang w:val="en-GB"/>
              </w:rPr>
              <w:t>0-300</w:t>
            </w:r>
          </w:p>
        </w:tc>
        <w:tc>
          <w:tcPr>
            <w:tcW w:w="3118" w:type="dxa"/>
            <w:shd w:val="clear" w:color="auto" w:fill="auto"/>
          </w:tcPr>
          <w:p>
            <w:pPr>
              <w:pStyle w:val="GesAbsatz"/>
              <w:tabs>
                <w:tab w:val="clear" w:pos="425"/>
              </w:tabs>
              <w:rPr>
                <w:lang w:val="en-GB"/>
              </w:rPr>
            </w:pPr>
            <w:r>
              <w:rPr>
                <w:lang w:val="en-GB"/>
              </w:rPr>
              <w:t>mg/m</w:t>
            </w:r>
            <w:r>
              <w:rPr>
                <w:vertAlign w:val="superscript"/>
                <w:lang w:val="en-GB"/>
              </w:rPr>
              <w:t>3</w:t>
            </w:r>
          </w:p>
        </w:tc>
      </w:tr>
      <w:tr>
        <w:tc>
          <w:tcPr>
            <w:tcW w:w="425" w:type="dxa"/>
            <w:shd w:val="clear" w:color="auto" w:fill="auto"/>
          </w:tcPr>
          <w:p>
            <w:pPr>
              <w:pStyle w:val="GesAbsatz"/>
              <w:tabs>
                <w:tab w:val="clear" w:pos="425"/>
              </w:tabs>
              <w:rPr>
                <w:lang w:val="en-GB"/>
              </w:rPr>
            </w:pPr>
            <w:r>
              <w:rPr>
                <w:lang w:val="en-GB"/>
              </w:rPr>
              <w:t>NO</w:t>
            </w:r>
          </w:p>
        </w:tc>
        <w:tc>
          <w:tcPr>
            <w:tcW w:w="3117" w:type="dxa"/>
            <w:shd w:val="clear" w:color="auto" w:fill="auto"/>
          </w:tcPr>
          <w:p>
            <w:pPr>
              <w:pStyle w:val="GesAbsatz"/>
              <w:tabs>
                <w:tab w:val="clear" w:pos="425"/>
              </w:tabs>
              <w:rPr>
                <w:lang w:val="en-GB"/>
              </w:rPr>
            </w:pPr>
            <w:r>
              <w:rPr>
                <w:lang w:val="en-GB"/>
              </w:rPr>
              <w:t>0-200</w:t>
            </w:r>
          </w:p>
        </w:tc>
        <w:tc>
          <w:tcPr>
            <w:tcW w:w="3118" w:type="dxa"/>
            <w:shd w:val="clear" w:color="auto" w:fill="auto"/>
          </w:tcPr>
          <w:p>
            <w:pPr>
              <w:pStyle w:val="GesAbsatz"/>
              <w:tabs>
                <w:tab w:val="clear" w:pos="425"/>
              </w:tabs>
              <w:rPr>
                <w:lang w:val="en-GB"/>
              </w:rPr>
            </w:pPr>
            <w:r>
              <w:rPr>
                <w:lang w:val="en-GB"/>
              </w:rPr>
              <w:t>0-600</w:t>
            </w:r>
          </w:p>
        </w:tc>
        <w:tc>
          <w:tcPr>
            <w:tcW w:w="3118" w:type="dxa"/>
            <w:shd w:val="clear" w:color="auto" w:fill="auto"/>
          </w:tcPr>
          <w:p>
            <w:pPr>
              <w:pStyle w:val="GesAbsatz"/>
              <w:tabs>
                <w:tab w:val="clear" w:pos="425"/>
              </w:tabs>
              <w:rPr>
                <w:lang w:val="en-GB"/>
              </w:rPr>
            </w:pPr>
            <w:r>
              <w:rPr>
                <w:lang w:val="en-GB"/>
              </w:rPr>
              <w:t>mg/m</w:t>
            </w:r>
            <w:r>
              <w:rPr>
                <w:vertAlign w:val="superscript"/>
                <w:lang w:val="en-GB"/>
              </w:rPr>
              <w:t>3</w:t>
            </w:r>
          </w:p>
        </w:tc>
      </w:tr>
      <w:tr>
        <w:tc>
          <w:tcPr>
            <w:tcW w:w="425" w:type="dxa"/>
            <w:shd w:val="clear" w:color="auto" w:fill="auto"/>
          </w:tcPr>
          <w:p>
            <w:pPr>
              <w:pStyle w:val="GesAbsatz"/>
              <w:tabs>
                <w:tab w:val="clear" w:pos="425"/>
              </w:tabs>
              <w:rPr>
                <w:lang w:val="en-GB"/>
              </w:rPr>
            </w:pPr>
            <w:r>
              <w:rPr>
                <w:lang w:val="en-GB"/>
              </w:rPr>
              <w:t>NO</w:t>
            </w:r>
            <w:r>
              <w:rPr>
                <w:vertAlign w:val="subscript"/>
                <w:lang w:val="en-GB"/>
              </w:rPr>
              <w:t>2</w:t>
            </w:r>
          </w:p>
        </w:tc>
        <w:tc>
          <w:tcPr>
            <w:tcW w:w="3117" w:type="dxa"/>
            <w:shd w:val="clear" w:color="auto" w:fill="auto"/>
          </w:tcPr>
          <w:p>
            <w:pPr>
              <w:pStyle w:val="GesAbsatz"/>
              <w:tabs>
                <w:tab w:val="clear" w:pos="425"/>
              </w:tabs>
              <w:rPr>
                <w:lang w:val="en-GB"/>
              </w:rPr>
            </w:pPr>
            <w:r>
              <w:rPr>
                <w:lang w:val="en-GB"/>
              </w:rPr>
              <w:t>0-200</w:t>
            </w:r>
          </w:p>
        </w:tc>
        <w:tc>
          <w:tcPr>
            <w:tcW w:w="3118" w:type="dxa"/>
            <w:shd w:val="clear" w:color="auto" w:fill="auto"/>
          </w:tcPr>
          <w:p>
            <w:pPr>
              <w:pStyle w:val="GesAbsatz"/>
              <w:tabs>
                <w:tab w:val="clear" w:pos="425"/>
              </w:tabs>
              <w:rPr>
                <w:lang w:val="en-GB"/>
              </w:rPr>
            </w:pPr>
            <w:r>
              <w:rPr>
                <w:lang w:val="en-GB"/>
              </w:rPr>
              <w:t>-</w:t>
            </w:r>
          </w:p>
        </w:tc>
        <w:tc>
          <w:tcPr>
            <w:tcW w:w="3118" w:type="dxa"/>
            <w:shd w:val="clear" w:color="auto" w:fill="auto"/>
          </w:tcPr>
          <w:p>
            <w:pPr>
              <w:pStyle w:val="GesAbsatz"/>
              <w:tabs>
                <w:tab w:val="clear" w:pos="425"/>
              </w:tabs>
              <w:rPr>
                <w:lang w:val="en-GB"/>
              </w:rPr>
            </w:pPr>
            <w:r>
              <w:rPr>
                <w:lang w:val="en-GB"/>
              </w:rPr>
              <w:t>mg/m</w:t>
            </w:r>
            <w:r>
              <w:rPr>
                <w:vertAlign w:val="superscript"/>
                <w:lang w:val="en-GB"/>
              </w:rPr>
              <w:t>3</w:t>
            </w:r>
          </w:p>
        </w:tc>
      </w:tr>
      <w:tr>
        <w:tc>
          <w:tcPr>
            <w:tcW w:w="425" w:type="dxa"/>
            <w:shd w:val="clear" w:color="auto" w:fill="auto"/>
          </w:tcPr>
          <w:p>
            <w:pPr>
              <w:pStyle w:val="GesAbsatz"/>
              <w:tabs>
                <w:tab w:val="clear" w:pos="425"/>
              </w:tabs>
              <w:rPr>
                <w:lang w:val="en-GB"/>
              </w:rPr>
            </w:pPr>
            <w:r>
              <w:rPr>
                <w:lang w:val="en-GB"/>
              </w:rPr>
              <w:t>N</w:t>
            </w:r>
            <w:r>
              <w:rPr>
                <w:vertAlign w:val="subscript"/>
                <w:lang w:val="en-GB"/>
              </w:rPr>
              <w:t>2</w:t>
            </w:r>
            <w:r>
              <w:rPr>
                <w:lang w:val="en-GB"/>
              </w:rPr>
              <w:t>O</w:t>
            </w:r>
          </w:p>
        </w:tc>
        <w:tc>
          <w:tcPr>
            <w:tcW w:w="3117" w:type="dxa"/>
            <w:shd w:val="clear" w:color="auto" w:fill="auto"/>
          </w:tcPr>
          <w:p>
            <w:pPr>
              <w:pStyle w:val="GesAbsatz"/>
              <w:tabs>
                <w:tab w:val="clear" w:pos="425"/>
              </w:tabs>
              <w:rPr>
                <w:lang w:val="en-GB"/>
              </w:rPr>
            </w:pPr>
            <w:r>
              <w:rPr>
                <w:lang w:val="en-GB"/>
              </w:rPr>
              <w:t>0-100</w:t>
            </w:r>
          </w:p>
        </w:tc>
        <w:tc>
          <w:tcPr>
            <w:tcW w:w="3118" w:type="dxa"/>
            <w:shd w:val="clear" w:color="auto" w:fill="auto"/>
          </w:tcPr>
          <w:p>
            <w:pPr>
              <w:pStyle w:val="GesAbsatz"/>
              <w:tabs>
                <w:tab w:val="clear" w:pos="425"/>
              </w:tabs>
              <w:rPr>
                <w:lang w:val="en-GB"/>
              </w:rPr>
            </w:pPr>
            <w:r>
              <w:rPr>
                <w:lang w:val="en-GB"/>
              </w:rPr>
              <w:t>-</w:t>
            </w:r>
          </w:p>
        </w:tc>
        <w:tc>
          <w:tcPr>
            <w:tcW w:w="3118" w:type="dxa"/>
            <w:shd w:val="clear" w:color="auto" w:fill="auto"/>
          </w:tcPr>
          <w:p>
            <w:pPr>
              <w:pStyle w:val="GesAbsatz"/>
              <w:tabs>
                <w:tab w:val="clear" w:pos="425"/>
              </w:tabs>
              <w:rPr>
                <w:lang w:val="en-GB"/>
              </w:rPr>
            </w:pPr>
            <w:r>
              <w:rPr>
                <w:lang w:val="en-GB"/>
              </w:rPr>
              <w:t>mg/m</w:t>
            </w:r>
            <w:r>
              <w:rPr>
                <w:vertAlign w:val="superscript"/>
                <w:lang w:val="en-GB"/>
              </w:rPr>
              <w:t>3</w:t>
            </w:r>
          </w:p>
        </w:tc>
      </w:tr>
      <w:tr>
        <w:tc>
          <w:tcPr>
            <w:tcW w:w="425" w:type="dxa"/>
            <w:shd w:val="clear" w:color="auto" w:fill="auto"/>
          </w:tcPr>
          <w:p>
            <w:pPr>
              <w:pStyle w:val="GesAbsatz"/>
              <w:tabs>
                <w:tab w:val="clear" w:pos="425"/>
              </w:tabs>
            </w:pPr>
            <w:r>
              <w:t>SO</w:t>
            </w:r>
            <w:r>
              <w:rPr>
                <w:vertAlign w:val="subscript"/>
              </w:rPr>
              <w:t>2</w:t>
            </w:r>
          </w:p>
        </w:tc>
        <w:tc>
          <w:tcPr>
            <w:tcW w:w="3117" w:type="dxa"/>
            <w:shd w:val="clear" w:color="auto" w:fill="auto"/>
          </w:tcPr>
          <w:p>
            <w:pPr>
              <w:pStyle w:val="GesAbsatz"/>
              <w:tabs>
                <w:tab w:val="clear" w:pos="425"/>
              </w:tabs>
            </w:pPr>
            <w:r>
              <w:t>0-75</w:t>
            </w:r>
          </w:p>
        </w:tc>
        <w:tc>
          <w:tcPr>
            <w:tcW w:w="3118" w:type="dxa"/>
            <w:shd w:val="clear" w:color="auto" w:fill="auto"/>
          </w:tcPr>
          <w:p>
            <w:pPr>
              <w:pStyle w:val="GesAbsatz"/>
              <w:tabs>
                <w:tab w:val="clear" w:pos="425"/>
              </w:tabs>
            </w:pPr>
            <w:r>
              <w:t>0-300</w:t>
            </w:r>
          </w:p>
        </w:tc>
        <w:tc>
          <w:tcPr>
            <w:tcW w:w="3118" w:type="dxa"/>
            <w:shd w:val="clear" w:color="auto" w:fill="auto"/>
          </w:tcPr>
          <w:p>
            <w:pPr>
              <w:pStyle w:val="GesAbsatz"/>
              <w:tabs>
                <w:tab w:val="clear" w:pos="425"/>
              </w:tabs>
            </w:pPr>
            <w:r>
              <w:t>mg/m</w:t>
            </w:r>
            <w:r>
              <w:rPr>
                <w:vertAlign w:val="superscript"/>
              </w:rPr>
              <w:t>3</w:t>
            </w:r>
          </w:p>
        </w:tc>
      </w:tr>
      <w:tr>
        <w:tc>
          <w:tcPr>
            <w:tcW w:w="425" w:type="dxa"/>
            <w:shd w:val="clear" w:color="auto" w:fill="auto"/>
          </w:tcPr>
          <w:p>
            <w:pPr>
              <w:pStyle w:val="GesAbsatz"/>
              <w:tabs>
                <w:tab w:val="clear" w:pos="425"/>
              </w:tabs>
            </w:pPr>
            <w:r>
              <w:t>NH</w:t>
            </w:r>
            <w:r>
              <w:rPr>
                <w:vertAlign w:val="subscript"/>
              </w:rPr>
              <w:t>3</w:t>
            </w:r>
          </w:p>
        </w:tc>
        <w:tc>
          <w:tcPr>
            <w:tcW w:w="3117" w:type="dxa"/>
            <w:shd w:val="clear" w:color="auto" w:fill="auto"/>
          </w:tcPr>
          <w:p>
            <w:pPr>
              <w:pStyle w:val="GesAbsatz"/>
              <w:tabs>
                <w:tab w:val="clear" w:pos="425"/>
              </w:tabs>
            </w:pPr>
            <w:r>
              <w:t>0-15</w:t>
            </w:r>
          </w:p>
        </w:tc>
        <w:tc>
          <w:tcPr>
            <w:tcW w:w="3118" w:type="dxa"/>
            <w:shd w:val="clear" w:color="auto" w:fill="auto"/>
          </w:tcPr>
          <w:p>
            <w:pPr>
              <w:pStyle w:val="GesAbsatz"/>
              <w:tabs>
                <w:tab w:val="clear" w:pos="425"/>
              </w:tabs>
            </w:pPr>
            <w:r>
              <w:t>-</w:t>
            </w:r>
          </w:p>
        </w:tc>
        <w:tc>
          <w:tcPr>
            <w:tcW w:w="3118" w:type="dxa"/>
            <w:shd w:val="clear" w:color="auto" w:fill="auto"/>
          </w:tcPr>
          <w:p>
            <w:pPr>
              <w:pStyle w:val="GesAbsatz"/>
              <w:tabs>
                <w:tab w:val="clear" w:pos="425"/>
              </w:tabs>
            </w:pPr>
            <w:r>
              <w:t>mg/m</w:t>
            </w:r>
            <w:r>
              <w:rPr>
                <w:vertAlign w:val="superscript"/>
              </w:rPr>
              <w:t>3</w:t>
            </w:r>
          </w:p>
        </w:tc>
      </w:tr>
      <w:tr>
        <w:tc>
          <w:tcPr>
            <w:tcW w:w="425" w:type="dxa"/>
            <w:shd w:val="clear" w:color="auto" w:fill="auto"/>
          </w:tcPr>
          <w:p>
            <w:pPr>
              <w:pStyle w:val="GesAbsatz"/>
              <w:tabs>
                <w:tab w:val="clear" w:pos="425"/>
              </w:tabs>
            </w:pPr>
            <w:r>
              <w:t>HCl</w:t>
            </w:r>
          </w:p>
        </w:tc>
        <w:tc>
          <w:tcPr>
            <w:tcW w:w="3117" w:type="dxa"/>
            <w:shd w:val="clear" w:color="auto" w:fill="auto"/>
          </w:tcPr>
          <w:p>
            <w:pPr>
              <w:pStyle w:val="GesAbsatz"/>
              <w:tabs>
                <w:tab w:val="clear" w:pos="425"/>
              </w:tabs>
            </w:pPr>
            <w:r>
              <w:t>0-15</w:t>
            </w:r>
          </w:p>
        </w:tc>
        <w:tc>
          <w:tcPr>
            <w:tcW w:w="3118" w:type="dxa"/>
            <w:shd w:val="clear" w:color="auto" w:fill="auto"/>
          </w:tcPr>
          <w:p>
            <w:pPr>
              <w:pStyle w:val="GesAbsatz"/>
              <w:tabs>
                <w:tab w:val="clear" w:pos="425"/>
              </w:tabs>
            </w:pPr>
            <w:r>
              <w:t>0-90</w:t>
            </w:r>
          </w:p>
        </w:tc>
        <w:tc>
          <w:tcPr>
            <w:tcW w:w="3118" w:type="dxa"/>
            <w:shd w:val="clear" w:color="auto" w:fill="auto"/>
          </w:tcPr>
          <w:p>
            <w:pPr>
              <w:pStyle w:val="GesAbsatz"/>
              <w:tabs>
                <w:tab w:val="clear" w:pos="425"/>
              </w:tabs>
            </w:pPr>
            <w:r>
              <w:t>mg/m</w:t>
            </w:r>
            <w:r>
              <w:rPr>
                <w:vertAlign w:val="superscript"/>
              </w:rPr>
              <w:t>3</w:t>
            </w:r>
          </w:p>
        </w:tc>
      </w:tr>
      <w:tr>
        <w:tc>
          <w:tcPr>
            <w:tcW w:w="425" w:type="dxa"/>
            <w:shd w:val="clear" w:color="auto" w:fill="auto"/>
          </w:tcPr>
          <w:p>
            <w:pPr>
              <w:pStyle w:val="GesAbsatz"/>
              <w:tabs>
                <w:tab w:val="clear" w:pos="425"/>
              </w:tabs>
            </w:pPr>
            <w:r>
              <w:t>CO</w:t>
            </w:r>
            <w:r>
              <w:rPr>
                <w:vertAlign w:val="subscript"/>
              </w:rPr>
              <w:t>2</w:t>
            </w:r>
          </w:p>
        </w:tc>
        <w:tc>
          <w:tcPr>
            <w:tcW w:w="3117" w:type="dxa"/>
            <w:shd w:val="clear" w:color="auto" w:fill="auto"/>
          </w:tcPr>
          <w:p>
            <w:pPr>
              <w:pStyle w:val="GesAbsatz"/>
              <w:tabs>
                <w:tab w:val="clear" w:pos="425"/>
              </w:tabs>
            </w:pPr>
            <w:r>
              <w:t>0-25</w:t>
            </w:r>
          </w:p>
        </w:tc>
        <w:tc>
          <w:tcPr>
            <w:tcW w:w="3118" w:type="dxa"/>
            <w:shd w:val="clear" w:color="auto" w:fill="auto"/>
          </w:tcPr>
          <w:p>
            <w:pPr>
              <w:pStyle w:val="GesAbsatz"/>
              <w:tabs>
                <w:tab w:val="clear" w:pos="425"/>
              </w:tabs>
            </w:pPr>
            <w:r>
              <w:t>-</w:t>
            </w:r>
          </w:p>
        </w:tc>
        <w:tc>
          <w:tcPr>
            <w:tcW w:w="3118" w:type="dxa"/>
            <w:shd w:val="clear" w:color="auto" w:fill="auto"/>
          </w:tcPr>
          <w:p>
            <w:pPr>
              <w:pStyle w:val="GesAbsatz"/>
              <w:tabs>
                <w:tab w:val="clear" w:pos="425"/>
              </w:tabs>
            </w:pPr>
            <w:r>
              <w:t>Vol.-%</w:t>
            </w:r>
          </w:p>
        </w:tc>
      </w:tr>
      <w:tr>
        <w:tc>
          <w:tcPr>
            <w:tcW w:w="425" w:type="dxa"/>
            <w:shd w:val="clear" w:color="auto" w:fill="auto"/>
          </w:tcPr>
          <w:p>
            <w:pPr>
              <w:pStyle w:val="GesAbsatz"/>
              <w:tabs>
                <w:tab w:val="clear" w:pos="425"/>
              </w:tabs>
            </w:pPr>
            <w:r>
              <w:t>H</w:t>
            </w:r>
            <w:r>
              <w:rPr>
                <w:vertAlign w:val="subscript"/>
              </w:rPr>
              <w:t>2</w:t>
            </w:r>
            <w:r>
              <w:t>O</w:t>
            </w:r>
          </w:p>
        </w:tc>
        <w:tc>
          <w:tcPr>
            <w:tcW w:w="3117" w:type="dxa"/>
            <w:shd w:val="clear" w:color="auto" w:fill="auto"/>
          </w:tcPr>
          <w:p>
            <w:pPr>
              <w:pStyle w:val="GesAbsatz"/>
              <w:tabs>
                <w:tab w:val="clear" w:pos="425"/>
              </w:tabs>
            </w:pPr>
            <w:r>
              <w:t>0-30</w:t>
            </w:r>
          </w:p>
        </w:tc>
        <w:tc>
          <w:tcPr>
            <w:tcW w:w="3118" w:type="dxa"/>
            <w:shd w:val="clear" w:color="auto" w:fill="auto"/>
          </w:tcPr>
          <w:p>
            <w:pPr>
              <w:pStyle w:val="GesAbsatz"/>
              <w:tabs>
                <w:tab w:val="clear" w:pos="425"/>
              </w:tabs>
            </w:pPr>
            <w:r>
              <w:t>-</w:t>
            </w:r>
          </w:p>
        </w:tc>
        <w:tc>
          <w:tcPr>
            <w:tcW w:w="3118" w:type="dxa"/>
            <w:shd w:val="clear" w:color="auto" w:fill="auto"/>
          </w:tcPr>
          <w:p>
            <w:pPr>
              <w:pStyle w:val="GesAbsatz"/>
              <w:tabs>
                <w:tab w:val="clear" w:pos="425"/>
              </w:tabs>
            </w:pPr>
            <w:r>
              <w:t>Vol.-%</w:t>
            </w:r>
          </w:p>
        </w:tc>
      </w:tr>
    </w:tbl>
    <w:p>
      <w:pPr>
        <w:pStyle w:val="GesAbsatz"/>
      </w:pPr>
      <w:r>
        <w:t>Softwareversionen:</w:t>
      </w:r>
      <w:r>
        <w:tab/>
        <w:t>Calcmet: 11.101 mit Auswertemodul 4.42.2 und OXITEC Ver. 1.50 np</w:t>
      </w:r>
    </w:p>
    <w:p>
      <w:pPr>
        <w:pStyle w:val="GesAbsatz"/>
      </w:pPr>
      <w:r>
        <w:t>Einschränkung:</w:t>
      </w:r>
    </w:p>
    <w:p>
      <w:pPr>
        <w:pStyle w:val="GesAbsatz"/>
      </w:pPr>
      <w:r>
        <w:t>Die Messeinrichtung darf nur an Anlagen eingesetzt werden, bei denen die Abgasfeuchte 30 Vol.-% nicht dauerhaft überschreitet.</w:t>
      </w:r>
    </w:p>
    <w:p>
      <w:pPr>
        <w:pStyle w:val="GesAbsatz"/>
      </w:pPr>
      <w:r>
        <w:t>Hinweise:</w:t>
      </w:r>
    </w:p>
    <w:p>
      <w:pPr>
        <w:pStyle w:val="GesAbsatz"/>
        <w:ind w:left="426" w:hanging="426"/>
      </w:pPr>
      <w:r>
        <w:t>1.</w:t>
      </w:r>
      <w:r>
        <w:tab/>
        <w:t>Bei der Prüfung von HF, HCl und NH</w:t>
      </w:r>
      <w:r>
        <w:rPr>
          <w:vertAlign w:val="subscript"/>
        </w:rPr>
        <w:t>3</w:t>
      </w:r>
      <w:r>
        <w:t xml:space="preserve"> sind feuchte Prüfgase einzusetzen.</w:t>
      </w:r>
    </w:p>
    <w:p>
      <w:pPr>
        <w:pStyle w:val="GesAbsatz"/>
        <w:ind w:left="426" w:hanging="426"/>
      </w:pPr>
      <w:r>
        <w:t>2.</w:t>
      </w:r>
      <w:r>
        <w:tab/>
        <w:t>Das Wartungsintervall beträgt vier Wochen.</w:t>
      </w:r>
    </w:p>
    <w:p>
      <w:pPr>
        <w:pStyle w:val="GesAbsatz"/>
        <w:ind w:left="426" w:hanging="426"/>
      </w:pPr>
      <w:r>
        <w:t>3.</w:t>
      </w:r>
      <w:r>
        <w:tab/>
        <w:t>Nach Anlagenstörungen ist die Probenahmesonde zu reinigen.</w:t>
      </w:r>
    </w:p>
    <w:p>
      <w:pPr>
        <w:pStyle w:val="GesAbsatz"/>
        <w:ind w:left="426" w:hanging="426"/>
      </w:pPr>
      <w:r>
        <w:t>4.</w:t>
      </w:r>
      <w:r>
        <w:tab/>
        <w:t>Zur O</w:t>
      </w:r>
      <w:r>
        <w:rPr>
          <w:vertAlign w:val="subscript"/>
        </w:rPr>
        <w:t>2</w:t>
      </w:r>
      <w:r>
        <w:t>-Messung ist der Analysator OXITEC 500E SME 5 der Firma ENOTEC GmbH, Marienheide, Deutschland integriert.</w:t>
      </w:r>
    </w:p>
    <w:p>
      <w:pPr>
        <w:pStyle w:val="GesAbsatz"/>
        <w:ind w:left="426" w:hanging="426"/>
      </w:pPr>
      <w:r>
        <w:t>5.</w:t>
      </w:r>
      <w:r>
        <w:tab/>
        <w:t>Ergänzungsprüfung für die Komponente HF zur Bekanntmachung des Umweltbundesamtes vom 14. Februar 2008 (BAnz. S. 901, Kapitel I Nummer 2.1).</w:t>
      </w:r>
    </w:p>
    <w:p>
      <w:pPr>
        <w:pStyle w:val="GesAbsatz"/>
      </w:pPr>
      <w:r>
        <w:t>Prüfbericht:</w:t>
      </w:r>
    </w:p>
    <w:p>
      <w:pPr>
        <w:pStyle w:val="GesAbsatz"/>
      </w:pPr>
      <w:r>
        <w:t>TÜV Rheinland Energie und Umwelt GmbH, Köln</w:t>
      </w:r>
    </w:p>
    <w:p>
      <w:pPr>
        <w:pStyle w:val="GesAbsatz"/>
      </w:pPr>
      <w:r>
        <w:t>Bericht-Nr.: 936/21210692/A vom 30. März 2011</w:t>
      </w:r>
    </w:p>
    <w:p>
      <w:pPr>
        <w:pStyle w:val="GesAbsatz"/>
        <w:rPr>
          <w:b/>
        </w:rPr>
      </w:pPr>
      <w:r>
        <w:rPr>
          <w:b/>
        </w:rPr>
        <w:lastRenderedPageBreak/>
        <w:t>4.2</w:t>
      </w:r>
      <w:r>
        <w:rPr>
          <w:b/>
        </w:rPr>
        <w:tab/>
        <w:t>PG250 SRM für CO, NO</w:t>
      </w:r>
      <w:r>
        <w:rPr>
          <w:b/>
          <w:vertAlign w:val="subscript"/>
        </w:rPr>
        <w:t>x</w:t>
      </w:r>
      <w:r>
        <w:rPr>
          <w:b/>
        </w:rPr>
        <w:t xml:space="preserve"> und O</w:t>
      </w:r>
      <w:r>
        <w:rPr>
          <w:b/>
          <w:vertAlign w:val="subscript"/>
        </w:rPr>
        <w:t>2</w:t>
      </w:r>
    </w:p>
    <w:p>
      <w:pPr>
        <w:pStyle w:val="GesAbsatz"/>
      </w:pPr>
      <w:r>
        <w:t>Hersteller:</w:t>
      </w:r>
    </w:p>
    <w:p>
      <w:pPr>
        <w:pStyle w:val="GesAbsatz"/>
      </w:pPr>
      <w:r>
        <w:t>Horiba Europe GmbH, Leichlingen</w:t>
      </w:r>
    </w:p>
    <w:p>
      <w:pPr>
        <w:pStyle w:val="GesAbsatz"/>
      </w:pPr>
      <w:r>
        <w:t>Eignung:</w:t>
      </w:r>
    </w:p>
    <w:p>
      <w:pPr>
        <w:pStyle w:val="GesAbsatz"/>
      </w:pPr>
      <w:r>
        <w:t>Für genehmigungsbedürftige Anlagen sowie Anlagen der 27. BImSchV</w:t>
      </w:r>
    </w:p>
    <w:p>
      <w:pPr>
        <w:pStyle w:val="GesAbsatz"/>
      </w:pPr>
      <w:r>
        <w:t>Messbereiche in der Eignungsprüfung: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8"/>
        <w:gridCol w:w="2710"/>
        <w:gridCol w:w="2751"/>
        <w:gridCol w:w="2669"/>
      </w:tblGrid>
      <w:tr>
        <w:tc>
          <w:tcPr>
            <w:tcW w:w="1526" w:type="dxa"/>
            <w:shd w:val="clear" w:color="auto" w:fill="auto"/>
          </w:tcPr>
          <w:p>
            <w:pPr>
              <w:pStyle w:val="GesAbsatz"/>
              <w:tabs>
                <w:tab w:val="clear" w:pos="425"/>
              </w:tabs>
              <w:rPr>
                <w:sz w:val="18"/>
                <w:szCs w:val="18"/>
              </w:rPr>
            </w:pPr>
            <w:r>
              <w:rPr>
                <w:sz w:val="18"/>
                <w:szCs w:val="18"/>
              </w:rPr>
              <w:t>Komponente</w:t>
            </w:r>
          </w:p>
        </w:tc>
        <w:tc>
          <w:tcPr>
            <w:tcW w:w="2776" w:type="dxa"/>
            <w:shd w:val="clear" w:color="auto" w:fill="auto"/>
          </w:tcPr>
          <w:p>
            <w:pPr>
              <w:pStyle w:val="GesAbsatz"/>
              <w:tabs>
                <w:tab w:val="clear" w:pos="425"/>
              </w:tabs>
              <w:rPr>
                <w:sz w:val="18"/>
                <w:szCs w:val="18"/>
              </w:rPr>
            </w:pPr>
            <w:r>
              <w:rPr>
                <w:sz w:val="18"/>
                <w:szCs w:val="18"/>
              </w:rPr>
              <w:t>Zertifizierungsbereich</w:t>
            </w:r>
          </w:p>
        </w:tc>
        <w:tc>
          <w:tcPr>
            <w:tcW w:w="2820" w:type="dxa"/>
            <w:shd w:val="clear" w:color="auto" w:fill="auto"/>
          </w:tcPr>
          <w:p>
            <w:pPr>
              <w:pStyle w:val="GesAbsatz"/>
              <w:tabs>
                <w:tab w:val="clear" w:pos="425"/>
              </w:tabs>
              <w:rPr>
                <w:sz w:val="18"/>
                <w:szCs w:val="18"/>
              </w:rPr>
            </w:pPr>
            <w:r>
              <w:rPr>
                <w:sz w:val="18"/>
                <w:szCs w:val="18"/>
              </w:rPr>
              <w:t>zusätzlicher Messbereich</w:t>
            </w:r>
          </w:p>
        </w:tc>
        <w:tc>
          <w:tcPr>
            <w:tcW w:w="2732" w:type="dxa"/>
            <w:shd w:val="clear" w:color="auto" w:fill="auto"/>
          </w:tcPr>
          <w:p>
            <w:pPr>
              <w:pStyle w:val="GesAbsatz"/>
              <w:tabs>
                <w:tab w:val="clear" w:pos="425"/>
              </w:tabs>
              <w:rPr>
                <w:sz w:val="18"/>
                <w:szCs w:val="18"/>
              </w:rPr>
            </w:pPr>
            <w:r>
              <w:rPr>
                <w:sz w:val="18"/>
                <w:szCs w:val="18"/>
              </w:rPr>
              <w:t>Einheit</w:t>
            </w:r>
          </w:p>
        </w:tc>
      </w:tr>
      <w:tr>
        <w:tc>
          <w:tcPr>
            <w:tcW w:w="1526" w:type="dxa"/>
            <w:shd w:val="clear" w:color="auto" w:fill="auto"/>
          </w:tcPr>
          <w:p>
            <w:pPr>
              <w:pStyle w:val="GesAbsatz"/>
              <w:tabs>
                <w:tab w:val="clear" w:pos="425"/>
              </w:tabs>
              <w:rPr>
                <w:lang w:val="en-GB"/>
              </w:rPr>
            </w:pPr>
            <w:r>
              <w:rPr>
                <w:lang w:val="en-GB"/>
              </w:rPr>
              <w:t>CO</w:t>
            </w:r>
          </w:p>
        </w:tc>
        <w:tc>
          <w:tcPr>
            <w:tcW w:w="2776" w:type="dxa"/>
            <w:shd w:val="clear" w:color="auto" w:fill="auto"/>
          </w:tcPr>
          <w:p>
            <w:pPr>
              <w:pStyle w:val="GesAbsatz"/>
              <w:tabs>
                <w:tab w:val="clear" w:pos="425"/>
              </w:tabs>
              <w:rPr>
                <w:lang w:val="en-GB"/>
              </w:rPr>
            </w:pPr>
            <w:r>
              <w:rPr>
                <w:lang w:val="en-GB"/>
              </w:rPr>
              <w:t>0-75</w:t>
            </w:r>
          </w:p>
        </w:tc>
        <w:tc>
          <w:tcPr>
            <w:tcW w:w="2820" w:type="dxa"/>
            <w:shd w:val="clear" w:color="auto" w:fill="auto"/>
          </w:tcPr>
          <w:p>
            <w:pPr>
              <w:pStyle w:val="GesAbsatz"/>
              <w:tabs>
                <w:tab w:val="clear" w:pos="425"/>
              </w:tabs>
              <w:rPr>
                <w:lang w:val="en-GB"/>
              </w:rPr>
            </w:pPr>
            <w:r>
              <w:rPr>
                <w:lang w:val="en-GB"/>
              </w:rPr>
              <w:t>0-625</w:t>
            </w:r>
          </w:p>
        </w:tc>
        <w:tc>
          <w:tcPr>
            <w:tcW w:w="2732" w:type="dxa"/>
            <w:shd w:val="clear" w:color="auto" w:fill="auto"/>
          </w:tcPr>
          <w:p>
            <w:pPr>
              <w:pStyle w:val="GesAbsatz"/>
              <w:tabs>
                <w:tab w:val="clear" w:pos="425"/>
              </w:tabs>
              <w:rPr>
                <w:lang w:val="en-GB"/>
              </w:rPr>
            </w:pPr>
            <w:r>
              <w:rPr>
                <w:lang w:val="en-GB"/>
              </w:rPr>
              <w:t>mg/m</w:t>
            </w:r>
            <w:r>
              <w:rPr>
                <w:vertAlign w:val="superscript"/>
                <w:lang w:val="en-GB"/>
              </w:rPr>
              <w:t>3</w:t>
            </w:r>
          </w:p>
        </w:tc>
      </w:tr>
      <w:tr>
        <w:tc>
          <w:tcPr>
            <w:tcW w:w="1526" w:type="dxa"/>
            <w:shd w:val="clear" w:color="auto" w:fill="auto"/>
          </w:tcPr>
          <w:p>
            <w:pPr>
              <w:pStyle w:val="GesAbsatz"/>
              <w:tabs>
                <w:tab w:val="clear" w:pos="425"/>
              </w:tabs>
              <w:rPr>
                <w:lang w:val="en-GB"/>
              </w:rPr>
            </w:pPr>
            <w:r>
              <w:rPr>
                <w:lang w:val="en-GB"/>
              </w:rPr>
              <w:t>NO</w:t>
            </w:r>
            <w:r>
              <w:rPr>
                <w:vertAlign w:val="subscript"/>
                <w:lang w:val="en-GB"/>
              </w:rPr>
              <w:t>x</w:t>
            </w:r>
            <w:r>
              <w:rPr>
                <w:lang w:val="en-GB"/>
              </w:rPr>
              <w:t xml:space="preserve"> </w:t>
            </w:r>
            <w:r>
              <w:t>als</w:t>
            </w:r>
            <w:r>
              <w:rPr>
                <w:lang w:val="en-GB"/>
              </w:rPr>
              <w:t xml:space="preserve"> </w:t>
            </w:r>
            <w:proofErr w:type="gramStart"/>
            <w:r>
              <w:rPr>
                <w:lang w:val="en-GB"/>
              </w:rPr>
              <w:t>NO .</w:t>
            </w:r>
            <w:proofErr w:type="gramEnd"/>
          </w:p>
        </w:tc>
        <w:tc>
          <w:tcPr>
            <w:tcW w:w="2776" w:type="dxa"/>
            <w:shd w:val="clear" w:color="auto" w:fill="auto"/>
          </w:tcPr>
          <w:p>
            <w:pPr>
              <w:pStyle w:val="GesAbsatz"/>
              <w:tabs>
                <w:tab w:val="clear" w:pos="425"/>
              </w:tabs>
              <w:rPr>
                <w:lang w:val="en-GB"/>
              </w:rPr>
            </w:pPr>
            <w:r>
              <w:rPr>
                <w:lang w:val="en-GB"/>
              </w:rPr>
              <w:t>0-134</w:t>
            </w:r>
          </w:p>
        </w:tc>
        <w:tc>
          <w:tcPr>
            <w:tcW w:w="2820" w:type="dxa"/>
            <w:shd w:val="clear" w:color="auto" w:fill="auto"/>
          </w:tcPr>
          <w:p>
            <w:pPr>
              <w:pStyle w:val="GesAbsatz"/>
              <w:tabs>
                <w:tab w:val="clear" w:pos="425"/>
              </w:tabs>
              <w:rPr>
                <w:lang w:val="en-GB"/>
              </w:rPr>
            </w:pPr>
            <w:r>
              <w:rPr>
                <w:lang w:val="en-GB"/>
              </w:rPr>
              <w:t>0-670</w:t>
            </w:r>
          </w:p>
        </w:tc>
        <w:tc>
          <w:tcPr>
            <w:tcW w:w="2732" w:type="dxa"/>
            <w:shd w:val="clear" w:color="auto" w:fill="auto"/>
          </w:tcPr>
          <w:p>
            <w:pPr>
              <w:pStyle w:val="GesAbsatz"/>
              <w:tabs>
                <w:tab w:val="clear" w:pos="425"/>
              </w:tabs>
              <w:rPr>
                <w:lang w:val="en-GB"/>
              </w:rPr>
            </w:pPr>
            <w:r>
              <w:rPr>
                <w:lang w:val="en-GB"/>
              </w:rPr>
              <w:t>mg/m</w:t>
            </w:r>
            <w:r>
              <w:rPr>
                <w:vertAlign w:val="superscript"/>
                <w:lang w:val="en-GB"/>
              </w:rPr>
              <w:t>3</w:t>
            </w:r>
          </w:p>
        </w:tc>
      </w:tr>
      <w:tr>
        <w:tc>
          <w:tcPr>
            <w:tcW w:w="1526" w:type="dxa"/>
            <w:shd w:val="clear" w:color="auto" w:fill="auto"/>
          </w:tcPr>
          <w:p>
            <w:pPr>
              <w:pStyle w:val="GesAbsatz"/>
              <w:tabs>
                <w:tab w:val="clear" w:pos="425"/>
              </w:tabs>
              <w:rPr>
                <w:lang w:val="en-GB"/>
              </w:rPr>
            </w:pPr>
            <w:r>
              <w:rPr>
                <w:lang w:val="en-GB"/>
              </w:rPr>
              <w:t>NO</w:t>
            </w:r>
            <w:r>
              <w:rPr>
                <w:vertAlign w:val="subscript"/>
                <w:lang w:val="en-GB"/>
              </w:rPr>
              <w:t>x</w:t>
            </w:r>
            <w:r>
              <w:rPr>
                <w:lang w:val="en-GB"/>
              </w:rPr>
              <w:t xml:space="preserve"> </w:t>
            </w:r>
            <w:r>
              <w:t>als</w:t>
            </w:r>
            <w:r>
              <w:rPr>
                <w:lang w:val="en-GB"/>
              </w:rPr>
              <w:t xml:space="preserve"> NO</w:t>
            </w:r>
            <w:r>
              <w:rPr>
                <w:vertAlign w:val="subscript"/>
                <w:lang w:val="en-GB"/>
              </w:rPr>
              <w:t>2</w:t>
            </w:r>
          </w:p>
        </w:tc>
        <w:tc>
          <w:tcPr>
            <w:tcW w:w="2776" w:type="dxa"/>
            <w:shd w:val="clear" w:color="auto" w:fill="auto"/>
          </w:tcPr>
          <w:p>
            <w:pPr>
              <w:pStyle w:val="GesAbsatz"/>
              <w:tabs>
                <w:tab w:val="clear" w:pos="425"/>
              </w:tabs>
              <w:rPr>
                <w:lang w:val="en-GB"/>
              </w:rPr>
            </w:pPr>
            <w:r>
              <w:rPr>
                <w:lang w:val="en-GB"/>
              </w:rPr>
              <w:t>0-205</w:t>
            </w:r>
          </w:p>
        </w:tc>
        <w:tc>
          <w:tcPr>
            <w:tcW w:w="2820" w:type="dxa"/>
            <w:shd w:val="clear" w:color="auto" w:fill="auto"/>
          </w:tcPr>
          <w:p>
            <w:pPr>
              <w:pStyle w:val="GesAbsatz"/>
              <w:tabs>
                <w:tab w:val="clear" w:pos="425"/>
              </w:tabs>
              <w:rPr>
                <w:lang w:val="en-GB"/>
              </w:rPr>
            </w:pPr>
            <w:r>
              <w:rPr>
                <w:lang w:val="en-GB"/>
              </w:rPr>
              <w:t>0-1025</w:t>
            </w:r>
          </w:p>
        </w:tc>
        <w:tc>
          <w:tcPr>
            <w:tcW w:w="2732" w:type="dxa"/>
            <w:shd w:val="clear" w:color="auto" w:fill="auto"/>
          </w:tcPr>
          <w:p>
            <w:pPr>
              <w:pStyle w:val="GesAbsatz"/>
              <w:tabs>
                <w:tab w:val="clear" w:pos="425"/>
              </w:tabs>
              <w:rPr>
                <w:lang w:val="en-GB"/>
              </w:rPr>
            </w:pPr>
            <w:r>
              <w:rPr>
                <w:lang w:val="en-GB"/>
              </w:rPr>
              <w:t>mg/m</w:t>
            </w:r>
            <w:r>
              <w:rPr>
                <w:vertAlign w:val="superscript"/>
                <w:lang w:val="en-GB"/>
              </w:rPr>
              <w:t>3</w:t>
            </w:r>
          </w:p>
        </w:tc>
      </w:tr>
      <w:tr>
        <w:tc>
          <w:tcPr>
            <w:tcW w:w="1526" w:type="dxa"/>
            <w:shd w:val="clear" w:color="auto" w:fill="auto"/>
          </w:tcPr>
          <w:p>
            <w:pPr>
              <w:pStyle w:val="GesAbsatz"/>
              <w:tabs>
                <w:tab w:val="clear" w:pos="425"/>
              </w:tabs>
            </w:pPr>
            <w:r>
              <w:t>O</w:t>
            </w:r>
            <w:r>
              <w:rPr>
                <w:vertAlign w:val="subscript"/>
              </w:rPr>
              <w:t>2</w:t>
            </w:r>
          </w:p>
        </w:tc>
        <w:tc>
          <w:tcPr>
            <w:tcW w:w="2776" w:type="dxa"/>
            <w:shd w:val="clear" w:color="auto" w:fill="auto"/>
          </w:tcPr>
          <w:p>
            <w:pPr>
              <w:pStyle w:val="GesAbsatz"/>
              <w:tabs>
                <w:tab w:val="clear" w:pos="425"/>
              </w:tabs>
            </w:pPr>
            <w:r>
              <w:t>0-25</w:t>
            </w:r>
          </w:p>
        </w:tc>
        <w:tc>
          <w:tcPr>
            <w:tcW w:w="2820" w:type="dxa"/>
            <w:shd w:val="clear" w:color="auto" w:fill="auto"/>
          </w:tcPr>
          <w:p>
            <w:pPr>
              <w:pStyle w:val="GesAbsatz"/>
              <w:tabs>
                <w:tab w:val="clear" w:pos="425"/>
              </w:tabs>
            </w:pPr>
            <w:r>
              <w:t>-</w:t>
            </w:r>
          </w:p>
        </w:tc>
        <w:tc>
          <w:tcPr>
            <w:tcW w:w="2732" w:type="dxa"/>
            <w:shd w:val="clear" w:color="auto" w:fill="auto"/>
          </w:tcPr>
          <w:p>
            <w:pPr>
              <w:pStyle w:val="GesAbsatz"/>
              <w:tabs>
                <w:tab w:val="clear" w:pos="425"/>
              </w:tabs>
            </w:pPr>
            <w:r>
              <w:t>Vol.-%</w:t>
            </w:r>
          </w:p>
        </w:tc>
      </w:tr>
    </w:tbl>
    <w:p>
      <w:pPr>
        <w:pStyle w:val="GesAbsatz"/>
      </w:pPr>
      <w:r>
        <w:t>Softwareversion</w:t>
      </w:r>
      <w:r>
        <w:tab/>
        <w:t>P 1000500001 C</w:t>
      </w:r>
    </w:p>
    <w:p>
      <w:pPr>
        <w:pStyle w:val="GesAbsatz"/>
      </w:pPr>
      <w:r>
        <w:t>Einschränkungen:</w:t>
      </w:r>
    </w:p>
    <w:p>
      <w:pPr>
        <w:pStyle w:val="GesAbsatz"/>
      </w:pPr>
      <w:r>
        <w:t>Keine</w:t>
      </w:r>
    </w:p>
    <w:p>
      <w:pPr>
        <w:pStyle w:val="GesAbsatz"/>
      </w:pPr>
      <w:r>
        <w:t>Hinweise:</w:t>
      </w:r>
    </w:p>
    <w:p>
      <w:pPr>
        <w:pStyle w:val="GesAbsatz"/>
        <w:ind w:left="426" w:hanging="426"/>
      </w:pPr>
      <w:r>
        <w:t>1.</w:t>
      </w:r>
      <w:r>
        <w:tab/>
        <w:t>Das Wartungsintervall beträgt acht Tage.</w:t>
      </w:r>
    </w:p>
    <w:p>
      <w:pPr>
        <w:pStyle w:val="GesAbsatz"/>
        <w:ind w:left="426" w:hanging="426"/>
      </w:pPr>
      <w:r>
        <w:t>2.</w:t>
      </w:r>
      <w:r>
        <w:tab/>
        <w:t>Die Messeinrichtung besitzt ebenfalls Messkanäle für CO</w:t>
      </w:r>
      <w:r>
        <w:rPr>
          <w:vertAlign w:val="subscript"/>
        </w:rPr>
        <w:t>2</w:t>
      </w:r>
      <w:r>
        <w:t xml:space="preserve"> und SO</w:t>
      </w:r>
      <w:r>
        <w:rPr>
          <w:vertAlign w:val="subscript"/>
        </w:rPr>
        <w:t>2</w:t>
      </w:r>
      <w:r>
        <w:t>. Diese Geräteversion ist für die Messkanäle CO</w:t>
      </w:r>
      <w:r>
        <w:rPr>
          <w:vertAlign w:val="subscript"/>
        </w:rPr>
        <w:t>2</w:t>
      </w:r>
      <w:r>
        <w:t xml:space="preserve"> und SO</w:t>
      </w:r>
      <w:r>
        <w:rPr>
          <w:vertAlign w:val="subscript"/>
        </w:rPr>
        <w:t>2</w:t>
      </w:r>
      <w:r>
        <w:t xml:space="preserve"> nicht eignungsgeprüft.</w:t>
      </w:r>
    </w:p>
    <w:p>
      <w:pPr>
        <w:pStyle w:val="GesAbsatz"/>
        <w:ind w:left="426" w:hanging="426"/>
      </w:pPr>
      <w:r>
        <w:t>3.</w:t>
      </w:r>
      <w:r>
        <w:tab/>
        <w:t>Ergänzungsprüfung (Überführung in die DIN EN 15267, zusätzliche Messbereiche) zur Bekanntm</w:t>
      </w:r>
      <w:r>
        <w:t>a</w:t>
      </w:r>
      <w:r>
        <w:t>chung des Umweltbundesamtes vom 12. August 2008 (BAnz. S. 3243, Kapitel I Nummer 2.4).</w:t>
      </w:r>
    </w:p>
    <w:p>
      <w:pPr>
        <w:pStyle w:val="GesAbsatz"/>
        <w:ind w:left="426" w:hanging="426"/>
      </w:pPr>
      <w:r>
        <w:t>4.</w:t>
      </w:r>
      <w:r>
        <w:tab/>
        <w:t>Für die Komponente CO wird die Anforderung an die Messunsicherheit nach DIN EN 15267-3 nicht e</w:t>
      </w:r>
      <w:r>
        <w:t>r</w:t>
      </w:r>
      <w:r>
        <w:t>füllt.</w:t>
      </w:r>
    </w:p>
    <w:p>
      <w:pPr>
        <w:pStyle w:val="GesAbsatz"/>
      </w:pPr>
      <w:r>
        <w:t>Prüfbericht:</w:t>
      </w:r>
    </w:p>
    <w:p>
      <w:pPr>
        <w:pStyle w:val="GesAbsatz"/>
      </w:pPr>
      <w:r>
        <w:t>TÜV Rheinland Energie und Umwelt GmbH, Köln</w:t>
      </w:r>
    </w:p>
    <w:p>
      <w:pPr>
        <w:pStyle w:val="GesAbsatz"/>
      </w:pPr>
      <w:r>
        <w:t>Bericht-Nr.: 936/21206693/B vom 28. März 2011</w:t>
      </w:r>
    </w:p>
    <w:p>
      <w:pPr>
        <w:pStyle w:val="GesAbsatz"/>
        <w:rPr>
          <w:b/>
          <w:lang w:val="en-GB"/>
        </w:rPr>
      </w:pPr>
      <w:r>
        <w:rPr>
          <w:b/>
          <w:lang w:val="en-GB"/>
        </w:rPr>
        <w:t>4.3</w:t>
      </w:r>
      <w:r>
        <w:rPr>
          <w:b/>
          <w:lang w:val="en-GB"/>
        </w:rPr>
        <w:tab/>
        <w:t xml:space="preserve">GIGAS lOM </w:t>
      </w:r>
      <w:r>
        <w:rPr>
          <w:b/>
        </w:rPr>
        <w:t>für</w:t>
      </w:r>
      <w:r>
        <w:rPr>
          <w:b/>
          <w:lang w:val="en-GB"/>
        </w:rPr>
        <w:t xml:space="preserve"> HF, N</w:t>
      </w:r>
      <w:r>
        <w:rPr>
          <w:b/>
          <w:vertAlign w:val="subscript"/>
          <w:lang w:val="en-GB"/>
        </w:rPr>
        <w:t>2</w:t>
      </w:r>
      <w:r>
        <w:rPr>
          <w:b/>
          <w:lang w:val="en-GB"/>
        </w:rPr>
        <w:t>O, CO, NO, NO</w:t>
      </w:r>
      <w:r>
        <w:rPr>
          <w:b/>
          <w:vertAlign w:val="subscript"/>
          <w:lang w:val="en-GB"/>
        </w:rPr>
        <w:t>2</w:t>
      </w:r>
      <w:r>
        <w:rPr>
          <w:b/>
          <w:lang w:val="en-GB"/>
        </w:rPr>
        <w:t>, SO</w:t>
      </w:r>
      <w:r>
        <w:rPr>
          <w:b/>
          <w:vertAlign w:val="subscript"/>
          <w:lang w:val="en-GB"/>
        </w:rPr>
        <w:t>2</w:t>
      </w:r>
      <w:r>
        <w:rPr>
          <w:b/>
          <w:lang w:val="en-GB"/>
        </w:rPr>
        <w:t>, HCl, NH</w:t>
      </w:r>
      <w:r>
        <w:rPr>
          <w:b/>
          <w:vertAlign w:val="subscript"/>
          <w:lang w:val="en-GB"/>
        </w:rPr>
        <w:t>3</w:t>
      </w:r>
      <w:r>
        <w:rPr>
          <w:b/>
          <w:lang w:val="en-GB"/>
        </w:rPr>
        <w:t>, H</w:t>
      </w:r>
      <w:r>
        <w:rPr>
          <w:b/>
          <w:vertAlign w:val="subscript"/>
          <w:lang w:val="en-GB"/>
        </w:rPr>
        <w:t>2</w:t>
      </w:r>
      <w:r>
        <w:rPr>
          <w:b/>
          <w:lang w:val="en-GB"/>
        </w:rPr>
        <w:t>O und CO</w:t>
      </w:r>
      <w:r>
        <w:rPr>
          <w:b/>
          <w:vertAlign w:val="subscript"/>
          <w:lang w:val="en-GB"/>
        </w:rPr>
        <w:t>2</w:t>
      </w:r>
    </w:p>
    <w:p>
      <w:pPr>
        <w:pStyle w:val="GesAbsatz"/>
      </w:pPr>
      <w:r>
        <w:t>Hersteller:</w:t>
      </w:r>
    </w:p>
    <w:p>
      <w:pPr>
        <w:pStyle w:val="GesAbsatz"/>
      </w:pPr>
      <w:r>
        <w:t>General Impianti S.r.l., Moie di Maiolati, Italien</w:t>
      </w:r>
    </w:p>
    <w:p>
      <w:pPr>
        <w:pStyle w:val="GesAbsatz"/>
      </w:pPr>
      <w:r>
        <w:t>Eignung:</w:t>
      </w:r>
    </w:p>
    <w:p>
      <w:pPr>
        <w:pStyle w:val="GesAbsatz"/>
      </w:pPr>
      <w:r>
        <w:t>Für genehmigungsbedürftige Anlagen sowie Anlagen der 27. BImSchV</w:t>
      </w:r>
    </w:p>
    <w:p>
      <w:pPr>
        <w:pStyle w:val="GesAbsatz"/>
      </w:pPr>
      <w:r>
        <w:t>Messbereiche in der Eignungsprüfung: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2"/>
        <w:gridCol w:w="2902"/>
        <w:gridCol w:w="2822"/>
        <w:gridCol w:w="2772"/>
      </w:tblGrid>
      <w:tr>
        <w:tc>
          <w:tcPr>
            <w:tcW w:w="1147" w:type="dxa"/>
            <w:shd w:val="clear" w:color="auto" w:fill="auto"/>
          </w:tcPr>
          <w:p>
            <w:pPr>
              <w:pStyle w:val="GesAbsatz"/>
              <w:tabs>
                <w:tab w:val="clear" w:pos="425"/>
              </w:tabs>
              <w:rPr>
                <w:sz w:val="18"/>
                <w:szCs w:val="18"/>
              </w:rPr>
            </w:pPr>
            <w:r>
              <w:rPr>
                <w:sz w:val="18"/>
                <w:szCs w:val="18"/>
              </w:rPr>
              <w:t>Kompone</w:t>
            </w:r>
            <w:r>
              <w:rPr>
                <w:sz w:val="18"/>
                <w:szCs w:val="18"/>
              </w:rPr>
              <w:t>n</w:t>
            </w:r>
            <w:r>
              <w:rPr>
                <w:sz w:val="18"/>
                <w:szCs w:val="18"/>
              </w:rPr>
              <w:t>te</w:t>
            </w:r>
          </w:p>
        </w:tc>
        <w:tc>
          <w:tcPr>
            <w:tcW w:w="2975" w:type="dxa"/>
            <w:shd w:val="clear" w:color="auto" w:fill="auto"/>
          </w:tcPr>
          <w:p>
            <w:pPr>
              <w:pStyle w:val="GesAbsatz"/>
              <w:tabs>
                <w:tab w:val="clear" w:pos="425"/>
              </w:tabs>
              <w:rPr>
                <w:sz w:val="18"/>
                <w:szCs w:val="18"/>
              </w:rPr>
            </w:pPr>
            <w:r>
              <w:rPr>
                <w:sz w:val="18"/>
                <w:szCs w:val="18"/>
              </w:rPr>
              <w:t>Zertifizierungsbereich</w:t>
            </w:r>
          </w:p>
        </w:tc>
        <w:tc>
          <w:tcPr>
            <w:tcW w:w="2893" w:type="dxa"/>
            <w:shd w:val="clear" w:color="auto" w:fill="auto"/>
          </w:tcPr>
          <w:p>
            <w:pPr>
              <w:pStyle w:val="GesAbsatz"/>
              <w:tabs>
                <w:tab w:val="clear" w:pos="425"/>
              </w:tabs>
              <w:rPr>
                <w:sz w:val="18"/>
                <w:szCs w:val="18"/>
              </w:rPr>
            </w:pPr>
            <w:r>
              <w:rPr>
                <w:sz w:val="18"/>
                <w:szCs w:val="18"/>
              </w:rPr>
              <w:t>zusätzlicher Messbereich</w:t>
            </w:r>
          </w:p>
        </w:tc>
        <w:tc>
          <w:tcPr>
            <w:tcW w:w="2839" w:type="dxa"/>
            <w:shd w:val="clear" w:color="auto" w:fill="auto"/>
          </w:tcPr>
          <w:p>
            <w:pPr>
              <w:pStyle w:val="GesAbsatz"/>
              <w:tabs>
                <w:tab w:val="clear" w:pos="425"/>
              </w:tabs>
              <w:rPr>
                <w:sz w:val="18"/>
                <w:szCs w:val="18"/>
              </w:rPr>
            </w:pPr>
            <w:r>
              <w:rPr>
                <w:sz w:val="18"/>
                <w:szCs w:val="18"/>
              </w:rPr>
              <w:t>Einheit</w:t>
            </w:r>
          </w:p>
        </w:tc>
      </w:tr>
      <w:tr>
        <w:tc>
          <w:tcPr>
            <w:tcW w:w="1147" w:type="dxa"/>
            <w:shd w:val="clear" w:color="auto" w:fill="auto"/>
          </w:tcPr>
          <w:p>
            <w:pPr>
              <w:pStyle w:val="GesAbsatz"/>
              <w:tabs>
                <w:tab w:val="clear" w:pos="425"/>
              </w:tabs>
              <w:rPr>
                <w:lang w:val="en-GB"/>
              </w:rPr>
            </w:pPr>
            <w:r>
              <w:rPr>
                <w:lang w:val="en-GB"/>
              </w:rPr>
              <w:t>HF</w:t>
            </w:r>
          </w:p>
        </w:tc>
        <w:tc>
          <w:tcPr>
            <w:tcW w:w="2975" w:type="dxa"/>
            <w:shd w:val="clear" w:color="auto" w:fill="auto"/>
          </w:tcPr>
          <w:p>
            <w:pPr>
              <w:pStyle w:val="GesAbsatz"/>
              <w:tabs>
                <w:tab w:val="clear" w:pos="425"/>
              </w:tabs>
              <w:rPr>
                <w:lang w:val="en-GB"/>
              </w:rPr>
            </w:pPr>
            <w:r>
              <w:rPr>
                <w:lang w:val="en-GB"/>
              </w:rPr>
              <w:t>0-5</w:t>
            </w:r>
          </w:p>
        </w:tc>
        <w:tc>
          <w:tcPr>
            <w:tcW w:w="2893" w:type="dxa"/>
            <w:shd w:val="clear" w:color="auto" w:fill="auto"/>
          </w:tcPr>
          <w:p>
            <w:pPr>
              <w:pStyle w:val="GesAbsatz"/>
              <w:tabs>
                <w:tab w:val="clear" w:pos="425"/>
              </w:tabs>
              <w:rPr>
                <w:lang w:val="en-GB"/>
              </w:rPr>
            </w:pPr>
            <w:r>
              <w:rPr>
                <w:lang w:val="en-GB"/>
              </w:rPr>
              <w:t xml:space="preserve">0-10 </w:t>
            </w:r>
            <w:r>
              <w:rPr>
                <w:lang w:val="en-GB"/>
              </w:rPr>
              <w:br/>
              <w:t>0-20</w:t>
            </w:r>
          </w:p>
        </w:tc>
        <w:tc>
          <w:tcPr>
            <w:tcW w:w="2839" w:type="dxa"/>
            <w:shd w:val="clear" w:color="auto" w:fill="auto"/>
          </w:tcPr>
          <w:p>
            <w:pPr>
              <w:pStyle w:val="GesAbsatz"/>
              <w:tabs>
                <w:tab w:val="clear" w:pos="425"/>
              </w:tabs>
              <w:rPr>
                <w:lang w:val="en-GB"/>
              </w:rPr>
            </w:pPr>
            <w:r>
              <w:rPr>
                <w:lang w:val="en-GB"/>
              </w:rPr>
              <w:t>mg/m</w:t>
            </w:r>
            <w:r>
              <w:rPr>
                <w:vertAlign w:val="superscript"/>
                <w:lang w:val="en-GB"/>
              </w:rPr>
              <w:t>3</w:t>
            </w:r>
          </w:p>
        </w:tc>
      </w:tr>
      <w:tr>
        <w:tc>
          <w:tcPr>
            <w:tcW w:w="1147" w:type="dxa"/>
            <w:shd w:val="clear" w:color="auto" w:fill="auto"/>
          </w:tcPr>
          <w:p>
            <w:pPr>
              <w:pStyle w:val="GesAbsatz"/>
              <w:tabs>
                <w:tab w:val="clear" w:pos="425"/>
              </w:tabs>
              <w:rPr>
                <w:lang w:val="en-GB"/>
              </w:rPr>
            </w:pPr>
            <w:r>
              <w:rPr>
                <w:lang w:val="en-GB"/>
              </w:rPr>
              <w:t>N</w:t>
            </w:r>
            <w:r>
              <w:rPr>
                <w:vertAlign w:val="subscript"/>
                <w:lang w:val="en-GB"/>
              </w:rPr>
              <w:t>2</w:t>
            </w:r>
            <w:r>
              <w:rPr>
                <w:lang w:val="en-GB"/>
              </w:rPr>
              <w:t>O</w:t>
            </w:r>
          </w:p>
        </w:tc>
        <w:tc>
          <w:tcPr>
            <w:tcW w:w="2975" w:type="dxa"/>
            <w:shd w:val="clear" w:color="auto" w:fill="auto"/>
          </w:tcPr>
          <w:p>
            <w:pPr>
              <w:pStyle w:val="GesAbsatz"/>
              <w:tabs>
                <w:tab w:val="clear" w:pos="425"/>
              </w:tabs>
              <w:rPr>
                <w:lang w:val="en-GB"/>
              </w:rPr>
            </w:pPr>
            <w:r>
              <w:rPr>
                <w:lang w:val="en-GB"/>
              </w:rPr>
              <w:t>0-50</w:t>
            </w:r>
          </w:p>
        </w:tc>
        <w:tc>
          <w:tcPr>
            <w:tcW w:w="2893" w:type="dxa"/>
            <w:shd w:val="clear" w:color="auto" w:fill="auto"/>
          </w:tcPr>
          <w:p>
            <w:pPr>
              <w:pStyle w:val="GesAbsatz"/>
              <w:tabs>
                <w:tab w:val="clear" w:pos="425"/>
              </w:tabs>
              <w:rPr>
                <w:lang w:val="en-GB"/>
              </w:rPr>
            </w:pPr>
            <w:r>
              <w:rPr>
                <w:lang w:val="en-GB"/>
              </w:rPr>
              <w:t>0-1000</w:t>
            </w:r>
          </w:p>
        </w:tc>
        <w:tc>
          <w:tcPr>
            <w:tcW w:w="2839" w:type="dxa"/>
            <w:shd w:val="clear" w:color="auto" w:fill="auto"/>
          </w:tcPr>
          <w:p>
            <w:pPr>
              <w:pStyle w:val="GesAbsatz"/>
              <w:tabs>
                <w:tab w:val="clear" w:pos="425"/>
              </w:tabs>
              <w:rPr>
                <w:lang w:val="en-GB"/>
              </w:rPr>
            </w:pPr>
            <w:r>
              <w:rPr>
                <w:lang w:val="en-GB"/>
              </w:rPr>
              <w:t>mg/m</w:t>
            </w:r>
            <w:r>
              <w:rPr>
                <w:vertAlign w:val="superscript"/>
                <w:lang w:val="en-GB"/>
              </w:rPr>
              <w:t>3</w:t>
            </w:r>
          </w:p>
        </w:tc>
      </w:tr>
      <w:tr>
        <w:tc>
          <w:tcPr>
            <w:tcW w:w="1147" w:type="dxa"/>
            <w:shd w:val="clear" w:color="auto" w:fill="auto"/>
          </w:tcPr>
          <w:p>
            <w:pPr>
              <w:pStyle w:val="GesAbsatz"/>
              <w:tabs>
                <w:tab w:val="clear" w:pos="425"/>
              </w:tabs>
              <w:rPr>
                <w:lang w:val="en-GB"/>
              </w:rPr>
            </w:pPr>
            <w:r>
              <w:rPr>
                <w:lang w:val="en-GB"/>
              </w:rPr>
              <w:t>CO</w:t>
            </w:r>
          </w:p>
        </w:tc>
        <w:tc>
          <w:tcPr>
            <w:tcW w:w="2975" w:type="dxa"/>
            <w:shd w:val="clear" w:color="auto" w:fill="auto"/>
          </w:tcPr>
          <w:p>
            <w:pPr>
              <w:pStyle w:val="GesAbsatz"/>
              <w:tabs>
                <w:tab w:val="clear" w:pos="425"/>
              </w:tabs>
              <w:rPr>
                <w:lang w:val="en-GB"/>
              </w:rPr>
            </w:pPr>
            <w:r>
              <w:rPr>
                <w:lang w:val="en-GB"/>
              </w:rPr>
              <w:t>0-75</w:t>
            </w:r>
          </w:p>
        </w:tc>
        <w:tc>
          <w:tcPr>
            <w:tcW w:w="2893" w:type="dxa"/>
            <w:shd w:val="clear" w:color="auto" w:fill="auto"/>
          </w:tcPr>
          <w:p>
            <w:pPr>
              <w:pStyle w:val="GesAbsatz"/>
              <w:tabs>
                <w:tab w:val="clear" w:pos="425"/>
              </w:tabs>
              <w:rPr>
                <w:lang w:val="en-GB"/>
              </w:rPr>
            </w:pPr>
            <w:r>
              <w:rPr>
                <w:lang w:val="en-GB"/>
              </w:rPr>
              <w:t>0-300</w:t>
            </w:r>
          </w:p>
        </w:tc>
        <w:tc>
          <w:tcPr>
            <w:tcW w:w="2839" w:type="dxa"/>
            <w:shd w:val="clear" w:color="auto" w:fill="auto"/>
          </w:tcPr>
          <w:p>
            <w:pPr>
              <w:pStyle w:val="GesAbsatz"/>
              <w:tabs>
                <w:tab w:val="clear" w:pos="425"/>
              </w:tabs>
              <w:rPr>
                <w:lang w:val="en-GB"/>
              </w:rPr>
            </w:pPr>
            <w:r>
              <w:rPr>
                <w:lang w:val="en-GB"/>
              </w:rPr>
              <w:t>mg/m</w:t>
            </w:r>
            <w:r>
              <w:rPr>
                <w:vertAlign w:val="superscript"/>
                <w:lang w:val="en-GB"/>
              </w:rPr>
              <w:t>3</w:t>
            </w:r>
          </w:p>
        </w:tc>
      </w:tr>
      <w:tr>
        <w:tc>
          <w:tcPr>
            <w:tcW w:w="1147" w:type="dxa"/>
            <w:shd w:val="clear" w:color="auto" w:fill="auto"/>
          </w:tcPr>
          <w:p>
            <w:pPr>
              <w:pStyle w:val="GesAbsatz"/>
              <w:tabs>
                <w:tab w:val="clear" w:pos="425"/>
              </w:tabs>
              <w:rPr>
                <w:lang w:val="en-GB"/>
              </w:rPr>
            </w:pPr>
            <w:r>
              <w:rPr>
                <w:lang w:val="en-GB"/>
              </w:rPr>
              <w:t>SO</w:t>
            </w:r>
            <w:r>
              <w:rPr>
                <w:vertAlign w:val="subscript"/>
                <w:lang w:val="en-GB"/>
              </w:rPr>
              <w:t>2</w:t>
            </w:r>
          </w:p>
        </w:tc>
        <w:tc>
          <w:tcPr>
            <w:tcW w:w="2975" w:type="dxa"/>
            <w:shd w:val="clear" w:color="auto" w:fill="auto"/>
          </w:tcPr>
          <w:p>
            <w:pPr>
              <w:pStyle w:val="GesAbsatz"/>
              <w:tabs>
                <w:tab w:val="clear" w:pos="425"/>
              </w:tabs>
              <w:rPr>
                <w:lang w:val="en-GB"/>
              </w:rPr>
            </w:pPr>
            <w:r>
              <w:rPr>
                <w:lang w:val="en-GB"/>
              </w:rPr>
              <w:t>0-75</w:t>
            </w:r>
          </w:p>
        </w:tc>
        <w:tc>
          <w:tcPr>
            <w:tcW w:w="2893" w:type="dxa"/>
            <w:shd w:val="clear" w:color="auto" w:fill="auto"/>
          </w:tcPr>
          <w:p>
            <w:pPr>
              <w:pStyle w:val="GesAbsatz"/>
              <w:tabs>
                <w:tab w:val="clear" w:pos="425"/>
              </w:tabs>
              <w:rPr>
                <w:lang w:val="en-GB"/>
              </w:rPr>
            </w:pPr>
            <w:r>
              <w:rPr>
                <w:lang w:val="en-GB"/>
              </w:rPr>
              <w:t>0-300</w:t>
            </w:r>
          </w:p>
        </w:tc>
        <w:tc>
          <w:tcPr>
            <w:tcW w:w="2839" w:type="dxa"/>
            <w:shd w:val="clear" w:color="auto" w:fill="auto"/>
          </w:tcPr>
          <w:p>
            <w:pPr>
              <w:pStyle w:val="GesAbsatz"/>
              <w:tabs>
                <w:tab w:val="clear" w:pos="425"/>
              </w:tabs>
              <w:rPr>
                <w:lang w:val="en-GB"/>
              </w:rPr>
            </w:pPr>
            <w:r>
              <w:rPr>
                <w:lang w:val="en-GB"/>
              </w:rPr>
              <w:t>mg/m</w:t>
            </w:r>
            <w:r>
              <w:rPr>
                <w:vertAlign w:val="superscript"/>
                <w:lang w:val="en-GB"/>
              </w:rPr>
              <w:t>3</w:t>
            </w:r>
          </w:p>
        </w:tc>
      </w:tr>
      <w:tr>
        <w:tc>
          <w:tcPr>
            <w:tcW w:w="1147" w:type="dxa"/>
            <w:shd w:val="clear" w:color="auto" w:fill="auto"/>
          </w:tcPr>
          <w:p>
            <w:pPr>
              <w:pStyle w:val="GesAbsatz"/>
              <w:tabs>
                <w:tab w:val="clear" w:pos="425"/>
              </w:tabs>
              <w:rPr>
                <w:lang w:val="en-GB"/>
              </w:rPr>
            </w:pPr>
            <w:r>
              <w:rPr>
                <w:lang w:val="en-GB"/>
              </w:rPr>
              <w:t>NO</w:t>
            </w:r>
          </w:p>
        </w:tc>
        <w:tc>
          <w:tcPr>
            <w:tcW w:w="2975" w:type="dxa"/>
            <w:shd w:val="clear" w:color="auto" w:fill="auto"/>
          </w:tcPr>
          <w:p>
            <w:pPr>
              <w:pStyle w:val="GesAbsatz"/>
              <w:tabs>
                <w:tab w:val="clear" w:pos="425"/>
              </w:tabs>
              <w:rPr>
                <w:lang w:val="en-GB"/>
              </w:rPr>
            </w:pPr>
            <w:r>
              <w:rPr>
                <w:lang w:val="en-GB"/>
              </w:rPr>
              <w:t>0-200</w:t>
            </w:r>
          </w:p>
        </w:tc>
        <w:tc>
          <w:tcPr>
            <w:tcW w:w="2893" w:type="dxa"/>
            <w:shd w:val="clear" w:color="auto" w:fill="auto"/>
          </w:tcPr>
          <w:p>
            <w:pPr>
              <w:pStyle w:val="GesAbsatz"/>
              <w:tabs>
                <w:tab w:val="clear" w:pos="425"/>
              </w:tabs>
              <w:rPr>
                <w:lang w:val="en-GB"/>
              </w:rPr>
            </w:pPr>
            <w:r>
              <w:rPr>
                <w:lang w:val="en-GB"/>
              </w:rPr>
              <w:t>0-400</w:t>
            </w:r>
          </w:p>
        </w:tc>
        <w:tc>
          <w:tcPr>
            <w:tcW w:w="2839" w:type="dxa"/>
            <w:shd w:val="clear" w:color="auto" w:fill="auto"/>
          </w:tcPr>
          <w:p>
            <w:pPr>
              <w:pStyle w:val="GesAbsatz"/>
              <w:tabs>
                <w:tab w:val="clear" w:pos="425"/>
              </w:tabs>
              <w:rPr>
                <w:lang w:val="en-GB"/>
              </w:rPr>
            </w:pPr>
            <w:r>
              <w:rPr>
                <w:lang w:val="en-GB"/>
              </w:rPr>
              <w:t>mg/m</w:t>
            </w:r>
            <w:r>
              <w:rPr>
                <w:vertAlign w:val="superscript"/>
                <w:lang w:val="en-GB"/>
              </w:rPr>
              <w:t>3</w:t>
            </w:r>
          </w:p>
        </w:tc>
      </w:tr>
      <w:tr>
        <w:tc>
          <w:tcPr>
            <w:tcW w:w="1147" w:type="dxa"/>
            <w:shd w:val="clear" w:color="auto" w:fill="auto"/>
          </w:tcPr>
          <w:p>
            <w:pPr>
              <w:pStyle w:val="GesAbsatz"/>
              <w:tabs>
                <w:tab w:val="clear" w:pos="425"/>
              </w:tabs>
              <w:rPr>
                <w:lang w:val="en-GB"/>
              </w:rPr>
            </w:pPr>
            <w:r>
              <w:rPr>
                <w:lang w:val="en-GB"/>
              </w:rPr>
              <w:t>NO</w:t>
            </w:r>
            <w:r>
              <w:rPr>
                <w:vertAlign w:val="subscript"/>
                <w:lang w:val="en-GB"/>
              </w:rPr>
              <w:t>2</w:t>
            </w:r>
          </w:p>
        </w:tc>
        <w:tc>
          <w:tcPr>
            <w:tcW w:w="2975" w:type="dxa"/>
            <w:shd w:val="clear" w:color="auto" w:fill="auto"/>
          </w:tcPr>
          <w:p>
            <w:pPr>
              <w:pStyle w:val="GesAbsatz"/>
              <w:tabs>
                <w:tab w:val="clear" w:pos="425"/>
              </w:tabs>
              <w:rPr>
                <w:lang w:val="en-GB"/>
              </w:rPr>
            </w:pPr>
            <w:r>
              <w:rPr>
                <w:lang w:val="en-GB"/>
              </w:rPr>
              <w:t>0-100</w:t>
            </w:r>
          </w:p>
        </w:tc>
        <w:tc>
          <w:tcPr>
            <w:tcW w:w="2893" w:type="dxa"/>
            <w:shd w:val="clear" w:color="auto" w:fill="auto"/>
          </w:tcPr>
          <w:p>
            <w:pPr>
              <w:pStyle w:val="GesAbsatz"/>
              <w:tabs>
                <w:tab w:val="clear" w:pos="425"/>
              </w:tabs>
              <w:rPr>
                <w:lang w:val="en-GB"/>
              </w:rPr>
            </w:pPr>
            <w:r>
              <w:rPr>
                <w:lang w:val="en-GB"/>
              </w:rPr>
              <w:t>0-200</w:t>
            </w:r>
          </w:p>
        </w:tc>
        <w:tc>
          <w:tcPr>
            <w:tcW w:w="2839" w:type="dxa"/>
            <w:shd w:val="clear" w:color="auto" w:fill="auto"/>
          </w:tcPr>
          <w:p>
            <w:pPr>
              <w:pStyle w:val="GesAbsatz"/>
              <w:tabs>
                <w:tab w:val="clear" w:pos="425"/>
              </w:tabs>
              <w:rPr>
                <w:lang w:val="en-GB"/>
              </w:rPr>
            </w:pPr>
            <w:r>
              <w:rPr>
                <w:lang w:val="en-GB"/>
              </w:rPr>
              <w:t>mg/m</w:t>
            </w:r>
            <w:r>
              <w:rPr>
                <w:vertAlign w:val="superscript"/>
                <w:lang w:val="en-GB"/>
              </w:rPr>
              <w:t>3</w:t>
            </w:r>
          </w:p>
        </w:tc>
      </w:tr>
      <w:tr>
        <w:tc>
          <w:tcPr>
            <w:tcW w:w="1147" w:type="dxa"/>
            <w:shd w:val="clear" w:color="auto" w:fill="auto"/>
          </w:tcPr>
          <w:p>
            <w:pPr>
              <w:pStyle w:val="GesAbsatz"/>
              <w:tabs>
                <w:tab w:val="clear" w:pos="425"/>
              </w:tabs>
              <w:rPr>
                <w:lang w:val="en-GB"/>
              </w:rPr>
            </w:pPr>
            <w:r>
              <w:rPr>
                <w:lang w:val="en-GB"/>
              </w:rPr>
              <w:t>HCl</w:t>
            </w:r>
          </w:p>
        </w:tc>
        <w:tc>
          <w:tcPr>
            <w:tcW w:w="2975" w:type="dxa"/>
            <w:shd w:val="clear" w:color="auto" w:fill="auto"/>
          </w:tcPr>
          <w:p>
            <w:pPr>
              <w:pStyle w:val="GesAbsatz"/>
              <w:tabs>
                <w:tab w:val="clear" w:pos="425"/>
              </w:tabs>
              <w:rPr>
                <w:lang w:val="en-GB"/>
              </w:rPr>
            </w:pPr>
            <w:r>
              <w:rPr>
                <w:lang w:val="en-GB"/>
              </w:rPr>
              <w:t>0-15</w:t>
            </w:r>
          </w:p>
        </w:tc>
        <w:tc>
          <w:tcPr>
            <w:tcW w:w="2893" w:type="dxa"/>
            <w:shd w:val="clear" w:color="auto" w:fill="auto"/>
          </w:tcPr>
          <w:p>
            <w:pPr>
              <w:pStyle w:val="GesAbsatz"/>
              <w:tabs>
                <w:tab w:val="clear" w:pos="425"/>
              </w:tabs>
              <w:rPr>
                <w:lang w:val="en-GB"/>
              </w:rPr>
            </w:pPr>
            <w:r>
              <w:rPr>
                <w:lang w:val="en-GB"/>
              </w:rPr>
              <w:t>0-90</w:t>
            </w:r>
          </w:p>
        </w:tc>
        <w:tc>
          <w:tcPr>
            <w:tcW w:w="2839" w:type="dxa"/>
            <w:shd w:val="clear" w:color="auto" w:fill="auto"/>
          </w:tcPr>
          <w:p>
            <w:pPr>
              <w:pStyle w:val="GesAbsatz"/>
              <w:tabs>
                <w:tab w:val="clear" w:pos="425"/>
              </w:tabs>
              <w:rPr>
                <w:lang w:val="en-GB"/>
              </w:rPr>
            </w:pPr>
            <w:r>
              <w:rPr>
                <w:lang w:val="en-GB"/>
              </w:rPr>
              <w:t>mg/m</w:t>
            </w:r>
            <w:r>
              <w:rPr>
                <w:vertAlign w:val="superscript"/>
                <w:lang w:val="en-GB"/>
              </w:rPr>
              <w:t>3</w:t>
            </w:r>
          </w:p>
        </w:tc>
      </w:tr>
      <w:tr>
        <w:tc>
          <w:tcPr>
            <w:tcW w:w="1147" w:type="dxa"/>
            <w:shd w:val="clear" w:color="auto" w:fill="auto"/>
          </w:tcPr>
          <w:p>
            <w:pPr>
              <w:pStyle w:val="GesAbsatz"/>
              <w:tabs>
                <w:tab w:val="clear" w:pos="425"/>
              </w:tabs>
            </w:pPr>
            <w:r>
              <w:t>NH</w:t>
            </w:r>
            <w:r>
              <w:rPr>
                <w:vertAlign w:val="subscript"/>
              </w:rPr>
              <w:t>3</w:t>
            </w:r>
          </w:p>
        </w:tc>
        <w:tc>
          <w:tcPr>
            <w:tcW w:w="2975" w:type="dxa"/>
            <w:shd w:val="clear" w:color="auto" w:fill="auto"/>
          </w:tcPr>
          <w:p>
            <w:pPr>
              <w:pStyle w:val="GesAbsatz"/>
              <w:tabs>
                <w:tab w:val="clear" w:pos="425"/>
              </w:tabs>
            </w:pPr>
            <w:r>
              <w:t>0-10</w:t>
            </w:r>
          </w:p>
        </w:tc>
        <w:tc>
          <w:tcPr>
            <w:tcW w:w="2893" w:type="dxa"/>
            <w:shd w:val="clear" w:color="auto" w:fill="auto"/>
          </w:tcPr>
          <w:p>
            <w:pPr>
              <w:pStyle w:val="GesAbsatz"/>
              <w:tabs>
                <w:tab w:val="clear" w:pos="425"/>
              </w:tabs>
            </w:pPr>
            <w:r>
              <w:t>-</w:t>
            </w:r>
          </w:p>
        </w:tc>
        <w:tc>
          <w:tcPr>
            <w:tcW w:w="2839" w:type="dxa"/>
            <w:shd w:val="clear" w:color="auto" w:fill="auto"/>
          </w:tcPr>
          <w:p>
            <w:pPr>
              <w:pStyle w:val="GesAbsatz"/>
              <w:tabs>
                <w:tab w:val="clear" w:pos="425"/>
              </w:tabs>
            </w:pPr>
            <w:r>
              <w:t>mg/m</w:t>
            </w:r>
            <w:r>
              <w:rPr>
                <w:vertAlign w:val="superscript"/>
              </w:rPr>
              <w:t>3</w:t>
            </w:r>
          </w:p>
        </w:tc>
      </w:tr>
      <w:tr>
        <w:tc>
          <w:tcPr>
            <w:tcW w:w="1147" w:type="dxa"/>
            <w:shd w:val="clear" w:color="auto" w:fill="auto"/>
          </w:tcPr>
          <w:p>
            <w:pPr>
              <w:pStyle w:val="GesAbsatz"/>
              <w:tabs>
                <w:tab w:val="clear" w:pos="425"/>
              </w:tabs>
              <w:rPr>
                <w:lang w:val="en-GB"/>
              </w:rPr>
            </w:pPr>
            <w:r>
              <w:rPr>
                <w:lang w:val="en-GB"/>
              </w:rPr>
              <w:t>CO</w:t>
            </w:r>
            <w:r>
              <w:rPr>
                <w:vertAlign w:val="subscript"/>
                <w:lang w:val="en-GB"/>
              </w:rPr>
              <w:t>2</w:t>
            </w:r>
          </w:p>
        </w:tc>
        <w:tc>
          <w:tcPr>
            <w:tcW w:w="2975" w:type="dxa"/>
            <w:shd w:val="clear" w:color="auto" w:fill="auto"/>
          </w:tcPr>
          <w:p>
            <w:pPr>
              <w:pStyle w:val="GesAbsatz"/>
              <w:tabs>
                <w:tab w:val="clear" w:pos="425"/>
              </w:tabs>
              <w:rPr>
                <w:lang w:val="en-GB"/>
              </w:rPr>
            </w:pPr>
            <w:r>
              <w:rPr>
                <w:lang w:val="en-GB"/>
              </w:rPr>
              <w:t>0-20</w:t>
            </w:r>
          </w:p>
        </w:tc>
        <w:tc>
          <w:tcPr>
            <w:tcW w:w="2893" w:type="dxa"/>
            <w:shd w:val="clear" w:color="auto" w:fill="auto"/>
          </w:tcPr>
          <w:p>
            <w:pPr>
              <w:pStyle w:val="GesAbsatz"/>
              <w:tabs>
                <w:tab w:val="clear" w:pos="425"/>
              </w:tabs>
              <w:rPr>
                <w:lang w:val="en-GB"/>
              </w:rPr>
            </w:pPr>
            <w:r>
              <w:rPr>
                <w:lang w:val="en-GB"/>
              </w:rPr>
              <w:t>-</w:t>
            </w:r>
          </w:p>
        </w:tc>
        <w:tc>
          <w:tcPr>
            <w:tcW w:w="2839" w:type="dxa"/>
            <w:shd w:val="clear" w:color="auto" w:fill="auto"/>
          </w:tcPr>
          <w:p>
            <w:pPr>
              <w:pStyle w:val="GesAbsatz"/>
              <w:tabs>
                <w:tab w:val="clear" w:pos="425"/>
              </w:tabs>
              <w:rPr>
                <w:lang w:val="en-GB"/>
              </w:rPr>
            </w:pPr>
            <w:r>
              <w:rPr>
                <w:lang w:val="en-GB"/>
              </w:rPr>
              <w:t>Vol.-%</w:t>
            </w:r>
          </w:p>
        </w:tc>
      </w:tr>
      <w:tr>
        <w:tc>
          <w:tcPr>
            <w:tcW w:w="1147" w:type="dxa"/>
            <w:shd w:val="clear" w:color="auto" w:fill="auto"/>
          </w:tcPr>
          <w:p>
            <w:pPr>
              <w:pStyle w:val="GesAbsatz"/>
              <w:tabs>
                <w:tab w:val="clear" w:pos="425"/>
              </w:tabs>
              <w:rPr>
                <w:lang w:val="en-GB"/>
              </w:rPr>
            </w:pPr>
            <w:r>
              <w:rPr>
                <w:lang w:val="en-GB"/>
              </w:rPr>
              <w:lastRenderedPageBreak/>
              <w:t>H</w:t>
            </w:r>
            <w:r>
              <w:rPr>
                <w:vertAlign w:val="subscript"/>
                <w:lang w:val="en-GB"/>
              </w:rPr>
              <w:t>2</w:t>
            </w:r>
            <w:r>
              <w:rPr>
                <w:lang w:val="en-GB"/>
              </w:rPr>
              <w:t>O</w:t>
            </w:r>
          </w:p>
        </w:tc>
        <w:tc>
          <w:tcPr>
            <w:tcW w:w="2975" w:type="dxa"/>
            <w:shd w:val="clear" w:color="auto" w:fill="auto"/>
          </w:tcPr>
          <w:p>
            <w:pPr>
              <w:pStyle w:val="GesAbsatz"/>
              <w:tabs>
                <w:tab w:val="clear" w:pos="425"/>
              </w:tabs>
              <w:rPr>
                <w:lang w:val="en-GB"/>
              </w:rPr>
            </w:pPr>
            <w:r>
              <w:rPr>
                <w:lang w:val="en-GB"/>
              </w:rPr>
              <w:t>0-30</w:t>
            </w:r>
          </w:p>
        </w:tc>
        <w:tc>
          <w:tcPr>
            <w:tcW w:w="2893" w:type="dxa"/>
            <w:shd w:val="clear" w:color="auto" w:fill="auto"/>
          </w:tcPr>
          <w:p>
            <w:pPr>
              <w:pStyle w:val="GesAbsatz"/>
              <w:tabs>
                <w:tab w:val="clear" w:pos="425"/>
              </w:tabs>
              <w:rPr>
                <w:lang w:val="en-GB"/>
              </w:rPr>
            </w:pPr>
            <w:r>
              <w:rPr>
                <w:lang w:val="en-GB"/>
              </w:rPr>
              <w:t>-</w:t>
            </w:r>
          </w:p>
        </w:tc>
        <w:tc>
          <w:tcPr>
            <w:tcW w:w="2839" w:type="dxa"/>
            <w:shd w:val="clear" w:color="auto" w:fill="auto"/>
          </w:tcPr>
          <w:p>
            <w:pPr>
              <w:pStyle w:val="GesAbsatz"/>
              <w:tabs>
                <w:tab w:val="clear" w:pos="425"/>
              </w:tabs>
              <w:rPr>
                <w:lang w:val="en-GB"/>
              </w:rPr>
            </w:pPr>
            <w:r>
              <w:rPr>
                <w:lang w:val="en-GB"/>
              </w:rPr>
              <w:t>Vol.-%</w:t>
            </w:r>
          </w:p>
        </w:tc>
      </w:tr>
    </w:tbl>
    <w:p>
      <w:pPr>
        <w:pStyle w:val="GesAbsatz"/>
        <w:tabs>
          <w:tab w:val="clear" w:pos="425"/>
          <w:tab w:val="left" w:pos="2127"/>
        </w:tabs>
        <w:ind w:left="2127" w:hanging="2127"/>
        <w:rPr>
          <w:lang w:val="en-GB"/>
        </w:rPr>
      </w:pPr>
      <w:r>
        <w:t>Softwareversionen</w:t>
      </w:r>
      <w:r>
        <w:rPr>
          <w:lang w:val="en-GB"/>
        </w:rPr>
        <w:t>:</w:t>
      </w:r>
      <w:r>
        <w:rPr>
          <w:lang w:val="en-GB"/>
        </w:rPr>
        <w:tab/>
        <w:t>Omnic 7.2</w:t>
      </w:r>
    </w:p>
    <w:p>
      <w:pPr>
        <w:pStyle w:val="GesAbsatz"/>
        <w:tabs>
          <w:tab w:val="clear" w:pos="425"/>
          <w:tab w:val="left" w:pos="2127"/>
        </w:tabs>
        <w:ind w:left="2127" w:hanging="2127"/>
        <w:rPr>
          <w:lang w:val="en-GB"/>
        </w:rPr>
      </w:pPr>
      <w:r>
        <w:rPr>
          <w:lang w:val="en-GB"/>
        </w:rPr>
        <w:tab/>
        <w:t>GasCalc: 4.4</w:t>
      </w:r>
    </w:p>
    <w:p>
      <w:pPr>
        <w:pStyle w:val="GesAbsatz"/>
      </w:pPr>
      <w:r>
        <w:t>Einschränkung:</w:t>
      </w:r>
    </w:p>
    <w:p>
      <w:pPr>
        <w:pStyle w:val="GesAbsatz"/>
      </w:pPr>
      <w:r>
        <w:t>Die Messeinrichtung darf nur an Anlagen eingesetzt werden, bei denen die Abgasfeuchte 30 Vol.-% nicht dauerhaft überschreitet.</w:t>
      </w:r>
    </w:p>
    <w:p>
      <w:pPr>
        <w:pStyle w:val="GesAbsatz"/>
      </w:pPr>
      <w:r>
        <w:t>Hinweise:</w:t>
      </w:r>
    </w:p>
    <w:p>
      <w:pPr>
        <w:pStyle w:val="GesAbsatz"/>
        <w:ind w:left="426" w:hanging="426"/>
      </w:pPr>
      <w:r>
        <w:t>1.</w:t>
      </w:r>
      <w:r>
        <w:tab/>
        <w:t>Bei der Prüfung von HF, HCl und NH</w:t>
      </w:r>
      <w:r>
        <w:rPr>
          <w:vertAlign w:val="subscript"/>
        </w:rPr>
        <w:t>3</w:t>
      </w:r>
      <w:r>
        <w:t xml:space="preserve"> sind feuchte Prüfgase einzusetzen.</w:t>
      </w:r>
    </w:p>
    <w:p>
      <w:pPr>
        <w:pStyle w:val="GesAbsatz"/>
        <w:ind w:left="426" w:hanging="426"/>
      </w:pPr>
      <w:r>
        <w:t>2.</w:t>
      </w:r>
      <w:r>
        <w:tab/>
        <w:t>Das Wartungsintervall beträgt sechs Monate.</w:t>
      </w:r>
    </w:p>
    <w:p>
      <w:pPr>
        <w:pStyle w:val="GesAbsatz"/>
        <w:ind w:left="426" w:hanging="426"/>
      </w:pPr>
      <w:r>
        <w:t>3.</w:t>
      </w:r>
      <w:r>
        <w:tab/>
        <w:t>Ergänzungsprüfung (Erweiterung um die Komponenten N</w:t>
      </w:r>
      <w:r>
        <w:rPr>
          <w:vertAlign w:val="subscript"/>
        </w:rPr>
        <w:t>2</w:t>
      </w:r>
      <w:r>
        <w:t>O und HF, Gerätemodifikationen, Überfü</w:t>
      </w:r>
      <w:r>
        <w:t>h</w:t>
      </w:r>
      <w:r>
        <w:t>rung in die DIN EN 15267) zur Bekanntmachung des Umweltbundesamtes vom 12. August 2008 (BAnz. S. 3243, Kapitel I Nummer 2.3).</w:t>
      </w:r>
    </w:p>
    <w:p>
      <w:pPr>
        <w:pStyle w:val="GesAbsatz"/>
        <w:ind w:left="426" w:hanging="426"/>
      </w:pPr>
      <w:r>
        <w:t>4.</w:t>
      </w:r>
      <w:r>
        <w:tab/>
        <w:t>Für die Komponente CO wird die Anforderung an die Messunsicherheit nach DIN EN 15267-3 nicht e</w:t>
      </w:r>
      <w:r>
        <w:t>r</w:t>
      </w:r>
      <w:r>
        <w:t>füllt.</w:t>
      </w:r>
    </w:p>
    <w:p>
      <w:pPr>
        <w:pStyle w:val="GesAbsatz"/>
        <w:ind w:left="426" w:hanging="426"/>
      </w:pPr>
      <w:r>
        <w:t>5.</w:t>
      </w:r>
      <w:r>
        <w:tab/>
        <w:t>Die Messeinrichtung arbeitet mit feuchtem Abgas.</w:t>
      </w:r>
    </w:p>
    <w:p>
      <w:pPr>
        <w:pStyle w:val="GesAbsatz"/>
        <w:ind w:left="426" w:hanging="426"/>
      </w:pPr>
      <w:r>
        <w:t>Prüfbericht:</w:t>
      </w:r>
    </w:p>
    <w:p>
      <w:pPr>
        <w:pStyle w:val="GesAbsatz"/>
      </w:pPr>
      <w:r>
        <w:t>TÜV Rheinland Energie und Umwelt GmbH, Köln</w:t>
      </w:r>
    </w:p>
    <w:p>
      <w:pPr>
        <w:pStyle w:val="GesAbsatz"/>
      </w:pPr>
      <w:r>
        <w:t>Bericht-Nr.: 936/21211855/B vom 25. März 2011</w:t>
      </w:r>
    </w:p>
    <w:p>
      <w:pPr>
        <w:pStyle w:val="berschrift2"/>
      </w:pPr>
      <w:bookmarkStart w:id="7" w:name="_Toc301857905"/>
      <w:r>
        <w:t>II.</w:t>
      </w:r>
      <w:r>
        <w:br/>
        <w:t xml:space="preserve">Eignung für Messeinrichtungen zur kontinuierlichen Messung von </w:t>
      </w:r>
      <w:r>
        <w:br/>
        <w:t>Bezugsgr</w:t>
      </w:r>
      <w:r>
        <w:t>ö</w:t>
      </w:r>
      <w:r>
        <w:t>ßen/Betriebsgrößen</w:t>
      </w:r>
      <w:bookmarkEnd w:id="7"/>
    </w:p>
    <w:p>
      <w:pPr>
        <w:pStyle w:val="berschrift3"/>
        <w:jc w:val="left"/>
      </w:pPr>
      <w:bookmarkStart w:id="8" w:name="_Toc301857906"/>
      <w:r>
        <w:t>1</w:t>
      </w:r>
      <w:r>
        <w:tab/>
        <w:t>Abgasgeschwindigkeit</w:t>
      </w:r>
      <w:bookmarkEnd w:id="8"/>
    </w:p>
    <w:p>
      <w:pPr>
        <w:pStyle w:val="GesAbsatz"/>
        <w:rPr>
          <w:b/>
        </w:rPr>
      </w:pPr>
      <w:r>
        <w:rPr>
          <w:b/>
        </w:rPr>
        <w:t>1.1</w:t>
      </w:r>
      <w:r>
        <w:rPr>
          <w:b/>
        </w:rPr>
        <w:tab/>
        <w:t>FMD 09 für Abgasgeschwindigkeit</w:t>
      </w:r>
    </w:p>
    <w:p>
      <w:pPr>
        <w:pStyle w:val="GesAbsatz"/>
      </w:pPr>
      <w:r>
        <w:t>Hersteller:</w:t>
      </w:r>
    </w:p>
    <w:p>
      <w:pPr>
        <w:pStyle w:val="GesAbsatz"/>
      </w:pPr>
      <w:r>
        <w:t>Dr. Födisch Umweltmesstechnik AG, Markranstädt</w:t>
      </w:r>
    </w:p>
    <w:p>
      <w:pPr>
        <w:pStyle w:val="GesAbsatz"/>
      </w:pPr>
      <w:r>
        <w:t>Eignung:</w:t>
      </w:r>
    </w:p>
    <w:p>
      <w:pPr>
        <w:pStyle w:val="GesAbsatz"/>
      </w:pPr>
      <w:r>
        <w:t>Für genehmigungsbedürftige Anlagen und Anlagen der 27. BImSchV</w:t>
      </w:r>
    </w:p>
    <w:p>
      <w:pPr>
        <w:pStyle w:val="GesAbsatz"/>
      </w:pPr>
      <w:r>
        <w:t>Messbereich in der Eignungsprüfung: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3228"/>
        <w:gridCol w:w="1166"/>
      </w:tblGrid>
      <w:tr>
        <w:tc>
          <w:tcPr>
            <w:tcW w:w="2802" w:type="dxa"/>
            <w:shd w:val="clear" w:color="auto" w:fill="auto"/>
          </w:tcPr>
          <w:p>
            <w:pPr>
              <w:pStyle w:val="GesAbsatz"/>
              <w:tabs>
                <w:tab w:val="clear" w:pos="425"/>
              </w:tabs>
              <w:rPr>
                <w:sz w:val="18"/>
                <w:szCs w:val="18"/>
              </w:rPr>
            </w:pPr>
            <w:r>
              <w:rPr>
                <w:sz w:val="18"/>
                <w:szCs w:val="18"/>
              </w:rPr>
              <w:t>Komponente</w:t>
            </w:r>
          </w:p>
        </w:tc>
        <w:tc>
          <w:tcPr>
            <w:tcW w:w="3228" w:type="dxa"/>
            <w:shd w:val="clear" w:color="auto" w:fill="auto"/>
          </w:tcPr>
          <w:p>
            <w:pPr>
              <w:pStyle w:val="GesAbsatz"/>
              <w:tabs>
                <w:tab w:val="clear" w:pos="425"/>
              </w:tabs>
              <w:rPr>
                <w:sz w:val="18"/>
                <w:szCs w:val="18"/>
              </w:rPr>
            </w:pPr>
            <w:r>
              <w:rPr>
                <w:sz w:val="18"/>
                <w:szCs w:val="18"/>
              </w:rPr>
              <w:t>Zertifizierungsbereich</w:t>
            </w:r>
          </w:p>
        </w:tc>
        <w:tc>
          <w:tcPr>
            <w:tcW w:w="1166" w:type="dxa"/>
            <w:shd w:val="clear" w:color="auto" w:fill="auto"/>
          </w:tcPr>
          <w:p>
            <w:pPr>
              <w:pStyle w:val="GesAbsatz"/>
              <w:tabs>
                <w:tab w:val="clear" w:pos="425"/>
              </w:tabs>
              <w:rPr>
                <w:sz w:val="18"/>
                <w:szCs w:val="18"/>
              </w:rPr>
            </w:pPr>
            <w:r>
              <w:rPr>
                <w:sz w:val="18"/>
                <w:szCs w:val="18"/>
              </w:rPr>
              <w:t>Einheit</w:t>
            </w:r>
          </w:p>
        </w:tc>
      </w:tr>
      <w:tr>
        <w:tc>
          <w:tcPr>
            <w:tcW w:w="2802" w:type="dxa"/>
            <w:shd w:val="clear" w:color="auto" w:fill="auto"/>
          </w:tcPr>
          <w:p>
            <w:pPr>
              <w:pStyle w:val="GesAbsatz"/>
              <w:tabs>
                <w:tab w:val="clear" w:pos="425"/>
              </w:tabs>
            </w:pPr>
            <w:r>
              <w:t>Abgasgeschwi</w:t>
            </w:r>
            <w:r>
              <w:t>n</w:t>
            </w:r>
            <w:r>
              <w:t>digkeit</w:t>
            </w:r>
          </w:p>
        </w:tc>
        <w:tc>
          <w:tcPr>
            <w:tcW w:w="3228" w:type="dxa"/>
            <w:shd w:val="clear" w:color="auto" w:fill="auto"/>
          </w:tcPr>
          <w:p>
            <w:pPr>
              <w:pStyle w:val="GesAbsatz"/>
              <w:tabs>
                <w:tab w:val="clear" w:pos="425"/>
              </w:tabs>
            </w:pPr>
            <w:r>
              <w:t>5-30</w:t>
            </w:r>
          </w:p>
        </w:tc>
        <w:tc>
          <w:tcPr>
            <w:tcW w:w="1166" w:type="dxa"/>
            <w:shd w:val="clear" w:color="auto" w:fill="auto"/>
          </w:tcPr>
          <w:p>
            <w:pPr>
              <w:pStyle w:val="GesAbsatz"/>
              <w:tabs>
                <w:tab w:val="clear" w:pos="425"/>
              </w:tabs>
            </w:pPr>
            <w:r>
              <w:t>m/s</w:t>
            </w:r>
          </w:p>
        </w:tc>
      </w:tr>
    </w:tbl>
    <w:p>
      <w:pPr>
        <w:pStyle w:val="GesAbsatz"/>
        <w:tabs>
          <w:tab w:val="clear" w:pos="425"/>
          <w:tab w:val="left" w:pos="2268"/>
        </w:tabs>
        <w:ind w:left="2268" w:hanging="2268"/>
      </w:pPr>
      <w:r>
        <w:t>Softwareversionen:</w:t>
      </w:r>
      <w:r>
        <w:tab/>
        <w:t>Main Version: 2.0</w:t>
      </w:r>
    </w:p>
    <w:p>
      <w:pPr>
        <w:pStyle w:val="GesAbsatz"/>
        <w:tabs>
          <w:tab w:val="clear" w:pos="425"/>
          <w:tab w:val="left" w:pos="2268"/>
        </w:tabs>
        <w:ind w:left="2268" w:hanging="2268"/>
      </w:pPr>
      <w:r>
        <w:tab/>
        <w:t>I/O Version: 1.1</w:t>
      </w:r>
    </w:p>
    <w:p>
      <w:pPr>
        <w:pStyle w:val="GesAbsatz"/>
      </w:pPr>
      <w:r>
        <w:t>Einschränkung:</w:t>
      </w:r>
    </w:p>
    <w:p>
      <w:pPr>
        <w:pStyle w:val="GesAbsatz"/>
      </w:pPr>
      <w:r>
        <w:t>Die untere Grenze des Geschwindigkeitsmessbereichs beträgt 5 m/s.</w:t>
      </w:r>
    </w:p>
    <w:p>
      <w:pPr>
        <w:pStyle w:val="GesAbsatz"/>
      </w:pPr>
      <w:r>
        <w:t>Hinweise:</w:t>
      </w:r>
    </w:p>
    <w:p>
      <w:pPr>
        <w:pStyle w:val="GesAbsatz"/>
        <w:ind w:left="426" w:hanging="426"/>
      </w:pPr>
      <w:r>
        <w:t>1.</w:t>
      </w:r>
      <w:r>
        <w:tab/>
        <w:t>Das Wartungsintervall beträgt drei Monate.</w:t>
      </w:r>
    </w:p>
    <w:p>
      <w:pPr>
        <w:pStyle w:val="GesAbsatz"/>
        <w:ind w:left="426" w:hanging="426"/>
      </w:pPr>
      <w:r>
        <w:t>2.</w:t>
      </w:r>
      <w:r>
        <w:tab/>
        <w:t>Nach einer Filterstörung mit hoher Staubbelastung ist die Sonde auf Verschmutzungen zu überprüfen und gegebenenfalls zu reinigen.</w:t>
      </w:r>
    </w:p>
    <w:p>
      <w:pPr>
        <w:pStyle w:val="GesAbsatz"/>
        <w:ind w:left="426" w:hanging="426"/>
      </w:pPr>
      <w:r>
        <w:t>3.</w:t>
      </w:r>
      <w:r>
        <w:tab/>
        <w:t>Als Drucktransmitter kann der SMAR LD301 in einem Bereich von 0 bis 500 Pa oder von 0 bis 1000 Pa eingesetzt werden.</w:t>
      </w:r>
    </w:p>
    <w:p>
      <w:pPr>
        <w:pStyle w:val="GesAbsatz"/>
      </w:pPr>
      <w:r>
        <w:t>Prüfbericht:</w:t>
      </w:r>
    </w:p>
    <w:p>
      <w:pPr>
        <w:pStyle w:val="GesAbsatz"/>
      </w:pPr>
      <w:r>
        <w:t>TÜV Rheinland Energie und Umwelt GmbH, Köln</w:t>
      </w:r>
    </w:p>
    <w:p>
      <w:pPr>
        <w:pStyle w:val="GesAbsatz"/>
      </w:pPr>
      <w:r>
        <w:t>Bericht-Nr.: 936/21212361/A vom 23. März 2011</w:t>
      </w:r>
    </w:p>
    <w:p>
      <w:pPr>
        <w:pStyle w:val="berschrift2"/>
      </w:pPr>
      <w:bookmarkStart w:id="9" w:name="_Toc301857907"/>
      <w:r>
        <w:lastRenderedPageBreak/>
        <w:t>III.</w:t>
      </w:r>
      <w:r>
        <w:br/>
        <w:t xml:space="preserve">Mitteilungen zur Bundeseinheitlichen Praxis bei der Überwachung </w:t>
      </w:r>
      <w:r>
        <w:br/>
        <w:t>von Emissi</w:t>
      </w:r>
      <w:r>
        <w:t>o</w:t>
      </w:r>
      <w:r>
        <w:t>nen und Immissionen</w:t>
      </w:r>
      <w:bookmarkEnd w:id="9"/>
    </w:p>
    <w:p>
      <w:pPr>
        <w:pStyle w:val="GesAbsatz"/>
        <w:rPr>
          <w:b/>
          <w:color w:val="auto"/>
        </w:rPr>
      </w:pPr>
      <w:r>
        <w:rPr>
          <w:b/>
          <w:color w:val="auto"/>
        </w:rPr>
        <w:t>1</w:t>
      </w:r>
      <w:r>
        <w:rPr>
          <w:b/>
          <w:color w:val="auto"/>
        </w:rPr>
        <w:tab/>
        <w:t>Mitteilung zu Bekanntmachungen des Umweltbundesamtes vom 21. Februar 2006 (BAnz. S. 2653, Kap</w:t>
      </w:r>
      <w:r>
        <w:rPr>
          <w:b/>
          <w:color w:val="auto"/>
        </w:rPr>
        <w:t>i</w:t>
      </w:r>
      <w:r>
        <w:rPr>
          <w:b/>
          <w:color w:val="auto"/>
        </w:rPr>
        <w:t>tel I Nummer 1.1) und vom 25. Januar 2010 (BAnz. S. 552, Kapitel IV 23. Mitteilung)</w:t>
      </w:r>
    </w:p>
    <w:p>
      <w:pPr>
        <w:pStyle w:val="GesAbsatz"/>
      </w:pPr>
      <w:r>
        <w:t>Die aktuelle Softwareversion für die Messeinrichtung FIDAMAT 6-7MB2421 für Gesamtkohlenstoff der Fa. Siemens AG lautet:</w:t>
      </w:r>
    </w:p>
    <w:p>
      <w:pPr>
        <w:pStyle w:val="GesAbsatz"/>
      </w:pPr>
      <w:r>
        <w:t>1.3.4</w:t>
      </w:r>
    </w:p>
    <w:p>
      <w:pPr>
        <w:pStyle w:val="GesAbsatz"/>
      </w:pPr>
      <w:r>
        <w:t>Stellungnahme der TÜV Süd Industrie Service GmbH vom 25. März 2011</w:t>
      </w:r>
    </w:p>
    <w:p>
      <w:pPr>
        <w:pStyle w:val="GesAbsatz"/>
        <w:rPr>
          <w:b/>
          <w:color w:val="auto"/>
        </w:rPr>
      </w:pPr>
      <w:r>
        <w:rPr>
          <w:b/>
          <w:color w:val="auto"/>
        </w:rPr>
        <w:t>2</w:t>
      </w:r>
      <w:r>
        <w:rPr>
          <w:b/>
          <w:color w:val="auto"/>
        </w:rPr>
        <w:tab/>
        <w:t>Mitteilung zu Bekanntmachungen des Umweltbundesamtes vom 14. Februar 2008 (BAnz. S. 901, Kap</w:t>
      </w:r>
      <w:r>
        <w:rPr>
          <w:b/>
          <w:color w:val="auto"/>
        </w:rPr>
        <w:t>i</w:t>
      </w:r>
      <w:r>
        <w:rPr>
          <w:b/>
          <w:color w:val="auto"/>
        </w:rPr>
        <w:t>tel I Nummer 2.4) und vom 25. Januar 2010 (BAnz. S. 552, Kapitel IV 24. Mitteilung)</w:t>
      </w:r>
    </w:p>
    <w:p>
      <w:pPr>
        <w:pStyle w:val="GesAbsatz"/>
      </w:pPr>
      <w:r>
        <w:t>Die aktuelle Softwareversion für die Messeinrichtungen ULTRA-MAT 23-7MB2335/2337 für CO, NO und O</w:t>
      </w:r>
      <w:r>
        <w:rPr>
          <w:vertAlign w:val="subscript"/>
        </w:rPr>
        <w:t>2</w:t>
      </w:r>
      <w:r>
        <w:t xml:space="preserve"> der Fa. Siemens AG lautet:</w:t>
      </w:r>
    </w:p>
    <w:p>
      <w:pPr>
        <w:pStyle w:val="GesAbsatz"/>
      </w:pPr>
      <w:r>
        <w:t>2.14.06</w:t>
      </w:r>
    </w:p>
    <w:p>
      <w:pPr>
        <w:pStyle w:val="GesAbsatz"/>
      </w:pPr>
      <w:r>
        <w:t>Stellungnahme der TÜV Süd Industrie Service GmbH vom 25. März 2011</w:t>
      </w:r>
    </w:p>
    <w:p>
      <w:pPr>
        <w:pStyle w:val="GesAbsatz"/>
        <w:rPr>
          <w:b/>
          <w:color w:val="auto"/>
        </w:rPr>
      </w:pPr>
      <w:r>
        <w:rPr>
          <w:b/>
          <w:color w:val="auto"/>
        </w:rPr>
        <w:t>3</w:t>
      </w:r>
      <w:r>
        <w:rPr>
          <w:b/>
          <w:color w:val="auto"/>
        </w:rPr>
        <w:tab/>
        <w:t>Mitteilung zu Bekanntmachungen des Umweltbundesamtes vom 14. Februar 2008 (BAnz. S. 901, Kap</w:t>
      </w:r>
      <w:r>
        <w:rPr>
          <w:b/>
          <w:color w:val="auto"/>
        </w:rPr>
        <w:t>i</w:t>
      </w:r>
      <w:r>
        <w:rPr>
          <w:b/>
          <w:color w:val="auto"/>
        </w:rPr>
        <w:t>tel I Nummer 2.5) und vom 25. Januar 2010 (BAnz. S. 552, Kapitel IV 25. Mitteilung)</w:t>
      </w:r>
    </w:p>
    <w:p>
      <w:pPr>
        <w:pStyle w:val="GesAbsatz"/>
      </w:pPr>
      <w:r>
        <w:t>Die aktuelle Softwareversion für die Mehrkomponentenmesseinrichtungen ULTRAMAT 23-7MB2338 der Fa. Siemens AG lautet:</w:t>
      </w:r>
    </w:p>
    <w:p>
      <w:pPr>
        <w:pStyle w:val="GesAbsatz"/>
      </w:pPr>
      <w:r>
        <w:t>2.14.06</w:t>
      </w:r>
    </w:p>
    <w:p>
      <w:pPr>
        <w:pStyle w:val="GesAbsatz"/>
      </w:pPr>
      <w:r>
        <w:t>Stellungnahme der TÜV Süd Industrie Service GmbH vom 25. März 2011</w:t>
      </w:r>
    </w:p>
    <w:p>
      <w:pPr>
        <w:pStyle w:val="GesAbsatz"/>
        <w:rPr>
          <w:b/>
          <w:color w:val="auto"/>
        </w:rPr>
      </w:pPr>
      <w:r>
        <w:rPr>
          <w:b/>
          <w:color w:val="auto"/>
        </w:rPr>
        <w:t>4</w:t>
      </w:r>
      <w:r>
        <w:rPr>
          <w:b/>
          <w:color w:val="auto"/>
        </w:rPr>
        <w:tab/>
        <w:t>Mitteilung zum Rundschreiben des BMU vom 28. April 1999 - IG I 3 - 51134/2 - (GMBl S. 445, Kap</w:t>
      </w:r>
      <w:r>
        <w:rPr>
          <w:b/>
          <w:color w:val="auto"/>
        </w:rPr>
        <w:t>i</w:t>
      </w:r>
      <w:r>
        <w:rPr>
          <w:b/>
          <w:color w:val="auto"/>
        </w:rPr>
        <w:t>tel I Nummer 4.5) und zur Bekanntmachung des Umweltbundesamtes vom 25. Januar 2010 (BAnz. S. 552, Kap</w:t>
      </w:r>
      <w:r>
        <w:rPr>
          <w:b/>
          <w:color w:val="auto"/>
        </w:rPr>
        <w:t>i</w:t>
      </w:r>
      <w:r>
        <w:rPr>
          <w:b/>
          <w:color w:val="auto"/>
        </w:rPr>
        <w:t>tel IV 26. Mitteilung)</w:t>
      </w:r>
    </w:p>
    <w:p>
      <w:pPr>
        <w:pStyle w:val="GesAbsatz"/>
      </w:pPr>
      <w:r>
        <w:t>Die aktuelle Softwareversion für die Mehrkomponentenmesseinrichtungen ULTRAMAT 6 E/F, OXYMAT 6 E/F und ULTRAMAT/OXYMAT 6 E/F der Fa. Siemens AG lautet:</w:t>
      </w:r>
    </w:p>
    <w:p>
      <w:pPr>
        <w:pStyle w:val="GesAbsatz"/>
      </w:pPr>
      <w:r>
        <w:t>4.8.3</w:t>
      </w:r>
    </w:p>
    <w:p>
      <w:pPr>
        <w:pStyle w:val="GesAbsatz"/>
      </w:pPr>
      <w:r>
        <w:t>Stellungnahme der TÜV Süd Industrie Service GmbH vom 25. März 2011</w:t>
      </w:r>
    </w:p>
    <w:p>
      <w:pPr>
        <w:pStyle w:val="GesAbsatz"/>
        <w:rPr>
          <w:b/>
          <w:color w:val="auto"/>
        </w:rPr>
      </w:pPr>
      <w:r>
        <w:rPr>
          <w:b/>
          <w:color w:val="auto"/>
        </w:rPr>
        <w:t>5</w:t>
      </w:r>
      <w:r>
        <w:rPr>
          <w:b/>
          <w:color w:val="auto"/>
        </w:rPr>
        <w:tab/>
        <w:t>Mitteilung zu Bekanntmachungen des Umweltbundesamtes vom 21. Februar 2006 (BAnz. S. 2653, Kap</w:t>
      </w:r>
      <w:r>
        <w:rPr>
          <w:b/>
          <w:color w:val="auto"/>
        </w:rPr>
        <w:t>i</w:t>
      </w:r>
      <w:r>
        <w:rPr>
          <w:b/>
          <w:color w:val="auto"/>
        </w:rPr>
        <w:t>tel III Nummer 1.6) und vom 3. August 2009 (BAnz. S. 2929, Kapitel III 22. Mitteilung)</w:t>
      </w:r>
    </w:p>
    <w:p>
      <w:pPr>
        <w:pStyle w:val="GesAbsatz"/>
      </w:pPr>
      <w:r>
        <w:t>Der Name des Herstellers des Emissionsdaten-Auswertesystems D-EMS 2000 lautet:</w:t>
      </w:r>
    </w:p>
    <w:p>
      <w:pPr>
        <w:pStyle w:val="GesAbsatz"/>
      </w:pPr>
      <w:r>
        <w:t>DURAG data Systems GmbH</w:t>
      </w:r>
    </w:p>
    <w:p>
      <w:pPr>
        <w:pStyle w:val="GesAbsatz"/>
      </w:pPr>
      <w:r>
        <w:t>Stellungnahme der TÜV Rheinland Energie und Umwelt GmbH vom 31. März 2011</w:t>
      </w:r>
    </w:p>
    <w:p>
      <w:pPr>
        <w:pStyle w:val="GesAbsatz"/>
        <w:rPr>
          <w:b/>
          <w:color w:val="auto"/>
        </w:rPr>
      </w:pPr>
      <w:r>
        <w:rPr>
          <w:b/>
          <w:color w:val="auto"/>
        </w:rPr>
        <w:t>6</w:t>
      </w:r>
      <w:r>
        <w:rPr>
          <w:b/>
          <w:color w:val="auto"/>
        </w:rPr>
        <w:tab/>
        <w:t>Mitteilung zu Bekanntmachungen des Umweltbundesamtes vom 19. Februar 2009 (BAnz. S. 899, Kap</w:t>
      </w:r>
      <w:r>
        <w:rPr>
          <w:b/>
          <w:color w:val="auto"/>
        </w:rPr>
        <w:t>i</w:t>
      </w:r>
      <w:r>
        <w:rPr>
          <w:b/>
          <w:color w:val="auto"/>
        </w:rPr>
        <w:t>tel III Nummer 1.1) und vom 3. August 2009 (BAnz. S. 2929, Kapitel III 21. Mitteilung)</w:t>
      </w:r>
    </w:p>
    <w:p>
      <w:pPr>
        <w:pStyle w:val="GesAbsatz"/>
      </w:pPr>
      <w:r>
        <w:t>Der Name des Herstellers des Emissionsdaten-Auswertesystems D-EMS 2000 AiO lautet:</w:t>
      </w:r>
    </w:p>
    <w:p>
      <w:pPr>
        <w:pStyle w:val="GesAbsatz"/>
      </w:pPr>
      <w:r>
        <w:t>DURAG data Systems GmbH</w:t>
      </w:r>
    </w:p>
    <w:p>
      <w:pPr>
        <w:pStyle w:val="GesAbsatz"/>
      </w:pPr>
      <w:r>
        <w:t>Stellungnahme der TÜV Rheinland Energie und Umwelt GmbH vom 31. März 2011</w:t>
      </w:r>
    </w:p>
    <w:p>
      <w:pPr>
        <w:pStyle w:val="GesAbsatz"/>
        <w:rPr>
          <w:b/>
          <w:color w:val="auto"/>
        </w:rPr>
      </w:pPr>
      <w:r>
        <w:rPr>
          <w:b/>
          <w:color w:val="auto"/>
        </w:rPr>
        <w:t>7</w:t>
      </w:r>
      <w:r>
        <w:rPr>
          <w:b/>
          <w:color w:val="auto"/>
        </w:rPr>
        <w:tab/>
        <w:t>Mitteilung zur Bekanntmachung des Umweltbundesamtes vom 3. August 2009 (BAnz. S. 2929, Kapitel II Nummer 2.1)</w:t>
      </w:r>
    </w:p>
    <w:p>
      <w:pPr>
        <w:pStyle w:val="GesAbsatz"/>
      </w:pPr>
      <w:r>
        <w:t>Die Messeinrichtung SWAM 5a Dual Channel Monitor für PM</w:t>
      </w:r>
      <w:r>
        <w:rPr>
          <w:vertAlign w:val="subscript"/>
        </w:rPr>
        <w:t>10</w:t>
      </w:r>
      <w:r>
        <w:t xml:space="preserve"> und PM</w:t>
      </w:r>
      <w:r>
        <w:rPr>
          <w:vertAlign w:val="subscript"/>
        </w:rPr>
        <w:t>2,5</w:t>
      </w:r>
      <w:r>
        <w:t xml:space="preserve"> der Firma FAI Instruments s.r.l. erfüllt die Anforderungen der DIN EN 12341, der DIN EN 14907 sowie des Leitfadens zum Nachweis der Gleichwertigkeit von Immissionsmesseinrichtungen in der Version vom November 2005. Darüber hinaus erfüllt die Herstellung und das Qualitätsmanagement der Messeinrichtung SWAM 5a Dual </w:t>
      </w:r>
      <w:r>
        <w:rPr>
          <w:lang w:val="en-US"/>
        </w:rPr>
        <w:t>Channel</w:t>
      </w:r>
      <w:r>
        <w:t xml:space="preserve"> Monitor für PM</w:t>
      </w:r>
      <w:r>
        <w:rPr>
          <w:vertAlign w:val="subscript"/>
        </w:rPr>
        <w:t>10</w:t>
      </w:r>
      <w:r>
        <w:t xml:space="preserve"> und PM</w:t>
      </w:r>
      <w:r>
        <w:rPr>
          <w:vertAlign w:val="subscript"/>
        </w:rPr>
        <w:t>2,5</w:t>
      </w:r>
      <w:r>
        <w:t xml:space="preserve"> die Anforderungen der DIN EN 15267.</w:t>
      </w:r>
    </w:p>
    <w:p>
      <w:pPr>
        <w:pStyle w:val="GesAbsatz"/>
      </w:pPr>
      <w:r>
        <w:t>Der Prüfbericht über die Eignungsprüfung ist im Internet unter www.qal1.de einsehbar.</w:t>
      </w:r>
    </w:p>
    <w:p>
      <w:pPr>
        <w:pStyle w:val="GesAbsatz"/>
      </w:pPr>
      <w:r>
        <w:t>Stellungnahme der TÜV Rheinland Energie und Umwelt GmbH vom 26. März 2011</w:t>
      </w:r>
    </w:p>
    <w:p>
      <w:pPr>
        <w:pStyle w:val="GesAbsatz"/>
        <w:rPr>
          <w:b/>
          <w:color w:val="auto"/>
        </w:rPr>
      </w:pPr>
      <w:r>
        <w:rPr>
          <w:b/>
          <w:color w:val="auto"/>
        </w:rPr>
        <w:lastRenderedPageBreak/>
        <w:t>8</w:t>
      </w:r>
      <w:r>
        <w:rPr>
          <w:b/>
          <w:color w:val="auto"/>
        </w:rPr>
        <w:tab/>
        <w:t>Mitteilung zur Bekanntmachung des Umweltbundesamtes vom 25. Januar 2010 (BAnz. S. 552, Kapitel II Nummer 1.1)</w:t>
      </w:r>
    </w:p>
    <w:p>
      <w:pPr>
        <w:pStyle w:val="GesAbsatz"/>
      </w:pPr>
      <w:r>
        <w:t>Die aktuelle Softwareversion der Messeinrichtung ZFK8 + ZKM für O</w:t>
      </w:r>
      <w:r>
        <w:rPr>
          <w:vertAlign w:val="subscript"/>
        </w:rPr>
        <w:t>2</w:t>
      </w:r>
      <w:r>
        <w:t xml:space="preserve"> der Fa. Fuji Electric Systems Co., Ltd. lautet:</w:t>
      </w:r>
    </w:p>
    <w:p>
      <w:pPr>
        <w:pStyle w:val="GesAbsatz"/>
      </w:pPr>
      <w:r>
        <w:t>2.13B</w:t>
      </w:r>
    </w:p>
    <w:p>
      <w:pPr>
        <w:pStyle w:val="GesAbsatz"/>
      </w:pPr>
      <w:r>
        <w:t>Die Versionen 2.13A, 2.12 und 2.10 sind ebenfalls zugelassen.</w:t>
      </w:r>
    </w:p>
    <w:p>
      <w:pPr>
        <w:pStyle w:val="GesAbsatz"/>
      </w:pPr>
      <w:r>
        <w:t>Stellungnahme der TÜV Rheinland Energie und Umwelt GmbH vom 24. März 2011</w:t>
      </w:r>
    </w:p>
    <w:p>
      <w:pPr>
        <w:pStyle w:val="GesAbsatz"/>
        <w:rPr>
          <w:b/>
          <w:color w:val="auto"/>
        </w:rPr>
      </w:pPr>
      <w:r>
        <w:rPr>
          <w:b/>
          <w:color w:val="auto"/>
        </w:rPr>
        <w:t>9</w:t>
      </w:r>
      <w:r>
        <w:rPr>
          <w:b/>
          <w:color w:val="auto"/>
        </w:rPr>
        <w:tab/>
        <w:t>Mitteilung zur Bekanntmachung des Umweltbundesamtes vom 25. Januar 2010 (BAnz. S. 552, Kapitel I Nummer 1.1)</w:t>
      </w:r>
    </w:p>
    <w:p>
      <w:pPr>
        <w:pStyle w:val="GesAbsatz"/>
      </w:pPr>
      <w:r>
        <w:t>Die aktuelle Softwareversion der Mehrkomponentenmesseinrichtung ZRE und ZRE/ZFK7 der Fa. Fuji Electric Systems Co., Ltd. lautet:</w:t>
      </w:r>
    </w:p>
    <w:p>
      <w:pPr>
        <w:pStyle w:val="GesAbsatz"/>
      </w:pPr>
      <w:r>
        <w:t xml:space="preserve">1.03 </w:t>
      </w:r>
    </w:p>
    <w:p>
      <w:pPr>
        <w:pStyle w:val="GesAbsatz"/>
      </w:pPr>
      <w:r>
        <w:t>Stellungnahme der TÜV Rheinland Energie und Umwelt GmbH vom 24. März 2011</w:t>
      </w:r>
    </w:p>
    <w:p>
      <w:pPr>
        <w:pStyle w:val="GesAbsatz"/>
        <w:rPr>
          <w:b/>
          <w:color w:val="auto"/>
        </w:rPr>
      </w:pPr>
      <w:r>
        <w:rPr>
          <w:b/>
          <w:color w:val="auto"/>
        </w:rPr>
        <w:t>10</w:t>
      </w:r>
      <w:r>
        <w:rPr>
          <w:b/>
          <w:color w:val="auto"/>
        </w:rPr>
        <w:tab/>
        <w:t>Mitteilung zu Bekanntmachungen des Umweltbundesamtes vom 14. Februar 2008 (BAnz. S. 901, Kap</w:t>
      </w:r>
      <w:r>
        <w:rPr>
          <w:b/>
          <w:color w:val="auto"/>
        </w:rPr>
        <w:t>i</w:t>
      </w:r>
      <w:r>
        <w:rPr>
          <w:b/>
          <w:color w:val="auto"/>
        </w:rPr>
        <w:t>tel I Nummer 2.1)</w:t>
      </w:r>
    </w:p>
    <w:p>
      <w:pPr>
        <w:pStyle w:val="GesAbsatz"/>
      </w:pPr>
      <w:r>
        <w:t>Die aktuelle Softwareversion der Mehrkomponenten-Messeinrichtung Gasmet CEMS der Firma Gasmet Technologies Oy lautet:</w:t>
      </w:r>
    </w:p>
    <w:p>
      <w:pPr>
        <w:pStyle w:val="GesAbsatz"/>
      </w:pPr>
      <w:r>
        <w:t>Calcmet: 11.101 mit Auswertemodul 4.42.2</w:t>
      </w:r>
    </w:p>
    <w:p>
      <w:pPr>
        <w:pStyle w:val="GesAbsatz"/>
      </w:pPr>
      <w:r>
        <w:t>Stellungnahme der TÜV Rheinland Energie und Umwelt GmbH vom 29. März 2011</w:t>
      </w:r>
    </w:p>
    <w:p>
      <w:pPr>
        <w:pStyle w:val="GesAbsatz"/>
        <w:rPr>
          <w:b/>
          <w:color w:val="auto"/>
        </w:rPr>
      </w:pPr>
      <w:r>
        <w:rPr>
          <w:b/>
          <w:color w:val="auto"/>
        </w:rPr>
        <w:t>11</w:t>
      </w:r>
      <w:r>
        <w:rPr>
          <w:b/>
          <w:color w:val="auto"/>
        </w:rPr>
        <w:tab/>
        <w:t>Mitteilung zu Bekanntmachungen des Umweltbundesamtes vom 12. Juli 2010 (BAnz. S. 2597, Kapitel II Nummer 1.1) und vom 10. Januar 2011 (BAnz. S. 294, Kapitel IV 18. Mitteilung)</w:t>
      </w:r>
    </w:p>
    <w:p>
      <w:pPr>
        <w:pStyle w:val="GesAbsatz"/>
      </w:pPr>
      <w:r>
        <w:t>Die Messeinrichtung BAM-1020 mit PM</w:t>
      </w:r>
      <w:r>
        <w:rPr>
          <w:vertAlign w:val="subscript"/>
        </w:rPr>
        <w:t>2,5</w:t>
      </w:r>
      <w:r>
        <w:t>-Vorabscheider der Firma Met One Instruments, Inc. für die Mes</w:t>
      </w:r>
      <w:r>
        <w:t>s</w:t>
      </w:r>
      <w:r>
        <w:t>komponente Schwebstaub PM</w:t>
      </w:r>
      <w:r>
        <w:rPr>
          <w:vertAlign w:val="subscript"/>
        </w:rPr>
        <w:t>2,5</w:t>
      </w:r>
      <w:r>
        <w:t xml:space="preserve"> kann optional mit der Pumpe BX-125 betrieben werden.</w:t>
      </w:r>
    </w:p>
    <w:p>
      <w:pPr>
        <w:pStyle w:val="GesAbsatz"/>
      </w:pPr>
      <w:r>
        <w:t>Die Messeinrichtung kann optional mit einem Touch Screen Display (Option BX-970) ausgerüstet werden. Die aktuelle Softwareversion lautet:</w:t>
      </w:r>
    </w:p>
    <w:p>
      <w:pPr>
        <w:pStyle w:val="GesAbsatz"/>
      </w:pPr>
      <w:r>
        <w:t>3236-77 V5.1.0</w:t>
      </w:r>
    </w:p>
    <w:p>
      <w:pPr>
        <w:pStyle w:val="GesAbsatz"/>
      </w:pPr>
      <w:r>
        <w:t>Die Softwareversion für die Messeinrichtung ohne Option BX-970 Touch Screen Display lautet weiterhin 3236-07 5.0.10.</w:t>
      </w:r>
    </w:p>
    <w:p>
      <w:pPr>
        <w:pStyle w:val="GesAbsatz"/>
      </w:pPr>
      <w:r>
        <w:t>Stellungnahme der TÜV Rheinland Energie und Umwelt GmbH vom 24. März 2011</w:t>
      </w:r>
    </w:p>
    <w:p>
      <w:pPr>
        <w:pStyle w:val="GesAbsatz"/>
        <w:rPr>
          <w:b/>
          <w:color w:val="auto"/>
        </w:rPr>
      </w:pPr>
      <w:r>
        <w:rPr>
          <w:b/>
          <w:color w:val="auto"/>
        </w:rPr>
        <w:t>12</w:t>
      </w:r>
      <w:r>
        <w:rPr>
          <w:b/>
          <w:color w:val="auto"/>
        </w:rPr>
        <w:tab/>
        <w:t>Mitteilung zu Bekanntmachungen des Umweltbundesamtes vom 12. April 2007 (BAnz. S. 4139, Kapitel III Nummer 1.2) und vom 12. Juli 2010 (BAnz. S. 2597, Kapitel III 2. Mitteilung)</w:t>
      </w:r>
    </w:p>
    <w:p>
      <w:pPr>
        <w:pStyle w:val="GesAbsatz"/>
      </w:pPr>
      <w:r>
        <w:t>Die Messeinrichtung BAM-1020 mit PM</w:t>
      </w:r>
      <w:r>
        <w:rPr>
          <w:vertAlign w:val="subscript"/>
        </w:rPr>
        <w:t>10</w:t>
      </w:r>
      <w:r>
        <w:t>-Vorabscheider der Firma Met One Instruments, Inc. für die Mes</w:t>
      </w:r>
      <w:r>
        <w:t>s</w:t>
      </w:r>
      <w:r>
        <w:t>komponente Schwebstaub PM</w:t>
      </w:r>
      <w:r>
        <w:rPr>
          <w:vertAlign w:val="subscript"/>
        </w:rPr>
        <w:t>10</w:t>
      </w:r>
      <w:r>
        <w:t xml:space="preserve"> kann optional mit der Pumpe BX-125 betrieben werden.</w:t>
      </w:r>
    </w:p>
    <w:p>
      <w:pPr>
        <w:pStyle w:val="GesAbsatz"/>
      </w:pPr>
      <w:r>
        <w:t>Die Messeinrichtung kann optional mit einem Touch Screen Display (Option BX-970) ausgerüstet werden. Die aktuelle Softwareversion lautet:</w:t>
      </w:r>
    </w:p>
    <w:p>
      <w:pPr>
        <w:pStyle w:val="GesAbsatz"/>
      </w:pPr>
      <w:r>
        <w:t>3236-77 V5.1.0</w:t>
      </w:r>
    </w:p>
    <w:p>
      <w:pPr>
        <w:pStyle w:val="GesAbsatz"/>
      </w:pPr>
      <w:r>
        <w:t>Die Softwareversion für die Messeinrichtung ohne Option BX-970 Touch Screen Display lautet weiterhin 3236-07 5.0.10.</w:t>
      </w:r>
    </w:p>
    <w:p>
      <w:pPr>
        <w:pStyle w:val="GesAbsatz"/>
      </w:pPr>
      <w:r>
        <w:t>Stellungnahme der TÜV Rheinland Energie und Umwelt GmbH vom 24. März 2011</w:t>
      </w:r>
    </w:p>
    <w:p>
      <w:pPr>
        <w:pStyle w:val="GesAbsatz"/>
        <w:rPr>
          <w:b/>
          <w:color w:val="auto"/>
        </w:rPr>
      </w:pPr>
      <w:r>
        <w:rPr>
          <w:b/>
          <w:color w:val="auto"/>
        </w:rPr>
        <w:t>13</w:t>
      </w:r>
      <w:r>
        <w:rPr>
          <w:b/>
          <w:color w:val="auto"/>
        </w:rPr>
        <w:tab/>
        <w:t>Mitteilung zu Bekanntmachungen des Umweltbundesamtes vom 12. April 2007 (BAnz. S. 4139, Kapitel II Nummer 1.1) und vom 25. Januar 2010 (BAnz. S. 552, Kapitel IV 2. Mitteilung)</w:t>
      </w:r>
    </w:p>
    <w:p>
      <w:pPr>
        <w:pStyle w:val="GesAbsatz"/>
      </w:pPr>
      <w:r>
        <w:t>Die aktuellen Softwareversionen des Emissionsrechners TALAS/net mit UmweltOffice2005 und EFÜ Modul der Firma NIS Ingenieurgesellschaft mbH sind:</w:t>
      </w:r>
    </w:p>
    <w:p>
      <w:pPr>
        <w:pStyle w:val="GesAbsatz"/>
        <w:tabs>
          <w:tab w:val="clear" w:pos="425"/>
          <w:tab w:val="left" w:pos="2835"/>
        </w:tabs>
      </w:pPr>
      <w:r>
        <w:t>TALAS/net:</w:t>
      </w:r>
      <w:r>
        <w:tab/>
        <w:t>5.2 (020)</w:t>
      </w:r>
    </w:p>
    <w:p>
      <w:pPr>
        <w:pStyle w:val="GesAbsatz"/>
        <w:tabs>
          <w:tab w:val="clear" w:pos="425"/>
          <w:tab w:val="left" w:pos="2835"/>
        </w:tabs>
      </w:pPr>
      <w:r>
        <w:t>UmweltOffice2005</w:t>
      </w:r>
      <w:r>
        <w:tab/>
        <w:t>5.5.8</w:t>
      </w:r>
    </w:p>
    <w:p>
      <w:pPr>
        <w:pStyle w:val="GesAbsatz"/>
        <w:tabs>
          <w:tab w:val="clear" w:pos="425"/>
          <w:tab w:val="left" w:pos="2835"/>
        </w:tabs>
      </w:pPr>
      <w:r>
        <w:t>Oracle-Datenbank:</w:t>
      </w:r>
      <w:r>
        <w:tab/>
        <w:t>10.1</w:t>
      </w:r>
    </w:p>
    <w:p>
      <w:pPr>
        <w:pStyle w:val="GesAbsatz"/>
        <w:tabs>
          <w:tab w:val="clear" w:pos="425"/>
          <w:tab w:val="left" w:pos="2835"/>
        </w:tabs>
      </w:pPr>
      <w:r>
        <w:t>TService:</w:t>
      </w:r>
      <w:r>
        <w:tab/>
        <w:t>5.3 (001)</w:t>
      </w:r>
    </w:p>
    <w:p>
      <w:pPr>
        <w:pStyle w:val="GesAbsatz"/>
        <w:tabs>
          <w:tab w:val="clear" w:pos="425"/>
          <w:tab w:val="left" w:pos="2835"/>
        </w:tabs>
      </w:pPr>
      <w:r>
        <w:lastRenderedPageBreak/>
        <w:t>TAP52:</w:t>
      </w:r>
      <w:r>
        <w:tab/>
        <w:t>5.2 (021)</w:t>
      </w:r>
    </w:p>
    <w:p>
      <w:pPr>
        <w:pStyle w:val="GesAbsatz"/>
      </w:pPr>
      <w:r>
        <w:t>Stellungnahme der TÜV Rheinland Energie und Umwelt GmbH vom 30. März 2011</w:t>
      </w:r>
    </w:p>
    <w:p>
      <w:pPr>
        <w:pStyle w:val="GesAbsatz"/>
        <w:rPr>
          <w:b/>
          <w:color w:val="auto"/>
        </w:rPr>
      </w:pPr>
      <w:r>
        <w:rPr>
          <w:b/>
          <w:color w:val="auto"/>
        </w:rPr>
        <w:t>14</w:t>
      </w:r>
      <w:r>
        <w:rPr>
          <w:b/>
          <w:color w:val="auto"/>
        </w:rPr>
        <w:tab/>
        <w:t>Mitteilung zu Bekanntmachungen des Umweltbundesamtes vom 12. April 2007 (BAnz. S. 4139, Kapitel II Nummer 1.3) und vom 25. Januar 2010 (BAnz. S. 552, Kapitel IV 3. Mitteilung)</w:t>
      </w:r>
    </w:p>
    <w:p>
      <w:pPr>
        <w:pStyle w:val="GesAbsatz"/>
      </w:pPr>
      <w:r>
        <w:t>Die aktuellen Softwareversionen des Emissionsrechners TALAS/net mit DSM-05 und EFÜ Modul der Firma NIS Ingenieurgesellschaft mbH sind:</w:t>
      </w:r>
    </w:p>
    <w:p>
      <w:pPr>
        <w:pStyle w:val="GesAbsatz"/>
        <w:tabs>
          <w:tab w:val="clear" w:pos="425"/>
          <w:tab w:val="left" w:pos="2552"/>
        </w:tabs>
      </w:pPr>
      <w:r>
        <w:t>TALAS/net:</w:t>
      </w:r>
      <w:r>
        <w:tab/>
        <w:t>5.2 (020)</w:t>
      </w:r>
    </w:p>
    <w:p>
      <w:pPr>
        <w:pStyle w:val="GesAbsatz"/>
        <w:tabs>
          <w:tab w:val="clear" w:pos="425"/>
          <w:tab w:val="left" w:pos="2552"/>
        </w:tabs>
      </w:pPr>
      <w:r>
        <w:t>DSM-05:</w:t>
      </w:r>
      <w:r>
        <w:tab/>
        <w:t>5.5.8</w:t>
      </w:r>
    </w:p>
    <w:p>
      <w:pPr>
        <w:pStyle w:val="GesAbsatz"/>
        <w:tabs>
          <w:tab w:val="clear" w:pos="425"/>
          <w:tab w:val="left" w:pos="2552"/>
        </w:tabs>
      </w:pPr>
      <w:r>
        <w:t>Oracle-Datenbank:</w:t>
      </w:r>
      <w:r>
        <w:tab/>
        <w:t>10.1</w:t>
      </w:r>
    </w:p>
    <w:p>
      <w:pPr>
        <w:pStyle w:val="GesAbsatz"/>
        <w:tabs>
          <w:tab w:val="clear" w:pos="425"/>
          <w:tab w:val="left" w:pos="2552"/>
        </w:tabs>
      </w:pPr>
      <w:r>
        <w:t>TService:</w:t>
      </w:r>
      <w:r>
        <w:tab/>
        <w:t>5.3 (001)</w:t>
      </w:r>
    </w:p>
    <w:p>
      <w:pPr>
        <w:pStyle w:val="GesAbsatz"/>
        <w:tabs>
          <w:tab w:val="clear" w:pos="425"/>
          <w:tab w:val="left" w:pos="2552"/>
        </w:tabs>
      </w:pPr>
      <w:r>
        <w:t>TAP52:</w:t>
      </w:r>
      <w:r>
        <w:tab/>
        <w:t>5.2 (021)</w:t>
      </w:r>
    </w:p>
    <w:p>
      <w:pPr>
        <w:pStyle w:val="GesAbsatz"/>
      </w:pPr>
      <w:r>
        <w:t>Stellungnahme der TÜV Rheinland Energie und Umwelt GmbH vom 30. März 2011</w:t>
      </w:r>
    </w:p>
    <w:p>
      <w:pPr>
        <w:pStyle w:val="GesAbsatz"/>
      </w:pPr>
      <w:r>
        <w:rPr>
          <w:b/>
          <w:color w:val="auto"/>
        </w:rPr>
        <w:t>15</w:t>
      </w:r>
      <w:r>
        <w:rPr>
          <w:b/>
          <w:color w:val="auto"/>
        </w:rPr>
        <w:tab/>
        <w:t>Mitteilung zu Bekanntmachungen des Umweltbundesamtes vom 21. Februar 2006 (BAnz. S. 2653, Kapitel III Nummer 1.2) und vom 25. Januar 2010 (BAnz. S. 552, Kapitel IV 4. Mitteilung)</w:t>
      </w:r>
    </w:p>
    <w:p>
      <w:pPr>
        <w:pStyle w:val="GesAbsatz"/>
      </w:pPr>
      <w:r>
        <w:t>Die aktuellen Softwareversionen des Emissionsrechners TALAS/e mit UmweltOffice2005 und EFÜ Modul der Firma NIS Ingenieurgesellschaft mbH sind:</w:t>
      </w:r>
    </w:p>
    <w:p>
      <w:pPr>
        <w:pStyle w:val="GesAbsatz"/>
        <w:tabs>
          <w:tab w:val="clear" w:pos="425"/>
          <w:tab w:val="left" w:pos="2552"/>
        </w:tabs>
      </w:pPr>
      <w:r>
        <w:t>TALAS/e:</w:t>
      </w:r>
      <w:r>
        <w:tab/>
        <w:t>4.2 (018)</w:t>
      </w:r>
    </w:p>
    <w:p>
      <w:pPr>
        <w:pStyle w:val="GesAbsatz"/>
        <w:tabs>
          <w:tab w:val="clear" w:pos="425"/>
          <w:tab w:val="left" w:pos="2552"/>
        </w:tabs>
      </w:pPr>
      <w:r>
        <w:t>UmweltOffice2005:</w:t>
      </w:r>
      <w:r>
        <w:tab/>
        <w:t>5.5.8</w:t>
      </w:r>
    </w:p>
    <w:p>
      <w:pPr>
        <w:pStyle w:val="GesAbsatz"/>
        <w:tabs>
          <w:tab w:val="clear" w:pos="425"/>
          <w:tab w:val="left" w:pos="2552"/>
        </w:tabs>
      </w:pPr>
      <w:r>
        <w:t>Oracle-Datenbank:</w:t>
      </w:r>
      <w:r>
        <w:tab/>
        <w:t>10.1</w:t>
      </w:r>
    </w:p>
    <w:p>
      <w:pPr>
        <w:pStyle w:val="GesAbsatz"/>
        <w:tabs>
          <w:tab w:val="clear" w:pos="425"/>
          <w:tab w:val="left" w:pos="2552"/>
        </w:tabs>
      </w:pPr>
      <w:r>
        <w:t>TService:</w:t>
      </w:r>
      <w:r>
        <w:tab/>
        <w:t>5.3 (001)</w:t>
      </w:r>
    </w:p>
    <w:p>
      <w:pPr>
        <w:pStyle w:val="GesAbsatz"/>
        <w:tabs>
          <w:tab w:val="clear" w:pos="425"/>
          <w:tab w:val="left" w:pos="2552"/>
        </w:tabs>
      </w:pPr>
      <w:r>
        <w:t>TAP42:</w:t>
      </w:r>
      <w:r>
        <w:tab/>
        <w:t>4.2 (017)</w:t>
      </w:r>
    </w:p>
    <w:p>
      <w:pPr>
        <w:pStyle w:val="GesAbsatz"/>
      </w:pPr>
      <w:r>
        <w:t>Stellungnahme der TÜV Rheinland Energie und Umwelt GmbH vom 30. März 2011</w:t>
      </w:r>
    </w:p>
    <w:p>
      <w:pPr>
        <w:pStyle w:val="GesAbsatz"/>
        <w:rPr>
          <w:b/>
          <w:color w:val="auto"/>
        </w:rPr>
      </w:pPr>
      <w:r>
        <w:rPr>
          <w:b/>
          <w:color w:val="auto"/>
        </w:rPr>
        <w:t>16</w:t>
      </w:r>
      <w:r>
        <w:rPr>
          <w:b/>
          <w:color w:val="auto"/>
        </w:rPr>
        <w:tab/>
        <w:t>Mitteilung zu Bekanntmachungen des Umweltbundesamtes vom 3. August 2009 (BAnz. S. 2929, Kap</w:t>
      </w:r>
      <w:r>
        <w:rPr>
          <w:b/>
          <w:color w:val="auto"/>
        </w:rPr>
        <w:t>i</w:t>
      </w:r>
      <w:r>
        <w:rPr>
          <w:b/>
          <w:color w:val="auto"/>
        </w:rPr>
        <w:t>tel I Nummer 3.2 und 3.3) und vom 10. Januar 2011 (BAnz. S. 294, Kapitel IV 1. und 30. Mitteilung)</w:t>
      </w:r>
    </w:p>
    <w:p>
      <w:pPr>
        <w:pStyle w:val="GesAbsatz"/>
      </w:pPr>
      <w:r>
        <w:t>Der bisherige Nachführspiegel der Emissions-Messeinrichtung GM 32 In-situ Gasanalysator, in der Ausfü</w:t>
      </w:r>
      <w:r>
        <w:t>h</w:t>
      </w:r>
      <w:r>
        <w:t>rung Cross-Duct und Messlanze GMP, für NO und SO</w:t>
      </w:r>
      <w:r>
        <w:rPr>
          <w:vertAlign w:val="subscript"/>
        </w:rPr>
        <w:t>2</w:t>
      </w:r>
      <w:r>
        <w:t xml:space="preserve"> der Firma SICK MAIHAK GmbH kann durch ein Tr</w:t>
      </w:r>
      <w:r>
        <w:t>a</w:t>
      </w:r>
      <w:r>
        <w:t>ckingmodul ersetzt werden.</w:t>
      </w:r>
    </w:p>
    <w:p>
      <w:pPr>
        <w:pStyle w:val="GesAbsatz"/>
      </w:pPr>
      <w:r>
        <w:t>Die aktuelle Softwareversion lautet:</w:t>
      </w:r>
    </w:p>
    <w:p>
      <w:pPr>
        <w:pStyle w:val="GesAbsatz"/>
        <w:tabs>
          <w:tab w:val="clear" w:pos="425"/>
          <w:tab w:val="left" w:pos="1134"/>
        </w:tabs>
      </w:pPr>
      <w:r>
        <w:t>GM32:</w:t>
      </w:r>
      <w:r>
        <w:tab/>
        <w:t>9125967 V113</w:t>
      </w:r>
    </w:p>
    <w:p>
      <w:pPr>
        <w:pStyle w:val="GesAbsatz"/>
      </w:pPr>
      <w:r>
        <w:t>Stellungnahme der TÜV Rheinland Energie und Umwelt GmbH vom 24. März 2011</w:t>
      </w:r>
    </w:p>
    <w:p>
      <w:pPr>
        <w:pStyle w:val="GesAbsatz"/>
        <w:rPr>
          <w:b/>
          <w:color w:val="auto"/>
        </w:rPr>
      </w:pPr>
      <w:r>
        <w:rPr>
          <w:b/>
          <w:color w:val="auto"/>
        </w:rPr>
        <w:t>17</w:t>
      </w:r>
      <w:r>
        <w:rPr>
          <w:b/>
          <w:color w:val="auto"/>
        </w:rPr>
        <w:tab/>
        <w:t>Mitteilung zu Bekanntmachungen des Umweltbundesamtes vom 12. September 2006 (BAnz. S. 6715, Kapitel I Nummer 2.3 und 2.4) und vom 10. Januar 2011 (BAnz. S. 294, Kapitel IV 30. Mitteilung)</w:t>
      </w:r>
    </w:p>
    <w:p>
      <w:pPr>
        <w:pStyle w:val="GesAbsatz"/>
      </w:pPr>
      <w:r>
        <w:t>Der bisherige Nachführspiegel der Emissions-Messeinrichtung GM 35 In-situ Gasanalysator, in der Version Cross-Duct und Messlanze GMP, für CO, CO</w:t>
      </w:r>
      <w:r>
        <w:rPr>
          <w:vertAlign w:val="subscript"/>
        </w:rPr>
        <w:t>2</w:t>
      </w:r>
      <w:r>
        <w:t xml:space="preserve"> und H</w:t>
      </w:r>
      <w:r>
        <w:rPr>
          <w:vertAlign w:val="subscript"/>
        </w:rPr>
        <w:t>2</w:t>
      </w:r>
      <w:r>
        <w:t>O der Firma SICK MAIHAK GmbH kann durch ein Tr</w:t>
      </w:r>
      <w:r>
        <w:t>a</w:t>
      </w:r>
      <w:r>
        <w:t>ckingmodul ersetzt werden.</w:t>
      </w:r>
    </w:p>
    <w:p>
      <w:pPr>
        <w:pStyle w:val="GesAbsatz"/>
      </w:pPr>
      <w:r>
        <w:t>Der bisherige Umgebungsluftfeuchtesensor HygroClip1 kann durch den neuen Umgebungsluftfeuchtesensor HygroClip2 ersetzt werden.</w:t>
      </w:r>
    </w:p>
    <w:p>
      <w:pPr>
        <w:pStyle w:val="GesAbsatz"/>
      </w:pPr>
      <w:r>
        <w:t>Die aktuellen Softwareversionen lauten:</w:t>
      </w:r>
    </w:p>
    <w:p>
      <w:pPr>
        <w:pStyle w:val="GesAbsatz"/>
        <w:tabs>
          <w:tab w:val="clear" w:pos="425"/>
          <w:tab w:val="left" w:pos="2268"/>
        </w:tabs>
      </w:pPr>
      <w:r>
        <w:t>SE-Einheit:</w:t>
      </w:r>
      <w:r>
        <w:tab/>
        <w:t>9062244 UJ56</w:t>
      </w:r>
    </w:p>
    <w:p>
      <w:pPr>
        <w:pStyle w:val="GesAbsatz"/>
        <w:tabs>
          <w:tab w:val="clear" w:pos="425"/>
          <w:tab w:val="left" w:pos="2268"/>
        </w:tabs>
      </w:pPr>
      <w:r>
        <w:t>Auswerteeinheit:</w:t>
      </w:r>
      <w:r>
        <w:tab/>
        <w:t>9062243 T895</w:t>
      </w:r>
    </w:p>
    <w:p>
      <w:pPr>
        <w:pStyle w:val="GesAbsatz"/>
        <w:tabs>
          <w:tab w:val="clear" w:pos="425"/>
          <w:tab w:val="left" w:pos="2268"/>
        </w:tabs>
      </w:pPr>
      <w:r>
        <w:t>Spülluft:</w:t>
      </w:r>
      <w:r>
        <w:tab/>
        <w:t>9091948 QC24</w:t>
      </w:r>
    </w:p>
    <w:p>
      <w:pPr>
        <w:pStyle w:val="GesAbsatz"/>
      </w:pPr>
      <w:r>
        <w:t>Stellungnahme der TÜV Rheinland Energie und Umwelt GmbH vom 24. März 2011</w:t>
      </w:r>
    </w:p>
    <w:p>
      <w:pPr>
        <w:pStyle w:val="GesAbsatz"/>
        <w:rPr>
          <w:b/>
          <w:color w:val="auto"/>
        </w:rPr>
      </w:pPr>
      <w:r>
        <w:rPr>
          <w:b/>
          <w:color w:val="auto"/>
        </w:rPr>
        <w:t>18</w:t>
      </w:r>
      <w:r>
        <w:rPr>
          <w:b/>
          <w:color w:val="auto"/>
        </w:rPr>
        <w:tab/>
        <w:t>Mitteilung zur Bekanntmachung des Umweltbundesamtes vom 10. Januar 2011 (BAnz. S. 294, Kapitel I Nummer 3.1 und Kapitel IV 30. Mitteilung)</w:t>
      </w:r>
    </w:p>
    <w:p>
      <w:pPr>
        <w:pStyle w:val="GesAbsatz"/>
      </w:pPr>
      <w:r>
        <w:t>Die aktuellen Softwareversionen der Mehrkomponentenmesseinrichtung MCS 100 FT der Fa. SICK MA</w:t>
      </w:r>
      <w:r>
        <w:t>I</w:t>
      </w:r>
      <w:r>
        <w:t>HAK GmbH lauten:</w:t>
      </w:r>
    </w:p>
    <w:p>
      <w:pPr>
        <w:pStyle w:val="GesAbsatz"/>
        <w:tabs>
          <w:tab w:val="clear" w:pos="425"/>
          <w:tab w:val="left" w:pos="2552"/>
        </w:tabs>
        <w:rPr>
          <w:lang w:val="en-GB"/>
        </w:rPr>
      </w:pPr>
      <w:r>
        <w:rPr>
          <w:lang w:val="en-GB"/>
        </w:rPr>
        <w:lastRenderedPageBreak/>
        <w:t>MCS 100 FT:</w:t>
      </w:r>
      <w:r>
        <w:rPr>
          <w:lang w:val="en-GB"/>
        </w:rPr>
        <w:tab/>
        <w:t>9114688 UG07</w:t>
      </w:r>
    </w:p>
    <w:p>
      <w:pPr>
        <w:pStyle w:val="GesAbsatz"/>
        <w:tabs>
          <w:tab w:val="clear" w:pos="425"/>
          <w:tab w:val="left" w:pos="2552"/>
        </w:tabs>
        <w:rPr>
          <w:lang w:val="en-GB"/>
        </w:rPr>
      </w:pPr>
      <w:r>
        <w:rPr>
          <w:lang w:val="en-GB"/>
        </w:rPr>
        <w:t>SCU</w:t>
      </w:r>
      <w:r>
        <w:rPr>
          <w:lang w:val="en-GB"/>
        </w:rPr>
        <w:tab/>
        <w:t>9125028 UP50</w:t>
      </w:r>
    </w:p>
    <w:p>
      <w:pPr>
        <w:pStyle w:val="GesAbsatz"/>
        <w:tabs>
          <w:tab w:val="clear" w:pos="425"/>
          <w:tab w:val="left" w:pos="2552"/>
        </w:tabs>
        <w:rPr>
          <w:lang w:val="en-GB"/>
        </w:rPr>
      </w:pPr>
      <w:r>
        <w:rPr>
          <w:lang w:val="en-GB"/>
        </w:rPr>
        <w:t>FID:</w:t>
      </w:r>
      <w:r>
        <w:rPr>
          <w:lang w:val="en-GB"/>
        </w:rPr>
        <w:tab/>
        <w:t>9140300</w:t>
      </w:r>
    </w:p>
    <w:p>
      <w:pPr>
        <w:pStyle w:val="GesAbsatz"/>
      </w:pPr>
      <w:r>
        <w:t>Stellungnahme der TÜV Rheinland Energie und Umwelt GmbH vom 30. März 2011</w:t>
      </w:r>
    </w:p>
    <w:p>
      <w:pPr>
        <w:pStyle w:val="GesAbsatz"/>
      </w:pPr>
      <w:r>
        <w:rPr>
          <w:b/>
          <w:color w:val="auto"/>
        </w:rPr>
        <w:t>19</w:t>
      </w:r>
      <w:r>
        <w:rPr>
          <w:b/>
          <w:color w:val="auto"/>
        </w:rPr>
        <w:tab/>
        <w:t>Mitteilung zu Bekanntmachungen des Umweltbundesamtes vom 12. September 2006 (BAnz. S. 6715, Kapitel IV Nummer 2.2) und vom 12. Juli 2010 (BAnz. S. 2597, Kapitel III 5. Mitteilung)</w:t>
      </w:r>
    </w:p>
    <w:p>
      <w:pPr>
        <w:pStyle w:val="GesAbsatz"/>
      </w:pPr>
      <w:r>
        <w:t>Die aktuelle Softwareversion der Immissions-Messeinrichtung Modell 43i für SO</w:t>
      </w:r>
      <w:r>
        <w:rPr>
          <w:vertAlign w:val="subscript"/>
        </w:rPr>
        <w:t>2</w:t>
      </w:r>
      <w:r>
        <w:t xml:space="preserve"> der Firma Thermo Fisher Scientific lautet:</w:t>
      </w:r>
    </w:p>
    <w:p>
      <w:pPr>
        <w:pStyle w:val="GesAbsatz"/>
      </w:pPr>
      <w:r>
        <w:t>V 01.06.07 (110959-00)</w:t>
      </w:r>
    </w:p>
    <w:p>
      <w:pPr>
        <w:pStyle w:val="GesAbsatz"/>
      </w:pPr>
      <w:r>
        <w:t>Stellungnahme der TÜV Rheinland Energie und Umwelt GmbH vom 30. März 2011</w:t>
      </w:r>
    </w:p>
    <w:p>
      <w:pPr>
        <w:pStyle w:val="GesAbsatz"/>
      </w:pPr>
      <w:r>
        <w:rPr>
          <w:b/>
          <w:color w:val="auto"/>
        </w:rPr>
        <w:t>20</w:t>
      </w:r>
      <w:r>
        <w:rPr>
          <w:b/>
          <w:color w:val="auto"/>
        </w:rPr>
        <w:tab/>
        <w:t>Mitteilung zu Bekanntmachungen des Umweltbundesamtes vom 21. Februar 2006 (BAnz. S. 2653, Kapitel IV Nummer 2.2) und vom 12. Juli 2010 (BAnz. S. 2597, Kapitel III 6. Mitteilung)</w:t>
      </w:r>
    </w:p>
    <w:p>
      <w:pPr>
        <w:pStyle w:val="GesAbsatz"/>
      </w:pPr>
      <w:r>
        <w:t>Die aktuelle Softwareversion der Immissions-Messeinrichtung Modell 48i für CO der Firma Thermo Fisher Scientific lautet:</w:t>
      </w:r>
    </w:p>
    <w:p>
      <w:pPr>
        <w:pStyle w:val="GesAbsatz"/>
      </w:pPr>
      <w:r>
        <w:t>V 01.06.09 (110018-00)</w:t>
      </w:r>
    </w:p>
    <w:p>
      <w:pPr>
        <w:pStyle w:val="GesAbsatz"/>
      </w:pPr>
      <w:r>
        <w:t>Stellungnahme der TÜV Rheinland Energie und Umwelt GmbH vom 30. März 2011</w:t>
      </w:r>
    </w:p>
    <w:p>
      <w:pPr>
        <w:pStyle w:val="GesAbsatz"/>
      </w:pPr>
      <w:r>
        <w:rPr>
          <w:b/>
          <w:color w:val="auto"/>
        </w:rPr>
        <w:t>21</w:t>
      </w:r>
      <w:r>
        <w:rPr>
          <w:b/>
          <w:color w:val="auto"/>
        </w:rPr>
        <w:tab/>
        <w:t>Mitteilung zu Bekanntmachungen des Umweltbundesamtes vom 12. Februar 2006 (BAnz. S. 2653, Kapitel IV Nummer 3.2) und vom 12. Juli 2010 (BAnz. S. 2597, Kapitel III 7. Mitteilung)</w:t>
      </w:r>
    </w:p>
    <w:p>
      <w:pPr>
        <w:pStyle w:val="GesAbsatz"/>
      </w:pPr>
      <w:r>
        <w:t>Die aktuelle Softwareversion der Immissions-Messeinrichtung Modell 49i für O</w:t>
      </w:r>
      <w:r>
        <w:rPr>
          <w:vertAlign w:val="subscript"/>
        </w:rPr>
        <w:t>3</w:t>
      </w:r>
      <w:r>
        <w:t xml:space="preserve"> der Firma Thermo Fisher Scientific lautet:</w:t>
      </w:r>
    </w:p>
    <w:p>
      <w:pPr>
        <w:pStyle w:val="GesAbsatz"/>
      </w:pPr>
      <w:r>
        <w:t>V 01.06.04 (109898-00)</w:t>
      </w:r>
    </w:p>
    <w:p>
      <w:pPr>
        <w:pStyle w:val="GesAbsatz"/>
      </w:pPr>
      <w:r>
        <w:t>Stellungnahme der TÜV Rheinland Energie und Umwelt GmbH vom 30. März 2011</w:t>
      </w:r>
    </w:p>
    <w:p>
      <w:pPr>
        <w:pStyle w:val="GesAbsatz"/>
        <w:rPr>
          <w:b/>
          <w:color w:val="auto"/>
        </w:rPr>
      </w:pPr>
      <w:r>
        <w:rPr>
          <w:b/>
          <w:color w:val="auto"/>
        </w:rPr>
        <w:t>22</w:t>
      </w:r>
      <w:r>
        <w:rPr>
          <w:b/>
          <w:color w:val="auto"/>
        </w:rPr>
        <w:tab/>
        <w:t>Mitteilung zu Bekanntmachungen des Umweltbundesamtes vom 12. April 2007 (BAnz. S. 4139, Kapitel III Nummer 1.1 und 2.1) und vom 12. Juli 2010 (BAnz. S. 2597, Kapitel III 3. Mitteilung)</w:t>
      </w:r>
    </w:p>
    <w:p>
      <w:pPr>
        <w:pStyle w:val="GesAbsatz"/>
      </w:pPr>
      <w:r>
        <w:t>In der Immissions-Messeinrichtung Modell 5030 SHARP MONITOR mit PM</w:t>
      </w:r>
      <w:r>
        <w:rPr>
          <w:vertAlign w:val="subscript"/>
        </w:rPr>
        <w:t>10</w:t>
      </w:r>
      <w:r>
        <w:t>- und PM</w:t>
      </w:r>
      <w:r>
        <w:rPr>
          <w:vertAlign w:val="subscript"/>
        </w:rPr>
        <w:t>2,5</w:t>
      </w:r>
      <w:r>
        <w:t>-Vorabscheider der Firma Thermo Fisher Scientific kann alternativ auch das Proportionalzählrohr vom Typ 70 023 der Fa. V</w:t>
      </w:r>
      <w:r>
        <w:t>a</w:t>
      </w:r>
      <w:r>
        <w:t>cutec eingesetzt werden.</w:t>
      </w:r>
    </w:p>
    <w:p>
      <w:pPr>
        <w:pStyle w:val="GesAbsatz"/>
      </w:pPr>
      <w:r>
        <w:t>Die aktuelle Softwareversion lautet:</w:t>
      </w:r>
    </w:p>
    <w:p>
      <w:pPr>
        <w:pStyle w:val="GesAbsatz"/>
      </w:pPr>
      <w:r>
        <w:t>v1.19</w:t>
      </w:r>
    </w:p>
    <w:p>
      <w:pPr>
        <w:pStyle w:val="GesAbsatz"/>
      </w:pPr>
      <w:r>
        <w:t>Stellungnahme der TÜV Rheinland Energie und Umwelt GmbH vom 26. März 2011</w:t>
      </w:r>
    </w:p>
    <w:p>
      <w:pPr>
        <w:pStyle w:val="GesAbsatz"/>
      </w:pPr>
    </w:p>
    <w:p>
      <w:pPr>
        <w:pStyle w:val="GesAbsatz"/>
      </w:pPr>
    </w:p>
    <w:p>
      <w:pPr>
        <w:pStyle w:val="GesAbsatz"/>
      </w:pPr>
    </w:p>
    <w:sectPr>
      <w:headerReference w:type="default" r:id="rId6"/>
      <w:footerReference w:type="even" r:id="rId7"/>
      <w:footerReference w:type="default" r:id="rId8"/>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ind w:right="-1"/>
    </w:pPr>
    <w:r>
      <w:tab/>
      <w:t>Stand 15.07.2011 (BAnz. 113 S. 2725)</w:t>
    </w:r>
    <w:r>
      <w:tab/>
      <w:t>Se</w:t>
    </w:r>
    <w:r>
      <w:t>i</w:t>
    </w:r>
    <w:r>
      <w:t xml:space="preserve">te </w:t>
    </w: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spacing w:before="0"/>
      <w:rPr>
        <w:b/>
        <w:sz w:val="24"/>
      </w:rPr>
    </w:pPr>
    <w:r>
      <w:rPr>
        <w:b/>
        <w:sz w:val="24"/>
      </w:rPr>
      <w:t>61.4-61</w:t>
    </w:r>
  </w:p>
  <w:p>
    <w:pPr>
      <w:pStyle w:val="Kopfzeile"/>
      <w:spacing w:before="0" w:after="12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EF90E68-85BF-47FF-A4FC-B886ADE47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Standard"/>
    <w:qFormat/>
    <w:pPr>
      <w:keepNext/>
      <w:spacing w:before="0"/>
      <w:jc w:val="center"/>
      <w:outlineLvl w:val="0"/>
    </w:pPr>
    <w:rPr>
      <w:b/>
      <w:kern w:val="28"/>
      <w:sz w:val="28"/>
    </w:rPr>
  </w:style>
  <w:style w:type="paragraph" w:styleId="berschrift2">
    <w:name w:val="heading 2"/>
    <w:basedOn w:val="Standard"/>
    <w:next w:val="Standard"/>
    <w:qFormat/>
    <w:pPr>
      <w:keepNext/>
      <w:spacing w:before="240"/>
      <w:jc w:val="center"/>
      <w:outlineLvl w:val="1"/>
    </w:pPr>
    <w:rPr>
      <w:b/>
      <w:sz w:val="24"/>
    </w:rPr>
  </w:style>
  <w:style w:type="paragraph" w:styleId="berschrift3">
    <w:name w:val="heading 3"/>
    <w:basedOn w:val="Standard"/>
    <w:next w:val="Standard"/>
    <w:qFormat/>
    <w:pPr>
      <w:keepNext/>
      <w:spacing w:before="240" w:after="180"/>
      <w:jc w:val="center"/>
      <w:outlineLvl w:val="2"/>
    </w:pPr>
    <w:rPr>
      <w:b/>
    </w:rPr>
  </w:style>
  <w:style w:type="paragraph" w:styleId="berschrift4">
    <w:name w:val="heading 4"/>
    <w:basedOn w:val="Standard"/>
    <w:next w:val="Standard"/>
    <w:qFormat/>
    <w:pPr>
      <w:keepNext/>
      <w:spacing w:before="240"/>
      <w:outlineLvl w:val="3"/>
    </w:pPr>
  </w:style>
  <w:style w:type="paragraph" w:styleId="berschrift5">
    <w:name w:val="heading 5"/>
    <w:basedOn w:val="Standard"/>
    <w:next w:val="Standard"/>
    <w:qFormat/>
    <w:pPr>
      <w:spacing w:before="120"/>
      <w:ind w:left="709" w:hanging="709"/>
      <w:outlineLvl w:val="4"/>
    </w:p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536"/>
        <w:tab w:val="right" w:pos="9072"/>
      </w:tabs>
      <w:spacing w:after="0"/>
      <w:jc w:val="right"/>
    </w:pPr>
  </w:style>
  <w:style w:type="paragraph" w:styleId="Fuzeile">
    <w:name w:val="footer"/>
    <w:basedOn w:val="Standard"/>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semiHidden/>
    <w:pPr>
      <w:tabs>
        <w:tab w:val="clear" w:pos="425"/>
      </w:tabs>
      <w:spacing w:before="0" w:after="0"/>
      <w:ind w:left="200"/>
      <w:jc w:val="left"/>
    </w:pPr>
    <w:rPr>
      <w:rFonts w:ascii="Times New Roman" w:hAnsi="Times New Roman"/>
      <w:smallCaps/>
    </w:rPr>
  </w:style>
  <w:style w:type="paragraph" w:styleId="Verzeichnis3">
    <w:name w:val="toc 3"/>
    <w:basedOn w:val="Standard"/>
    <w:next w:val="Standard"/>
    <w:semiHidden/>
    <w:pPr>
      <w:tabs>
        <w:tab w:val="clear" w:pos="425"/>
      </w:tabs>
      <w:spacing w:before="0" w:after="0"/>
      <w:ind w:left="400"/>
      <w:jc w:val="left"/>
    </w:pPr>
    <w:rPr>
      <w:rFonts w:ascii="Times New Roman" w:hAnsi="Times New Roman"/>
      <w:i/>
      <w:iCs/>
    </w:rPr>
  </w:style>
  <w:style w:type="paragraph" w:styleId="Funotentext">
    <w:name w:val="footnote text"/>
    <w:basedOn w:val="Standard"/>
    <w:pPr>
      <w:spacing w:before="0" w:after="0"/>
    </w:pPr>
    <w:rPr>
      <w:sz w:val="16"/>
    </w:rPr>
  </w:style>
  <w:style w:type="paragraph" w:styleId="Verzeichnis1">
    <w:name w:val="toc 1"/>
    <w:basedOn w:val="Verzeichnis3"/>
    <w:next w:val="Standard"/>
    <w:semiHidden/>
    <w:pPr>
      <w:spacing w:before="120" w:after="120"/>
      <w:ind w:left="0"/>
    </w:pPr>
    <w:rPr>
      <w:b/>
      <w:bCs/>
      <w:i w:val="0"/>
      <w:iCs w:val="0"/>
      <w:caps/>
    </w:rPr>
  </w:style>
  <w:style w:type="paragraph" w:customStyle="1" w:styleId="GesAbsatz">
    <w:name w:val="GesAbsatz"/>
    <w:basedOn w:val="Standard"/>
    <w:pPr>
      <w:tabs>
        <w:tab w:val="left" w:pos="425"/>
      </w:tabs>
    </w:pPr>
    <w:rPr>
      <w:color w:val="000000"/>
    </w:rPr>
  </w:style>
  <w:style w:type="paragraph" w:styleId="Verzeichnis4">
    <w:name w:val="toc 4"/>
    <w:basedOn w:val="Standard"/>
    <w:next w:val="Standard"/>
    <w:semiHidden/>
    <w:pPr>
      <w:tabs>
        <w:tab w:val="clear" w:pos="425"/>
      </w:tabs>
      <w:spacing w:before="0" w:after="0"/>
      <w:ind w:left="600"/>
      <w:jc w:val="left"/>
    </w:pPr>
    <w:rPr>
      <w:rFonts w:ascii="Times New Roman" w:hAnsi="Times New Roman"/>
      <w:sz w:val="18"/>
      <w:szCs w:val="18"/>
    </w:rPr>
  </w:style>
  <w:style w:type="character" w:styleId="Funotenzeichen">
    <w:name w:val="footnote reference"/>
    <w:semiHidden/>
    <w:rPr>
      <w:vertAlign w:val="superscript"/>
    </w:rPr>
  </w:style>
  <w:style w:type="paragraph" w:styleId="Verzeichnis5">
    <w:name w:val="toc 5"/>
    <w:basedOn w:val="Standard"/>
    <w:next w:val="Standard"/>
    <w:semiHidden/>
    <w:pPr>
      <w:tabs>
        <w:tab w:val="clear" w:pos="425"/>
      </w:tabs>
      <w:spacing w:before="0" w:after="0"/>
      <w:ind w:left="800"/>
      <w:jc w:val="left"/>
    </w:pPr>
    <w:rPr>
      <w:rFonts w:ascii="Times New Roman" w:hAnsi="Times New Roman"/>
      <w:sz w:val="18"/>
      <w:szCs w:val="18"/>
    </w:rPr>
  </w:style>
  <w:style w:type="paragraph" w:styleId="Verzeichnis6">
    <w:name w:val="toc 6"/>
    <w:basedOn w:val="Standard"/>
    <w:next w:val="Standard"/>
    <w:semiHidden/>
    <w:pPr>
      <w:tabs>
        <w:tab w:val="clear" w:pos="425"/>
      </w:tabs>
      <w:spacing w:before="0" w:after="0"/>
      <w:ind w:left="1000"/>
      <w:jc w:val="left"/>
    </w:pPr>
    <w:rPr>
      <w:rFonts w:ascii="Times New Roman" w:hAnsi="Times New Roman"/>
      <w:sz w:val="18"/>
      <w:szCs w:val="18"/>
    </w:rPr>
  </w:style>
  <w:style w:type="paragraph" w:styleId="Verzeichnis7">
    <w:name w:val="toc 7"/>
    <w:basedOn w:val="Standard"/>
    <w:next w:val="Standard"/>
    <w:semiHidden/>
    <w:pPr>
      <w:tabs>
        <w:tab w:val="clear" w:pos="425"/>
      </w:tabs>
      <w:spacing w:before="0" w:after="0"/>
      <w:ind w:left="1200"/>
      <w:jc w:val="left"/>
    </w:pPr>
    <w:rPr>
      <w:rFonts w:ascii="Times New Roman" w:hAnsi="Times New Roman"/>
      <w:sz w:val="18"/>
      <w:szCs w:val="18"/>
    </w:rPr>
  </w:style>
  <w:style w:type="paragraph" w:styleId="Verzeichnis8">
    <w:name w:val="toc 8"/>
    <w:basedOn w:val="Standard"/>
    <w:next w:val="Standard"/>
    <w:semiHidden/>
    <w:pPr>
      <w:tabs>
        <w:tab w:val="clear" w:pos="425"/>
      </w:tabs>
      <w:spacing w:before="0" w:after="0"/>
      <w:ind w:left="1400"/>
      <w:jc w:val="left"/>
    </w:pPr>
    <w:rPr>
      <w:rFonts w:ascii="Times New Roman" w:hAnsi="Times New Roman"/>
      <w:sz w:val="18"/>
      <w:szCs w:val="18"/>
    </w:rPr>
  </w:style>
  <w:style w:type="paragraph" w:styleId="Verzeichnis9">
    <w:name w:val="toc 9"/>
    <w:basedOn w:val="Standard"/>
    <w:next w:val="Standard"/>
    <w:semiHidden/>
    <w:pPr>
      <w:tabs>
        <w:tab w:val="clear" w:pos="425"/>
      </w:tabs>
      <w:spacing w:before="0" w:after="0"/>
      <w:ind w:left="1600"/>
      <w:jc w:val="left"/>
    </w:pPr>
    <w:rPr>
      <w:rFonts w:ascii="Times New Roman" w:hAnsi="Times New Roman"/>
      <w:sz w:val="18"/>
      <w:szCs w:val="18"/>
    </w:rPr>
  </w:style>
  <w:style w:type="character" w:styleId="Hyperlink">
    <w:name w:val="Hyperlink"/>
    <w:rPr>
      <w:color w:val="0000FF"/>
      <w:u w:val="single"/>
    </w:rPr>
  </w:style>
  <w:style w:type="table" w:styleId="Tabellenraster">
    <w:name w:val="Table Grid"/>
    <w:basedOn w:val="NormaleTabelle"/>
    <w:pPr>
      <w:tabs>
        <w:tab w:val="left" w:pos="425"/>
      </w:tabs>
      <w:overflowPunct w:val="0"/>
      <w:autoSpaceDE w:val="0"/>
      <w:autoSpaceDN w:val="0"/>
      <w:adjustRightInd w:val="0"/>
      <w:spacing w:before="60" w:after="6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Dokumente-Einstellungen\adler\Anwendungsdaten\Microsoft\Vorlagen\VTU%20Generaldokument.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VTU Generaldokument.dot</Template>
  <TotalTime>0</TotalTime>
  <Pages>9</Pages>
  <Words>2696</Words>
  <Characters>16981</Characters>
  <Application>Microsoft Office Word</Application>
  <DocSecurity>0</DocSecurity>
  <Lines>141</Lines>
  <Paragraphs>39</Paragraphs>
  <ScaleCrop>false</ScaleCrop>
  <HeadingPairs>
    <vt:vector size="2" baseType="variant">
      <vt:variant>
        <vt:lpstr>Titel</vt:lpstr>
      </vt:variant>
      <vt:variant>
        <vt:i4>1</vt:i4>
      </vt:variant>
    </vt:vector>
  </HeadingPairs>
  <TitlesOfParts>
    <vt:vector size="1" baseType="lpstr">
      <vt:lpstr>Bekanntmachung</vt:lpstr>
    </vt:vector>
  </TitlesOfParts>
  <Manager/>
  <Company>LANUV NRW</Company>
  <LinksUpToDate>false</LinksUpToDate>
  <CharactersWithSpaces>19638</CharactersWithSpaces>
  <SharedDoc>false</SharedDoc>
  <HLinks>
    <vt:vector size="54" baseType="variant">
      <vt:variant>
        <vt:i4>1572926</vt:i4>
      </vt:variant>
      <vt:variant>
        <vt:i4>50</vt:i4>
      </vt:variant>
      <vt:variant>
        <vt:i4>0</vt:i4>
      </vt:variant>
      <vt:variant>
        <vt:i4>5</vt:i4>
      </vt:variant>
      <vt:variant>
        <vt:lpwstr/>
      </vt:variant>
      <vt:variant>
        <vt:lpwstr>_Toc301857907</vt:lpwstr>
      </vt:variant>
      <vt:variant>
        <vt:i4>1572926</vt:i4>
      </vt:variant>
      <vt:variant>
        <vt:i4>44</vt:i4>
      </vt:variant>
      <vt:variant>
        <vt:i4>0</vt:i4>
      </vt:variant>
      <vt:variant>
        <vt:i4>5</vt:i4>
      </vt:variant>
      <vt:variant>
        <vt:lpwstr/>
      </vt:variant>
      <vt:variant>
        <vt:lpwstr>_Toc301857906</vt:lpwstr>
      </vt:variant>
      <vt:variant>
        <vt:i4>1572926</vt:i4>
      </vt:variant>
      <vt:variant>
        <vt:i4>38</vt:i4>
      </vt:variant>
      <vt:variant>
        <vt:i4>0</vt:i4>
      </vt:variant>
      <vt:variant>
        <vt:i4>5</vt:i4>
      </vt:variant>
      <vt:variant>
        <vt:lpwstr/>
      </vt:variant>
      <vt:variant>
        <vt:lpwstr>_Toc301857905</vt:lpwstr>
      </vt:variant>
      <vt:variant>
        <vt:i4>1572926</vt:i4>
      </vt:variant>
      <vt:variant>
        <vt:i4>32</vt:i4>
      </vt:variant>
      <vt:variant>
        <vt:i4>0</vt:i4>
      </vt:variant>
      <vt:variant>
        <vt:i4>5</vt:i4>
      </vt:variant>
      <vt:variant>
        <vt:lpwstr/>
      </vt:variant>
      <vt:variant>
        <vt:lpwstr>_Toc301857904</vt:lpwstr>
      </vt:variant>
      <vt:variant>
        <vt:i4>1572926</vt:i4>
      </vt:variant>
      <vt:variant>
        <vt:i4>26</vt:i4>
      </vt:variant>
      <vt:variant>
        <vt:i4>0</vt:i4>
      </vt:variant>
      <vt:variant>
        <vt:i4>5</vt:i4>
      </vt:variant>
      <vt:variant>
        <vt:lpwstr/>
      </vt:variant>
      <vt:variant>
        <vt:lpwstr>_Toc301857903</vt:lpwstr>
      </vt:variant>
      <vt:variant>
        <vt:i4>1572926</vt:i4>
      </vt:variant>
      <vt:variant>
        <vt:i4>20</vt:i4>
      </vt:variant>
      <vt:variant>
        <vt:i4>0</vt:i4>
      </vt:variant>
      <vt:variant>
        <vt:i4>5</vt:i4>
      </vt:variant>
      <vt:variant>
        <vt:lpwstr/>
      </vt:variant>
      <vt:variant>
        <vt:lpwstr>_Toc301857902</vt:lpwstr>
      </vt:variant>
      <vt:variant>
        <vt:i4>1572926</vt:i4>
      </vt:variant>
      <vt:variant>
        <vt:i4>14</vt:i4>
      </vt:variant>
      <vt:variant>
        <vt:i4>0</vt:i4>
      </vt:variant>
      <vt:variant>
        <vt:i4>5</vt:i4>
      </vt:variant>
      <vt:variant>
        <vt:lpwstr/>
      </vt:variant>
      <vt:variant>
        <vt:lpwstr>_Toc301857901</vt:lpwstr>
      </vt:variant>
      <vt:variant>
        <vt:i4>1572926</vt:i4>
      </vt:variant>
      <vt:variant>
        <vt:i4>8</vt:i4>
      </vt:variant>
      <vt:variant>
        <vt:i4>0</vt:i4>
      </vt:variant>
      <vt:variant>
        <vt:i4>5</vt:i4>
      </vt:variant>
      <vt:variant>
        <vt:lpwstr/>
      </vt:variant>
      <vt:variant>
        <vt:lpwstr>_Toc301857900</vt:lpwstr>
      </vt:variant>
      <vt:variant>
        <vt:i4>1114175</vt:i4>
      </vt:variant>
      <vt:variant>
        <vt:i4>2</vt:i4>
      </vt:variant>
      <vt:variant>
        <vt:i4>0</vt:i4>
      </vt:variant>
      <vt:variant>
        <vt:i4>5</vt:i4>
      </vt:variant>
      <vt:variant>
        <vt:lpwstr/>
      </vt:variant>
      <vt:variant>
        <vt:lpwstr>_Toc301857899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Bekanntmachung</dc:title>
  <dc:subject/>
  <dc:creator>adler</dc:creator>
  <cp:keywords/>
  <dc:description/>
  <cp:lastModifiedBy>Rüter, Dr., Ingo</cp:lastModifiedBy>
  <cp:revision>2</cp:revision>
  <cp:lastPrinted>2011-08-23T08:08:00Z</cp:lastPrinted>
  <dcterms:created xsi:type="dcterms:W3CDTF">2024-07-18T07:14:00Z</dcterms:created>
  <dcterms:modified xsi:type="dcterms:W3CDTF">2024-07-18T07:14:00Z</dcterms:modified>
</cp:coreProperties>
</file>