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269284316"/>
      <w:bookmarkStart w:id="1" w:name="_GoBack"/>
      <w:bookmarkEnd w:id="1"/>
      <w:r>
        <w:t>Bekanntmachung über die bundeseinheitliche Praxis</w:t>
      </w:r>
      <w:r>
        <w:br/>
        <w:t>bei der Überw</w:t>
      </w:r>
      <w:r>
        <w:t>a</w:t>
      </w:r>
      <w:r>
        <w:t>chung der Emissionen und der Immissionen</w:t>
      </w:r>
      <w:bookmarkEnd w:id="0"/>
    </w:p>
    <w:p>
      <w:pPr>
        <w:pStyle w:val="GesAbsatz"/>
        <w:jc w:val="center"/>
      </w:pPr>
      <w:r>
        <w:t>vom 12. Juli 2010</w:t>
      </w:r>
    </w:p>
    <w:p>
      <w:pPr>
        <w:pStyle w:val="GesAbsatz"/>
      </w:pPr>
    </w:p>
    <w:p>
      <w:pPr>
        <w:pStyle w:val="GesAbsatz"/>
        <w:jc w:val="center"/>
        <w:rPr>
          <w:noProof/>
        </w:rPr>
      </w:pPr>
      <w:r>
        <w:rPr>
          <w:b/>
          <w:sz w:val="22"/>
          <w:szCs w:val="22"/>
        </w:rPr>
        <w:t>Inhalt:</w: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TOC \o "1-3" \h \z \u </w:instrText>
      </w:r>
      <w:r>
        <w:rPr>
          <w:b/>
          <w:sz w:val="22"/>
          <w:szCs w:val="22"/>
        </w:rPr>
        <w:fldChar w:fldCharType="separate"/>
      </w:r>
    </w:p>
    <w:p>
      <w:pPr>
        <w:pStyle w:val="Verzeichnis1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hyperlink w:anchor="_Toc269284316" w:history="1">
        <w:r>
          <w:rPr>
            <w:rStyle w:val="Hyperlink"/>
            <w:noProof/>
          </w:rPr>
          <w:t>Bekanntmachung über die bundeseinheitliche Praxis bei der Überwachung der Emissionen und der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_Toc269284316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69284317" w:history="1">
        <w:r>
          <w:rPr>
            <w:rStyle w:val="Hyperlink"/>
            <w:noProof/>
          </w:rPr>
          <w:t>I. Eignung von Messeinrichtungen zur kontinuierlichen Überwachung von Emissionen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_Toc269284317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69284318" w:history="1">
        <w:r>
          <w:rPr>
            <w:rStyle w:val="Hyperlink"/>
            <w:noProof/>
          </w:rPr>
          <w:t>II. Eignung von Messeinrichtungen zur kontinuierlichen Überwachung von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_Toc269284318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69284319" w:history="1">
        <w:r>
          <w:rPr>
            <w:rStyle w:val="Hyperlink"/>
            <w:noProof/>
          </w:rPr>
          <w:t>III. Mitteilungen zur bundeseinheitlichen Praxis bei der Überwachung von Emissionen und Immissionen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_Toc269284319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>
      <w:pPr>
        <w:pStyle w:val="berschrift2"/>
      </w:pPr>
      <w:bookmarkStart w:id="2" w:name="_Toc269284317"/>
      <w:r>
        <w:t>I.</w:t>
      </w:r>
      <w:r>
        <w:br/>
        <w:t>Eignung von Messeinrichtungen zur</w:t>
      </w:r>
      <w:r>
        <w:br/>
        <w:t>kontinuierlichen Überwachung von Emissionen</w:t>
      </w:r>
      <w:bookmarkEnd w:id="2"/>
    </w:p>
    <w:p>
      <w:pPr>
        <w:pStyle w:val="GesAbsatz"/>
      </w:pPr>
      <w:r>
        <w:t>Unter Bezugnahme auf Nummer 3 der Richtlinie über die bundeseinheitliche Praxis bei der Überwachung der Emissionen - Rundschreiben des Bundesministeriums für Umwelt, Naturschutz und Reaktorsicherheit (BMU) -IG I 2-45053/5 (GMBl 2005, S. 795) - wird im Auftrag des BMU die Eignung der folgenden Messeinrichtu</w:t>
      </w:r>
      <w:r>
        <w:t>n</w:t>
      </w:r>
      <w:r>
        <w:t>gen bekannt gegeben:</w:t>
      </w:r>
    </w:p>
    <w:p>
      <w:pPr>
        <w:pStyle w:val="GesAbsatz"/>
        <w:rPr>
          <w:b/>
        </w:rPr>
      </w:pPr>
      <w:r>
        <w:rPr>
          <w:b/>
        </w:rPr>
        <w:t>1 Mehrkomponentenmesseinrichtungen</w:t>
      </w:r>
    </w:p>
    <w:p>
      <w:pPr>
        <w:pStyle w:val="GesAbsatz"/>
        <w:rPr>
          <w:lang w:val="en-GB"/>
        </w:rPr>
      </w:pPr>
      <w:r>
        <w:rPr>
          <w:lang w:val="en-GB"/>
        </w:rPr>
        <w:t xml:space="preserve">1.1 MCA 04 </w:t>
      </w:r>
      <w:r>
        <w:t>für</w:t>
      </w:r>
      <w:r>
        <w:rPr>
          <w:lang w:val="en-GB"/>
        </w:rPr>
        <w:t xml:space="preserve"> N</w:t>
      </w:r>
      <w:r>
        <w:rPr>
          <w:vertAlign w:val="subscript"/>
          <w:lang w:val="en-GB"/>
        </w:rPr>
        <w:t>2</w:t>
      </w:r>
      <w:r>
        <w:rPr>
          <w:lang w:val="en-GB"/>
        </w:rPr>
        <w:t>O, NO</w:t>
      </w:r>
      <w:r>
        <w:rPr>
          <w:vertAlign w:val="subscript"/>
          <w:lang w:val="en-GB"/>
        </w:rPr>
        <w:t>2</w:t>
      </w:r>
      <w:r>
        <w:rPr>
          <w:lang w:val="en-GB"/>
        </w:rPr>
        <w:t>, H</w:t>
      </w:r>
      <w:r>
        <w:rPr>
          <w:vertAlign w:val="subscript"/>
          <w:lang w:val="en-GB"/>
        </w:rPr>
        <w:t>2</w:t>
      </w:r>
      <w:r>
        <w:rPr>
          <w:lang w:val="en-GB"/>
        </w:rPr>
        <w:t>O, HCl, CO, NO, SO</w:t>
      </w:r>
      <w:r>
        <w:rPr>
          <w:vertAlign w:val="subscript"/>
          <w:lang w:val="en-GB"/>
        </w:rPr>
        <w:t>2</w:t>
      </w:r>
      <w:r>
        <w:rPr>
          <w:lang w:val="en-GB"/>
        </w:rPr>
        <w:t>, NH</w:t>
      </w:r>
      <w:r>
        <w:rPr>
          <w:vertAlign w:val="subscript"/>
          <w:lang w:val="en-GB"/>
        </w:rPr>
        <w:t>3</w:t>
      </w:r>
      <w:r>
        <w:rPr>
          <w:lang w:val="en-GB"/>
        </w:rPr>
        <w:t>, CO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und O</w:t>
      </w:r>
      <w:r>
        <w:rPr>
          <w:vertAlign w:val="subscript"/>
          <w:lang w:val="en-GB"/>
        </w:rPr>
        <w:t>2</w:t>
      </w:r>
    </w:p>
    <w:p>
      <w:pPr>
        <w:pStyle w:val="GesAbsatz"/>
      </w:pPr>
      <w:r>
        <w:t>Hersteller:</w:t>
      </w:r>
    </w:p>
    <w:p>
      <w:pPr>
        <w:pStyle w:val="GesAbsatz"/>
      </w:pPr>
      <w:r>
        <w:t>Dr. Födisch Umweltmesstechnik AG, Markranstädt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  <w:r>
        <w:t>Messbereiche in der Eignungsprüfung:</w:t>
      </w:r>
    </w:p>
    <w:p>
      <w:pPr>
        <w:pStyle w:val="GesAbsatz"/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1526"/>
        <w:gridCol w:w="2268"/>
        <w:gridCol w:w="2445"/>
        <w:gridCol w:w="1240"/>
      </w:tblGrid>
      <w:tr>
        <w:trPr>
          <w:jc w:val="center"/>
        </w:trPr>
        <w:tc>
          <w:tcPr>
            <w:tcW w:w="1526" w:type="dxa"/>
          </w:tcPr>
          <w:p>
            <w:pPr>
              <w:pStyle w:val="GesAbsatz"/>
            </w:pPr>
            <w:r>
              <w:t>Komponente</w:t>
            </w:r>
          </w:p>
        </w:tc>
        <w:tc>
          <w:tcPr>
            <w:tcW w:w="2268" w:type="dxa"/>
          </w:tcPr>
          <w:p>
            <w:pPr>
              <w:pStyle w:val="GesAbsatz"/>
            </w:pPr>
            <w:r>
              <w:t>Zertifizierungsbereich</w:t>
            </w:r>
          </w:p>
        </w:tc>
        <w:tc>
          <w:tcPr>
            <w:tcW w:w="2445" w:type="dxa"/>
          </w:tcPr>
          <w:p>
            <w:pPr>
              <w:pStyle w:val="GesAbsatz"/>
            </w:pPr>
            <w:r>
              <w:t>zusätzlicher Messbereich</w:t>
            </w:r>
          </w:p>
        </w:tc>
        <w:tc>
          <w:tcPr>
            <w:tcW w:w="1240" w:type="dxa"/>
          </w:tcPr>
          <w:p>
            <w:pPr>
              <w:pStyle w:val="GesAbsatz"/>
            </w:pPr>
            <w:r>
              <w:t>Einheit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</w:pPr>
            <w:r>
              <w:rPr>
                <w:lang w:val="en-GB"/>
              </w:rPr>
              <w:t>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</w:t>
            </w:r>
          </w:p>
        </w:tc>
        <w:tc>
          <w:tcPr>
            <w:tcW w:w="2268" w:type="dxa"/>
          </w:tcPr>
          <w:p>
            <w:pPr>
              <w:pStyle w:val="GesAbsatz"/>
            </w:pPr>
            <w:r>
              <w:rPr>
                <w:lang w:val="en-GB"/>
              </w:rPr>
              <w:t>0-40</w:t>
            </w:r>
          </w:p>
        </w:tc>
        <w:tc>
          <w:tcPr>
            <w:tcW w:w="2445" w:type="dxa"/>
          </w:tcPr>
          <w:p>
            <w:pPr>
              <w:pStyle w:val="GesAbsatz"/>
            </w:pPr>
            <w:r>
              <w:rPr>
                <w:lang w:val="en-GB"/>
              </w:rPr>
              <w:t>-</w:t>
            </w:r>
          </w:p>
        </w:tc>
        <w:tc>
          <w:tcPr>
            <w:tcW w:w="1240" w:type="dxa"/>
          </w:tcPr>
          <w:p>
            <w:pPr>
              <w:pStyle w:val="GesAbsatz"/>
            </w:pPr>
            <w:r>
              <w:rPr>
                <w:lang w:val="en-GB"/>
              </w:rPr>
              <w:t>Vol.-%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HCl</w:t>
            </w:r>
          </w:p>
        </w:tc>
        <w:tc>
          <w:tcPr>
            <w:tcW w:w="2268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0-15</w:t>
            </w:r>
          </w:p>
        </w:tc>
        <w:tc>
          <w:tcPr>
            <w:tcW w:w="2445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0-90</w:t>
            </w:r>
          </w:p>
        </w:tc>
        <w:tc>
          <w:tcPr>
            <w:tcW w:w="124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CO</w:t>
            </w:r>
          </w:p>
        </w:tc>
        <w:tc>
          <w:tcPr>
            <w:tcW w:w="2268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2445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0-300</w:t>
            </w:r>
          </w:p>
        </w:tc>
        <w:tc>
          <w:tcPr>
            <w:tcW w:w="124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268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0-200</w:t>
            </w:r>
          </w:p>
        </w:tc>
        <w:tc>
          <w:tcPr>
            <w:tcW w:w="2445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0-395</w:t>
            </w:r>
          </w:p>
        </w:tc>
        <w:tc>
          <w:tcPr>
            <w:tcW w:w="124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268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2445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0-300</w:t>
            </w:r>
          </w:p>
        </w:tc>
        <w:tc>
          <w:tcPr>
            <w:tcW w:w="124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  <w:rPr>
                <w:lang w:val="en-GB"/>
              </w:rPr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2268" w:type="dxa"/>
          </w:tcPr>
          <w:p>
            <w:pPr>
              <w:pStyle w:val="GesAbsatz"/>
              <w:rPr>
                <w:lang w:val="en-GB"/>
              </w:rPr>
            </w:pPr>
            <w:r>
              <w:t>0-30</w:t>
            </w:r>
          </w:p>
        </w:tc>
        <w:tc>
          <w:tcPr>
            <w:tcW w:w="2445" w:type="dxa"/>
          </w:tcPr>
          <w:p>
            <w:pPr>
              <w:pStyle w:val="GesAbsatz"/>
              <w:rPr>
                <w:lang w:val="en-GB"/>
              </w:rPr>
            </w:pPr>
            <w:r>
              <w:t>0-75</w:t>
            </w:r>
          </w:p>
        </w:tc>
        <w:tc>
          <w:tcPr>
            <w:tcW w:w="1240" w:type="dxa"/>
          </w:tcPr>
          <w:p>
            <w:pPr>
              <w:pStyle w:val="GesAbsatz"/>
              <w:rPr>
                <w:lang w:val="en-GB"/>
              </w:rPr>
            </w:pPr>
            <w:r>
              <w:t>mg/m³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</w:pPr>
            <w:r>
              <w:rPr>
                <w:lang w:val="en-GB"/>
              </w:rPr>
              <w:t>CO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268" w:type="dxa"/>
          </w:tcPr>
          <w:p>
            <w:pPr>
              <w:pStyle w:val="GesAbsatz"/>
            </w:pPr>
            <w:r>
              <w:rPr>
                <w:lang w:val="en-GB"/>
              </w:rPr>
              <w:t>0-20</w:t>
            </w:r>
          </w:p>
        </w:tc>
        <w:tc>
          <w:tcPr>
            <w:tcW w:w="2445" w:type="dxa"/>
          </w:tcPr>
          <w:p>
            <w:pPr>
              <w:pStyle w:val="GesAbsatz"/>
            </w:pPr>
            <w:r>
              <w:rPr>
                <w:lang w:val="en-GB"/>
              </w:rPr>
              <w:t>-</w:t>
            </w:r>
          </w:p>
        </w:tc>
        <w:tc>
          <w:tcPr>
            <w:tcW w:w="1240" w:type="dxa"/>
          </w:tcPr>
          <w:p>
            <w:pPr>
              <w:pStyle w:val="GesAbsatz"/>
            </w:pPr>
            <w:r>
              <w:rPr>
                <w:lang w:val="en-GB"/>
              </w:rPr>
              <w:t>Vol.-%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268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0-25</w:t>
            </w:r>
          </w:p>
        </w:tc>
        <w:tc>
          <w:tcPr>
            <w:tcW w:w="2445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Vol.-%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</w:t>
            </w:r>
          </w:p>
        </w:tc>
        <w:tc>
          <w:tcPr>
            <w:tcW w:w="2268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0-50</w:t>
            </w:r>
          </w:p>
        </w:tc>
        <w:tc>
          <w:tcPr>
            <w:tcW w:w="2445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0-1000</w:t>
            </w:r>
          </w:p>
        </w:tc>
        <w:tc>
          <w:tcPr>
            <w:tcW w:w="124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NO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268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0-50</w:t>
            </w:r>
          </w:p>
        </w:tc>
        <w:tc>
          <w:tcPr>
            <w:tcW w:w="2445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0-1000</w:t>
            </w:r>
          </w:p>
        </w:tc>
        <w:tc>
          <w:tcPr>
            <w:tcW w:w="1240" w:type="dxa"/>
          </w:tcPr>
          <w:p>
            <w:pPr>
              <w:pStyle w:val="GesAbsatz"/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</w:tbl>
    <w:p>
      <w:pPr>
        <w:pStyle w:val="GesAbsatz"/>
      </w:pPr>
    </w:p>
    <w:p>
      <w:pPr>
        <w:pStyle w:val="GesAbsatz"/>
      </w:pPr>
      <w:r>
        <w:t>Softwareversion:</w:t>
      </w:r>
    </w:p>
    <w:p>
      <w:pPr>
        <w:pStyle w:val="GesAbsatz"/>
      </w:pPr>
      <w:r>
        <w:t>MC3 Firmware V 1.83</w:t>
      </w:r>
    </w:p>
    <w:p>
      <w:pPr>
        <w:pStyle w:val="GesAbsatz"/>
      </w:pPr>
      <w:r>
        <w:t>Einschränkungen:</w:t>
      </w:r>
    </w:p>
    <w:p>
      <w:pPr>
        <w:pStyle w:val="GesAbsatz"/>
        <w:ind w:left="426" w:hanging="426"/>
      </w:pPr>
      <w:r>
        <w:lastRenderedPageBreak/>
        <w:t>1.</w:t>
      </w:r>
      <w:r>
        <w:tab/>
        <w:t>Für SO</w:t>
      </w:r>
      <w:r>
        <w:rPr>
          <w:vertAlign w:val="subscript"/>
        </w:rPr>
        <w:t>2</w:t>
      </w:r>
      <w:r>
        <w:t xml:space="preserve"> im Messbereich 0-75 mg/m³ sind die Mindestanforderungen für die Querempfindlichkeit bei HCl-Konzentrationen &gt; 50 mg/m³ und bei N</w:t>
      </w:r>
      <w:r>
        <w:rPr>
          <w:vertAlign w:val="subscript"/>
        </w:rPr>
        <w:t>2</w:t>
      </w:r>
      <w:r>
        <w:t>O-Konzentrationen &gt; 20 mg/m³ nicht erfüllt.</w:t>
      </w:r>
    </w:p>
    <w:p>
      <w:pPr>
        <w:pStyle w:val="GesAbsatz"/>
        <w:ind w:left="426" w:hanging="426"/>
      </w:pPr>
      <w:r>
        <w:t>2.</w:t>
      </w:r>
      <w:r>
        <w:tab/>
        <w:t>Für HCl im Messbereich 0-15 mg/m³ sind die Mindestanforderungen für die Querempfindlichkeit bei SO</w:t>
      </w:r>
      <w:r>
        <w:rPr>
          <w:vertAlign w:val="subscript"/>
        </w:rPr>
        <w:t>2</w:t>
      </w:r>
      <w:r>
        <w:t>-Konzentrationen &gt; 200 mg/m³ und bei N</w:t>
      </w:r>
      <w:r>
        <w:rPr>
          <w:vertAlign w:val="subscript"/>
        </w:rPr>
        <w:t>2</w:t>
      </w:r>
      <w:r>
        <w:t>O-Konzentrationen &gt; 20 mg/m³ nicht erfüllt.</w:t>
      </w:r>
    </w:p>
    <w:p>
      <w:pPr>
        <w:pStyle w:val="GesAbsatz"/>
        <w:ind w:left="426" w:hanging="426"/>
      </w:pPr>
      <w:r>
        <w:t>3.</w:t>
      </w:r>
      <w:r>
        <w:tab/>
        <w:t>Von den Komponenten N</w:t>
      </w:r>
      <w:r>
        <w:rPr>
          <w:vertAlign w:val="subscript"/>
        </w:rPr>
        <w:t>2</w:t>
      </w:r>
      <w:r>
        <w:t>O, NO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O, HCl, CO, NO, SO</w:t>
      </w:r>
      <w:r>
        <w:rPr>
          <w:vertAlign w:val="subscript"/>
        </w:rPr>
        <w:t>2</w:t>
      </w:r>
      <w:r>
        <w:t>, NH</w:t>
      </w:r>
      <w:r>
        <w:rPr>
          <w:vertAlign w:val="subscript"/>
        </w:rPr>
        <w:t>3</w:t>
      </w:r>
      <w:r>
        <w:t xml:space="preserve"> und CO</w:t>
      </w:r>
      <w:r>
        <w:rPr>
          <w:vertAlign w:val="subscript"/>
        </w:rPr>
        <w:t>2</w:t>
      </w:r>
      <w:r>
        <w:t xml:space="preserve"> können simultan nur 8 Ko</w:t>
      </w:r>
      <w:r>
        <w:t>m</w:t>
      </w:r>
      <w:r>
        <w:t>ponenten gemessen werden. Bei der Auswahl sind mögliche Interferenzkompensationen zwischen den Ko</w:t>
      </w:r>
      <w:r>
        <w:t>m</w:t>
      </w:r>
      <w:r>
        <w:t>ponenten zu beachten.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Die Messeinrichtung arbeitet mit feuchtem Abgas.</w:t>
      </w:r>
    </w:p>
    <w:p>
      <w:pPr>
        <w:pStyle w:val="GesAbsatz"/>
      </w:pPr>
      <w:r>
        <w:t>2.</w:t>
      </w:r>
      <w:r>
        <w:tab/>
        <w:t>Das Wartungsintervall für die Messeinrichtung beträgt drei Monate.</w:t>
      </w:r>
    </w:p>
    <w:p>
      <w:pPr>
        <w:pStyle w:val="GesAbsatz"/>
        <w:ind w:left="426" w:hanging="426"/>
      </w:pPr>
      <w:r>
        <w:t>3.</w:t>
      </w:r>
      <w:r>
        <w:tab/>
        <w:t>Ergänzungsprüfung (Verlängerung des Wartungsintervalls für NO</w:t>
      </w:r>
      <w:r>
        <w:rPr>
          <w:vertAlign w:val="subscript"/>
        </w:rPr>
        <w:t>2</w:t>
      </w:r>
      <w:r>
        <w:t xml:space="preserve"> und N</w:t>
      </w:r>
      <w:r>
        <w:rPr>
          <w:vertAlign w:val="subscript"/>
        </w:rPr>
        <w:t>2</w:t>
      </w:r>
      <w:r>
        <w:t>O) zu den Bekanntgaben des Umweltbundesamtes vom 25. Juli 2005 (BAnz. S. 15701), vom 21. Februar 2006 (BAnz. S. 2654) und vom 25. Januar 2010 (BAnz. S. 554).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936/21211571/B vom 25. März 2010</w:t>
      </w:r>
    </w:p>
    <w:p>
      <w:pPr>
        <w:pStyle w:val="GesAbsatz"/>
      </w:pPr>
      <w:r>
        <w:t>1.2 MCS 100 FT für O</w:t>
      </w:r>
      <w:r>
        <w:rPr>
          <w:vertAlign w:val="subscript"/>
        </w:rPr>
        <w:t>2</w:t>
      </w:r>
      <w:r>
        <w:t>, CO, SO</w:t>
      </w:r>
      <w:r>
        <w:rPr>
          <w:vertAlign w:val="subscript"/>
        </w:rPr>
        <w:t>2</w:t>
      </w:r>
      <w:r>
        <w:t>, NO, NO</w:t>
      </w:r>
      <w:r>
        <w:rPr>
          <w:vertAlign w:val="subscript"/>
        </w:rPr>
        <w:t>2</w:t>
      </w:r>
      <w:r>
        <w:t>, HCl, HF, CH</w:t>
      </w:r>
      <w:r>
        <w:rPr>
          <w:vertAlign w:val="subscript"/>
        </w:rPr>
        <w:t>4</w:t>
      </w:r>
      <w:r>
        <w:t>, CO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O, N</w:t>
      </w:r>
      <w:r>
        <w:rPr>
          <w:vertAlign w:val="subscript"/>
        </w:rPr>
        <w:t>2</w:t>
      </w:r>
      <w:r>
        <w:t>O, NH</w:t>
      </w:r>
      <w:r>
        <w:rPr>
          <w:vertAlign w:val="subscript"/>
        </w:rPr>
        <w:t>3</w:t>
      </w:r>
      <w:r>
        <w:t xml:space="preserve"> und Gesamt-Kohlenstoff</w:t>
      </w:r>
    </w:p>
    <w:p>
      <w:pPr>
        <w:pStyle w:val="GesAbsatz"/>
      </w:pPr>
      <w:r>
        <w:t>Hersteller:</w:t>
      </w:r>
    </w:p>
    <w:p>
      <w:pPr>
        <w:pStyle w:val="GesAbsatz"/>
      </w:pPr>
      <w:r>
        <w:t>SICK MAIHAK GmbH, Meersburg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sowie Anlagen der 27. BImSchV</w:t>
      </w:r>
    </w:p>
    <w:p>
      <w:pPr>
        <w:pStyle w:val="GesAbsatz"/>
      </w:pPr>
      <w:r>
        <w:t>Messbereiche in der Eignungsprüfung:</w:t>
      </w:r>
    </w:p>
    <w:p>
      <w:pPr>
        <w:pStyle w:val="GesAbsatz"/>
      </w:pPr>
    </w:p>
    <w:tbl>
      <w:tblPr>
        <w:tblStyle w:val="Tabellenraster"/>
        <w:tblW w:w="8755" w:type="dxa"/>
        <w:jc w:val="center"/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539"/>
        <w:gridCol w:w="1524"/>
        <w:gridCol w:w="1528"/>
        <w:gridCol w:w="1079"/>
      </w:tblGrid>
      <w:tr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pStyle w:val="GesAbsatz"/>
              <w:jc w:val="center"/>
            </w:pPr>
            <w:r>
              <w:t>Komponente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GesAbsatz"/>
              <w:jc w:val="center"/>
            </w:pPr>
            <w:r>
              <w:t>Zertifizierung</w:t>
            </w:r>
            <w:r>
              <w:t>s</w:t>
            </w:r>
            <w:r>
              <w:t>bereich</w:t>
            </w:r>
          </w:p>
        </w:tc>
        <w:tc>
          <w:tcPr>
            <w:tcW w:w="4591" w:type="dxa"/>
            <w:gridSpan w:val="3"/>
          </w:tcPr>
          <w:p>
            <w:pPr>
              <w:pStyle w:val="GesAbsatz"/>
              <w:jc w:val="center"/>
            </w:pPr>
            <w:r>
              <w:t>zusätzliche Messbereiche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GesAbsatz"/>
              <w:jc w:val="center"/>
            </w:pPr>
            <w:r>
              <w:t>Einheit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</w:pPr>
          </w:p>
        </w:tc>
        <w:tc>
          <w:tcPr>
            <w:tcW w:w="1701" w:type="dxa"/>
            <w:vMerge/>
          </w:tcPr>
          <w:p>
            <w:pPr>
              <w:pStyle w:val="GesAbsatz"/>
            </w:pPr>
          </w:p>
        </w:tc>
        <w:tc>
          <w:tcPr>
            <w:tcW w:w="1539" w:type="dxa"/>
          </w:tcPr>
          <w:p>
            <w:pPr>
              <w:pStyle w:val="GesAbsatz"/>
            </w:pPr>
            <w:r>
              <w:t>Messbereich 1</w:t>
            </w:r>
          </w:p>
        </w:tc>
        <w:tc>
          <w:tcPr>
            <w:tcW w:w="1524" w:type="dxa"/>
          </w:tcPr>
          <w:p>
            <w:pPr>
              <w:pStyle w:val="GesAbsatz"/>
            </w:pPr>
            <w:r>
              <w:t>Messbereich 2</w:t>
            </w:r>
          </w:p>
        </w:tc>
        <w:tc>
          <w:tcPr>
            <w:tcW w:w="1528" w:type="dxa"/>
          </w:tcPr>
          <w:p>
            <w:pPr>
              <w:pStyle w:val="GesAbsatz"/>
            </w:pPr>
            <w:r>
              <w:t>Messbereich 3</w:t>
            </w:r>
          </w:p>
        </w:tc>
        <w:tc>
          <w:tcPr>
            <w:tcW w:w="1079" w:type="dxa"/>
            <w:vMerge/>
          </w:tcPr>
          <w:p>
            <w:pPr>
              <w:pStyle w:val="GesAbsatz"/>
            </w:pP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0-21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Vol.-%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CO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0-300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0-1500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0-75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0-300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0-1500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0-400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0-2000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NO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0-100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0-500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HCl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0-15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0-90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0-150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HF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0-3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0-10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4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0-50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0-150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CO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0-25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Vol.-%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0-40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Vol.-%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</w:pPr>
            <w:r>
              <w:t>0-50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</w:pPr>
            <w:r>
              <w:t>0-500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</w:pPr>
            <w:r>
              <w:t>0-10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</w:pPr>
            <w:r>
              <w:t>-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tabs>
                <w:tab w:val="clear" w:pos="425"/>
              </w:tabs>
            </w:pPr>
            <w:r>
              <w:t>Gesamt-Kohlenstoff</w:t>
            </w:r>
          </w:p>
        </w:tc>
        <w:tc>
          <w:tcPr>
            <w:tcW w:w="1701" w:type="dxa"/>
          </w:tcPr>
          <w:p>
            <w:pPr>
              <w:pStyle w:val="GesAbsatz"/>
              <w:tabs>
                <w:tab w:val="clear" w:pos="425"/>
              </w:tabs>
            </w:pPr>
            <w:r>
              <w:t>0-15</w:t>
            </w:r>
          </w:p>
        </w:tc>
        <w:tc>
          <w:tcPr>
            <w:tcW w:w="1539" w:type="dxa"/>
          </w:tcPr>
          <w:p>
            <w:pPr>
              <w:pStyle w:val="GesAbsatz"/>
              <w:tabs>
                <w:tab w:val="clear" w:pos="425"/>
              </w:tabs>
            </w:pPr>
            <w:r>
              <w:t>0-50</w:t>
            </w:r>
          </w:p>
        </w:tc>
        <w:tc>
          <w:tcPr>
            <w:tcW w:w="1524" w:type="dxa"/>
          </w:tcPr>
          <w:p>
            <w:pPr>
              <w:pStyle w:val="GesAbsatz"/>
              <w:tabs>
                <w:tab w:val="clear" w:pos="425"/>
              </w:tabs>
            </w:pPr>
            <w:r>
              <w:t>0-150</w:t>
            </w:r>
          </w:p>
        </w:tc>
        <w:tc>
          <w:tcPr>
            <w:tcW w:w="1528" w:type="dxa"/>
          </w:tcPr>
          <w:p>
            <w:pPr>
              <w:pStyle w:val="GesAbsatz"/>
              <w:tabs>
                <w:tab w:val="clear" w:pos="425"/>
              </w:tabs>
            </w:pPr>
            <w:r>
              <w:t>0-500</w:t>
            </w:r>
          </w:p>
        </w:tc>
        <w:tc>
          <w:tcPr>
            <w:tcW w:w="1079" w:type="dxa"/>
          </w:tcPr>
          <w:p>
            <w:pPr>
              <w:pStyle w:val="GesAbsatz"/>
              <w:tabs>
                <w:tab w:val="clear" w:pos="425"/>
              </w:tabs>
            </w:pPr>
            <w:r>
              <w:t>mg/m³</w:t>
            </w:r>
          </w:p>
        </w:tc>
      </w:tr>
    </w:tbl>
    <w:p>
      <w:pPr>
        <w:pStyle w:val="GesAbsatz"/>
      </w:pPr>
    </w:p>
    <w:p>
      <w:pPr>
        <w:pStyle w:val="GesAbsatz"/>
      </w:pPr>
      <w:r>
        <w:t>Softwareversionen:</w:t>
      </w:r>
    </w:p>
    <w:p>
      <w:pPr>
        <w:pStyle w:val="GesAbsatz"/>
      </w:pPr>
      <w:r>
        <w:t>MCS 100 FT Firmware 9114688_TJ59</w:t>
      </w:r>
    </w:p>
    <w:p>
      <w:pPr>
        <w:pStyle w:val="GesAbsatz"/>
      </w:pPr>
      <w:r>
        <w:t>SCU Installationspaket 9125028_T825</w:t>
      </w:r>
    </w:p>
    <w:p>
      <w:pPr>
        <w:pStyle w:val="GesAbsatz"/>
      </w:pPr>
      <w:r>
        <w:lastRenderedPageBreak/>
        <w:t>Sopas ET Version 2.20 Build 2766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Die Messeinrichtung gibt die Messwerte bezogen auf trockenes Abgas unter Normbedingungen aus.</w:t>
      </w:r>
    </w:p>
    <w:p>
      <w:pPr>
        <w:pStyle w:val="GesAbsatz"/>
        <w:ind w:left="426" w:hanging="426"/>
      </w:pPr>
      <w:r>
        <w:t>2.</w:t>
      </w:r>
      <w:r>
        <w:tab/>
        <w:t>Das Wartungsintervall beträgt bei Integration der Komponenten O</w:t>
      </w:r>
      <w:r>
        <w:rPr>
          <w:vertAlign w:val="subscript"/>
        </w:rPr>
        <w:t>2</w:t>
      </w:r>
      <w:r>
        <w:t>, NH</w:t>
      </w:r>
      <w:r>
        <w:rPr>
          <w:vertAlign w:val="subscript"/>
        </w:rPr>
        <w:t>3</w:t>
      </w:r>
      <w:r>
        <w:t xml:space="preserve"> und Gesamt-Kohlenstoff vier Wochen, bei Integration der Komponenten CO</w:t>
      </w:r>
      <w:r>
        <w:rPr>
          <w:vertAlign w:val="subscript"/>
        </w:rPr>
        <w:t>2</w:t>
      </w:r>
      <w:r>
        <w:t xml:space="preserve"> und HF drei Monate, ansonsten sechs Monate.</w:t>
      </w:r>
    </w:p>
    <w:p>
      <w:pPr>
        <w:pStyle w:val="GesAbsatz"/>
        <w:ind w:left="426" w:hanging="426"/>
      </w:pPr>
      <w:r>
        <w:t>3.</w:t>
      </w:r>
      <w:r>
        <w:tab/>
        <w:t>Für die Komponenten NO</w:t>
      </w:r>
      <w:r>
        <w:rPr>
          <w:vertAlign w:val="subscript"/>
        </w:rPr>
        <w:t>2</w:t>
      </w:r>
      <w:r>
        <w:t xml:space="preserve"> und HCl wurde die Anforderung bei der Eignungsprüfung nach DIN EN 15267-3 an den Korrelationskoeffizienten R</w:t>
      </w:r>
      <w:r>
        <w:rPr>
          <w:vertAlign w:val="superscript"/>
        </w:rPr>
        <w:t>2</w:t>
      </w:r>
      <w:r>
        <w:t xml:space="preserve"> der Kalibrierfunktion nicht erfüllt.</w:t>
      </w:r>
    </w:p>
    <w:p>
      <w:pPr>
        <w:pStyle w:val="GesAbsatz"/>
        <w:ind w:left="426" w:hanging="426"/>
      </w:pPr>
      <w:r>
        <w:t>4.</w:t>
      </w:r>
      <w:r>
        <w:tab/>
        <w:t>Für die Komponenten CO und HF wurden die Anforderungen bei der Eignungsprüfung nach DIN EN 15267-3 an die Gesamtunsicherheit nicht erfüllt.</w:t>
      </w:r>
    </w:p>
    <w:p>
      <w:pPr>
        <w:pStyle w:val="GesAbsatz"/>
        <w:ind w:left="426" w:hanging="426"/>
      </w:pPr>
      <w:r>
        <w:t>5.</w:t>
      </w:r>
      <w:r>
        <w:tab/>
        <w:t>Für die Referenzpunktkontrolle (QAL3) der Komponenten CO, SO</w:t>
      </w:r>
      <w:r>
        <w:rPr>
          <w:vertAlign w:val="subscript"/>
        </w:rPr>
        <w:t>2</w:t>
      </w:r>
      <w:r>
        <w:t>, NO, HCl, CH</w:t>
      </w:r>
      <w:r>
        <w:rPr>
          <w:vertAlign w:val="subscript"/>
        </w:rPr>
        <w:t>4</w:t>
      </w:r>
      <w:r>
        <w:t>, N</w:t>
      </w:r>
      <w:r>
        <w:rPr>
          <w:vertAlign w:val="subscript"/>
        </w:rPr>
        <w:t>2</w:t>
      </w:r>
      <w:r>
        <w:t>O, H</w:t>
      </w:r>
      <w:r>
        <w:rPr>
          <w:vertAlign w:val="subscript"/>
        </w:rPr>
        <w:t>2</w:t>
      </w:r>
      <w:r>
        <w:t>O, CO</w:t>
      </w:r>
      <w:r>
        <w:rPr>
          <w:vertAlign w:val="subscript"/>
        </w:rPr>
        <w:t>2</w:t>
      </w:r>
      <w:r>
        <w:t>, und HF kann alternativ zu Prüfgasen die interne automatische Justiereinrichtung eingesetzt werden.</w:t>
      </w:r>
    </w:p>
    <w:p>
      <w:pPr>
        <w:pStyle w:val="GesAbsatz"/>
        <w:ind w:left="426" w:hanging="426"/>
      </w:pPr>
      <w:r>
        <w:t>6.</w:t>
      </w:r>
      <w:r>
        <w:tab/>
        <w:t>Ergänzungsprüfung (Erweiterung um die Komponenten NH</w:t>
      </w:r>
      <w:r>
        <w:rPr>
          <w:vertAlign w:val="subscript"/>
        </w:rPr>
        <w:t>3</w:t>
      </w:r>
      <w:r>
        <w:t xml:space="preserve"> und Gesamt-Kohlenstoff) zur Bekanntgabe des Umweltbundesamtes vom 19. Februar 2009 (BAnz. S. 901) und vom 25. Januar 2010 (BAnz. S. 553).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936/21210511/A vom 22. März 2010</w:t>
      </w:r>
    </w:p>
    <w:p>
      <w:pPr>
        <w:pStyle w:val="GesAbsatz"/>
        <w:rPr>
          <w:b/>
        </w:rPr>
      </w:pPr>
      <w:r>
        <w:rPr>
          <w:b/>
        </w:rPr>
        <w:t>2 Messeinrichtungen mit modularem Aufbau</w:t>
      </w:r>
    </w:p>
    <w:p>
      <w:pPr>
        <w:pStyle w:val="GesAbsatz"/>
        <w:rPr>
          <w:lang w:val="en-GB"/>
        </w:rPr>
      </w:pPr>
      <w:r>
        <w:rPr>
          <w:lang w:val="en-GB"/>
        </w:rPr>
        <w:t xml:space="preserve">2.1 </w:t>
      </w:r>
      <w:r>
        <w:t>Modulares</w:t>
      </w:r>
      <w:r>
        <w:rPr>
          <w:lang w:val="en-GB"/>
        </w:rPr>
        <w:t xml:space="preserve"> System MKAS S800 </w:t>
      </w:r>
      <w:r>
        <w:t>für</w:t>
      </w:r>
      <w:r>
        <w:rPr>
          <w:lang w:val="en-GB"/>
        </w:rPr>
        <w:t xml:space="preserve"> CO, NO, NO</w:t>
      </w:r>
      <w:r>
        <w:rPr>
          <w:vertAlign w:val="subscript"/>
          <w:lang w:val="en-GB"/>
        </w:rPr>
        <w:t>2</w:t>
      </w:r>
      <w:r>
        <w:rPr>
          <w:lang w:val="en-GB"/>
        </w:rPr>
        <w:t>, SO</w:t>
      </w:r>
      <w:r>
        <w:rPr>
          <w:vertAlign w:val="subscript"/>
          <w:lang w:val="en-GB"/>
        </w:rPr>
        <w:t>2</w:t>
      </w:r>
      <w:r>
        <w:rPr>
          <w:lang w:val="en-GB"/>
        </w:rPr>
        <w:t>, CH</w:t>
      </w:r>
      <w:r>
        <w:rPr>
          <w:vertAlign w:val="subscript"/>
          <w:lang w:val="en-GB"/>
        </w:rPr>
        <w:t>4</w:t>
      </w:r>
      <w:r>
        <w:rPr>
          <w:lang w:val="en-GB"/>
        </w:rPr>
        <w:t>, N</w:t>
      </w:r>
      <w:r>
        <w:rPr>
          <w:vertAlign w:val="subscript"/>
          <w:lang w:val="en-GB"/>
        </w:rPr>
        <w:t>2</w:t>
      </w:r>
      <w:r>
        <w:rPr>
          <w:lang w:val="en-GB"/>
        </w:rPr>
        <w:t>O, CO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und O</w:t>
      </w:r>
      <w:r>
        <w:rPr>
          <w:vertAlign w:val="subscript"/>
          <w:lang w:val="en-GB"/>
        </w:rPr>
        <w:t>2</w:t>
      </w:r>
    </w:p>
    <w:p>
      <w:pPr>
        <w:pStyle w:val="GesAbsatz"/>
      </w:pPr>
      <w:r>
        <w:t>Hersteller:</w:t>
      </w:r>
    </w:p>
    <w:p>
      <w:pPr>
        <w:pStyle w:val="GesAbsatz"/>
      </w:pPr>
      <w:r>
        <w:t>SICK MAIHAK GmbH, Reute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genehmigungsbedürftige Anlagen und Anlagen der 27. BImSchV</w:t>
      </w:r>
    </w:p>
    <w:p>
      <w:pPr>
        <w:pStyle w:val="GesAbsatz"/>
      </w:pPr>
    </w:p>
    <w:tbl>
      <w:tblPr>
        <w:tblStyle w:val="Tabellenraster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417"/>
        <w:gridCol w:w="1418"/>
        <w:gridCol w:w="1417"/>
        <w:gridCol w:w="1134"/>
      </w:tblGrid>
      <w:tr>
        <w:trPr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pStyle w:val="GesAbsatz"/>
              <w:jc w:val="center"/>
              <w:rPr>
                <w:rFonts w:cs="Arial"/>
              </w:rPr>
            </w:pPr>
            <w:r>
              <w:rPr>
                <w:rFonts w:cs="Arial"/>
              </w:rPr>
              <w:t>Komp</w:t>
            </w:r>
            <w:r>
              <w:rPr>
                <w:rFonts w:cs="Arial"/>
              </w:rPr>
              <w:t>o</w:t>
            </w:r>
            <w:r>
              <w:rPr>
                <w:rFonts w:cs="Arial"/>
              </w:rPr>
              <w:t>nente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GesAbsatz"/>
              <w:jc w:val="center"/>
              <w:rPr>
                <w:rFonts w:cs="Arial"/>
              </w:rPr>
            </w:pPr>
            <w:r>
              <w:rPr>
                <w:rFonts w:cs="Arial"/>
              </w:rPr>
              <w:t>Modul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GesAbsatz"/>
              <w:jc w:val="center"/>
              <w:rPr>
                <w:rFonts w:cs="Arial"/>
              </w:rPr>
            </w:pPr>
            <w:r>
              <w:rPr>
                <w:rFonts w:cs="Arial"/>
              </w:rPr>
              <w:t>Zerti</w:t>
            </w:r>
            <w:r>
              <w:rPr>
                <w:rFonts w:cs="Arial"/>
                <w:spacing w:val="-3"/>
              </w:rPr>
              <w:t>fizi</w:t>
            </w:r>
            <w:r>
              <w:rPr>
                <w:rFonts w:cs="Arial"/>
                <w:spacing w:val="-3"/>
              </w:rPr>
              <w:t>e</w:t>
            </w:r>
            <w:r>
              <w:rPr>
                <w:rFonts w:cs="Arial"/>
                <w:spacing w:val="-3"/>
              </w:rPr>
              <w:t>rungs</w:t>
            </w:r>
            <w:r>
              <w:rPr>
                <w:rFonts w:cs="Arial"/>
              </w:rPr>
              <w:t>b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reich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GesAbsatz"/>
              <w:jc w:val="center"/>
            </w:pPr>
            <w:r>
              <w:rPr>
                <w:rFonts w:cs="Arial"/>
                <w:spacing w:val="-2"/>
              </w:rPr>
              <w:t>zusätzliche Messbere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-2"/>
              </w:rPr>
              <w:t>che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GesAbsatz"/>
              <w:jc w:val="center"/>
              <w:rPr>
                <w:rFonts w:cs="Arial"/>
              </w:rPr>
            </w:pPr>
            <w:r>
              <w:rPr>
                <w:rFonts w:cs="Arial"/>
              </w:rPr>
              <w:t>Ei</w:t>
            </w:r>
            <w:r>
              <w:rPr>
                <w:rFonts w:cs="Arial"/>
              </w:rPr>
              <w:t>n</w:t>
            </w:r>
            <w:r>
              <w:rPr>
                <w:rFonts w:cs="Arial"/>
              </w:rPr>
              <w:t>heit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</w:pPr>
          </w:p>
        </w:tc>
        <w:tc>
          <w:tcPr>
            <w:tcW w:w="1843" w:type="dxa"/>
            <w:vMerge/>
          </w:tcPr>
          <w:p>
            <w:pPr>
              <w:pStyle w:val="GesAbsatz"/>
            </w:pPr>
          </w:p>
        </w:tc>
        <w:tc>
          <w:tcPr>
            <w:tcW w:w="1417" w:type="dxa"/>
            <w:vMerge/>
          </w:tcPr>
          <w:p>
            <w:pPr>
              <w:pStyle w:val="GesAbsatz"/>
            </w:pPr>
          </w:p>
        </w:tc>
        <w:tc>
          <w:tcPr>
            <w:tcW w:w="1418" w:type="dxa"/>
          </w:tcPr>
          <w:p>
            <w:pPr>
              <w:pStyle w:val="GesAbsatz"/>
              <w:jc w:val="center"/>
              <w:rPr>
                <w:rFonts w:cs="Arial"/>
              </w:rPr>
            </w:pPr>
            <w:r>
              <w:rPr>
                <w:rFonts w:cs="Arial"/>
              </w:rPr>
              <w:t>Messb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reich 1</w:t>
            </w:r>
          </w:p>
        </w:tc>
        <w:tc>
          <w:tcPr>
            <w:tcW w:w="1417" w:type="dxa"/>
          </w:tcPr>
          <w:p>
            <w:pPr>
              <w:pStyle w:val="GesAbsatz"/>
              <w:jc w:val="center"/>
              <w:rPr>
                <w:rFonts w:cs="Arial"/>
              </w:rPr>
            </w:pPr>
            <w:r>
              <w:rPr>
                <w:rFonts w:cs="Arial"/>
              </w:rPr>
              <w:t>Mess</w:t>
            </w:r>
            <w:r>
              <w:rPr>
                <w:rFonts w:cs="Arial"/>
                <w:spacing w:val="-2"/>
              </w:rPr>
              <w:t>b</w:t>
            </w:r>
            <w:r>
              <w:rPr>
                <w:rFonts w:cs="Arial"/>
                <w:spacing w:val="-2"/>
              </w:rPr>
              <w:t>e</w:t>
            </w:r>
            <w:r>
              <w:rPr>
                <w:rFonts w:cs="Arial"/>
                <w:spacing w:val="-2"/>
              </w:rPr>
              <w:t>reich 2</w:t>
            </w:r>
          </w:p>
        </w:tc>
        <w:tc>
          <w:tcPr>
            <w:tcW w:w="1134" w:type="dxa"/>
            <w:vMerge/>
          </w:tcPr>
          <w:p>
            <w:pPr>
              <w:pStyle w:val="GesAbsatz"/>
            </w:pPr>
          </w:p>
        </w:tc>
      </w:tr>
      <w:tr>
        <w:trPr>
          <w:jc w:val="center"/>
        </w:trPr>
        <w:tc>
          <w:tcPr>
            <w:tcW w:w="1384" w:type="dxa"/>
            <w:vMerge w:val="restart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CO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S800 -UNOR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CO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0-75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0-750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0-3000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  <w:vertAlign w:val="superscript"/>
              </w:rPr>
            </w:pPr>
            <w:r>
              <w:rPr>
                <w:rFonts w:cs="Arial"/>
                <w:spacing w:val="-3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  <w:rPr>
                <w:rFonts w:cs="Arial"/>
              </w:rPr>
            </w:pP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S800 -MULTOR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CO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0-200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0-2000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 w:val="restart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S800 -UNOR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NO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0-100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0-1000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0-2000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5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  <w:rPr>
                <w:rFonts w:cs="Arial"/>
              </w:rPr>
            </w:pP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S800 -MULTOR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NO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0-250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0-2500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4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  <w:rPr>
                <w:rFonts w:cs="Arial"/>
              </w:rPr>
            </w:pP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S800 -DEFOR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NO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0-50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0-1000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0-2000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5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iCs/>
              </w:rPr>
              <w:t>NO</w:t>
            </w:r>
            <w:r>
              <w:rPr>
                <w:rFonts w:cs="Arial"/>
                <w:iCs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–DEFOR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NO</w:t>
            </w:r>
            <w:r>
              <w:rPr>
                <w:rFonts w:cs="Arial"/>
                <w:vertAlign w:val="subscript"/>
                <w:lang w:val="en-GB"/>
              </w:rPr>
              <w:t>2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0-50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0-500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5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NO</w:t>
            </w:r>
            <w:r>
              <w:rPr>
                <w:rFonts w:cs="Arial"/>
                <w:vertAlign w:val="subscript"/>
              </w:rPr>
              <w:t>x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MKAS S800 -UNOR mit Ko</w:t>
            </w:r>
            <w:r>
              <w:rPr>
                <w:rFonts w:cs="Arial"/>
              </w:rPr>
              <w:t>n</w:t>
            </w:r>
            <w:r>
              <w:rPr>
                <w:rFonts w:cs="Arial"/>
              </w:rPr>
              <w:t>verter fü</w:t>
            </w:r>
            <w:r>
              <w:rPr>
                <w:rFonts w:cs="Arial"/>
              </w:rPr>
              <w:t>r</w:t>
            </w:r>
            <w:r>
              <w:rPr>
                <w:rFonts w:cs="Arial"/>
              </w:rPr>
              <w:t xml:space="preserve"> NO</w:t>
            </w:r>
            <w:r>
              <w:rPr>
                <w:rFonts w:cs="Arial"/>
                <w:vertAlign w:val="subscript"/>
              </w:rPr>
              <w:t>x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0-100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0-1000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0-2000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5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 w:val="restart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SO</w:t>
            </w:r>
            <w:r>
              <w:rPr>
                <w:rFonts w:cs="Arial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MKAS S800 -UNOR für SO</w:t>
            </w:r>
            <w:r>
              <w:rPr>
                <w:rFonts w:cs="Arial"/>
                <w:vertAlign w:val="subscript"/>
              </w:rPr>
              <w:t>2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0-75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0-287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0-2000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5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  <w:rPr>
                <w:rFonts w:cs="Arial"/>
              </w:rPr>
            </w:pP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MKAS S800 -MULTOR für SO</w:t>
            </w:r>
            <w:r>
              <w:rPr>
                <w:rFonts w:cs="Arial"/>
                <w:vertAlign w:val="subscript"/>
              </w:rPr>
              <w:t>2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0-250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0-2000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4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  <w:rPr>
                <w:rFonts w:cs="Arial"/>
              </w:rPr>
            </w:pP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MKAS S800 -DEFOR für SO,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0-75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0-287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0-2000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 w:val="restart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lastRenderedPageBreak/>
              <w:t>CH</w:t>
            </w:r>
            <w:r>
              <w:rPr>
                <w:rFonts w:cs="Arial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MKAS S800 -UNOR für CH</w:t>
            </w:r>
            <w:r>
              <w:rPr>
                <w:rFonts w:cs="Arial"/>
                <w:vertAlign w:val="subscript"/>
              </w:rPr>
              <w:t>4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0-50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0-500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  <w:rPr>
                <w:rFonts w:cs="Arial"/>
              </w:rPr>
            </w:pP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MKAS S800 -MULTOR für CH</w:t>
            </w:r>
            <w:r>
              <w:rPr>
                <w:rFonts w:cs="Arial"/>
                <w:sz w:val="18"/>
                <w:szCs w:val="18"/>
                <w:vertAlign w:val="subscript"/>
              </w:rPr>
              <w:t>4</w:t>
            </w:r>
            <w:r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0-286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0-500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5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MKAS S800 -UNOR für N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0-50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0-500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5"/>
              </w:rPr>
              <w:t>mg/m³</w:t>
            </w:r>
          </w:p>
        </w:tc>
      </w:tr>
      <w:tr>
        <w:trPr>
          <w:jc w:val="center"/>
        </w:trPr>
        <w:tc>
          <w:tcPr>
            <w:tcW w:w="1384" w:type="dxa"/>
            <w:vMerge w:val="restart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bCs/>
              </w:rPr>
              <w:t>CO</w:t>
            </w:r>
            <w:r>
              <w:rPr>
                <w:rFonts w:cs="Arial"/>
                <w:b/>
                <w:bCs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S800 -UNOR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CO</w:t>
            </w:r>
            <w:r>
              <w:rPr>
                <w:rFonts w:cs="Arial"/>
                <w:vertAlign w:val="subscript"/>
                <w:lang w:val="en-GB"/>
              </w:rPr>
              <w:t>2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0-25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2"/>
              </w:rPr>
              <w:t>Vol.-%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  <w:rPr>
                <w:rFonts w:cs="Arial"/>
              </w:rPr>
            </w:pP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S800 -MULTOR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CO</w:t>
            </w:r>
            <w:r>
              <w:rPr>
                <w:rFonts w:cs="Arial"/>
                <w:vertAlign w:val="subscript"/>
                <w:lang w:val="en-GB"/>
              </w:rPr>
              <w:t>2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0-25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2"/>
              </w:rPr>
              <w:t>Vol.-%</w:t>
            </w:r>
          </w:p>
        </w:tc>
      </w:tr>
      <w:tr>
        <w:trPr>
          <w:jc w:val="center"/>
        </w:trPr>
        <w:tc>
          <w:tcPr>
            <w:tcW w:w="1384" w:type="dxa"/>
            <w:vMerge w:val="restart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bCs/>
                <w:iCs/>
              </w:rPr>
              <w:t>O</w:t>
            </w:r>
            <w:r>
              <w:rPr>
                <w:rFonts w:cs="Arial"/>
                <w:bCs/>
                <w:iCs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</w:rPr>
            </w:pPr>
            <w:r>
              <w:rPr>
                <w:rFonts w:cs="Arial"/>
              </w:rPr>
              <w:t>MKAS S800 -OXOR-E für O</w:t>
            </w:r>
            <w:r>
              <w:rPr>
                <w:rFonts w:cs="Arial"/>
                <w:vertAlign w:val="subscript"/>
              </w:rPr>
              <w:t>2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0-25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2"/>
              </w:rPr>
              <w:t>Vol.-%</w:t>
            </w:r>
          </w:p>
        </w:tc>
      </w:tr>
      <w:tr>
        <w:trPr>
          <w:jc w:val="center"/>
        </w:trPr>
        <w:tc>
          <w:tcPr>
            <w:tcW w:w="1384" w:type="dxa"/>
            <w:vMerge/>
          </w:tcPr>
          <w:p>
            <w:pPr>
              <w:pStyle w:val="GesAbsatz"/>
              <w:rPr>
                <w:rFonts w:cs="Arial"/>
              </w:rPr>
            </w:pPr>
          </w:p>
        </w:tc>
        <w:tc>
          <w:tcPr>
            <w:tcW w:w="1843" w:type="dxa"/>
          </w:tcPr>
          <w:p>
            <w:pPr>
              <w:pStyle w:val="GesAbsatz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MKAS S800 -OXOR-P </w:t>
            </w:r>
            <w:r>
              <w:rPr>
                <w:rFonts w:cs="Arial"/>
              </w:rPr>
              <w:t>für</w:t>
            </w:r>
            <w:r>
              <w:rPr>
                <w:rFonts w:cs="Arial"/>
                <w:lang w:val="en-GB"/>
              </w:rPr>
              <w:t xml:space="preserve"> O</w:t>
            </w:r>
            <w:r>
              <w:rPr>
                <w:rFonts w:cs="Arial"/>
                <w:vertAlign w:val="subscript"/>
                <w:lang w:val="en-GB"/>
              </w:rPr>
              <w:t>2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0-25</w:t>
            </w:r>
          </w:p>
        </w:tc>
        <w:tc>
          <w:tcPr>
            <w:tcW w:w="1418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417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>
            <w:pPr>
              <w:pStyle w:val="GesAbsatz"/>
              <w:rPr>
                <w:rFonts w:cs="Arial"/>
              </w:rPr>
            </w:pPr>
            <w:r>
              <w:rPr>
                <w:rFonts w:cs="Arial"/>
                <w:spacing w:val="-3"/>
              </w:rPr>
              <w:t>Vol.-%</w:t>
            </w:r>
          </w:p>
        </w:tc>
      </w:tr>
      <w:tr>
        <w:trPr>
          <w:jc w:val="center"/>
        </w:trPr>
        <w:tc>
          <w:tcPr>
            <w:tcW w:w="8613" w:type="dxa"/>
            <w:gridSpan w:val="6"/>
          </w:tcPr>
          <w:p>
            <w:pPr>
              <w:pStyle w:val="GesAbsatz"/>
              <w:rPr>
                <w:rFonts w:cs="Arial"/>
                <w:spacing w:val="-3"/>
                <w:sz w:val="18"/>
                <w:szCs w:val="18"/>
              </w:rPr>
            </w:pPr>
            <w:r>
              <w:rPr>
                <w:rFonts w:cs="Arial"/>
                <w:spacing w:val="-3"/>
                <w:sz w:val="18"/>
                <w:szCs w:val="18"/>
              </w:rPr>
              <w:t>* TA Luft und Feuerungsanlagen</w:t>
            </w:r>
          </w:p>
        </w:tc>
      </w:tr>
    </w:tbl>
    <w:p>
      <w:pPr>
        <w:pStyle w:val="GesAbsatz"/>
      </w:pPr>
    </w:p>
    <w:p>
      <w:pPr>
        <w:pStyle w:val="GesAbsatz"/>
      </w:pPr>
      <w:r>
        <w:t>Softwareversionen:</w:t>
      </w:r>
    </w:p>
    <w:p>
      <w:pPr>
        <w:pStyle w:val="GesAbsatz"/>
      </w:pPr>
      <w:r>
        <w:t>T825_090707_1000</w:t>
      </w:r>
    </w:p>
    <w:p>
      <w:pPr>
        <w:pStyle w:val="GesAbsatz"/>
      </w:pPr>
      <w:r>
        <w:t>PC-Software: Sopas ET 2.20 Build 2766</w:t>
      </w:r>
    </w:p>
    <w:p>
      <w:pPr>
        <w:pStyle w:val="GesAbsatz"/>
      </w:pPr>
      <w:r>
        <w:t>Einschränkungen:</w:t>
      </w:r>
    </w:p>
    <w:p>
      <w:pPr>
        <w:pStyle w:val="GesAbsatz"/>
        <w:ind w:left="426" w:hanging="426"/>
      </w:pPr>
      <w:r>
        <w:t>1.</w:t>
      </w:r>
      <w:r>
        <w:tab/>
        <w:t>Die Funktionsfähigkeit der jeweiligen Zusammenstellung der Module ist im Rahmen der Prüfung des ordnungsgemäßen Einbaus zu prüfen.</w:t>
      </w:r>
    </w:p>
    <w:p>
      <w:pPr>
        <w:pStyle w:val="GesAbsatz"/>
      </w:pPr>
      <w:r>
        <w:t>2.</w:t>
      </w:r>
      <w:r>
        <w:tab/>
        <w:t>Das Wartungsintervall ist im Rahmen der Prüfung des ordnungsgemäßen Einbaus zu bestimmen.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Überprüfung der Nullpunkte ist wöchentlich mit befeuchteter Umgebungsluft für alle Komponenten mit Ausnahme von O</w:t>
      </w:r>
      <w:r>
        <w:rPr>
          <w:vertAlign w:val="subscript"/>
        </w:rPr>
        <w:t>2</w:t>
      </w:r>
      <w:r>
        <w:t xml:space="preserve"> (OXOR-P und OXOR-E) durchzuführen. Eine Automatisierung ist möglich.</w:t>
      </w:r>
    </w:p>
    <w:p>
      <w:pPr>
        <w:pStyle w:val="GesAbsatz"/>
        <w:ind w:left="426" w:hanging="426"/>
      </w:pPr>
      <w:r>
        <w:t>2.</w:t>
      </w:r>
      <w:r>
        <w:tab/>
        <w:t>Die Überprüfung des Referenzpunktes ist wöchentlich mit befeuchteter Umgebungsluft für die Sens</w:t>
      </w:r>
      <w:r>
        <w:t>o</w:t>
      </w:r>
      <w:r>
        <w:t>ren OXOR-P und OXOR-E (O</w:t>
      </w:r>
      <w:r>
        <w:rPr>
          <w:vertAlign w:val="subscript"/>
        </w:rPr>
        <w:t>2</w:t>
      </w:r>
      <w:r>
        <w:t>) durchzuführen. Eine Automatisierung ist möglich.</w:t>
      </w:r>
    </w:p>
    <w:p>
      <w:pPr>
        <w:pStyle w:val="GesAbsatz"/>
        <w:ind w:left="426" w:hanging="426"/>
      </w:pPr>
      <w:r>
        <w:t>3.</w:t>
      </w:r>
      <w:r>
        <w:tab/>
        <w:t>Mit externer Klimatisierungseinheit erfüllt die Messeinrichtung die Mindestanforderungen auch bei einer Umgebungstemperatur von 50 °C.</w:t>
      </w:r>
    </w:p>
    <w:p>
      <w:pPr>
        <w:pStyle w:val="GesAbsatz"/>
        <w:ind w:left="426" w:hanging="426"/>
      </w:pPr>
      <w:r>
        <w:t>4.</w:t>
      </w:r>
      <w:r>
        <w:tab/>
        <w:t>Die Messeinrichtung ist mit dem Kühler Modell MAK10-2 der Fa. AGT Thermotechnik als auch mit dem Modell CSS-V2SK der Fa. M&amp;C eignungsgeprüft worden.</w:t>
      </w:r>
    </w:p>
    <w:p>
      <w:pPr>
        <w:pStyle w:val="GesAbsatz"/>
        <w:ind w:left="426" w:hanging="426"/>
      </w:pPr>
      <w:r>
        <w:t>5.</w:t>
      </w:r>
      <w:r>
        <w:tab/>
        <w:t>Ergänzungsprüfung (Erweiterung um zusätzliche Komponenten, Verlängerung des Wartungsintervalls, Eignung eines Konverters und eines alternativen Kühlermodells) zur Bekanntgabe des Umweltbunde</w:t>
      </w:r>
      <w:r>
        <w:t>s</w:t>
      </w:r>
      <w:r>
        <w:t>amtes vom 25. Januar 2010 (BAnz. S. 553).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936/21211670/B vom 26. März 2010</w:t>
      </w:r>
    </w:p>
    <w:p>
      <w:pPr>
        <w:pStyle w:val="berschrift2"/>
      </w:pPr>
      <w:bookmarkStart w:id="3" w:name="_Toc269284318"/>
      <w:r>
        <w:t>II.</w:t>
      </w:r>
      <w:r>
        <w:br/>
        <w:t>Eignung von Messeinrichtungen</w:t>
      </w:r>
      <w:r>
        <w:br/>
        <w:t>zur kontinuierlichen Überwachung von Immissi</w:t>
      </w:r>
      <w:r>
        <w:t>o</w:t>
      </w:r>
      <w:r>
        <w:t>nen</w:t>
      </w:r>
      <w:bookmarkEnd w:id="3"/>
    </w:p>
    <w:p>
      <w:pPr>
        <w:pStyle w:val="GesAbsatz"/>
      </w:pPr>
      <w:r>
        <w:t>Unter Bezugnahme auf die Nummer 3.2 der Bekanntmachung der für die Durchführung der Richtl</w:t>
      </w:r>
      <w:r>
        <w:t>i</w:t>
      </w:r>
      <w:r>
        <w:t>nie 96/62/EG des Rates vom 27. September 1996 über die Beurteilung und Kontrolle der Luftqualität zustä</w:t>
      </w:r>
      <w:r>
        <w:t>n</w:t>
      </w:r>
      <w:r>
        <w:t>digen Stellen vom 1. Oktober 1998 (BAnz. S. 15126) wird im Auftrag des BMU die Eignung der folgenden Messei</w:t>
      </w:r>
      <w:r>
        <w:t>n</w:t>
      </w:r>
      <w:r>
        <w:t>richtung bekannt gegeben:</w:t>
      </w:r>
    </w:p>
    <w:p>
      <w:pPr>
        <w:pStyle w:val="GesAbsatz"/>
        <w:rPr>
          <w:b/>
        </w:rPr>
      </w:pPr>
      <w:r>
        <w:rPr>
          <w:b/>
        </w:rPr>
        <w:t>1 Schwebstaub (PM</w:t>
      </w:r>
      <w:r>
        <w:rPr>
          <w:b/>
          <w:vertAlign w:val="subscript"/>
        </w:rPr>
        <w:t>2,5</w:t>
      </w:r>
      <w:r>
        <w:rPr>
          <w:b/>
        </w:rPr>
        <w:t>-Fraktion)</w:t>
      </w:r>
    </w:p>
    <w:p>
      <w:pPr>
        <w:pStyle w:val="GesAbsatz"/>
      </w:pPr>
      <w:r>
        <w:t>1.1 BAM 1020 mit PM</w:t>
      </w:r>
      <w:r>
        <w:rPr>
          <w:vertAlign w:val="subscript"/>
        </w:rPr>
        <w:t>2,5</w:t>
      </w:r>
      <w:r>
        <w:t>-Vorabscheider</w:t>
      </w:r>
    </w:p>
    <w:p>
      <w:pPr>
        <w:pStyle w:val="GesAbsatz"/>
      </w:pPr>
      <w:r>
        <w:lastRenderedPageBreak/>
        <w:t>He</w:t>
      </w:r>
      <w:r>
        <w:t>r</w:t>
      </w:r>
      <w:r>
        <w:t>steller:</w:t>
      </w:r>
    </w:p>
    <w:p>
      <w:pPr>
        <w:pStyle w:val="GesAbsatz"/>
        <w:rPr>
          <w:lang w:val="en-GB"/>
        </w:rPr>
      </w:pPr>
      <w:r>
        <w:rPr>
          <w:lang w:val="en-GB"/>
        </w:rPr>
        <w:t xml:space="preserve">Met One Instruments, Inc.,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Grants Pass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>
            <w:rPr>
              <w:lang w:val="en-GB"/>
            </w:rPr>
            <w:t>USA</w:t>
          </w:r>
        </w:smartTag>
      </w:smartTag>
    </w:p>
    <w:p>
      <w:pPr>
        <w:pStyle w:val="GesAbsatz"/>
      </w:pPr>
      <w:r>
        <w:t>Eignung:</w:t>
      </w:r>
    </w:p>
    <w:p>
      <w:pPr>
        <w:pStyle w:val="GesAbsatz"/>
      </w:pPr>
      <w:r>
        <w:t>Zur kontinuierlichen Immissionsmessung der PM</w:t>
      </w:r>
      <w:r>
        <w:rPr>
          <w:vertAlign w:val="subscript"/>
        </w:rPr>
        <w:t>2,5</w:t>
      </w:r>
      <w:r>
        <w:t>-Fraktion im Schwebstaub im stationären Einsatz</w:t>
      </w:r>
    </w:p>
    <w:p>
      <w:pPr>
        <w:pStyle w:val="GesAbsatz"/>
      </w:pPr>
      <w:r>
        <w:t>Messbereich in der Eignungsprüfung:</w:t>
      </w:r>
    </w:p>
    <w:p>
      <w:pPr>
        <w:pStyle w:val="GesAbsatz"/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1526"/>
        <w:gridCol w:w="2268"/>
        <w:gridCol w:w="2445"/>
        <w:gridCol w:w="1099"/>
      </w:tblGrid>
      <w:tr>
        <w:trPr>
          <w:jc w:val="center"/>
        </w:trPr>
        <w:tc>
          <w:tcPr>
            <w:tcW w:w="1526" w:type="dxa"/>
          </w:tcPr>
          <w:p>
            <w:pPr>
              <w:pStyle w:val="GesAbsatz"/>
            </w:pPr>
            <w:r>
              <w:t>Komponente</w:t>
            </w:r>
          </w:p>
        </w:tc>
        <w:tc>
          <w:tcPr>
            <w:tcW w:w="2268" w:type="dxa"/>
          </w:tcPr>
          <w:p>
            <w:pPr>
              <w:pStyle w:val="GesAbsatz"/>
            </w:pPr>
            <w:r>
              <w:t>Zertifizierungsbereich</w:t>
            </w:r>
          </w:p>
        </w:tc>
        <w:tc>
          <w:tcPr>
            <w:tcW w:w="2445" w:type="dxa"/>
          </w:tcPr>
          <w:p>
            <w:pPr>
              <w:pStyle w:val="GesAbsatz"/>
            </w:pPr>
            <w:r>
              <w:t>zusätzlicher Messbereich</w:t>
            </w:r>
          </w:p>
        </w:tc>
        <w:tc>
          <w:tcPr>
            <w:tcW w:w="1099" w:type="dxa"/>
          </w:tcPr>
          <w:p>
            <w:pPr>
              <w:pStyle w:val="GesAbsatz"/>
            </w:pPr>
            <w:r>
              <w:t>Einheit</w:t>
            </w:r>
          </w:p>
        </w:tc>
      </w:tr>
      <w:tr>
        <w:trPr>
          <w:jc w:val="center"/>
        </w:trPr>
        <w:tc>
          <w:tcPr>
            <w:tcW w:w="1526" w:type="dxa"/>
          </w:tcPr>
          <w:p>
            <w:pPr>
              <w:pStyle w:val="GesAbsatz"/>
            </w:pPr>
            <w:r>
              <w:t>PM</w:t>
            </w:r>
            <w:r>
              <w:rPr>
                <w:vertAlign w:val="subscript"/>
              </w:rPr>
              <w:t>2,5</w:t>
            </w:r>
          </w:p>
        </w:tc>
        <w:tc>
          <w:tcPr>
            <w:tcW w:w="2268" w:type="dxa"/>
          </w:tcPr>
          <w:p>
            <w:pPr>
              <w:pStyle w:val="GesAbsatz"/>
            </w:pPr>
            <w:r>
              <w:t>0-1000</w:t>
            </w:r>
          </w:p>
        </w:tc>
        <w:tc>
          <w:tcPr>
            <w:tcW w:w="2445" w:type="dxa"/>
          </w:tcPr>
          <w:p>
            <w:pPr>
              <w:pStyle w:val="GesAbsatz"/>
            </w:pPr>
            <w:r>
              <w:t>-</w:t>
            </w:r>
          </w:p>
        </w:tc>
        <w:tc>
          <w:tcPr>
            <w:tcW w:w="1099" w:type="dxa"/>
          </w:tcPr>
          <w:p>
            <w:pPr>
              <w:pStyle w:val="GesAbsatz"/>
            </w:pPr>
            <w:r>
              <w:t>µg/m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pStyle w:val="GesAbsatz"/>
      </w:pPr>
    </w:p>
    <w:p>
      <w:pPr>
        <w:pStyle w:val="GesAbsatz"/>
      </w:pPr>
      <w:r>
        <w:t>Softwareversion: Version 3236-07 5.0.10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Bei der Überprüfung der Dichtheit des Probenahmesystems wurden in der Eignungsprüfung die Werte 1,8 % und 2,4 % ermittelt. In der Mindestanforderung darf die Undichtigkeit nicht mehr als 1 % vom durchg</w:t>
      </w:r>
      <w:r>
        <w:t>e</w:t>
      </w:r>
      <w:r>
        <w:t>saugten Probevolumen betragen.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Anforderungen gemäß des Leitfadens „Demonstration of Equivalence of Ambient Air Monitoring Methods" werden für die Messkomponente PM</w:t>
      </w:r>
      <w:r>
        <w:rPr>
          <w:vertAlign w:val="subscript"/>
        </w:rPr>
        <w:t>2,5</w:t>
      </w:r>
      <w:r>
        <w:t xml:space="preserve"> eingehalten.</w:t>
      </w:r>
    </w:p>
    <w:p>
      <w:pPr>
        <w:pStyle w:val="GesAbsatz"/>
      </w:pPr>
      <w:r>
        <w:t>2.</w:t>
      </w:r>
      <w:r>
        <w:tab/>
        <w:t>Das Gerät ist zur Erfassung von PM</w:t>
      </w:r>
      <w:r>
        <w:rPr>
          <w:vertAlign w:val="subscript"/>
        </w:rPr>
        <w:t>2,5</w:t>
      </w:r>
      <w:r>
        <w:t xml:space="preserve"> mit folgenden Optionen auszustatten:</w:t>
      </w:r>
    </w:p>
    <w:p>
      <w:pPr>
        <w:pStyle w:val="GesAbsatz"/>
        <w:ind w:left="426"/>
      </w:pPr>
      <w:r>
        <w:t>Probenahmeheizung (BX-830), PM</w:t>
      </w:r>
      <w:r>
        <w:rPr>
          <w:vertAlign w:val="subscript"/>
        </w:rPr>
        <w:t>10</w:t>
      </w:r>
      <w:r>
        <w:t>-Probenahmekopf (BX-802), PM</w:t>
      </w:r>
      <w:r>
        <w:rPr>
          <w:vertAlign w:val="subscript"/>
        </w:rPr>
        <w:t>2,5</w:t>
      </w:r>
      <w:r>
        <w:t xml:space="preserve"> Sharp Cut Cyclone SCC (BX-807), kombinierter Druck- und Temperatursensor (BX-596) bzw. alternativ Umgebungstemperatursensor (BX-592).</w:t>
      </w:r>
    </w:p>
    <w:p>
      <w:pPr>
        <w:pStyle w:val="GesAbsatz"/>
        <w:ind w:left="426" w:hanging="426"/>
      </w:pPr>
      <w:r>
        <w:t>3.</w:t>
      </w:r>
      <w:r>
        <w:tab/>
        <w:t>Die Zykluszeit während der Eignungsprüfung betrug 1 h, d.h. jede Stunde wurde ein automatischer Fi</w:t>
      </w:r>
      <w:r>
        <w:t>l</w:t>
      </w:r>
      <w:r>
        <w:t>terwechsel durchgeführt. Jeder Filterfleck wurde nur einmal beprobt.</w:t>
      </w:r>
    </w:p>
    <w:p>
      <w:pPr>
        <w:pStyle w:val="GesAbsatz"/>
      </w:pPr>
      <w:r>
        <w:t>4.</w:t>
      </w:r>
      <w:r>
        <w:tab/>
        <w:t>Die Probenahmezeit innerhalb der Zykluszeit beträgt 42 min.</w:t>
      </w:r>
    </w:p>
    <w:p>
      <w:pPr>
        <w:pStyle w:val="GesAbsatz"/>
      </w:pPr>
      <w:r>
        <w:t>5.</w:t>
      </w:r>
      <w:r>
        <w:tab/>
        <w:t>Die Messeinrichtung ist in einem verschließbaren Messcontainer zu betreiben.</w:t>
      </w:r>
    </w:p>
    <w:p>
      <w:pPr>
        <w:pStyle w:val="GesAbsatz"/>
        <w:ind w:left="426" w:hanging="426"/>
      </w:pPr>
      <w:r>
        <w:t>6.</w:t>
      </w:r>
      <w:r>
        <w:tab/>
        <w:t>Die Messeinrichtung ist mit dem gravimetrischen PM</w:t>
      </w:r>
      <w:r>
        <w:rPr>
          <w:vertAlign w:val="subscript"/>
        </w:rPr>
        <w:t>2,5</w:t>
      </w:r>
      <w:r>
        <w:t>-Referenzverfahren nach DIN EN 14907 rege</w:t>
      </w:r>
      <w:r>
        <w:t>l</w:t>
      </w:r>
      <w:r>
        <w:t>mäßig am Standort zu kalibrieren.</w:t>
      </w:r>
    </w:p>
    <w:p>
      <w:pPr>
        <w:pStyle w:val="GesAbsatz"/>
        <w:ind w:left="426" w:hanging="426"/>
      </w:pPr>
      <w:r>
        <w:t>7.</w:t>
      </w:r>
      <w:r>
        <w:tab/>
        <w:t>Die Messeinrichtung wird baugleich von der Firma Horiba Europe GmbH, 61440 Oberursel unter dem Namen APDA-371 mit PM</w:t>
      </w:r>
      <w:r>
        <w:rPr>
          <w:vertAlign w:val="subscript"/>
        </w:rPr>
        <w:t>2,5</w:t>
      </w:r>
      <w:r>
        <w:t>-Vorabscheider vertrieben.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Rheinland Immissionsschutz und Energiesysteme GmbH, Köln</w:t>
      </w:r>
    </w:p>
    <w:p>
      <w:pPr>
        <w:pStyle w:val="GesAbsatz"/>
      </w:pPr>
      <w:r>
        <w:t>Bericht-Nr.: 936/21209919/A vom 26. März 2010</w:t>
      </w:r>
    </w:p>
    <w:p>
      <w:pPr>
        <w:pStyle w:val="berschrift2"/>
      </w:pPr>
      <w:bookmarkStart w:id="4" w:name="_Toc269284319"/>
      <w:r>
        <w:t>III.</w:t>
      </w:r>
      <w:r>
        <w:br/>
        <w:t>Mitteilungen zur bundeseinheitlichen Praxis bei der Überwachung</w:t>
      </w:r>
      <w:r>
        <w:br/>
        <w:t>von Emissi</w:t>
      </w:r>
      <w:r>
        <w:t>o</w:t>
      </w:r>
      <w:r>
        <w:t>nen und Immissionen</w:t>
      </w:r>
      <w:bookmarkEnd w:id="4"/>
    </w:p>
    <w:p>
      <w:pPr>
        <w:pStyle w:val="GesAbsatz"/>
        <w:rPr>
          <w:b/>
        </w:rPr>
      </w:pPr>
      <w:r>
        <w:rPr>
          <w:b/>
        </w:rPr>
        <w:t>1 Mitteilung zum Rundschreiben des BMU vom 5. Oktober 1999 -IG I 3 - 51134/2 - (GMBl. 1999 S. 720) und zur Bekanntmachung des Umweltbundesamtes vom 3. August 2009 (BAnz. S. 2936)</w:t>
      </w:r>
    </w:p>
    <w:p>
      <w:pPr>
        <w:pStyle w:val="GesAbsatz"/>
      </w:pPr>
      <w:r>
        <w:t>Die aktuelle Softwareversion der Messeinrichtung MCS 100E HW der Firma SICK MAIHAK GmbH lautet:</w:t>
      </w:r>
    </w:p>
    <w:p>
      <w:pPr>
        <w:pStyle w:val="GesAbsatz"/>
        <w:jc w:val="center"/>
      </w:pPr>
      <w:r>
        <w:t>Version: 1.43</w:t>
      </w:r>
    </w:p>
    <w:p>
      <w:pPr>
        <w:pStyle w:val="GesAbsatz"/>
      </w:pPr>
      <w:r>
        <w:t>Stellungnahme der TÜV Rheinland Immissionsschutz und Energiesysteme GmbH vom 25. Januar 2010</w:t>
      </w:r>
    </w:p>
    <w:p>
      <w:pPr>
        <w:pStyle w:val="GesAbsatz"/>
        <w:rPr>
          <w:b/>
        </w:rPr>
      </w:pPr>
      <w:r>
        <w:rPr>
          <w:b/>
        </w:rPr>
        <w:t>2 Mitteilung zu Bekanntmachungen des Umweltbundesamtes vom 12. April 2007 (BAnz. S. 4139) und vom 25. Januar 2010 (BAnz. S. 555)</w:t>
      </w:r>
    </w:p>
    <w:p>
      <w:pPr>
        <w:pStyle w:val="GesAbsatz"/>
      </w:pPr>
      <w:r>
        <w:t>Die aktuelle Softwareversion der Immissionsmesseinrichtung BAM-1020 mit PM</w:t>
      </w:r>
      <w:r>
        <w:rPr>
          <w:vertAlign w:val="subscript"/>
        </w:rPr>
        <w:t>10</w:t>
      </w:r>
      <w:r>
        <w:t>-Vorabscheider der Firma Met One Instruments lautet:</w:t>
      </w:r>
    </w:p>
    <w:p>
      <w:pPr>
        <w:pStyle w:val="GesAbsatz"/>
        <w:jc w:val="center"/>
      </w:pPr>
      <w:r>
        <w:lastRenderedPageBreak/>
        <w:t>Version 3236-07 V5.0.10</w:t>
      </w:r>
    </w:p>
    <w:p>
      <w:pPr>
        <w:pStyle w:val="GesAbsatz"/>
      </w:pPr>
      <w:r>
        <w:t>Stellungnahme der TÜV Rheinland Immissionsschutz und Energiesysteme GmbH vom 16. März 2010</w:t>
      </w:r>
    </w:p>
    <w:p>
      <w:pPr>
        <w:pStyle w:val="GesAbsatz"/>
        <w:rPr>
          <w:b/>
        </w:rPr>
      </w:pPr>
      <w:r>
        <w:rPr>
          <w:b/>
        </w:rPr>
        <w:t>3 Mitteilung zu Bekanntmachungen des Umweltbundesamtes vom 12. April 2007 (BAnz. S. 4139) und vom 3. August 2009 (BAnz. S. 2936)</w:t>
      </w:r>
    </w:p>
    <w:p>
      <w:pPr>
        <w:pStyle w:val="GesAbsatz"/>
      </w:pPr>
      <w:r>
        <w:t>Die aktuelle Softwareversion der Immissionsmesseinrichtung Modell 5030 SHARP MONITOR für Schwe</w:t>
      </w:r>
      <w:r>
        <w:t>b</w:t>
      </w:r>
      <w:r>
        <w:t>staub PM</w:t>
      </w:r>
      <w:r>
        <w:rPr>
          <w:vertAlign w:val="subscript"/>
        </w:rPr>
        <w:t>10</w:t>
      </w:r>
      <w:r>
        <w:t xml:space="preserve"> und PM</w:t>
      </w:r>
      <w:r>
        <w:rPr>
          <w:vertAlign w:val="subscript"/>
        </w:rPr>
        <w:t>2,5</w:t>
      </w:r>
      <w:r>
        <w:t xml:space="preserve"> der Firma Thermo Fisher Scientific lautet:</w:t>
      </w:r>
    </w:p>
    <w:p>
      <w:pPr>
        <w:pStyle w:val="GesAbsatz"/>
        <w:jc w:val="center"/>
      </w:pPr>
      <w:r>
        <w:t>v1.18</w:t>
      </w:r>
    </w:p>
    <w:p>
      <w:pPr>
        <w:pStyle w:val="GesAbsatz"/>
      </w:pPr>
      <w:r>
        <w:t>Stellungnahme der TÜV Rheinland Immissionsschutz und Energiesysteme GmbH vom 16. März 2010</w:t>
      </w:r>
    </w:p>
    <w:p>
      <w:pPr>
        <w:pStyle w:val="GesAbsatz"/>
        <w:rPr>
          <w:b/>
        </w:rPr>
      </w:pPr>
      <w:r>
        <w:rPr>
          <w:b/>
        </w:rPr>
        <w:t>4 Mitteilung zu Bekanntmachungen des Umweltbundesamtes vom 21. Februar 2006 (BAnz. S. 2655) und vom 3. August 2009 (BAnz. S. 2936)</w:t>
      </w:r>
    </w:p>
    <w:p>
      <w:pPr>
        <w:pStyle w:val="GesAbsatz"/>
      </w:pPr>
      <w:r>
        <w:t>Die aktuelle Softwareversion der Immissionsmesseinrichtung 42i der Firma Thermo Fisher Scientific lautet:</w:t>
      </w:r>
    </w:p>
    <w:p>
      <w:pPr>
        <w:pStyle w:val="GesAbsatz"/>
        <w:jc w:val="center"/>
      </w:pPr>
      <w:r>
        <w:t>V 01.06.02 (108957-00)</w:t>
      </w:r>
    </w:p>
    <w:p>
      <w:pPr>
        <w:pStyle w:val="GesAbsatz"/>
      </w:pPr>
      <w:r>
        <w:t>Die Immissionsmesseinrichtung 42i der Firma Thermo Fisher Scientific kann jetzt auch mit einer Messga</w:t>
      </w:r>
      <w:r>
        <w:t>s</w:t>
      </w:r>
      <w:r>
        <w:t>pumpe vom Typ PU1961-N811-3.07 der Firma KNF betrieben werden.</w:t>
      </w:r>
    </w:p>
    <w:p>
      <w:pPr>
        <w:pStyle w:val="GesAbsatz"/>
      </w:pPr>
      <w:r>
        <w:t>Stellungnahme der TÜV Rheinland Immissionsschutz und Energiesysteme GmbH vom 23. März 2010</w:t>
      </w:r>
    </w:p>
    <w:p>
      <w:pPr>
        <w:pStyle w:val="GesAbsatz"/>
        <w:rPr>
          <w:b/>
        </w:rPr>
      </w:pPr>
      <w:r>
        <w:rPr>
          <w:b/>
        </w:rPr>
        <w:t>5 Mitteilung zu Bekanntmachungen des Umweltbundesamtes vom 12. September 2006 (BAnz. S. 6717) und vom 3. August 2009 (BAnz. S. 2936)</w:t>
      </w:r>
    </w:p>
    <w:p>
      <w:pPr>
        <w:pStyle w:val="GesAbsatz"/>
      </w:pPr>
      <w:r>
        <w:t>Die Immissionsmesseinrichtung 43i der Firma Thermo Fisher Scientific kann jetzt auch mit einer Messga</w:t>
      </w:r>
      <w:r>
        <w:t>s</w:t>
      </w:r>
      <w:r>
        <w:t>pumpe vom Typ PU1959-N86-3.07 der Firma KNF betrieben werden.</w:t>
      </w:r>
    </w:p>
    <w:p>
      <w:pPr>
        <w:pStyle w:val="GesAbsatz"/>
      </w:pPr>
      <w:r>
        <w:t>Stellungnahme der TÜV Rheinland Immissionsschutz und Energiesysteme GmbH vom 23. März 2010</w:t>
      </w:r>
    </w:p>
    <w:p>
      <w:pPr>
        <w:pStyle w:val="GesAbsatz"/>
        <w:rPr>
          <w:b/>
        </w:rPr>
      </w:pPr>
      <w:r>
        <w:rPr>
          <w:b/>
        </w:rPr>
        <w:t>6 Mitteilung zu Bekanntmachungen des Umweltbundesamtes vom 21. Februar 2006 (BAnz. S. 2655) und vom 3. August 2009 (BAnz. S. 2936)</w:t>
      </w:r>
    </w:p>
    <w:p>
      <w:pPr>
        <w:pStyle w:val="GesAbsatz"/>
      </w:pPr>
      <w:r>
        <w:t>Die Immissionsmesseinrichtung 48i der Firma Thermo Fisher Scientific kann jetzt auch mit einer Messga</w:t>
      </w:r>
      <w:r>
        <w:t>s</w:t>
      </w:r>
      <w:r>
        <w:t>pumpe vom Typ PU1959-N86-3.07 der Firma KNF betrieben werden.</w:t>
      </w:r>
    </w:p>
    <w:p>
      <w:pPr>
        <w:pStyle w:val="GesAbsatz"/>
      </w:pPr>
      <w:r>
        <w:t>Stellungnahme der TÜV Rheinland Immissionsschutz und Energiesysteme GmbH vom 23. März 2010</w:t>
      </w:r>
    </w:p>
    <w:p>
      <w:pPr>
        <w:pStyle w:val="GesAbsatz"/>
        <w:rPr>
          <w:b/>
        </w:rPr>
      </w:pPr>
      <w:r>
        <w:rPr>
          <w:b/>
        </w:rPr>
        <w:t>7 Mitteilung zu Bekanntmachungen des Umweltbundesamtes vom 21. Februar 2006 (BAnz. S. 2655) und vom 3. August 2009 (BAnz. S. 2936)</w:t>
      </w:r>
    </w:p>
    <w:p>
      <w:pPr>
        <w:pStyle w:val="GesAbsatz"/>
      </w:pPr>
      <w:r>
        <w:t>Die Immissionsmesseinrichtung 49i der Firma Thermo Fisher Scientific kann jetzt auch mit einer Messga</w:t>
      </w:r>
      <w:r>
        <w:t>s</w:t>
      </w:r>
      <w:r>
        <w:t>pumpe vom Typ PU1959-N86-3.07 der Firma KNF betrieben werden.</w:t>
      </w:r>
    </w:p>
    <w:p>
      <w:pPr>
        <w:pStyle w:val="GesAbsatz"/>
      </w:pPr>
      <w:r>
        <w:t>Stellungnahme der TÜV Rheinland Immissionsschutz und Energiesysteme GmbH vom 23. März 2010</w:t>
      </w:r>
    </w:p>
    <w:p>
      <w:pPr>
        <w:pStyle w:val="GesAbsatz"/>
        <w:rPr>
          <w:b/>
        </w:rPr>
      </w:pPr>
      <w:r>
        <w:rPr>
          <w:b/>
        </w:rPr>
        <w:t>8 Mitteilung zu Bekanntmachungen des Umweltbundesamtes vom 12. April 2007 (BAnz. S. 4139) und vom 25. Januar 2010 (BAnz. S. 555)</w:t>
      </w:r>
    </w:p>
    <w:p>
      <w:pPr>
        <w:pStyle w:val="GesAbsatz"/>
      </w:pPr>
      <w:r>
        <w:t>Die Immissionsmesseinrichtung APDA-371 der Firma Horiba Europe GmbH, 61440 Oberursel wird ab s</w:t>
      </w:r>
      <w:r>
        <w:t>o</w:t>
      </w:r>
      <w:r>
        <w:t>fort nur noch unter dem Namen APDA-371 mit PM</w:t>
      </w:r>
      <w:r>
        <w:rPr>
          <w:vertAlign w:val="subscript"/>
        </w:rPr>
        <w:t>10</w:t>
      </w:r>
      <w:r>
        <w:t>-Vorabscheider vertrieben.</w:t>
      </w:r>
    </w:p>
    <w:p>
      <w:pPr>
        <w:pStyle w:val="GesAbsatz"/>
      </w:pPr>
      <w:r>
        <w:t>Stellungnahme der TÜV Rheinland Immissionsschutz und Energiesysteme GmbH vom 10. Mai 2010</w:t>
      </w: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639"/>
        <w:tab w:val="right" w:pos="9498"/>
      </w:tabs>
      <w:ind w:right="140"/>
    </w:pPr>
    <w:r>
      <w:tab/>
      <w:t>Stand 12.07.2010 (BAnz. Nr. 111 v. 28.07.2010 S. 2597)</w:t>
    </w:r>
    <w:r>
      <w:tab/>
      <w:t>Se</w:t>
    </w:r>
    <w:r>
      <w:t>i</w:t>
    </w:r>
    <w:r>
      <w:t xml:space="preserve">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before="0"/>
      <w:rPr>
        <w:b/>
        <w:sz w:val="24"/>
      </w:rPr>
    </w:pPr>
    <w:r>
      <w:rPr>
        <w:b/>
        <w:sz w:val="24"/>
      </w:rPr>
      <w:t>61.4-57</w:t>
    </w:r>
  </w:p>
  <w:p>
    <w:pPr>
      <w:pStyle w:val="Kopfzeile"/>
      <w:spacing w:before="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13DDBD-556C-43F8-9946-13994CB3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qFormat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  <w:jc w:val="right"/>
    </w:pPr>
  </w:style>
  <w:style w:type="paragraph" w:styleId="Fuzeile">
    <w:name w:val="footer"/>
    <w:basedOn w:val="Standar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</w:tabs>
      <w:spacing w:before="0" w:after="0"/>
      <w:ind w:left="20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</w:tabs>
      <w:spacing w:before="0" w:after="0"/>
      <w:ind w:left="400"/>
      <w:jc w:val="left"/>
    </w:pPr>
    <w:rPr>
      <w:rFonts w:ascii="Times New Roman" w:hAnsi="Times New Roman"/>
      <w:i/>
      <w:iCs/>
    </w:rPr>
  </w:style>
  <w:style w:type="paragraph" w:styleId="Funotentext">
    <w:name w:val="footnote text"/>
    <w:basedOn w:val="Standar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bCs/>
      <w:i w:val="0"/>
      <w:iCs w:val="0"/>
      <w:caps/>
    </w:rPr>
  </w:style>
  <w:style w:type="paragraph" w:customStyle="1" w:styleId="GesAbsatz">
    <w:name w:val="GesAbsatz"/>
    <w:basedOn w:val="Standard"/>
    <w:pPr>
      <w:tabs>
        <w:tab w:val="left" w:pos="425"/>
      </w:tabs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</w:tabs>
      <w:spacing w:before="0" w:after="0"/>
      <w:ind w:left="600"/>
      <w:jc w:val="left"/>
    </w:pPr>
    <w:rPr>
      <w:rFonts w:ascii="Times New Roman" w:hAnsi="Times New Roman"/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</w:tabs>
      <w:spacing w:before="0"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</w:tabs>
      <w:spacing w:before="0"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</w:tabs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</w:tabs>
      <w:spacing w:before="0"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</w:tabs>
      <w:spacing w:before="0"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-Einstellungen\natrop\Anwendungsdaten\Microsoft\Vorlagen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6</Pages>
  <Words>1785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ekanntmachung über die bundeseinheitliche Praxis bei der Überwachung der Emissionen und der Immissionen</vt:lpstr>
    </vt:vector>
  </TitlesOfParts>
  <Manager/>
  <Company>LANUV NRW</Company>
  <LinksUpToDate>false</LinksUpToDate>
  <CharactersWithSpaces>12876</CharactersWithSpaces>
  <SharedDoc>false</SharedDoc>
  <HLinks>
    <vt:vector size="24" baseType="variant"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_Toc269284319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_Toc269284318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_Toc269284317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_Toc269284316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ekanntmachung über die bundeseinheitliche Praxis bei der Überwachung der Emissionen und der Immissionen</dc:title>
  <dc:subject/>
  <dc:creator>Np</dc:creator>
  <cp:keywords/>
  <dc:description/>
  <cp:lastModifiedBy>Rüter, Dr., Ingo</cp:lastModifiedBy>
  <cp:revision>2</cp:revision>
  <cp:lastPrinted>2004-12-14T12:08:00Z</cp:lastPrinted>
  <dcterms:created xsi:type="dcterms:W3CDTF">2024-07-18T07:10:00Z</dcterms:created>
  <dcterms:modified xsi:type="dcterms:W3CDTF">2024-07-18T07:10:00Z</dcterms:modified>
</cp:coreProperties>
</file>