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Toc254698272"/>
      <w:bookmarkStart w:id="1" w:name="_Toc254938568"/>
      <w:bookmarkStart w:id="2" w:name="_GoBack"/>
      <w:bookmarkEnd w:id="2"/>
      <w:r>
        <w:t xml:space="preserve">Bekanntmachung über die bundeseinheitliche Praxis bei der </w:t>
      </w:r>
      <w:r>
        <w:br/>
        <w:t>Überw</w:t>
      </w:r>
      <w:r>
        <w:t>a</w:t>
      </w:r>
      <w:r>
        <w:t>chung der Emissionen und der Immissionen</w:t>
      </w:r>
      <w:bookmarkEnd w:id="0"/>
      <w:bookmarkEnd w:id="1"/>
    </w:p>
    <w:p>
      <w:pPr>
        <w:pStyle w:val="GesAbsatz"/>
        <w:jc w:val="center"/>
      </w:pPr>
      <w:r>
        <w:t>vom 25. Januar 2010</w:t>
      </w:r>
    </w:p>
    <w:p>
      <w:pPr>
        <w:pStyle w:val="GesAbsatz"/>
        <w:jc w:val="center"/>
        <w:rPr>
          <w:b/>
        </w:rPr>
      </w:pPr>
    </w:p>
    <w:p>
      <w:pPr>
        <w:pStyle w:val="GesAbsatz"/>
        <w:jc w:val="center"/>
        <w:rPr>
          <w:b/>
          <w:snapToGrid w:val="0"/>
          <w:sz w:val="22"/>
        </w:rPr>
      </w:pPr>
      <w:r>
        <w:rPr>
          <w:b/>
          <w:snapToGrid w:val="0"/>
          <w:sz w:val="22"/>
        </w:rPr>
        <w:t>Inhalt:</w:t>
      </w:r>
    </w:p>
    <w:p>
      <w:pPr>
        <w:pStyle w:val="Verzeichnis1"/>
        <w:tabs>
          <w:tab w:val="right" w:leader="dot" w:pos="9628"/>
        </w:tabs>
        <w:rPr>
          <w:b w:val="0"/>
          <w:bCs w:val="0"/>
          <w:caps w:val="0"/>
          <w:noProof/>
          <w:sz w:val="24"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54938568" w:history="1">
        <w:r>
          <w:rPr>
            <w:rStyle w:val="Hyperlink"/>
            <w:noProof/>
          </w:rPr>
          <w:t>Bekanntmachung über die bundeseinheitliche Praxis bei der  Überwachung der Emissionen und der Immissionen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_Toc254938568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tabs>
          <w:tab w:val="right" w:leader="dot" w:pos="9628"/>
        </w:tabs>
        <w:rPr>
          <w:smallCaps w:val="0"/>
          <w:noProof/>
          <w:sz w:val="24"/>
          <w:szCs w:val="24"/>
        </w:rPr>
      </w:pPr>
      <w:hyperlink w:anchor="_Toc254938569" w:history="1">
        <w:r>
          <w:rPr>
            <w:rStyle w:val="Hyperlink"/>
            <w:noProof/>
          </w:rPr>
          <w:t>I.  Eignung von Messeinrichtungen zur kontinuierlichen Überwachung von Emissionen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_Toc254938569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8"/>
        </w:tabs>
        <w:rPr>
          <w:i w:val="0"/>
          <w:iCs w:val="0"/>
          <w:noProof/>
          <w:sz w:val="24"/>
          <w:szCs w:val="24"/>
        </w:rPr>
      </w:pPr>
      <w:hyperlink w:anchor="_Toc254938570" w:history="1">
        <w:r>
          <w:rPr>
            <w:rStyle w:val="Hyperlink"/>
            <w:noProof/>
          </w:rPr>
          <w:t>1 Mehrkomponentenmesseinrichtungen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_Toc254938570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tabs>
          <w:tab w:val="right" w:leader="dot" w:pos="9628"/>
        </w:tabs>
        <w:rPr>
          <w:smallCaps w:val="0"/>
          <w:noProof/>
          <w:sz w:val="24"/>
          <w:szCs w:val="24"/>
        </w:rPr>
      </w:pPr>
      <w:hyperlink w:anchor="_Toc254938571" w:history="1">
        <w:r>
          <w:rPr>
            <w:rStyle w:val="Hyperlink"/>
            <w:noProof/>
          </w:rPr>
          <w:t>II. Eignung für Messeinrichtungen zur kontinuierlichen Messung von Bezugsgrößen/Betriebsgrößen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_Toc254938571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left" w:pos="800"/>
          <w:tab w:val="right" w:leader="dot" w:pos="9628"/>
        </w:tabs>
        <w:rPr>
          <w:i w:val="0"/>
          <w:iCs w:val="0"/>
          <w:noProof/>
          <w:sz w:val="24"/>
          <w:szCs w:val="24"/>
        </w:rPr>
      </w:pPr>
      <w:hyperlink w:anchor="_Toc254938572" w:history="1">
        <w:r>
          <w:rPr>
            <w:rStyle w:val="Hyperlink"/>
            <w:noProof/>
          </w:rPr>
          <w:t>1</w:t>
        </w:r>
        <w:r>
          <w:rPr>
            <w:i w:val="0"/>
            <w:iCs w:val="0"/>
            <w:noProof/>
            <w:sz w:val="24"/>
            <w:szCs w:val="24"/>
          </w:rPr>
          <w:tab/>
        </w:r>
        <w:r>
          <w:rPr>
            <w:rStyle w:val="Hyperlink"/>
            <w:noProof/>
          </w:rPr>
          <w:t>Sauerstoff (O</w:t>
        </w:r>
        <w:r>
          <w:rPr>
            <w:rStyle w:val="Hyperlink"/>
            <w:noProof/>
            <w:vertAlign w:val="subscript"/>
          </w:rPr>
          <w:t>2</w:t>
        </w:r>
        <w:r>
          <w:rPr>
            <w:rStyle w:val="Hyperlink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_Toc254938572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left" w:pos="800"/>
          <w:tab w:val="right" w:leader="dot" w:pos="9628"/>
        </w:tabs>
        <w:rPr>
          <w:i w:val="0"/>
          <w:iCs w:val="0"/>
          <w:noProof/>
          <w:sz w:val="24"/>
          <w:szCs w:val="24"/>
        </w:rPr>
      </w:pPr>
      <w:hyperlink w:anchor="_Toc254938573" w:history="1">
        <w:r>
          <w:rPr>
            <w:rStyle w:val="Hyperlink"/>
            <w:noProof/>
          </w:rPr>
          <w:t>2</w:t>
        </w:r>
        <w:r>
          <w:rPr>
            <w:i w:val="0"/>
            <w:iCs w:val="0"/>
            <w:noProof/>
            <w:sz w:val="24"/>
            <w:szCs w:val="24"/>
          </w:rPr>
          <w:tab/>
        </w:r>
        <w:r>
          <w:rPr>
            <w:rStyle w:val="Hyperlink"/>
            <w:noProof/>
          </w:rPr>
          <w:t>Abgasgeschwindigkeit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_Toc254938573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tabs>
          <w:tab w:val="right" w:leader="dot" w:pos="9628"/>
        </w:tabs>
        <w:rPr>
          <w:smallCaps w:val="0"/>
          <w:noProof/>
          <w:sz w:val="24"/>
          <w:szCs w:val="24"/>
        </w:rPr>
      </w:pPr>
      <w:hyperlink w:anchor="_Toc254938574" w:history="1">
        <w:r>
          <w:rPr>
            <w:rStyle w:val="Hyperlink"/>
            <w:noProof/>
          </w:rPr>
          <w:t>III.  Eignung von Messeinrichtungen zur kontinuierlichen Überwachung von  Immissionen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_Toc254938574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left" w:pos="800"/>
          <w:tab w:val="right" w:leader="dot" w:pos="9628"/>
        </w:tabs>
        <w:rPr>
          <w:i w:val="0"/>
          <w:iCs w:val="0"/>
          <w:noProof/>
          <w:sz w:val="24"/>
          <w:szCs w:val="24"/>
        </w:rPr>
      </w:pPr>
      <w:hyperlink w:anchor="_Toc254938575" w:history="1">
        <w:r>
          <w:rPr>
            <w:rStyle w:val="Hyperlink"/>
            <w:noProof/>
          </w:rPr>
          <w:t>1</w:t>
        </w:r>
        <w:r>
          <w:rPr>
            <w:i w:val="0"/>
            <w:iCs w:val="0"/>
            <w:noProof/>
            <w:sz w:val="24"/>
            <w:szCs w:val="24"/>
          </w:rPr>
          <w:tab/>
        </w:r>
        <w:r>
          <w:rPr>
            <w:rStyle w:val="Hyperlink"/>
            <w:noProof/>
          </w:rPr>
          <w:t>Mehrkomponentenmesseinrichtungen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_Toc254938575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tabs>
          <w:tab w:val="right" w:leader="dot" w:pos="9628"/>
        </w:tabs>
        <w:rPr>
          <w:smallCaps w:val="0"/>
          <w:noProof/>
          <w:sz w:val="24"/>
          <w:szCs w:val="24"/>
        </w:rPr>
      </w:pPr>
      <w:hyperlink w:anchor="_Toc254938576" w:history="1">
        <w:r>
          <w:rPr>
            <w:rStyle w:val="Hyperlink"/>
            <w:noProof/>
          </w:rPr>
          <w:t>IV. Mitteilungen zur Bundeseinheitlichen Praxis bei der Überwachung von Emissionen und Immissionen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_Toc254938576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>
      <w:pPr>
        <w:pStyle w:val="GesAbsatz"/>
      </w:pPr>
      <w:r>
        <w:rPr>
          <w:rFonts w:ascii="Times New Roman" w:hAnsi="Times New Roman"/>
          <w:color w:val="auto"/>
        </w:rPr>
        <w:fldChar w:fldCharType="end"/>
      </w:r>
    </w:p>
    <w:p>
      <w:pPr>
        <w:pStyle w:val="berschrift2"/>
      </w:pPr>
      <w:bookmarkStart w:id="3" w:name="_Toc254698273"/>
      <w:bookmarkStart w:id="4" w:name="_Toc254938569"/>
      <w:r>
        <w:t xml:space="preserve">I. </w:t>
      </w:r>
      <w:r>
        <w:br/>
        <w:t>Eignung von Messeinrichtungen zur kontinuierlichen Überwachung von Emissi</w:t>
      </w:r>
      <w:r>
        <w:t>o</w:t>
      </w:r>
      <w:r>
        <w:t>nen</w:t>
      </w:r>
      <w:bookmarkEnd w:id="3"/>
      <w:bookmarkEnd w:id="4"/>
    </w:p>
    <w:p>
      <w:pPr>
        <w:pStyle w:val="GesAbsatz"/>
      </w:pPr>
      <w:r>
        <w:t>Unter Bezugnahme auf Nummer 3 der Richtlinie über die Bundeseinheitliche Praxis bei der Überwachung der Emissionen -Rundschreiben des Bundesministeriums für Umwelt, Naturschutz und Reaktorsicherheit (BMU) - IG I 2 - 45053/5 (GMBl 2005, S. 795) - wird im Auftrag des BMU die Eignung der folgenden Messeinrichtu</w:t>
      </w:r>
      <w:r>
        <w:t>n</w:t>
      </w:r>
      <w:r>
        <w:t>gen bekannt gegeben:</w:t>
      </w:r>
    </w:p>
    <w:p>
      <w:pPr>
        <w:pStyle w:val="berschrift3"/>
        <w:jc w:val="left"/>
      </w:pPr>
      <w:bookmarkStart w:id="5" w:name="_Toc254698274"/>
      <w:bookmarkStart w:id="6" w:name="_Toc254938570"/>
      <w:r>
        <w:t>1 Mehrkomponentenmesseinrichtungen</w:t>
      </w:r>
      <w:bookmarkEnd w:id="5"/>
      <w:bookmarkEnd w:id="6"/>
    </w:p>
    <w:p>
      <w:pPr>
        <w:pStyle w:val="GesAbsatz"/>
        <w:rPr>
          <w:b/>
        </w:rPr>
      </w:pPr>
      <w:bookmarkStart w:id="7" w:name="_Toc254698275"/>
      <w:r>
        <w:rPr>
          <w:b/>
        </w:rPr>
        <w:t>1.1 ZRE und ZRE/ZFK7 für NO, SO</w:t>
      </w:r>
      <w:r>
        <w:rPr>
          <w:b/>
          <w:vertAlign w:val="subscript"/>
        </w:rPr>
        <w:t>2</w:t>
      </w:r>
      <w:r>
        <w:rPr>
          <w:b/>
        </w:rPr>
        <w:t>, CO und O</w:t>
      </w:r>
      <w:r>
        <w:rPr>
          <w:b/>
          <w:vertAlign w:val="subscript"/>
        </w:rPr>
        <w:t>2</w:t>
      </w:r>
      <w:bookmarkEnd w:id="7"/>
    </w:p>
    <w:p>
      <w:pPr>
        <w:pStyle w:val="GesAbsatz"/>
        <w:rPr>
          <w:lang w:val="en-GB"/>
        </w:rPr>
      </w:pPr>
      <w:r>
        <w:t>Hersteller</w:t>
      </w:r>
      <w:r>
        <w:rPr>
          <w:lang w:val="en-GB"/>
        </w:rPr>
        <w:t>:</w:t>
      </w:r>
    </w:p>
    <w:p>
      <w:pPr>
        <w:pStyle w:val="GesAbsatz"/>
        <w:rPr>
          <w:lang w:val="en-GB"/>
        </w:rPr>
      </w:pPr>
      <w:r>
        <w:rPr>
          <w:lang w:val="en-GB"/>
        </w:rPr>
        <w:t xml:space="preserve">Fuji Electric Systems Co., Ltd.,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Tokyo</w:t>
          </w:r>
        </w:smartTag>
        <w:r>
          <w:rPr>
            <w:lang w:val="en-GB"/>
          </w:rPr>
          <w:t xml:space="preserve">, </w:t>
        </w:r>
        <w:smartTag w:uri="urn:schemas-microsoft-com:office:smarttags" w:element="country-region">
          <w:r>
            <w:rPr>
              <w:lang w:val="en-GB"/>
            </w:rPr>
            <w:t>Japan</w:t>
          </w:r>
        </w:smartTag>
      </w:smartTag>
    </w:p>
    <w:p>
      <w:pPr>
        <w:pStyle w:val="GesAbsatz"/>
      </w:pPr>
      <w:r>
        <w:t>Eignung:</w:t>
      </w:r>
    </w:p>
    <w:p>
      <w:pPr>
        <w:pStyle w:val="GesAbsatz"/>
      </w:pPr>
      <w:r>
        <w:t>Für Anlagen der 13. BImSchV und TA Luft</w:t>
      </w:r>
    </w:p>
    <w:p>
      <w:pPr>
        <w:pStyle w:val="GesAbsatz"/>
      </w:pPr>
      <w:r>
        <w:t>Messbereiche in der Eignungsprüfung: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352"/>
        <w:gridCol w:w="2158"/>
        <w:gridCol w:w="2573"/>
        <w:gridCol w:w="971"/>
      </w:tblGrid>
      <w:tr>
        <w:tc>
          <w:tcPr>
            <w:tcW w:w="1352" w:type="dxa"/>
          </w:tcPr>
          <w:p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Komponente</w:t>
            </w:r>
          </w:p>
        </w:tc>
        <w:tc>
          <w:tcPr>
            <w:tcW w:w="2158" w:type="dxa"/>
          </w:tcPr>
          <w:p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Zertifizierungsbereich</w:t>
            </w:r>
          </w:p>
        </w:tc>
        <w:tc>
          <w:tcPr>
            <w:tcW w:w="2573" w:type="dxa"/>
          </w:tcPr>
          <w:p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zusätzlicher Messbereich</w:t>
            </w:r>
          </w:p>
        </w:tc>
        <w:tc>
          <w:tcPr>
            <w:tcW w:w="971" w:type="dxa"/>
          </w:tcPr>
          <w:p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Einheit</w:t>
            </w:r>
          </w:p>
        </w:tc>
      </w:tr>
      <w:tr>
        <w:tc>
          <w:tcPr>
            <w:tcW w:w="1352" w:type="dxa"/>
          </w:tcPr>
          <w:p>
            <w:pPr>
              <w:pStyle w:val="GesAbsatz"/>
              <w:tabs>
                <w:tab w:val="clear" w:pos="425"/>
              </w:tabs>
            </w:pPr>
            <w:r>
              <w:t>CO</w:t>
            </w:r>
          </w:p>
        </w:tc>
        <w:tc>
          <w:tcPr>
            <w:tcW w:w="2158" w:type="dxa"/>
          </w:tcPr>
          <w:p>
            <w:pPr>
              <w:pStyle w:val="GesAbsatz"/>
              <w:tabs>
                <w:tab w:val="clear" w:pos="425"/>
              </w:tabs>
            </w:pPr>
            <w:r>
              <w:t>0-125</w:t>
            </w:r>
          </w:p>
        </w:tc>
        <w:tc>
          <w:tcPr>
            <w:tcW w:w="2573" w:type="dxa"/>
          </w:tcPr>
          <w:p>
            <w:pPr>
              <w:pStyle w:val="GesAbsatz"/>
              <w:tabs>
                <w:tab w:val="clear" w:pos="425"/>
              </w:tabs>
            </w:pPr>
            <w:r>
              <w:t>0-1250</w:t>
            </w:r>
          </w:p>
        </w:tc>
        <w:tc>
          <w:tcPr>
            <w:tcW w:w="971" w:type="dxa"/>
          </w:tcPr>
          <w:p>
            <w:pPr>
              <w:pStyle w:val="GesAbsatz"/>
              <w:tabs>
                <w:tab w:val="clear" w:pos="425"/>
              </w:tabs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</w:tr>
      <w:tr>
        <w:tc>
          <w:tcPr>
            <w:tcW w:w="1352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158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0-268</w:t>
            </w:r>
          </w:p>
        </w:tc>
        <w:tc>
          <w:tcPr>
            <w:tcW w:w="2573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0-2680</w:t>
            </w:r>
          </w:p>
        </w:tc>
        <w:tc>
          <w:tcPr>
            <w:tcW w:w="971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mg/m</w:t>
            </w:r>
            <w:r>
              <w:rPr>
                <w:vertAlign w:val="superscript"/>
                <w:lang w:val="en-GB"/>
              </w:rPr>
              <w:t>3</w:t>
            </w:r>
          </w:p>
        </w:tc>
      </w:tr>
      <w:tr>
        <w:tc>
          <w:tcPr>
            <w:tcW w:w="1352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SO</w:t>
            </w:r>
            <w:r>
              <w:rPr>
                <w:vertAlign w:val="subscript"/>
                <w:lang w:val="en-GB"/>
              </w:rPr>
              <w:t>2</w:t>
            </w:r>
          </w:p>
        </w:tc>
        <w:tc>
          <w:tcPr>
            <w:tcW w:w="2158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0-571</w:t>
            </w:r>
          </w:p>
        </w:tc>
        <w:tc>
          <w:tcPr>
            <w:tcW w:w="2573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0-5710</w:t>
            </w:r>
          </w:p>
        </w:tc>
        <w:tc>
          <w:tcPr>
            <w:tcW w:w="971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mg/m</w:t>
            </w:r>
            <w:r>
              <w:rPr>
                <w:vertAlign w:val="superscript"/>
                <w:lang w:val="en-GB"/>
              </w:rPr>
              <w:t>3</w:t>
            </w:r>
          </w:p>
        </w:tc>
      </w:tr>
      <w:tr>
        <w:tc>
          <w:tcPr>
            <w:tcW w:w="1352" w:type="dxa"/>
          </w:tcPr>
          <w:p>
            <w:pPr>
              <w:pStyle w:val="GesAbsatz"/>
              <w:tabs>
                <w:tab w:val="clear" w:pos="425"/>
              </w:tabs>
            </w:pPr>
            <w:r>
              <w:t>O</w:t>
            </w:r>
            <w:r>
              <w:rPr>
                <w:vertAlign w:val="subscript"/>
              </w:rPr>
              <w:t>2</w:t>
            </w:r>
            <w:r>
              <w:t>(Pa.)*</w:t>
            </w:r>
          </w:p>
        </w:tc>
        <w:tc>
          <w:tcPr>
            <w:tcW w:w="2158" w:type="dxa"/>
          </w:tcPr>
          <w:p>
            <w:pPr>
              <w:pStyle w:val="GesAbsatz"/>
              <w:tabs>
                <w:tab w:val="clear" w:pos="425"/>
              </w:tabs>
            </w:pPr>
            <w:r>
              <w:t>0-25</w:t>
            </w:r>
          </w:p>
        </w:tc>
        <w:tc>
          <w:tcPr>
            <w:tcW w:w="2573" w:type="dxa"/>
          </w:tcPr>
          <w:p>
            <w:pPr>
              <w:pStyle w:val="GesAbsatz"/>
              <w:tabs>
                <w:tab w:val="clear" w:pos="425"/>
              </w:tabs>
            </w:pPr>
            <w:r>
              <w:t>0-10</w:t>
            </w:r>
          </w:p>
        </w:tc>
        <w:tc>
          <w:tcPr>
            <w:tcW w:w="971" w:type="dxa"/>
          </w:tcPr>
          <w:p>
            <w:pPr>
              <w:pStyle w:val="GesAbsatz"/>
              <w:tabs>
                <w:tab w:val="clear" w:pos="425"/>
              </w:tabs>
            </w:pPr>
            <w:r>
              <w:t>Vol.-%</w:t>
            </w:r>
          </w:p>
        </w:tc>
      </w:tr>
      <w:tr>
        <w:tc>
          <w:tcPr>
            <w:tcW w:w="1352" w:type="dxa"/>
          </w:tcPr>
          <w:p>
            <w:pPr>
              <w:pStyle w:val="GesAbsatz"/>
              <w:tabs>
                <w:tab w:val="clear" w:pos="425"/>
              </w:tabs>
            </w:pPr>
            <w:r>
              <w:t>O</w:t>
            </w:r>
            <w:r>
              <w:rPr>
                <w:vertAlign w:val="subscript"/>
              </w:rPr>
              <w:t>2</w:t>
            </w:r>
            <w:r>
              <w:t>(Zi.)**</w:t>
            </w:r>
          </w:p>
        </w:tc>
        <w:tc>
          <w:tcPr>
            <w:tcW w:w="2158" w:type="dxa"/>
          </w:tcPr>
          <w:p>
            <w:pPr>
              <w:pStyle w:val="GesAbsatz"/>
              <w:tabs>
                <w:tab w:val="clear" w:pos="425"/>
              </w:tabs>
            </w:pPr>
            <w:r>
              <w:t>0-25</w:t>
            </w:r>
          </w:p>
        </w:tc>
        <w:tc>
          <w:tcPr>
            <w:tcW w:w="2573" w:type="dxa"/>
          </w:tcPr>
          <w:p>
            <w:pPr>
              <w:pStyle w:val="GesAbsatz"/>
              <w:tabs>
                <w:tab w:val="clear" w:pos="425"/>
              </w:tabs>
            </w:pPr>
            <w:r>
              <w:t>0-10</w:t>
            </w:r>
          </w:p>
        </w:tc>
        <w:tc>
          <w:tcPr>
            <w:tcW w:w="971" w:type="dxa"/>
          </w:tcPr>
          <w:p>
            <w:pPr>
              <w:pStyle w:val="GesAbsatz"/>
              <w:tabs>
                <w:tab w:val="clear" w:pos="425"/>
              </w:tabs>
            </w:pPr>
            <w:r>
              <w:t>Vol.-%</w:t>
            </w:r>
          </w:p>
        </w:tc>
      </w:tr>
    </w:tbl>
    <w:p>
      <w:pPr>
        <w:pStyle w:val="GesAbsatz"/>
        <w:rPr>
          <w:sz w:val="18"/>
          <w:szCs w:val="18"/>
        </w:rPr>
      </w:pPr>
      <w:r>
        <w:rPr>
          <w:sz w:val="18"/>
          <w:szCs w:val="18"/>
        </w:rPr>
        <w:t>*Pa. = paramagnetisch</w:t>
      </w:r>
      <w:r>
        <w:rPr>
          <w:sz w:val="18"/>
          <w:szCs w:val="18"/>
        </w:rPr>
        <w:br/>
        <w:t>**Zi. = Zirkondioxid</w:t>
      </w:r>
    </w:p>
    <w:p>
      <w:pPr>
        <w:pStyle w:val="GesAbsatz"/>
      </w:pPr>
      <w:r>
        <w:t>Softwareversion: 1.02 Einschränkungen:</w:t>
      </w:r>
    </w:p>
    <w:p>
      <w:pPr>
        <w:pStyle w:val="GesAbsatz"/>
        <w:ind w:left="426" w:hanging="426"/>
      </w:pPr>
      <w:r>
        <w:t>1.</w:t>
      </w:r>
      <w:r>
        <w:tab/>
        <w:t>Die Anforderungen an die Messunsicherheit der DIN EN 15267-3 werden erfüllt für einen Grenzwert für das Tagesmittel von CO von 120 mg/m</w:t>
      </w:r>
      <w:r>
        <w:rPr>
          <w:vertAlign w:val="superscript"/>
        </w:rPr>
        <w:t>3</w:t>
      </w:r>
      <w:r>
        <w:t>.</w:t>
      </w:r>
    </w:p>
    <w:p>
      <w:pPr>
        <w:pStyle w:val="GesAbsatz"/>
        <w:ind w:left="426" w:hanging="426"/>
      </w:pPr>
      <w:r>
        <w:t>2.</w:t>
      </w:r>
      <w:r>
        <w:tab/>
        <w:t>Die Anforderungen an die Messunsicherheit der DIN EN 15267-3 werden erfüllt für einen Grenzwert für das Tagesmittel von SO</w:t>
      </w:r>
      <w:r>
        <w:rPr>
          <w:vertAlign w:val="subscript"/>
        </w:rPr>
        <w:t>2</w:t>
      </w:r>
      <w:r>
        <w:t xml:space="preserve"> von 230 mg/m</w:t>
      </w:r>
      <w:r>
        <w:rPr>
          <w:vertAlign w:val="superscript"/>
        </w:rPr>
        <w:t>3</w:t>
      </w:r>
      <w:r>
        <w:t>.</w:t>
      </w:r>
    </w:p>
    <w:p>
      <w:pPr>
        <w:pStyle w:val="GesAbsatz"/>
        <w:ind w:left="426" w:hanging="426"/>
      </w:pPr>
      <w:r>
        <w:t>3.</w:t>
      </w:r>
      <w:r>
        <w:tab/>
        <w:t>Die Anforderungen an die Messunsicherheit der DIN EN 15267-3 werden erfüllt für einen Grenzwert für das Tagesmittel von NO von 125 mg/m</w:t>
      </w:r>
      <w:r>
        <w:rPr>
          <w:vertAlign w:val="superscript"/>
        </w:rPr>
        <w:t>3</w:t>
      </w:r>
      <w:r>
        <w:t>.</w:t>
      </w:r>
    </w:p>
    <w:p>
      <w:pPr>
        <w:pStyle w:val="GesAbsatz"/>
        <w:ind w:left="426" w:hanging="426"/>
      </w:pPr>
      <w:r>
        <w:t>4.</w:t>
      </w:r>
      <w:r>
        <w:tab/>
        <w:t>Enthält das Abgas N</w:t>
      </w:r>
      <w:r>
        <w:rPr>
          <w:vertAlign w:val="subscript"/>
        </w:rPr>
        <w:t>2</w:t>
      </w:r>
      <w:r>
        <w:t>O in Konzentrationen größer 30 mg/m</w:t>
      </w:r>
      <w:r>
        <w:rPr>
          <w:vertAlign w:val="superscript"/>
        </w:rPr>
        <w:t>3</w:t>
      </w:r>
      <w:r>
        <w:t xml:space="preserve"> ist die Messeinrichtung nicht geeignet.</w:t>
      </w:r>
    </w:p>
    <w:p>
      <w:pPr>
        <w:pStyle w:val="GesAbsatz"/>
      </w:pPr>
      <w:r>
        <w:lastRenderedPageBreak/>
        <w:t>Hinweise:</w:t>
      </w:r>
    </w:p>
    <w:p>
      <w:pPr>
        <w:pStyle w:val="GesAbsatz"/>
        <w:ind w:left="426" w:hanging="426"/>
      </w:pPr>
      <w:r>
        <w:t>1.</w:t>
      </w:r>
      <w:r>
        <w:tab/>
        <w:t>Zur Sauerstoff-Messung kann wahlweise der paramagnetische Sauerstoff-Sensor oder der Zirkond</w:t>
      </w:r>
      <w:r>
        <w:t>i</w:t>
      </w:r>
      <w:r>
        <w:t>oxid-Sensor eingesetzt werden:</w:t>
      </w:r>
    </w:p>
    <w:p>
      <w:pPr>
        <w:pStyle w:val="GesAbsatz"/>
        <w:ind w:left="426"/>
        <w:rPr>
          <w:lang w:val="en-GB"/>
        </w:rPr>
      </w:pPr>
      <w:r>
        <w:t>Version ZRE: NO, SO</w:t>
      </w:r>
      <w:r>
        <w:rPr>
          <w:vertAlign w:val="subscript"/>
        </w:rPr>
        <w:t>2</w:t>
      </w:r>
      <w:r>
        <w:t>, CO und O</w:t>
      </w:r>
      <w:r>
        <w:rPr>
          <w:vertAlign w:val="subscript"/>
        </w:rPr>
        <w:t>2</w:t>
      </w:r>
      <w:r>
        <w:t xml:space="preserve"> (Pa)</w:t>
      </w:r>
      <w:r>
        <w:br/>
      </w:r>
      <w:r>
        <w:rPr>
          <w:lang w:val="en-GB"/>
        </w:rPr>
        <w:t>Version ZRE/ZFK7: NO, SO</w:t>
      </w:r>
      <w:r>
        <w:rPr>
          <w:vertAlign w:val="subscript"/>
          <w:lang w:val="en-GB"/>
        </w:rPr>
        <w:t>2</w:t>
      </w:r>
      <w:r>
        <w:rPr>
          <w:lang w:val="en-GB"/>
        </w:rPr>
        <w:t>, CO und O</w:t>
      </w:r>
      <w:r>
        <w:rPr>
          <w:vertAlign w:val="subscript"/>
          <w:lang w:val="en-GB"/>
        </w:rPr>
        <w:t>2</w:t>
      </w:r>
      <w:r>
        <w:rPr>
          <w:lang w:val="en-GB"/>
        </w:rPr>
        <w:t xml:space="preserve"> (</w:t>
      </w:r>
      <w:proofErr w:type="spellStart"/>
      <w:r>
        <w:rPr>
          <w:lang w:val="en-GB"/>
        </w:rPr>
        <w:t>Zi</w:t>
      </w:r>
      <w:proofErr w:type="spellEnd"/>
      <w:r>
        <w:rPr>
          <w:lang w:val="en-GB"/>
        </w:rPr>
        <w:t>)</w:t>
      </w:r>
    </w:p>
    <w:p>
      <w:pPr>
        <w:pStyle w:val="GesAbsatz"/>
        <w:ind w:left="426" w:hanging="426"/>
      </w:pPr>
      <w:r>
        <w:t>2.</w:t>
      </w:r>
      <w:r>
        <w:tab/>
        <w:t>Das Wartungsintervall beträgt vier Wochen.</w:t>
      </w:r>
    </w:p>
    <w:p>
      <w:pPr>
        <w:pStyle w:val="GesAbsatz"/>
        <w:ind w:left="426" w:hanging="426"/>
      </w:pPr>
      <w:r>
        <w:t>3.</w:t>
      </w:r>
      <w:r>
        <w:tab/>
        <w:t>Die Messeinrichtung ist mit einer automatischen Nullpunktkalibrierung im 24 h-Intervall zu betreiben.</w:t>
      </w:r>
    </w:p>
    <w:p>
      <w:pPr>
        <w:pStyle w:val="GesAbsatz"/>
        <w:ind w:left="426" w:hanging="426"/>
      </w:pPr>
      <w:r>
        <w:t>4.</w:t>
      </w:r>
      <w:r>
        <w:tab/>
        <w:t>Prüfgase müssen mindestens einmal alle drei Monate über den dynamischen Aufgabeweg angeboten werden (Kontrolle des Gasweges und der Gasaufbereitung).</w:t>
      </w:r>
    </w:p>
    <w:p>
      <w:pPr>
        <w:pStyle w:val="GesAbsatz"/>
        <w:ind w:left="426" w:hanging="426"/>
      </w:pPr>
      <w:r>
        <w:t>5.</w:t>
      </w:r>
      <w:r>
        <w:tab/>
        <w:t xml:space="preserve">Die Messeinrichtung wird baugleich auch von der Firma ETA, Rue Einstein, BP60129, 62220 </w:t>
      </w:r>
      <w:proofErr w:type="spellStart"/>
      <w:r>
        <w:t>Carvin</w:t>
      </w:r>
      <w:proofErr w:type="spellEnd"/>
      <w:r>
        <w:t>, Frankreich, vertrieben.</w:t>
      </w:r>
    </w:p>
    <w:p>
      <w:pPr>
        <w:pStyle w:val="GesAbsatz"/>
      </w:pPr>
      <w:r>
        <w:t>Prüfbericht:</w:t>
      </w:r>
    </w:p>
    <w:p>
      <w:pPr>
        <w:pStyle w:val="GesAbsatz"/>
      </w:pPr>
      <w:r>
        <w:t>TÜV Rheinland Immissionsschutz und Energiesysteme GmbH, Köln</w:t>
      </w:r>
    </w:p>
    <w:p>
      <w:pPr>
        <w:pStyle w:val="GesAbsatz"/>
      </w:pPr>
      <w:r>
        <w:t>Bericht-Nr.: 936/21210059/A vom 21. Oktober 2009</w:t>
      </w:r>
    </w:p>
    <w:p>
      <w:pPr>
        <w:pStyle w:val="GesAbsatz"/>
        <w:rPr>
          <w:b/>
          <w:lang w:val="en-GB"/>
        </w:rPr>
      </w:pPr>
      <w:r>
        <w:rPr>
          <w:b/>
          <w:lang w:val="en-GB"/>
        </w:rPr>
        <w:t xml:space="preserve">1.2 MKAS S800 </w:t>
      </w:r>
      <w:r>
        <w:rPr>
          <w:b/>
        </w:rPr>
        <w:t>für</w:t>
      </w:r>
      <w:r>
        <w:rPr>
          <w:b/>
          <w:lang w:val="en-GB"/>
        </w:rPr>
        <w:t xml:space="preserve"> CO, NO, NO</w:t>
      </w:r>
      <w:r>
        <w:rPr>
          <w:b/>
          <w:vertAlign w:val="subscript"/>
          <w:lang w:val="en-GB"/>
        </w:rPr>
        <w:t>2</w:t>
      </w:r>
      <w:r>
        <w:rPr>
          <w:b/>
          <w:lang w:val="en-GB"/>
        </w:rPr>
        <w:t>, SO</w:t>
      </w:r>
      <w:r>
        <w:rPr>
          <w:b/>
          <w:vertAlign w:val="subscript"/>
          <w:lang w:val="en-GB"/>
        </w:rPr>
        <w:t>2</w:t>
      </w:r>
      <w:r>
        <w:rPr>
          <w:b/>
          <w:lang w:val="en-GB"/>
        </w:rPr>
        <w:t>, CH</w:t>
      </w:r>
      <w:r>
        <w:rPr>
          <w:b/>
          <w:vertAlign w:val="subscript"/>
          <w:lang w:val="en-GB"/>
        </w:rPr>
        <w:t>4</w:t>
      </w:r>
      <w:r>
        <w:rPr>
          <w:b/>
          <w:lang w:val="en-GB"/>
        </w:rPr>
        <w:t>, CO</w:t>
      </w:r>
      <w:r>
        <w:rPr>
          <w:b/>
          <w:vertAlign w:val="subscript"/>
          <w:lang w:val="en-GB"/>
        </w:rPr>
        <w:t>2</w:t>
      </w:r>
      <w:r>
        <w:rPr>
          <w:b/>
          <w:lang w:val="en-GB"/>
        </w:rPr>
        <w:t xml:space="preserve"> und O</w:t>
      </w:r>
      <w:r>
        <w:rPr>
          <w:b/>
          <w:vertAlign w:val="subscript"/>
          <w:lang w:val="en-GB"/>
        </w:rPr>
        <w:t>2</w:t>
      </w:r>
    </w:p>
    <w:p>
      <w:pPr>
        <w:pStyle w:val="GesAbsatz"/>
      </w:pPr>
      <w:r>
        <w:t>Hersteller:</w:t>
      </w:r>
    </w:p>
    <w:p>
      <w:pPr>
        <w:pStyle w:val="GesAbsatz"/>
      </w:pPr>
      <w:r>
        <w:t>SICK MAIHAK GmbH, Reute</w:t>
      </w:r>
    </w:p>
    <w:p>
      <w:pPr>
        <w:pStyle w:val="GesAbsatz"/>
      </w:pPr>
      <w:r>
        <w:t>Eignung:</w:t>
      </w:r>
    </w:p>
    <w:p>
      <w:pPr>
        <w:pStyle w:val="GesAbsatz"/>
      </w:pPr>
      <w:r>
        <w:t>Modulares System für genehmigungsbedürftige Anlagen und Anlagen der 27. BImSchV</w:t>
      </w:r>
    </w:p>
    <w:p>
      <w:pPr>
        <w:pStyle w:val="GesAbsatz"/>
      </w:pPr>
      <w:r>
        <w:t>Messbereiche in der Eignungsprüfung: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951"/>
        <w:gridCol w:w="2253"/>
        <w:gridCol w:w="1574"/>
        <w:gridCol w:w="1560"/>
        <w:gridCol w:w="992"/>
      </w:tblGrid>
      <w:tr>
        <w:tc>
          <w:tcPr>
            <w:tcW w:w="1951" w:type="dxa"/>
            <w:vMerge w:val="restart"/>
            <w:vAlign w:val="bottom"/>
          </w:tcPr>
          <w:p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Kompone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te/Modul</w:t>
            </w:r>
          </w:p>
        </w:tc>
        <w:tc>
          <w:tcPr>
            <w:tcW w:w="2253" w:type="dxa"/>
            <w:vMerge w:val="restart"/>
            <w:vAlign w:val="bottom"/>
          </w:tcPr>
          <w:p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Zertifizierungsbereich</w:t>
            </w:r>
          </w:p>
        </w:tc>
        <w:tc>
          <w:tcPr>
            <w:tcW w:w="3134" w:type="dxa"/>
            <w:gridSpan w:val="2"/>
          </w:tcPr>
          <w:p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zusätzliche Mes</w:t>
            </w:r>
            <w:r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bereiche</w:t>
            </w:r>
          </w:p>
        </w:tc>
        <w:tc>
          <w:tcPr>
            <w:tcW w:w="992" w:type="dxa"/>
            <w:vMerge w:val="restart"/>
          </w:tcPr>
          <w:p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Einheit</w:t>
            </w:r>
          </w:p>
        </w:tc>
      </w:tr>
      <w:tr>
        <w:tc>
          <w:tcPr>
            <w:tcW w:w="1951" w:type="dxa"/>
            <w:vMerge/>
          </w:tcPr>
          <w:p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2253" w:type="dxa"/>
            <w:vMerge/>
          </w:tcPr>
          <w:p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574" w:type="dxa"/>
          </w:tcPr>
          <w:p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Messbereich 1</w:t>
            </w:r>
          </w:p>
        </w:tc>
        <w:tc>
          <w:tcPr>
            <w:tcW w:w="1560" w:type="dxa"/>
          </w:tcPr>
          <w:p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Messbereich 2</w:t>
            </w:r>
          </w:p>
        </w:tc>
        <w:tc>
          <w:tcPr>
            <w:tcW w:w="992" w:type="dxa"/>
            <w:vMerge/>
          </w:tcPr>
          <w:p>
            <w:pPr>
              <w:pStyle w:val="GesAbsatz"/>
              <w:tabs>
                <w:tab w:val="clear" w:pos="425"/>
              </w:tabs>
            </w:pPr>
          </w:p>
        </w:tc>
      </w:tr>
      <w:tr>
        <w:tc>
          <w:tcPr>
            <w:tcW w:w="1951" w:type="dxa"/>
          </w:tcPr>
          <w:p>
            <w:pPr>
              <w:pStyle w:val="GesAbsatz"/>
              <w:tabs>
                <w:tab w:val="clear" w:pos="425"/>
              </w:tabs>
            </w:pPr>
            <w:r>
              <w:t>CO (UNOR)</w:t>
            </w:r>
          </w:p>
        </w:tc>
        <w:tc>
          <w:tcPr>
            <w:tcW w:w="2253" w:type="dxa"/>
          </w:tcPr>
          <w:p>
            <w:pPr>
              <w:pStyle w:val="GesAbsatz"/>
              <w:tabs>
                <w:tab w:val="clear" w:pos="425"/>
              </w:tabs>
            </w:pPr>
            <w:r>
              <w:t>0-75</w:t>
            </w:r>
          </w:p>
        </w:tc>
        <w:tc>
          <w:tcPr>
            <w:tcW w:w="1574" w:type="dxa"/>
          </w:tcPr>
          <w:p>
            <w:pPr>
              <w:pStyle w:val="GesAbsatz"/>
              <w:tabs>
                <w:tab w:val="clear" w:pos="425"/>
              </w:tabs>
            </w:pPr>
            <w:r>
              <w:t>0-750</w:t>
            </w:r>
          </w:p>
        </w:tc>
        <w:tc>
          <w:tcPr>
            <w:tcW w:w="1560" w:type="dxa"/>
          </w:tcPr>
          <w:p>
            <w:pPr>
              <w:pStyle w:val="GesAbsatz"/>
              <w:tabs>
                <w:tab w:val="clear" w:pos="425"/>
              </w:tabs>
            </w:pPr>
            <w:r>
              <w:t>0-3000</w:t>
            </w:r>
          </w:p>
        </w:tc>
        <w:tc>
          <w:tcPr>
            <w:tcW w:w="992" w:type="dxa"/>
          </w:tcPr>
          <w:p>
            <w:pPr>
              <w:pStyle w:val="GesAbsatz"/>
              <w:tabs>
                <w:tab w:val="clear" w:pos="425"/>
              </w:tabs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</w:tr>
      <w:tr>
        <w:tc>
          <w:tcPr>
            <w:tcW w:w="1951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NO (UNOR]</w:t>
            </w:r>
          </w:p>
        </w:tc>
        <w:tc>
          <w:tcPr>
            <w:tcW w:w="2253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0-100</w:t>
            </w:r>
          </w:p>
        </w:tc>
        <w:tc>
          <w:tcPr>
            <w:tcW w:w="1574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0-1000</w:t>
            </w:r>
          </w:p>
        </w:tc>
        <w:tc>
          <w:tcPr>
            <w:tcW w:w="1560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0-2000</w:t>
            </w:r>
          </w:p>
        </w:tc>
        <w:tc>
          <w:tcPr>
            <w:tcW w:w="992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mg/m</w:t>
            </w:r>
            <w:r>
              <w:rPr>
                <w:vertAlign w:val="superscript"/>
                <w:lang w:val="en-GB"/>
              </w:rPr>
              <w:t>3</w:t>
            </w:r>
          </w:p>
        </w:tc>
      </w:tr>
      <w:tr>
        <w:tc>
          <w:tcPr>
            <w:tcW w:w="1951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NO (DEFOR)</w:t>
            </w:r>
          </w:p>
        </w:tc>
        <w:tc>
          <w:tcPr>
            <w:tcW w:w="2253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0-50</w:t>
            </w:r>
          </w:p>
        </w:tc>
        <w:tc>
          <w:tcPr>
            <w:tcW w:w="1574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0-1000</w:t>
            </w:r>
          </w:p>
        </w:tc>
        <w:tc>
          <w:tcPr>
            <w:tcW w:w="1560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0-2000</w:t>
            </w:r>
          </w:p>
        </w:tc>
        <w:tc>
          <w:tcPr>
            <w:tcW w:w="992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mg/m</w:t>
            </w:r>
            <w:r>
              <w:rPr>
                <w:vertAlign w:val="superscript"/>
                <w:lang w:val="en-GB"/>
              </w:rPr>
              <w:t>3</w:t>
            </w:r>
          </w:p>
        </w:tc>
      </w:tr>
      <w:tr>
        <w:tc>
          <w:tcPr>
            <w:tcW w:w="1951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NO</w:t>
            </w:r>
            <w:r>
              <w:rPr>
                <w:vertAlign w:val="subscript"/>
                <w:lang w:val="en-GB"/>
              </w:rPr>
              <w:t>2</w:t>
            </w:r>
            <w:r>
              <w:rPr>
                <w:lang w:val="en-GB"/>
              </w:rPr>
              <w:t xml:space="preserve"> (DEFOR)</w:t>
            </w:r>
          </w:p>
        </w:tc>
        <w:tc>
          <w:tcPr>
            <w:tcW w:w="2253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0-50</w:t>
            </w:r>
          </w:p>
        </w:tc>
        <w:tc>
          <w:tcPr>
            <w:tcW w:w="1574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0-500</w:t>
            </w:r>
          </w:p>
        </w:tc>
        <w:tc>
          <w:tcPr>
            <w:tcW w:w="1560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92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mg/m</w:t>
            </w:r>
            <w:r>
              <w:rPr>
                <w:vertAlign w:val="superscript"/>
                <w:lang w:val="en-GB"/>
              </w:rPr>
              <w:t>3</w:t>
            </w:r>
          </w:p>
        </w:tc>
      </w:tr>
      <w:tr>
        <w:tc>
          <w:tcPr>
            <w:tcW w:w="1951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SO</w:t>
            </w:r>
            <w:r>
              <w:rPr>
                <w:vertAlign w:val="subscript"/>
                <w:lang w:val="en-GB"/>
              </w:rPr>
              <w:t>2</w:t>
            </w:r>
            <w:r>
              <w:rPr>
                <w:lang w:val="en-GB"/>
              </w:rPr>
              <w:t xml:space="preserve"> (UNOR)</w:t>
            </w:r>
          </w:p>
        </w:tc>
        <w:tc>
          <w:tcPr>
            <w:tcW w:w="2253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0-75</w:t>
            </w:r>
          </w:p>
        </w:tc>
        <w:tc>
          <w:tcPr>
            <w:tcW w:w="1574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0-287</w:t>
            </w:r>
          </w:p>
        </w:tc>
        <w:tc>
          <w:tcPr>
            <w:tcW w:w="1560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0-2000</w:t>
            </w:r>
          </w:p>
        </w:tc>
        <w:tc>
          <w:tcPr>
            <w:tcW w:w="992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mg/m</w:t>
            </w:r>
            <w:r>
              <w:rPr>
                <w:vertAlign w:val="superscript"/>
                <w:lang w:val="en-GB"/>
              </w:rPr>
              <w:t>3</w:t>
            </w:r>
          </w:p>
        </w:tc>
      </w:tr>
      <w:tr>
        <w:tc>
          <w:tcPr>
            <w:tcW w:w="1951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SO</w:t>
            </w:r>
            <w:r>
              <w:rPr>
                <w:vertAlign w:val="subscript"/>
                <w:lang w:val="en-GB"/>
              </w:rPr>
              <w:t>2</w:t>
            </w:r>
            <w:r>
              <w:rPr>
                <w:lang w:val="en-GB"/>
              </w:rPr>
              <w:t xml:space="preserve"> (DEFOR]</w:t>
            </w:r>
          </w:p>
        </w:tc>
        <w:tc>
          <w:tcPr>
            <w:tcW w:w="2253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0-75</w:t>
            </w:r>
          </w:p>
        </w:tc>
        <w:tc>
          <w:tcPr>
            <w:tcW w:w="1574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0-287</w:t>
            </w:r>
          </w:p>
        </w:tc>
        <w:tc>
          <w:tcPr>
            <w:tcW w:w="1560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0-2000</w:t>
            </w:r>
          </w:p>
        </w:tc>
        <w:tc>
          <w:tcPr>
            <w:tcW w:w="992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mg/m</w:t>
            </w:r>
            <w:r>
              <w:rPr>
                <w:vertAlign w:val="superscript"/>
                <w:lang w:val="en-GB"/>
              </w:rPr>
              <w:t>3</w:t>
            </w:r>
          </w:p>
        </w:tc>
      </w:tr>
      <w:tr>
        <w:tc>
          <w:tcPr>
            <w:tcW w:w="1951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CH</w:t>
            </w:r>
            <w:r>
              <w:rPr>
                <w:vertAlign w:val="subscript"/>
                <w:lang w:val="en-GB"/>
              </w:rPr>
              <w:t>4</w:t>
            </w:r>
            <w:r>
              <w:rPr>
                <w:lang w:val="en-GB"/>
              </w:rPr>
              <w:t xml:space="preserve"> (UNOR)</w:t>
            </w:r>
          </w:p>
        </w:tc>
        <w:tc>
          <w:tcPr>
            <w:tcW w:w="2253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0-50</w:t>
            </w:r>
          </w:p>
        </w:tc>
        <w:tc>
          <w:tcPr>
            <w:tcW w:w="1574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0-500</w:t>
            </w:r>
          </w:p>
        </w:tc>
        <w:tc>
          <w:tcPr>
            <w:tcW w:w="1560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92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mg/m</w:t>
            </w:r>
            <w:r>
              <w:rPr>
                <w:vertAlign w:val="superscript"/>
                <w:lang w:val="en-GB"/>
              </w:rPr>
              <w:t>3</w:t>
            </w:r>
          </w:p>
        </w:tc>
      </w:tr>
      <w:tr>
        <w:tc>
          <w:tcPr>
            <w:tcW w:w="1951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CH</w:t>
            </w:r>
            <w:r>
              <w:rPr>
                <w:vertAlign w:val="subscript"/>
                <w:lang w:val="en-GB"/>
              </w:rPr>
              <w:t>4</w:t>
            </w:r>
            <w:r>
              <w:rPr>
                <w:lang w:val="en-GB"/>
              </w:rPr>
              <w:t xml:space="preserve"> (MULTOR)*</w:t>
            </w:r>
          </w:p>
        </w:tc>
        <w:tc>
          <w:tcPr>
            <w:tcW w:w="2253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0-286</w:t>
            </w:r>
          </w:p>
        </w:tc>
        <w:tc>
          <w:tcPr>
            <w:tcW w:w="1574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0-500</w:t>
            </w:r>
          </w:p>
        </w:tc>
        <w:tc>
          <w:tcPr>
            <w:tcW w:w="1560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92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mg/m</w:t>
            </w:r>
            <w:r>
              <w:rPr>
                <w:vertAlign w:val="superscript"/>
                <w:lang w:val="en-GB"/>
              </w:rPr>
              <w:t>3</w:t>
            </w:r>
          </w:p>
        </w:tc>
      </w:tr>
      <w:tr>
        <w:tc>
          <w:tcPr>
            <w:tcW w:w="1951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CO</w:t>
            </w:r>
            <w:r>
              <w:rPr>
                <w:vertAlign w:val="subscript"/>
                <w:lang w:val="en-GB"/>
              </w:rPr>
              <w:t>2</w:t>
            </w:r>
            <w:r>
              <w:rPr>
                <w:lang w:val="en-GB"/>
              </w:rPr>
              <w:t xml:space="preserve"> (MULTOR)</w:t>
            </w:r>
          </w:p>
        </w:tc>
        <w:tc>
          <w:tcPr>
            <w:tcW w:w="2253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0-25</w:t>
            </w:r>
          </w:p>
        </w:tc>
        <w:tc>
          <w:tcPr>
            <w:tcW w:w="1574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60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92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Vol.-%</w:t>
            </w:r>
          </w:p>
        </w:tc>
      </w:tr>
      <w:tr>
        <w:tc>
          <w:tcPr>
            <w:tcW w:w="1951" w:type="dxa"/>
          </w:tcPr>
          <w:p>
            <w:pPr>
              <w:pStyle w:val="GesAbsatz"/>
              <w:tabs>
                <w:tab w:val="clear" w:pos="425"/>
              </w:tabs>
            </w:pPr>
            <w:r>
              <w:t>O</w:t>
            </w:r>
            <w:r>
              <w:rPr>
                <w:vertAlign w:val="subscript"/>
              </w:rPr>
              <w:t>2</w:t>
            </w:r>
            <w:r>
              <w:t xml:space="preserve"> (OXOR-P)</w:t>
            </w:r>
          </w:p>
        </w:tc>
        <w:tc>
          <w:tcPr>
            <w:tcW w:w="2253" w:type="dxa"/>
          </w:tcPr>
          <w:p>
            <w:pPr>
              <w:pStyle w:val="GesAbsatz"/>
              <w:tabs>
                <w:tab w:val="clear" w:pos="425"/>
              </w:tabs>
            </w:pPr>
            <w:r>
              <w:t>0-25</w:t>
            </w:r>
          </w:p>
        </w:tc>
        <w:tc>
          <w:tcPr>
            <w:tcW w:w="1574" w:type="dxa"/>
          </w:tcPr>
          <w:p>
            <w:pPr>
              <w:pStyle w:val="GesAbsatz"/>
              <w:tabs>
                <w:tab w:val="clear" w:pos="425"/>
              </w:tabs>
            </w:pPr>
            <w:r>
              <w:t>-</w:t>
            </w:r>
          </w:p>
        </w:tc>
        <w:tc>
          <w:tcPr>
            <w:tcW w:w="1560" w:type="dxa"/>
          </w:tcPr>
          <w:p>
            <w:pPr>
              <w:pStyle w:val="GesAbsatz"/>
              <w:tabs>
                <w:tab w:val="clear" w:pos="425"/>
              </w:tabs>
            </w:pPr>
            <w:r>
              <w:t>-</w:t>
            </w:r>
          </w:p>
        </w:tc>
        <w:tc>
          <w:tcPr>
            <w:tcW w:w="992" w:type="dxa"/>
          </w:tcPr>
          <w:p>
            <w:pPr>
              <w:pStyle w:val="GesAbsatz"/>
              <w:tabs>
                <w:tab w:val="clear" w:pos="425"/>
              </w:tabs>
            </w:pPr>
            <w:r>
              <w:t>Vol.-%</w:t>
            </w:r>
          </w:p>
        </w:tc>
      </w:tr>
    </w:tbl>
    <w:p>
      <w:pPr>
        <w:pStyle w:val="GesAbsatz"/>
        <w:rPr>
          <w:sz w:val="18"/>
          <w:szCs w:val="18"/>
        </w:rPr>
      </w:pPr>
      <w:r>
        <w:rPr>
          <w:sz w:val="18"/>
          <w:szCs w:val="18"/>
        </w:rPr>
        <w:t>*TA Luft und Feuerungsanlagen</w:t>
      </w:r>
    </w:p>
    <w:p>
      <w:pPr>
        <w:pStyle w:val="GesAbsatz"/>
        <w:ind w:left="1843" w:hanging="1843"/>
      </w:pPr>
      <w:r>
        <w:t xml:space="preserve">Softwareversionen: T825_090707_1000 </w:t>
      </w:r>
    </w:p>
    <w:p>
      <w:pPr>
        <w:pStyle w:val="GesAbsatz"/>
        <w:ind w:left="1843"/>
      </w:pPr>
      <w:r>
        <w:t xml:space="preserve">PC-Software: </w:t>
      </w:r>
      <w:proofErr w:type="spellStart"/>
      <w:r>
        <w:t>Sopas</w:t>
      </w:r>
      <w:proofErr w:type="spellEnd"/>
      <w:r>
        <w:t xml:space="preserve"> ET 2.20 </w:t>
      </w:r>
      <w:proofErr w:type="spellStart"/>
      <w:r>
        <w:t>Build</w:t>
      </w:r>
      <w:proofErr w:type="spellEnd"/>
      <w:r>
        <w:t xml:space="preserve"> 2766</w:t>
      </w:r>
    </w:p>
    <w:p>
      <w:pPr>
        <w:pStyle w:val="GesAbsatz"/>
      </w:pPr>
      <w:r>
        <w:t>Einschränkung:</w:t>
      </w:r>
    </w:p>
    <w:p>
      <w:pPr>
        <w:pStyle w:val="GesAbsatz"/>
      </w:pPr>
      <w:r>
        <w:t>Das Wartungsintervall ist im Rahmen der Prüfung des ordnungsgemäßen Einbaus zu bestimmen.</w:t>
      </w:r>
    </w:p>
    <w:p>
      <w:pPr>
        <w:pStyle w:val="GesAbsatz"/>
      </w:pPr>
      <w:r>
        <w:t>Hinweise:</w:t>
      </w:r>
    </w:p>
    <w:p>
      <w:pPr>
        <w:pStyle w:val="GesAbsatz"/>
        <w:ind w:left="426" w:hanging="426"/>
      </w:pPr>
      <w:r>
        <w:t>1.</w:t>
      </w:r>
      <w:r>
        <w:tab/>
        <w:t>Die Autokalibrierung der Nullpunkte ist wöchentlich mit befeuchteter Umgebungsluft für alle Kompone</w:t>
      </w:r>
      <w:r>
        <w:t>n</w:t>
      </w:r>
      <w:r>
        <w:t>ten mit Ausnahme von O</w:t>
      </w:r>
      <w:r>
        <w:rPr>
          <w:vertAlign w:val="subscript"/>
        </w:rPr>
        <w:t>2</w:t>
      </w:r>
      <w:r>
        <w:t xml:space="preserve"> (OXOR-P) durchzuführen.</w:t>
      </w:r>
    </w:p>
    <w:p>
      <w:pPr>
        <w:pStyle w:val="GesAbsatz"/>
        <w:ind w:left="426" w:hanging="426"/>
      </w:pPr>
      <w:r>
        <w:t>2.</w:t>
      </w:r>
      <w:r>
        <w:tab/>
        <w:t>Die automatische Referenzpunktkalibrierung ist wöchentlich mit befeuchteter Umgebungsluft für den Sensor OXOR-P (O</w:t>
      </w:r>
      <w:r>
        <w:rPr>
          <w:vertAlign w:val="subscript"/>
        </w:rPr>
        <w:t>2</w:t>
      </w:r>
      <w:r>
        <w:t>) durchzuführen.</w:t>
      </w:r>
    </w:p>
    <w:p>
      <w:pPr>
        <w:pStyle w:val="GesAbsatz"/>
        <w:ind w:left="426" w:hanging="426"/>
      </w:pPr>
      <w:r>
        <w:t>3.</w:t>
      </w:r>
      <w:r>
        <w:tab/>
        <w:t>Mit externer Klimatisierungseinheit erfüllt die Messeinrichtung die Mindestanforderungen auch bei einer Umgebungstemperatur von 50°C.</w:t>
      </w:r>
    </w:p>
    <w:p>
      <w:pPr>
        <w:pStyle w:val="GesAbsatz"/>
      </w:pPr>
      <w:r>
        <w:lastRenderedPageBreak/>
        <w:t>Prüfbericht:</w:t>
      </w:r>
    </w:p>
    <w:p>
      <w:pPr>
        <w:pStyle w:val="GesAbsatz"/>
      </w:pPr>
      <w:r>
        <w:t>TÜV Rheinland Immissionsschutz und Energiesysteme GmbH, Köln</w:t>
      </w:r>
    </w:p>
    <w:p>
      <w:pPr>
        <w:pStyle w:val="GesAbsatz"/>
      </w:pPr>
      <w:r>
        <w:t>Bericht-Nr.: 936/21211670/A vom 29. Oktober 2009</w:t>
      </w:r>
    </w:p>
    <w:p>
      <w:pPr>
        <w:pStyle w:val="GesAbsatz"/>
        <w:rPr>
          <w:b/>
          <w:lang w:val="en-GB"/>
        </w:rPr>
      </w:pPr>
      <w:r>
        <w:rPr>
          <w:b/>
          <w:lang w:val="en-GB"/>
        </w:rPr>
        <w:t xml:space="preserve">1.3 MCS 100 FT </w:t>
      </w:r>
      <w:r>
        <w:rPr>
          <w:b/>
        </w:rPr>
        <w:t>für</w:t>
      </w:r>
      <w:r>
        <w:rPr>
          <w:b/>
          <w:lang w:val="en-GB"/>
        </w:rPr>
        <w:t xml:space="preserve"> O</w:t>
      </w:r>
      <w:r>
        <w:rPr>
          <w:b/>
          <w:vertAlign w:val="subscript"/>
          <w:lang w:val="en-GB"/>
        </w:rPr>
        <w:t>2</w:t>
      </w:r>
      <w:r>
        <w:rPr>
          <w:b/>
          <w:lang w:val="en-GB"/>
        </w:rPr>
        <w:t>, CO, SO</w:t>
      </w:r>
      <w:r>
        <w:rPr>
          <w:b/>
          <w:vertAlign w:val="subscript"/>
          <w:lang w:val="en-GB"/>
        </w:rPr>
        <w:t>2</w:t>
      </w:r>
      <w:r>
        <w:rPr>
          <w:b/>
          <w:lang w:val="en-GB"/>
        </w:rPr>
        <w:t>, NO, NO</w:t>
      </w:r>
      <w:r>
        <w:rPr>
          <w:b/>
          <w:vertAlign w:val="subscript"/>
          <w:lang w:val="en-GB"/>
        </w:rPr>
        <w:t>2</w:t>
      </w:r>
      <w:r>
        <w:rPr>
          <w:b/>
          <w:lang w:val="en-GB"/>
        </w:rPr>
        <w:t>, HCl, HF, CH</w:t>
      </w:r>
      <w:r>
        <w:rPr>
          <w:b/>
          <w:vertAlign w:val="subscript"/>
          <w:lang w:val="en-GB"/>
        </w:rPr>
        <w:t>4</w:t>
      </w:r>
      <w:r>
        <w:rPr>
          <w:b/>
          <w:lang w:val="en-GB"/>
        </w:rPr>
        <w:t>, CO</w:t>
      </w:r>
      <w:r>
        <w:rPr>
          <w:b/>
          <w:vertAlign w:val="subscript"/>
          <w:lang w:val="en-GB"/>
        </w:rPr>
        <w:t>2</w:t>
      </w:r>
      <w:r>
        <w:rPr>
          <w:b/>
          <w:lang w:val="en-GB"/>
        </w:rPr>
        <w:t>, H</w:t>
      </w:r>
      <w:r>
        <w:rPr>
          <w:b/>
          <w:vertAlign w:val="subscript"/>
          <w:lang w:val="en-GB"/>
        </w:rPr>
        <w:t>2</w:t>
      </w:r>
      <w:r>
        <w:rPr>
          <w:b/>
          <w:lang w:val="en-GB"/>
        </w:rPr>
        <w:t>O und N</w:t>
      </w:r>
      <w:r>
        <w:rPr>
          <w:b/>
          <w:vertAlign w:val="subscript"/>
          <w:lang w:val="en-GB"/>
        </w:rPr>
        <w:t>2</w:t>
      </w:r>
      <w:r>
        <w:rPr>
          <w:b/>
          <w:lang w:val="en-GB"/>
        </w:rPr>
        <w:t>O</w:t>
      </w:r>
    </w:p>
    <w:p>
      <w:pPr>
        <w:pStyle w:val="GesAbsatz"/>
      </w:pPr>
      <w:r>
        <w:t>Hersteller:</w:t>
      </w:r>
    </w:p>
    <w:p>
      <w:pPr>
        <w:pStyle w:val="GesAbsatz"/>
      </w:pPr>
      <w:r>
        <w:t>SICK MAIHAK GmbH, Meersburg</w:t>
      </w:r>
    </w:p>
    <w:p>
      <w:pPr>
        <w:pStyle w:val="GesAbsatz"/>
      </w:pPr>
      <w:r>
        <w:t>Eignung:</w:t>
      </w:r>
    </w:p>
    <w:p>
      <w:pPr>
        <w:pStyle w:val="GesAbsatz"/>
      </w:pPr>
      <w:r>
        <w:t>Für genehmigungsbedürftige Anlagen sowie Anlagen der 27. BImSchV</w:t>
      </w:r>
    </w:p>
    <w:p>
      <w:pPr>
        <w:pStyle w:val="GesAbsatz"/>
      </w:pPr>
      <w:r>
        <w:t>Messbereiche in der Eignungsprüfung: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022"/>
        <w:gridCol w:w="1989"/>
        <w:gridCol w:w="1960"/>
        <w:gridCol w:w="1921"/>
        <w:gridCol w:w="1736"/>
      </w:tblGrid>
      <w:tr>
        <w:tc>
          <w:tcPr>
            <w:tcW w:w="2062" w:type="dxa"/>
            <w:vMerge w:val="restart"/>
            <w:vAlign w:val="bottom"/>
          </w:tcPr>
          <w:p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Kompone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te/Modul</w:t>
            </w:r>
          </w:p>
        </w:tc>
        <w:tc>
          <w:tcPr>
            <w:tcW w:w="2039" w:type="dxa"/>
            <w:vMerge w:val="restart"/>
            <w:vAlign w:val="bottom"/>
          </w:tcPr>
          <w:p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Zertifizierungsbereich</w:t>
            </w:r>
          </w:p>
        </w:tc>
        <w:tc>
          <w:tcPr>
            <w:tcW w:w="3979" w:type="dxa"/>
            <w:gridSpan w:val="2"/>
          </w:tcPr>
          <w:p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zusätzliche Mes</w:t>
            </w:r>
            <w:r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bereiche</w:t>
            </w:r>
          </w:p>
        </w:tc>
        <w:tc>
          <w:tcPr>
            <w:tcW w:w="1774" w:type="dxa"/>
            <w:vMerge w:val="restart"/>
            <w:vAlign w:val="bottom"/>
          </w:tcPr>
          <w:p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Einheit</w:t>
            </w:r>
          </w:p>
        </w:tc>
      </w:tr>
      <w:tr>
        <w:tc>
          <w:tcPr>
            <w:tcW w:w="2062" w:type="dxa"/>
            <w:vMerge/>
          </w:tcPr>
          <w:p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2039" w:type="dxa"/>
            <w:vMerge/>
          </w:tcPr>
          <w:p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2010" w:type="dxa"/>
          </w:tcPr>
          <w:p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Messbereich 1</w:t>
            </w:r>
          </w:p>
        </w:tc>
        <w:tc>
          <w:tcPr>
            <w:tcW w:w="1969" w:type="dxa"/>
          </w:tcPr>
          <w:p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Messbereich 2</w:t>
            </w:r>
          </w:p>
        </w:tc>
        <w:tc>
          <w:tcPr>
            <w:tcW w:w="1774" w:type="dxa"/>
            <w:vMerge/>
            <w:vAlign w:val="bottom"/>
          </w:tcPr>
          <w:p>
            <w:pPr>
              <w:pStyle w:val="GesAbsatz"/>
              <w:tabs>
                <w:tab w:val="clear" w:pos="425"/>
              </w:tabs>
              <w:jc w:val="center"/>
            </w:pPr>
          </w:p>
        </w:tc>
      </w:tr>
      <w:tr>
        <w:tc>
          <w:tcPr>
            <w:tcW w:w="2062" w:type="dxa"/>
          </w:tcPr>
          <w:p>
            <w:pPr>
              <w:pStyle w:val="GesAbsatz"/>
              <w:tabs>
                <w:tab w:val="clear" w:pos="425"/>
              </w:tabs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2039" w:type="dxa"/>
          </w:tcPr>
          <w:p>
            <w:pPr>
              <w:pStyle w:val="GesAbsatz"/>
              <w:tabs>
                <w:tab w:val="clear" w:pos="425"/>
              </w:tabs>
            </w:pPr>
            <w:r>
              <w:t>0-21</w:t>
            </w:r>
          </w:p>
        </w:tc>
        <w:tc>
          <w:tcPr>
            <w:tcW w:w="2010" w:type="dxa"/>
          </w:tcPr>
          <w:p>
            <w:pPr>
              <w:pStyle w:val="GesAbsatz"/>
              <w:tabs>
                <w:tab w:val="clear" w:pos="425"/>
              </w:tabs>
            </w:pPr>
            <w:r>
              <w:t>-</w:t>
            </w:r>
          </w:p>
        </w:tc>
        <w:tc>
          <w:tcPr>
            <w:tcW w:w="1969" w:type="dxa"/>
          </w:tcPr>
          <w:p>
            <w:pPr>
              <w:pStyle w:val="GesAbsatz"/>
              <w:tabs>
                <w:tab w:val="clear" w:pos="425"/>
              </w:tabs>
            </w:pPr>
            <w:r>
              <w:t>-</w:t>
            </w:r>
          </w:p>
        </w:tc>
        <w:tc>
          <w:tcPr>
            <w:tcW w:w="1774" w:type="dxa"/>
          </w:tcPr>
          <w:p>
            <w:pPr>
              <w:pStyle w:val="GesAbsatz"/>
              <w:tabs>
                <w:tab w:val="clear" w:pos="425"/>
              </w:tabs>
            </w:pPr>
            <w:r>
              <w:t>Vol.-%</w:t>
            </w:r>
          </w:p>
        </w:tc>
      </w:tr>
      <w:tr>
        <w:tc>
          <w:tcPr>
            <w:tcW w:w="2062" w:type="dxa"/>
          </w:tcPr>
          <w:p>
            <w:pPr>
              <w:pStyle w:val="GesAbsatz"/>
              <w:tabs>
                <w:tab w:val="clear" w:pos="425"/>
              </w:tabs>
            </w:pPr>
            <w:r>
              <w:t>CO</w:t>
            </w:r>
          </w:p>
        </w:tc>
        <w:tc>
          <w:tcPr>
            <w:tcW w:w="2039" w:type="dxa"/>
          </w:tcPr>
          <w:p>
            <w:pPr>
              <w:pStyle w:val="GesAbsatz"/>
              <w:tabs>
                <w:tab w:val="clear" w:pos="425"/>
              </w:tabs>
            </w:pPr>
            <w:r>
              <w:t>0-75</w:t>
            </w:r>
          </w:p>
        </w:tc>
        <w:tc>
          <w:tcPr>
            <w:tcW w:w="2010" w:type="dxa"/>
          </w:tcPr>
          <w:p>
            <w:pPr>
              <w:pStyle w:val="GesAbsatz"/>
              <w:tabs>
                <w:tab w:val="clear" w:pos="425"/>
              </w:tabs>
            </w:pPr>
            <w:r>
              <w:t>0-300</w:t>
            </w:r>
          </w:p>
        </w:tc>
        <w:tc>
          <w:tcPr>
            <w:tcW w:w="1969" w:type="dxa"/>
          </w:tcPr>
          <w:p>
            <w:pPr>
              <w:pStyle w:val="GesAbsatz"/>
              <w:tabs>
                <w:tab w:val="clear" w:pos="425"/>
              </w:tabs>
            </w:pPr>
            <w:r>
              <w:t>0-1500</w:t>
            </w:r>
          </w:p>
        </w:tc>
        <w:tc>
          <w:tcPr>
            <w:tcW w:w="1774" w:type="dxa"/>
          </w:tcPr>
          <w:p>
            <w:pPr>
              <w:pStyle w:val="GesAbsatz"/>
              <w:tabs>
                <w:tab w:val="clear" w:pos="425"/>
              </w:tabs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</w:tr>
      <w:tr>
        <w:tc>
          <w:tcPr>
            <w:tcW w:w="2062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SO</w:t>
            </w:r>
            <w:r>
              <w:rPr>
                <w:vertAlign w:val="subscript"/>
                <w:lang w:val="en-GB"/>
              </w:rPr>
              <w:t>2</w:t>
            </w:r>
          </w:p>
        </w:tc>
        <w:tc>
          <w:tcPr>
            <w:tcW w:w="2039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0-75</w:t>
            </w:r>
          </w:p>
        </w:tc>
        <w:tc>
          <w:tcPr>
            <w:tcW w:w="2010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0-300</w:t>
            </w:r>
          </w:p>
        </w:tc>
        <w:tc>
          <w:tcPr>
            <w:tcW w:w="1969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0-1500</w:t>
            </w:r>
          </w:p>
        </w:tc>
        <w:tc>
          <w:tcPr>
            <w:tcW w:w="1774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mg/m</w:t>
            </w:r>
            <w:r>
              <w:rPr>
                <w:vertAlign w:val="superscript"/>
                <w:lang w:val="en-GB"/>
              </w:rPr>
              <w:t>3</w:t>
            </w:r>
          </w:p>
        </w:tc>
      </w:tr>
      <w:tr>
        <w:tc>
          <w:tcPr>
            <w:tcW w:w="2062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039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0-200</w:t>
            </w:r>
          </w:p>
        </w:tc>
        <w:tc>
          <w:tcPr>
            <w:tcW w:w="2010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0-400</w:t>
            </w:r>
          </w:p>
        </w:tc>
        <w:tc>
          <w:tcPr>
            <w:tcW w:w="1969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0-2000</w:t>
            </w:r>
          </w:p>
        </w:tc>
        <w:tc>
          <w:tcPr>
            <w:tcW w:w="1774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mg/m</w:t>
            </w:r>
            <w:r>
              <w:rPr>
                <w:vertAlign w:val="superscript"/>
                <w:lang w:val="en-GB"/>
              </w:rPr>
              <w:t>3</w:t>
            </w:r>
          </w:p>
        </w:tc>
      </w:tr>
      <w:tr>
        <w:tc>
          <w:tcPr>
            <w:tcW w:w="2062" w:type="dxa"/>
          </w:tcPr>
          <w:p>
            <w:pPr>
              <w:pStyle w:val="GesAbsatz"/>
              <w:tabs>
                <w:tab w:val="clear" w:pos="425"/>
              </w:tabs>
            </w:pPr>
            <w:r>
              <w:t>NO</w:t>
            </w:r>
            <w:r>
              <w:rPr>
                <w:vertAlign w:val="subscript"/>
              </w:rPr>
              <w:t>2</w:t>
            </w:r>
          </w:p>
        </w:tc>
        <w:tc>
          <w:tcPr>
            <w:tcW w:w="2039" w:type="dxa"/>
          </w:tcPr>
          <w:p>
            <w:pPr>
              <w:pStyle w:val="GesAbsatz"/>
              <w:tabs>
                <w:tab w:val="clear" w:pos="425"/>
              </w:tabs>
            </w:pPr>
            <w:r>
              <w:t>0-100</w:t>
            </w:r>
          </w:p>
        </w:tc>
        <w:tc>
          <w:tcPr>
            <w:tcW w:w="2010" w:type="dxa"/>
          </w:tcPr>
          <w:p>
            <w:pPr>
              <w:pStyle w:val="GesAbsatz"/>
              <w:tabs>
                <w:tab w:val="clear" w:pos="425"/>
              </w:tabs>
            </w:pPr>
            <w:r>
              <w:t>-</w:t>
            </w:r>
          </w:p>
        </w:tc>
        <w:tc>
          <w:tcPr>
            <w:tcW w:w="1969" w:type="dxa"/>
          </w:tcPr>
          <w:p>
            <w:pPr>
              <w:pStyle w:val="GesAbsatz"/>
              <w:tabs>
                <w:tab w:val="clear" w:pos="425"/>
              </w:tabs>
            </w:pPr>
            <w:r>
              <w:t>0-500</w:t>
            </w:r>
          </w:p>
        </w:tc>
        <w:tc>
          <w:tcPr>
            <w:tcW w:w="1774" w:type="dxa"/>
          </w:tcPr>
          <w:p>
            <w:pPr>
              <w:pStyle w:val="GesAbsatz"/>
              <w:tabs>
                <w:tab w:val="clear" w:pos="425"/>
              </w:tabs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</w:tr>
      <w:tr>
        <w:tc>
          <w:tcPr>
            <w:tcW w:w="2062" w:type="dxa"/>
          </w:tcPr>
          <w:p>
            <w:pPr>
              <w:pStyle w:val="GesAbsatz"/>
              <w:tabs>
                <w:tab w:val="clear" w:pos="425"/>
              </w:tabs>
            </w:pPr>
            <w:r>
              <w:t>HCl</w:t>
            </w:r>
          </w:p>
        </w:tc>
        <w:tc>
          <w:tcPr>
            <w:tcW w:w="2039" w:type="dxa"/>
          </w:tcPr>
          <w:p>
            <w:pPr>
              <w:pStyle w:val="GesAbsatz"/>
              <w:tabs>
                <w:tab w:val="clear" w:pos="425"/>
              </w:tabs>
            </w:pPr>
            <w:r>
              <w:t>0-15</w:t>
            </w:r>
          </w:p>
        </w:tc>
        <w:tc>
          <w:tcPr>
            <w:tcW w:w="2010" w:type="dxa"/>
          </w:tcPr>
          <w:p>
            <w:pPr>
              <w:pStyle w:val="GesAbsatz"/>
              <w:tabs>
                <w:tab w:val="clear" w:pos="425"/>
              </w:tabs>
            </w:pPr>
            <w:r>
              <w:t>0-90</w:t>
            </w:r>
          </w:p>
        </w:tc>
        <w:tc>
          <w:tcPr>
            <w:tcW w:w="1969" w:type="dxa"/>
          </w:tcPr>
          <w:p>
            <w:pPr>
              <w:pStyle w:val="GesAbsatz"/>
              <w:tabs>
                <w:tab w:val="clear" w:pos="425"/>
              </w:tabs>
            </w:pPr>
            <w:r>
              <w:t>0-150</w:t>
            </w:r>
          </w:p>
        </w:tc>
        <w:tc>
          <w:tcPr>
            <w:tcW w:w="1774" w:type="dxa"/>
          </w:tcPr>
          <w:p>
            <w:pPr>
              <w:pStyle w:val="GesAbsatz"/>
              <w:tabs>
                <w:tab w:val="clear" w:pos="425"/>
              </w:tabs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</w:tr>
      <w:tr>
        <w:tc>
          <w:tcPr>
            <w:tcW w:w="2062" w:type="dxa"/>
          </w:tcPr>
          <w:p>
            <w:pPr>
              <w:pStyle w:val="GesAbsatz"/>
              <w:tabs>
                <w:tab w:val="clear" w:pos="425"/>
              </w:tabs>
            </w:pPr>
            <w:r>
              <w:t>HF</w:t>
            </w:r>
          </w:p>
        </w:tc>
        <w:tc>
          <w:tcPr>
            <w:tcW w:w="2039" w:type="dxa"/>
          </w:tcPr>
          <w:p>
            <w:pPr>
              <w:pStyle w:val="GesAbsatz"/>
              <w:tabs>
                <w:tab w:val="clear" w:pos="425"/>
              </w:tabs>
            </w:pPr>
            <w:r>
              <w:t>0-3</w:t>
            </w:r>
          </w:p>
        </w:tc>
        <w:tc>
          <w:tcPr>
            <w:tcW w:w="2010" w:type="dxa"/>
          </w:tcPr>
          <w:p>
            <w:pPr>
              <w:pStyle w:val="GesAbsatz"/>
              <w:tabs>
                <w:tab w:val="clear" w:pos="425"/>
              </w:tabs>
            </w:pPr>
            <w:r>
              <w:t>0-10</w:t>
            </w:r>
          </w:p>
        </w:tc>
        <w:tc>
          <w:tcPr>
            <w:tcW w:w="1969" w:type="dxa"/>
          </w:tcPr>
          <w:p>
            <w:pPr>
              <w:pStyle w:val="GesAbsatz"/>
              <w:tabs>
                <w:tab w:val="clear" w:pos="425"/>
              </w:tabs>
            </w:pPr>
            <w:r>
              <w:t>-</w:t>
            </w:r>
          </w:p>
        </w:tc>
        <w:tc>
          <w:tcPr>
            <w:tcW w:w="1774" w:type="dxa"/>
          </w:tcPr>
          <w:p>
            <w:pPr>
              <w:pStyle w:val="GesAbsatz"/>
              <w:tabs>
                <w:tab w:val="clear" w:pos="425"/>
              </w:tabs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</w:tr>
      <w:tr>
        <w:tc>
          <w:tcPr>
            <w:tcW w:w="2062" w:type="dxa"/>
          </w:tcPr>
          <w:p>
            <w:pPr>
              <w:pStyle w:val="GesAbsatz"/>
              <w:tabs>
                <w:tab w:val="clear" w:pos="425"/>
              </w:tabs>
            </w:pPr>
            <w:r>
              <w:t>CH</w:t>
            </w:r>
            <w:r>
              <w:rPr>
                <w:vertAlign w:val="subscript"/>
              </w:rPr>
              <w:t>4</w:t>
            </w:r>
          </w:p>
        </w:tc>
        <w:tc>
          <w:tcPr>
            <w:tcW w:w="2039" w:type="dxa"/>
          </w:tcPr>
          <w:p>
            <w:pPr>
              <w:pStyle w:val="GesAbsatz"/>
              <w:tabs>
                <w:tab w:val="clear" w:pos="425"/>
              </w:tabs>
            </w:pPr>
            <w:r>
              <w:t>0-50</w:t>
            </w:r>
          </w:p>
        </w:tc>
        <w:tc>
          <w:tcPr>
            <w:tcW w:w="2010" w:type="dxa"/>
          </w:tcPr>
          <w:p>
            <w:pPr>
              <w:pStyle w:val="GesAbsatz"/>
              <w:tabs>
                <w:tab w:val="clear" w:pos="425"/>
              </w:tabs>
            </w:pPr>
            <w:r>
              <w:t>-</w:t>
            </w:r>
          </w:p>
        </w:tc>
        <w:tc>
          <w:tcPr>
            <w:tcW w:w="1969" w:type="dxa"/>
          </w:tcPr>
          <w:p>
            <w:pPr>
              <w:pStyle w:val="GesAbsatz"/>
              <w:tabs>
                <w:tab w:val="clear" w:pos="425"/>
              </w:tabs>
            </w:pPr>
            <w:r>
              <w:t>0-150</w:t>
            </w:r>
          </w:p>
        </w:tc>
        <w:tc>
          <w:tcPr>
            <w:tcW w:w="1774" w:type="dxa"/>
          </w:tcPr>
          <w:p>
            <w:pPr>
              <w:pStyle w:val="GesAbsatz"/>
              <w:tabs>
                <w:tab w:val="clear" w:pos="425"/>
              </w:tabs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</w:tr>
      <w:tr>
        <w:tc>
          <w:tcPr>
            <w:tcW w:w="2062" w:type="dxa"/>
          </w:tcPr>
          <w:p>
            <w:pPr>
              <w:pStyle w:val="GesAbsatz"/>
              <w:tabs>
                <w:tab w:val="clear" w:pos="425"/>
              </w:tabs>
            </w:pPr>
            <w:r>
              <w:t>CO</w:t>
            </w:r>
            <w:r>
              <w:rPr>
                <w:vertAlign w:val="subscript"/>
              </w:rPr>
              <w:t>2</w:t>
            </w:r>
          </w:p>
        </w:tc>
        <w:tc>
          <w:tcPr>
            <w:tcW w:w="2039" w:type="dxa"/>
          </w:tcPr>
          <w:p>
            <w:pPr>
              <w:pStyle w:val="GesAbsatz"/>
              <w:tabs>
                <w:tab w:val="clear" w:pos="425"/>
              </w:tabs>
            </w:pPr>
            <w:r>
              <w:t>0-25</w:t>
            </w:r>
          </w:p>
        </w:tc>
        <w:tc>
          <w:tcPr>
            <w:tcW w:w="2010" w:type="dxa"/>
          </w:tcPr>
          <w:p>
            <w:pPr>
              <w:pStyle w:val="GesAbsatz"/>
              <w:tabs>
                <w:tab w:val="clear" w:pos="425"/>
              </w:tabs>
            </w:pPr>
            <w:r>
              <w:t>-</w:t>
            </w:r>
          </w:p>
        </w:tc>
        <w:tc>
          <w:tcPr>
            <w:tcW w:w="1969" w:type="dxa"/>
          </w:tcPr>
          <w:p>
            <w:pPr>
              <w:pStyle w:val="GesAbsatz"/>
              <w:tabs>
                <w:tab w:val="clear" w:pos="425"/>
              </w:tabs>
            </w:pPr>
            <w:r>
              <w:t>-</w:t>
            </w:r>
          </w:p>
        </w:tc>
        <w:tc>
          <w:tcPr>
            <w:tcW w:w="1774" w:type="dxa"/>
          </w:tcPr>
          <w:p>
            <w:pPr>
              <w:pStyle w:val="GesAbsatz"/>
              <w:tabs>
                <w:tab w:val="clear" w:pos="425"/>
              </w:tabs>
            </w:pPr>
            <w:r>
              <w:t>Vol.-%</w:t>
            </w:r>
          </w:p>
        </w:tc>
      </w:tr>
      <w:tr>
        <w:tc>
          <w:tcPr>
            <w:tcW w:w="2062" w:type="dxa"/>
          </w:tcPr>
          <w:p>
            <w:pPr>
              <w:pStyle w:val="GesAbsatz"/>
              <w:tabs>
                <w:tab w:val="clear" w:pos="425"/>
              </w:tabs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2039" w:type="dxa"/>
          </w:tcPr>
          <w:p>
            <w:pPr>
              <w:pStyle w:val="GesAbsatz"/>
              <w:tabs>
                <w:tab w:val="clear" w:pos="425"/>
              </w:tabs>
            </w:pPr>
            <w:r>
              <w:t>0-40</w:t>
            </w:r>
          </w:p>
        </w:tc>
        <w:tc>
          <w:tcPr>
            <w:tcW w:w="2010" w:type="dxa"/>
          </w:tcPr>
          <w:p>
            <w:pPr>
              <w:pStyle w:val="GesAbsatz"/>
              <w:tabs>
                <w:tab w:val="clear" w:pos="425"/>
              </w:tabs>
            </w:pPr>
            <w:r>
              <w:t>-</w:t>
            </w:r>
          </w:p>
        </w:tc>
        <w:tc>
          <w:tcPr>
            <w:tcW w:w="1969" w:type="dxa"/>
          </w:tcPr>
          <w:p>
            <w:pPr>
              <w:pStyle w:val="GesAbsatz"/>
              <w:tabs>
                <w:tab w:val="clear" w:pos="425"/>
              </w:tabs>
            </w:pPr>
            <w:r>
              <w:t>-</w:t>
            </w:r>
          </w:p>
        </w:tc>
        <w:tc>
          <w:tcPr>
            <w:tcW w:w="1774" w:type="dxa"/>
          </w:tcPr>
          <w:p>
            <w:pPr>
              <w:pStyle w:val="GesAbsatz"/>
              <w:tabs>
                <w:tab w:val="clear" w:pos="425"/>
              </w:tabs>
            </w:pPr>
            <w:r>
              <w:t>Vol.-%</w:t>
            </w:r>
          </w:p>
        </w:tc>
      </w:tr>
      <w:tr>
        <w:tc>
          <w:tcPr>
            <w:tcW w:w="2062" w:type="dxa"/>
          </w:tcPr>
          <w:p>
            <w:pPr>
              <w:pStyle w:val="GesAbsatz"/>
              <w:tabs>
                <w:tab w:val="clear" w:pos="425"/>
              </w:tabs>
            </w:pP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2039" w:type="dxa"/>
          </w:tcPr>
          <w:p>
            <w:pPr>
              <w:pStyle w:val="GesAbsatz"/>
              <w:tabs>
                <w:tab w:val="clear" w:pos="425"/>
              </w:tabs>
            </w:pPr>
            <w:r>
              <w:t>0-50</w:t>
            </w:r>
          </w:p>
        </w:tc>
        <w:tc>
          <w:tcPr>
            <w:tcW w:w="2010" w:type="dxa"/>
          </w:tcPr>
          <w:p>
            <w:pPr>
              <w:pStyle w:val="GesAbsatz"/>
              <w:tabs>
                <w:tab w:val="clear" w:pos="425"/>
              </w:tabs>
            </w:pPr>
            <w:r>
              <w:t>-</w:t>
            </w:r>
          </w:p>
        </w:tc>
        <w:tc>
          <w:tcPr>
            <w:tcW w:w="1969" w:type="dxa"/>
          </w:tcPr>
          <w:p>
            <w:pPr>
              <w:pStyle w:val="GesAbsatz"/>
              <w:tabs>
                <w:tab w:val="clear" w:pos="425"/>
              </w:tabs>
            </w:pPr>
            <w:r>
              <w:t>0-500</w:t>
            </w:r>
          </w:p>
        </w:tc>
        <w:tc>
          <w:tcPr>
            <w:tcW w:w="1774" w:type="dxa"/>
          </w:tcPr>
          <w:p>
            <w:pPr>
              <w:pStyle w:val="GesAbsatz"/>
              <w:tabs>
                <w:tab w:val="clear" w:pos="425"/>
              </w:tabs>
            </w:pPr>
            <w:r>
              <w:t>mg/m</w:t>
            </w:r>
            <w:r>
              <w:rPr>
                <w:vertAlign w:val="superscript"/>
              </w:rPr>
              <w:t>3</w:t>
            </w:r>
          </w:p>
        </w:tc>
      </w:tr>
    </w:tbl>
    <w:p>
      <w:pPr>
        <w:pStyle w:val="GesAbsatz"/>
        <w:tabs>
          <w:tab w:val="clear" w:pos="425"/>
          <w:tab w:val="left" w:pos="2127"/>
        </w:tabs>
        <w:ind w:left="2127" w:hanging="2127"/>
      </w:pPr>
      <w:r>
        <w:t>Softwareversionen:</w:t>
      </w:r>
      <w:r>
        <w:tab/>
        <w:t>MCS 100 FT Firmware 9114688_TJ59</w:t>
      </w:r>
      <w:r>
        <w:br/>
        <w:t>SCU Installationspaket 9125028_T825</w:t>
      </w:r>
      <w:r>
        <w:br/>
      </w:r>
      <w:proofErr w:type="spellStart"/>
      <w:r>
        <w:t>S</w:t>
      </w:r>
      <w:r>
        <w:t>o</w:t>
      </w:r>
      <w:r>
        <w:t>pas</w:t>
      </w:r>
      <w:proofErr w:type="spellEnd"/>
      <w:r>
        <w:t xml:space="preserve"> ET Version 2.20 </w:t>
      </w:r>
      <w:proofErr w:type="spellStart"/>
      <w:r>
        <w:t>Build</w:t>
      </w:r>
      <w:proofErr w:type="spellEnd"/>
      <w:r>
        <w:t xml:space="preserve"> 2766</w:t>
      </w:r>
    </w:p>
    <w:p>
      <w:pPr>
        <w:pStyle w:val="GesAbsatz"/>
      </w:pPr>
      <w:r>
        <w:t>Hinweise:</w:t>
      </w:r>
    </w:p>
    <w:p>
      <w:pPr>
        <w:pStyle w:val="GesAbsatz"/>
        <w:ind w:left="426" w:hanging="426"/>
      </w:pPr>
      <w:r>
        <w:t>1.</w:t>
      </w:r>
      <w:r>
        <w:tab/>
        <w:t>Die Messeinrichtung gibt die Messwerte bezogen auf trockenes Abgas unter Normbedingungen aus.</w:t>
      </w:r>
    </w:p>
    <w:p>
      <w:pPr>
        <w:pStyle w:val="GesAbsatz"/>
        <w:ind w:left="426" w:hanging="426"/>
      </w:pPr>
      <w:r>
        <w:t>2.</w:t>
      </w:r>
      <w:r>
        <w:tab/>
        <w:t>Das Wartungsintervall beträgt bei Integration der Komponente O</w:t>
      </w:r>
      <w:r>
        <w:rPr>
          <w:vertAlign w:val="subscript"/>
        </w:rPr>
        <w:t>2</w:t>
      </w:r>
      <w:r>
        <w:t xml:space="preserve"> vier Wochen, ansonsten drei Mon</w:t>
      </w:r>
      <w:r>
        <w:t>a</w:t>
      </w:r>
      <w:r>
        <w:t>te.</w:t>
      </w:r>
    </w:p>
    <w:p>
      <w:pPr>
        <w:pStyle w:val="GesAbsatz"/>
        <w:ind w:left="426" w:hanging="426"/>
      </w:pPr>
      <w:r>
        <w:t>3.</w:t>
      </w:r>
      <w:r>
        <w:tab/>
        <w:t>Für die Komponenten NO</w:t>
      </w:r>
      <w:r>
        <w:rPr>
          <w:vertAlign w:val="subscript"/>
        </w:rPr>
        <w:t>2</w:t>
      </w:r>
      <w:r>
        <w:t xml:space="preserve"> und HCl wurde die Anforderung bei der Eignungsprüfung nach DIN EN 15267-3 an den Korrelationskoeffizienten R</w:t>
      </w:r>
      <w:r>
        <w:rPr>
          <w:vertAlign w:val="superscript"/>
        </w:rPr>
        <w:t>2</w:t>
      </w:r>
      <w:r>
        <w:t xml:space="preserve"> der Kalibrierfunktion nicht erfüllt.</w:t>
      </w:r>
    </w:p>
    <w:p>
      <w:pPr>
        <w:pStyle w:val="GesAbsatz"/>
        <w:ind w:left="426" w:hanging="426"/>
      </w:pPr>
      <w:r>
        <w:t>4.</w:t>
      </w:r>
      <w:r>
        <w:tab/>
        <w:t>Für die Komponenten CO und HF wurden die Anforderungen bei der Eignungsprüfung nach DIN EN 15267-3 an die Gesamtunsicherheit nicht erfüllt.</w:t>
      </w:r>
    </w:p>
    <w:p>
      <w:pPr>
        <w:pStyle w:val="GesAbsatz"/>
        <w:ind w:left="426" w:hanging="426"/>
      </w:pPr>
      <w:r>
        <w:t>5.</w:t>
      </w:r>
      <w:r>
        <w:tab/>
        <w:t>Für die Referenzpunktkontrolle (QAL3) der Komponenten CO, SO</w:t>
      </w:r>
      <w:r>
        <w:rPr>
          <w:vertAlign w:val="subscript"/>
        </w:rPr>
        <w:t>2</w:t>
      </w:r>
      <w:r>
        <w:t>, NO, HCl, CH</w:t>
      </w:r>
      <w:r>
        <w:rPr>
          <w:vertAlign w:val="subscript"/>
        </w:rPr>
        <w:t>4</w:t>
      </w:r>
      <w:r>
        <w:t>, N</w:t>
      </w:r>
      <w:r>
        <w:rPr>
          <w:vertAlign w:val="subscript"/>
        </w:rPr>
        <w:t>2</w:t>
      </w:r>
      <w:r>
        <w:t>O, H</w:t>
      </w:r>
      <w:r>
        <w:rPr>
          <w:vertAlign w:val="subscript"/>
        </w:rPr>
        <w:t>2</w:t>
      </w:r>
      <w:r>
        <w:t>O, CO</w:t>
      </w:r>
      <w:r>
        <w:rPr>
          <w:vertAlign w:val="subscript"/>
        </w:rPr>
        <w:t>2</w:t>
      </w:r>
      <w:r>
        <w:t xml:space="preserve"> und HF kann alternativ zu Prüfgasen die interne automatische Justiereinrichtung eingesetzt werden.</w:t>
      </w:r>
    </w:p>
    <w:p>
      <w:pPr>
        <w:pStyle w:val="GesAbsatz"/>
        <w:ind w:left="426" w:hanging="426"/>
      </w:pPr>
      <w:r>
        <w:t>6.</w:t>
      </w:r>
      <w:r>
        <w:tab/>
        <w:t>Ergänzungsprüfung (Erweiterung um die Komponente O</w:t>
      </w:r>
      <w:r>
        <w:rPr>
          <w:vertAlign w:val="subscript"/>
        </w:rPr>
        <w:t>2</w:t>
      </w:r>
      <w:r>
        <w:t>, zusätzliche Messbereiche und geänderte QAL3-Prozedur) zur Bekanntgabe des Umweltbundesamtes vom 19. Februar 2009 (BAnz. S. 901).</w:t>
      </w:r>
    </w:p>
    <w:p>
      <w:pPr>
        <w:pStyle w:val="GesAbsatz"/>
      </w:pPr>
      <w:r>
        <w:t>Prüfbericht:</w:t>
      </w:r>
    </w:p>
    <w:p>
      <w:pPr>
        <w:pStyle w:val="GesAbsatz"/>
      </w:pPr>
      <w:r>
        <w:t>TÜV Rheinland Immissionsschutz und Energiesysteme GmbH, Köln</w:t>
      </w:r>
    </w:p>
    <w:p>
      <w:pPr>
        <w:pStyle w:val="GesAbsatz"/>
      </w:pPr>
      <w:r>
        <w:t>Bericht-Nr.: 936/21211742/A vom 26. Oktober 2009</w:t>
      </w:r>
    </w:p>
    <w:p>
      <w:pPr>
        <w:pStyle w:val="GesAbsatz"/>
        <w:rPr>
          <w:b/>
          <w:lang w:val="en-GB"/>
        </w:rPr>
      </w:pPr>
      <w:r>
        <w:rPr>
          <w:b/>
          <w:lang w:val="en-GB"/>
        </w:rPr>
        <w:t>1.4</w:t>
      </w:r>
      <w:r>
        <w:rPr>
          <w:b/>
          <w:lang w:val="en-GB"/>
        </w:rPr>
        <w:tab/>
        <w:t xml:space="preserve">MCA 04 </w:t>
      </w:r>
      <w:r>
        <w:rPr>
          <w:b/>
        </w:rPr>
        <w:t>für</w:t>
      </w:r>
      <w:r>
        <w:rPr>
          <w:b/>
          <w:lang w:val="en-GB"/>
        </w:rPr>
        <w:t xml:space="preserve"> N</w:t>
      </w:r>
      <w:r>
        <w:rPr>
          <w:b/>
          <w:vertAlign w:val="subscript"/>
          <w:lang w:val="en-GB"/>
        </w:rPr>
        <w:t>2</w:t>
      </w:r>
      <w:r>
        <w:rPr>
          <w:b/>
          <w:lang w:val="en-GB"/>
        </w:rPr>
        <w:t>O, NO</w:t>
      </w:r>
      <w:r>
        <w:rPr>
          <w:b/>
          <w:vertAlign w:val="subscript"/>
          <w:lang w:val="en-GB"/>
        </w:rPr>
        <w:t>2</w:t>
      </w:r>
      <w:r>
        <w:rPr>
          <w:b/>
          <w:lang w:val="en-GB"/>
        </w:rPr>
        <w:t>, H</w:t>
      </w:r>
      <w:r>
        <w:rPr>
          <w:b/>
          <w:vertAlign w:val="subscript"/>
          <w:lang w:val="en-GB"/>
        </w:rPr>
        <w:t>2</w:t>
      </w:r>
      <w:r>
        <w:rPr>
          <w:b/>
          <w:lang w:val="en-GB"/>
        </w:rPr>
        <w:t>O, HCl, CO, NO, SO</w:t>
      </w:r>
      <w:r>
        <w:rPr>
          <w:b/>
          <w:vertAlign w:val="subscript"/>
          <w:lang w:val="en-GB"/>
        </w:rPr>
        <w:t>2</w:t>
      </w:r>
      <w:r>
        <w:rPr>
          <w:b/>
          <w:lang w:val="en-GB"/>
        </w:rPr>
        <w:t>, NH</w:t>
      </w:r>
      <w:r>
        <w:rPr>
          <w:b/>
          <w:vertAlign w:val="subscript"/>
          <w:lang w:val="en-GB"/>
        </w:rPr>
        <w:t>3</w:t>
      </w:r>
      <w:r>
        <w:rPr>
          <w:b/>
          <w:lang w:val="en-GB"/>
        </w:rPr>
        <w:t>, CO</w:t>
      </w:r>
      <w:r>
        <w:rPr>
          <w:b/>
          <w:vertAlign w:val="subscript"/>
          <w:lang w:val="en-GB"/>
        </w:rPr>
        <w:t>2</w:t>
      </w:r>
      <w:r>
        <w:rPr>
          <w:b/>
          <w:lang w:val="en-GB"/>
        </w:rPr>
        <w:t xml:space="preserve"> und O</w:t>
      </w:r>
      <w:r>
        <w:rPr>
          <w:b/>
          <w:vertAlign w:val="subscript"/>
          <w:lang w:val="en-GB"/>
        </w:rPr>
        <w:t>2</w:t>
      </w:r>
    </w:p>
    <w:p>
      <w:pPr>
        <w:pStyle w:val="GesAbsatz"/>
      </w:pPr>
      <w:r>
        <w:t>Hersteller:</w:t>
      </w:r>
    </w:p>
    <w:p>
      <w:pPr>
        <w:pStyle w:val="GesAbsatz"/>
      </w:pPr>
      <w:r>
        <w:t>Dr. Födisch Umweltmesstechnik AG, Markranstädt</w:t>
      </w:r>
    </w:p>
    <w:p>
      <w:pPr>
        <w:pStyle w:val="GesAbsatz"/>
      </w:pPr>
      <w:r>
        <w:t>Eignung:</w:t>
      </w:r>
    </w:p>
    <w:p>
      <w:pPr>
        <w:pStyle w:val="GesAbsatz"/>
      </w:pPr>
      <w:r>
        <w:lastRenderedPageBreak/>
        <w:t>Für genehmigungsbedürftige Anlagen und Anlagen der 27. BImSchV</w:t>
      </w:r>
    </w:p>
    <w:p>
      <w:pPr>
        <w:pStyle w:val="GesAbsatz"/>
        <w:keepNext/>
      </w:pPr>
      <w:r>
        <w:t>Messbereiche in der Eignungsprüfung: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384"/>
        <w:gridCol w:w="1985"/>
        <w:gridCol w:w="2268"/>
        <w:gridCol w:w="992"/>
      </w:tblGrid>
      <w:tr>
        <w:tc>
          <w:tcPr>
            <w:tcW w:w="1384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Kompone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te</w:t>
            </w:r>
          </w:p>
        </w:tc>
        <w:tc>
          <w:tcPr>
            <w:tcW w:w="1985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Zertifizierungsbereich</w:t>
            </w:r>
          </w:p>
        </w:tc>
        <w:tc>
          <w:tcPr>
            <w:tcW w:w="2268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zusätzlicher Messbereich</w:t>
            </w:r>
          </w:p>
        </w:tc>
        <w:tc>
          <w:tcPr>
            <w:tcW w:w="992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Einheit</w:t>
            </w:r>
          </w:p>
        </w:tc>
      </w:tr>
      <w:tr>
        <w:tc>
          <w:tcPr>
            <w:tcW w:w="1384" w:type="dxa"/>
          </w:tcPr>
          <w:p>
            <w:pPr>
              <w:pStyle w:val="GesAbsatz"/>
              <w:keepNext/>
              <w:tabs>
                <w:tab w:val="clear" w:pos="425"/>
              </w:tabs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0</w:t>
            </w:r>
          </w:p>
        </w:tc>
        <w:tc>
          <w:tcPr>
            <w:tcW w:w="1985" w:type="dxa"/>
          </w:tcPr>
          <w:p>
            <w:pPr>
              <w:pStyle w:val="GesAbsatz"/>
              <w:keepNext/>
              <w:tabs>
                <w:tab w:val="clear" w:pos="425"/>
              </w:tabs>
            </w:pPr>
            <w:r>
              <w:t>0-40</w:t>
            </w:r>
          </w:p>
        </w:tc>
        <w:tc>
          <w:tcPr>
            <w:tcW w:w="2268" w:type="dxa"/>
          </w:tcPr>
          <w:p>
            <w:pPr>
              <w:pStyle w:val="GesAbsatz"/>
              <w:keepNext/>
              <w:tabs>
                <w:tab w:val="clear" w:pos="425"/>
              </w:tabs>
            </w:pPr>
            <w:r>
              <w:t>-</w:t>
            </w:r>
          </w:p>
        </w:tc>
        <w:tc>
          <w:tcPr>
            <w:tcW w:w="992" w:type="dxa"/>
          </w:tcPr>
          <w:p>
            <w:pPr>
              <w:pStyle w:val="GesAbsatz"/>
              <w:keepNext/>
              <w:tabs>
                <w:tab w:val="clear" w:pos="425"/>
              </w:tabs>
            </w:pPr>
            <w:r>
              <w:t>Vol.-%</w:t>
            </w:r>
          </w:p>
        </w:tc>
      </w:tr>
      <w:tr>
        <w:tc>
          <w:tcPr>
            <w:tcW w:w="1384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HCl</w:t>
            </w:r>
          </w:p>
        </w:tc>
        <w:tc>
          <w:tcPr>
            <w:tcW w:w="1985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0-15</w:t>
            </w:r>
          </w:p>
        </w:tc>
        <w:tc>
          <w:tcPr>
            <w:tcW w:w="2268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0-90</w:t>
            </w:r>
          </w:p>
        </w:tc>
        <w:tc>
          <w:tcPr>
            <w:tcW w:w="992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mg/m</w:t>
            </w:r>
            <w:r>
              <w:rPr>
                <w:vertAlign w:val="superscript"/>
                <w:lang w:val="en-GB"/>
              </w:rPr>
              <w:t>3</w:t>
            </w:r>
          </w:p>
        </w:tc>
      </w:tr>
      <w:tr>
        <w:tc>
          <w:tcPr>
            <w:tcW w:w="1384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CO</w:t>
            </w:r>
          </w:p>
        </w:tc>
        <w:tc>
          <w:tcPr>
            <w:tcW w:w="1985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0-75</w:t>
            </w:r>
          </w:p>
        </w:tc>
        <w:tc>
          <w:tcPr>
            <w:tcW w:w="2268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0-300</w:t>
            </w:r>
          </w:p>
        </w:tc>
        <w:tc>
          <w:tcPr>
            <w:tcW w:w="992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mg/m</w:t>
            </w:r>
            <w:r>
              <w:rPr>
                <w:vertAlign w:val="superscript"/>
                <w:lang w:val="en-GB"/>
              </w:rPr>
              <w:t>3</w:t>
            </w:r>
          </w:p>
        </w:tc>
      </w:tr>
      <w:tr>
        <w:tc>
          <w:tcPr>
            <w:tcW w:w="1384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985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0-200</w:t>
            </w:r>
          </w:p>
        </w:tc>
        <w:tc>
          <w:tcPr>
            <w:tcW w:w="2268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0-395</w:t>
            </w:r>
          </w:p>
        </w:tc>
        <w:tc>
          <w:tcPr>
            <w:tcW w:w="992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mg/m</w:t>
            </w:r>
            <w:r>
              <w:rPr>
                <w:vertAlign w:val="superscript"/>
                <w:lang w:val="en-GB"/>
              </w:rPr>
              <w:t>3</w:t>
            </w:r>
          </w:p>
        </w:tc>
      </w:tr>
      <w:tr>
        <w:tc>
          <w:tcPr>
            <w:tcW w:w="1384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SO</w:t>
            </w:r>
            <w:r>
              <w:rPr>
                <w:vertAlign w:val="subscript"/>
                <w:lang w:val="en-GB"/>
              </w:rPr>
              <w:t>2</w:t>
            </w:r>
          </w:p>
        </w:tc>
        <w:tc>
          <w:tcPr>
            <w:tcW w:w="1985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0-75</w:t>
            </w:r>
          </w:p>
        </w:tc>
        <w:tc>
          <w:tcPr>
            <w:tcW w:w="2268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0-300</w:t>
            </w:r>
          </w:p>
        </w:tc>
        <w:tc>
          <w:tcPr>
            <w:tcW w:w="992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mg/m</w:t>
            </w:r>
            <w:r>
              <w:rPr>
                <w:vertAlign w:val="superscript"/>
                <w:lang w:val="en-GB"/>
              </w:rPr>
              <w:t>3</w:t>
            </w:r>
          </w:p>
        </w:tc>
      </w:tr>
      <w:tr>
        <w:tc>
          <w:tcPr>
            <w:tcW w:w="1384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NH</w:t>
            </w:r>
            <w:r>
              <w:rPr>
                <w:vertAlign w:val="subscript"/>
                <w:lang w:val="en-GB"/>
              </w:rPr>
              <w:t>3</w:t>
            </w:r>
          </w:p>
        </w:tc>
        <w:tc>
          <w:tcPr>
            <w:tcW w:w="1985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0-30</w:t>
            </w:r>
          </w:p>
        </w:tc>
        <w:tc>
          <w:tcPr>
            <w:tcW w:w="2268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0-75</w:t>
            </w:r>
          </w:p>
        </w:tc>
        <w:tc>
          <w:tcPr>
            <w:tcW w:w="992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mg/m</w:t>
            </w:r>
            <w:r>
              <w:rPr>
                <w:vertAlign w:val="superscript"/>
                <w:lang w:val="en-GB"/>
              </w:rPr>
              <w:t>3</w:t>
            </w:r>
          </w:p>
        </w:tc>
      </w:tr>
      <w:tr>
        <w:tc>
          <w:tcPr>
            <w:tcW w:w="1384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CO</w:t>
            </w:r>
            <w:r>
              <w:rPr>
                <w:vertAlign w:val="subscript"/>
                <w:lang w:val="en-GB"/>
              </w:rPr>
              <w:t>2</w:t>
            </w:r>
          </w:p>
        </w:tc>
        <w:tc>
          <w:tcPr>
            <w:tcW w:w="1985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0-20</w:t>
            </w:r>
          </w:p>
        </w:tc>
        <w:tc>
          <w:tcPr>
            <w:tcW w:w="2268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92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Vol.-%</w:t>
            </w:r>
          </w:p>
        </w:tc>
      </w:tr>
      <w:tr>
        <w:tc>
          <w:tcPr>
            <w:tcW w:w="1384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O</w:t>
            </w:r>
            <w:r>
              <w:rPr>
                <w:vertAlign w:val="subscript"/>
                <w:lang w:val="en-GB"/>
              </w:rPr>
              <w:t>2</w:t>
            </w:r>
          </w:p>
        </w:tc>
        <w:tc>
          <w:tcPr>
            <w:tcW w:w="1985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0-25</w:t>
            </w:r>
          </w:p>
        </w:tc>
        <w:tc>
          <w:tcPr>
            <w:tcW w:w="2268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92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Vol.-%</w:t>
            </w:r>
          </w:p>
        </w:tc>
      </w:tr>
      <w:tr>
        <w:tc>
          <w:tcPr>
            <w:tcW w:w="1384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N</w:t>
            </w:r>
            <w:r>
              <w:rPr>
                <w:vertAlign w:val="subscript"/>
                <w:lang w:val="en-GB"/>
              </w:rPr>
              <w:t>2</w:t>
            </w:r>
            <w:r>
              <w:rPr>
                <w:lang w:val="en-GB"/>
              </w:rPr>
              <w:t>O</w:t>
            </w:r>
          </w:p>
        </w:tc>
        <w:tc>
          <w:tcPr>
            <w:tcW w:w="1985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0-50</w:t>
            </w:r>
          </w:p>
        </w:tc>
        <w:tc>
          <w:tcPr>
            <w:tcW w:w="2268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0-1000</w:t>
            </w:r>
          </w:p>
        </w:tc>
        <w:tc>
          <w:tcPr>
            <w:tcW w:w="992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mg/m</w:t>
            </w:r>
            <w:r>
              <w:rPr>
                <w:vertAlign w:val="superscript"/>
                <w:lang w:val="en-GB"/>
              </w:rPr>
              <w:t>3</w:t>
            </w:r>
          </w:p>
        </w:tc>
      </w:tr>
      <w:tr>
        <w:tc>
          <w:tcPr>
            <w:tcW w:w="1384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NO</w:t>
            </w:r>
            <w:r>
              <w:rPr>
                <w:vertAlign w:val="subscript"/>
                <w:lang w:val="en-GB"/>
              </w:rPr>
              <w:t>2</w:t>
            </w:r>
          </w:p>
        </w:tc>
        <w:tc>
          <w:tcPr>
            <w:tcW w:w="1985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0-50</w:t>
            </w:r>
          </w:p>
        </w:tc>
        <w:tc>
          <w:tcPr>
            <w:tcW w:w="2268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0-1000</w:t>
            </w:r>
          </w:p>
        </w:tc>
        <w:tc>
          <w:tcPr>
            <w:tcW w:w="992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mg/m</w:t>
            </w:r>
            <w:r>
              <w:rPr>
                <w:vertAlign w:val="superscript"/>
                <w:lang w:val="en-GB"/>
              </w:rPr>
              <w:t>3</w:t>
            </w:r>
          </w:p>
        </w:tc>
      </w:tr>
    </w:tbl>
    <w:p>
      <w:pPr>
        <w:pStyle w:val="GesAbsatz"/>
      </w:pPr>
      <w:r>
        <w:t>Softwareversion: MC3 Firmware V 1.83</w:t>
      </w:r>
    </w:p>
    <w:p>
      <w:pPr>
        <w:pStyle w:val="GesAbsatz"/>
      </w:pPr>
      <w:r>
        <w:t>Einschränkungen:</w:t>
      </w:r>
    </w:p>
    <w:p>
      <w:pPr>
        <w:pStyle w:val="GesAbsatz"/>
        <w:ind w:left="426" w:hanging="426"/>
      </w:pPr>
      <w:r>
        <w:t>1.</w:t>
      </w:r>
      <w:r>
        <w:tab/>
        <w:t>Für SO</w:t>
      </w:r>
      <w:r>
        <w:rPr>
          <w:vertAlign w:val="subscript"/>
        </w:rPr>
        <w:t>2</w:t>
      </w:r>
      <w:r>
        <w:t xml:space="preserve"> im Messbereich 0-75 mg/m</w:t>
      </w:r>
      <w:r>
        <w:rPr>
          <w:vertAlign w:val="superscript"/>
        </w:rPr>
        <w:t>3</w:t>
      </w:r>
      <w:r>
        <w:t xml:space="preserve"> sind die Mindestanforderungen für die Querempfindlichkeit bei HCl-Konzentrationen &gt; 50 mg/m</w:t>
      </w:r>
      <w:r>
        <w:rPr>
          <w:vertAlign w:val="superscript"/>
        </w:rPr>
        <w:t>3</w:t>
      </w:r>
      <w:r>
        <w:t xml:space="preserve"> und bei N</w:t>
      </w:r>
      <w:r>
        <w:rPr>
          <w:vertAlign w:val="subscript"/>
        </w:rPr>
        <w:t>2</w:t>
      </w:r>
      <w:r>
        <w:t>O-Konzentrationen &gt; 20 mg/m</w:t>
      </w:r>
      <w:r>
        <w:rPr>
          <w:vertAlign w:val="superscript"/>
        </w:rPr>
        <w:t>3</w:t>
      </w:r>
      <w:r>
        <w:t xml:space="preserve"> nicht erfüllt.</w:t>
      </w:r>
    </w:p>
    <w:p>
      <w:pPr>
        <w:pStyle w:val="GesAbsatz"/>
        <w:ind w:left="426" w:hanging="426"/>
      </w:pPr>
      <w:r>
        <w:t>2.</w:t>
      </w:r>
      <w:r>
        <w:tab/>
        <w:t>Für HCl im Messbereich 0-15 mg/m</w:t>
      </w:r>
      <w:r>
        <w:rPr>
          <w:vertAlign w:val="superscript"/>
        </w:rPr>
        <w:t>3</w:t>
      </w:r>
      <w:r>
        <w:t xml:space="preserve"> sind die Mindestanforderungen für die Querempfindlichkeit bei SO</w:t>
      </w:r>
      <w:r>
        <w:rPr>
          <w:vertAlign w:val="subscript"/>
        </w:rPr>
        <w:t>2</w:t>
      </w:r>
      <w:r>
        <w:t>-Konzentrationen &gt; 200 mg/m</w:t>
      </w:r>
      <w:r>
        <w:rPr>
          <w:vertAlign w:val="superscript"/>
        </w:rPr>
        <w:t>3</w:t>
      </w:r>
      <w:r>
        <w:t xml:space="preserve"> und N</w:t>
      </w:r>
      <w:r>
        <w:rPr>
          <w:vertAlign w:val="subscript"/>
        </w:rPr>
        <w:t>2</w:t>
      </w:r>
      <w:r>
        <w:t>O-Konzentrationen &gt; 20 mg/m</w:t>
      </w:r>
      <w:r>
        <w:rPr>
          <w:vertAlign w:val="superscript"/>
        </w:rPr>
        <w:t>3</w:t>
      </w:r>
      <w:r>
        <w:t xml:space="preserve"> nicht erfüllt.</w:t>
      </w:r>
    </w:p>
    <w:p>
      <w:pPr>
        <w:pStyle w:val="GesAbsatz"/>
        <w:ind w:left="426" w:hanging="426"/>
      </w:pPr>
      <w:r>
        <w:t>3.</w:t>
      </w:r>
      <w:r>
        <w:tab/>
        <w:t>Von den Komponenten N</w:t>
      </w:r>
      <w:r>
        <w:rPr>
          <w:vertAlign w:val="subscript"/>
        </w:rPr>
        <w:t>2</w:t>
      </w:r>
      <w:r>
        <w:t>O, NO</w:t>
      </w:r>
      <w:r>
        <w:rPr>
          <w:vertAlign w:val="subscript"/>
        </w:rPr>
        <w:t>2</w:t>
      </w:r>
      <w:r>
        <w:t>, H</w:t>
      </w:r>
      <w:r>
        <w:rPr>
          <w:vertAlign w:val="subscript"/>
        </w:rPr>
        <w:t>2</w:t>
      </w:r>
      <w:r>
        <w:t>O, HCl, CO, NO, SO</w:t>
      </w:r>
      <w:r>
        <w:rPr>
          <w:vertAlign w:val="subscript"/>
        </w:rPr>
        <w:t>2</w:t>
      </w:r>
      <w:r>
        <w:t>, NH</w:t>
      </w:r>
      <w:r>
        <w:rPr>
          <w:vertAlign w:val="subscript"/>
        </w:rPr>
        <w:t>3</w:t>
      </w:r>
      <w:r>
        <w:t xml:space="preserve"> und CO</w:t>
      </w:r>
      <w:r>
        <w:rPr>
          <w:vertAlign w:val="subscript"/>
        </w:rPr>
        <w:t>2</w:t>
      </w:r>
      <w:r>
        <w:t xml:space="preserve"> können simultan nur acht Komponenten gemessen werden.</w:t>
      </w:r>
    </w:p>
    <w:p>
      <w:pPr>
        <w:pStyle w:val="GesAbsatz"/>
      </w:pPr>
      <w:r>
        <w:t>Hinweise:</w:t>
      </w:r>
    </w:p>
    <w:p>
      <w:pPr>
        <w:pStyle w:val="GesAbsatz"/>
        <w:ind w:left="426" w:hanging="426"/>
      </w:pPr>
      <w:r>
        <w:t>1.</w:t>
      </w:r>
      <w:r>
        <w:tab/>
        <w:t>Die Messeinrichtung arbeitet mit feuchtem Abgas.</w:t>
      </w:r>
    </w:p>
    <w:p>
      <w:pPr>
        <w:pStyle w:val="GesAbsatz"/>
        <w:ind w:left="426" w:hanging="426"/>
      </w:pPr>
      <w:r>
        <w:t>2.</w:t>
      </w:r>
      <w:r>
        <w:tab/>
        <w:t>Das Wartungsintervall beträgt für die Messkomponenten N</w:t>
      </w:r>
      <w:r>
        <w:rPr>
          <w:vertAlign w:val="subscript"/>
        </w:rPr>
        <w:t>2</w:t>
      </w:r>
      <w:r>
        <w:t>O und NO</w:t>
      </w:r>
      <w:r>
        <w:rPr>
          <w:vertAlign w:val="subscript"/>
        </w:rPr>
        <w:t>2</w:t>
      </w:r>
      <w:r>
        <w:t xml:space="preserve"> vier Wochen und für die Mes</w:t>
      </w:r>
      <w:r>
        <w:t>s</w:t>
      </w:r>
      <w:r>
        <w:t>komponenten H</w:t>
      </w:r>
      <w:r>
        <w:rPr>
          <w:vertAlign w:val="subscript"/>
        </w:rPr>
        <w:t>2</w:t>
      </w:r>
      <w:r>
        <w:t>O, HCl, CO, NO, SO</w:t>
      </w:r>
      <w:r>
        <w:rPr>
          <w:vertAlign w:val="subscript"/>
        </w:rPr>
        <w:t>2</w:t>
      </w:r>
      <w:r>
        <w:t>, NH</w:t>
      </w:r>
      <w:r>
        <w:rPr>
          <w:vertAlign w:val="subscript"/>
        </w:rPr>
        <w:t>3</w:t>
      </w:r>
      <w:r>
        <w:t>, CO</w:t>
      </w:r>
      <w:r>
        <w:rPr>
          <w:vertAlign w:val="subscript"/>
        </w:rPr>
        <w:t>2</w:t>
      </w:r>
      <w:r>
        <w:t xml:space="preserve"> und O</w:t>
      </w:r>
      <w:r>
        <w:rPr>
          <w:vertAlign w:val="subscript"/>
        </w:rPr>
        <w:t>2</w:t>
      </w:r>
      <w:r>
        <w:t xml:space="preserve"> drei Monate.</w:t>
      </w:r>
    </w:p>
    <w:p>
      <w:pPr>
        <w:pStyle w:val="GesAbsatz"/>
        <w:ind w:left="426" w:hanging="426"/>
      </w:pPr>
      <w:r>
        <w:t>3.</w:t>
      </w:r>
      <w:r>
        <w:tab/>
        <w:t>Ergänzungsprüfung (Erweiterung um die Messkomponenten NO</w:t>
      </w:r>
      <w:r>
        <w:rPr>
          <w:vertAlign w:val="subscript"/>
        </w:rPr>
        <w:t>2</w:t>
      </w:r>
      <w:r>
        <w:t xml:space="preserve"> und N</w:t>
      </w:r>
      <w:r>
        <w:rPr>
          <w:vertAlign w:val="subscript"/>
        </w:rPr>
        <w:t>2</w:t>
      </w:r>
      <w:r>
        <w:t>O) zu den Bekanntgaben des Umweltbundesamtes vom 27. Mai 2005 (BAnz. S. 15 701) und vom 21. Februar 2006 (BAnz. S. 2654).</w:t>
      </w:r>
    </w:p>
    <w:p>
      <w:pPr>
        <w:pStyle w:val="GesAbsatz"/>
      </w:pPr>
      <w:r>
        <w:t>Prüfbericht:</w:t>
      </w:r>
    </w:p>
    <w:p>
      <w:pPr>
        <w:pStyle w:val="GesAbsatz"/>
      </w:pPr>
      <w:r>
        <w:t>TÜV Rheinland Immissionsschutz und Energiesysteme GmbH, Köln</w:t>
      </w:r>
    </w:p>
    <w:p>
      <w:pPr>
        <w:pStyle w:val="GesAbsatz"/>
      </w:pPr>
      <w:r>
        <w:t>Bericht-Nr.: 936/21211571/A vom 28. Oktober 2009</w:t>
      </w:r>
    </w:p>
    <w:p>
      <w:pPr>
        <w:pStyle w:val="berschrift2"/>
      </w:pPr>
      <w:bookmarkStart w:id="8" w:name="_Toc254698276"/>
      <w:bookmarkStart w:id="9" w:name="_Toc254938571"/>
      <w:r>
        <w:t>II.</w:t>
      </w:r>
      <w:bookmarkStart w:id="10" w:name="_Toc254698277"/>
      <w:bookmarkEnd w:id="8"/>
      <w:r>
        <w:br/>
        <w:t>Eignung für Messeinrichtungen zur kontinuierlichen Messung von Bezugsgr</w:t>
      </w:r>
      <w:r>
        <w:t>ö</w:t>
      </w:r>
      <w:r>
        <w:t>ßen/Betriebsgrößen</w:t>
      </w:r>
      <w:bookmarkEnd w:id="9"/>
      <w:bookmarkEnd w:id="10"/>
    </w:p>
    <w:p>
      <w:pPr>
        <w:pStyle w:val="berschrift3"/>
        <w:jc w:val="left"/>
      </w:pPr>
      <w:bookmarkStart w:id="11" w:name="_Toc254698278"/>
      <w:bookmarkStart w:id="12" w:name="_Toc254938572"/>
      <w:r>
        <w:t>1</w:t>
      </w:r>
      <w:r>
        <w:tab/>
        <w:t>Sauerstoff (O</w:t>
      </w:r>
      <w:r>
        <w:rPr>
          <w:vertAlign w:val="subscript"/>
        </w:rPr>
        <w:t>2</w:t>
      </w:r>
      <w:r>
        <w:t>)</w:t>
      </w:r>
      <w:bookmarkEnd w:id="11"/>
      <w:bookmarkEnd w:id="12"/>
    </w:p>
    <w:p>
      <w:pPr>
        <w:pStyle w:val="GesAbsatz"/>
      </w:pPr>
      <w:r>
        <w:t>1.1</w:t>
      </w:r>
      <w:r>
        <w:tab/>
        <w:t>ZFK8 + ZKM</w:t>
      </w:r>
    </w:p>
    <w:p>
      <w:pPr>
        <w:pStyle w:val="GesAbsatz"/>
        <w:rPr>
          <w:lang w:val="en-GB"/>
        </w:rPr>
      </w:pPr>
      <w:r>
        <w:t>Hersteller</w:t>
      </w:r>
      <w:r>
        <w:rPr>
          <w:lang w:val="en-GB"/>
        </w:rPr>
        <w:t>:</w:t>
      </w:r>
    </w:p>
    <w:p>
      <w:pPr>
        <w:pStyle w:val="GesAbsatz"/>
        <w:rPr>
          <w:lang w:val="en-GB"/>
        </w:rPr>
      </w:pPr>
      <w:r>
        <w:rPr>
          <w:lang w:val="en-GB"/>
        </w:rPr>
        <w:t xml:space="preserve">Fuji Electric Systems Co., Ltd.,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Tokyo</w:t>
          </w:r>
        </w:smartTag>
        <w:r>
          <w:rPr>
            <w:lang w:val="en-GB"/>
          </w:rPr>
          <w:t xml:space="preserve">, </w:t>
        </w:r>
        <w:smartTag w:uri="urn:schemas-microsoft-com:office:smarttags" w:element="country-region">
          <w:r>
            <w:rPr>
              <w:lang w:val="en-GB"/>
            </w:rPr>
            <w:t>Japan</w:t>
          </w:r>
        </w:smartTag>
      </w:smartTag>
    </w:p>
    <w:p>
      <w:pPr>
        <w:pStyle w:val="GesAbsatz"/>
      </w:pPr>
      <w:r>
        <w:t>Eignung:</w:t>
      </w:r>
    </w:p>
    <w:p>
      <w:pPr>
        <w:pStyle w:val="GesAbsatz"/>
      </w:pPr>
      <w:r>
        <w:t>Für genehmigungsbedürftige Anlagen und Anlagen der 27. BImSchV</w:t>
      </w:r>
    </w:p>
    <w:p>
      <w:pPr>
        <w:pStyle w:val="GesAbsatz"/>
        <w:keepNext/>
      </w:pPr>
      <w:r>
        <w:lastRenderedPageBreak/>
        <w:t>Messbereiche in der Eignungsprüfung: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384"/>
        <w:gridCol w:w="2126"/>
        <w:gridCol w:w="2268"/>
        <w:gridCol w:w="993"/>
      </w:tblGrid>
      <w:tr>
        <w:tc>
          <w:tcPr>
            <w:tcW w:w="1384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Kompone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te</w:t>
            </w:r>
          </w:p>
        </w:tc>
        <w:tc>
          <w:tcPr>
            <w:tcW w:w="2126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Zertifizierungsbereich</w:t>
            </w:r>
          </w:p>
        </w:tc>
        <w:tc>
          <w:tcPr>
            <w:tcW w:w="2268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zusätzlicher Messbereich</w:t>
            </w:r>
          </w:p>
        </w:tc>
        <w:tc>
          <w:tcPr>
            <w:tcW w:w="993" w:type="dxa"/>
          </w:tcPr>
          <w:p>
            <w:pPr>
              <w:pStyle w:val="GesAbsatz"/>
              <w:keepNext/>
              <w:tabs>
                <w:tab w:val="clear" w:pos="4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Einheit</w:t>
            </w:r>
          </w:p>
        </w:tc>
      </w:tr>
      <w:tr>
        <w:tc>
          <w:tcPr>
            <w:tcW w:w="1384" w:type="dxa"/>
          </w:tcPr>
          <w:p>
            <w:pPr>
              <w:pStyle w:val="GesAbsatz"/>
              <w:keepNext/>
              <w:tabs>
                <w:tab w:val="clear" w:pos="425"/>
              </w:tabs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2126" w:type="dxa"/>
          </w:tcPr>
          <w:p>
            <w:pPr>
              <w:pStyle w:val="GesAbsatz"/>
              <w:keepNext/>
              <w:tabs>
                <w:tab w:val="clear" w:pos="425"/>
              </w:tabs>
            </w:pPr>
            <w:r>
              <w:t>0-25</w:t>
            </w:r>
          </w:p>
        </w:tc>
        <w:tc>
          <w:tcPr>
            <w:tcW w:w="2268" w:type="dxa"/>
          </w:tcPr>
          <w:p>
            <w:pPr>
              <w:pStyle w:val="GesAbsatz"/>
              <w:keepNext/>
              <w:tabs>
                <w:tab w:val="clear" w:pos="425"/>
              </w:tabs>
            </w:pPr>
            <w:r>
              <w:t>-</w:t>
            </w:r>
          </w:p>
        </w:tc>
        <w:tc>
          <w:tcPr>
            <w:tcW w:w="993" w:type="dxa"/>
          </w:tcPr>
          <w:p>
            <w:pPr>
              <w:pStyle w:val="GesAbsatz"/>
              <w:keepNext/>
              <w:tabs>
                <w:tab w:val="clear" w:pos="425"/>
              </w:tabs>
            </w:pPr>
            <w:r>
              <w:t>Vol.-%</w:t>
            </w:r>
          </w:p>
        </w:tc>
      </w:tr>
      <w:tr>
        <w:tc>
          <w:tcPr>
            <w:tcW w:w="1384" w:type="dxa"/>
          </w:tcPr>
          <w:p>
            <w:pPr>
              <w:pStyle w:val="GesAbsatz"/>
              <w:keepNext/>
              <w:tabs>
                <w:tab w:val="clear" w:pos="425"/>
              </w:tabs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2126" w:type="dxa"/>
          </w:tcPr>
          <w:p>
            <w:pPr>
              <w:pStyle w:val="GesAbsatz"/>
              <w:keepNext/>
              <w:tabs>
                <w:tab w:val="clear" w:pos="425"/>
              </w:tabs>
            </w:pPr>
            <w:r>
              <w:t>-</w:t>
            </w:r>
          </w:p>
        </w:tc>
        <w:tc>
          <w:tcPr>
            <w:tcW w:w="2268" w:type="dxa"/>
          </w:tcPr>
          <w:p>
            <w:pPr>
              <w:pStyle w:val="GesAbsatz"/>
              <w:keepNext/>
              <w:tabs>
                <w:tab w:val="clear" w:pos="425"/>
              </w:tabs>
            </w:pPr>
            <w:r>
              <w:t>0-5</w:t>
            </w:r>
          </w:p>
        </w:tc>
        <w:tc>
          <w:tcPr>
            <w:tcW w:w="993" w:type="dxa"/>
          </w:tcPr>
          <w:p>
            <w:pPr>
              <w:pStyle w:val="GesAbsatz"/>
              <w:keepNext/>
              <w:tabs>
                <w:tab w:val="clear" w:pos="425"/>
              </w:tabs>
            </w:pPr>
            <w:r>
              <w:t>Vol.-%</w:t>
            </w:r>
          </w:p>
        </w:tc>
      </w:tr>
    </w:tbl>
    <w:p>
      <w:pPr>
        <w:pStyle w:val="GesAbsatz"/>
      </w:pPr>
      <w:r>
        <w:t>Softwareversion:</w:t>
      </w:r>
      <w:r>
        <w:tab/>
        <w:t>2.01d 08/03</w:t>
      </w:r>
    </w:p>
    <w:p>
      <w:pPr>
        <w:pStyle w:val="GesAbsatz"/>
      </w:pPr>
      <w:r>
        <w:t>Hinweis:</w:t>
      </w:r>
      <w:r>
        <w:tab/>
        <w:t>Das Wartungsintervall beträgt vier Wochen.</w:t>
      </w:r>
    </w:p>
    <w:p>
      <w:pPr>
        <w:pStyle w:val="GesAbsatz"/>
      </w:pPr>
      <w:r>
        <w:t>Prüfbericht:</w:t>
      </w:r>
    </w:p>
    <w:p>
      <w:pPr>
        <w:pStyle w:val="GesAbsatz"/>
      </w:pPr>
      <w:r>
        <w:t>TÜV Rheinland Immissionsschutz und Energiesysteme GmbH, Köln</w:t>
      </w:r>
    </w:p>
    <w:p>
      <w:pPr>
        <w:pStyle w:val="GesAbsatz"/>
      </w:pPr>
      <w:r>
        <w:t>Bericht-Nr.: 936/21200211/A vom 21. Oktober 2009</w:t>
      </w:r>
    </w:p>
    <w:p>
      <w:pPr>
        <w:pStyle w:val="berschrift3"/>
        <w:jc w:val="left"/>
      </w:pPr>
      <w:bookmarkStart w:id="13" w:name="_Toc254698279"/>
      <w:bookmarkStart w:id="14" w:name="_Toc254938573"/>
      <w:r>
        <w:t>2</w:t>
      </w:r>
      <w:r>
        <w:tab/>
        <w:t>Abgasgeschwindigkeit</w:t>
      </w:r>
      <w:bookmarkEnd w:id="13"/>
      <w:bookmarkEnd w:id="14"/>
    </w:p>
    <w:p>
      <w:pPr>
        <w:pStyle w:val="GesAbsatz"/>
      </w:pPr>
      <w:r>
        <w:t>2.1</w:t>
      </w:r>
      <w:r>
        <w:tab/>
        <w:t>MT91</w:t>
      </w:r>
    </w:p>
    <w:p>
      <w:pPr>
        <w:pStyle w:val="GesAbsatz"/>
      </w:pPr>
      <w:r>
        <w:t>Hersteller:</w:t>
      </w:r>
    </w:p>
    <w:p>
      <w:pPr>
        <w:pStyle w:val="GesAbsatz"/>
      </w:pPr>
      <w:r>
        <w:t xml:space="preserve">Fluid </w:t>
      </w:r>
      <w:r>
        <w:rPr>
          <w:lang w:val="en-US"/>
        </w:rPr>
        <w:t>Components</w:t>
      </w:r>
      <w:r>
        <w:t xml:space="preserve"> International, La Costa </w:t>
      </w:r>
      <w:r>
        <w:rPr>
          <w:lang w:val="en-US"/>
        </w:rPr>
        <w:t>Meadows</w:t>
      </w:r>
      <w:r>
        <w:t xml:space="preserve"> Drive San Marcos, USA</w:t>
      </w:r>
    </w:p>
    <w:p>
      <w:pPr>
        <w:pStyle w:val="GesAbsatz"/>
      </w:pPr>
      <w:r>
        <w:t>Eignung:</w:t>
      </w:r>
    </w:p>
    <w:p>
      <w:pPr>
        <w:pStyle w:val="GesAbsatz"/>
      </w:pPr>
      <w:r>
        <w:t>Für genehmigungsbedürftige Anlagen und Anlagen der 27. BImSchV</w:t>
      </w:r>
    </w:p>
    <w:p>
      <w:pPr>
        <w:pStyle w:val="GesAbsatz"/>
      </w:pPr>
      <w:r>
        <w:t>Messbereich in der Eignungsprüfung: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196"/>
        <w:gridCol w:w="2165"/>
        <w:gridCol w:w="992"/>
      </w:tblGrid>
      <w:tr>
        <w:tc>
          <w:tcPr>
            <w:tcW w:w="2196" w:type="dxa"/>
          </w:tcPr>
          <w:p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Komponente</w:t>
            </w:r>
          </w:p>
        </w:tc>
        <w:tc>
          <w:tcPr>
            <w:tcW w:w="2165" w:type="dxa"/>
          </w:tcPr>
          <w:p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Zertifizierungsbereich</w:t>
            </w:r>
          </w:p>
        </w:tc>
        <w:tc>
          <w:tcPr>
            <w:tcW w:w="992" w:type="dxa"/>
          </w:tcPr>
          <w:p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Einheit</w:t>
            </w:r>
          </w:p>
        </w:tc>
      </w:tr>
      <w:tr>
        <w:tc>
          <w:tcPr>
            <w:tcW w:w="2196" w:type="dxa"/>
          </w:tcPr>
          <w:p>
            <w:pPr>
              <w:pStyle w:val="GesAbsatz"/>
              <w:tabs>
                <w:tab w:val="clear" w:pos="425"/>
              </w:tabs>
            </w:pPr>
            <w:r>
              <w:t>Abgasgeschwindigkeit</w:t>
            </w:r>
          </w:p>
        </w:tc>
        <w:tc>
          <w:tcPr>
            <w:tcW w:w="2165" w:type="dxa"/>
          </w:tcPr>
          <w:p>
            <w:pPr>
              <w:pStyle w:val="GesAbsatz"/>
              <w:tabs>
                <w:tab w:val="clear" w:pos="425"/>
              </w:tabs>
            </w:pPr>
            <w:r>
              <w:t>0-25</w:t>
            </w:r>
          </w:p>
        </w:tc>
        <w:tc>
          <w:tcPr>
            <w:tcW w:w="992" w:type="dxa"/>
          </w:tcPr>
          <w:p>
            <w:pPr>
              <w:pStyle w:val="GesAbsatz"/>
              <w:tabs>
                <w:tab w:val="clear" w:pos="425"/>
              </w:tabs>
            </w:pPr>
            <w:r>
              <w:t>m/s</w:t>
            </w:r>
          </w:p>
        </w:tc>
      </w:tr>
    </w:tbl>
    <w:p>
      <w:pPr>
        <w:pStyle w:val="GesAbsatz"/>
      </w:pPr>
      <w:r>
        <w:t>Softwareversion: Version 1.28</w:t>
      </w:r>
    </w:p>
    <w:p>
      <w:pPr>
        <w:pStyle w:val="GesAbsatz"/>
      </w:pPr>
      <w:r>
        <w:t>Einschränkung:</w:t>
      </w:r>
    </w:p>
    <w:p>
      <w:pPr>
        <w:pStyle w:val="GesAbsatz"/>
      </w:pPr>
      <w:r>
        <w:t>Die Messeinrichtung kann, nur eingesetzt werden, wenn eine Unterschreitung des Taupunktes ausgeschlo</w:t>
      </w:r>
      <w:r>
        <w:t>s</w:t>
      </w:r>
      <w:r>
        <w:t>sen werden kann.</w:t>
      </w:r>
    </w:p>
    <w:p>
      <w:pPr>
        <w:pStyle w:val="GesAbsatz"/>
      </w:pPr>
      <w:r>
        <w:t>Hinweis:</w:t>
      </w:r>
    </w:p>
    <w:p>
      <w:pPr>
        <w:pStyle w:val="GesAbsatz"/>
      </w:pPr>
      <w:r>
        <w:t>Das Wartungsintervall beträgt vier Wochen.</w:t>
      </w:r>
    </w:p>
    <w:p>
      <w:pPr>
        <w:pStyle w:val="GesAbsatz"/>
      </w:pPr>
      <w:r>
        <w:t>Prüfbericht:</w:t>
      </w:r>
    </w:p>
    <w:p>
      <w:pPr>
        <w:pStyle w:val="GesAbsatz"/>
      </w:pPr>
      <w:r>
        <w:t>TÜV Rheinland Immissionsschutz und Energiesysteme GmbH, Köln</w:t>
      </w:r>
    </w:p>
    <w:p>
      <w:pPr>
        <w:pStyle w:val="GesAbsatz"/>
      </w:pPr>
      <w:r>
        <w:t>Bericht-Nr.: 936/21210457/A vom 21. Oktober 2009</w:t>
      </w:r>
    </w:p>
    <w:p>
      <w:pPr>
        <w:pStyle w:val="berschrift2"/>
      </w:pPr>
      <w:bookmarkStart w:id="15" w:name="_Toc254698280"/>
      <w:bookmarkStart w:id="16" w:name="_Toc254938574"/>
      <w:r>
        <w:t>III.</w:t>
      </w:r>
      <w:bookmarkEnd w:id="15"/>
      <w:r>
        <w:t xml:space="preserve"> </w:t>
      </w:r>
      <w:bookmarkStart w:id="17" w:name="_Toc254698281"/>
      <w:r>
        <w:br/>
        <w:t xml:space="preserve">Eignung von Messeinrichtungen zur kontinuierlichen Überwachung von </w:t>
      </w:r>
      <w:r>
        <w:br/>
        <w:t>Immissi</w:t>
      </w:r>
      <w:r>
        <w:t>o</w:t>
      </w:r>
      <w:r>
        <w:t>nen</w:t>
      </w:r>
      <w:bookmarkEnd w:id="16"/>
      <w:bookmarkEnd w:id="17"/>
    </w:p>
    <w:p>
      <w:pPr>
        <w:pStyle w:val="GesAbsatz"/>
      </w:pPr>
      <w:r>
        <w:t>Unter Bezugnahme auf die Nummer 3.2 der Bekanntmachung der für die Durchführung der Richtlinie 96/62/EG des Rates vom 27. September 1996 über die Beurteilung und Kontrolle der Luftqualität zuständ</w:t>
      </w:r>
      <w:r>
        <w:t>i</w:t>
      </w:r>
      <w:r>
        <w:t>gen Stellen vom 1. Oktober 1998 (BAnz. S. 15 126) wird im Auftrag des BMU die Eignung der folgenden Mes</w:t>
      </w:r>
      <w:r>
        <w:t>s</w:t>
      </w:r>
      <w:r>
        <w:t>einrichtung bekannt gegeben:</w:t>
      </w:r>
    </w:p>
    <w:p>
      <w:pPr>
        <w:pStyle w:val="berschrift3"/>
        <w:jc w:val="left"/>
      </w:pPr>
      <w:bookmarkStart w:id="18" w:name="_Toc254698282"/>
      <w:bookmarkStart w:id="19" w:name="_Toc254938575"/>
      <w:r>
        <w:t>1</w:t>
      </w:r>
      <w:r>
        <w:tab/>
        <w:t>Mehrkomponentenmesseinrichtungen</w:t>
      </w:r>
      <w:bookmarkEnd w:id="18"/>
      <w:bookmarkEnd w:id="19"/>
    </w:p>
    <w:p>
      <w:pPr>
        <w:pStyle w:val="GesAbsatz"/>
      </w:pPr>
      <w:r>
        <w:t>1.1</w:t>
      </w:r>
      <w:r>
        <w:tab/>
        <w:t>AR500 mit ER120 für NO</w:t>
      </w:r>
      <w:r>
        <w:rPr>
          <w:vertAlign w:val="subscript"/>
        </w:rPr>
        <w:t>2</w:t>
      </w:r>
      <w:r>
        <w:t>, SO</w:t>
      </w:r>
      <w:r>
        <w:rPr>
          <w:vertAlign w:val="subscript"/>
        </w:rPr>
        <w:t>2</w:t>
      </w:r>
      <w:r>
        <w:t xml:space="preserve"> und O</w:t>
      </w:r>
      <w:r>
        <w:rPr>
          <w:vertAlign w:val="subscript"/>
        </w:rPr>
        <w:t>3</w:t>
      </w:r>
    </w:p>
    <w:p>
      <w:pPr>
        <w:pStyle w:val="GesAbsatz"/>
      </w:pPr>
      <w:r>
        <w:t>Hersteller:</w:t>
      </w:r>
    </w:p>
    <w:p>
      <w:pPr>
        <w:pStyle w:val="GesAbsatz"/>
      </w:pPr>
      <w:proofErr w:type="spellStart"/>
      <w:r>
        <w:t>Opsis</w:t>
      </w:r>
      <w:proofErr w:type="spellEnd"/>
      <w:r>
        <w:t xml:space="preserve"> AB, Furulund, Schweden</w:t>
      </w:r>
    </w:p>
    <w:p>
      <w:pPr>
        <w:pStyle w:val="GesAbsatz"/>
      </w:pPr>
      <w:r>
        <w:t>Eignung:</w:t>
      </w:r>
    </w:p>
    <w:p>
      <w:pPr>
        <w:pStyle w:val="GesAbsatz"/>
      </w:pPr>
      <w:r>
        <w:t>Zur stationären Immissionsmessung von Stickstoffdioxid, Schwefeldioxid und Ozon</w:t>
      </w:r>
    </w:p>
    <w:p>
      <w:pPr>
        <w:pStyle w:val="GesAbsatz"/>
      </w:pPr>
      <w:r>
        <w:t>Messbereiche in der Eignungsprüfung: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526"/>
        <w:gridCol w:w="2268"/>
        <w:gridCol w:w="1874"/>
        <w:gridCol w:w="1841"/>
      </w:tblGrid>
      <w:tr>
        <w:tc>
          <w:tcPr>
            <w:tcW w:w="1526" w:type="dxa"/>
          </w:tcPr>
          <w:p>
            <w:pPr>
              <w:pStyle w:val="GesAbsatz"/>
              <w:tabs>
                <w:tab w:val="clear" w:pos="425"/>
              </w:tabs>
            </w:pPr>
            <w:r>
              <w:lastRenderedPageBreak/>
              <w:t>Kompone</w:t>
            </w:r>
            <w:r>
              <w:t>n</w:t>
            </w:r>
            <w:r>
              <w:t>te</w:t>
            </w:r>
          </w:p>
        </w:tc>
        <w:tc>
          <w:tcPr>
            <w:tcW w:w="2268" w:type="dxa"/>
          </w:tcPr>
          <w:p>
            <w:pPr>
              <w:pStyle w:val="GesAbsatz"/>
              <w:tabs>
                <w:tab w:val="clear" w:pos="425"/>
              </w:tabs>
            </w:pPr>
            <w:r>
              <w:t>Zertifizierungsb</w:t>
            </w:r>
            <w:r>
              <w:t>e</w:t>
            </w:r>
            <w:r>
              <w:t>reich</w:t>
            </w:r>
          </w:p>
        </w:tc>
        <w:tc>
          <w:tcPr>
            <w:tcW w:w="1874" w:type="dxa"/>
          </w:tcPr>
          <w:p>
            <w:pPr>
              <w:pStyle w:val="GesAbsatz"/>
              <w:tabs>
                <w:tab w:val="clear" w:pos="425"/>
              </w:tabs>
            </w:pPr>
            <w:r>
              <w:t>zusätzlicher Messbereich</w:t>
            </w:r>
          </w:p>
        </w:tc>
        <w:tc>
          <w:tcPr>
            <w:tcW w:w="1841" w:type="dxa"/>
          </w:tcPr>
          <w:p>
            <w:pPr>
              <w:pStyle w:val="GesAbsatz"/>
              <w:tabs>
                <w:tab w:val="clear" w:pos="425"/>
              </w:tabs>
            </w:pPr>
            <w:r>
              <w:t>Ei</w:t>
            </w:r>
            <w:r>
              <w:t>n</w:t>
            </w:r>
            <w:r>
              <w:t>heit</w:t>
            </w:r>
          </w:p>
        </w:tc>
      </w:tr>
      <w:tr>
        <w:tc>
          <w:tcPr>
            <w:tcW w:w="1526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NO</w:t>
            </w:r>
            <w:r>
              <w:rPr>
                <w:vertAlign w:val="subscript"/>
                <w:lang w:val="en-GB"/>
              </w:rPr>
              <w:t>2</w:t>
            </w:r>
          </w:p>
        </w:tc>
        <w:tc>
          <w:tcPr>
            <w:tcW w:w="2268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0-400</w:t>
            </w:r>
          </w:p>
        </w:tc>
        <w:tc>
          <w:tcPr>
            <w:tcW w:w="1874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0-1800</w:t>
            </w:r>
          </w:p>
        </w:tc>
        <w:tc>
          <w:tcPr>
            <w:tcW w:w="1841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rFonts w:cs="Arial"/>
              </w:rPr>
              <w:t>μ</w:t>
            </w:r>
            <w:r>
              <w:rPr>
                <w:lang w:val="en-GB"/>
              </w:rPr>
              <w:t>g/m</w:t>
            </w:r>
            <w:r>
              <w:rPr>
                <w:vertAlign w:val="superscript"/>
                <w:lang w:val="en-GB"/>
              </w:rPr>
              <w:t>3</w:t>
            </w:r>
          </w:p>
        </w:tc>
      </w:tr>
      <w:tr>
        <w:tc>
          <w:tcPr>
            <w:tcW w:w="1526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SO</w:t>
            </w:r>
            <w:r>
              <w:rPr>
                <w:vertAlign w:val="subscript"/>
                <w:lang w:val="en-GB"/>
              </w:rPr>
              <w:t>2</w:t>
            </w:r>
          </w:p>
        </w:tc>
        <w:tc>
          <w:tcPr>
            <w:tcW w:w="2268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0-700</w:t>
            </w:r>
          </w:p>
        </w:tc>
        <w:tc>
          <w:tcPr>
            <w:tcW w:w="1874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0-1000</w:t>
            </w:r>
          </w:p>
        </w:tc>
        <w:tc>
          <w:tcPr>
            <w:tcW w:w="1841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rFonts w:cs="Arial"/>
              </w:rPr>
              <w:t>μ</w:t>
            </w:r>
            <w:r>
              <w:rPr>
                <w:lang w:val="en-GB"/>
              </w:rPr>
              <w:t>g/m</w:t>
            </w:r>
            <w:r>
              <w:rPr>
                <w:vertAlign w:val="superscript"/>
                <w:lang w:val="en-GB"/>
              </w:rPr>
              <w:t>3</w:t>
            </w:r>
          </w:p>
        </w:tc>
      </w:tr>
      <w:tr>
        <w:tc>
          <w:tcPr>
            <w:tcW w:w="1526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O</w:t>
            </w:r>
            <w:r>
              <w:rPr>
                <w:vertAlign w:val="subscript"/>
                <w:lang w:val="en-GB"/>
              </w:rPr>
              <w:t>3</w:t>
            </w:r>
          </w:p>
        </w:tc>
        <w:tc>
          <w:tcPr>
            <w:tcW w:w="2268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0-360</w:t>
            </w:r>
          </w:p>
        </w:tc>
        <w:tc>
          <w:tcPr>
            <w:tcW w:w="1874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0-500</w:t>
            </w:r>
          </w:p>
        </w:tc>
        <w:tc>
          <w:tcPr>
            <w:tcW w:w="1841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rFonts w:cs="Arial"/>
              </w:rPr>
              <w:t>μ</w:t>
            </w:r>
            <w:r>
              <w:rPr>
                <w:lang w:val="en-GB"/>
              </w:rPr>
              <w:t>g/m</w:t>
            </w:r>
            <w:r>
              <w:rPr>
                <w:vertAlign w:val="superscript"/>
                <w:lang w:val="en-GB"/>
              </w:rPr>
              <w:t>3</w:t>
            </w:r>
          </w:p>
        </w:tc>
      </w:tr>
    </w:tbl>
    <w:p>
      <w:pPr>
        <w:pStyle w:val="GesAbsatz"/>
      </w:pPr>
      <w:r>
        <w:t>Softwareversion</w:t>
      </w:r>
      <w:r>
        <w:rPr>
          <w:lang w:val="en-GB"/>
        </w:rPr>
        <w:t xml:space="preserve">: </w:t>
      </w:r>
      <w:r>
        <w:t>7.21</w:t>
      </w:r>
    </w:p>
    <w:p>
      <w:pPr>
        <w:pStyle w:val="GesAbsatz"/>
      </w:pPr>
      <w:r>
        <w:t>Hinweise:</w:t>
      </w:r>
    </w:p>
    <w:p>
      <w:pPr>
        <w:pStyle w:val="GesAbsatz"/>
        <w:ind w:left="426" w:hanging="426"/>
      </w:pPr>
      <w:r>
        <w:t>1</w:t>
      </w:r>
      <w:r>
        <w:tab/>
        <w:t>Bei der Eignungsprüfung betrug die Messstrecke 320 m.</w:t>
      </w:r>
    </w:p>
    <w:p>
      <w:pPr>
        <w:pStyle w:val="GesAbsatz"/>
        <w:ind w:left="426" w:hanging="426"/>
      </w:pPr>
      <w:r>
        <w:t>2</w:t>
      </w:r>
      <w:r>
        <w:tab/>
        <w:t>Das Wartungsintervall beträgt vier Wochen.</w:t>
      </w:r>
    </w:p>
    <w:p>
      <w:pPr>
        <w:pStyle w:val="GesAbsatz"/>
        <w:ind w:left="426" w:hanging="426"/>
      </w:pPr>
      <w:r>
        <w:t>3</w:t>
      </w:r>
      <w:r>
        <w:tab/>
        <w:t xml:space="preserve">Die Gleichwertigkeit zum Referenzverfahren gemäß den Anforderungen des Leitfadens „Demonstration of </w:t>
      </w:r>
      <w:r>
        <w:rPr>
          <w:lang w:val="en-US"/>
        </w:rPr>
        <w:t>Equivalence</w:t>
      </w:r>
      <w:r>
        <w:t xml:space="preserve"> of Ambient Air Monitoring </w:t>
      </w:r>
      <w:r>
        <w:rPr>
          <w:lang w:val="en-US"/>
        </w:rPr>
        <w:t>Methods</w:t>
      </w:r>
      <w:r>
        <w:t>" wurde für die Komponenten NO</w:t>
      </w:r>
      <w:r>
        <w:rPr>
          <w:vertAlign w:val="subscript"/>
        </w:rPr>
        <w:t>2</w:t>
      </w:r>
      <w:r>
        <w:t xml:space="preserve"> und O</w:t>
      </w:r>
      <w:r>
        <w:rPr>
          <w:vertAlign w:val="subscript"/>
        </w:rPr>
        <w:t>3</w:t>
      </w:r>
      <w:r>
        <w:t xml:space="preserve"> nachgewi</w:t>
      </w:r>
      <w:r>
        <w:t>e</w:t>
      </w:r>
      <w:r>
        <w:t>sen.</w:t>
      </w:r>
    </w:p>
    <w:p>
      <w:pPr>
        <w:pStyle w:val="GesAbsatz"/>
        <w:ind w:left="426" w:hanging="426"/>
      </w:pPr>
      <w:r>
        <w:t>4. Eine Funktionskontrolle mit einer externen Prüfgasaufgabe ist möglich.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Rheinland Immissionsschutz und Energiesysteme GmbH, Köln</w:t>
      </w:r>
    </w:p>
    <w:p>
      <w:pPr>
        <w:pStyle w:val="GesAbsatz"/>
      </w:pPr>
      <w:r>
        <w:t>Bericht-Nr.: 936/21211350/A vom 26. Oktober 2009</w:t>
      </w:r>
    </w:p>
    <w:p>
      <w:pPr>
        <w:pStyle w:val="berschrift2"/>
      </w:pPr>
      <w:bookmarkStart w:id="20" w:name="_Toc254698283"/>
      <w:bookmarkStart w:id="21" w:name="_Toc254938576"/>
      <w:r>
        <w:t>IV.</w:t>
      </w:r>
      <w:bookmarkEnd w:id="20"/>
      <w:r>
        <w:br/>
      </w:r>
      <w:bookmarkStart w:id="22" w:name="_Toc254698284"/>
      <w:r>
        <w:t>Mitteilungen zur Bundeseinheitlichen Praxis bei der Überwachung von Emissionen und Immissionen</w:t>
      </w:r>
      <w:bookmarkEnd w:id="21"/>
      <w:bookmarkEnd w:id="22"/>
    </w:p>
    <w:p>
      <w:pPr>
        <w:pStyle w:val="GesAbsatz"/>
      </w:pPr>
      <w:r>
        <w:t>1</w:t>
      </w:r>
      <w:r>
        <w:tab/>
        <w:t>Mitteilung zu Bekanntmachungen des Umweltbundesamtes vom 12. August 2008 (BAnz. S. 3245) und vom 3. August 2009 (BAnz. S. 2935)</w:t>
      </w:r>
    </w:p>
    <w:p>
      <w:pPr>
        <w:pStyle w:val="GesAbsatz"/>
      </w:pPr>
      <w:r>
        <w:t>Die Messeinrichtung Horiba PG 250 SRM kann sowohl mit einer Messgasfilterkonfiguration bestehend aus einem TIP Filter und einem Mist Catcher (MC-050A) als auch mit einem Teflonfilter des Typs DIF-K-20T ve</w:t>
      </w:r>
      <w:r>
        <w:t>r</w:t>
      </w:r>
      <w:r>
        <w:t>trieben werden. Der sogenannte TIP Filter entfällt in diesem Falle und es wird nur der leere Filterhalter eing</w:t>
      </w:r>
      <w:r>
        <w:t>e</w:t>
      </w:r>
      <w:r>
        <w:t>setzt.</w:t>
      </w:r>
    </w:p>
    <w:p>
      <w:pPr>
        <w:pStyle w:val="GesAbsatz"/>
      </w:pPr>
      <w:r>
        <w:t>Stellungnahme der TÜV Rheinland Immissionsschutz und Energiesysteme GmbH vom 28. Oktober 2009</w:t>
      </w:r>
    </w:p>
    <w:p>
      <w:pPr>
        <w:pStyle w:val="GesAbsatz"/>
      </w:pPr>
      <w:r>
        <w:t>2</w:t>
      </w:r>
      <w:r>
        <w:tab/>
        <w:t>Mitteilung zu Bekanntmachungen des Umweltbundesamtes vom 21. Februar 2006 (BAnz. S. 2654) und vom 3. August 2009 (BAnz. S. 2935)</w:t>
      </w:r>
    </w:p>
    <w:p>
      <w:pPr>
        <w:pStyle w:val="GesAbsatz"/>
      </w:pPr>
      <w:r>
        <w:t>Die aktuellen Softwareversionen des Emissionsrechners TALAS/net mit UmweltOffice2005 und EFÜ Modul der Firma NIS Ingenieurgesellschaft mbH sind: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35"/>
        <w:gridCol w:w="1134"/>
      </w:tblGrid>
      <w:tr>
        <w:tc>
          <w:tcPr>
            <w:tcW w:w="2235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T</w:t>
            </w:r>
            <w:r>
              <w:rPr>
                <w:lang w:val="en-GB"/>
              </w:rPr>
              <w:t>A</w:t>
            </w:r>
            <w:r>
              <w:rPr>
                <w:lang w:val="en-GB"/>
              </w:rPr>
              <w:t>LAS/net:</w:t>
            </w:r>
          </w:p>
        </w:tc>
        <w:tc>
          <w:tcPr>
            <w:tcW w:w="1134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5.2 (020)</w:t>
            </w:r>
          </w:p>
        </w:tc>
      </w:tr>
      <w:tr>
        <w:tc>
          <w:tcPr>
            <w:tcW w:w="2235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UmweltO</w:t>
            </w:r>
            <w:r>
              <w:rPr>
                <w:lang w:val="en-GB"/>
              </w:rPr>
              <w:t>f</w:t>
            </w:r>
            <w:r>
              <w:rPr>
                <w:lang w:val="en-GB"/>
              </w:rPr>
              <w:t>fice2005:</w:t>
            </w:r>
          </w:p>
        </w:tc>
        <w:tc>
          <w:tcPr>
            <w:tcW w:w="1134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5.5.7</w:t>
            </w:r>
          </w:p>
        </w:tc>
      </w:tr>
      <w:tr>
        <w:tc>
          <w:tcPr>
            <w:tcW w:w="2235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Oracle-</w:t>
            </w:r>
            <w:r>
              <w:t>Datenbank</w:t>
            </w:r>
            <w:r>
              <w:rPr>
                <w:lang w:val="en-GB"/>
              </w:rPr>
              <w:t>:</w:t>
            </w:r>
          </w:p>
        </w:tc>
        <w:tc>
          <w:tcPr>
            <w:tcW w:w="1134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10.1</w:t>
            </w:r>
          </w:p>
        </w:tc>
      </w:tr>
      <w:tr>
        <w:tc>
          <w:tcPr>
            <w:tcW w:w="2235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proofErr w:type="spellStart"/>
            <w:r>
              <w:rPr>
                <w:lang w:val="en-GB"/>
              </w:rPr>
              <w:t>TService</w:t>
            </w:r>
            <w:proofErr w:type="spellEnd"/>
            <w:r>
              <w:rPr>
                <w:lang w:val="en-GB"/>
              </w:rPr>
              <w:t>:</w:t>
            </w:r>
          </w:p>
        </w:tc>
        <w:tc>
          <w:tcPr>
            <w:tcW w:w="1134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5.2 (020)</w:t>
            </w:r>
          </w:p>
        </w:tc>
      </w:tr>
      <w:tr>
        <w:tc>
          <w:tcPr>
            <w:tcW w:w="2235" w:type="dxa"/>
          </w:tcPr>
          <w:p>
            <w:pPr>
              <w:pStyle w:val="GesAbsatz"/>
              <w:tabs>
                <w:tab w:val="clear" w:pos="425"/>
              </w:tabs>
            </w:pPr>
            <w:r>
              <w:t>TAP52:</w:t>
            </w:r>
          </w:p>
        </w:tc>
        <w:tc>
          <w:tcPr>
            <w:tcW w:w="1134" w:type="dxa"/>
          </w:tcPr>
          <w:p>
            <w:pPr>
              <w:pStyle w:val="GesAbsatz"/>
              <w:tabs>
                <w:tab w:val="clear" w:pos="425"/>
              </w:tabs>
            </w:pPr>
            <w:r>
              <w:t>5.2 (020)</w:t>
            </w:r>
          </w:p>
        </w:tc>
      </w:tr>
    </w:tbl>
    <w:p>
      <w:pPr>
        <w:pStyle w:val="GesAbsatz"/>
      </w:pPr>
      <w:r>
        <w:t>Stellungnahme der TÜV Rheinland Immissionsschutz und Energiesysteme GmbH vom 22. Oktober 2009</w:t>
      </w:r>
    </w:p>
    <w:p>
      <w:pPr>
        <w:pStyle w:val="GesAbsatz"/>
      </w:pPr>
      <w:r>
        <w:t>3</w:t>
      </w:r>
      <w:r>
        <w:tab/>
        <w:t>Mitteilung zu Bekanntmachungen des Umweltbundesamtes vom 21. Februar 2006 (BAnz. S. 2654) und vom 3. August 2009 (BAnz. S. 2935)</w:t>
      </w:r>
    </w:p>
    <w:p>
      <w:pPr>
        <w:pStyle w:val="GesAbsatz"/>
      </w:pPr>
      <w:r>
        <w:t>Die aktuellen Softwareversionen des Emissionsrechners TALAS/net mit DSM-05 und EFÜ Modul der Firma NIS Ingenieurgesellschaft mbH sind: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1134"/>
      </w:tblGrid>
      <w:tr>
        <w:tc>
          <w:tcPr>
            <w:tcW w:w="2376" w:type="dxa"/>
          </w:tcPr>
          <w:p>
            <w:pPr>
              <w:pStyle w:val="GesAbsatz"/>
              <w:tabs>
                <w:tab w:val="clear" w:pos="425"/>
              </w:tabs>
            </w:pPr>
            <w:r>
              <w:t>T</w:t>
            </w:r>
            <w:r>
              <w:t>A</w:t>
            </w:r>
            <w:r>
              <w:t>LAS/net:</w:t>
            </w:r>
          </w:p>
        </w:tc>
        <w:tc>
          <w:tcPr>
            <w:tcW w:w="1134" w:type="dxa"/>
          </w:tcPr>
          <w:p>
            <w:pPr>
              <w:pStyle w:val="GesAbsatz"/>
              <w:tabs>
                <w:tab w:val="clear" w:pos="425"/>
              </w:tabs>
            </w:pPr>
            <w:r>
              <w:t>5.2 (020)</w:t>
            </w:r>
          </w:p>
        </w:tc>
      </w:tr>
      <w:tr>
        <w:tc>
          <w:tcPr>
            <w:tcW w:w="2376" w:type="dxa"/>
          </w:tcPr>
          <w:p>
            <w:pPr>
              <w:pStyle w:val="GesAbsatz"/>
              <w:tabs>
                <w:tab w:val="clear" w:pos="425"/>
              </w:tabs>
            </w:pPr>
            <w:r>
              <w:t>DSM-05:</w:t>
            </w:r>
          </w:p>
        </w:tc>
        <w:tc>
          <w:tcPr>
            <w:tcW w:w="1134" w:type="dxa"/>
          </w:tcPr>
          <w:p>
            <w:pPr>
              <w:pStyle w:val="GesAbsatz"/>
              <w:tabs>
                <w:tab w:val="clear" w:pos="425"/>
              </w:tabs>
            </w:pPr>
            <w:r>
              <w:t>5.5.7</w:t>
            </w:r>
          </w:p>
        </w:tc>
      </w:tr>
      <w:tr>
        <w:tc>
          <w:tcPr>
            <w:tcW w:w="2376" w:type="dxa"/>
          </w:tcPr>
          <w:p>
            <w:pPr>
              <w:pStyle w:val="GesAbsatz"/>
              <w:tabs>
                <w:tab w:val="clear" w:pos="425"/>
              </w:tabs>
            </w:pPr>
            <w:r>
              <w:t>Oracle-Datenbank:</w:t>
            </w:r>
          </w:p>
        </w:tc>
        <w:tc>
          <w:tcPr>
            <w:tcW w:w="1134" w:type="dxa"/>
          </w:tcPr>
          <w:p>
            <w:pPr>
              <w:pStyle w:val="GesAbsatz"/>
              <w:tabs>
                <w:tab w:val="clear" w:pos="425"/>
              </w:tabs>
            </w:pPr>
            <w:r>
              <w:t>10.1</w:t>
            </w:r>
          </w:p>
        </w:tc>
      </w:tr>
      <w:tr>
        <w:tc>
          <w:tcPr>
            <w:tcW w:w="2376" w:type="dxa"/>
          </w:tcPr>
          <w:p>
            <w:pPr>
              <w:pStyle w:val="GesAbsatz"/>
              <w:tabs>
                <w:tab w:val="clear" w:pos="425"/>
              </w:tabs>
            </w:pPr>
            <w:proofErr w:type="spellStart"/>
            <w:r>
              <w:t>TService</w:t>
            </w:r>
            <w:proofErr w:type="spellEnd"/>
            <w:r>
              <w:t>:</w:t>
            </w:r>
          </w:p>
        </w:tc>
        <w:tc>
          <w:tcPr>
            <w:tcW w:w="1134" w:type="dxa"/>
          </w:tcPr>
          <w:p>
            <w:pPr>
              <w:pStyle w:val="GesAbsatz"/>
              <w:tabs>
                <w:tab w:val="clear" w:pos="425"/>
              </w:tabs>
            </w:pPr>
            <w:r>
              <w:t>5.2 (020)</w:t>
            </w:r>
          </w:p>
        </w:tc>
      </w:tr>
      <w:tr>
        <w:tc>
          <w:tcPr>
            <w:tcW w:w="2376" w:type="dxa"/>
          </w:tcPr>
          <w:p>
            <w:pPr>
              <w:pStyle w:val="GesAbsatz"/>
              <w:tabs>
                <w:tab w:val="clear" w:pos="425"/>
              </w:tabs>
            </w:pPr>
            <w:r>
              <w:t>TAP52:</w:t>
            </w:r>
          </w:p>
        </w:tc>
        <w:tc>
          <w:tcPr>
            <w:tcW w:w="1134" w:type="dxa"/>
          </w:tcPr>
          <w:p>
            <w:pPr>
              <w:pStyle w:val="GesAbsatz"/>
              <w:tabs>
                <w:tab w:val="clear" w:pos="425"/>
              </w:tabs>
            </w:pPr>
            <w:r>
              <w:t>5.2 (020)</w:t>
            </w:r>
          </w:p>
        </w:tc>
      </w:tr>
    </w:tbl>
    <w:p>
      <w:pPr>
        <w:pStyle w:val="GesAbsatz"/>
      </w:pPr>
      <w:r>
        <w:lastRenderedPageBreak/>
        <w:t>Stellungnahme der TÜV Rheinland Immissionsschutz und Energiesysteme GmbH vom 22. Oktober 2009</w:t>
      </w:r>
    </w:p>
    <w:p>
      <w:pPr>
        <w:pStyle w:val="GesAbsatz"/>
      </w:pPr>
      <w:r>
        <w:t>4</w:t>
      </w:r>
      <w:r>
        <w:tab/>
        <w:t>Mitteilung zu Bekanntmachungen des Umweltbundesamtes vom 21. Februar 2006 (BAnz. S. 2654) und vom 3. August 2009 (BAnz. S. 2935)</w:t>
      </w:r>
    </w:p>
    <w:p>
      <w:pPr>
        <w:pStyle w:val="GesAbsatz"/>
      </w:pPr>
      <w:r>
        <w:t>Die aktuellen Softwareversionen des Emissionsrechners TALAS/e mit UmweltOffice2005 und EFÜ Modul der Firma NIS Ingenieurgesellschaft mbH sind: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35"/>
        <w:gridCol w:w="1417"/>
      </w:tblGrid>
      <w:tr>
        <w:tc>
          <w:tcPr>
            <w:tcW w:w="2235" w:type="dxa"/>
          </w:tcPr>
          <w:p>
            <w:pPr>
              <w:pStyle w:val="GesAbsatz"/>
              <w:tabs>
                <w:tab w:val="clear" w:pos="425"/>
              </w:tabs>
            </w:pPr>
            <w:r>
              <w:t>TALAS/e:</w:t>
            </w:r>
          </w:p>
        </w:tc>
        <w:tc>
          <w:tcPr>
            <w:tcW w:w="1417" w:type="dxa"/>
          </w:tcPr>
          <w:p>
            <w:pPr>
              <w:pStyle w:val="GesAbsatz"/>
              <w:tabs>
                <w:tab w:val="clear" w:pos="425"/>
              </w:tabs>
            </w:pPr>
            <w:r>
              <w:t>4.2 (018)</w:t>
            </w:r>
          </w:p>
        </w:tc>
      </w:tr>
      <w:tr>
        <w:tc>
          <w:tcPr>
            <w:tcW w:w="2235" w:type="dxa"/>
          </w:tcPr>
          <w:p>
            <w:pPr>
              <w:pStyle w:val="GesAbsatz"/>
              <w:tabs>
                <w:tab w:val="clear" w:pos="425"/>
              </w:tabs>
            </w:pPr>
            <w:r>
              <w:t>UmweltO</w:t>
            </w:r>
            <w:r>
              <w:t>f</w:t>
            </w:r>
            <w:r>
              <w:t>fice2005:</w:t>
            </w:r>
          </w:p>
        </w:tc>
        <w:tc>
          <w:tcPr>
            <w:tcW w:w="1417" w:type="dxa"/>
          </w:tcPr>
          <w:p>
            <w:pPr>
              <w:pStyle w:val="GesAbsatz"/>
              <w:tabs>
                <w:tab w:val="clear" w:pos="425"/>
              </w:tabs>
            </w:pPr>
            <w:r>
              <w:t>5.5.7</w:t>
            </w:r>
          </w:p>
        </w:tc>
      </w:tr>
      <w:tr>
        <w:tc>
          <w:tcPr>
            <w:tcW w:w="2235" w:type="dxa"/>
          </w:tcPr>
          <w:p>
            <w:pPr>
              <w:pStyle w:val="GesAbsatz"/>
              <w:tabs>
                <w:tab w:val="clear" w:pos="425"/>
              </w:tabs>
            </w:pPr>
            <w:r>
              <w:t>Oracle-Datenbank:</w:t>
            </w:r>
          </w:p>
        </w:tc>
        <w:tc>
          <w:tcPr>
            <w:tcW w:w="1417" w:type="dxa"/>
          </w:tcPr>
          <w:p>
            <w:pPr>
              <w:pStyle w:val="GesAbsatz"/>
              <w:tabs>
                <w:tab w:val="clear" w:pos="425"/>
              </w:tabs>
            </w:pPr>
            <w:r>
              <w:t>10.1</w:t>
            </w:r>
          </w:p>
        </w:tc>
      </w:tr>
      <w:tr>
        <w:tc>
          <w:tcPr>
            <w:tcW w:w="2235" w:type="dxa"/>
          </w:tcPr>
          <w:p>
            <w:pPr>
              <w:pStyle w:val="GesAbsatz"/>
              <w:tabs>
                <w:tab w:val="clear" w:pos="425"/>
              </w:tabs>
            </w:pPr>
            <w:proofErr w:type="spellStart"/>
            <w:r>
              <w:t>TService</w:t>
            </w:r>
            <w:proofErr w:type="spellEnd"/>
            <w:r>
              <w:t>:</w:t>
            </w:r>
          </w:p>
        </w:tc>
        <w:tc>
          <w:tcPr>
            <w:tcW w:w="1417" w:type="dxa"/>
          </w:tcPr>
          <w:p>
            <w:pPr>
              <w:pStyle w:val="GesAbsatz"/>
              <w:tabs>
                <w:tab w:val="clear" w:pos="425"/>
              </w:tabs>
            </w:pPr>
            <w:r>
              <w:t>5.2 (020)</w:t>
            </w:r>
          </w:p>
        </w:tc>
      </w:tr>
      <w:tr>
        <w:tc>
          <w:tcPr>
            <w:tcW w:w="2235" w:type="dxa"/>
          </w:tcPr>
          <w:p>
            <w:pPr>
              <w:pStyle w:val="GesAbsatz"/>
              <w:tabs>
                <w:tab w:val="clear" w:pos="425"/>
              </w:tabs>
            </w:pPr>
            <w:r>
              <w:t>TAP42:</w:t>
            </w:r>
          </w:p>
        </w:tc>
        <w:tc>
          <w:tcPr>
            <w:tcW w:w="1417" w:type="dxa"/>
          </w:tcPr>
          <w:p>
            <w:pPr>
              <w:pStyle w:val="GesAbsatz"/>
              <w:tabs>
                <w:tab w:val="clear" w:pos="425"/>
              </w:tabs>
            </w:pPr>
            <w:r>
              <w:t>4.2 (015)</w:t>
            </w:r>
          </w:p>
        </w:tc>
      </w:tr>
    </w:tbl>
    <w:p>
      <w:pPr>
        <w:pStyle w:val="GesAbsatz"/>
      </w:pPr>
      <w:r>
        <w:t>Stellungnahme der TÜV Rheinland Immissionsschutz und Energiesysteme GmbH vom 22. Oktober 2009</w:t>
      </w:r>
    </w:p>
    <w:p>
      <w:pPr>
        <w:pStyle w:val="GesAbsatz"/>
      </w:pPr>
      <w:r>
        <w:t>5</w:t>
      </w:r>
      <w:r>
        <w:tab/>
        <w:t>Mitteilung zu Bekanntmachungen des Umweltbundesamtes vom 21. Februar 2006 (BAnz. S. 2655) und vom 3. August 2009 (BAnz. S. 2935)</w:t>
      </w:r>
    </w:p>
    <w:p>
      <w:pPr>
        <w:pStyle w:val="GesAbsatz"/>
      </w:pPr>
      <w:r>
        <w:t>Die aktuellen Softwareversionen des Emissionsrechners DAS05 mit UmweltOffice2005 und EFÜ Modul der Firma Dr. Födisch Umweltmesstechnik AG sind: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35"/>
        <w:gridCol w:w="1559"/>
      </w:tblGrid>
      <w:tr>
        <w:tc>
          <w:tcPr>
            <w:tcW w:w="2235" w:type="dxa"/>
          </w:tcPr>
          <w:p>
            <w:pPr>
              <w:pStyle w:val="GesAbsatz"/>
              <w:tabs>
                <w:tab w:val="clear" w:pos="425"/>
              </w:tabs>
            </w:pPr>
            <w:r>
              <w:t>DAS05:</w:t>
            </w:r>
          </w:p>
        </w:tc>
        <w:tc>
          <w:tcPr>
            <w:tcW w:w="1559" w:type="dxa"/>
          </w:tcPr>
          <w:p>
            <w:pPr>
              <w:pStyle w:val="GesAbsatz"/>
              <w:tabs>
                <w:tab w:val="clear" w:pos="425"/>
              </w:tabs>
            </w:pPr>
            <w:r>
              <w:t>5.2 (020)</w:t>
            </w:r>
          </w:p>
        </w:tc>
      </w:tr>
      <w:tr>
        <w:tc>
          <w:tcPr>
            <w:tcW w:w="2235" w:type="dxa"/>
          </w:tcPr>
          <w:p>
            <w:pPr>
              <w:pStyle w:val="GesAbsatz"/>
              <w:tabs>
                <w:tab w:val="clear" w:pos="425"/>
              </w:tabs>
            </w:pPr>
            <w:r>
              <w:t>UmweltO</w:t>
            </w:r>
            <w:r>
              <w:t>f</w:t>
            </w:r>
            <w:r>
              <w:t>fice2005:</w:t>
            </w:r>
          </w:p>
        </w:tc>
        <w:tc>
          <w:tcPr>
            <w:tcW w:w="1559" w:type="dxa"/>
          </w:tcPr>
          <w:p>
            <w:pPr>
              <w:pStyle w:val="GesAbsatz"/>
              <w:tabs>
                <w:tab w:val="clear" w:pos="425"/>
              </w:tabs>
            </w:pPr>
            <w:r>
              <w:t>5.5.7</w:t>
            </w:r>
          </w:p>
        </w:tc>
      </w:tr>
      <w:tr>
        <w:tc>
          <w:tcPr>
            <w:tcW w:w="2235" w:type="dxa"/>
          </w:tcPr>
          <w:p>
            <w:pPr>
              <w:pStyle w:val="GesAbsatz"/>
              <w:tabs>
                <w:tab w:val="clear" w:pos="425"/>
              </w:tabs>
            </w:pPr>
            <w:r>
              <w:t>Oracle-Datenbank:</w:t>
            </w:r>
          </w:p>
        </w:tc>
        <w:tc>
          <w:tcPr>
            <w:tcW w:w="1559" w:type="dxa"/>
          </w:tcPr>
          <w:p>
            <w:pPr>
              <w:pStyle w:val="GesAbsatz"/>
              <w:tabs>
                <w:tab w:val="clear" w:pos="425"/>
              </w:tabs>
            </w:pPr>
            <w:r>
              <w:t>10.1</w:t>
            </w:r>
          </w:p>
        </w:tc>
      </w:tr>
      <w:tr>
        <w:tc>
          <w:tcPr>
            <w:tcW w:w="2235" w:type="dxa"/>
          </w:tcPr>
          <w:p>
            <w:pPr>
              <w:pStyle w:val="GesAbsatz"/>
              <w:tabs>
                <w:tab w:val="clear" w:pos="425"/>
              </w:tabs>
            </w:pPr>
            <w:proofErr w:type="spellStart"/>
            <w:r>
              <w:t>TService</w:t>
            </w:r>
            <w:proofErr w:type="spellEnd"/>
            <w:r>
              <w:t>:</w:t>
            </w:r>
          </w:p>
        </w:tc>
        <w:tc>
          <w:tcPr>
            <w:tcW w:w="1559" w:type="dxa"/>
          </w:tcPr>
          <w:p>
            <w:pPr>
              <w:pStyle w:val="GesAbsatz"/>
              <w:tabs>
                <w:tab w:val="clear" w:pos="425"/>
              </w:tabs>
            </w:pPr>
            <w:r>
              <w:t>5.2 (020)</w:t>
            </w:r>
          </w:p>
        </w:tc>
      </w:tr>
      <w:tr>
        <w:tc>
          <w:tcPr>
            <w:tcW w:w="2235" w:type="dxa"/>
          </w:tcPr>
          <w:p>
            <w:pPr>
              <w:pStyle w:val="GesAbsatz"/>
              <w:tabs>
                <w:tab w:val="clear" w:pos="425"/>
              </w:tabs>
            </w:pPr>
            <w:r>
              <w:t>TAP52:</w:t>
            </w:r>
          </w:p>
        </w:tc>
        <w:tc>
          <w:tcPr>
            <w:tcW w:w="1559" w:type="dxa"/>
          </w:tcPr>
          <w:p>
            <w:pPr>
              <w:pStyle w:val="GesAbsatz"/>
              <w:tabs>
                <w:tab w:val="clear" w:pos="425"/>
              </w:tabs>
            </w:pPr>
            <w:r>
              <w:t>5.2 (020)</w:t>
            </w:r>
          </w:p>
        </w:tc>
      </w:tr>
    </w:tbl>
    <w:p>
      <w:pPr>
        <w:pStyle w:val="GesAbsatz"/>
      </w:pPr>
      <w:r>
        <w:t>Stellungnahme der TÜV Rheinland Immissionsschutz und Energiesysteme GmbH vom 22. Oktober 2009</w:t>
      </w:r>
    </w:p>
    <w:p>
      <w:pPr>
        <w:pStyle w:val="GesAbsatz"/>
      </w:pPr>
      <w:r>
        <w:t>6</w:t>
      </w:r>
      <w:r>
        <w:tab/>
        <w:t>Mitteilung zu Bekanntmachungen des Umweltbundesamtes vom 21. Februar 2006 (BAnz. S. 2655) und vom 3. August 2009 (BAnz. S. 2935)</w:t>
      </w:r>
    </w:p>
    <w:p>
      <w:pPr>
        <w:pStyle w:val="GesAbsatz"/>
      </w:pPr>
      <w:r>
        <w:t>Die aktuellen Softwareversionen des Emissionsrechners DAS05 mit DSM-05 und EFÜ Modul der Firma Dr. Födisch Umweltmesstechnik AG sind: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93"/>
        <w:gridCol w:w="1701"/>
      </w:tblGrid>
      <w:tr>
        <w:tc>
          <w:tcPr>
            <w:tcW w:w="2093" w:type="dxa"/>
          </w:tcPr>
          <w:p>
            <w:pPr>
              <w:pStyle w:val="GesAbsatz"/>
              <w:tabs>
                <w:tab w:val="clear" w:pos="425"/>
              </w:tabs>
            </w:pPr>
            <w:r>
              <w:t>DAS05:</w:t>
            </w:r>
          </w:p>
        </w:tc>
        <w:tc>
          <w:tcPr>
            <w:tcW w:w="1701" w:type="dxa"/>
          </w:tcPr>
          <w:p>
            <w:pPr>
              <w:pStyle w:val="GesAbsatz"/>
              <w:tabs>
                <w:tab w:val="clear" w:pos="425"/>
              </w:tabs>
            </w:pPr>
            <w:r>
              <w:t>5.2 (020)</w:t>
            </w:r>
          </w:p>
        </w:tc>
      </w:tr>
      <w:tr>
        <w:tc>
          <w:tcPr>
            <w:tcW w:w="2093" w:type="dxa"/>
          </w:tcPr>
          <w:p>
            <w:pPr>
              <w:pStyle w:val="GesAbsatz"/>
              <w:tabs>
                <w:tab w:val="clear" w:pos="425"/>
              </w:tabs>
            </w:pPr>
            <w:r>
              <w:t>DSM-05:</w:t>
            </w:r>
          </w:p>
        </w:tc>
        <w:tc>
          <w:tcPr>
            <w:tcW w:w="1701" w:type="dxa"/>
          </w:tcPr>
          <w:p>
            <w:pPr>
              <w:pStyle w:val="GesAbsatz"/>
              <w:tabs>
                <w:tab w:val="clear" w:pos="425"/>
              </w:tabs>
            </w:pPr>
            <w:r>
              <w:t>5.5.7</w:t>
            </w:r>
          </w:p>
        </w:tc>
      </w:tr>
      <w:tr>
        <w:tc>
          <w:tcPr>
            <w:tcW w:w="2093" w:type="dxa"/>
          </w:tcPr>
          <w:p>
            <w:pPr>
              <w:pStyle w:val="GesAbsatz"/>
              <w:tabs>
                <w:tab w:val="clear" w:pos="425"/>
              </w:tabs>
            </w:pPr>
            <w:r>
              <w:t>Oracle-Datenbank:</w:t>
            </w:r>
          </w:p>
        </w:tc>
        <w:tc>
          <w:tcPr>
            <w:tcW w:w="1701" w:type="dxa"/>
          </w:tcPr>
          <w:p>
            <w:pPr>
              <w:pStyle w:val="GesAbsatz"/>
              <w:tabs>
                <w:tab w:val="clear" w:pos="425"/>
              </w:tabs>
            </w:pPr>
            <w:r>
              <w:t>10.1</w:t>
            </w:r>
          </w:p>
        </w:tc>
      </w:tr>
      <w:tr>
        <w:tc>
          <w:tcPr>
            <w:tcW w:w="2093" w:type="dxa"/>
          </w:tcPr>
          <w:p>
            <w:pPr>
              <w:pStyle w:val="GesAbsatz"/>
              <w:tabs>
                <w:tab w:val="clear" w:pos="425"/>
              </w:tabs>
            </w:pPr>
            <w:proofErr w:type="spellStart"/>
            <w:r>
              <w:t>TService</w:t>
            </w:r>
            <w:proofErr w:type="spellEnd"/>
            <w:r>
              <w:t>:</w:t>
            </w:r>
          </w:p>
        </w:tc>
        <w:tc>
          <w:tcPr>
            <w:tcW w:w="1701" w:type="dxa"/>
          </w:tcPr>
          <w:p>
            <w:pPr>
              <w:pStyle w:val="GesAbsatz"/>
              <w:tabs>
                <w:tab w:val="clear" w:pos="425"/>
              </w:tabs>
            </w:pPr>
            <w:r>
              <w:t>5.2 (020)</w:t>
            </w:r>
          </w:p>
        </w:tc>
      </w:tr>
      <w:tr>
        <w:tc>
          <w:tcPr>
            <w:tcW w:w="2093" w:type="dxa"/>
          </w:tcPr>
          <w:p>
            <w:pPr>
              <w:pStyle w:val="GesAbsatz"/>
              <w:tabs>
                <w:tab w:val="clear" w:pos="425"/>
              </w:tabs>
            </w:pPr>
            <w:r>
              <w:t>TAP52:</w:t>
            </w:r>
          </w:p>
        </w:tc>
        <w:tc>
          <w:tcPr>
            <w:tcW w:w="1701" w:type="dxa"/>
          </w:tcPr>
          <w:p>
            <w:pPr>
              <w:pStyle w:val="GesAbsatz"/>
              <w:tabs>
                <w:tab w:val="clear" w:pos="425"/>
              </w:tabs>
            </w:pPr>
            <w:r>
              <w:t>5.2 (020)</w:t>
            </w:r>
          </w:p>
        </w:tc>
      </w:tr>
    </w:tbl>
    <w:p>
      <w:pPr>
        <w:pStyle w:val="GesAbsatz"/>
      </w:pPr>
      <w:r>
        <w:t>Stellungnahme der TÜV Rheinland Immissionsschutz und Energiesysteme GmbH vom 22. Oktober 2009</w:t>
      </w:r>
    </w:p>
    <w:p>
      <w:pPr>
        <w:pStyle w:val="GesAbsatz"/>
      </w:pPr>
      <w:r>
        <w:t>7</w:t>
      </w:r>
      <w:r>
        <w:tab/>
        <w:t>Mitteilung zur Bekanntmachung des Umweltbundesamtes vom 19. Februar 2009 (BAnz. S. 902)</w:t>
      </w:r>
    </w:p>
    <w:p>
      <w:pPr>
        <w:pStyle w:val="GesAbsatz"/>
      </w:pPr>
      <w:r>
        <w:t>Die aktuellen Softwareversionen der Volumenstrom-Messeinrichtung FLOWSIC 100 der Fa. SICK Engine</w:t>
      </w:r>
      <w:r>
        <w:t>e</w:t>
      </w:r>
      <w:r>
        <w:t>ring GmbH lauten: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2"/>
        <w:gridCol w:w="992"/>
      </w:tblGrid>
      <w:tr>
        <w:tc>
          <w:tcPr>
            <w:tcW w:w="2802" w:type="dxa"/>
          </w:tcPr>
          <w:p>
            <w:pPr>
              <w:pStyle w:val="GesAbsatz"/>
              <w:tabs>
                <w:tab w:val="clear" w:pos="425"/>
              </w:tabs>
            </w:pPr>
            <w:r>
              <w:t>MCU-Hardware:</w:t>
            </w:r>
          </w:p>
        </w:tc>
        <w:tc>
          <w:tcPr>
            <w:tcW w:w="992" w:type="dxa"/>
          </w:tcPr>
          <w:p>
            <w:pPr>
              <w:pStyle w:val="GesAbsatz"/>
              <w:tabs>
                <w:tab w:val="clear" w:pos="425"/>
              </w:tabs>
            </w:pPr>
            <w:r>
              <w:t>1.7</w:t>
            </w:r>
          </w:p>
        </w:tc>
      </w:tr>
      <w:tr>
        <w:tc>
          <w:tcPr>
            <w:tcW w:w="2802" w:type="dxa"/>
          </w:tcPr>
          <w:p>
            <w:pPr>
              <w:pStyle w:val="GesAbsatz"/>
              <w:tabs>
                <w:tab w:val="clear" w:pos="425"/>
              </w:tabs>
            </w:pPr>
            <w:r>
              <w:t>MCU-Firmware:</w:t>
            </w:r>
          </w:p>
        </w:tc>
        <w:tc>
          <w:tcPr>
            <w:tcW w:w="992" w:type="dxa"/>
          </w:tcPr>
          <w:p>
            <w:pPr>
              <w:pStyle w:val="GesAbsatz"/>
              <w:tabs>
                <w:tab w:val="clear" w:pos="425"/>
              </w:tabs>
            </w:pPr>
            <w:r>
              <w:t>1.0.52</w:t>
            </w:r>
          </w:p>
        </w:tc>
      </w:tr>
      <w:tr>
        <w:tc>
          <w:tcPr>
            <w:tcW w:w="2802" w:type="dxa"/>
          </w:tcPr>
          <w:p>
            <w:pPr>
              <w:pStyle w:val="GesAbsatz"/>
              <w:tabs>
                <w:tab w:val="clear" w:pos="425"/>
              </w:tabs>
            </w:pPr>
            <w:r>
              <w:t>Sensor-Hardware:</w:t>
            </w:r>
          </w:p>
        </w:tc>
        <w:tc>
          <w:tcPr>
            <w:tcW w:w="992" w:type="dxa"/>
          </w:tcPr>
          <w:p>
            <w:pPr>
              <w:pStyle w:val="GesAbsatz"/>
              <w:tabs>
                <w:tab w:val="clear" w:pos="425"/>
              </w:tabs>
            </w:pPr>
            <w:r>
              <w:t>1.3</w:t>
            </w:r>
          </w:p>
        </w:tc>
      </w:tr>
      <w:tr>
        <w:tc>
          <w:tcPr>
            <w:tcW w:w="2802" w:type="dxa"/>
          </w:tcPr>
          <w:p>
            <w:pPr>
              <w:pStyle w:val="GesAbsatz"/>
              <w:tabs>
                <w:tab w:val="clear" w:pos="425"/>
              </w:tabs>
            </w:pPr>
            <w:r>
              <w:t>Sensor-Firmware:</w:t>
            </w:r>
          </w:p>
        </w:tc>
        <w:tc>
          <w:tcPr>
            <w:tcW w:w="992" w:type="dxa"/>
          </w:tcPr>
          <w:p>
            <w:pPr>
              <w:pStyle w:val="GesAbsatz"/>
              <w:tabs>
                <w:tab w:val="clear" w:pos="425"/>
              </w:tabs>
            </w:pPr>
            <w:r>
              <w:t>1.4.08</w:t>
            </w:r>
          </w:p>
        </w:tc>
      </w:tr>
      <w:tr>
        <w:tc>
          <w:tcPr>
            <w:tcW w:w="2802" w:type="dxa"/>
          </w:tcPr>
          <w:p>
            <w:pPr>
              <w:pStyle w:val="GesAbsatz"/>
              <w:tabs>
                <w:tab w:val="clear" w:pos="425"/>
              </w:tabs>
            </w:pPr>
            <w:proofErr w:type="spellStart"/>
            <w:r>
              <w:t>Sopas</w:t>
            </w:r>
            <w:proofErr w:type="spellEnd"/>
            <w:r>
              <w:t>:</w:t>
            </w:r>
          </w:p>
        </w:tc>
        <w:tc>
          <w:tcPr>
            <w:tcW w:w="992" w:type="dxa"/>
          </w:tcPr>
          <w:p>
            <w:pPr>
              <w:pStyle w:val="GesAbsatz"/>
              <w:tabs>
                <w:tab w:val="clear" w:pos="425"/>
              </w:tabs>
            </w:pPr>
            <w:r>
              <w:t>2.18</w:t>
            </w:r>
          </w:p>
        </w:tc>
      </w:tr>
    </w:tbl>
    <w:p>
      <w:pPr>
        <w:pStyle w:val="GesAbsatz"/>
      </w:pPr>
      <w:r>
        <w:t>Stellungnahme der TÜV Rheinland Immissionsschutz und Energiesysteme GmbH vom 29. Oktober 2009</w:t>
      </w:r>
    </w:p>
    <w:p>
      <w:pPr>
        <w:pStyle w:val="GesAbsatz"/>
      </w:pPr>
      <w:r>
        <w:t>8</w:t>
      </w:r>
      <w:r>
        <w:tab/>
        <w:t>Mitteilung zu Bekanntmachungen des Umweltbundesamtes vom 3. August 2009 (BAnz. S. 2931)</w:t>
      </w:r>
    </w:p>
    <w:p>
      <w:pPr>
        <w:pStyle w:val="GesAbsatz"/>
      </w:pPr>
      <w:r>
        <w:t>Die aktuelle Softwareversion der Emissions-Messeinrichtung GM 32 In-situ Gasanalysator, in der Ausfü</w:t>
      </w:r>
      <w:r>
        <w:t>h</w:t>
      </w:r>
      <w:r>
        <w:t xml:space="preserve">rung Cross </w:t>
      </w:r>
      <w:proofErr w:type="spellStart"/>
      <w:r>
        <w:t>Duct</w:t>
      </w:r>
      <w:proofErr w:type="spellEnd"/>
      <w:r>
        <w:t xml:space="preserve"> und Messlanze GMP, der Firma SICK MAIHAK GmbH ist:</w:t>
      </w:r>
    </w:p>
    <w:p>
      <w:pPr>
        <w:pStyle w:val="GesAbsatz"/>
        <w:tabs>
          <w:tab w:val="clear" w:pos="425"/>
          <w:tab w:val="left" w:pos="2835"/>
        </w:tabs>
      </w:pPr>
      <w:r>
        <w:t>GM32:</w:t>
      </w:r>
      <w:r>
        <w:tab/>
        <w:t>9125967 T473</w:t>
      </w:r>
    </w:p>
    <w:p>
      <w:pPr>
        <w:pStyle w:val="GesAbsatz"/>
      </w:pPr>
      <w:r>
        <w:lastRenderedPageBreak/>
        <w:t>Stellungnahme der TÜV Rheinland Immissionsschutz und Energiesysteme GmbH vom 9. Oktober 2009</w:t>
      </w:r>
    </w:p>
    <w:p>
      <w:pPr>
        <w:pStyle w:val="GesAbsatz"/>
      </w:pPr>
      <w:r>
        <w:t>9</w:t>
      </w:r>
      <w:r>
        <w:tab/>
        <w:t>Mitteilung zu Bekanntmachungen des Umweltbundesamtes vom 12. September 2006 (BAnz. S. 6716) und vom 12. August 2008 (BAnz. S. 3247)</w:t>
      </w:r>
    </w:p>
    <w:p>
      <w:pPr>
        <w:pStyle w:val="GesAbsatz"/>
      </w:pPr>
      <w:r>
        <w:t>Die aktuellen Softwareversionen der Emissions-Messeinrichtung GM 35 In-situ Gasanalysator, in der Vers</w:t>
      </w:r>
      <w:r>
        <w:t>i</w:t>
      </w:r>
      <w:r>
        <w:t>on Cross-</w:t>
      </w:r>
      <w:proofErr w:type="spellStart"/>
      <w:r>
        <w:t>Duct</w:t>
      </w:r>
      <w:proofErr w:type="spellEnd"/>
      <w:r>
        <w:t xml:space="preserve"> und Messlanze GMP, der Firma SICK MAIHAK GmbH sind: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95"/>
        <w:gridCol w:w="1674"/>
      </w:tblGrid>
      <w:tr>
        <w:tc>
          <w:tcPr>
            <w:tcW w:w="1695" w:type="dxa"/>
          </w:tcPr>
          <w:p>
            <w:pPr>
              <w:pStyle w:val="GesAbsatz"/>
              <w:tabs>
                <w:tab w:val="clear" w:pos="425"/>
              </w:tabs>
            </w:pPr>
            <w:r>
              <w:t>SE-Einheit:</w:t>
            </w:r>
          </w:p>
        </w:tc>
        <w:tc>
          <w:tcPr>
            <w:tcW w:w="1674" w:type="dxa"/>
          </w:tcPr>
          <w:p>
            <w:pPr>
              <w:pStyle w:val="GesAbsatz"/>
              <w:tabs>
                <w:tab w:val="clear" w:pos="425"/>
              </w:tabs>
            </w:pPr>
            <w:r>
              <w:t>9062244 SA80</w:t>
            </w:r>
          </w:p>
        </w:tc>
      </w:tr>
      <w:tr>
        <w:tc>
          <w:tcPr>
            <w:tcW w:w="1695" w:type="dxa"/>
          </w:tcPr>
          <w:p>
            <w:pPr>
              <w:pStyle w:val="GesAbsatz"/>
              <w:tabs>
                <w:tab w:val="clear" w:pos="425"/>
              </w:tabs>
            </w:pPr>
            <w:r>
              <w:t>Auswerteeinheit:</w:t>
            </w:r>
          </w:p>
        </w:tc>
        <w:tc>
          <w:tcPr>
            <w:tcW w:w="1674" w:type="dxa"/>
          </w:tcPr>
          <w:p>
            <w:pPr>
              <w:pStyle w:val="GesAbsatz"/>
              <w:tabs>
                <w:tab w:val="clear" w:pos="425"/>
              </w:tabs>
            </w:pPr>
            <w:r>
              <w:t>9062243 T895</w:t>
            </w:r>
          </w:p>
        </w:tc>
      </w:tr>
      <w:tr>
        <w:tc>
          <w:tcPr>
            <w:tcW w:w="1695" w:type="dxa"/>
          </w:tcPr>
          <w:p>
            <w:pPr>
              <w:pStyle w:val="GesAbsatz"/>
              <w:tabs>
                <w:tab w:val="clear" w:pos="425"/>
              </w:tabs>
            </w:pPr>
            <w:r>
              <w:t>Spülluft:</w:t>
            </w:r>
          </w:p>
        </w:tc>
        <w:tc>
          <w:tcPr>
            <w:tcW w:w="1674" w:type="dxa"/>
          </w:tcPr>
          <w:p>
            <w:pPr>
              <w:pStyle w:val="GesAbsatz"/>
              <w:tabs>
                <w:tab w:val="clear" w:pos="425"/>
              </w:tabs>
            </w:pPr>
            <w:r>
              <w:t>9091948 QC24</w:t>
            </w:r>
          </w:p>
        </w:tc>
      </w:tr>
    </w:tbl>
    <w:p>
      <w:pPr>
        <w:pStyle w:val="GesAbsatz"/>
      </w:pPr>
      <w:r>
        <w:t>Stellungnahme der TÜV Rheinland Immissionsschutz und Energiesysteme GmbH vom 9. Oktober 2009</w:t>
      </w:r>
    </w:p>
    <w:p>
      <w:pPr>
        <w:pStyle w:val="GesAbsatz"/>
      </w:pPr>
      <w:r>
        <w:t>10</w:t>
      </w:r>
      <w:r>
        <w:tab/>
        <w:t>Mitteilung zu Bekanntmachungen des Umweltbundesamtes vom 12. April 2007 (BAnz. S. 4139) und vom 3. August 2009 (BAnz. S. 2935)</w:t>
      </w:r>
    </w:p>
    <w:p>
      <w:pPr>
        <w:pStyle w:val="GesAbsatz"/>
      </w:pPr>
      <w:r>
        <w:t xml:space="preserve">Die aktuelle Softwareversion der Immissionsmesseinrichtung BAM-1020 der Firma </w:t>
      </w:r>
      <w:proofErr w:type="spellStart"/>
      <w:r>
        <w:t>MetOne</w:t>
      </w:r>
      <w:proofErr w:type="spellEnd"/>
      <w:r>
        <w:t xml:space="preserve"> Instruments la</w:t>
      </w:r>
      <w:r>
        <w:t>u</w:t>
      </w:r>
      <w:r>
        <w:t>tet:</w:t>
      </w:r>
    </w:p>
    <w:p>
      <w:pPr>
        <w:pStyle w:val="GesAbsatz"/>
        <w:jc w:val="center"/>
      </w:pPr>
      <w:r>
        <w:t>Version 3236-07 V5.0.5</w:t>
      </w:r>
    </w:p>
    <w:p>
      <w:pPr>
        <w:pStyle w:val="GesAbsatz"/>
      </w:pPr>
      <w:r>
        <w:t>Der Hinweis 1 wird ersetzt durch:</w:t>
      </w:r>
    </w:p>
    <w:p>
      <w:pPr>
        <w:pStyle w:val="GesAbsatz"/>
        <w:ind w:left="426" w:hanging="426"/>
      </w:pPr>
      <w:r>
        <w:t>1.</w:t>
      </w:r>
      <w:r>
        <w:tab/>
        <w:t>Das Gerät ist zur Erfassung von PM</w:t>
      </w:r>
      <w:r>
        <w:rPr>
          <w:vertAlign w:val="subscript"/>
        </w:rPr>
        <w:t>10</w:t>
      </w:r>
      <w:r>
        <w:t xml:space="preserve"> mindestens mit folgenden Optionen auszustatten:</w:t>
      </w:r>
    </w:p>
    <w:p>
      <w:pPr>
        <w:pStyle w:val="GesAbsatz"/>
        <w:ind w:left="426"/>
      </w:pPr>
      <w:r>
        <w:t>Probenahmeheizung (BX-830), Probenahmekopf (BX-802) und Umgebungstemperatursensor (BX-592) bzw. kombinierter Druck- und Temperatursensor (BX-596).</w:t>
      </w:r>
    </w:p>
    <w:p>
      <w:pPr>
        <w:pStyle w:val="GesAbsatz"/>
      </w:pPr>
      <w:r>
        <w:t>Stellungnahme der TÜV Rheinland Immissionsschutz und Energiesysteme GmbH vom 9. Oktober 2009</w:t>
      </w:r>
    </w:p>
    <w:p>
      <w:pPr>
        <w:pStyle w:val="GesAbsatz"/>
        <w:tabs>
          <w:tab w:val="clear" w:pos="425"/>
          <w:tab w:val="left" w:pos="426"/>
        </w:tabs>
      </w:pPr>
      <w:r>
        <w:t>11</w:t>
      </w:r>
      <w:r>
        <w:tab/>
        <w:t>Mitteilung zu Bekanntmachungen des Umweltbundesamtes vom 12. April 2007 (BAnz. S. 4139) und vom 3. August 2009 (BAnz. S. 2935)</w:t>
      </w:r>
    </w:p>
    <w:p>
      <w:pPr>
        <w:pStyle w:val="GesAbsatz"/>
      </w:pPr>
      <w:r>
        <w:t xml:space="preserve">Die Messeinrichtung BAM-1020 der Firma </w:t>
      </w:r>
      <w:proofErr w:type="spellStart"/>
      <w:r>
        <w:t>MetOne</w:t>
      </w:r>
      <w:proofErr w:type="spellEnd"/>
      <w:r>
        <w:t xml:space="preserve"> Instruments (TÜV-Bericht-Nr. 936/21205333/A vom 6. Dezember 2006) wird baugleich auch von der Firma Horiba Europe GmbH, 61440 Oberursel unter dem N</w:t>
      </w:r>
      <w:r>
        <w:t>a</w:t>
      </w:r>
      <w:r>
        <w:t>men APDA-371 vertrieben.</w:t>
      </w:r>
    </w:p>
    <w:p>
      <w:pPr>
        <w:pStyle w:val="GesAbsatz"/>
      </w:pPr>
      <w:r>
        <w:t>Die aktuelle Softwareversion der Immissionsmesseinrichtung APDA-371 lautet:</w:t>
      </w:r>
    </w:p>
    <w:p>
      <w:pPr>
        <w:pStyle w:val="GesAbsatz"/>
        <w:jc w:val="center"/>
      </w:pPr>
      <w:r>
        <w:t>Version 3236-07 V5.0.5</w:t>
      </w:r>
    </w:p>
    <w:p>
      <w:pPr>
        <w:pStyle w:val="GesAbsatz"/>
      </w:pPr>
      <w:r>
        <w:t>Stellungnahme der TÜV Rheinland Immissionsschutz und Energiesysteme GmbH vom 9. Oktober 2009</w:t>
      </w:r>
    </w:p>
    <w:p>
      <w:pPr>
        <w:pStyle w:val="GesAbsatz"/>
      </w:pPr>
      <w:r>
        <w:t>12</w:t>
      </w:r>
      <w:r>
        <w:tab/>
        <w:t>Mitteilung zu Bekanntmachungen des Umweltbundesamtes vom 22. April 2003 (BAnz. S. 10742) und vom 12. September 2006 (BAnz. S. 6717)</w:t>
      </w:r>
    </w:p>
    <w:p>
      <w:pPr>
        <w:pStyle w:val="GesAbsatz"/>
      </w:pPr>
      <w:r>
        <w:t>Die aktuelle Softwareversion der Messeinrichtung D-R 290 der Firma DURAG GmbH lautet:</w:t>
      </w:r>
    </w:p>
    <w:p>
      <w:pPr>
        <w:pStyle w:val="GesAbsatz"/>
        <w:jc w:val="center"/>
      </w:pPr>
      <w:r>
        <w:t>Version 4.37</w:t>
      </w:r>
    </w:p>
    <w:p>
      <w:pPr>
        <w:pStyle w:val="GesAbsatz"/>
      </w:pPr>
      <w:r>
        <w:t>Stellungnahme der TÜV Rheinland Immissionsschutz und Energiesysteme GmbH vom 22. Oktober 2009</w:t>
      </w:r>
    </w:p>
    <w:p>
      <w:pPr>
        <w:pStyle w:val="GesAbsatz"/>
      </w:pPr>
      <w:r>
        <w:t>13</w:t>
      </w:r>
      <w:r>
        <w:tab/>
        <w:t>Mitteilung zu Bekanntmachungen des Umweltbundesamtes vom 22. April 2003 (BAnz. S. 10 742) und vom 12. September 2006 (BAnz. S. 6717)</w:t>
      </w:r>
    </w:p>
    <w:p>
      <w:pPr>
        <w:pStyle w:val="GesAbsatz"/>
      </w:pPr>
      <w:r>
        <w:t>Die Messeinrichtung D-R 290 der Firma DURAG GmbH (TÜV-Bericht-Nr. 936/801017/A vom 31. Januar 2003) wird baugleich auch von der Firma Horiba GmbH, A-3430 Tulln unter dem Namen EM-D5100 vertri</w:t>
      </w:r>
      <w:r>
        <w:t>e</w:t>
      </w:r>
      <w:r>
        <w:t>ben.</w:t>
      </w:r>
    </w:p>
    <w:p>
      <w:pPr>
        <w:pStyle w:val="GesAbsatz"/>
      </w:pPr>
      <w:r>
        <w:t>Die aktuelle Softwareversion der Messeinrichtung EM-D5100 lautet:</w:t>
      </w:r>
    </w:p>
    <w:p>
      <w:pPr>
        <w:pStyle w:val="GesAbsatz"/>
        <w:jc w:val="left"/>
      </w:pPr>
      <w:r>
        <w:t>Version 4.37</w:t>
      </w:r>
    </w:p>
    <w:p>
      <w:pPr>
        <w:pStyle w:val="GesAbsatz"/>
      </w:pPr>
      <w:r>
        <w:t>Stellungnahme der TÜV Rheinland Immissionsschutz und Energiesysteme GmbH vom 9. Oktober 2009</w:t>
      </w:r>
    </w:p>
    <w:p>
      <w:pPr>
        <w:pStyle w:val="GesAbsatz"/>
      </w:pPr>
      <w:r>
        <w:t>14</w:t>
      </w:r>
      <w:r>
        <w:tab/>
        <w:t>Mitteilung zur Bekanntmachung des Umweltbundesamtes vom 19. Februar 2009 (BAnz. S. 901)</w:t>
      </w:r>
    </w:p>
    <w:p>
      <w:pPr>
        <w:pStyle w:val="GesAbsatz"/>
      </w:pPr>
      <w:r>
        <w:t>Die Messeinrichtung LaserGas II für H</w:t>
      </w:r>
      <w:r>
        <w:rPr>
          <w:vertAlign w:val="subscript"/>
        </w:rPr>
        <w:t>2</w:t>
      </w:r>
      <w:r>
        <w:t>O und NH</w:t>
      </w:r>
      <w:r>
        <w:rPr>
          <w:vertAlign w:val="subscript"/>
        </w:rPr>
        <w:t>3</w:t>
      </w:r>
      <w:r>
        <w:t xml:space="preserve"> erfüllt die Mindestanforderungen auch als Einkompone</w:t>
      </w:r>
      <w:r>
        <w:t>n</w:t>
      </w:r>
      <w:r>
        <w:t>tenmesseinrichtung. Die eignungsgeprüfte Gerätekonfiguration ist unter der folgenden Bezeichnung erhäl</w:t>
      </w:r>
      <w:r>
        <w:t>t</w:t>
      </w:r>
      <w:r>
        <w:t>lich:</w:t>
      </w:r>
    </w:p>
    <w:p>
      <w:pPr>
        <w:pStyle w:val="GesAbsatz"/>
        <w:ind w:left="426"/>
      </w:pPr>
      <w:r>
        <w:t>LaserGas II NH</w:t>
      </w:r>
      <w:r>
        <w:rPr>
          <w:vertAlign w:val="subscript"/>
        </w:rPr>
        <w:t>3</w:t>
      </w:r>
      <w:r>
        <w:rPr>
          <w:vertAlign w:val="subscript"/>
        </w:rPr>
        <w:br/>
      </w:r>
      <w:r>
        <w:t>geprüfte Messbereiche: 0-10 mg/m</w:t>
      </w:r>
      <w:r>
        <w:rPr>
          <w:vertAlign w:val="superscript"/>
        </w:rPr>
        <w:t>3</w:t>
      </w:r>
      <w:r>
        <w:t xml:space="preserve"> und 0-15 mg/m</w:t>
      </w:r>
      <w:r>
        <w:rPr>
          <w:vertAlign w:val="superscript"/>
        </w:rPr>
        <w:t>3</w:t>
      </w:r>
    </w:p>
    <w:p>
      <w:pPr>
        <w:pStyle w:val="GesAbsatz"/>
        <w:ind w:left="426"/>
      </w:pPr>
      <w:r>
        <w:t>LaserGas II H</w:t>
      </w:r>
      <w:r>
        <w:rPr>
          <w:vertAlign w:val="subscript"/>
        </w:rPr>
        <w:t>2</w:t>
      </w:r>
      <w:r>
        <w:t>O</w:t>
      </w:r>
      <w:r>
        <w:br/>
        <w:t>geprüfte Messbereiche: 0-30 Vol.-%, 0-40 Vol.-% und 0-50 Vol.-%</w:t>
      </w:r>
    </w:p>
    <w:p>
      <w:pPr>
        <w:pStyle w:val="GesAbsatz"/>
      </w:pPr>
      <w:r>
        <w:t>Stellungnahme der TÜV Rheinland Immissionsschutz und Energiesysteme GmbH vom 30. April 2009</w:t>
      </w:r>
    </w:p>
    <w:p>
      <w:pPr>
        <w:pStyle w:val="GesAbsatz"/>
      </w:pPr>
      <w:r>
        <w:lastRenderedPageBreak/>
        <w:t>15</w:t>
      </w:r>
      <w:r>
        <w:tab/>
        <w:t>Mitteilung zum Rundschreiben des BMU vom 5. Oktober 1999 - IG I 3-51134/2 - (GMBl 1999 S. 719)</w:t>
      </w:r>
    </w:p>
    <w:p>
      <w:pPr>
        <w:pStyle w:val="GesAbsatz"/>
      </w:pPr>
      <w:r>
        <w:t>Die Staubmesseinrichtung EP 1000 Modell 1300 der Firma INDUSTRIAL SCIENTIFIC OLDHAM (RW TÜV Bericht-Nr. 5.02/0019/98 - 201 34 363 vom 19. Juli 1999), ehemals OLDHAM France SA., wird zukünftig baugleich von der Firma SERES Environnement, France unter der Gerätebezeichnung EP 1000 A herg</w:t>
      </w:r>
      <w:r>
        <w:t>e</w:t>
      </w:r>
      <w:r>
        <w:t>stellt und vertrieben.</w:t>
      </w:r>
    </w:p>
    <w:p>
      <w:pPr>
        <w:pStyle w:val="GesAbsatz"/>
      </w:pPr>
      <w:r>
        <w:t>Stellungnahme der TÜV Rheinland Immissionsschutz und Energiesysteme GmbH vom 29. Oktober 2009</w:t>
      </w:r>
    </w:p>
    <w:p>
      <w:pPr>
        <w:pStyle w:val="GesAbsatz"/>
      </w:pPr>
      <w:r>
        <w:t>16</w:t>
      </w:r>
      <w:r>
        <w:tab/>
        <w:t>Mitteilung zu Bekanntmachungen des Umweltbundesamtes vom 31. März 2005 (BAnz. S. 6892) und vom 12. August 2008 (BAnz. S. 3247)</w:t>
      </w:r>
    </w:p>
    <w:p>
      <w:pPr>
        <w:pStyle w:val="GesAbsatz"/>
      </w:pPr>
      <w:r>
        <w:t xml:space="preserve">Die aktuelle Softwareversion der Staubmesseinrichtung </w:t>
      </w:r>
      <w:proofErr w:type="spellStart"/>
      <w:r>
        <w:t>StackGuard</w:t>
      </w:r>
      <w:proofErr w:type="spellEnd"/>
      <w:r>
        <w:t xml:space="preserve"> der Firma Dr. Sigrist AG lautet:</w:t>
      </w:r>
    </w:p>
    <w:p>
      <w:pPr>
        <w:pStyle w:val="GesAbsatz"/>
        <w:jc w:val="center"/>
      </w:pPr>
      <w:r>
        <w:t>V1.2</w:t>
      </w:r>
    </w:p>
    <w:p>
      <w:pPr>
        <w:pStyle w:val="GesAbsatz"/>
      </w:pPr>
      <w:r>
        <w:t>Neben dem bisher verwendeten Uhrenbaustein der Firma Epson Typ RTC-8593 kann ein Baustein des gle</w:t>
      </w:r>
      <w:r>
        <w:t>i</w:t>
      </w:r>
      <w:r>
        <w:t>chen Herstellers vom Typ RTC-8564 verbaut werden.</w:t>
      </w:r>
    </w:p>
    <w:p>
      <w:pPr>
        <w:pStyle w:val="GesAbsatz"/>
      </w:pPr>
      <w:r>
        <w:t>Stellungnahme der TÜV Rheinland Immissionsschutz und Energiesysteme GmbH vom 28. Oktober 2009</w:t>
      </w:r>
    </w:p>
    <w:p>
      <w:pPr>
        <w:pStyle w:val="GesAbsatz"/>
      </w:pPr>
      <w:r>
        <w:t>17</w:t>
      </w:r>
      <w:r>
        <w:tab/>
        <w:t>Mitteilung zu Bekanntmachungen des Umweltbundesamtes vom 12. September 2006 (BAnz. S. 6715) und vom 3. August 2009 (BAnz. S. 2936)</w:t>
      </w:r>
    </w:p>
    <w:p>
      <w:pPr>
        <w:pStyle w:val="GesAbsatz"/>
      </w:pPr>
      <w:r>
        <w:t>Die Messeinrichtung PCME QAL 181 der Firma PCME Ltd. (Bericht-Nr. 936/21204255/A vom 7. Juli 2006) wird ab der Seriennummer 31192ff in einer geänderten Bauform vertrieben. Die Ergebnisse aus der Ei</w:t>
      </w:r>
      <w:r>
        <w:t>g</w:t>
      </w:r>
      <w:r>
        <w:t>nungsprüfung bleiben davon unberührt.</w:t>
      </w:r>
    </w:p>
    <w:p>
      <w:pPr>
        <w:pStyle w:val="GesAbsatz"/>
      </w:pPr>
      <w:r>
        <w:t>Stellungnahme der TÜV Rheinland Immissionsschutz und Energiesysteme GmbH vom 16. Oktober 2009</w:t>
      </w:r>
    </w:p>
    <w:p>
      <w:pPr>
        <w:pStyle w:val="GesAbsatz"/>
      </w:pPr>
      <w:r>
        <w:t>18</w:t>
      </w:r>
      <w:r>
        <w:tab/>
        <w:t>Mitteilung zur Bekanntmachung des Umweltbundesamtes vom 3. August 2009 (BAnz. S. 2929)</w:t>
      </w:r>
    </w:p>
    <w:p>
      <w:pPr>
        <w:pStyle w:val="GesAbsatz"/>
      </w:pPr>
      <w:r>
        <w:t xml:space="preserve">Die Messeinrichtung PCME View 80 der Firma PCME Ltd. (Bericht-Nr. 936/21209715/B vom 27. März 2009) wird umbenannt in </w:t>
      </w:r>
      <w:proofErr w:type="spellStart"/>
      <w:r>
        <w:t>Leak</w:t>
      </w:r>
      <w:proofErr w:type="spellEnd"/>
      <w:r>
        <w:t xml:space="preserve"> Alert 80.</w:t>
      </w:r>
    </w:p>
    <w:p>
      <w:pPr>
        <w:pStyle w:val="GesAbsatz"/>
      </w:pPr>
      <w:r>
        <w:t>Stellungnahme der TÜV Rheinland Immissionsschutz und Energiesysteme GmbH vom 29. Oktober 2009</w:t>
      </w:r>
    </w:p>
    <w:p>
      <w:pPr>
        <w:pStyle w:val="GesAbsatz"/>
      </w:pPr>
      <w:r>
        <w:t>19</w:t>
      </w:r>
      <w:r>
        <w:tab/>
        <w:t>Mitteilung zu Bekanntmachungen des Umweltbundesamtes vom 12. September 2006 (BAnz. S. 6715) und vom 3. August 2009 (BAnz. S. 2936)</w:t>
      </w:r>
    </w:p>
    <w:p>
      <w:pPr>
        <w:pStyle w:val="GesAbsatz"/>
      </w:pPr>
      <w:r>
        <w:t>Die aktuelle Softwareversion für das Analysatormodul der Messeinrichtungen der EasyLine EL3000 Serie der Firma ABB Automation GmbH, Frankfurt am Main, ist 3.2.16.</w:t>
      </w:r>
    </w:p>
    <w:p>
      <w:pPr>
        <w:pStyle w:val="GesAbsatz"/>
      </w:pPr>
      <w:r>
        <w:t>Stellungnahme der TÜV Süd Industrie Service GmbH vom 26. Oktober 2009</w:t>
      </w:r>
    </w:p>
    <w:p>
      <w:pPr>
        <w:pStyle w:val="GesAbsatz"/>
      </w:pPr>
      <w:r>
        <w:t>20</w:t>
      </w:r>
      <w:r>
        <w:tab/>
        <w:t>Mitteilung zur Bekanntmachung des Umweltbundesamtes vom 3. August 2009 (BAnz. S. 2932)</w:t>
      </w:r>
    </w:p>
    <w:p>
      <w:pPr>
        <w:pStyle w:val="GesAbsatz"/>
      </w:pPr>
      <w:r>
        <w:t>Die aktuelle Softwareversion für das Analysatormodul der Messeinrichtungen der Advance Optima AO 2000 Serie der Firma ABB Automation GmbH, Frankfurt am Main, ist 3.2.16.</w:t>
      </w:r>
    </w:p>
    <w:p>
      <w:pPr>
        <w:pStyle w:val="GesAbsatz"/>
      </w:pPr>
      <w:r>
        <w:t>Stellungnahme der TÜV Süd Industrie Service GmbH vom 26. Oktober 2009</w:t>
      </w:r>
    </w:p>
    <w:p>
      <w:pPr>
        <w:pStyle w:val="GesAbsatz"/>
      </w:pPr>
      <w:r>
        <w:t>21</w:t>
      </w:r>
      <w:r>
        <w:tab/>
        <w:t>Mitteilung zur Bekanntmachung des Umweltbundesamtes vom 3. August 2009 (BAnz. S. 2933)</w:t>
      </w:r>
    </w:p>
    <w:p>
      <w:pPr>
        <w:pStyle w:val="GesAbsatz"/>
      </w:pPr>
      <w:r>
        <w:t>Die aktuelle Softwareversion für die Messeinrichtung LDS 6 7MB6121/6122 der Siemens AG für HCl und H</w:t>
      </w:r>
      <w:r>
        <w:rPr>
          <w:vertAlign w:val="subscript"/>
        </w:rPr>
        <w:t>2</w:t>
      </w:r>
      <w:r>
        <w:t>O ist R24.</w:t>
      </w:r>
    </w:p>
    <w:p>
      <w:pPr>
        <w:pStyle w:val="GesAbsatz"/>
      </w:pPr>
      <w:r>
        <w:t>Stellungnahme der TÜV Süd Industrie Service GmbH vom 26. Oktober 2009</w:t>
      </w:r>
    </w:p>
    <w:p>
      <w:pPr>
        <w:pStyle w:val="GesAbsatz"/>
      </w:pPr>
      <w:r>
        <w:t>22</w:t>
      </w:r>
      <w:r>
        <w:tab/>
        <w:t>Mitteilung zur Bekanntmachung des Umweltbundesamtes vom 3. August 2009 (BAnz. S. 2933)</w:t>
      </w:r>
    </w:p>
    <w:p>
      <w:pPr>
        <w:pStyle w:val="GesAbsatz"/>
      </w:pPr>
      <w:r>
        <w:t>Die aktuelle Softwareversion für die Messeinrichtung LDS 6 7MB6121/6122 der Siemens AG für NH</w:t>
      </w:r>
      <w:r>
        <w:rPr>
          <w:vertAlign w:val="subscript"/>
        </w:rPr>
        <w:t>3</w:t>
      </w:r>
      <w:r>
        <w:t xml:space="preserve"> und H</w:t>
      </w:r>
      <w:r>
        <w:rPr>
          <w:vertAlign w:val="subscript"/>
        </w:rPr>
        <w:t>2</w:t>
      </w:r>
      <w:r>
        <w:t>O ist R24.</w:t>
      </w:r>
    </w:p>
    <w:p>
      <w:pPr>
        <w:pStyle w:val="GesAbsatz"/>
      </w:pPr>
      <w:r>
        <w:t>Stellungnahme der TÜV Süd Industrie Service GmbH vom 26. Oktober 2009</w:t>
      </w:r>
    </w:p>
    <w:p>
      <w:pPr>
        <w:pStyle w:val="GesAbsatz"/>
      </w:pPr>
      <w:r>
        <w:t>23</w:t>
      </w:r>
      <w:r>
        <w:tab/>
        <w:t>Mitteilung zu Bekanntmachungen des Umweltbundesamtes vom 21. Februar 2006 (BAnz. S. 2653) und vom 19. Februar 2009 (BAnz. S. 904)</w:t>
      </w:r>
    </w:p>
    <w:p>
      <w:pPr>
        <w:pStyle w:val="GesAbsatz"/>
      </w:pPr>
      <w:r>
        <w:t>Die aktuelle Softwareversion für die Messeinrichtung FIDAMAT 6-7MB2421 ist 1.3.2.</w:t>
      </w:r>
    </w:p>
    <w:p>
      <w:pPr>
        <w:pStyle w:val="GesAbsatz"/>
      </w:pPr>
      <w:r>
        <w:t>Stellungnahme der TÜV Süd Industrie Service GmbH vom 26. Oktober 2009</w:t>
      </w:r>
    </w:p>
    <w:p>
      <w:pPr>
        <w:pStyle w:val="GesAbsatz"/>
      </w:pPr>
      <w:r>
        <w:t>24</w:t>
      </w:r>
      <w:r>
        <w:tab/>
        <w:t>Mitteilung zu Bekanntmachungen des Umweltbundesamtes vom 14. Februar 2008 (BAnz. S. 902) und vom 19. Februar 2009 (BAnz. S. 904)</w:t>
      </w:r>
    </w:p>
    <w:p>
      <w:pPr>
        <w:pStyle w:val="GesAbsatz"/>
      </w:pPr>
      <w:r>
        <w:t>Die aktuelle Softwareversion für die Messeinrichtungen ULTRA-MAT 23-7MB2335/2337 ist 2.14.03.</w:t>
      </w:r>
    </w:p>
    <w:p>
      <w:pPr>
        <w:pStyle w:val="GesAbsatz"/>
      </w:pPr>
      <w:r>
        <w:lastRenderedPageBreak/>
        <w:t>Stellungnahme der TÜV Süd Industrie Service GmbH vom 26. Oktober 2009</w:t>
      </w:r>
    </w:p>
    <w:p>
      <w:pPr>
        <w:pStyle w:val="GesAbsatz"/>
      </w:pPr>
      <w:r>
        <w:t>25</w:t>
      </w:r>
      <w:r>
        <w:tab/>
        <w:t>Mitteilung zur Bekanntmachung des Umweltbundesamtes vom 14. Februar 2008 (BAnz. S. 902) und vom 19. Februar 2009 (BAnz. S. 904)</w:t>
      </w:r>
    </w:p>
    <w:p>
      <w:pPr>
        <w:pStyle w:val="GesAbsatz"/>
      </w:pPr>
      <w:r>
        <w:t>Die aktuelle Softwareversion für die Messeinrichtung ULTRA-MAT 23-7MB2338 ist 2.14.03.</w:t>
      </w:r>
    </w:p>
    <w:p>
      <w:pPr>
        <w:pStyle w:val="GesAbsatz"/>
      </w:pPr>
      <w:r>
        <w:t>Stellungnahme der TÜV Süd Industrie Service GmbH vom 26. Oktober 2009</w:t>
      </w:r>
    </w:p>
    <w:p>
      <w:pPr>
        <w:pStyle w:val="GesAbsatz"/>
      </w:pPr>
      <w:r>
        <w:t>26</w:t>
      </w:r>
      <w:r>
        <w:tab/>
        <w:t>Mitteilung zum Rundschreiben des BMU vom 28. April 1999 - IG I 3-51134/2 - (GMBl 1999 S. 447) und zur Bekanntmachung des Umweltbundesamtes vom 19. Februar 2009 (BAnz. S. 904)</w:t>
      </w:r>
    </w:p>
    <w:p>
      <w:pPr>
        <w:pStyle w:val="GesAbsatz"/>
      </w:pPr>
      <w:r>
        <w:t>Die aktuelle Softwareversion für die Messeinrichtungen ULTRA-MAT 6 E/F, OXYMAT 6 E/F und ULTR</w:t>
      </w:r>
      <w:r>
        <w:t>A</w:t>
      </w:r>
      <w:r>
        <w:t>MAT/OXYMAT 6 E/F ist 4.8.0.</w:t>
      </w:r>
    </w:p>
    <w:p>
      <w:pPr>
        <w:pStyle w:val="GesAbsatz"/>
      </w:pPr>
      <w:r>
        <w:t>Stellungnahme der TÜV Süd Industrie Service GmbH vom 26. Oktober 2009</w:t>
      </w:r>
    </w:p>
    <w:p>
      <w:pPr>
        <w:pStyle w:val="GesAbsatz"/>
      </w:pPr>
    </w:p>
    <w:p>
      <w:pPr>
        <w:pStyle w:val="GesAbsatz"/>
      </w:pPr>
    </w:p>
    <w:sectPr>
      <w:headerReference w:type="default" r:id="rId6"/>
      <w:footerReference w:type="even" r:id="rId7"/>
      <w:footerReference w:type="default" r:id="rId8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ind w:right="-1"/>
    </w:pPr>
    <w:r>
      <w:tab/>
      <w:t>Stand 25.01.2010 (BAnz. Nr. 24 v. 12.2.2010 S. 552)</w:t>
    </w:r>
    <w:r>
      <w:tab/>
      <w:t>Se</w:t>
    </w:r>
    <w:r>
      <w:t>i</w:t>
    </w:r>
    <w:r>
      <w:t xml:space="preserve">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rPr>
        <w:b/>
        <w:sz w:val="24"/>
      </w:rPr>
    </w:pPr>
    <w:r>
      <w:rPr>
        <w:b/>
        <w:sz w:val="24"/>
      </w:rPr>
      <w:t>61.4-56</w:t>
    </w:r>
  </w:p>
  <w:p>
    <w:pPr>
      <w:pStyle w:val="Kopfzeile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D9218EB-224C-416F-AF12-2FE2754A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qFormat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  <w:jc w:val="right"/>
    </w:pPr>
  </w:style>
  <w:style w:type="paragraph" w:styleId="Fuzeile">
    <w:name w:val="footer"/>
    <w:basedOn w:val="Standard"/>
    <w:pPr>
      <w:tabs>
        <w:tab w:val="right" w:pos="8505"/>
        <w:tab w:val="right" w:pos="9639"/>
      </w:tabs>
    </w:pPr>
    <w:rPr>
      <w:sz w:val="16"/>
    </w:rPr>
  </w:style>
  <w:style w:type="character" w:styleId="Seitenzahl">
    <w:name w:val="page number"/>
    <w:basedOn w:val="Absatz-Standardschriftart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ind w:left="200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pPr>
      <w:ind w:left="400"/>
    </w:pPr>
    <w:rPr>
      <w:rFonts w:ascii="Times New Roman" w:hAnsi="Times New Roman"/>
      <w:i/>
      <w:iCs/>
    </w:rPr>
  </w:style>
  <w:style w:type="paragraph" w:styleId="Funotentext">
    <w:name w:val="footnote text"/>
    <w:basedOn w:val="Standard"/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bCs/>
      <w:i w:val="0"/>
      <w:iCs w:val="0"/>
      <w:caps/>
    </w:rPr>
  </w:style>
  <w:style w:type="paragraph" w:customStyle="1" w:styleId="GesAbsatz">
    <w:name w:val="GesAbsatz"/>
    <w:basedOn w:val="Standard"/>
    <w:link w:val="GesAbsatzZchn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color w:val="000000"/>
    </w:rPr>
  </w:style>
  <w:style w:type="paragraph" w:styleId="Verzeichnis4">
    <w:name w:val="toc 4"/>
    <w:basedOn w:val="Standard"/>
    <w:next w:val="Standard"/>
    <w:semiHidden/>
    <w:pPr>
      <w:ind w:left="600"/>
    </w:pPr>
    <w:rPr>
      <w:rFonts w:ascii="Times New Roman" w:hAnsi="Times New Roman"/>
      <w:sz w:val="18"/>
      <w:szCs w:val="18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Verzeichnis5">
    <w:name w:val="toc 5"/>
    <w:basedOn w:val="Standard"/>
    <w:next w:val="Standard"/>
    <w:semiHidden/>
    <w:pPr>
      <w:ind w:left="800"/>
    </w:pPr>
    <w:rPr>
      <w:rFonts w:ascii="Times New Roman" w:hAnsi="Times New Roman"/>
      <w:sz w:val="18"/>
      <w:szCs w:val="18"/>
    </w:rPr>
  </w:style>
  <w:style w:type="paragraph" w:styleId="Verzeichnis6">
    <w:name w:val="toc 6"/>
    <w:basedOn w:val="Standard"/>
    <w:next w:val="Standard"/>
    <w:semiHidden/>
    <w:pPr>
      <w:ind w:left="1000"/>
    </w:pPr>
    <w:rPr>
      <w:rFonts w:ascii="Times New Roman" w:hAnsi="Times New Roman"/>
      <w:sz w:val="18"/>
      <w:szCs w:val="18"/>
    </w:rPr>
  </w:style>
  <w:style w:type="paragraph" w:styleId="Verzeichnis7">
    <w:name w:val="toc 7"/>
    <w:basedOn w:val="Standard"/>
    <w:next w:val="Standard"/>
    <w:semiHidden/>
    <w:pPr>
      <w:ind w:left="1200"/>
    </w:pPr>
    <w:rPr>
      <w:rFonts w:ascii="Times New Roman" w:hAnsi="Times New Roman"/>
      <w:sz w:val="18"/>
      <w:szCs w:val="18"/>
    </w:rPr>
  </w:style>
  <w:style w:type="paragraph" w:styleId="Verzeichnis8">
    <w:name w:val="toc 8"/>
    <w:basedOn w:val="Standard"/>
    <w:next w:val="Standard"/>
    <w:semiHidden/>
    <w:pPr>
      <w:ind w:left="1400"/>
    </w:pPr>
    <w:rPr>
      <w:rFonts w:ascii="Times New Roman" w:hAnsi="Times New Roman"/>
      <w:sz w:val="18"/>
      <w:szCs w:val="18"/>
    </w:rPr>
  </w:style>
  <w:style w:type="paragraph" w:styleId="Verzeichnis9">
    <w:name w:val="toc 9"/>
    <w:basedOn w:val="Standard"/>
    <w:next w:val="Standard"/>
    <w:semiHidden/>
    <w:pPr>
      <w:ind w:left="1600"/>
    </w:pPr>
    <w:rPr>
      <w:rFonts w:ascii="Times New Roman" w:hAnsi="Times New Roman"/>
      <w:sz w:val="18"/>
      <w:szCs w:val="18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esAbsatzZchn">
    <w:name w:val="GesAbsatz Zchn"/>
    <w:basedOn w:val="Absatz-Standardschriftart"/>
    <w:link w:val="GesAbsatz"/>
    <w:rPr>
      <w:rFonts w:ascii="Arial" w:hAnsi="Arial"/>
      <w:color w:val="000000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e-Einstellungen\rueter\Anwendungsdaten\Microsoft\Vorlagen\vt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</Template>
  <TotalTime>0</TotalTime>
  <Pages>10</Pages>
  <Words>2995</Words>
  <Characters>18873</Characters>
  <Application>Microsoft Office Word</Application>
  <DocSecurity>0</DocSecurity>
  <Lines>157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über die bundeseinheitliche Praxis bei der </vt:lpstr>
    </vt:vector>
  </TitlesOfParts>
  <Manager/>
  <Company>Landesumweltamt NRW</Company>
  <LinksUpToDate>false</LinksUpToDate>
  <CharactersWithSpaces>21825</CharactersWithSpaces>
  <SharedDoc>false</SharedDoc>
  <HLinks>
    <vt:vector size="54" baseType="variant">
      <vt:variant>
        <vt:i4>1310768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_Toc254938576</vt:lpwstr>
      </vt:variant>
      <vt:variant>
        <vt:i4>1310768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_Toc254938575</vt:lpwstr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_Toc254938574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_Toc254938573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_Toc254938572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_Toc254938571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_Toc254938570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_Toc254938569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_Toc254938568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über die bundeseinheitliche Praxis bei der</dc:title>
  <dc:subject/>
  <dc:creator>rueter</dc:creator>
  <cp:keywords/>
  <dc:description/>
  <cp:lastModifiedBy>Rüter, Dr., Ingo</cp:lastModifiedBy>
  <cp:revision>2</cp:revision>
  <cp:lastPrinted>2004-12-14T12:08:00Z</cp:lastPrinted>
  <dcterms:created xsi:type="dcterms:W3CDTF">2024-07-18T06:56:00Z</dcterms:created>
  <dcterms:modified xsi:type="dcterms:W3CDTF">2024-07-18T06:56:00Z</dcterms:modified>
</cp:coreProperties>
</file>