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10618590"/>
      <w:bookmarkStart w:id="1" w:name="_Toc225568903"/>
      <w:r>
        <w:t>Bekanntmachung über die bunde</w:t>
      </w:r>
      <w:r>
        <w:t>s</w:t>
      </w:r>
      <w:r>
        <w:t>einheitliche Praxis bei der</w:t>
      </w:r>
      <w:r>
        <w:br/>
        <w:t>Überwach</w:t>
      </w:r>
      <w:bookmarkStart w:id="2" w:name="_GoBack"/>
      <w:bookmarkEnd w:id="2"/>
      <w:r>
        <w:t>ung der Emissionen und der Immi</w:t>
      </w:r>
      <w:r>
        <w:t>s</w:t>
      </w:r>
      <w:r>
        <w:t>sionen</w:t>
      </w:r>
      <w:bookmarkEnd w:id="0"/>
      <w:bookmarkEnd w:id="1"/>
    </w:p>
    <w:p>
      <w:pPr>
        <w:pStyle w:val="GesAbsatz"/>
        <w:jc w:val="center"/>
      </w:pPr>
      <w:r>
        <w:t>vom 19. Februar 2009</w:t>
      </w:r>
    </w:p>
    <w:p>
      <w:pPr>
        <w:pStyle w:val="GesAbsatz"/>
        <w:jc w:val="center"/>
      </w:pPr>
    </w:p>
    <w:p>
      <w:pPr>
        <w:pStyle w:val="GesAbsatz"/>
        <w:jc w:val="center"/>
        <w:rPr>
          <w:noProof/>
        </w:rPr>
      </w:pP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tabs>
          <w:tab w:val="right" w:leader="dot" w:pos="9628"/>
        </w:tabs>
        <w:rPr>
          <w:b w:val="0"/>
          <w:bCs w:val="0"/>
          <w:caps w:val="0"/>
          <w:noProof/>
          <w:sz w:val="24"/>
          <w:szCs w:val="24"/>
        </w:rPr>
      </w:pPr>
      <w:hyperlink w:anchor="_Toc225568903"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_Toc225568903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rPr>
      </w:pPr>
      <w:hyperlink w:anchor="_Toc225568904"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_Toc225568904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rPr>
      </w:pPr>
      <w:hyperlink w:anchor="_Toc225568905" w:history="1">
        <w:r>
          <w:rPr>
            <w:rStyle w:val="Hyperlink"/>
            <w:noProof/>
          </w:rPr>
          <w:t>1 Staubförmige Emissionen (Staubkonzentration)</w:t>
        </w:r>
        <w:r>
          <w:rPr>
            <w:noProof/>
            <w:webHidden/>
          </w:rPr>
          <w:tab/>
        </w:r>
        <w:r>
          <w:rPr>
            <w:noProof/>
            <w:webHidden/>
          </w:rPr>
          <w:fldChar w:fldCharType="begin"/>
        </w:r>
        <w:r>
          <w:rPr>
            <w:noProof/>
            <w:webHidden/>
          </w:rPr>
          <w:instrText xml:space="preserve"> PAGEREF _Toc225568905 \h </w:instrText>
        </w:r>
        <w:r>
          <w:rPr>
            <w:noProof/>
          </w:rPr>
        </w:r>
        <w:r>
          <w:rPr>
            <w:noProof/>
            <w:webHidden/>
          </w:rPr>
          <w:fldChar w:fldCharType="separate"/>
        </w:r>
        <w:r>
          <w:rPr>
            <w:noProof/>
            <w:webHidden/>
          </w:rPr>
          <w:t>1</w:t>
        </w:r>
        <w:r>
          <w:rPr>
            <w:noProof/>
            <w:webHidden/>
          </w:rPr>
          <w:fldChar w:fldCharType="end"/>
        </w:r>
      </w:hyperlink>
    </w:p>
    <w:p>
      <w:pPr>
        <w:pStyle w:val="Verzeichnis3"/>
        <w:tabs>
          <w:tab w:val="right" w:leader="dot" w:pos="9628"/>
        </w:tabs>
        <w:rPr>
          <w:i w:val="0"/>
          <w:iCs w:val="0"/>
          <w:noProof/>
          <w:sz w:val="24"/>
          <w:szCs w:val="24"/>
        </w:rPr>
      </w:pPr>
      <w:hyperlink w:anchor="_Toc225568906" w:history="1">
        <w:r>
          <w:rPr>
            <w:rStyle w:val="Hyperlink"/>
            <w:noProof/>
          </w:rPr>
          <w:t>2 Mehrkomponentenmesseinrichtungen</w:t>
        </w:r>
        <w:r>
          <w:rPr>
            <w:noProof/>
            <w:webHidden/>
          </w:rPr>
          <w:tab/>
        </w:r>
        <w:r>
          <w:rPr>
            <w:noProof/>
            <w:webHidden/>
          </w:rPr>
          <w:fldChar w:fldCharType="begin"/>
        </w:r>
        <w:r>
          <w:rPr>
            <w:noProof/>
            <w:webHidden/>
          </w:rPr>
          <w:instrText xml:space="preserve"> PAGEREF _Toc225568906 \h </w:instrText>
        </w:r>
        <w:r>
          <w:rPr>
            <w:noProof/>
          </w:rPr>
        </w:r>
        <w:r>
          <w:rPr>
            <w:noProof/>
            <w:webHidden/>
          </w:rPr>
          <w:fldChar w:fldCharType="separate"/>
        </w:r>
        <w:r>
          <w:rPr>
            <w:noProof/>
            <w:webHidden/>
          </w:rPr>
          <w:t>5</w:t>
        </w:r>
        <w:r>
          <w:rPr>
            <w:noProof/>
            <w:webHidden/>
          </w:rPr>
          <w:fldChar w:fldCharType="end"/>
        </w:r>
      </w:hyperlink>
    </w:p>
    <w:p>
      <w:pPr>
        <w:pStyle w:val="Verzeichnis2"/>
        <w:tabs>
          <w:tab w:val="right" w:leader="dot" w:pos="9628"/>
        </w:tabs>
        <w:rPr>
          <w:smallCaps w:val="0"/>
          <w:noProof/>
          <w:sz w:val="24"/>
          <w:szCs w:val="24"/>
        </w:rPr>
      </w:pPr>
      <w:hyperlink w:anchor="_Toc225568907"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_Toc225568907 \h </w:instrText>
        </w:r>
        <w:r>
          <w:rPr>
            <w:noProof/>
          </w:rPr>
        </w:r>
        <w:r>
          <w:rPr>
            <w:noProof/>
            <w:webHidden/>
          </w:rPr>
          <w:fldChar w:fldCharType="separate"/>
        </w:r>
        <w:r>
          <w:rPr>
            <w:noProof/>
            <w:webHidden/>
          </w:rPr>
          <w:t>9</w:t>
        </w:r>
        <w:r>
          <w:rPr>
            <w:noProof/>
            <w:webHidden/>
          </w:rPr>
          <w:fldChar w:fldCharType="end"/>
        </w:r>
      </w:hyperlink>
    </w:p>
    <w:p>
      <w:pPr>
        <w:pStyle w:val="Verzeichnis3"/>
        <w:tabs>
          <w:tab w:val="right" w:leader="dot" w:pos="9628"/>
        </w:tabs>
        <w:rPr>
          <w:i w:val="0"/>
          <w:iCs w:val="0"/>
          <w:noProof/>
          <w:sz w:val="24"/>
          <w:szCs w:val="24"/>
        </w:rPr>
      </w:pPr>
      <w:hyperlink w:anchor="_Toc225568908" w:history="1">
        <w:r>
          <w:rPr>
            <w:rStyle w:val="Hyperlink"/>
            <w:noProof/>
          </w:rPr>
          <w:t>1 Abgasgeschwindigkeit</w:t>
        </w:r>
        <w:r>
          <w:rPr>
            <w:noProof/>
            <w:webHidden/>
          </w:rPr>
          <w:tab/>
        </w:r>
        <w:r>
          <w:rPr>
            <w:noProof/>
            <w:webHidden/>
          </w:rPr>
          <w:fldChar w:fldCharType="begin"/>
        </w:r>
        <w:r>
          <w:rPr>
            <w:noProof/>
            <w:webHidden/>
          </w:rPr>
          <w:instrText xml:space="preserve"> PAGEREF _Toc225568908 \h </w:instrText>
        </w:r>
        <w:r>
          <w:rPr>
            <w:noProof/>
          </w:rPr>
        </w:r>
        <w:r>
          <w:rPr>
            <w:noProof/>
            <w:webHidden/>
          </w:rPr>
          <w:fldChar w:fldCharType="separate"/>
        </w:r>
        <w:r>
          <w:rPr>
            <w:noProof/>
            <w:webHidden/>
          </w:rPr>
          <w:t>9</w:t>
        </w:r>
        <w:r>
          <w:rPr>
            <w:noProof/>
            <w:webHidden/>
          </w:rPr>
          <w:fldChar w:fldCharType="end"/>
        </w:r>
      </w:hyperlink>
    </w:p>
    <w:p>
      <w:pPr>
        <w:pStyle w:val="Verzeichnis3"/>
        <w:tabs>
          <w:tab w:val="right" w:leader="dot" w:pos="9628"/>
        </w:tabs>
        <w:rPr>
          <w:i w:val="0"/>
          <w:iCs w:val="0"/>
          <w:noProof/>
          <w:sz w:val="24"/>
          <w:szCs w:val="24"/>
        </w:rPr>
      </w:pPr>
      <w:hyperlink w:anchor="_Toc225568909" w:history="1">
        <w:r>
          <w:rPr>
            <w:rStyle w:val="Hyperlink"/>
            <w:noProof/>
          </w:rPr>
          <w:t>2 Sauerstoff</w:t>
        </w:r>
        <w:r>
          <w:rPr>
            <w:noProof/>
            <w:webHidden/>
          </w:rPr>
          <w:tab/>
        </w:r>
        <w:r>
          <w:rPr>
            <w:noProof/>
            <w:webHidden/>
          </w:rPr>
          <w:fldChar w:fldCharType="begin"/>
        </w:r>
        <w:r>
          <w:rPr>
            <w:noProof/>
            <w:webHidden/>
          </w:rPr>
          <w:instrText xml:space="preserve"> PAGEREF _Toc225568909 \h </w:instrText>
        </w:r>
        <w:r>
          <w:rPr>
            <w:noProof/>
          </w:rPr>
        </w:r>
        <w:r>
          <w:rPr>
            <w:noProof/>
            <w:webHidden/>
          </w:rPr>
          <w:fldChar w:fldCharType="separate"/>
        </w:r>
        <w:r>
          <w:rPr>
            <w:noProof/>
            <w:webHidden/>
          </w:rPr>
          <w:t>10</w:t>
        </w:r>
        <w:r>
          <w:rPr>
            <w:noProof/>
            <w:webHidden/>
          </w:rPr>
          <w:fldChar w:fldCharType="end"/>
        </w:r>
      </w:hyperlink>
    </w:p>
    <w:p>
      <w:pPr>
        <w:pStyle w:val="Verzeichnis2"/>
        <w:tabs>
          <w:tab w:val="right" w:leader="dot" w:pos="9628"/>
        </w:tabs>
        <w:rPr>
          <w:smallCaps w:val="0"/>
          <w:noProof/>
          <w:sz w:val="24"/>
          <w:szCs w:val="24"/>
        </w:rPr>
      </w:pPr>
      <w:hyperlink w:anchor="_Toc225568910" w:history="1">
        <w:r>
          <w:rPr>
            <w:rStyle w:val="Hyperlink"/>
            <w:noProof/>
          </w:rPr>
          <w:t>III. Eignung elektronischer Systeme z. Erfassen u. auswerten kontinuierlicher Emissionsmessungen</w:t>
        </w:r>
        <w:r>
          <w:rPr>
            <w:noProof/>
            <w:webHidden/>
          </w:rPr>
          <w:tab/>
        </w:r>
        <w:r>
          <w:rPr>
            <w:noProof/>
            <w:webHidden/>
          </w:rPr>
          <w:fldChar w:fldCharType="begin"/>
        </w:r>
        <w:r>
          <w:rPr>
            <w:noProof/>
            <w:webHidden/>
          </w:rPr>
          <w:instrText xml:space="preserve"> PAGEREF _Toc225568910 \h </w:instrText>
        </w:r>
        <w:r>
          <w:rPr>
            <w:noProof/>
          </w:rPr>
        </w:r>
        <w:r>
          <w:rPr>
            <w:noProof/>
            <w:webHidden/>
          </w:rPr>
          <w:fldChar w:fldCharType="separate"/>
        </w:r>
        <w:r>
          <w:rPr>
            <w:noProof/>
            <w:webHidden/>
          </w:rPr>
          <w:t>10</w:t>
        </w:r>
        <w:r>
          <w:rPr>
            <w:noProof/>
            <w:webHidden/>
          </w:rPr>
          <w:fldChar w:fldCharType="end"/>
        </w:r>
      </w:hyperlink>
    </w:p>
    <w:p>
      <w:pPr>
        <w:pStyle w:val="Verzeichnis3"/>
        <w:tabs>
          <w:tab w:val="right" w:leader="dot" w:pos="9628"/>
        </w:tabs>
        <w:rPr>
          <w:i w:val="0"/>
          <w:iCs w:val="0"/>
          <w:noProof/>
          <w:sz w:val="24"/>
          <w:szCs w:val="24"/>
        </w:rPr>
      </w:pPr>
      <w:hyperlink w:anchor="_Toc225568911" w:history="1">
        <w:r>
          <w:rPr>
            <w:rStyle w:val="Hyperlink"/>
            <w:noProof/>
          </w:rPr>
          <w:t>1 Auswerterechner</w:t>
        </w:r>
        <w:r>
          <w:rPr>
            <w:noProof/>
            <w:webHidden/>
          </w:rPr>
          <w:tab/>
        </w:r>
        <w:r>
          <w:rPr>
            <w:noProof/>
            <w:webHidden/>
          </w:rPr>
          <w:fldChar w:fldCharType="begin"/>
        </w:r>
        <w:r>
          <w:rPr>
            <w:noProof/>
            <w:webHidden/>
          </w:rPr>
          <w:instrText xml:space="preserve"> PAGEREF _Toc225568911 \h </w:instrText>
        </w:r>
        <w:r>
          <w:rPr>
            <w:noProof/>
          </w:rPr>
        </w:r>
        <w:r>
          <w:rPr>
            <w:noProof/>
            <w:webHidden/>
          </w:rPr>
          <w:fldChar w:fldCharType="separate"/>
        </w:r>
        <w:r>
          <w:rPr>
            <w:noProof/>
            <w:webHidden/>
          </w:rPr>
          <w:t>10</w:t>
        </w:r>
        <w:r>
          <w:rPr>
            <w:noProof/>
            <w:webHidden/>
          </w:rPr>
          <w:fldChar w:fldCharType="end"/>
        </w:r>
      </w:hyperlink>
    </w:p>
    <w:p>
      <w:pPr>
        <w:pStyle w:val="Verzeichnis2"/>
        <w:tabs>
          <w:tab w:val="right" w:leader="dot" w:pos="9628"/>
        </w:tabs>
        <w:rPr>
          <w:smallCaps w:val="0"/>
          <w:noProof/>
          <w:sz w:val="24"/>
          <w:szCs w:val="24"/>
        </w:rPr>
      </w:pPr>
      <w:hyperlink w:anchor="_Toc225568912" w:history="1">
        <w:r>
          <w:rPr>
            <w:rStyle w:val="Hyperlink"/>
            <w:noProof/>
          </w:rPr>
          <w:t>IV. Mitteilungen zur Bundeseinheitlichen Praxis bei der Überwachung von Emissionen u. Immissionen</w:t>
        </w:r>
        <w:r>
          <w:rPr>
            <w:noProof/>
            <w:webHidden/>
          </w:rPr>
          <w:tab/>
        </w:r>
        <w:r>
          <w:rPr>
            <w:noProof/>
            <w:webHidden/>
          </w:rPr>
          <w:fldChar w:fldCharType="begin"/>
        </w:r>
        <w:r>
          <w:rPr>
            <w:noProof/>
            <w:webHidden/>
          </w:rPr>
          <w:instrText xml:space="preserve"> PAGEREF _Toc225568912 \h </w:instrText>
        </w:r>
        <w:r>
          <w:rPr>
            <w:noProof/>
          </w:rPr>
        </w:r>
        <w:r>
          <w:rPr>
            <w:noProof/>
            <w:webHidden/>
          </w:rPr>
          <w:fldChar w:fldCharType="separate"/>
        </w:r>
        <w:r>
          <w:rPr>
            <w:noProof/>
            <w:webHidden/>
          </w:rPr>
          <w:t>11</w:t>
        </w:r>
        <w:r>
          <w:rPr>
            <w:noProof/>
            <w:webHidden/>
          </w:rPr>
          <w:fldChar w:fldCharType="end"/>
        </w:r>
      </w:hyperlink>
    </w:p>
    <w:p>
      <w:pPr>
        <w:pStyle w:val="GesAbsatz"/>
        <w:jc w:val="center"/>
        <w:rPr>
          <w:b/>
          <w:sz w:val="22"/>
          <w:szCs w:val="22"/>
        </w:rPr>
      </w:pPr>
      <w:r>
        <w:rPr>
          <w:b/>
          <w:sz w:val="22"/>
          <w:szCs w:val="22"/>
        </w:rPr>
        <w:fldChar w:fldCharType="end"/>
      </w:r>
    </w:p>
    <w:p>
      <w:pPr>
        <w:pStyle w:val="berschrift2"/>
      </w:pPr>
      <w:bookmarkStart w:id="3" w:name="_Toc210618591"/>
      <w:bookmarkStart w:id="4" w:name="_Toc225568904"/>
      <w:r>
        <w:t>I.</w:t>
      </w:r>
      <w:r>
        <w:br/>
        <w:t>Eignung von Messeinrichtungen zur kontin</w:t>
      </w:r>
      <w:r>
        <w:t>u</w:t>
      </w:r>
      <w:r>
        <w:t>ierlichen Überwachung von Emissionen</w:t>
      </w:r>
      <w:bookmarkEnd w:id="3"/>
      <w:bookmarkEnd w:id="4"/>
    </w:p>
    <w:p>
      <w:pPr>
        <w:pStyle w:val="GesAbsatz"/>
      </w:pPr>
      <w:r>
        <w:t>Unter Bezugnahme auf Nummer 3 der Richtlinie über die Bundeseinheitliche Praxis bei der Überwachung der Emissionen - Rundschreiben des Bundesministeriums für Umwelt, Naturschutz und Reaktorsicherheit (BMU) vom 13. Juni 2005 - IG I 2 - 45053/5 (GMBl. 2005 S. 795) - wird im Auftrag des BMU die Eignung der folgenden Messei</w:t>
      </w:r>
      <w:r>
        <w:t>n</w:t>
      </w:r>
      <w:r>
        <w:t>richtungen bekannt gegeben:</w:t>
      </w:r>
    </w:p>
    <w:p>
      <w:pPr>
        <w:pStyle w:val="berschrift3"/>
        <w:jc w:val="left"/>
      </w:pPr>
      <w:bookmarkStart w:id="5" w:name="_Toc210618592"/>
      <w:bookmarkStart w:id="6" w:name="_Toc225568905"/>
      <w:r>
        <w:t>1 Staubförmige Emissionen (Staubkonze</w:t>
      </w:r>
      <w:r>
        <w:t>n</w:t>
      </w:r>
      <w:r>
        <w:t>tration)</w:t>
      </w:r>
      <w:bookmarkEnd w:id="5"/>
      <w:bookmarkEnd w:id="6"/>
    </w:p>
    <w:p>
      <w:pPr>
        <w:pStyle w:val="GesAbsatz"/>
        <w:rPr>
          <w:b/>
        </w:rPr>
      </w:pPr>
      <w:r>
        <w:rPr>
          <w:b/>
        </w:rPr>
        <w:t>1.1 DUSTHUNTER SF100</w:t>
      </w:r>
    </w:p>
    <w:p>
      <w:pPr>
        <w:pStyle w:val="GesAbsatz"/>
      </w:pPr>
      <w:r>
        <w:t>Hersteller:</w:t>
      </w:r>
    </w:p>
    <w:p>
      <w:pPr>
        <w:pStyle w:val="GesAbsatz"/>
      </w:pPr>
      <w:r>
        <w:t>SICK Engineering GmbH, O</w:t>
      </w:r>
      <w:r>
        <w:t>t</w:t>
      </w:r>
      <w:r>
        <w:t>tendorf-Okrilla</w:t>
      </w:r>
    </w:p>
    <w:p>
      <w:pPr>
        <w:pStyle w:val="GesAbsatz"/>
      </w:pPr>
      <w:r>
        <w:t>Eignung:</w:t>
      </w:r>
    </w:p>
    <w:p>
      <w:pPr>
        <w:pStyle w:val="GesAbsatz"/>
      </w:pPr>
      <w:r>
        <w:t>Für genehmigungsbedürftige Anlagen und Anlagen der 27. BImSchV</w:t>
      </w:r>
    </w:p>
    <w:p>
      <w:pPr>
        <w:pStyle w:val="GesAbsatz"/>
      </w:pPr>
      <w:r>
        <w:t>Messbereiche bei der Eignungsprüfung:</w:t>
      </w:r>
    </w:p>
    <w:p>
      <w:pPr>
        <w:pStyle w:val="GesAbsatz"/>
      </w:pPr>
      <w:r>
        <w:t>Staub (Streulichtmessung):</w:t>
      </w:r>
    </w:p>
    <w:p>
      <w:pPr>
        <w:pStyle w:val="GesAbsatz"/>
        <w:rPr>
          <w:rFonts w:cs="Arial"/>
        </w:rPr>
      </w:pPr>
      <w:r>
        <w:t xml:space="preserve">0 - 50 Streulichteinheiten </w:t>
      </w:r>
      <w:r>
        <w:rPr>
          <w:rFonts w:ascii="Lucida Sans Unicode" w:hAnsi="Lucida Sans Unicode" w:cs="Lucida Sans Unicode"/>
        </w:rPr>
        <w:t>≙</w:t>
      </w:r>
      <w:r>
        <w:rPr>
          <w:rFonts w:cs="Arial"/>
        </w:rPr>
        <w:t xml:space="preserve"> 15 mg/m</w:t>
      </w:r>
      <w:r>
        <w:rPr>
          <w:rFonts w:cs="Arial"/>
          <w:vertAlign w:val="superscript"/>
        </w:rPr>
        <w:t>3</w:t>
      </w:r>
      <w:r>
        <w:rPr>
          <w:rFonts w:cs="Arial"/>
        </w:rPr>
        <w:t xml:space="preserve"> Staub</w:t>
      </w:r>
    </w:p>
    <w:p>
      <w:pPr>
        <w:pStyle w:val="GesAbsatz"/>
        <w:rPr>
          <w:rFonts w:cs="Arial"/>
        </w:rPr>
      </w:pPr>
      <w:r>
        <w:rPr>
          <w:rFonts w:cs="Arial"/>
        </w:rPr>
        <w:t>sowie</w:t>
      </w:r>
    </w:p>
    <w:p>
      <w:pPr>
        <w:pStyle w:val="GesAbsatz"/>
      </w:pPr>
      <w:r>
        <w:t>0 - 5 Streulichteinheiten</w:t>
      </w:r>
    </w:p>
    <w:p>
      <w:pPr>
        <w:pStyle w:val="GesAbsatz"/>
      </w:pPr>
      <w:r>
        <w:t>0 - 20 Streulichteinheiten</w:t>
      </w:r>
    </w:p>
    <w:p>
      <w:pPr>
        <w:pStyle w:val="GesAbsatz"/>
      </w:pPr>
      <w:r>
        <w:t>0 - 100 Streulichteinheiten</w:t>
      </w:r>
    </w:p>
    <w:p>
      <w:pPr>
        <w:pStyle w:val="GesAbsatz"/>
      </w:pPr>
      <w:r>
        <w:t>0 - 200 Streulichteinheiten</w:t>
      </w:r>
    </w:p>
    <w:p>
      <w:pPr>
        <w:pStyle w:val="GesAbsatz"/>
        <w:tabs>
          <w:tab w:val="clear" w:pos="425"/>
          <w:tab w:val="left" w:pos="2268"/>
        </w:tabs>
      </w:pPr>
      <w:r>
        <w:t xml:space="preserve">Softwareversionen: </w:t>
      </w:r>
      <w:r>
        <w:tab/>
        <w:t>MCU: 1.026,</w:t>
      </w:r>
    </w:p>
    <w:p>
      <w:pPr>
        <w:pStyle w:val="GesAbsatz"/>
        <w:tabs>
          <w:tab w:val="clear" w:pos="425"/>
        </w:tabs>
        <w:ind w:left="2268"/>
      </w:pPr>
      <w:r>
        <w:t>Sensor: 1.3.04,</w:t>
      </w:r>
    </w:p>
    <w:p>
      <w:pPr>
        <w:pStyle w:val="GesAbsatz"/>
        <w:tabs>
          <w:tab w:val="clear" w:pos="425"/>
        </w:tabs>
        <w:ind w:left="2268"/>
      </w:pPr>
      <w:r>
        <w:t>SOPAS ET: 02.16</w:t>
      </w:r>
    </w:p>
    <w:p>
      <w:pPr>
        <w:pStyle w:val="GesAbsatz"/>
        <w:tabs>
          <w:tab w:val="clear" w:pos="425"/>
          <w:tab w:val="left" w:pos="2127"/>
        </w:tabs>
      </w:pPr>
      <w:r>
        <w:t>Einschränkung:</w:t>
      </w:r>
    </w:p>
    <w:p>
      <w:pPr>
        <w:pStyle w:val="GesAbsatz"/>
      </w:pPr>
      <w:r>
        <w:t>Die Messeinrichtung kann nur eingesetzt werden, wenn eine Unterschreitung des Taupunktes ausgeschlo</w:t>
      </w:r>
      <w:r>
        <w:t>s</w:t>
      </w:r>
      <w:r>
        <w:t>sen werden kann.</w:t>
      </w:r>
    </w:p>
    <w:p>
      <w:pPr>
        <w:pStyle w:val="GesAbsatz"/>
      </w:pPr>
      <w:r>
        <w:t>Hinweise:</w:t>
      </w:r>
    </w:p>
    <w:p>
      <w:pPr>
        <w:pStyle w:val="GesAbsatz"/>
      </w:pPr>
      <w:r>
        <w:lastRenderedPageBreak/>
        <w:t>1.</w:t>
      </w:r>
      <w:r>
        <w:tab/>
        <w:t>Das Wartungsintervall beträgt 3 Monate.</w:t>
      </w:r>
    </w:p>
    <w:p>
      <w:pPr>
        <w:pStyle w:val="GesAbsatz"/>
      </w:pPr>
      <w:r>
        <w:t>2.</w:t>
      </w:r>
      <w:r>
        <w:tab/>
        <w:t>Die Staubkonzentration wird im feuchten Abgas unter Betriebsbedingungen gemessen.</w:t>
      </w:r>
    </w:p>
    <w:p>
      <w:pPr>
        <w:pStyle w:val="GesAbsatz"/>
      </w:pPr>
      <w:r>
        <w:t>3.</w:t>
      </w:r>
      <w:r>
        <w:tab/>
        <w:t>Ergänzungsprüfung zur Bekanntgabe des Umweltbundesamtes vom 12. August 2008 (BAnz. S. 3243).</w:t>
      </w:r>
    </w:p>
    <w:p>
      <w:pPr>
        <w:pStyle w:val="GesAbsatz"/>
      </w:pPr>
      <w:r>
        <w:t>Prüfbericht:</w:t>
      </w:r>
    </w:p>
    <w:p>
      <w:pPr>
        <w:pStyle w:val="GesAbsatz"/>
      </w:pPr>
      <w:r>
        <w:t>TÜV Rheinland Immissionsschutz und Energiesysteme GmbH, Köln</w:t>
      </w:r>
    </w:p>
    <w:p>
      <w:pPr>
        <w:pStyle w:val="GesAbsatz"/>
      </w:pPr>
      <w:r>
        <w:t>Bericht-Nr.:</w:t>
      </w:r>
      <w:r>
        <w:tab/>
        <w:t>936/21207351/E vom 10. Oktober 2008</w:t>
      </w:r>
    </w:p>
    <w:p>
      <w:pPr>
        <w:pStyle w:val="GesAbsatz"/>
        <w:rPr>
          <w:b/>
        </w:rPr>
      </w:pPr>
      <w:r>
        <w:rPr>
          <w:b/>
        </w:rPr>
        <w:t>1.2 DUSTHUNTER SP100</w:t>
      </w:r>
    </w:p>
    <w:p>
      <w:pPr>
        <w:pStyle w:val="GesAbsatz"/>
      </w:pPr>
      <w:r>
        <w:t>Hersteller:</w:t>
      </w:r>
    </w:p>
    <w:p>
      <w:pPr>
        <w:pStyle w:val="GesAbsatz"/>
      </w:pPr>
      <w:r>
        <w:t>SICK Engineering GmbH, Ottendorf-Okrilla</w:t>
      </w:r>
    </w:p>
    <w:p>
      <w:pPr>
        <w:pStyle w:val="GesAbsatz"/>
      </w:pPr>
      <w:r>
        <w:t>Eignung:</w:t>
      </w:r>
    </w:p>
    <w:p>
      <w:pPr>
        <w:pStyle w:val="GesAbsatz"/>
      </w:pPr>
      <w:r>
        <w:t>Für genehmigungsbedürftige Anlagen und Anlagen der 27. BlmSchV</w:t>
      </w:r>
    </w:p>
    <w:p>
      <w:pPr>
        <w:pStyle w:val="GesAbsatz"/>
      </w:pPr>
      <w:r>
        <w:t>Messbereiche bei der Eignungsprüfung:</w:t>
      </w:r>
    </w:p>
    <w:p>
      <w:pPr>
        <w:pStyle w:val="GesAbsatz"/>
      </w:pPr>
      <w:r>
        <w:t>Zertifizierungsbereich (ZB):</w:t>
      </w:r>
    </w:p>
    <w:p>
      <w:pPr>
        <w:pStyle w:val="GesAbsatz"/>
      </w:pPr>
    </w:p>
    <w:tbl>
      <w:tblPr>
        <w:tblStyle w:val="Tabellenraster"/>
        <w:tblW w:w="0" w:type="auto"/>
        <w:tblLayout w:type="fixed"/>
        <w:tblLook w:val="01E0" w:firstRow="1" w:lastRow="1" w:firstColumn="1" w:lastColumn="1" w:noHBand="0" w:noVBand="0"/>
      </w:tblPr>
      <w:tblGrid>
        <w:gridCol w:w="1809"/>
        <w:gridCol w:w="1560"/>
        <w:gridCol w:w="1701"/>
      </w:tblGrid>
      <w:tr>
        <w:tc>
          <w:tcPr>
            <w:tcW w:w="1809" w:type="dxa"/>
          </w:tcPr>
          <w:p>
            <w:pPr>
              <w:pStyle w:val="GesAbsatz"/>
            </w:pPr>
            <w:r>
              <w:t>Komponente</w:t>
            </w:r>
          </w:p>
        </w:tc>
        <w:tc>
          <w:tcPr>
            <w:tcW w:w="1560" w:type="dxa"/>
          </w:tcPr>
          <w:p>
            <w:pPr>
              <w:pStyle w:val="GesAbsatz"/>
            </w:pPr>
            <w:r>
              <w:t>ZB</w:t>
            </w:r>
          </w:p>
        </w:tc>
        <w:tc>
          <w:tcPr>
            <w:tcW w:w="1701" w:type="dxa"/>
          </w:tcPr>
          <w:p>
            <w:pPr>
              <w:pStyle w:val="GesAbsatz"/>
            </w:pPr>
            <w:r>
              <w:t>Einheit</w:t>
            </w:r>
          </w:p>
        </w:tc>
      </w:tr>
      <w:tr>
        <w:tc>
          <w:tcPr>
            <w:tcW w:w="1809" w:type="dxa"/>
          </w:tcPr>
          <w:p>
            <w:pPr>
              <w:pStyle w:val="GesAbsatz"/>
            </w:pPr>
            <w:r>
              <w:t>Staub</w:t>
            </w:r>
          </w:p>
        </w:tc>
        <w:tc>
          <w:tcPr>
            <w:tcW w:w="1560" w:type="dxa"/>
          </w:tcPr>
          <w:p>
            <w:pPr>
              <w:pStyle w:val="GesAbsatz"/>
            </w:pPr>
            <w:r>
              <w:t>0 – 15</w:t>
            </w:r>
          </w:p>
        </w:tc>
        <w:tc>
          <w:tcPr>
            <w:tcW w:w="1701" w:type="dxa"/>
          </w:tcPr>
          <w:p>
            <w:pPr>
              <w:pStyle w:val="GesAbsatz"/>
            </w:pPr>
            <w:r>
              <w:t>SE</w:t>
            </w:r>
          </w:p>
        </w:tc>
      </w:tr>
    </w:tbl>
    <w:p>
      <w:pPr>
        <w:pStyle w:val="GesAbsatz"/>
      </w:pPr>
    </w:p>
    <w:p>
      <w:pPr>
        <w:pStyle w:val="GesAbsatz"/>
      </w:pPr>
      <w:r>
        <w:t xml:space="preserve">15 SE </w:t>
      </w:r>
      <w:r>
        <w:rPr>
          <w:rFonts w:ascii="Lucida Sans Unicode" w:hAnsi="Lucida Sans Unicode" w:cs="Lucida Sans Unicode"/>
        </w:rPr>
        <w:t>≙</w:t>
      </w:r>
      <w:r>
        <w:rPr>
          <w:rFonts w:cs="Arial"/>
        </w:rPr>
        <w:t xml:space="preserve"> 18 mg/m³ Staub</w:t>
      </w:r>
    </w:p>
    <w:p>
      <w:pPr>
        <w:pStyle w:val="GesAbsatz"/>
      </w:pPr>
      <w:r>
        <w:t>zusätzliche Messbereiche (MB):</w:t>
      </w:r>
    </w:p>
    <w:p>
      <w:pPr>
        <w:pStyle w:val="GesAbsatz"/>
      </w:pPr>
    </w:p>
    <w:tbl>
      <w:tblPr>
        <w:tblStyle w:val="Tabellenraster"/>
        <w:tblW w:w="0" w:type="auto"/>
        <w:tblLayout w:type="fixed"/>
        <w:tblLook w:val="01E0" w:firstRow="1" w:lastRow="1" w:firstColumn="1" w:lastColumn="1" w:noHBand="0" w:noVBand="0"/>
      </w:tblPr>
      <w:tblGrid>
        <w:gridCol w:w="1809"/>
        <w:gridCol w:w="1560"/>
        <w:gridCol w:w="1701"/>
      </w:tblGrid>
      <w:tr>
        <w:tc>
          <w:tcPr>
            <w:tcW w:w="1809" w:type="dxa"/>
          </w:tcPr>
          <w:p>
            <w:pPr>
              <w:pStyle w:val="GesAbsatz"/>
            </w:pPr>
            <w:r>
              <w:t>Komponente</w:t>
            </w:r>
          </w:p>
        </w:tc>
        <w:tc>
          <w:tcPr>
            <w:tcW w:w="1560" w:type="dxa"/>
          </w:tcPr>
          <w:p>
            <w:pPr>
              <w:pStyle w:val="GesAbsatz"/>
            </w:pPr>
            <w:r>
              <w:t>MB</w:t>
            </w:r>
          </w:p>
        </w:tc>
        <w:tc>
          <w:tcPr>
            <w:tcW w:w="1701" w:type="dxa"/>
          </w:tcPr>
          <w:p>
            <w:pPr>
              <w:pStyle w:val="GesAbsatz"/>
            </w:pPr>
            <w:r>
              <w:t>Einheit</w:t>
            </w:r>
          </w:p>
        </w:tc>
      </w:tr>
      <w:tr>
        <w:tc>
          <w:tcPr>
            <w:tcW w:w="1809" w:type="dxa"/>
          </w:tcPr>
          <w:p>
            <w:pPr>
              <w:pStyle w:val="GesAbsatz"/>
            </w:pPr>
            <w:r>
              <w:t>Staub</w:t>
            </w:r>
          </w:p>
        </w:tc>
        <w:tc>
          <w:tcPr>
            <w:tcW w:w="1560" w:type="dxa"/>
          </w:tcPr>
          <w:p>
            <w:pPr>
              <w:pStyle w:val="GesAbsatz"/>
            </w:pPr>
            <w:r>
              <w:t>0 – 5</w:t>
            </w:r>
          </w:p>
        </w:tc>
        <w:tc>
          <w:tcPr>
            <w:tcW w:w="1701" w:type="dxa"/>
          </w:tcPr>
          <w:p>
            <w:pPr>
              <w:pStyle w:val="GesAbsatz"/>
            </w:pPr>
            <w:r>
              <w:t>SE</w:t>
            </w:r>
          </w:p>
        </w:tc>
      </w:tr>
      <w:tr>
        <w:tc>
          <w:tcPr>
            <w:tcW w:w="1809" w:type="dxa"/>
          </w:tcPr>
          <w:p>
            <w:pPr>
              <w:pStyle w:val="GesAbsatz"/>
            </w:pPr>
            <w:r>
              <w:t>Staub</w:t>
            </w:r>
          </w:p>
        </w:tc>
        <w:tc>
          <w:tcPr>
            <w:tcW w:w="1560" w:type="dxa"/>
          </w:tcPr>
          <w:p>
            <w:pPr>
              <w:pStyle w:val="GesAbsatz"/>
            </w:pPr>
            <w:r>
              <w:t>0 – 20</w:t>
            </w:r>
          </w:p>
        </w:tc>
        <w:tc>
          <w:tcPr>
            <w:tcW w:w="1701" w:type="dxa"/>
          </w:tcPr>
          <w:p>
            <w:pPr>
              <w:pStyle w:val="GesAbsatz"/>
            </w:pPr>
            <w:r>
              <w:t>SE</w:t>
            </w:r>
          </w:p>
        </w:tc>
      </w:tr>
      <w:tr>
        <w:tc>
          <w:tcPr>
            <w:tcW w:w="1809" w:type="dxa"/>
          </w:tcPr>
          <w:p>
            <w:pPr>
              <w:pStyle w:val="GesAbsatz"/>
            </w:pPr>
            <w:r>
              <w:t>Staub</w:t>
            </w:r>
          </w:p>
        </w:tc>
        <w:tc>
          <w:tcPr>
            <w:tcW w:w="1560" w:type="dxa"/>
          </w:tcPr>
          <w:p>
            <w:pPr>
              <w:pStyle w:val="GesAbsatz"/>
            </w:pPr>
            <w:r>
              <w:t>0 – 50</w:t>
            </w:r>
          </w:p>
        </w:tc>
        <w:tc>
          <w:tcPr>
            <w:tcW w:w="1701" w:type="dxa"/>
          </w:tcPr>
          <w:p>
            <w:pPr>
              <w:pStyle w:val="GesAbsatz"/>
            </w:pPr>
            <w:r>
              <w:t>SE</w:t>
            </w:r>
          </w:p>
        </w:tc>
      </w:tr>
      <w:tr>
        <w:tc>
          <w:tcPr>
            <w:tcW w:w="1809" w:type="dxa"/>
          </w:tcPr>
          <w:p>
            <w:pPr>
              <w:pStyle w:val="GesAbsatz"/>
            </w:pPr>
            <w:r>
              <w:t>Staub</w:t>
            </w:r>
          </w:p>
        </w:tc>
        <w:tc>
          <w:tcPr>
            <w:tcW w:w="1560" w:type="dxa"/>
          </w:tcPr>
          <w:p>
            <w:pPr>
              <w:pStyle w:val="GesAbsatz"/>
            </w:pPr>
            <w:r>
              <w:t>0 – 100</w:t>
            </w:r>
          </w:p>
        </w:tc>
        <w:tc>
          <w:tcPr>
            <w:tcW w:w="1701" w:type="dxa"/>
          </w:tcPr>
          <w:p>
            <w:pPr>
              <w:pStyle w:val="GesAbsatz"/>
            </w:pPr>
            <w:r>
              <w:t>SE</w:t>
            </w:r>
          </w:p>
        </w:tc>
      </w:tr>
      <w:tr>
        <w:tc>
          <w:tcPr>
            <w:tcW w:w="1809" w:type="dxa"/>
          </w:tcPr>
          <w:p>
            <w:pPr>
              <w:pStyle w:val="GesAbsatz"/>
            </w:pPr>
            <w:r>
              <w:t>Staub</w:t>
            </w:r>
          </w:p>
        </w:tc>
        <w:tc>
          <w:tcPr>
            <w:tcW w:w="1560" w:type="dxa"/>
          </w:tcPr>
          <w:p>
            <w:pPr>
              <w:pStyle w:val="GesAbsatz"/>
            </w:pPr>
            <w:r>
              <w:t>0 – 200</w:t>
            </w:r>
          </w:p>
        </w:tc>
        <w:tc>
          <w:tcPr>
            <w:tcW w:w="1701" w:type="dxa"/>
          </w:tcPr>
          <w:p>
            <w:pPr>
              <w:pStyle w:val="GesAbsatz"/>
            </w:pPr>
            <w:r>
              <w:t>SE</w:t>
            </w:r>
          </w:p>
        </w:tc>
      </w:tr>
    </w:tbl>
    <w:p>
      <w:pPr>
        <w:pStyle w:val="GesAbsatz"/>
      </w:pPr>
    </w:p>
    <w:p>
      <w:pPr>
        <w:pStyle w:val="GesAbsatz"/>
        <w:tabs>
          <w:tab w:val="clear" w:pos="425"/>
          <w:tab w:val="left" w:pos="2268"/>
        </w:tabs>
      </w:pPr>
      <w:r>
        <w:t>Softwareversionen:</w:t>
      </w:r>
      <w:r>
        <w:tab/>
        <w:t>MCU: 1.0.40,</w:t>
      </w:r>
    </w:p>
    <w:p>
      <w:pPr>
        <w:pStyle w:val="GesAbsatz"/>
        <w:tabs>
          <w:tab w:val="clear" w:pos="425"/>
        </w:tabs>
        <w:ind w:left="2268"/>
      </w:pPr>
      <w:r>
        <w:t>Messkopf: 1.3.04,</w:t>
      </w:r>
    </w:p>
    <w:p>
      <w:pPr>
        <w:pStyle w:val="GesAbsatz"/>
        <w:tabs>
          <w:tab w:val="clear" w:pos="425"/>
        </w:tabs>
        <w:ind w:left="2268"/>
      </w:pPr>
      <w:r>
        <w:t>Bediensoftware: SOPAS ET: 02.18</w:t>
      </w:r>
    </w:p>
    <w:p>
      <w:pPr>
        <w:pStyle w:val="GesAbsatz"/>
      </w:pPr>
      <w:r>
        <w:t>Einschränkung:</w:t>
      </w:r>
    </w:p>
    <w:p>
      <w:pPr>
        <w:pStyle w:val="GesAbsatz"/>
      </w:pPr>
      <w:r>
        <w:t>Die Messeinrichtung kann nur eingesetzt werden, wenn eine Unterschreitung des Taupunktes ausgeschlo</w:t>
      </w:r>
      <w:r>
        <w:t>s</w:t>
      </w:r>
      <w:r>
        <w:t>sen werden kann.</w:t>
      </w:r>
    </w:p>
    <w:p>
      <w:pPr>
        <w:pStyle w:val="GesAbsatz"/>
      </w:pPr>
      <w:r>
        <w:t>Hinweise:</w:t>
      </w:r>
    </w:p>
    <w:p>
      <w:pPr>
        <w:pStyle w:val="GesAbsatz"/>
      </w:pPr>
      <w:r>
        <w:t>1.</w:t>
      </w:r>
      <w:r>
        <w:tab/>
        <w:t>Das Wartungsintervall beträgt 3 Monate.</w:t>
      </w:r>
    </w:p>
    <w:p>
      <w:pPr>
        <w:pStyle w:val="GesAbsatz"/>
      </w:pPr>
      <w:r>
        <w:t>2.</w:t>
      </w:r>
      <w:r>
        <w:tab/>
        <w:t>Die Staubkonzentration wird im feuchten Abgas unter Betriebsbedingungen gemessen.</w:t>
      </w:r>
    </w:p>
    <w:p>
      <w:pPr>
        <w:pStyle w:val="GesAbsatz"/>
        <w:ind w:left="426" w:hanging="426"/>
      </w:pPr>
      <w:r>
        <w:t>3.</w:t>
      </w:r>
      <w:r>
        <w:tab/>
        <w:t>Die Anforderung bei der Eignungsprüfung nach DIN EN 15267-3 an den Korrelationskoeffizienten R</w:t>
      </w:r>
      <w:r>
        <w:rPr>
          <w:vertAlign w:val="superscript"/>
        </w:rPr>
        <w:t>2</w:t>
      </w:r>
      <w:r>
        <w:t xml:space="preserve"> der Kalibrierfunktion wurde nicht erfüllt.</w:t>
      </w:r>
    </w:p>
    <w:p>
      <w:pPr>
        <w:pStyle w:val="GesAbsatz"/>
      </w:pPr>
      <w:r>
        <w:t>Prüfbericht:</w:t>
      </w:r>
    </w:p>
    <w:p>
      <w:pPr>
        <w:pStyle w:val="GesAbsatz"/>
      </w:pPr>
      <w:r>
        <w:t>TÜV Rheinland Immissionsschutz und Energiesysteme GmbH, Köln</w:t>
      </w:r>
    </w:p>
    <w:p>
      <w:pPr>
        <w:pStyle w:val="GesAbsatz"/>
      </w:pPr>
      <w:r>
        <w:t>Bericht-Nr.: 936/21208609/B vom 20. Oktober 2008</w:t>
      </w:r>
    </w:p>
    <w:p>
      <w:pPr>
        <w:pStyle w:val="GesAbsatz"/>
        <w:rPr>
          <w:b/>
        </w:rPr>
      </w:pPr>
      <w:r>
        <w:rPr>
          <w:b/>
        </w:rPr>
        <w:lastRenderedPageBreak/>
        <w:t>1.3 DUSTHUNTER SB100</w:t>
      </w:r>
    </w:p>
    <w:p>
      <w:pPr>
        <w:pStyle w:val="GesAbsatz"/>
      </w:pPr>
      <w:r>
        <w:t>Hersteller:</w:t>
      </w:r>
    </w:p>
    <w:p>
      <w:pPr>
        <w:pStyle w:val="GesAbsatz"/>
      </w:pPr>
      <w:r>
        <w:t>SICK Engineering GmbH, Ottendorf-Okrilla</w:t>
      </w:r>
    </w:p>
    <w:p>
      <w:pPr>
        <w:pStyle w:val="GesAbsatz"/>
      </w:pPr>
      <w:r>
        <w:t>Eignung:</w:t>
      </w:r>
    </w:p>
    <w:p>
      <w:pPr>
        <w:pStyle w:val="GesAbsatz"/>
      </w:pPr>
      <w:r>
        <w:t>Für genehmigungsbedürftige Anlagen und Anlagen der 27. BImSchV</w:t>
      </w:r>
    </w:p>
    <w:p>
      <w:pPr>
        <w:pStyle w:val="GesAbsatz"/>
      </w:pPr>
      <w:r>
        <w:t>Messbereiche bei der Eignungsprüfung:</w:t>
      </w:r>
    </w:p>
    <w:p>
      <w:pPr>
        <w:pStyle w:val="GesAbsatz"/>
      </w:pPr>
      <w:r>
        <w:t>Zertifizierungsbereich (ZB):</w:t>
      </w:r>
    </w:p>
    <w:p>
      <w:pPr>
        <w:pStyle w:val="GesAbsatz"/>
      </w:pPr>
    </w:p>
    <w:tbl>
      <w:tblPr>
        <w:tblStyle w:val="Tabellenraster"/>
        <w:tblW w:w="0" w:type="auto"/>
        <w:tblLayout w:type="fixed"/>
        <w:tblLook w:val="01E0" w:firstRow="1" w:lastRow="1" w:firstColumn="1" w:lastColumn="1" w:noHBand="0" w:noVBand="0"/>
      </w:tblPr>
      <w:tblGrid>
        <w:gridCol w:w="1809"/>
        <w:gridCol w:w="1560"/>
        <w:gridCol w:w="1701"/>
      </w:tblGrid>
      <w:tr>
        <w:tc>
          <w:tcPr>
            <w:tcW w:w="1809" w:type="dxa"/>
          </w:tcPr>
          <w:p>
            <w:pPr>
              <w:pStyle w:val="GesAbsatz"/>
            </w:pPr>
            <w:r>
              <w:t>Komponente</w:t>
            </w:r>
          </w:p>
        </w:tc>
        <w:tc>
          <w:tcPr>
            <w:tcW w:w="1560" w:type="dxa"/>
          </w:tcPr>
          <w:p>
            <w:pPr>
              <w:pStyle w:val="GesAbsatz"/>
            </w:pPr>
            <w:r>
              <w:t>ZB</w:t>
            </w:r>
          </w:p>
        </w:tc>
        <w:tc>
          <w:tcPr>
            <w:tcW w:w="1701" w:type="dxa"/>
          </w:tcPr>
          <w:p>
            <w:pPr>
              <w:pStyle w:val="GesAbsatz"/>
            </w:pPr>
            <w:r>
              <w:t>Einheit</w:t>
            </w:r>
          </w:p>
        </w:tc>
      </w:tr>
      <w:tr>
        <w:tc>
          <w:tcPr>
            <w:tcW w:w="1809" w:type="dxa"/>
          </w:tcPr>
          <w:p>
            <w:pPr>
              <w:pStyle w:val="GesAbsatz"/>
            </w:pPr>
            <w:r>
              <w:t>Staub</w:t>
            </w:r>
          </w:p>
        </w:tc>
        <w:tc>
          <w:tcPr>
            <w:tcW w:w="1560" w:type="dxa"/>
          </w:tcPr>
          <w:p>
            <w:pPr>
              <w:pStyle w:val="GesAbsatz"/>
            </w:pPr>
            <w:r>
              <w:t>0 – 100</w:t>
            </w:r>
          </w:p>
        </w:tc>
        <w:tc>
          <w:tcPr>
            <w:tcW w:w="1701" w:type="dxa"/>
          </w:tcPr>
          <w:p>
            <w:pPr>
              <w:pStyle w:val="GesAbsatz"/>
            </w:pPr>
            <w:r>
              <w:t>SE</w:t>
            </w:r>
          </w:p>
        </w:tc>
      </w:tr>
    </w:tbl>
    <w:p>
      <w:pPr>
        <w:pStyle w:val="GesAbsatz"/>
      </w:pPr>
    </w:p>
    <w:p>
      <w:pPr>
        <w:pStyle w:val="GesAbsatz"/>
        <w:rPr>
          <w:rFonts w:cs="Arial"/>
        </w:rPr>
      </w:pPr>
      <w:r>
        <w:t xml:space="preserve">100 SE </w:t>
      </w:r>
      <w:r>
        <w:rPr>
          <w:rFonts w:ascii="Lucida Sans Unicode" w:hAnsi="Lucida Sans Unicode" w:cs="Lucida Sans Unicode"/>
        </w:rPr>
        <w:t>≙</w:t>
      </w:r>
      <w:r>
        <w:rPr>
          <w:rFonts w:cs="Arial"/>
        </w:rPr>
        <w:t xml:space="preserve"> 15 mg/m³ Staub</w:t>
      </w:r>
    </w:p>
    <w:p>
      <w:pPr>
        <w:pStyle w:val="GesAbsatz"/>
        <w:rPr>
          <w:rFonts w:cs="Arial"/>
        </w:rPr>
      </w:pPr>
      <w:r>
        <w:rPr>
          <w:rFonts w:cs="Arial"/>
        </w:rPr>
        <w:t>zusätzliche Messbereiche (MB):</w:t>
      </w:r>
    </w:p>
    <w:p>
      <w:pPr>
        <w:pStyle w:val="GesAbsatz"/>
        <w:rPr>
          <w:rFonts w:cs="Arial"/>
        </w:rPr>
      </w:pPr>
    </w:p>
    <w:tbl>
      <w:tblPr>
        <w:tblStyle w:val="Tabellenraster"/>
        <w:tblW w:w="0" w:type="auto"/>
        <w:tblLayout w:type="fixed"/>
        <w:tblLook w:val="01E0" w:firstRow="1" w:lastRow="1" w:firstColumn="1" w:lastColumn="1" w:noHBand="0" w:noVBand="0"/>
      </w:tblPr>
      <w:tblGrid>
        <w:gridCol w:w="1809"/>
        <w:gridCol w:w="1560"/>
        <w:gridCol w:w="1701"/>
      </w:tblGrid>
      <w:tr>
        <w:tc>
          <w:tcPr>
            <w:tcW w:w="1809" w:type="dxa"/>
          </w:tcPr>
          <w:p>
            <w:pPr>
              <w:pStyle w:val="GesAbsatz"/>
            </w:pPr>
            <w:r>
              <w:t>Komponente</w:t>
            </w:r>
          </w:p>
        </w:tc>
        <w:tc>
          <w:tcPr>
            <w:tcW w:w="1560" w:type="dxa"/>
          </w:tcPr>
          <w:p>
            <w:pPr>
              <w:pStyle w:val="GesAbsatz"/>
            </w:pPr>
            <w:r>
              <w:t>MB</w:t>
            </w:r>
          </w:p>
        </w:tc>
        <w:tc>
          <w:tcPr>
            <w:tcW w:w="1701" w:type="dxa"/>
          </w:tcPr>
          <w:p>
            <w:pPr>
              <w:pStyle w:val="GesAbsatz"/>
            </w:pPr>
            <w:r>
              <w:t>Einheit</w:t>
            </w:r>
          </w:p>
        </w:tc>
      </w:tr>
      <w:tr>
        <w:tc>
          <w:tcPr>
            <w:tcW w:w="1809" w:type="dxa"/>
          </w:tcPr>
          <w:p>
            <w:pPr>
              <w:pStyle w:val="GesAbsatz"/>
            </w:pPr>
            <w:r>
              <w:t>Staub</w:t>
            </w:r>
          </w:p>
        </w:tc>
        <w:tc>
          <w:tcPr>
            <w:tcW w:w="1560" w:type="dxa"/>
          </w:tcPr>
          <w:p>
            <w:pPr>
              <w:pStyle w:val="GesAbsatz"/>
            </w:pPr>
            <w:r>
              <w:t>0 – 15</w:t>
            </w:r>
          </w:p>
        </w:tc>
        <w:tc>
          <w:tcPr>
            <w:tcW w:w="1701" w:type="dxa"/>
          </w:tcPr>
          <w:p>
            <w:pPr>
              <w:pStyle w:val="GesAbsatz"/>
            </w:pPr>
            <w:r>
              <w:t>SE</w:t>
            </w:r>
          </w:p>
        </w:tc>
      </w:tr>
      <w:tr>
        <w:tc>
          <w:tcPr>
            <w:tcW w:w="1809" w:type="dxa"/>
          </w:tcPr>
          <w:p>
            <w:pPr>
              <w:pStyle w:val="GesAbsatz"/>
            </w:pPr>
            <w:r>
              <w:t>Staub</w:t>
            </w:r>
          </w:p>
        </w:tc>
        <w:tc>
          <w:tcPr>
            <w:tcW w:w="1560" w:type="dxa"/>
          </w:tcPr>
          <w:p>
            <w:pPr>
              <w:pStyle w:val="GesAbsatz"/>
            </w:pPr>
            <w:r>
              <w:t>0 – 50</w:t>
            </w:r>
          </w:p>
        </w:tc>
        <w:tc>
          <w:tcPr>
            <w:tcW w:w="1701" w:type="dxa"/>
          </w:tcPr>
          <w:p>
            <w:pPr>
              <w:pStyle w:val="GesAbsatz"/>
            </w:pPr>
            <w:r>
              <w:t>SE</w:t>
            </w:r>
          </w:p>
        </w:tc>
      </w:tr>
      <w:tr>
        <w:tc>
          <w:tcPr>
            <w:tcW w:w="1809" w:type="dxa"/>
          </w:tcPr>
          <w:p>
            <w:pPr>
              <w:pStyle w:val="GesAbsatz"/>
            </w:pPr>
            <w:r>
              <w:t>Staub</w:t>
            </w:r>
          </w:p>
        </w:tc>
        <w:tc>
          <w:tcPr>
            <w:tcW w:w="1560" w:type="dxa"/>
          </w:tcPr>
          <w:p>
            <w:pPr>
              <w:pStyle w:val="GesAbsatz"/>
            </w:pPr>
            <w:r>
              <w:t>0 – 200</w:t>
            </w:r>
          </w:p>
        </w:tc>
        <w:tc>
          <w:tcPr>
            <w:tcW w:w="1701" w:type="dxa"/>
          </w:tcPr>
          <w:p>
            <w:pPr>
              <w:pStyle w:val="GesAbsatz"/>
            </w:pPr>
            <w:r>
              <w:t>SE</w:t>
            </w:r>
          </w:p>
        </w:tc>
      </w:tr>
    </w:tbl>
    <w:p>
      <w:pPr>
        <w:pStyle w:val="GesAbsatz"/>
        <w:rPr>
          <w:rFonts w:cs="Arial"/>
        </w:rPr>
      </w:pPr>
    </w:p>
    <w:p>
      <w:pPr>
        <w:pStyle w:val="GesAbsatz"/>
        <w:tabs>
          <w:tab w:val="left" w:pos="2268"/>
        </w:tabs>
        <w:rPr>
          <w:rFonts w:cs="Arial"/>
        </w:rPr>
      </w:pPr>
      <w:r>
        <w:rPr>
          <w:rFonts w:cs="Arial"/>
        </w:rPr>
        <w:t xml:space="preserve">Softwareversionen: </w:t>
      </w:r>
      <w:r>
        <w:rPr>
          <w:rFonts w:cs="Arial"/>
        </w:rPr>
        <w:tab/>
        <w:t>MCU: 1.0.40,</w:t>
      </w:r>
    </w:p>
    <w:p>
      <w:pPr>
        <w:pStyle w:val="GesAbsatz"/>
        <w:tabs>
          <w:tab w:val="left" w:pos="2268"/>
        </w:tabs>
        <w:ind w:left="2268"/>
        <w:rPr>
          <w:rFonts w:cs="Arial"/>
        </w:rPr>
      </w:pPr>
      <w:r>
        <w:rPr>
          <w:rFonts w:cs="Arial"/>
        </w:rPr>
        <w:t>Sende- und Empfangseinheit: 01.03.04,</w:t>
      </w:r>
    </w:p>
    <w:p>
      <w:pPr>
        <w:pStyle w:val="GesAbsatz"/>
        <w:tabs>
          <w:tab w:val="left" w:pos="2268"/>
        </w:tabs>
        <w:ind w:left="2268"/>
        <w:rPr>
          <w:rFonts w:cs="Arial"/>
        </w:rPr>
      </w:pPr>
      <w:r>
        <w:rPr>
          <w:rFonts w:cs="Arial"/>
        </w:rPr>
        <w:t>Bediensoftware: SOPAS ET: 02.18</w:t>
      </w:r>
    </w:p>
    <w:p>
      <w:pPr>
        <w:pStyle w:val="GesAbsatz"/>
        <w:rPr>
          <w:rFonts w:cs="Arial"/>
        </w:rPr>
      </w:pPr>
      <w:r>
        <w:rPr>
          <w:rFonts w:cs="Arial"/>
        </w:rPr>
        <w:t>Einschränkung:</w:t>
      </w:r>
    </w:p>
    <w:p>
      <w:pPr>
        <w:pStyle w:val="GesAbsatz"/>
        <w:rPr>
          <w:rFonts w:cs="Arial"/>
        </w:rPr>
      </w:pPr>
      <w:r>
        <w:rPr>
          <w:rFonts w:cs="Arial"/>
        </w:rPr>
        <w:t>Die Messeinrichtung kann nur eingesetzt werden, wenn eine Unterschreitung des Taupunktes ausgeschlo</w:t>
      </w:r>
      <w:r>
        <w:rPr>
          <w:rFonts w:cs="Arial"/>
        </w:rPr>
        <w:t>s</w:t>
      </w:r>
      <w:r>
        <w:rPr>
          <w:rFonts w:cs="Arial"/>
        </w:rPr>
        <w:t>sen werden kann.</w:t>
      </w:r>
    </w:p>
    <w:p>
      <w:pPr>
        <w:pStyle w:val="GesAbsatz"/>
        <w:rPr>
          <w:rFonts w:cs="Arial"/>
        </w:rPr>
      </w:pPr>
      <w:r>
        <w:rPr>
          <w:rFonts w:cs="Arial"/>
        </w:rPr>
        <w:t>Hinweise:</w:t>
      </w:r>
    </w:p>
    <w:p>
      <w:pPr>
        <w:pStyle w:val="GesAbsatz"/>
        <w:rPr>
          <w:rFonts w:cs="Arial"/>
        </w:rPr>
      </w:pPr>
      <w:r>
        <w:rPr>
          <w:rFonts w:cs="Arial"/>
        </w:rPr>
        <w:t>1.</w:t>
      </w:r>
      <w:r>
        <w:rPr>
          <w:rFonts w:cs="Arial"/>
        </w:rPr>
        <w:tab/>
        <w:t>Das Wartungsintervall beträgt 3 Monate.</w:t>
      </w:r>
    </w:p>
    <w:p>
      <w:pPr>
        <w:pStyle w:val="GesAbsatz"/>
        <w:rPr>
          <w:rFonts w:cs="Arial"/>
        </w:rPr>
      </w:pPr>
      <w:r>
        <w:rPr>
          <w:rFonts w:cs="Arial"/>
        </w:rPr>
        <w:t>2.</w:t>
      </w:r>
      <w:r>
        <w:rPr>
          <w:rFonts w:cs="Arial"/>
        </w:rPr>
        <w:tab/>
        <w:t>Die Staubkonzentration wird im feuchten Abgas unter Betriebsbedingungen gemessen.</w:t>
      </w:r>
    </w:p>
    <w:p>
      <w:pPr>
        <w:pStyle w:val="GesAbsatz"/>
        <w:ind w:left="426" w:hanging="426"/>
        <w:rPr>
          <w:rFonts w:cs="Arial"/>
        </w:rPr>
      </w:pPr>
      <w:r>
        <w:rPr>
          <w:rFonts w:cs="Arial"/>
        </w:rPr>
        <w:t>3.</w:t>
      </w:r>
      <w:r>
        <w:rPr>
          <w:rFonts w:cs="Arial"/>
        </w:rPr>
        <w:tab/>
        <w:t>Die Anforderung bei der Eignungsprüfung nach DIN EN 15267-3 an den Korrelationskoeffizienten R</w:t>
      </w:r>
      <w:r>
        <w:rPr>
          <w:rFonts w:cs="Arial"/>
          <w:vertAlign w:val="superscript"/>
        </w:rPr>
        <w:t>2</w:t>
      </w:r>
      <w:r>
        <w:rPr>
          <w:rFonts w:cs="Arial"/>
        </w:rPr>
        <w:t xml:space="preserve"> der Kalibrierfunktion wurde nicht erfüllt.</w:t>
      </w:r>
    </w:p>
    <w:p>
      <w:pPr>
        <w:pStyle w:val="GesAbsatz"/>
        <w:ind w:left="426" w:hanging="426"/>
        <w:rPr>
          <w:rFonts w:cs="Arial"/>
        </w:rPr>
      </w:pPr>
      <w:r>
        <w:rPr>
          <w:rFonts w:cs="Arial"/>
        </w:rPr>
        <w:t>Prüfbericht:</w:t>
      </w:r>
    </w:p>
    <w:p>
      <w:pPr>
        <w:pStyle w:val="GesAbsatz"/>
        <w:ind w:left="426" w:hanging="426"/>
        <w:rPr>
          <w:rFonts w:cs="Arial"/>
        </w:rPr>
      </w:pPr>
      <w:r>
        <w:rPr>
          <w:rFonts w:cs="Arial"/>
        </w:rPr>
        <w:t>TÜV Rheinland Immissionsschutz und Energiesysteme GmbH, Köln</w:t>
      </w:r>
    </w:p>
    <w:p>
      <w:pPr>
        <w:pStyle w:val="GesAbsatz"/>
        <w:ind w:left="426" w:hanging="426"/>
        <w:rPr>
          <w:rFonts w:cs="Arial"/>
        </w:rPr>
      </w:pPr>
      <w:r>
        <w:rPr>
          <w:rFonts w:cs="Arial"/>
        </w:rPr>
        <w:t>Bericht-Nr.: 936/21208609/A vom 24. Oktober 2008</w:t>
      </w:r>
    </w:p>
    <w:p>
      <w:pPr>
        <w:pStyle w:val="GesAbsatz"/>
        <w:ind w:left="426" w:hanging="426"/>
        <w:rPr>
          <w:rFonts w:cs="Arial"/>
        </w:rPr>
      </w:pPr>
      <w:r>
        <w:rPr>
          <w:rFonts w:cs="Arial"/>
          <w:b/>
        </w:rPr>
        <w:t xml:space="preserve">1.4 </w:t>
      </w:r>
      <w:r>
        <w:rPr>
          <w:rFonts w:cs="Arial"/>
          <w:b/>
          <w:caps/>
        </w:rPr>
        <w:t>Dusthunter</w:t>
      </w:r>
      <w:r>
        <w:rPr>
          <w:rFonts w:cs="Arial"/>
          <w:b/>
        </w:rPr>
        <w:t xml:space="preserve"> C200</w:t>
      </w:r>
    </w:p>
    <w:p>
      <w:pPr>
        <w:pStyle w:val="GesAbsatz"/>
        <w:ind w:left="426" w:hanging="426"/>
        <w:rPr>
          <w:rFonts w:cs="Arial"/>
        </w:rPr>
      </w:pPr>
      <w:r>
        <w:rPr>
          <w:rFonts w:cs="Arial"/>
        </w:rPr>
        <w:t>Hersteller:</w:t>
      </w:r>
    </w:p>
    <w:p>
      <w:pPr>
        <w:pStyle w:val="GesAbsatz"/>
        <w:ind w:left="426" w:hanging="426"/>
        <w:rPr>
          <w:rFonts w:cs="Arial"/>
        </w:rPr>
      </w:pPr>
      <w:r>
        <w:rPr>
          <w:rFonts w:cs="Arial"/>
        </w:rPr>
        <w:t>SICK Engineering GmbH, Ottendorf-Okrilla</w:t>
      </w:r>
    </w:p>
    <w:p>
      <w:pPr>
        <w:pStyle w:val="GesAbsatz"/>
        <w:ind w:left="426" w:hanging="426"/>
        <w:rPr>
          <w:rFonts w:cs="Arial"/>
        </w:rPr>
      </w:pPr>
      <w:r>
        <w:rPr>
          <w:rFonts w:cs="Arial"/>
        </w:rPr>
        <w:t>Eignung:</w:t>
      </w:r>
    </w:p>
    <w:p>
      <w:pPr>
        <w:pStyle w:val="GesAbsatz"/>
        <w:ind w:left="426" w:hanging="426"/>
        <w:rPr>
          <w:rFonts w:cs="Arial"/>
        </w:rPr>
      </w:pPr>
      <w:r>
        <w:rPr>
          <w:rFonts w:cs="Arial"/>
        </w:rPr>
        <w:t>Für genehmigungsbedürftige Anlagen und Anlagen der 27. BImSchV</w:t>
      </w:r>
    </w:p>
    <w:p>
      <w:pPr>
        <w:pStyle w:val="GesAbsatz"/>
        <w:ind w:left="426" w:hanging="426"/>
        <w:rPr>
          <w:rFonts w:cs="Arial"/>
        </w:rPr>
      </w:pPr>
      <w:r>
        <w:rPr>
          <w:rFonts w:cs="Arial"/>
        </w:rPr>
        <w:t>Messbereiche bei der Eignungsprüfung:</w:t>
      </w:r>
    </w:p>
    <w:p>
      <w:pPr>
        <w:pStyle w:val="GesAbsatz"/>
        <w:ind w:left="426" w:hanging="426"/>
        <w:rPr>
          <w:rFonts w:cs="Arial"/>
        </w:rPr>
      </w:pPr>
      <w:r>
        <w:rPr>
          <w:rFonts w:cs="Arial"/>
        </w:rPr>
        <w:t>Staub (Transmissionsmessung):</w:t>
      </w:r>
    </w:p>
    <w:p>
      <w:pPr>
        <w:pStyle w:val="GesAbsatz"/>
        <w:ind w:left="426" w:hanging="426"/>
        <w:rPr>
          <w:rFonts w:cs="Arial"/>
        </w:rPr>
      </w:pPr>
      <w:r>
        <w:rPr>
          <w:rFonts w:cs="Arial"/>
        </w:rPr>
        <w:t xml:space="preserve">0 – 0,1 Ext. </w:t>
      </w:r>
      <w:r>
        <w:rPr>
          <w:rFonts w:ascii="Lucida Sans Unicode" w:hAnsi="Lucida Sans Unicode" w:cs="Lucida Sans Unicode"/>
        </w:rPr>
        <w:t>≙</w:t>
      </w:r>
      <w:r>
        <w:rPr>
          <w:rFonts w:cs="Arial"/>
        </w:rPr>
        <w:t xml:space="preserve"> 15 mg/m³ Staub bei 5 m Messweglänge</w:t>
      </w:r>
    </w:p>
    <w:p>
      <w:pPr>
        <w:pStyle w:val="GesAbsatz"/>
        <w:ind w:left="426" w:hanging="426"/>
        <w:rPr>
          <w:rFonts w:cs="Arial"/>
        </w:rPr>
      </w:pPr>
      <w:r>
        <w:rPr>
          <w:rFonts w:cs="Arial"/>
        </w:rPr>
        <w:lastRenderedPageBreak/>
        <w:t>sowie</w:t>
      </w:r>
    </w:p>
    <w:p>
      <w:pPr>
        <w:pStyle w:val="GesAbsatz"/>
        <w:ind w:left="426" w:hanging="426"/>
        <w:rPr>
          <w:rFonts w:cs="Arial"/>
        </w:rPr>
      </w:pPr>
      <w:r>
        <w:rPr>
          <w:rFonts w:cs="Arial"/>
        </w:rPr>
        <w:t>0 – 0,05 Ext.</w:t>
      </w:r>
    </w:p>
    <w:p>
      <w:pPr>
        <w:pStyle w:val="GesAbsatz"/>
        <w:ind w:left="426" w:hanging="426"/>
        <w:rPr>
          <w:rFonts w:cs="Arial"/>
        </w:rPr>
      </w:pPr>
      <w:r>
        <w:rPr>
          <w:rFonts w:cs="Arial"/>
        </w:rPr>
        <w:t>0 – 0,2 Ext.</w:t>
      </w:r>
    </w:p>
    <w:p>
      <w:pPr>
        <w:pStyle w:val="GesAbsatz"/>
        <w:ind w:left="426" w:hanging="426"/>
        <w:rPr>
          <w:rFonts w:cs="Arial"/>
        </w:rPr>
      </w:pPr>
      <w:r>
        <w:rPr>
          <w:rFonts w:cs="Arial"/>
        </w:rPr>
        <w:t>0 – 0,5 Ext.</w:t>
      </w:r>
    </w:p>
    <w:p>
      <w:pPr>
        <w:pStyle w:val="GesAbsatz"/>
        <w:ind w:left="426" w:hanging="426"/>
        <w:rPr>
          <w:rFonts w:cs="Arial"/>
        </w:rPr>
      </w:pPr>
      <w:r>
        <w:rPr>
          <w:rFonts w:cs="Arial"/>
        </w:rPr>
        <w:t>0- 1,0 Ext.</w:t>
      </w:r>
    </w:p>
    <w:p>
      <w:pPr>
        <w:pStyle w:val="GesAbsatz"/>
        <w:ind w:left="426" w:hanging="426"/>
        <w:rPr>
          <w:rFonts w:cs="Arial"/>
        </w:rPr>
      </w:pPr>
      <w:r>
        <w:rPr>
          <w:rFonts w:cs="Arial"/>
        </w:rPr>
        <w:t>Staub (Streulichtmessung):</w:t>
      </w:r>
    </w:p>
    <w:p>
      <w:pPr>
        <w:pStyle w:val="GesAbsatz"/>
        <w:ind w:left="426" w:hanging="426"/>
        <w:rPr>
          <w:rFonts w:cs="Arial"/>
        </w:rPr>
      </w:pPr>
      <w:r>
        <w:rPr>
          <w:rFonts w:cs="Arial"/>
        </w:rPr>
        <w:t xml:space="preserve">0 – 50 Streulichteinheiten </w:t>
      </w:r>
      <w:r>
        <w:rPr>
          <w:rFonts w:ascii="Lucida Sans Unicode" w:hAnsi="Lucida Sans Unicode" w:cs="Lucida Sans Unicode"/>
        </w:rPr>
        <w:t>≙</w:t>
      </w:r>
      <w:r>
        <w:rPr>
          <w:rFonts w:cs="Arial"/>
        </w:rPr>
        <w:t xml:space="preserve"> 15 mg/m³ Staub</w:t>
      </w:r>
    </w:p>
    <w:p>
      <w:pPr>
        <w:pStyle w:val="GesAbsatz"/>
        <w:ind w:left="426" w:hanging="426"/>
        <w:rPr>
          <w:rFonts w:cs="Arial"/>
        </w:rPr>
      </w:pPr>
      <w:r>
        <w:rPr>
          <w:rFonts w:cs="Arial"/>
        </w:rPr>
        <w:t>sowie</w:t>
      </w:r>
    </w:p>
    <w:p>
      <w:pPr>
        <w:pStyle w:val="GesAbsatz"/>
        <w:ind w:left="426" w:hanging="426"/>
        <w:rPr>
          <w:rFonts w:cs="Arial"/>
        </w:rPr>
      </w:pPr>
      <w:r>
        <w:rPr>
          <w:rFonts w:cs="Arial"/>
        </w:rPr>
        <w:t xml:space="preserve">0 – 5 </w:t>
      </w:r>
      <w:bookmarkStart w:id="7" w:name="OLE_LINK1"/>
      <w:bookmarkStart w:id="8" w:name="OLE_LINK2"/>
      <w:r>
        <w:rPr>
          <w:rFonts w:cs="Arial"/>
        </w:rPr>
        <w:t>Streulichteinheiten</w:t>
      </w:r>
      <w:bookmarkEnd w:id="7"/>
      <w:bookmarkEnd w:id="8"/>
    </w:p>
    <w:p>
      <w:pPr>
        <w:pStyle w:val="GesAbsatz"/>
        <w:ind w:left="426" w:hanging="426"/>
        <w:rPr>
          <w:rFonts w:cs="Arial"/>
        </w:rPr>
      </w:pPr>
      <w:r>
        <w:rPr>
          <w:rFonts w:cs="Arial"/>
        </w:rPr>
        <w:t>0 – 20 Streulichteinheiten</w:t>
      </w:r>
    </w:p>
    <w:p>
      <w:pPr>
        <w:pStyle w:val="GesAbsatz"/>
        <w:ind w:left="426" w:hanging="426"/>
        <w:rPr>
          <w:rFonts w:cs="Arial"/>
        </w:rPr>
      </w:pPr>
      <w:r>
        <w:rPr>
          <w:rFonts w:cs="Arial"/>
        </w:rPr>
        <w:t>0 – 100 Streulichteinheiten</w:t>
      </w:r>
    </w:p>
    <w:p>
      <w:pPr>
        <w:pStyle w:val="GesAbsatz"/>
        <w:ind w:left="426" w:hanging="426"/>
        <w:rPr>
          <w:rFonts w:cs="Arial"/>
        </w:rPr>
      </w:pPr>
      <w:r>
        <w:rPr>
          <w:rFonts w:cs="Arial"/>
        </w:rPr>
        <w:t>0 – 200 Streulichteinheiten</w:t>
      </w:r>
    </w:p>
    <w:p>
      <w:pPr>
        <w:pStyle w:val="GesAbsatz"/>
        <w:tabs>
          <w:tab w:val="clear" w:pos="425"/>
          <w:tab w:val="left" w:pos="2268"/>
        </w:tabs>
        <w:rPr>
          <w:rFonts w:cs="Arial"/>
        </w:rPr>
      </w:pPr>
      <w:r>
        <w:rPr>
          <w:rFonts w:cs="Arial"/>
        </w:rPr>
        <w:t>Softwareversionen:</w:t>
      </w:r>
      <w:r>
        <w:rPr>
          <w:rFonts w:cs="Arial"/>
        </w:rPr>
        <w:tab/>
        <w:t>MCU: 1.026,</w:t>
      </w:r>
    </w:p>
    <w:p>
      <w:pPr>
        <w:pStyle w:val="GesAbsatz"/>
        <w:tabs>
          <w:tab w:val="clear" w:pos="425"/>
        </w:tabs>
        <w:ind w:left="2268"/>
        <w:rPr>
          <w:rFonts w:cs="Arial"/>
        </w:rPr>
      </w:pPr>
      <w:r>
        <w:rPr>
          <w:rFonts w:cs="Arial"/>
        </w:rPr>
        <w:t>Sensor: 1.3.04,</w:t>
      </w:r>
    </w:p>
    <w:p>
      <w:pPr>
        <w:pStyle w:val="GesAbsatz"/>
        <w:tabs>
          <w:tab w:val="clear" w:pos="425"/>
        </w:tabs>
        <w:ind w:left="2268"/>
        <w:rPr>
          <w:rFonts w:cs="Arial"/>
        </w:rPr>
      </w:pPr>
      <w:r>
        <w:rPr>
          <w:rFonts w:cs="Arial"/>
        </w:rPr>
        <w:t>SOPAS ET: 0.16</w:t>
      </w:r>
    </w:p>
    <w:p>
      <w:pPr>
        <w:pStyle w:val="GesAbsatz"/>
        <w:tabs>
          <w:tab w:val="clear" w:pos="425"/>
        </w:tabs>
        <w:rPr>
          <w:rFonts w:cs="Arial"/>
        </w:rPr>
      </w:pPr>
      <w:r>
        <w:rPr>
          <w:rFonts w:cs="Arial"/>
        </w:rPr>
        <w:t>Einschränkung:</w:t>
      </w:r>
    </w:p>
    <w:p>
      <w:pPr>
        <w:pStyle w:val="GesAbsatz"/>
        <w:tabs>
          <w:tab w:val="clear" w:pos="425"/>
        </w:tabs>
        <w:rPr>
          <w:rFonts w:cs="Arial"/>
        </w:rPr>
      </w:pPr>
      <w:r>
        <w:rPr>
          <w:rFonts w:cs="Arial"/>
        </w:rPr>
        <w:t>Die Messeinrichtung kann nur eingesetzt werden, wenn eine Unterschreitung des Taupunktes ausgeschlo</w:t>
      </w:r>
      <w:r>
        <w:rPr>
          <w:rFonts w:cs="Arial"/>
        </w:rPr>
        <w:t>s</w:t>
      </w:r>
      <w:r>
        <w:rPr>
          <w:rFonts w:cs="Arial"/>
        </w:rPr>
        <w:t>sen werden kann.</w:t>
      </w:r>
    </w:p>
    <w:p>
      <w:pPr>
        <w:pStyle w:val="GesAbsatz"/>
        <w:tabs>
          <w:tab w:val="clear" w:pos="425"/>
        </w:tabs>
        <w:rPr>
          <w:rFonts w:cs="Arial"/>
        </w:rPr>
      </w:pPr>
      <w:r>
        <w:rPr>
          <w:rFonts w:cs="Arial"/>
        </w:rPr>
        <w:t>Hinweise:</w:t>
      </w:r>
    </w:p>
    <w:p>
      <w:pPr>
        <w:pStyle w:val="GesAbsatz"/>
        <w:tabs>
          <w:tab w:val="clear" w:pos="425"/>
          <w:tab w:val="left" w:pos="426"/>
        </w:tabs>
        <w:rPr>
          <w:rFonts w:cs="Arial"/>
        </w:rPr>
      </w:pPr>
      <w:r>
        <w:rPr>
          <w:rFonts w:cs="Arial"/>
        </w:rPr>
        <w:t>1.</w:t>
      </w:r>
      <w:r>
        <w:rPr>
          <w:rFonts w:cs="Arial"/>
        </w:rPr>
        <w:tab/>
        <w:t>Das Wartungsintervall beträgt 3 Monate.</w:t>
      </w:r>
    </w:p>
    <w:p>
      <w:pPr>
        <w:pStyle w:val="GesAbsatz"/>
        <w:tabs>
          <w:tab w:val="clear" w:pos="425"/>
          <w:tab w:val="left" w:pos="426"/>
        </w:tabs>
        <w:rPr>
          <w:rFonts w:cs="Arial"/>
        </w:rPr>
      </w:pPr>
      <w:r>
        <w:rPr>
          <w:rFonts w:cs="Arial"/>
        </w:rPr>
        <w:t>2.</w:t>
      </w:r>
      <w:r>
        <w:rPr>
          <w:rFonts w:cs="Arial"/>
        </w:rPr>
        <w:tab/>
        <w:t>Die Staubkonzentration wird im feuchten Abgas unter Betriebsbedingungen gemessen.</w:t>
      </w:r>
    </w:p>
    <w:p>
      <w:pPr>
        <w:pStyle w:val="GesAbsatz"/>
        <w:tabs>
          <w:tab w:val="clear" w:pos="425"/>
          <w:tab w:val="left" w:pos="426"/>
        </w:tabs>
        <w:rPr>
          <w:rFonts w:cs="Arial"/>
        </w:rPr>
      </w:pPr>
      <w:r>
        <w:rPr>
          <w:rFonts w:cs="Arial"/>
        </w:rPr>
        <w:t>3.</w:t>
      </w:r>
      <w:r>
        <w:rPr>
          <w:rFonts w:cs="Arial"/>
        </w:rPr>
        <w:tab/>
        <w:t>Ergänzungsprüfung zur Bekanntgabe des Umweltbundesamtes vom 12. August 2008 (BAnz. S. 3244).</w:t>
      </w:r>
    </w:p>
    <w:p>
      <w:pPr>
        <w:pStyle w:val="GesAbsatz"/>
        <w:tabs>
          <w:tab w:val="clear" w:pos="425"/>
          <w:tab w:val="left" w:pos="426"/>
        </w:tabs>
        <w:rPr>
          <w:rFonts w:cs="Arial"/>
        </w:rPr>
      </w:pPr>
      <w:r>
        <w:rPr>
          <w:rFonts w:cs="Arial"/>
        </w:rPr>
        <w:t>Prüfbericht.</w:t>
      </w:r>
    </w:p>
    <w:p>
      <w:pPr>
        <w:pStyle w:val="GesAbsatz"/>
        <w:tabs>
          <w:tab w:val="clear" w:pos="425"/>
          <w:tab w:val="left" w:pos="426"/>
        </w:tabs>
        <w:rPr>
          <w:rFonts w:cs="Arial"/>
        </w:rPr>
      </w:pPr>
      <w:r>
        <w:rPr>
          <w:rFonts w:cs="Arial"/>
        </w:rPr>
        <w:t>TÜV Rheinland Immissionsschutz und Energiesysteme GmbH, Köln</w:t>
      </w:r>
    </w:p>
    <w:p>
      <w:pPr>
        <w:pStyle w:val="GesAbsatz"/>
        <w:tabs>
          <w:tab w:val="clear" w:pos="425"/>
          <w:tab w:val="left" w:pos="426"/>
        </w:tabs>
        <w:rPr>
          <w:rFonts w:cs="Arial"/>
        </w:rPr>
      </w:pPr>
      <w:r>
        <w:rPr>
          <w:rFonts w:cs="Arial"/>
        </w:rPr>
        <w:t>Bericht-Nr.: 936/21207351/D vom 10. Oktober 2008</w:t>
      </w:r>
    </w:p>
    <w:p>
      <w:pPr>
        <w:pStyle w:val="GesAbsatz"/>
        <w:tabs>
          <w:tab w:val="clear" w:pos="425"/>
          <w:tab w:val="left" w:pos="426"/>
        </w:tabs>
        <w:rPr>
          <w:rFonts w:cs="Arial"/>
        </w:rPr>
      </w:pPr>
      <w:r>
        <w:rPr>
          <w:rFonts w:cs="Arial"/>
          <w:b/>
        </w:rPr>
        <w:t>1.5 DUSTHUNTER T100</w:t>
      </w:r>
    </w:p>
    <w:p>
      <w:pPr>
        <w:pStyle w:val="GesAbsatz"/>
        <w:tabs>
          <w:tab w:val="clear" w:pos="425"/>
          <w:tab w:val="left" w:pos="426"/>
        </w:tabs>
        <w:rPr>
          <w:rFonts w:cs="Arial"/>
        </w:rPr>
      </w:pPr>
      <w:r>
        <w:rPr>
          <w:rFonts w:cs="Arial"/>
        </w:rPr>
        <w:t>Hersteller:</w:t>
      </w:r>
    </w:p>
    <w:p>
      <w:pPr>
        <w:pStyle w:val="GesAbsatz"/>
        <w:tabs>
          <w:tab w:val="clear" w:pos="425"/>
          <w:tab w:val="left" w:pos="426"/>
        </w:tabs>
        <w:rPr>
          <w:rFonts w:cs="Arial"/>
        </w:rPr>
      </w:pPr>
      <w:r>
        <w:rPr>
          <w:rFonts w:cs="Arial"/>
        </w:rPr>
        <w:t>SICK Engineering GmbH, Ottendorf Okrilla</w:t>
      </w:r>
    </w:p>
    <w:p>
      <w:pPr>
        <w:pStyle w:val="GesAbsatz"/>
        <w:tabs>
          <w:tab w:val="clear" w:pos="425"/>
          <w:tab w:val="left" w:pos="426"/>
        </w:tabs>
        <w:rPr>
          <w:rFonts w:cs="Arial"/>
        </w:rPr>
      </w:pPr>
      <w:r>
        <w:rPr>
          <w:rFonts w:cs="Arial"/>
        </w:rPr>
        <w:t>Eignung:</w:t>
      </w:r>
    </w:p>
    <w:p>
      <w:pPr>
        <w:pStyle w:val="GesAbsatz"/>
        <w:tabs>
          <w:tab w:val="clear" w:pos="425"/>
          <w:tab w:val="left" w:pos="426"/>
        </w:tabs>
        <w:rPr>
          <w:rFonts w:cs="Arial"/>
        </w:rPr>
      </w:pPr>
      <w:r>
        <w:rPr>
          <w:rFonts w:cs="Arial"/>
        </w:rPr>
        <w:t>Für genehmigungsbedürftige Anlagen sowie Anlagen der 27. BImSchV</w:t>
      </w:r>
    </w:p>
    <w:p>
      <w:pPr>
        <w:pStyle w:val="GesAbsatz"/>
        <w:tabs>
          <w:tab w:val="clear" w:pos="425"/>
          <w:tab w:val="left" w:pos="426"/>
        </w:tabs>
        <w:rPr>
          <w:rFonts w:cs="Arial"/>
        </w:rPr>
      </w:pPr>
      <w:r>
        <w:rPr>
          <w:rFonts w:cs="Arial"/>
        </w:rPr>
        <w:t>Messbereiche bei der Eignungsprüfung:</w:t>
      </w:r>
    </w:p>
    <w:p>
      <w:pPr>
        <w:pStyle w:val="GesAbsatz"/>
        <w:tabs>
          <w:tab w:val="clear" w:pos="425"/>
          <w:tab w:val="left" w:pos="426"/>
        </w:tabs>
        <w:rPr>
          <w:rFonts w:cs="Arial"/>
        </w:rPr>
      </w:pPr>
      <w:r>
        <w:rPr>
          <w:rFonts w:cs="Arial"/>
        </w:rPr>
        <w:t>Staub (Transmissionsmessung) Zertifizierungsbereich:</w:t>
      </w:r>
    </w:p>
    <w:p>
      <w:pPr>
        <w:pStyle w:val="GesAbsatz"/>
        <w:tabs>
          <w:tab w:val="clear" w:pos="425"/>
          <w:tab w:val="left" w:pos="426"/>
        </w:tabs>
        <w:rPr>
          <w:rFonts w:cs="Arial"/>
        </w:rPr>
      </w:pPr>
      <w:r>
        <w:rPr>
          <w:rFonts w:cs="Arial"/>
        </w:rPr>
        <w:t xml:space="preserve">0 – 0,1 Ext. </w:t>
      </w:r>
      <w:r>
        <w:rPr>
          <w:rFonts w:ascii="Lucida Sans Unicode" w:hAnsi="Lucida Sans Unicode" w:cs="Lucida Sans Unicode"/>
        </w:rPr>
        <w:t>≙</w:t>
      </w:r>
      <w:r>
        <w:rPr>
          <w:rFonts w:cs="Arial"/>
        </w:rPr>
        <w:t xml:space="preserve"> 15 mg/m³ Staub bei 5 m Messweglänge sowie</w:t>
      </w:r>
    </w:p>
    <w:p>
      <w:pPr>
        <w:pStyle w:val="GesAbsatz"/>
        <w:tabs>
          <w:tab w:val="clear" w:pos="425"/>
          <w:tab w:val="left" w:pos="426"/>
        </w:tabs>
        <w:rPr>
          <w:rFonts w:cs="Arial"/>
        </w:rPr>
      </w:pPr>
      <w:r>
        <w:rPr>
          <w:rFonts w:cs="Arial"/>
        </w:rPr>
        <w:t>0 – 0,05 Ext.</w:t>
      </w:r>
    </w:p>
    <w:p>
      <w:pPr>
        <w:pStyle w:val="GesAbsatz"/>
        <w:tabs>
          <w:tab w:val="clear" w:pos="425"/>
          <w:tab w:val="left" w:pos="426"/>
        </w:tabs>
        <w:rPr>
          <w:rFonts w:cs="Arial"/>
        </w:rPr>
      </w:pPr>
      <w:r>
        <w:rPr>
          <w:rFonts w:cs="Arial"/>
        </w:rPr>
        <w:t>0 – 0,2 Ext.</w:t>
      </w:r>
    </w:p>
    <w:p>
      <w:pPr>
        <w:pStyle w:val="GesAbsatz"/>
        <w:tabs>
          <w:tab w:val="clear" w:pos="425"/>
          <w:tab w:val="left" w:pos="426"/>
        </w:tabs>
        <w:rPr>
          <w:rFonts w:cs="Arial"/>
        </w:rPr>
      </w:pPr>
      <w:r>
        <w:rPr>
          <w:rFonts w:cs="Arial"/>
        </w:rPr>
        <w:t>0 – 0,5 Et.</w:t>
      </w:r>
    </w:p>
    <w:p>
      <w:pPr>
        <w:pStyle w:val="GesAbsatz"/>
        <w:tabs>
          <w:tab w:val="clear" w:pos="425"/>
          <w:tab w:val="left" w:pos="426"/>
        </w:tabs>
        <w:rPr>
          <w:rFonts w:cs="Arial"/>
        </w:rPr>
      </w:pPr>
      <w:r>
        <w:rPr>
          <w:rFonts w:cs="Arial"/>
        </w:rPr>
        <w:t>0 – 1,0 Ext.</w:t>
      </w:r>
    </w:p>
    <w:p>
      <w:pPr>
        <w:pStyle w:val="GesAbsatz"/>
        <w:tabs>
          <w:tab w:val="clear" w:pos="425"/>
          <w:tab w:val="left" w:pos="2268"/>
        </w:tabs>
        <w:rPr>
          <w:rFonts w:cs="Arial"/>
        </w:rPr>
      </w:pPr>
      <w:r>
        <w:rPr>
          <w:rFonts w:cs="Arial"/>
        </w:rPr>
        <w:t>Softwareversionen:</w:t>
      </w:r>
      <w:r>
        <w:rPr>
          <w:rFonts w:cs="Arial"/>
        </w:rPr>
        <w:tab/>
        <w:t>MCU: 1.026,</w:t>
      </w:r>
    </w:p>
    <w:p>
      <w:pPr>
        <w:pStyle w:val="GesAbsatz"/>
        <w:tabs>
          <w:tab w:val="clear" w:pos="425"/>
          <w:tab w:val="left" w:pos="2268"/>
        </w:tabs>
        <w:ind w:left="2268"/>
        <w:rPr>
          <w:rFonts w:cs="Arial"/>
        </w:rPr>
      </w:pPr>
      <w:r>
        <w:rPr>
          <w:rFonts w:cs="Arial"/>
        </w:rPr>
        <w:t>Sensor: 1.3.04,</w:t>
      </w:r>
    </w:p>
    <w:p>
      <w:pPr>
        <w:pStyle w:val="GesAbsatz"/>
        <w:tabs>
          <w:tab w:val="clear" w:pos="425"/>
          <w:tab w:val="left" w:pos="2268"/>
        </w:tabs>
        <w:ind w:left="2268"/>
        <w:rPr>
          <w:rFonts w:cs="Arial"/>
        </w:rPr>
      </w:pPr>
      <w:r>
        <w:rPr>
          <w:rFonts w:cs="Arial"/>
        </w:rPr>
        <w:t>Bediensoftware: SOPAS ET: 02.16</w:t>
      </w:r>
    </w:p>
    <w:p>
      <w:pPr>
        <w:pStyle w:val="GesAbsatz"/>
        <w:tabs>
          <w:tab w:val="clear" w:pos="425"/>
          <w:tab w:val="left" w:pos="426"/>
        </w:tabs>
        <w:rPr>
          <w:rFonts w:cs="Arial"/>
        </w:rPr>
      </w:pPr>
      <w:r>
        <w:rPr>
          <w:rFonts w:cs="Arial"/>
        </w:rPr>
        <w:t>Einschränkung:</w:t>
      </w:r>
    </w:p>
    <w:p>
      <w:pPr>
        <w:pStyle w:val="GesAbsatz"/>
        <w:tabs>
          <w:tab w:val="clear" w:pos="425"/>
          <w:tab w:val="left" w:pos="426"/>
        </w:tabs>
        <w:rPr>
          <w:rFonts w:cs="Arial"/>
        </w:rPr>
      </w:pPr>
      <w:r>
        <w:rPr>
          <w:rFonts w:cs="Arial"/>
        </w:rPr>
        <w:lastRenderedPageBreak/>
        <w:t>Die Messeinrichtung kann nur eingesetzt werden, wenn eine Unterschreitung des Taupunktes ausgeschlo</w:t>
      </w:r>
      <w:r>
        <w:rPr>
          <w:rFonts w:cs="Arial"/>
        </w:rPr>
        <w:t>s</w:t>
      </w:r>
      <w:r>
        <w:rPr>
          <w:rFonts w:cs="Arial"/>
        </w:rPr>
        <w:t>sen werden kann.</w:t>
      </w:r>
    </w:p>
    <w:p>
      <w:pPr>
        <w:pStyle w:val="GesAbsatz"/>
        <w:tabs>
          <w:tab w:val="clear" w:pos="425"/>
          <w:tab w:val="left" w:pos="426"/>
        </w:tabs>
        <w:rPr>
          <w:rFonts w:cs="Arial"/>
        </w:rPr>
      </w:pPr>
      <w:r>
        <w:rPr>
          <w:rFonts w:cs="Arial"/>
        </w:rPr>
        <w:t>Hinweise:</w:t>
      </w:r>
    </w:p>
    <w:p>
      <w:pPr>
        <w:pStyle w:val="GesAbsatz"/>
        <w:tabs>
          <w:tab w:val="clear" w:pos="425"/>
          <w:tab w:val="left" w:pos="426"/>
        </w:tabs>
        <w:rPr>
          <w:rFonts w:cs="Arial"/>
        </w:rPr>
      </w:pPr>
      <w:r>
        <w:rPr>
          <w:rFonts w:cs="Arial"/>
        </w:rPr>
        <w:t>1.</w:t>
      </w:r>
      <w:r>
        <w:rPr>
          <w:rFonts w:cs="Arial"/>
        </w:rPr>
        <w:tab/>
        <w:t>Das Wartungsintervall beträgt 3 Monate.</w:t>
      </w:r>
    </w:p>
    <w:p>
      <w:pPr>
        <w:pStyle w:val="GesAbsatz"/>
        <w:tabs>
          <w:tab w:val="clear" w:pos="425"/>
          <w:tab w:val="left" w:pos="426"/>
        </w:tabs>
        <w:rPr>
          <w:rFonts w:cs="Arial"/>
        </w:rPr>
      </w:pPr>
      <w:r>
        <w:rPr>
          <w:rFonts w:cs="Arial"/>
        </w:rPr>
        <w:t>2.</w:t>
      </w:r>
      <w:r>
        <w:rPr>
          <w:rFonts w:cs="Arial"/>
        </w:rPr>
        <w:tab/>
        <w:t>Die Staubkonzentration wird im feuchten Abgas unter Betriebsbedingungen gemessen.</w:t>
      </w:r>
    </w:p>
    <w:p>
      <w:pPr>
        <w:pStyle w:val="GesAbsatz"/>
        <w:tabs>
          <w:tab w:val="clear" w:pos="425"/>
          <w:tab w:val="left" w:pos="426"/>
        </w:tabs>
        <w:ind w:left="426" w:hanging="426"/>
        <w:rPr>
          <w:rFonts w:cs="Arial"/>
        </w:rPr>
      </w:pPr>
      <w:r>
        <w:rPr>
          <w:rFonts w:cs="Arial"/>
        </w:rPr>
        <w:t>3.</w:t>
      </w:r>
      <w:r>
        <w:rPr>
          <w:rFonts w:cs="Arial"/>
        </w:rPr>
        <w:tab/>
        <w:t>Ergänzungsprüfung zur Bekanntgabe des Umweltbundesamtes vom 12. August 2008 (BAnz. S. 3243) für die Messeinrichtung T200.</w:t>
      </w:r>
    </w:p>
    <w:p>
      <w:pPr>
        <w:pStyle w:val="GesAbsatz"/>
        <w:tabs>
          <w:tab w:val="clear" w:pos="425"/>
          <w:tab w:val="left" w:pos="426"/>
        </w:tabs>
        <w:ind w:left="426" w:hanging="426"/>
        <w:rPr>
          <w:rFonts w:cs="Arial"/>
        </w:rPr>
      </w:pPr>
      <w:r>
        <w:rPr>
          <w:rFonts w:cs="Arial"/>
        </w:rPr>
        <w:t>4.</w:t>
      </w:r>
      <w:r>
        <w:rPr>
          <w:rFonts w:cs="Arial"/>
        </w:rPr>
        <w:tab/>
        <w:t>Die Messeinrichtung T100 weist im Gegensatz zur Messeinrichtung T200 keine automatische Ve</w:t>
      </w:r>
      <w:r>
        <w:rPr>
          <w:rFonts w:cs="Arial"/>
        </w:rPr>
        <w:t>r</w:t>
      </w:r>
      <w:r>
        <w:rPr>
          <w:rFonts w:cs="Arial"/>
        </w:rPr>
        <w:t>schwenkungskompensation und nur eine einseitige Verschmutzungsmessung auf. Ansonsten sind die beiden Mes</w:t>
      </w:r>
      <w:r>
        <w:rPr>
          <w:rFonts w:cs="Arial"/>
        </w:rPr>
        <w:t>s</w:t>
      </w:r>
      <w:r>
        <w:rPr>
          <w:rFonts w:cs="Arial"/>
        </w:rPr>
        <w:t>einrichtungen baugleich.</w:t>
      </w:r>
    </w:p>
    <w:p>
      <w:pPr>
        <w:pStyle w:val="GesAbsatz"/>
        <w:tabs>
          <w:tab w:val="clear" w:pos="425"/>
          <w:tab w:val="left" w:pos="426"/>
        </w:tabs>
        <w:ind w:left="426" w:hanging="426"/>
        <w:rPr>
          <w:rFonts w:cs="Arial"/>
        </w:rPr>
      </w:pPr>
      <w:r>
        <w:rPr>
          <w:rFonts w:cs="Arial"/>
        </w:rPr>
        <w:t>Prüfbericht:</w:t>
      </w:r>
    </w:p>
    <w:p>
      <w:pPr>
        <w:pStyle w:val="GesAbsatz"/>
        <w:tabs>
          <w:tab w:val="clear" w:pos="425"/>
          <w:tab w:val="left" w:pos="426"/>
        </w:tabs>
        <w:ind w:left="426" w:hanging="426"/>
        <w:rPr>
          <w:rFonts w:cs="Arial"/>
        </w:rPr>
      </w:pPr>
      <w:r>
        <w:rPr>
          <w:rFonts w:cs="Arial"/>
        </w:rPr>
        <w:t>TÜV Rheinland Immissionsschutz und Energiesysteme GmbH, Köln</w:t>
      </w:r>
    </w:p>
    <w:p>
      <w:pPr>
        <w:pStyle w:val="GesAbsatz"/>
        <w:tabs>
          <w:tab w:val="clear" w:pos="425"/>
          <w:tab w:val="left" w:pos="426"/>
        </w:tabs>
        <w:ind w:left="426" w:hanging="426"/>
        <w:rPr>
          <w:rFonts w:cs="Arial"/>
        </w:rPr>
      </w:pPr>
      <w:r>
        <w:rPr>
          <w:rFonts w:cs="Arial"/>
        </w:rPr>
        <w:t>Bericht-Nr.: 936/21210076/A vom 24. Oktober 2008</w:t>
      </w:r>
    </w:p>
    <w:p>
      <w:pPr>
        <w:pStyle w:val="GesAbsatz"/>
        <w:tabs>
          <w:tab w:val="clear" w:pos="425"/>
          <w:tab w:val="left" w:pos="426"/>
        </w:tabs>
        <w:ind w:left="426" w:hanging="426"/>
        <w:rPr>
          <w:rFonts w:cs="Arial"/>
        </w:rPr>
      </w:pPr>
      <w:r>
        <w:rPr>
          <w:rFonts w:cs="Arial"/>
          <w:b/>
        </w:rPr>
        <w:t>1.6 DUSTHUNTER T200</w:t>
      </w:r>
    </w:p>
    <w:p>
      <w:pPr>
        <w:pStyle w:val="GesAbsatz"/>
        <w:tabs>
          <w:tab w:val="clear" w:pos="425"/>
          <w:tab w:val="left" w:pos="426"/>
        </w:tabs>
        <w:ind w:left="426" w:hanging="426"/>
        <w:rPr>
          <w:rFonts w:cs="Arial"/>
        </w:rPr>
      </w:pPr>
      <w:r>
        <w:rPr>
          <w:rFonts w:cs="Arial"/>
        </w:rPr>
        <w:t>Hersteller:</w:t>
      </w:r>
    </w:p>
    <w:p>
      <w:pPr>
        <w:pStyle w:val="GesAbsatz"/>
        <w:tabs>
          <w:tab w:val="clear" w:pos="425"/>
          <w:tab w:val="left" w:pos="426"/>
        </w:tabs>
        <w:ind w:left="426" w:hanging="426"/>
        <w:rPr>
          <w:rFonts w:cs="Arial"/>
        </w:rPr>
      </w:pPr>
      <w:r>
        <w:rPr>
          <w:rFonts w:cs="Arial"/>
        </w:rPr>
        <w:t>SICK Engineering GmbH, Ottendorf-Oktrilla</w:t>
      </w:r>
    </w:p>
    <w:p>
      <w:pPr>
        <w:pStyle w:val="GesAbsatz"/>
        <w:tabs>
          <w:tab w:val="clear" w:pos="425"/>
          <w:tab w:val="left" w:pos="426"/>
        </w:tabs>
        <w:rPr>
          <w:rFonts w:cs="Arial"/>
        </w:rPr>
      </w:pPr>
      <w:r>
        <w:rPr>
          <w:rFonts w:cs="Arial"/>
        </w:rPr>
        <w:t>Eignung:</w:t>
      </w:r>
    </w:p>
    <w:p>
      <w:pPr>
        <w:pStyle w:val="GesAbsatz"/>
        <w:tabs>
          <w:tab w:val="clear" w:pos="425"/>
          <w:tab w:val="left" w:pos="426"/>
        </w:tabs>
        <w:rPr>
          <w:rFonts w:cs="Arial"/>
        </w:rPr>
      </w:pPr>
      <w:r>
        <w:rPr>
          <w:rFonts w:cs="Arial"/>
        </w:rPr>
        <w:t>Für genehmigungsbedürftige Anlagen sowie Anlagen der 27. BImSchV</w:t>
      </w:r>
    </w:p>
    <w:p>
      <w:pPr>
        <w:pStyle w:val="GesAbsatz"/>
        <w:tabs>
          <w:tab w:val="clear" w:pos="425"/>
          <w:tab w:val="left" w:pos="426"/>
        </w:tabs>
        <w:rPr>
          <w:rFonts w:cs="Arial"/>
        </w:rPr>
      </w:pPr>
      <w:r>
        <w:rPr>
          <w:rFonts w:cs="Arial"/>
        </w:rPr>
        <w:t>Messbereiche bei der Eignungsprüfung:</w:t>
      </w:r>
    </w:p>
    <w:p>
      <w:pPr>
        <w:pStyle w:val="GesAbsatz"/>
        <w:tabs>
          <w:tab w:val="clear" w:pos="425"/>
          <w:tab w:val="left" w:pos="426"/>
        </w:tabs>
        <w:rPr>
          <w:rFonts w:cs="Arial"/>
        </w:rPr>
      </w:pPr>
      <w:r>
        <w:rPr>
          <w:rFonts w:cs="Arial"/>
        </w:rPr>
        <w:t>Staub (Transmissionsmessung):</w:t>
      </w:r>
    </w:p>
    <w:p>
      <w:pPr>
        <w:pStyle w:val="GesAbsatz"/>
        <w:tabs>
          <w:tab w:val="clear" w:pos="425"/>
          <w:tab w:val="left" w:pos="426"/>
        </w:tabs>
        <w:rPr>
          <w:rFonts w:cs="Arial"/>
        </w:rPr>
      </w:pPr>
      <w:r>
        <w:rPr>
          <w:rFonts w:cs="Arial"/>
        </w:rPr>
        <w:t xml:space="preserve">0 – 0,1 Ext. </w:t>
      </w:r>
      <w:r>
        <w:rPr>
          <w:rFonts w:ascii="Lucida Sans Unicode" w:hAnsi="Lucida Sans Unicode" w:cs="Lucida Sans Unicode"/>
        </w:rPr>
        <w:t>≙</w:t>
      </w:r>
      <w:r>
        <w:rPr>
          <w:rFonts w:cs="Arial"/>
        </w:rPr>
        <w:t xml:space="preserve"> 15 mg/m³ Staub bei 5 m Messweglänge sowie</w:t>
      </w:r>
    </w:p>
    <w:p>
      <w:pPr>
        <w:pStyle w:val="GesAbsatz"/>
        <w:tabs>
          <w:tab w:val="clear" w:pos="425"/>
          <w:tab w:val="left" w:pos="426"/>
        </w:tabs>
        <w:rPr>
          <w:rFonts w:cs="Arial"/>
        </w:rPr>
      </w:pPr>
      <w:r>
        <w:rPr>
          <w:rFonts w:cs="Arial"/>
        </w:rPr>
        <w:t>0 – 0,05 Ext.</w:t>
      </w:r>
    </w:p>
    <w:p>
      <w:pPr>
        <w:pStyle w:val="GesAbsatz"/>
        <w:tabs>
          <w:tab w:val="clear" w:pos="425"/>
          <w:tab w:val="left" w:pos="426"/>
        </w:tabs>
        <w:rPr>
          <w:rFonts w:cs="Arial"/>
        </w:rPr>
      </w:pPr>
      <w:r>
        <w:rPr>
          <w:rFonts w:cs="Arial"/>
        </w:rPr>
        <w:t>0 – 0,2 Ext.</w:t>
      </w:r>
    </w:p>
    <w:p>
      <w:pPr>
        <w:pStyle w:val="GesAbsatz"/>
        <w:tabs>
          <w:tab w:val="clear" w:pos="425"/>
          <w:tab w:val="left" w:pos="426"/>
        </w:tabs>
        <w:rPr>
          <w:rFonts w:cs="Arial"/>
        </w:rPr>
      </w:pPr>
      <w:r>
        <w:rPr>
          <w:rFonts w:cs="Arial"/>
        </w:rPr>
        <w:t>0 – 0,5 Et.</w:t>
      </w:r>
    </w:p>
    <w:p>
      <w:pPr>
        <w:pStyle w:val="GesAbsatz"/>
        <w:tabs>
          <w:tab w:val="clear" w:pos="425"/>
          <w:tab w:val="left" w:pos="426"/>
        </w:tabs>
        <w:rPr>
          <w:rFonts w:cs="Arial"/>
        </w:rPr>
      </w:pPr>
      <w:r>
        <w:rPr>
          <w:rFonts w:cs="Arial"/>
        </w:rPr>
        <w:t>0 – 1,0 Ext.</w:t>
      </w:r>
    </w:p>
    <w:p>
      <w:pPr>
        <w:pStyle w:val="GesAbsatz"/>
        <w:tabs>
          <w:tab w:val="clear" w:pos="425"/>
          <w:tab w:val="left" w:pos="2268"/>
        </w:tabs>
        <w:rPr>
          <w:rFonts w:cs="Arial"/>
        </w:rPr>
      </w:pPr>
      <w:r>
        <w:rPr>
          <w:rFonts w:cs="Arial"/>
        </w:rPr>
        <w:t>Softwareversionen:</w:t>
      </w:r>
      <w:r>
        <w:rPr>
          <w:rFonts w:cs="Arial"/>
        </w:rPr>
        <w:tab/>
        <w:t>MCU: 1.026,</w:t>
      </w:r>
    </w:p>
    <w:p>
      <w:pPr>
        <w:pStyle w:val="GesAbsatz"/>
        <w:tabs>
          <w:tab w:val="clear" w:pos="425"/>
          <w:tab w:val="left" w:pos="2268"/>
        </w:tabs>
        <w:ind w:left="2268"/>
        <w:rPr>
          <w:rFonts w:cs="Arial"/>
        </w:rPr>
      </w:pPr>
      <w:r>
        <w:rPr>
          <w:rFonts w:cs="Arial"/>
        </w:rPr>
        <w:t>Sensor: 1.3.04,</w:t>
      </w:r>
    </w:p>
    <w:p>
      <w:pPr>
        <w:pStyle w:val="GesAbsatz"/>
        <w:tabs>
          <w:tab w:val="clear" w:pos="425"/>
          <w:tab w:val="left" w:pos="2268"/>
        </w:tabs>
        <w:ind w:left="2268"/>
        <w:rPr>
          <w:rFonts w:cs="Arial"/>
        </w:rPr>
      </w:pPr>
      <w:r>
        <w:rPr>
          <w:rFonts w:cs="Arial"/>
        </w:rPr>
        <w:t>SOPAS ET: 02.16</w:t>
      </w:r>
    </w:p>
    <w:p>
      <w:pPr>
        <w:pStyle w:val="GesAbsatz"/>
        <w:tabs>
          <w:tab w:val="clear" w:pos="425"/>
          <w:tab w:val="left" w:pos="426"/>
        </w:tabs>
        <w:rPr>
          <w:rFonts w:cs="Arial"/>
        </w:rPr>
      </w:pPr>
      <w:r>
        <w:rPr>
          <w:rFonts w:cs="Arial"/>
        </w:rPr>
        <w:t>Einschränkung:</w:t>
      </w:r>
    </w:p>
    <w:p>
      <w:pPr>
        <w:pStyle w:val="GesAbsatz"/>
        <w:tabs>
          <w:tab w:val="clear" w:pos="425"/>
          <w:tab w:val="left" w:pos="426"/>
        </w:tabs>
        <w:rPr>
          <w:rFonts w:cs="Arial"/>
        </w:rPr>
      </w:pPr>
      <w:r>
        <w:rPr>
          <w:rFonts w:cs="Arial"/>
        </w:rPr>
        <w:t>Die Messeinrichtung kann nur eingesetzt werden, wenn eine Unterschreitung des Taupunktes ausgeschlo</w:t>
      </w:r>
      <w:r>
        <w:rPr>
          <w:rFonts w:cs="Arial"/>
        </w:rPr>
        <w:t>s</w:t>
      </w:r>
      <w:r>
        <w:rPr>
          <w:rFonts w:cs="Arial"/>
        </w:rPr>
        <w:t>sen werden kann.</w:t>
      </w:r>
    </w:p>
    <w:p>
      <w:pPr>
        <w:pStyle w:val="GesAbsatz"/>
        <w:tabs>
          <w:tab w:val="clear" w:pos="425"/>
          <w:tab w:val="left" w:pos="426"/>
        </w:tabs>
        <w:rPr>
          <w:rFonts w:cs="Arial"/>
        </w:rPr>
      </w:pPr>
      <w:r>
        <w:rPr>
          <w:rFonts w:cs="Arial"/>
        </w:rPr>
        <w:t>Hinweise:</w:t>
      </w:r>
    </w:p>
    <w:p>
      <w:pPr>
        <w:pStyle w:val="GesAbsatz"/>
        <w:tabs>
          <w:tab w:val="clear" w:pos="425"/>
          <w:tab w:val="left" w:pos="426"/>
        </w:tabs>
        <w:rPr>
          <w:rFonts w:cs="Arial"/>
        </w:rPr>
      </w:pPr>
      <w:r>
        <w:rPr>
          <w:rFonts w:cs="Arial"/>
        </w:rPr>
        <w:t>1.</w:t>
      </w:r>
      <w:r>
        <w:rPr>
          <w:rFonts w:cs="Arial"/>
        </w:rPr>
        <w:tab/>
        <w:t>Das Wartungsintervall beträgt 3 Monate.</w:t>
      </w:r>
    </w:p>
    <w:p>
      <w:pPr>
        <w:pStyle w:val="GesAbsatz"/>
        <w:tabs>
          <w:tab w:val="clear" w:pos="425"/>
          <w:tab w:val="left" w:pos="426"/>
        </w:tabs>
        <w:rPr>
          <w:rFonts w:cs="Arial"/>
        </w:rPr>
      </w:pPr>
      <w:r>
        <w:rPr>
          <w:rFonts w:cs="Arial"/>
        </w:rPr>
        <w:t>2.</w:t>
      </w:r>
      <w:r>
        <w:rPr>
          <w:rFonts w:cs="Arial"/>
        </w:rPr>
        <w:tab/>
        <w:t>Die Staubkonzentration wird im feuchten Abgas unter Betriebsbedingungen gemessen.</w:t>
      </w:r>
    </w:p>
    <w:p>
      <w:pPr>
        <w:pStyle w:val="GesAbsatz"/>
        <w:tabs>
          <w:tab w:val="clear" w:pos="425"/>
          <w:tab w:val="left" w:pos="426"/>
        </w:tabs>
        <w:ind w:left="426" w:hanging="426"/>
        <w:rPr>
          <w:rFonts w:cs="Arial"/>
        </w:rPr>
      </w:pPr>
      <w:r>
        <w:rPr>
          <w:rFonts w:cs="Arial"/>
        </w:rPr>
        <w:t>3.</w:t>
      </w:r>
      <w:r>
        <w:rPr>
          <w:rFonts w:cs="Arial"/>
        </w:rPr>
        <w:tab/>
        <w:t>Ergänzungsprüfung zur Bekanntgabe des Umweltbundesamtes vom 12. August 2008 (BAnz. S. 3243) für die Messeinrichtung T200.</w:t>
      </w:r>
    </w:p>
    <w:p>
      <w:pPr>
        <w:pStyle w:val="GesAbsatz"/>
        <w:tabs>
          <w:tab w:val="clear" w:pos="425"/>
          <w:tab w:val="left" w:pos="426"/>
        </w:tabs>
        <w:ind w:left="426" w:hanging="426"/>
        <w:rPr>
          <w:rFonts w:cs="Arial"/>
        </w:rPr>
      </w:pPr>
      <w:r>
        <w:rPr>
          <w:rFonts w:cs="Arial"/>
        </w:rPr>
        <w:t>Prüfbericht:</w:t>
      </w:r>
    </w:p>
    <w:p>
      <w:pPr>
        <w:pStyle w:val="GesAbsatz"/>
        <w:tabs>
          <w:tab w:val="clear" w:pos="425"/>
          <w:tab w:val="left" w:pos="426"/>
        </w:tabs>
        <w:ind w:left="426" w:hanging="426"/>
        <w:rPr>
          <w:rFonts w:cs="Arial"/>
        </w:rPr>
      </w:pPr>
      <w:r>
        <w:rPr>
          <w:rFonts w:cs="Arial"/>
        </w:rPr>
        <w:t>TÜV Rheinland Immissionsschutz und Energiesysteme GmbH, Köln</w:t>
      </w:r>
    </w:p>
    <w:p>
      <w:pPr>
        <w:pStyle w:val="GesAbsatz"/>
        <w:tabs>
          <w:tab w:val="clear" w:pos="425"/>
          <w:tab w:val="left" w:pos="426"/>
        </w:tabs>
        <w:ind w:left="426" w:hanging="426"/>
        <w:rPr>
          <w:rFonts w:cs="Arial"/>
        </w:rPr>
      </w:pPr>
      <w:r>
        <w:rPr>
          <w:rFonts w:cs="Arial"/>
        </w:rPr>
        <w:t>Bericht-Nr.: 936/21207351/F vom 10. Oktober 2008</w:t>
      </w:r>
    </w:p>
    <w:p>
      <w:pPr>
        <w:pStyle w:val="berschrift3"/>
        <w:jc w:val="left"/>
      </w:pPr>
      <w:bookmarkStart w:id="9" w:name="_Toc210618593"/>
      <w:bookmarkStart w:id="10" w:name="_Toc225568906"/>
      <w:r>
        <w:t>2 Mehrkomponentenmesseinrichtungen</w:t>
      </w:r>
      <w:bookmarkEnd w:id="9"/>
      <w:bookmarkEnd w:id="10"/>
    </w:p>
    <w:p>
      <w:pPr>
        <w:pStyle w:val="GesAbsatz"/>
        <w:rPr>
          <w:b/>
        </w:rPr>
      </w:pPr>
      <w:r>
        <w:rPr>
          <w:b/>
        </w:rPr>
        <w:t>2.1 GM32 In-Situ-Gasanalysator, Ausführung Cross Duct für NO und SO</w:t>
      </w:r>
      <w:r>
        <w:rPr>
          <w:b/>
          <w:vertAlign w:val="subscript"/>
        </w:rPr>
        <w:t>2</w:t>
      </w:r>
    </w:p>
    <w:p>
      <w:pPr>
        <w:pStyle w:val="GesAbsatz"/>
      </w:pPr>
      <w:r>
        <w:t>Hersteller:</w:t>
      </w:r>
    </w:p>
    <w:p>
      <w:pPr>
        <w:pStyle w:val="GesAbsatz"/>
      </w:pPr>
      <w:r>
        <w:lastRenderedPageBreak/>
        <w:t>SICK MAIHAK GmbH, Reute</w:t>
      </w:r>
    </w:p>
    <w:p>
      <w:pPr>
        <w:pStyle w:val="GesAbsatz"/>
      </w:pPr>
      <w:r>
        <w:t>Eignung:</w:t>
      </w:r>
    </w:p>
    <w:p>
      <w:pPr>
        <w:pStyle w:val="GesAbsatz"/>
      </w:pPr>
      <w:r>
        <w:t>Für genehmigungsbedürftige Anlagen und Anlagen der 27. BImSchV</w:t>
      </w:r>
    </w:p>
    <w:p>
      <w:pPr>
        <w:pStyle w:val="GesAbsatz"/>
      </w:pPr>
      <w:r>
        <w:t>Messbereiche bei der Eignungsprüfung:</w:t>
      </w:r>
    </w:p>
    <w:tbl>
      <w:tblPr>
        <w:tblStyle w:val="Tabellenraster"/>
        <w:tblW w:w="0" w:type="auto"/>
        <w:tblLook w:val="01E0" w:firstRow="1" w:lastRow="1" w:firstColumn="1" w:lastColumn="1" w:noHBand="0" w:noVBand="0"/>
      </w:tblPr>
      <w:tblGrid>
        <w:gridCol w:w="2444"/>
        <w:gridCol w:w="1775"/>
        <w:gridCol w:w="1843"/>
        <w:gridCol w:w="1843"/>
      </w:tblGrid>
      <w:tr>
        <w:tc>
          <w:tcPr>
            <w:tcW w:w="2444" w:type="dxa"/>
          </w:tcPr>
          <w:p>
            <w:pPr>
              <w:pStyle w:val="GesAbsatz"/>
              <w:jc w:val="center"/>
            </w:pPr>
            <w:r>
              <w:t>Komponente</w:t>
            </w:r>
          </w:p>
        </w:tc>
        <w:tc>
          <w:tcPr>
            <w:tcW w:w="1775" w:type="dxa"/>
          </w:tcPr>
          <w:p>
            <w:pPr>
              <w:pStyle w:val="GesAbsatz"/>
              <w:jc w:val="center"/>
            </w:pPr>
            <w:r>
              <w:t>ZB 1</w:t>
            </w:r>
          </w:p>
        </w:tc>
        <w:tc>
          <w:tcPr>
            <w:tcW w:w="1843" w:type="dxa"/>
          </w:tcPr>
          <w:p>
            <w:pPr>
              <w:pStyle w:val="GesAbsatz"/>
              <w:jc w:val="center"/>
            </w:pPr>
            <w:r>
              <w:t>ZB 2</w:t>
            </w:r>
          </w:p>
        </w:tc>
        <w:tc>
          <w:tcPr>
            <w:tcW w:w="1843" w:type="dxa"/>
          </w:tcPr>
          <w:p>
            <w:pPr>
              <w:pStyle w:val="GesAbsatz"/>
              <w:jc w:val="center"/>
            </w:pPr>
            <w:r>
              <w:t>Einheit</w:t>
            </w:r>
          </w:p>
        </w:tc>
      </w:tr>
      <w:tr>
        <w:tc>
          <w:tcPr>
            <w:tcW w:w="2444" w:type="dxa"/>
          </w:tcPr>
          <w:p>
            <w:pPr>
              <w:pStyle w:val="GesAbsatz"/>
            </w:pPr>
            <w:r>
              <w:t>NO</w:t>
            </w:r>
          </w:p>
        </w:tc>
        <w:tc>
          <w:tcPr>
            <w:tcW w:w="1775" w:type="dxa"/>
          </w:tcPr>
          <w:p>
            <w:pPr>
              <w:pStyle w:val="GesAbsatz"/>
            </w:pPr>
            <w:r>
              <w:t xml:space="preserve">0 – 70 </w:t>
            </w:r>
            <w:r>
              <w:rPr>
                <w:vertAlign w:val="superscript"/>
              </w:rPr>
              <w:t>*</w:t>
            </w:r>
          </w:p>
        </w:tc>
        <w:tc>
          <w:tcPr>
            <w:tcW w:w="1843" w:type="dxa"/>
          </w:tcPr>
          <w:p>
            <w:pPr>
              <w:pStyle w:val="GesAbsatz"/>
            </w:pPr>
            <w:r>
              <w:t xml:space="preserve">0 – 700 </w:t>
            </w:r>
            <w:r>
              <w:rPr>
                <w:vertAlign w:val="superscript"/>
              </w:rPr>
              <w:t>*</w:t>
            </w:r>
          </w:p>
        </w:tc>
        <w:tc>
          <w:tcPr>
            <w:tcW w:w="1843" w:type="dxa"/>
          </w:tcPr>
          <w:p>
            <w:pPr>
              <w:pStyle w:val="GesAbsatz"/>
            </w:pPr>
            <w:r>
              <w:t>mg/m³</w:t>
            </w:r>
          </w:p>
        </w:tc>
      </w:tr>
      <w:tr>
        <w:tc>
          <w:tcPr>
            <w:tcW w:w="2444" w:type="dxa"/>
          </w:tcPr>
          <w:p>
            <w:pPr>
              <w:pStyle w:val="GesAbsatz"/>
            </w:pPr>
            <w:r>
              <w:t>SO</w:t>
            </w:r>
            <w:r>
              <w:rPr>
                <w:vertAlign w:val="subscript"/>
              </w:rPr>
              <w:t>2</w:t>
            </w:r>
          </w:p>
        </w:tc>
        <w:tc>
          <w:tcPr>
            <w:tcW w:w="1775" w:type="dxa"/>
          </w:tcPr>
          <w:p>
            <w:pPr>
              <w:pStyle w:val="GesAbsatz"/>
            </w:pPr>
            <w:r>
              <w:t xml:space="preserve">0 – 75 </w:t>
            </w:r>
            <w:r>
              <w:rPr>
                <w:vertAlign w:val="superscript"/>
              </w:rPr>
              <w:t>*</w:t>
            </w:r>
          </w:p>
        </w:tc>
        <w:tc>
          <w:tcPr>
            <w:tcW w:w="1843" w:type="dxa"/>
          </w:tcPr>
          <w:p>
            <w:pPr>
              <w:pStyle w:val="GesAbsatz"/>
            </w:pPr>
            <w:r>
              <w:t xml:space="preserve">0 – 1000 </w:t>
            </w:r>
            <w:r>
              <w:rPr>
                <w:vertAlign w:val="superscript"/>
              </w:rPr>
              <w:t>*</w:t>
            </w:r>
          </w:p>
        </w:tc>
        <w:tc>
          <w:tcPr>
            <w:tcW w:w="1843" w:type="dxa"/>
          </w:tcPr>
          <w:p>
            <w:pPr>
              <w:pStyle w:val="GesAbsatz"/>
            </w:pPr>
            <w:r>
              <w:t>mg/m³</w:t>
            </w:r>
          </w:p>
        </w:tc>
      </w:tr>
      <w:tr>
        <w:tc>
          <w:tcPr>
            <w:tcW w:w="7905" w:type="dxa"/>
            <w:gridSpan w:val="4"/>
          </w:tcPr>
          <w:p>
            <w:pPr>
              <w:pStyle w:val="GesAbsatz"/>
              <w:rPr>
                <w:sz w:val="16"/>
                <w:szCs w:val="16"/>
              </w:rPr>
            </w:pPr>
            <w:r>
              <w:rPr>
                <w:sz w:val="16"/>
                <w:szCs w:val="16"/>
              </w:rPr>
              <w:t>ZB = Zertifizierungsbereich</w:t>
            </w:r>
          </w:p>
          <w:p>
            <w:pPr>
              <w:pStyle w:val="GesAbsatz"/>
            </w:pPr>
            <w:r>
              <w:rPr>
                <w:vertAlign w:val="superscript"/>
              </w:rPr>
              <w:t>*</w:t>
            </w:r>
            <w:r>
              <w:t xml:space="preserve"> </w:t>
            </w:r>
            <w:r>
              <w:rPr>
                <w:sz w:val="16"/>
                <w:szCs w:val="16"/>
              </w:rPr>
              <w:t>bei einer aktiven Mes</w:t>
            </w:r>
            <w:r>
              <w:rPr>
                <w:sz w:val="16"/>
                <w:szCs w:val="16"/>
              </w:rPr>
              <w:t>s</w:t>
            </w:r>
            <w:r>
              <w:rPr>
                <w:sz w:val="16"/>
                <w:szCs w:val="16"/>
              </w:rPr>
              <w:t>weglänge von 1,86 m</w:t>
            </w:r>
          </w:p>
        </w:tc>
      </w:tr>
    </w:tbl>
    <w:p>
      <w:pPr>
        <w:pStyle w:val="GesAbsatz"/>
      </w:pPr>
    </w:p>
    <w:p>
      <w:pPr>
        <w:pStyle w:val="GesAbsatz"/>
      </w:pPr>
      <w:r>
        <w:t>bzw.</w:t>
      </w:r>
    </w:p>
    <w:p>
      <w:pPr>
        <w:pStyle w:val="GesAbsatz"/>
      </w:pPr>
    </w:p>
    <w:tbl>
      <w:tblPr>
        <w:tblStyle w:val="Tabellenraster"/>
        <w:tblW w:w="0" w:type="auto"/>
        <w:tblLook w:val="01E0" w:firstRow="1" w:lastRow="1" w:firstColumn="1" w:lastColumn="1" w:noHBand="0" w:noVBand="0"/>
      </w:tblPr>
      <w:tblGrid>
        <w:gridCol w:w="2444"/>
        <w:gridCol w:w="1775"/>
        <w:gridCol w:w="1843"/>
        <w:gridCol w:w="1843"/>
      </w:tblGrid>
      <w:tr>
        <w:tc>
          <w:tcPr>
            <w:tcW w:w="2444" w:type="dxa"/>
          </w:tcPr>
          <w:p>
            <w:pPr>
              <w:pStyle w:val="GesAbsatz"/>
              <w:jc w:val="center"/>
            </w:pPr>
            <w:r>
              <w:t>Komponente</w:t>
            </w:r>
          </w:p>
        </w:tc>
        <w:tc>
          <w:tcPr>
            <w:tcW w:w="1775" w:type="dxa"/>
          </w:tcPr>
          <w:p>
            <w:pPr>
              <w:pStyle w:val="GesAbsatz"/>
              <w:jc w:val="center"/>
            </w:pPr>
            <w:r>
              <w:t>ZB 1</w:t>
            </w:r>
          </w:p>
        </w:tc>
        <w:tc>
          <w:tcPr>
            <w:tcW w:w="1843" w:type="dxa"/>
          </w:tcPr>
          <w:p>
            <w:pPr>
              <w:pStyle w:val="GesAbsatz"/>
              <w:jc w:val="center"/>
            </w:pPr>
            <w:r>
              <w:t>ZB 2</w:t>
            </w:r>
          </w:p>
        </w:tc>
        <w:tc>
          <w:tcPr>
            <w:tcW w:w="1843" w:type="dxa"/>
          </w:tcPr>
          <w:p>
            <w:pPr>
              <w:pStyle w:val="GesAbsatz"/>
              <w:jc w:val="center"/>
            </w:pPr>
            <w:r>
              <w:t>Einheit</w:t>
            </w:r>
          </w:p>
        </w:tc>
      </w:tr>
      <w:tr>
        <w:tc>
          <w:tcPr>
            <w:tcW w:w="2444" w:type="dxa"/>
          </w:tcPr>
          <w:p>
            <w:pPr>
              <w:pStyle w:val="GesAbsatz"/>
            </w:pPr>
            <w:r>
              <w:t>NO</w:t>
            </w:r>
          </w:p>
        </w:tc>
        <w:tc>
          <w:tcPr>
            <w:tcW w:w="1775" w:type="dxa"/>
          </w:tcPr>
          <w:p>
            <w:pPr>
              <w:pStyle w:val="GesAbsatz"/>
            </w:pPr>
            <w:r>
              <w:t xml:space="preserve">0 – 130,2 </w:t>
            </w:r>
            <w:r>
              <w:rPr>
                <w:vertAlign w:val="superscript"/>
              </w:rPr>
              <w:t>*</w:t>
            </w:r>
          </w:p>
        </w:tc>
        <w:tc>
          <w:tcPr>
            <w:tcW w:w="1843" w:type="dxa"/>
          </w:tcPr>
          <w:p>
            <w:pPr>
              <w:pStyle w:val="GesAbsatz"/>
            </w:pPr>
            <w:r>
              <w:t xml:space="preserve">0 – 1302 </w:t>
            </w:r>
            <w:r>
              <w:rPr>
                <w:vertAlign w:val="superscript"/>
              </w:rPr>
              <w:t>*</w:t>
            </w:r>
          </w:p>
        </w:tc>
        <w:tc>
          <w:tcPr>
            <w:tcW w:w="1843" w:type="dxa"/>
          </w:tcPr>
          <w:p>
            <w:pPr>
              <w:pStyle w:val="GesAbsatz"/>
            </w:pPr>
            <w:r>
              <w:t>mg/m³</w:t>
            </w:r>
          </w:p>
        </w:tc>
      </w:tr>
      <w:tr>
        <w:tc>
          <w:tcPr>
            <w:tcW w:w="2444" w:type="dxa"/>
          </w:tcPr>
          <w:p>
            <w:pPr>
              <w:pStyle w:val="GesAbsatz"/>
            </w:pPr>
            <w:r>
              <w:t>SO</w:t>
            </w:r>
            <w:r>
              <w:rPr>
                <w:vertAlign w:val="subscript"/>
              </w:rPr>
              <w:t>2</w:t>
            </w:r>
          </w:p>
        </w:tc>
        <w:tc>
          <w:tcPr>
            <w:tcW w:w="1775" w:type="dxa"/>
          </w:tcPr>
          <w:p>
            <w:pPr>
              <w:pStyle w:val="GesAbsatz"/>
            </w:pPr>
            <w:r>
              <w:t xml:space="preserve">0 – 139,5 </w:t>
            </w:r>
            <w:r>
              <w:rPr>
                <w:vertAlign w:val="superscript"/>
              </w:rPr>
              <w:t>*</w:t>
            </w:r>
          </w:p>
        </w:tc>
        <w:tc>
          <w:tcPr>
            <w:tcW w:w="1843" w:type="dxa"/>
          </w:tcPr>
          <w:p>
            <w:pPr>
              <w:pStyle w:val="GesAbsatz"/>
            </w:pPr>
            <w:r>
              <w:t xml:space="preserve">0 – 1860 </w:t>
            </w:r>
            <w:r>
              <w:rPr>
                <w:vertAlign w:val="superscript"/>
              </w:rPr>
              <w:t>*</w:t>
            </w:r>
          </w:p>
        </w:tc>
        <w:tc>
          <w:tcPr>
            <w:tcW w:w="1843" w:type="dxa"/>
          </w:tcPr>
          <w:p>
            <w:pPr>
              <w:pStyle w:val="GesAbsatz"/>
            </w:pPr>
            <w:r>
              <w:t>mg/m³</w:t>
            </w:r>
          </w:p>
        </w:tc>
      </w:tr>
      <w:tr>
        <w:tc>
          <w:tcPr>
            <w:tcW w:w="7905" w:type="dxa"/>
            <w:gridSpan w:val="4"/>
          </w:tcPr>
          <w:p>
            <w:pPr>
              <w:pStyle w:val="GesAbsatz"/>
              <w:rPr>
                <w:sz w:val="16"/>
                <w:szCs w:val="16"/>
              </w:rPr>
            </w:pPr>
            <w:r>
              <w:rPr>
                <w:sz w:val="16"/>
                <w:szCs w:val="16"/>
              </w:rPr>
              <w:t>ZB = Zertifizierungsbereich</w:t>
            </w:r>
          </w:p>
          <w:p>
            <w:pPr>
              <w:pStyle w:val="GesAbsatz"/>
            </w:pPr>
            <w:r>
              <w:rPr>
                <w:vertAlign w:val="superscript"/>
              </w:rPr>
              <w:t>*</w:t>
            </w:r>
            <w:r>
              <w:t xml:space="preserve"> </w:t>
            </w:r>
            <w:r>
              <w:rPr>
                <w:sz w:val="16"/>
                <w:szCs w:val="16"/>
              </w:rPr>
              <w:t>bei einer aktiven Mes</w:t>
            </w:r>
            <w:r>
              <w:rPr>
                <w:sz w:val="16"/>
                <w:szCs w:val="16"/>
              </w:rPr>
              <w:t>s</w:t>
            </w:r>
            <w:r>
              <w:rPr>
                <w:sz w:val="16"/>
                <w:szCs w:val="16"/>
              </w:rPr>
              <w:t>weglänge von 1,00 m</w:t>
            </w:r>
          </w:p>
        </w:tc>
      </w:tr>
    </w:tbl>
    <w:p>
      <w:pPr>
        <w:pStyle w:val="GesAbsatz"/>
      </w:pPr>
    </w:p>
    <w:p>
      <w:pPr>
        <w:pStyle w:val="GesAbsatz"/>
        <w:tabs>
          <w:tab w:val="left" w:pos="2268"/>
        </w:tabs>
      </w:pPr>
      <w:r>
        <w:t>Softwareversionen:</w:t>
      </w:r>
      <w:r>
        <w:tab/>
        <w:t>GM32: 9125967 S928,</w:t>
      </w:r>
    </w:p>
    <w:p>
      <w:pPr>
        <w:pStyle w:val="GesAbsatz"/>
        <w:tabs>
          <w:tab w:val="left" w:pos="2268"/>
        </w:tabs>
        <w:ind w:left="2268"/>
      </w:pPr>
      <w:r>
        <w:t>SOPAS ET: 02.16</w:t>
      </w:r>
    </w:p>
    <w:p>
      <w:pPr>
        <w:pStyle w:val="GesAbsatz"/>
      </w:pPr>
      <w:r>
        <w:t>Hinweise:</w:t>
      </w:r>
    </w:p>
    <w:p>
      <w:pPr>
        <w:pStyle w:val="GesAbsatz"/>
        <w:ind w:left="426" w:hanging="426"/>
      </w:pPr>
      <w:r>
        <w:t>1.</w:t>
      </w:r>
      <w:r>
        <w:tab/>
        <w:t>Es wurde die Gerätevariante „</w:t>
      </w:r>
      <w:r>
        <w:rPr>
          <w:lang w:val="en-GB"/>
        </w:rPr>
        <w:t>Comfort</w:t>
      </w:r>
      <w:r>
        <w:t>“ geprüft. Die Gerätevariante „Pro“ entspricht hard- und softwar</w:t>
      </w:r>
      <w:r>
        <w:t>e</w:t>
      </w:r>
      <w:r>
        <w:t>technisch vollständig der geprüften Konfiguration – sie beinhaltet lediglich pro Komponente nur 1 statt 2 Messbereiche. Gemäß Typenschlüssel wird die Variante „</w:t>
      </w:r>
      <w:r>
        <w:rPr>
          <w:lang w:val="en-GB"/>
        </w:rPr>
        <w:t>Comfort</w:t>
      </w:r>
      <w:r>
        <w:t>“ mit „C“ und die Variante „Pro“ mit „P“ b</w:t>
      </w:r>
      <w:r>
        <w:t>e</w:t>
      </w:r>
      <w:r>
        <w:t>nannt.</w:t>
      </w:r>
    </w:p>
    <w:p>
      <w:pPr>
        <w:pStyle w:val="GesAbsatz"/>
        <w:ind w:left="426" w:hanging="426"/>
      </w:pPr>
      <w:r>
        <w:t>2.</w:t>
      </w:r>
      <w:r>
        <w:tab/>
        <w:t>Im Rahmen der laufenden Qualitätssicherung im Betrieb gemäß QAL3 der Richtlinie DIN EN 14181 kann zur regelmäßigen Überprüfung von Null- und Referenzpunkt auf die Signale des internen Kontrol</w:t>
      </w:r>
      <w:r>
        <w:t>l</w:t>
      </w:r>
      <w:r>
        <w:t>zyklus zurückgegriffen werden. Werden hier unzulässige Überschreitungen festgestellt, dann erfolgt analog der jährlichen Funktionsprüfung (AST) eine Überprüfung der Messeinrichtung mit Hilfe einer an die örtlichen Verhältnisse angepassten Nullpunktvergleichsstrecke sowie eines Filterkastens.</w:t>
      </w:r>
    </w:p>
    <w:p>
      <w:pPr>
        <w:pStyle w:val="GesAbsatz"/>
        <w:ind w:left="426" w:hanging="426"/>
      </w:pPr>
      <w:r>
        <w:t>3.</w:t>
      </w:r>
      <w:r>
        <w:tab/>
        <w:t>Die Eignungsprüfung umfasst folgende Gerätevariationen (Messkomponenten):</w:t>
      </w:r>
    </w:p>
    <w:p>
      <w:pPr>
        <w:pStyle w:val="GesAbsatz"/>
        <w:ind w:left="426" w:hanging="426"/>
      </w:pPr>
    </w:p>
    <w:tbl>
      <w:tblPr>
        <w:tblStyle w:val="Tabellenraster"/>
        <w:tblW w:w="0" w:type="auto"/>
        <w:tblInd w:w="534" w:type="dxa"/>
        <w:tblLook w:val="01E0" w:firstRow="1" w:lastRow="1" w:firstColumn="1" w:lastColumn="1" w:noHBand="0" w:noVBand="0"/>
      </w:tblPr>
      <w:tblGrid>
        <w:gridCol w:w="3936"/>
        <w:gridCol w:w="1811"/>
        <w:gridCol w:w="1843"/>
      </w:tblGrid>
      <w:tr>
        <w:tc>
          <w:tcPr>
            <w:tcW w:w="3936" w:type="dxa"/>
          </w:tcPr>
          <w:p>
            <w:pPr>
              <w:pStyle w:val="GesAbsatz"/>
              <w:jc w:val="center"/>
            </w:pPr>
            <w:r>
              <w:t>Geräte-Benennung gemäß Ty</w:t>
            </w:r>
            <w:r>
              <w:t>p</w:t>
            </w:r>
            <w:r>
              <w:t>schlüssel</w:t>
            </w:r>
          </w:p>
        </w:tc>
        <w:tc>
          <w:tcPr>
            <w:tcW w:w="1811" w:type="dxa"/>
          </w:tcPr>
          <w:p>
            <w:pPr>
              <w:pStyle w:val="GesAbsatz"/>
              <w:jc w:val="center"/>
            </w:pPr>
            <w:r>
              <w:t>NO</w:t>
            </w:r>
          </w:p>
        </w:tc>
        <w:tc>
          <w:tcPr>
            <w:tcW w:w="1843" w:type="dxa"/>
          </w:tcPr>
          <w:p>
            <w:pPr>
              <w:pStyle w:val="GesAbsatz"/>
              <w:jc w:val="center"/>
            </w:pPr>
            <w:r>
              <w:t>SO</w:t>
            </w:r>
            <w:r>
              <w:rPr>
                <w:vertAlign w:val="subscript"/>
              </w:rPr>
              <w:t>2</w:t>
            </w:r>
          </w:p>
        </w:tc>
      </w:tr>
      <w:tr>
        <w:tc>
          <w:tcPr>
            <w:tcW w:w="3936" w:type="dxa"/>
          </w:tcPr>
          <w:p>
            <w:pPr>
              <w:pStyle w:val="GesAbsatz"/>
            </w:pPr>
            <w:r>
              <w:t>C1 oder P1</w:t>
            </w:r>
          </w:p>
        </w:tc>
        <w:tc>
          <w:tcPr>
            <w:tcW w:w="1811" w:type="dxa"/>
          </w:tcPr>
          <w:p>
            <w:pPr>
              <w:pStyle w:val="GesAbsatz"/>
            </w:pPr>
          </w:p>
        </w:tc>
        <w:tc>
          <w:tcPr>
            <w:tcW w:w="1843" w:type="dxa"/>
          </w:tcPr>
          <w:p>
            <w:pPr>
              <w:pStyle w:val="GesAbsatz"/>
            </w:pPr>
            <w:r>
              <w:t>X</w:t>
            </w:r>
          </w:p>
        </w:tc>
      </w:tr>
      <w:tr>
        <w:tc>
          <w:tcPr>
            <w:tcW w:w="3936" w:type="dxa"/>
          </w:tcPr>
          <w:p>
            <w:pPr>
              <w:pStyle w:val="GesAbsatz"/>
            </w:pPr>
            <w:r>
              <w:t>C2 oder P2</w:t>
            </w:r>
          </w:p>
        </w:tc>
        <w:tc>
          <w:tcPr>
            <w:tcW w:w="1811" w:type="dxa"/>
          </w:tcPr>
          <w:p>
            <w:pPr>
              <w:pStyle w:val="GesAbsatz"/>
            </w:pPr>
            <w:r>
              <w:t>X</w:t>
            </w:r>
          </w:p>
        </w:tc>
        <w:tc>
          <w:tcPr>
            <w:tcW w:w="1843" w:type="dxa"/>
          </w:tcPr>
          <w:p>
            <w:pPr>
              <w:pStyle w:val="GesAbsatz"/>
            </w:pPr>
            <w:r>
              <w:t>X</w:t>
            </w:r>
          </w:p>
        </w:tc>
      </w:tr>
      <w:tr>
        <w:tc>
          <w:tcPr>
            <w:tcW w:w="3936" w:type="dxa"/>
          </w:tcPr>
          <w:p>
            <w:pPr>
              <w:pStyle w:val="GesAbsatz"/>
            </w:pPr>
            <w:r>
              <w:t>C4 oder P4</w:t>
            </w:r>
          </w:p>
        </w:tc>
        <w:tc>
          <w:tcPr>
            <w:tcW w:w="1811" w:type="dxa"/>
          </w:tcPr>
          <w:p>
            <w:pPr>
              <w:pStyle w:val="GesAbsatz"/>
            </w:pPr>
            <w:r>
              <w:t>X</w:t>
            </w:r>
          </w:p>
        </w:tc>
        <w:tc>
          <w:tcPr>
            <w:tcW w:w="1843" w:type="dxa"/>
          </w:tcPr>
          <w:p>
            <w:pPr>
              <w:pStyle w:val="GesAbsatz"/>
            </w:pPr>
          </w:p>
        </w:tc>
      </w:tr>
    </w:tbl>
    <w:p>
      <w:pPr>
        <w:pStyle w:val="GesAbsatz"/>
        <w:ind w:left="426" w:hanging="426"/>
      </w:pPr>
    </w:p>
    <w:p>
      <w:pPr>
        <w:pStyle w:val="GesAbsatz"/>
        <w:ind w:left="426"/>
      </w:pPr>
      <w:r>
        <w:t>„C“ = Gerätevariante „</w:t>
      </w:r>
      <w:r>
        <w:rPr>
          <w:lang w:val="en-GB"/>
        </w:rPr>
        <w:t>Comfort</w:t>
      </w:r>
      <w:r>
        <w:t>“</w:t>
      </w:r>
    </w:p>
    <w:p>
      <w:pPr>
        <w:pStyle w:val="GesAbsatz"/>
        <w:ind w:left="426"/>
      </w:pPr>
      <w:r>
        <w:t>„P“ = Gerätevariante „Pro“</w:t>
      </w:r>
    </w:p>
    <w:p>
      <w:pPr>
        <w:pStyle w:val="GesAbsatz"/>
      </w:pPr>
      <w:r>
        <w:t>Prüfbericht:</w:t>
      </w:r>
    </w:p>
    <w:p>
      <w:pPr>
        <w:pStyle w:val="GesAbsatz"/>
      </w:pPr>
      <w:r>
        <w:t>TÜV Rheinland Immissionsschutz und Energiesysteme GmbH, Köln</w:t>
      </w:r>
    </w:p>
    <w:p>
      <w:pPr>
        <w:pStyle w:val="GesAbsatz"/>
      </w:pPr>
      <w:r>
        <w:t>Bericht-Nr.: 936/21209185/A vom 7. Oktober 2008</w:t>
      </w:r>
    </w:p>
    <w:p>
      <w:pPr>
        <w:pStyle w:val="GesAbsatz"/>
        <w:rPr>
          <w:b/>
          <w:lang w:val="en-GB"/>
        </w:rPr>
      </w:pPr>
      <w:r>
        <w:rPr>
          <w:b/>
          <w:lang w:val="en-GB"/>
        </w:rPr>
        <w:t xml:space="preserve">2.2 MCS 100 FT </w:t>
      </w:r>
      <w:r>
        <w:rPr>
          <w:b/>
        </w:rPr>
        <w:t xml:space="preserve">für </w:t>
      </w:r>
      <w:r>
        <w:rPr>
          <w:b/>
          <w:lang w:val="en-GB"/>
        </w:rPr>
        <w:t>CO, SO</w:t>
      </w:r>
      <w:r>
        <w:rPr>
          <w:b/>
          <w:vertAlign w:val="subscript"/>
          <w:lang w:val="en-GB"/>
        </w:rPr>
        <w:t>2</w:t>
      </w:r>
      <w:r>
        <w:rPr>
          <w:b/>
          <w:lang w:val="en-GB"/>
        </w:rPr>
        <w:t>, NO, NO</w:t>
      </w:r>
      <w:r>
        <w:rPr>
          <w:b/>
          <w:vertAlign w:val="subscript"/>
          <w:lang w:val="en-GB"/>
        </w:rPr>
        <w:t>2</w:t>
      </w:r>
      <w:r>
        <w:rPr>
          <w:b/>
          <w:lang w:val="en-GB"/>
        </w:rPr>
        <w:t>, HCl, HF, CH</w:t>
      </w:r>
      <w:r>
        <w:rPr>
          <w:b/>
          <w:vertAlign w:val="subscript"/>
          <w:lang w:val="en-GB"/>
        </w:rPr>
        <w:t>4</w:t>
      </w:r>
      <w:r>
        <w:rPr>
          <w:b/>
          <w:lang w:val="en-GB"/>
        </w:rPr>
        <w:t>, CO</w:t>
      </w:r>
      <w:r>
        <w:rPr>
          <w:b/>
          <w:vertAlign w:val="subscript"/>
          <w:lang w:val="en-GB"/>
        </w:rPr>
        <w:t>2</w:t>
      </w:r>
      <w:r>
        <w:rPr>
          <w:b/>
          <w:lang w:val="en-GB"/>
        </w:rPr>
        <w:t>, H</w:t>
      </w:r>
      <w:r>
        <w:rPr>
          <w:b/>
          <w:vertAlign w:val="subscript"/>
          <w:lang w:val="en-GB"/>
        </w:rPr>
        <w:t>2</w:t>
      </w:r>
      <w:r>
        <w:rPr>
          <w:b/>
          <w:lang w:val="en-GB"/>
        </w:rPr>
        <w:t>O und N</w:t>
      </w:r>
      <w:r>
        <w:rPr>
          <w:b/>
          <w:vertAlign w:val="subscript"/>
          <w:lang w:val="en-GB"/>
        </w:rPr>
        <w:t>2</w:t>
      </w:r>
      <w:r>
        <w:rPr>
          <w:b/>
          <w:lang w:val="en-GB"/>
        </w:rPr>
        <w:t>O</w:t>
      </w:r>
    </w:p>
    <w:p>
      <w:pPr>
        <w:pStyle w:val="GesAbsatz"/>
      </w:pPr>
      <w:r>
        <w:t>Hersteller:</w:t>
      </w:r>
    </w:p>
    <w:p>
      <w:pPr>
        <w:pStyle w:val="GesAbsatz"/>
      </w:pPr>
      <w:r>
        <w:lastRenderedPageBreak/>
        <w:t>SICK MAIHAK GmbH, Meersburg</w:t>
      </w:r>
    </w:p>
    <w:p>
      <w:pPr>
        <w:pStyle w:val="GesAbsatz"/>
      </w:pPr>
      <w:r>
        <w:t>Eignung:</w:t>
      </w:r>
    </w:p>
    <w:p>
      <w:pPr>
        <w:pStyle w:val="GesAbsatz"/>
      </w:pPr>
      <w:r>
        <w:t>Für genehmigungsbedürftige Anlagen sowie Anlagen der 27. BImSchV</w:t>
      </w:r>
    </w:p>
    <w:p>
      <w:pPr>
        <w:pStyle w:val="GesAbsatz"/>
      </w:pPr>
      <w:r>
        <w:t>Messbereiche bei der Eignungsprüfung:</w:t>
      </w:r>
    </w:p>
    <w:tbl>
      <w:tblPr>
        <w:tblStyle w:val="Tabellenraster"/>
        <w:tblW w:w="0" w:type="auto"/>
        <w:tblLook w:val="01E0" w:firstRow="1" w:lastRow="1" w:firstColumn="1" w:lastColumn="1" w:noHBand="0" w:noVBand="0"/>
      </w:tblPr>
      <w:tblGrid>
        <w:gridCol w:w="2444"/>
        <w:gridCol w:w="1775"/>
        <w:gridCol w:w="1843"/>
        <w:gridCol w:w="1843"/>
      </w:tblGrid>
      <w:tr>
        <w:tc>
          <w:tcPr>
            <w:tcW w:w="2444" w:type="dxa"/>
          </w:tcPr>
          <w:p>
            <w:pPr>
              <w:pStyle w:val="GesAbsatz"/>
              <w:jc w:val="center"/>
            </w:pPr>
            <w:r>
              <w:t>Komponente</w:t>
            </w:r>
          </w:p>
        </w:tc>
        <w:tc>
          <w:tcPr>
            <w:tcW w:w="1775" w:type="dxa"/>
          </w:tcPr>
          <w:p>
            <w:pPr>
              <w:pStyle w:val="GesAbsatz"/>
              <w:jc w:val="center"/>
            </w:pPr>
            <w:r>
              <w:t>ZB 1</w:t>
            </w:r>
          </w:p>
        </w:tc>
        <w:tc>
          <w:tcPr>
            <w:tcW w:w="1843" w:type="dxa"/>
          </w:tcPr>
          <w:p>
            <w:pPr>
              <w:pStyle w:val="GesAbsatz"/>
              <w:jc w:val="center"/>
            </w:pPr>
            <w:r>
              <w:t>ZB 2</w:t>
            </w:r>
          </w:p>
        </w:tc>
        <w:tc>
          <w:tcPr>
            <w:tcW w:w="1843" w:type="dxa"/>
          </w:tcPr>
          <w:p>
            <w:pPr>
              <w:pStyle w:val="GesAbsatz"/>
              <w:jc w:val="center"/>
            </w:pPr>
            <w:r>
              <w:t>Einheit</w:t>
            </w:r>
          </w:p>
        </w:tc>
      </w:tr>
      <w:tr>
        <w:tc>
          <w:tcPr>
            <w:tcW w:w="2444" w:type="dxa"/>
          </w:tcPr>
          <w:p>
            <w:pPr>
              <w:pStyle w:val="GesAbsatz"/>
            </w:pPr>
            <w:r>
              <w:t>CO</w:t>
            </w:r>
          </w:p>
        </w:tc>
        <w:tc>
          <w:tcPr>
            <w:tcW w:w="1775" w:type="dxa"/>
          </w:tcPr>
          <w:p>
            <w:pPr>
              <w:pStyle w:val="GesAbsatz"/>
            </w:pPr>
            <w:r>
              <w:t>0 - 75</w:t>
            </w:r>
          </w:p>
        </w:tc>
        <w:tc>
          <w:tcPr>
            <w:tcW w:w="1843" w:type="dxa"/>
          </w:tcPr>
          <w:p>
            <w:pPr>
              <w:pStyle w:val="GesAbsatz"/>
            </w:pPr>
            <w:r>
              <w:t>0 – 300</w:t>
            </w:r>
          </w:p>
        </w:tc>
        <w:tc>
          <w:tcPr>
            <w:tcW w:w="1843" w:type="dxa"/>
          </w:tcPr>
          <w:p>
            <w:pPr>
              <w:pStyle w:val="GesAbsatz"/>
            </w:pPr>
            <w:r>
              <w:t>mg/m³</w:t>
            </w:r>
          </w:p>
        </w:tc>
      </w:tr>
      <w:tr>
        <w:tc>
          <w:tcPr>
            <w:tcW w:w="2444" w:type="dxa"/>
          </w:tcPr>
          <w:p>
            <w:pPr>
              <w:pStyle w:val="GesAbsatz"/>
            </w:pPr>
            <w:r>
              <w:t>SO</w:t>
            </w:r>
            <w:r>
              <w:rPr>
                <w:vertAlign w:val="subscript"/>
              </w:rPr>
              <w:t>2</w:t>
            </w:r>
          </w:p>
        </w:tc>
        <w:tc>
          <w:tcPr>
            <w:tcW w:w="1775" w:type="dxa"/>
          </w:tcPr>
          <w:p>
            <w:pPr>
              <w:pStyle w:val="GesAbsatz"/>
            </w:pPr>
            <w:r>
              <w:t>0 – 75</w:t>
            </w:r>
          </w:p>
        </w:tc>
        <w:tc>
          <w:tcPr>
            <w:tcW w:w="1843" w:type="dxa"/>
          </w:tcPr>
          <w:p>
            <w:pPr>
              <w:pStyle w:val="GesAbsatz"/>
            </w:pPr>
            <w:r>
              <w:t>0 – 300</w:t>
            </w:r>
          </w:p>
        </w:tc>
        <w:tc>
          <w:tcPr>
            <w:tcW w:w="1843" w:type="dxa"/>
          </w:tcPr>
          <w:p>
            <w:pPr>
              <w:pStyle w:val="GesAbsatz"/>
            </w:pPr>
            <w:r>
              <w:t>mg/m³</w:t>
            </w:r>
          </w:p>
        </w:tc>
      </w:tr>
      <w:tr>
        <w:tc>
          <w:tcPr>
            <w:tcW w:w="2444" w:type="dxa"/>
          </w:tcPr>
          <w:p>
            <w:pPr>
              <w:pStyle w:val="GesAbsatz"/>
            </w:pPr>
            <w:r>
              <w:t>NO</w:t>
            </w:r>
          </w:p>
        </w:tc>
        <w:tc>
          <w:tcPr>
            <w:tcW w:w="1775" w:type="dxa"/>
          </w:tcPr>
          <w:p>
            <w:pPr>
              <w:pStyle w:val="GesAbsatz"/>
            </w:pPr>
            <w:r>
              <w:t>0 – 200</w:t>
            </w:r>
          </w:p>
        </w:tc>
        <w:tc>
          <w:tcPr>
            <w:tcW w:w="1843" w:type="dxa"/>
          </w:tcPr>
          <w:p>
            <w:pPr>
              <w:pStyle w:val="GesAbsatz"/>
            </w:pPr>
            <w:r>
              <w:t>0 – 400</w:t>
            </w:r>
          </w:p>
        </w:tc>
        <w:tc>
          <w:tcPr>
            <w:tcW w:w="1843" w:type="dxa"/>
          </w:tcPr>
          <w:p>
            <w:pPr>
              <w:pStyle w:val="GesAbsatz"/>
            </w:pPr>
            <w:r>
              <w:t>mg/m³</w:t>
            </w:r>
          </w:p>
        </w:tc>
      </w:tr>
      <w:tr>
        <w:tc>
          <w:tcPr>
            <w:tcW w:w="2444" w:type="dxa"/>
          </w:tcPr>
          <w:p>
            <w:pPr>
              <w:pStyle w:val="GesAbsatz"/>
            </w:pPr>
            <w:r>
              <w:t>NO</w:t>
            </w:r>
            <w:r>
              <w:rPr>
                <w:vertAlign w:val="subscript"/>
              </w:rPr>
              <w:t>2</w:t>
            </w:r>
          </w:p>
        </w:tc>
        <w:tc>
          <w:tcPr>
            <w:tcW w:w="1775" w:type="dxa"/>
          </w:tcPr>
          <w:p>
            <w:pPr>
              <w:pStyle w:val="GesAbsatz"/>
            </w:pPr>
            <w:r>
              <w:t>0 – 100</w:t>
            </w:r>
          </w:p>
        </w:tc>
        <w:tc>
          <w:tcPr>
            <w:tcW w:w="1843" w:type="dxa"/>
          </w:tcPr>
          <w:p>
            <w:pPr>
              <w:pStyle w:val="GesAbsatz"/>
            </w:pPr>
          </w:p>
        </w:tc>
        <w:tc>
          <w:tcPr>
            <w:tcW w:w="1843" w:type="dxa"/>
          </w:tcPr>
          <w:p>
            <w:pPr>
              <w:pStyle w:val="GesAbsatz"/>
            </w:pPr>
            <w:r>
              <w:t>mg/m³</w:t>
            </w:r>
          </w:p>
        </w:tc>
      </w:tr>
      <w:tr>
        <w:tc>
          <w:tcPr>
            <w:tcW w:w="2444" w:type="dxa"/>
          </w:tcPr>
          <w:p>
            <w:pPr>
              <w:pStyle w:val="GesAbsatz"/>
            </w:pPr>
            <w:r>
              <w:t>HCl</w:t>
            </w:r>
          </w:p>
        </w:tc>
        <w:tc>
          <w:tcPr>
            <w:tcW w:w="1775" w:type="dxa"/>
          </w:tcPr>
          <w:p>
            <w:pPr>
              <w:pStyle w:val="GesAbsatz"/>
            </w:pPr>
            <w:r>
              <w:t>0 – 15</w:t>
            </w:r>
          </w:p>
        </w:tc>
        <w:tc>
          <w:tcPr>
            <w:tcW w:w="1843" w:type="dxa"/>
          </w:tcPr>
          <w:p>
            <w:pPr>
              <w:pStyle w:val="GesAbsatz"/>
            </w:pPr>
            <w:r>
              <w:t>0 – 90</w:t>
            </w:r>
          </w:p>
        </w:tc>
        <w:tc>
          <w:tcPr>
            <w:tcW w:w="1843" w:type="dxa"/>
          </w:tcPr>
          <w:p>
            <w:pPr>
              <w:pStyle w:val="GesAbsatz"/>
            </w:pPr>
            <w:r>
              <w:t>mg/m³</w:t>
            </w:r>
          </w:p>
        </w:tc>
      </w:tr>
      <w:tr>
        <w:tc>
          <w:tcPr>
            <w:tcW w:w="2444" w:type="dxa"/>
          </w:tcPr>
          <w:p>
            <w:pPr>
              <w:pStyle w:val="GesAbsatz"/>
            </w:pPr>
            <w:r>
              <w:t>HF</w:t>
            </w:r>
          </w:p>
        </w:tc>
        <w:tc>
          <w:tcPr>
            <w:tcW w:w="1775" w:type="dxa"/>
          </w:tcPr>
          <w:p>
            <w:pPr>
              <w:pStyle w:val="GesAbsatz"/>
            </w:pPr>
            <w:r>
              <w:t>0 – 3</w:t>
            </w:r>
          </w:p>
        </w:tc>
        <w:tc>
          <w:tcPr>
            <w:tcW w:w="1843" w:type="dxa"/>
          </w:tcPr>
          <w:p>
            <w:pPr>
              <w:pStyle w:val="GesAbsatz"/>
            </w:pPr>
            <w:r>
              <w:t>0 – 10</w:t>
            </w:r>
          </w:p>
        </w:tc>
        <w:tc>
          <w:tcPr>
            <w:tcW w:w="1843" w:type="dxa"/>
          </w:tcPr>
          <w:p>
            <w:pPr>
              <w:pStyle w:val="GesAbsatz"/>
            </w:pPr>
            <w:r>
              <w:t>mg/m³</w:t>
            </w:r>
          </w:p>
        </w:tc>
      </w:tr>
      <w:tr>
        <w:tc>
          <w:tcPr>
            <w:tcW w:w="2444" w:type="dxa"/>
          </w:tcPr>
          <w:p>
            <w:pPr>
              <w:pStyle w:val="GesAbsatz"/>
            </w:pPr>
            <w:r>
              <w:t>CH</w:t>
            </w:r>
            <w:r>
              <w:rPr>
                <w:vertAlign w:val="subscript"/>
              </w:rPr>
              <w:t>4</w:t>
            </w:r>
          </w:p>
        </w:tc>
        <w:tc>
          <w:tcPr>
            <w:tcW w:w="1775" w:type="dxa"/>
          </w:tcPr>
          <w:p>
            <w:pPr>
              <w:pStyle w:val="GesAbsatz"/>
            </w:pPr>
            <w:r>
              <w:t>0 – 50</w:t>
            </w:r>
          </w:p>
        </w:tc>
        <w:tc>
          <w:tcPr>
            <w:tcW w:w="1843" w:type="dxa"/>
          </w:tcPr>
          <w:p>
            <w:pPr>
              <w:pStyle w:val="GesAbsatz"/>
            </w:pPr>
          </w:p>
        </w:tc>
        <w:tc>
          <w:tcPr>
            <w:tcW w:w="1843" w:type="dxa"/>
          </w:tcPr>
          <w:p>
            <w:pPr>
              <w:pStyle w:val="GesAbsatz"/>
            </w:pPr>
            <w:r>
              <w:t>mg/m³</w:t>
            </w:r>
          </w:p>
        </w:tc>
      </w:tr>
      <w:tr>
        <w:tc>
          <w:tcPr>
            <w:tcW w:w="2444" w:type="dxa"/>
          </w:tcPr>
          <w:p>
            <w:pPr>
              <w:pStyle w:val="GesAbsatz"/>
            </w:pPr>
            <w:r>
              <w:t>CO</w:t>
            </w:r>
            <w:r>
              <w:rPr>
                <w:vertAlign w:val="subscript"/>
              </w:rPr>
              <w:t>2</w:t>
            </w:r>
          </w:p>
        </w:tc>
        <w:tc>
          <w:tcPr>
            <w:tcW w:w="1775" w:type="dxa"/>
          </w:tcPr>
          <w:p>
            <w:pPr>
              <w:pStyle w:val="GesAbsatz"/>
            </w:pPr>
            <w:r>
              <w:t>0 – 25</w:t>
            </w:r>
          </w:p>
        </w:tc>
        <w:tc>
          <w:tcPr>
            <w:tcW w:w="1843" w:type="dxa"/>
          </w:tcPr>
          <w:p>
            <w:pPr>
              <w:pStyle w:val="GesAbsatz"/>
            </w:pPr>
          </w:p>
        </w:tc>
        <w:tc>
          <w:tcPr>
            <w:tcW w:w="1843" w:type="dxa"/>
          </w:tcPr>
          <w:p>
            <w:pPr>
              <w:pStyle w:val="GesAbsatz"/>
            </w:pPr>
            <w:r>
              <w:t>Vol.-%</w:t>
            </w:r>
          </w:p>
        </w:tc>
      </w:tr>
      <w:tr>
        <w:tc>
          <w:tcPr>
            <w:tcW w:w="2444" w:type="dxa"/>
          </w:tcPr>
          <w:p>
            <w:pPr>
              <w:pStyle w:val="GesAbsatz"/>
            </w:pPr>
            <w:r>
              <w:t>H</w:t>
            </w:r>
            <w:r>
              <w:rPr>
                <w:vertAlign w:val="subscript"/>
              </w:rPr>
              <w:t>2</w:t>
            </w:r>
            <w:r>
              <w:t>O</w:t>
            </w:r>
          </w:p>
        </w:tc>
        <w:tc>
          <w:tcPr>
            <w:tcW w:w="1775" w:type="dxa"/>
          </w:tcPr>
          <w:p>
            <w:pPr>
              <w:pStyle w:val="GesAbsatz"/>
            </w:pPr>
            <w:r>
              <w:t>0 - 40</w:t>
            </w:r>
          </w:p>
        </w:tc>
        <w:tc>
          <w:tcPr>
            <w:tcW w:w="1843" w:type="dxa"/>
          </w:tcPr>
          <w:p>
            <w:pPr>
              <w:pStyle w:val="GesAbsatz"/>
            </w:pPr>
          </w:p>
        </w:tc>
        <w:tc>
          <w:tcPr>
            <w:tcW w:w="1843" w:type="dxa"/>
          </w:tcPr>
          <w:p>
            <w:pPr>
              <w:pStyle w:val="GesAbsatz"/>
            </w:pPr>
            <w:r>
              <w:t>Vol.-%</w:t>
            </w:r>
          </w:p>
        </w:tc>
      </w:tr>
      <w:tr>
        <w:tc>
          <w:tcPr>
            <w:tcW w:w="2444" w:type="dxa"/>
          </w:tcPr>
          <w:p>
            <w:pPr>
              <w:pStyle w:val="GesAbsatz"/>
            </w:pPr>
            <w:r>
              <w:t>N</w:t>
            </w:r>
            <w:r>
              <w:rPr>
                <w:vertAlign w:val="subscript"/>
              </w:rPr>
              <w:t>2</w:t>
            </w:r>
            <w:r>
              <w:t>O</w:t>
            </w:r>
          </w:p>
        </w:tc>
        <w:tc>
          <w:tcPr>
            <w:tcW w:w="1775" w:type="dxa"/>
          </w:tcPr>
          <w:p>
            <w:pPr>
              <w:pStyle w:val="GesAbsatz"/>
            </w:pPr>
            <w:r>
              <w:t>0 – 50</w:t>
            </w:r>
          </w:p>
        </w:tc>
        <w:tc>
          <w:tcPr>
            <w:tcW w:w="1843" w:type="dxa"/>
          </w:tcPr>
          <w:p>
            <w:pPr>
              <w:pStyle w:val="GesAbsatz"/>
            </w:pPr>
          </w:p>
        </w:tc>
        <w:tc>
          <w:tcPr>
            <w:tcW w:w="1843" w:type="dxa"/>
          </w:tcPr>
          <w:p>
            <w:pPr>
              <w:pStyle w:val="GesAbsatz"/>
            </w:pPr>
            <w:r>
              <w:t>mg/m³</w:t>
            </w:r>
          </w:p>
        </w:tc>
      </w:tr>
      <w:tr>
        <w:tc>
          <w:tcPr>
            <w:tcW w:w="7905" w:type="dxa"/>
            <w:gridSpan w:val="4"/>
          </w:tcPr>
          <w:p>
            <w:pPr>
              <w:pStyle w:val="GesAbsatz"/>
              <w:rPr>
                <w:sz w:val="16"/>
                <w:szCs w:val="16"/>
              </w:rPr>
            </w:pPr>
            <w:r>
              <w:rPr>
                <w:sz w:val="16"/>
                <w:szCs w:val="16"/>
              </w:rPr>
              <w:t>ZB = Zertifizierungsbereich</w:t>
            </w:r>
          </w:p>
        </w:tc>
      </w:tr>
    </w:tbl>
    <w:p>
      <w:pPr>
        <w:pStyle w:val="GesAbsatz"/>
      </w:pPr>
    </w:p>
    <w:p>
      <w:pPr>
        <w:pStyle w:val="GesAbsatz"/>
        <w:tabs>
          <w:tab w:val="left" w:pos="2268"/>
        </w:tabs>
      </w:pPr>
      <w:r>
        <w:t>Softwareversionen:</w:t>
      </w:r>
      <w:r>
        <w:tab/>
        <w:t>MCS 100 FT Firmware 9114688_000,</w:t>
      </w:r>
    </w:p>
    <w:p>
      <w:pPr>
        <w:pStyle w:val="GesAbsatz"/>
        <w:tabs>
          <w:tab w:val="left" w:pos="2268"/>
        </w:tabs>
        <w:ind w:left="2268"/>
      </w:pPr>
      <w:r>
        <w:t>SCU Installationspaket 9125028_000</w:t>
      </w:r>
    </w:p>
    <w:p>
      <w:pPr>
        <w:pStyle w:val="GesAbsatz"/>
      </w:pPr>
      <w:r>
        <w:t>Hinweise:</w:t>
      </w:r>
    </w:p>
    <w:p>
      <w:pPr>
        <w:pStyle w:val="GesAbsatz"/>
      </w:pPr>
      <w:r>
        <w:t>1.</w:t>
      </w:r>
      <w:r>
        <w:tab/>
        <w:t>Die Messeinrichtung gibt die Messwerte bezogen auf trockenes Abgas unter Normbedingungen aus.</w:t>
      </w:r>
    </w:p>
    <w:p>
      <w:pPr>
        <w:pStyle w:val="GesAbsatz"/>
      </w:pPr>
      <w:r>
        <w:t>2.</w:t>
      </w:r>
      <w:r>
        <w:tab/>
        <w:t>Das Wartungsintervall beträgt 3 Monate.</w:t>
      </w:r>
    </w:p>
    <w:p>
      <w:pPr>
        <w:pStyle w:val="GesAbsatz"/>
        <w:ind w:left="426" w:hanging="426"/>
      </w:pPr>
      <w:r>
        <w:t>3.</w:t>
      </w:r>
      <w:r>
        <w:tab/>
        <w:t>Für die Komponenten NO</w:t>
      </w:r>
      <w:r>
        <w:rPr>
          <w:vertAlign w:val="subscript"/>
        </w:rPr>
        <w:t>2</w:t>
      </w:r>
      <w:r>
        <w:t xml:space="preserve"> und HCl wurde die Anforderung bei der Eignungsprüfung nach DIN EN 15267-3 an den Korrelationskoeffizienten R</w:t>
      </w:r>
      <w:r>
        <w:rPr>
          <w:vertAlign w:val="superscript"/>
        </w:rPr>
        <w:t>2</w:t>
      </w:r>
      <w:r>
        <w:t xml:space="preserve"> bei jeweils einer von vier Kalibrierfunktionen nicht erfüllt.</w:t>
      </w:r>
    </w:p>
    <w:p>
      <w:pPr>
        <w:pStyle w:val="GesAbsatz"/>
        <w:ind w:left="426" w:hanging="426"/>
      </w:pPr>
      <w:r>
        <w:t>4.</w:t>
      </w:r>
      <w:r>
        <w:tab/>
        <w:t>Für die Komponenten CO und HF wurden die Anforderungen bei der Eignungsprüfung nach DIN EN 15267-3 an die Gesamtunsicherheit nicht erfüllt.</w:t>
      </w:r>
    </w:p>
    <w:p>
      <w:pPr>
        <w:pStyle w:val="GesAbsatz"/>
      </w:pPr>
      <w:r>
        <w:t>Prüfbericht:</w:t>
      </w:r>
    </w:p>
    <w:p>
      <w:pPr>
        <w:pStyle w:val="GesAbsatz"/>
      </w:pPr>
      <w:r>
        <w:t>TÜV Rheinland Immissionsschutz und Energiesysteme GmbH, Köln</w:t>
      </w:r>
    </w:p>
    <w:p>
      <w:pPr>
        <w:pStyle w:val="GesAbsatz"/>
      </w:pPr>
      <w:r>
        <w:t>Bericht-Nr.: 936/21206925A vom 20. Oktober 2008</w:t>
      </w:r>
    </w:p>
    <w:p>
      <w:pPr>
        <w:pStyle w:val="GesAbsatz"/>
        <w:rPr>
          <w:b/>
        </w:rPr>
      </w:pPr>
      <w:r>
        <w:rPr>
          <w:b/>
        </w:rPr>
        <w:t>2.3 LaserGas II für H</w:t>
      </w:r>
      <w:r>
        <w:rPr>
          <w:b/>
          <w:vertAlign w:val="subscript"/>
        </w:rPr>
        <w:t>2</w:t>
      </w:r>
      <w:r>
        <w:rPr>
          <w:b/>
        </w:rPr>
        <w:t>O und NH</w:t>
      </w:r>
      <w:r>
        <w:rPr>
          <w:b/>
          <w:vertAlign w:val="subscript"/>
        </w:rPr>
        <w:t>3</w:t>
      </w:r>
    </w:p>
    <w:p>
      <w:pPr>
        <w:pStyle w:val="GesAbsatz"/>
      </w:pPr>
      <w:r>
        <w:t>Hersteller:</w:t>
      </w:r>
    </w:p>
    <w:p>
      <w:pPr>
        <w:pStyle w:val="GesAbsatz"/>
        <w:rPr>
          <w:lang w:val="it-IT"/>
        </w:rPr>
      </w:pPr>
      <w:r>
        <w:rPr>
          <w:lang w:val="it-IT"/>
        </w:rPr>
        <w:t xml:space="preserve">NEO </w:t>
      </w:r>
      <w:r>
        <w:rPr>
          <w:lang w:val="en-GB"/>
        </w:rPr>
        <w:t>Monitors</w:t>
      </w:r>
      <w:r>
        <w:rPr>
          <w:lang w:val="it-IT"/>
        </w:rPr>
        <w:t xml:space="preserve"> AS, Lorenskog/</w:t>
      </w:r>
      <w:r>
        <w:t>Norwegen</w:t>
      </w:r>
    </w:p>
    <w:p>
      <w:pPr>
        <w:pStyle w:val="GesAbsatz"/>
      </w:pPr>
      <w:r>
        <w:t>Eignung:</w:t>
      </w:r>
    </w:p>
    <w:p>
      <w:pPr>
        <w:pStyle w:val="GesAbsatz"/>
      </w:pPr>
      <w:r>
        <w:t>Für genehmigungsbedürftige Anlagen und Anlagen der 27. BImSchV</w:t>
      </w:r>
    </w:p>
    <w:p>
      <w:pPr>
        <w:pStyle w:val="GesAbsatz"/>
      </w:pPr>
      <w:r>
        <w:t>Messbereiche bei der Eignungsprüfung:</w:t>
      </w:r>
    </w:p>
    <w:p>
      <w:pPr>
        <w:pStyle w:val="GesAbsatz"/>
        <w:tabs>
          <w:tab w:val="clear" w:pos="425"/>
          <w:tab w:val="left" w:pos="1701"/>
        </w:tabs>
      </w:pPr>
      <w:r>
        <w:t>NH</w:t>
      </w:r>
      <w:r>
        <w:rPr>
          <w:vertAlign w:val="subscript"/>
        </w:rPr>
        <w:t>3</w:t>
      </w:r>
      <w:r>
        <w:tab/>
        <w:t>0 - 10 mg/m</w:t>
      </w:r>
      <w:r>
        <w:rPr>
          <w:vertAlign w:val="superscript"/>
        </w:rPr>
        <w:t>3</w:t>
      </w:r>
      <w:r>
        <w:t>*</w:t>
      </w:r>
    </w:p>
    <w:p>
      <w:pPr>
        <w:pStyle w:val="GesAbsatz"/>
        <w:tabs>
          <w:tab w:val="clear" w:pos="425"/>
          <w:tab w:val="left" w:pos="1701"/>
        </w:tabs>
      </w:pPr>
      <w:r>
        <w:tab/>
        <w:t>0 - 15 mg/m³*</w:t>
      </w:r>
    </w:p>
    <w:p>
      <w:pPr>
        <w:pStyle w:val="GesAbsatz"/>
        <w:tabs>
          <w:tab w:val="clear" w:pos="425"/>
          <w:tab w:val="left" w:pos="1701"/>
        </w:tabs>
      </w:pPr>
      <w:r>
        <w:t>H</w:t>
      </w:r>
      <w:r>
        <w:rPr>
          <w:vertAlign w:val="subscript"/>
        </w:rPr>
        <w:t>2</w:t>
      </w:r>
      <w:r>
        <w:t>O</w:t>
      </w:r>
      <w:r>
        <w:tab/>
        <w:t>0 - 30 Vol.-%*</w:t>
      </w:r>
    </w:p>
    <w:p>
      <w:pPr>
        <w:pStyle w:val="GesAbsatz"/>
        <w:tabs>
          <w:tab w:val="clear" w:pos="425"/>
          <w:tab w:val="left" w:pos="1701"/>
        </w:tabs>
      </w:pPr>
      <w:r>
        <w:tab/>
        <w:t>0 - 40 Vol.-%*</w:t>
      </w:r>
    </w:p>
    <w:p>
      <w:pPr>
        <w:pStyle w:val="GesAbsatz"/>
        <w:tabs>
          <w:tab w:val="clear" w:pos="425"/>
          <w:tab w:val="left" w:pos="1701"/>
        </w:tabs>
      </w:pPr>
      <w:r>
        <w:tab/>
        <w:t>0 - 50 Vol.-%*</w:t>
      </w:r>
    </w:p>
    <w:p>
      <w:pPr>
        <w:pStyle w:val="GesAbsatz"/>
        <w:tabs>
          <w:tab w:val="clear" w:pos="425"/>
          <w:tab w:val="left" w:pos="1701"/>
        </w:tabs>
      </w:pPr>
      <w:r>
        <w:t>____________</w:t>
      </w:r>
    </w:p>
    <w:p>
      <w:pPr>
        <w:pStyle w:val="GesAbsatz"/>
        <w:tabs>
          <w:tab w:val="clear" w:pos="425"/>
          <w:tab w:val="left" w:pos="1701"/>
        </w:tabs>
      </w:pPr>
      <w:r>
        <w:t xml:space="preserve">* </w:t>
      </w:r>
      <w:r>
        <w:rPr>
          <w:sz w:val="18"/>
          <w:szCs w:val="18"/>
        </w:rPr>
        <w:t>bei einer aktiven Messweglänge von 1,00 m</w:t>
      </w:r>
    </w:p>
    <w:p>
      <w:pPr>
        <w:pStyle w:val="GesAbsatz"/>
        <w:tabs>
          <w:tab w:val="left" w:pos="2268"/>
        </w:tabs>
      </w:pPr>
      <w:r>
        <w:lastRenderedPageBreak/>
        <w:t>Softwareversionen:</w:t>
      </w:r>
      <w:r>
        <w:tab/>
        <w:t>GM6.1c1 und gmw61 Version V.1.2.5.1</w:t>
      </w:r>
    </w:p>
    <w:p>
      <w:pPr>
        <w:pStyle w:val="GesAbsatz"/>
      </w:pPr>
      <w:r>
        <w:t>Hinweise:</w:t>
      </w:r>
    </w:p>
    <w:p>
      <w:pPr>
        <w:pStyle w:val="GesAbsatz"/>
        <w:ind w:left="426" w:hanging="426"/>
      </w:pPr>
      <w:r>
        <w:t>1.</w:t>
      </w:r>
      <w:r>
        <w:tab/>
        <w:t>Die Messweglänge betrug im Labortest 0,513 m.</w:t>
      </w:r>
    </w:p>
    <w:p>
      <w:pPr>
        <w:pStyle w:val="GesAbsatz"/>
        <w:ind w:left="426" w:hanging="426"/>
      </w:pPr>
      <w:r>
        <w:t>2.</w:t>
      </w:r>
      <w:r>
        <w:tab/>
        <w:t>Die Messweglänge betrug im Feldtest 1,0 m.</w:t>
      </w:r>
    </w:p>
    <w:p>
      <w:pPr>
        <w:pStyle w:val="GesAbsatz"/>
        <w:ind w:left="426" w:hanging="426"/>
      </w:pPr>
      <w:r>
        <w:t>3.</w:t>
      </w:r>
      <w:r>
        <w:tab/>
        <w:t>Für die Überprüfung von NH</w:t>
      </w:r>
      <w:r>
        <w:rPr>
          <w:vertAlign w:val="subscript"/>
        </w:rPr>
        <w:t>3</w:t>
      </w:r>
      <w:r>
        <w:t xml:space="preserve"> können trockene Prüfgase in Verbindung mit einer unbeheizten Messga</w:t>
      </w:r>
      <w:r>
        <w:t>s</w:t>
      </w:r>
      <w:r>
        <w:t>zelle eingesetzt werden.</w:t>
      </w:r>
    </w:p>
    <w:p>
      <w:pPr>
        <w:pStyle w:val="GesAbsatz"/>
        <w:ind w:left="426" w:hanging="426"/>
      </w:pPr>
      <w:r>
        <w:t>4.</w:t>
      </w:r>
      <w:r>
        <w:tab/>
        <w:t>Das Wartungsintervall beträgt 6 Monate.</w:t>
      </w:r>
    </w:p>
    <w:p>
      <w:pPr>
        <w:pStyle w:val="GesAbsatz"/>
        <w:ind w:left="426" w:hanging="426"/>
      </w:pPr>
      <w:r>
        <w:t>5.</w:t>
      </w:r>
      <w:r>
        <w:tab/>
        <w:t>Bestandteil der Messeinrichtung ist eine interne Zelle zur automatischen Referenzpunktkontrolle von NH</w:t>
      </w:r>
      <w:r>
        <w:rPr>
          <w:vertAlign w:val="subscript"/>
        </w:rPr>
        <w:t>3</w:t>
      </w:r>
      <w:r>
        <w:t>.</w:t>
      </w:r>
    </w:p>
    <w:p>
      <w:pPr>
        <w:pStyle w:val="GesAbsatz"/>
        <w:ind w:left="426" w:hanging="426"/>
      </w:pPr>
      <w:r>
        <w:t>6.</w:t>
      </w:r>
      <w:r>
        <w:tab/>
        <w:t>Ergänzungsprüfung zu den Bekanntgaben des Umweltbundesamtes vom 14. Februar 2008 (BAnz. S. 901) und vom 12. August 2008 (BAnz. S. 3244).</w:t>
      </w:r>
    </w:p>
    <w:p>
      <w:pPr>
        <w:pStyle w:val="GesAbsatz"/>
      </w:pPr>
      <w:r>
        <w:t>Prüfbericht:</w:t>
      </w:r>
    </w:p>
    <w:p>
      <w:pPr>
        <w:pStyle w:val="GesAbsatz"/>
      </w:pPr>
      <w:r>
        <w:t>TÜV Rheinland Immissionsschutz und Energiesysteme GmbH, Köln</w:t>
      </w:r>
    </w:p>
    <w:p>
      <w:pPr>
        <w:pStyle w:val="GesAbsatz"/>
      </w:pPr>
      <w:r>
        <w:t xml:space="preserve">TÜV Rheinland Group </w:t>
      </w:r>
    </w:p>
    <w:p>
      <w:pPr>
        <w:pStyle w:val="GesAbsatz"/>
      </w:pPr>
      <w:r>
        <w:t>Bericht-Nr.: 936/21205655/C vom 1. Oktober 2008</w:t>
      </w:r>
    </w:p>
    <w:p>
      <w:pPr>
        <w:pStyle w:val="GesAbsatz"/>
        <w:rPr>
          <w:b/>
          <w:lang w:val="en-GB"/>
        </w:rPr>
      </w:pPr>
      <w:r>
        <w:rPr>
          <w:b/>
          <w:lang w:val="en-GB"/>
        </w:rPr>
        <w:t xml:space="preserve">2.4 MIR 9000 CLD-OPTION </w:t>
      </w:r>
      <w:r>
        <w:rPr>
          <w:b/>
        </w:rPr>
        <w:t>für</w:t>
      </w:r>
      <w:r>
        <w:rPr>
          <w:b/>
          <w:lang w:val="en-GB"/>
        </w:rPr>
        <w:t xml:space="preserve"> NO, NO</w:t>
      </w:r>
      <w:r>
        <w:rPr>
          <w:b/>
          <w:vertAlign w:val="subscript"/>
          <w:lang w:val="en-GB"/>
        </w:rPr>
        <w:t>x</w:t>
      </w:r>
      <w:r>
        <w:rPr>
          <w:b/>
          <w:lang w:val="en-GB"/>
        </w:rPr>
        <w:t>, NO</w:t>
      </w:r>
      <w:r>
        <w:rPr>
          <w:b/>
          <w:vertAlign w:val="subscript"/>
          <w:lang w:val="en-GB"/>
        </w:rPr>
        <w:t>2</w:t>
      </w:r>
      <w:r>
        <w:rPr>
          <w:b/>
          <w:lang w:val="en-GB"/>
        </w:rPr>
        <w:t>, CO</w:t>
      </w:r>
      <w:r>
        <w:rPr>
          <w:b/>
          <w:vertAlign w:val="subscript"/>
          <w:lang w:val="en-GB"/>
        </w:rPr>
        <w:t>2</w:t>
      </w:r>
      <w:r>
        <w:rPr>
          <w:b/>
          <w:lang w:val="en-GB"/>
        </w:rPr>
        <w:t xml:space="preserve"> O</w:t>
      </w:r>
      <w:r>
        <w:rPr>
          <w:b/>
          <w:vertAlign w:val="subscript"/>
          <w:lang w:val="en-GB"/>
        </w:rPr>
        <w:t>2</w:t>
      </w:r>
      <w:r>
        <w:rPr>
          <w:b/>
          <w:lang w:val="en-GB"/>
        </w:rPr>
        <w:t>, N</w:t>
      </w:r>
      <w:r>
        <w:rPr>
          <w:b/>
          <w:vertAlign w:val="subscript"/>
          <w:lang w:val="en-GB"/>
        </w:rPr>
        <w:t>2</w:t>
      </w:r>
      <w:r>
        <w:rPr>
          <w:b/>
          <w:lang w:val="en-GB"/>
        </w:rPr>
        <w:t>O und CH</w:t>
      </w:r>
      <w:r>
        <w:rPr>
          <w:b/>
          <w:vertAlign w:val="subscript"/>
          <w:lang w:val="en-GB"/>
        </w:rPr>
        <w:t>4</w:t>
      </w:r>
    </w:p>
    <w:p>
      <w:pPr>
        <w:pStyle w:val="GesAbsatz"/>
      </w:pPr>
      <w:r>
        <w:t>Hersteller:</w:t>
      </w:r>
    </w:p>
    <w:p>
      <w:pPr>
        <w:pStyle w:val="GesAbsatz"/>
      </w:pPr>
      <w:r>
        <w:t>Environnement S.A., Poissy Cedex/Frankreich</w:t>
      </w:r>
    </w:p>
    <w:p>
      <w:pPr>
        <w:pStyle w:val="GesAbsatz"/>
      </w:pPr>
      <w:r>
        <w:t>Eignung:</w:t>
      </w:r>
    </w:p>
    <w:p>
      <w:pPr>
        <w:pStyle w:val="GesAbsatz"/>
      </w:pPr>
      <w:r>
        <w:t>Für genehmigungsbedürftige Anlagen und Anlagen der 27. BImSchV</w:t>
      </w:r>
    </w:p>
    <w:p>
      <w:pPr>
        <w:pStyle w:val="GesAbsatz"/>
      </w:pPr>
      <w:r>
        <w:t>Messbereiche bei der Eignungsprüfung:</w:t>
      </w:r>
    </w:p>
    <w:p>
      <w:pPr>
        <w:pStyle w:val="GesAbsatz"/>
        <w:tabs>
          <w:tab w:val="clear" w:pos="425"/>
          <w:tab w:val="left" w:pos="1701"/>
        </w:tabs>
      </w:pPr>
    </w:p>
    <w:tbl>
      <w:tblPr>
        <w:tblStyle w:val="Tabellenraster"/>
        <w:tblW w:w="0" w:type="auto"/>
        <w:tblLook w:val="01E0" w:firstRow="1" w:lastRow="1" w:firstColumn="1" w:lastColumn="1" w:noHBand="0" w:noVBand="0"/>
      </w:tblPr>
      <w:tblGrid>
        <w:gridCol w:w="2444"/>
        <w:gridCol w:w="1775"/>
        <w:gridCol w:w="1843"/>
        <w:gridCol w:w="1843"/>
      </w:tblGrid>
      <w:tr>
        <w:tc>
          <w:tcPr>
            <w:tcW w:w="2444" w:type="dxa"/>
          </w:tcPr>
          <w:p>
            <w:pPr>
              <w:pStyle w:val="GesAbsatz"/>
              <w:jc w:val="center"/>
            </w:pPr>
            <w:r>
              <w:t>Komponente</w:t>
            </w:r>
          </w:p>
        </w:tc>
        <w:tc>
          <w:tcPr>
            <w:tcW w:w="1775" w:type="dxa"/>
          </w:tcPr>
          <w:p>
            <w:pPr>
              <w:pStyle w:val="GesAbsatz"/>
              <w:jc w:val="center"/>
            </w:pPr>
            <w:r>
              <w:t>ZB 1</w:t>
            </w:r>
          </w:p>
        </w:tc>
        <w:tc>
          <w:tcPr>
            <w:tcW w:w="1843" w:type="dxa"/>
          </w:tcPr>
          <w:p>
            <w:pPr>
              <w:pStyle w:val="GesAbsatz"/>
              <w:jc w:val="center"/>
            </w:pPr>
            <w:r>
              <w:t>ZB 2</w:t>
            </w:r>
          </w:p>
        </w:tc>
        <w:tc>
          <w:tcPr>
            <w:tcW w:w="1843" w:type="dxa"/>
          </w:tcPr>
          <w:p>
            <w:pPr>
              <w:pStyle w:val="GesAbsatz"/>
              <w:jc w:val="center"/>
            </w:pPr>
            <w:r>
              <w:t>Einheit</w:t>
            </w:r>
          </w:p>
        </w:tc>
      </w:tr>
      <w:tr>
        <w:tc>
          <w:tcPr>
            <w:tcW w:w="2444" w:type="dxa"/>
          </w:tcPr>
          <w:p>
            <w:pPr>
              <w:pStyle w:val="GesAbsatz"/>
            </w:pPr>
            <w:r>
              <w:t>NO/NO</w:t>
            </w:r>
            <w:r>
              <w:rPr>
                <w:vertAlign w:val="subscript"/>
              </w:rPr>
              <w:t>x</w:t>
            </w:r>
          </w:p>
        </w:tc>
        <w:tc>
          <w:tcPr>
            <w:tcW w:w="1775" w:type="dxa"/>
          </w:tcPr>
          <w:p>
            <w:pPr>
              <w:pStyle w:val="GesAbsatz"/>
            </w:pPr>
            <w:r>
              <w:t>0 – 20</w:t>
            </w:r>
          </w:p>
        </w:tc>
        <w:tc>
          <w:tcPr>
            <w:tcW w:w="1843" w:type="dxa"/>
          </w:tcPr>
          <w:p>
            <w:pPr>
              <w:pStyle w:val="GesAbsatz"/>
            </w:pPr>
            <w:r>
              <w:t>0 – 2000</w:t>
            </w:r>
          </w:p>
        </w:tc>
        <w:tc>
          <w:tcPr>
            <w:tcW w:w="1843" w:type="dxa"/>
          </w:tcPr>
          <w:p>
            <w:pPr>
              <w:pStyle w:val="GesAbsatz"/>
            </w:pPr>
            <w:r>
              <w:t>mg/m³</w:t>
            </w:r>
          </w:p>
        </w:tc>
      </w:tr>
      <w:tr>
        <w:tc>
          <w:tcPr>
            <w:tcW w:w="2444" w:type="dxa"/>
          </w:tcPr>
          <w:p>
            <w:pPr>
              <w:pStyle w:val="GesAbsatz"/>
            </w:pPr>
            <w:r>
              <w:t>NO</w:t>
            </w:r>
            <w:r>
              <w:rPr>
                <w:vertAlign w:val="subscript"/>
              </w:rPr>
              <w:t>2</w:t>
            </w:r>
          </w:p>
        </w:tc>
        <w:tc>
          <w:tcPr>
            <w:tcW w:w="1775" w:type="dxa"/>
          </w:tcPr>
          <w:p>
            <w:pPr>
              <w:pStyle w:val="GesAbsatz"/>
            </w:pPr>
            <w:r>
              <w:t>0 – 20</w:t>
            </w:r>
          </w:p>
        </w:tc>
        <w:tc>
          <w:tcPr>
            <w:tcW w:w="1843" w:type="dxa"/>
          </w:tcPr>
          <w:p>
            <w:pPr>
              <w:pStyle w:val="GesAbsatz"/>
            </w:pPr>
            <w:r>
              <w:t>0 - 200</w:t>
            </w:r>
          </w:p>
        </w:tc>
        <w:tc>
          <w:tcPr>
            <w:tcW w:w="1843" w:type="dxa"/>
          </w:tcPr>
          <w:p>
            <w:pPr>
              <w:pStyle w:val="GesAbsatz"/>
            </w:pPr>
            <w:r>
              <w:t>mg/m³</w:t>
            </w:r>
          </w:p>
        </w:tc>
      </w:tr>
      <w:tr>
        <w:tc>
          <w:tcPr>
            <w:tcW w:w="2444" w:type="dxa"/>
          </w:tcPr>
          <w:p>
            <w:pPr>
              <w:pStyle w:val="GesAbsatz"/>
            </w:pPr>
            <w:r>
              <w:t>CO</w:t>
            </w:r>
            <w:r>
              <w:rPr>
                <w:vertAlign w:val="subscript"/>
              </w:rPr>
              <w:t>2</w:t>
            </w:r>
          </w:p>
        </w:tc>
        <w:tc>
          <w:tcPr>
            <w:tcW w:w="1775" w:type="dxa"/>
          </w:tcPr>
          <w:p>
            <w:pPr>
              <w:pStyle w:val="GesAbsatz"/>
            </w:pPr>
            <w:r>
              <w:t>0 – 25</w:t>
            </w:r>
          </w:p>
        </w:tc>
        <w:tc>
          <w:tcPr>
            <w:tcW w:w="1843" w:type="dxa"/>
          </w:tcPr>
          <w:p>
            <w:pPr>
              <w:pStyle w:val="GesAbsatz"/>
            </w:pPr>
            <w:r>
              <w:t>-</w:t>
            </w:r>
          </w:p>
        </w:tc>
        <w:tc>
          <w:tcPr>
            <w:tcW w:w="1843" w:type="dxa"/>
          </w:tcPr>
          <w:p>
            <w:pPr>
              <w:pStyle w:val="GesAbsatz"/>
            </w:pPr>
            <w:r>
              <w:t>Vol.-%</w:t>
            </w:r>
          </w:p>
        </w:tc>
      </w:tr>
      <w:tr>
        <w:tc>
          <w:tcPr>
            <w:tcW w:w="2444" w:type="dxa"/>
          </w:tcPr>
          <w:p>
            <w:pPr>
              <w:pStyle w:val="GesAbsatz"/>
            </w:pPr>
            <w:r>
              <w:t>O</w:t>
            </w:r>
            <w:r>
              <w:rPr>
                <w:vertAlign w:val="subscript"/>
              </w:rPr>
              <w:t>2</w:t>
            </w:r>
          </w:p>
        </w:tc>
        <w:tc>
          <w:tcPr>
            <w:tcW w:w="1775" w:type="dxa"/>
          </w:tcPr>
          <w:p>
            <w:pPr>
              <w:pStyle w:val="GesAbsatz"/>
            </w:pPr>
            <w:r>
              <w:t>0 – 10</w:t>
            </w:r>
          </w:p>
        </w:tc>
        <w:tc>
          <w:tcPr>
            <w:tcW w:w="1843" w:type="dxa"/>
          </w:tcPr>
          <w:p>
            <w:pPr>
              <w:pStyle w:val="GesAbsatz"/>
            </w:pPr>
            <w:r>
              <w:t>0 – 25</w:t>
            </w:r>
          </w:p>
        </w:tc>
        <w:tc>
          <w:tcPr>
            <w:tcW w:w="1843" w:type="dxa"/>
          </w:tcPr>
          <w:p>
            <w:pPr>
              <w:pStyle w:val="GesAbsatz"/>
            </w:pPr>
            <w:r>
              <w:t>Vol.-%</w:t>
            </w:r>
          </w:p>
        </w:tc>
      </w:tr>
      <w:tr>
        <w:tc>
          <w:tcPr>
            <w:tcW w:w="2444" w:type="dxa"/>
          </w:tcPr>
          <w:p>
            <w:pPr>
              <w:pStyle w:val="GesAbsatz"/>
            </w:pPr>
            <w:r>
              <w:t>N</w:t>
            </w:r>
            <w:r>
              <w:rPr>
                <w:vertAlign w:val="subscript"/>
              </w:rPr>
              <w:t>2</w:t>
            </w:r>
            <w:r>
              <w:t>O</w:t>
            </w:r>
          </w:p>
        </w:tc>
        <w:tc>
          <w:tcPr>
            <w:tcW w:w="1775" w:type="dxa"/>
          </w:tcPr>
          <w:p>
            <w:pPr>
              <w:pStyle w:val="GesAbsatz"/>
            </w:pPr>
            <w:r>
              <w:t>0 – 20</w:t>
            </w:r>
          </w:p>
        </w:tc>
        <w:tc>
          <w:tcPr>
            <w:tcW w:w="1843" w:type="dxa"/>
          </w:tcPr>
          <w:p>
            <w:pPr>
              <w:pStyle w:val="GesAbsatz"/>
            </w:pPr>
            <w:r>
              <w:t>0 – 200</w:t>
            </w:r>
          </w:p>
        </w:tc>
        <w:tc>
          <w:tcPr>
            <w:tcW w:w="1843" w:type="dxa"/>
          </w:tcPr>
          <w:p>
            <w:pPr>
              <w:pStyle w:val="GesAbsatz"/>
            </w:pPr>
            <w:r>
              <w:t>mg/m³</w:t>
            </w:r>
          </w:p>
        </w:tc>
      </w:tr>
      <w:tr>
        <w:tc>
          <w:tcPr>
            <w:tcW w:w="2444" w:type="dxa"/>
          </w:tcPr>
          <w:p>
            <w:pPr>
              <w:pStyle w:val="GesAbsatz"/>
            </w:pPr>
            <w:r>
              <w:t>CH</w:t>
            </w:r>
            <w:r>
              <w:rPr>
                <w:vertAlign w:val="subscript"/>
              </w:rPr>
              <w:t>4</w:t>
            </w:r>
          </w:p>
        </w:tc>
        <w:tc>
          <w:tcPr>
            <w:tcW w:w="1775" w:type="dxa"/>
          </w:tcPr>
          <w:p>
            <w:pPr>
              <w:pStyle w:val="GesAbsatz"/>
            </w:pPr>
            <w:r>
              <w:t>0 – 10</w:t>
            </w:r>
          </w:p>
        </w:tc>
        <w:tc>
          <w:tcPr>
            <w:tcW w:w="1843" w:type="dxa"/>
          </w:tcPr>
          <w:p>
            <w:pPr>
              <w:pStyle w:val="GesAbsatz"/>
            </w:pPr>
            <w:r>
              <w:t>0 – 200</w:t>
            </w:r>
          </w:p>
        </w:tc>
        <w:tc>
          <w:tcPr>
            <w:tcW w:w="1843" w:type="dxa"/>
          </w:tcPr>
          <w:p>
            <w:pPr>
              <w:pStyle w:val="GesAbsatz"/>
            </w:pPr>
            <w:r>
              <w:t>mg/m³</w:t>
            </w:r>
          </w:p>
        </w:tc>
      </w:tr>
      <w:tr>
        <w:tc>
          <w:tcPr>
            <w:tcW w:w="7905" w:type="dxa"/>
            <w:gridSpan w:val="4"/>
          </w:tcPr>
          <w:p>
            <w:pPr>
              <w:pStyle w:val="GesAbsatz"/>
              <w:rPr>
                <w:sz w:val="16"/>
                <w:szCs w:val="16"/>
              </w:rPr>
            </w:pPr>
            <w:r>
              <w:rPr>
                <w:sz w:val="16"/>
                <w:szCs w:val="16"/>
              </w:rPr>
              <w:t>ZB = Zertifizierungsbereich</w:t>
            </w:r>
          </w:p>
        </w:tc>
      </w:tr>
    </w:tbl>
    <w:p>
      <w:pPr>
        <w:pStyle w:val="GesAbsatz"/>
        <w:tabs>
          <w:tab w:val="clear" w:pos="425"/>
          <w:tab w:val="left" w:pos="1701"/>
        </w:tabs>
      </w:pPr>
    </w:p>
    <w:p>
      <w:pPr>
        <w:pStyle w:val="GesAbsatz"/>
        <w:tabs>
          <w:tab w:val="left" w:pos="2268"/>
        </w:tabs>
      </w:pPr>
      <w:r>
        <w:t>Softwareversion:</w:t>
      </w:r>
      <w:r>
        <w:tab/>
        <w:t>Version v6.5</w:t>
      </w:r>
    </w:p>
    <w:p>
      <w:pPr>
        <w:pStyle w:val="GesAbsatz"/>
      </w:pPr>
      <w:r>
        <w:t>Hinweis:</w:t>
      </w:r>
    </w:p>
    <w:p>
      <w:pPr>
        <w:pStyle w:val="GesAbsatz"/>
      </w:pPr>
      <w:r>
        <w:t>Die Anforderung bei der Eignungsprüfung nach DIN EN 15267-3 für die Schutzart des Gehäuses wird nicht erfüllt. Die Messeinrichtung muss geschützt vor Staub und Niederschlag aufgestellt werden.</w:t>
      </w:r>
    </w:p>
    <w:p>
      <w:pPr>
        <w:pStyle w:val="GesAbsatz"/>
      </w:pPr>
      <w:r>
        <w:t>Prüfbericht:</w:t>
      </w:r>
    </w:p>
    <w:p>
      <w:pPr>
        <w:pStyle w:val="GesAbsatz"/>
      </w:pPr>
      <w:r>
        <w:t>TÜV Rheinland Immissionsschutz und Energiesysteme GmbH, Köln</w:t>
      </w:r>
    </w:p>
    <w:p>
      <w:pPr>
        <w:pStyle w:val="GesAbsatz"/>
      </w:pPr>
      <w:r>
        <w:t>Bericht-Nr.: 936/21206578/E vom 10. Oktober 2008</w:t>
      </w:r>
    </w:p>
    <w:p>
      <w:pPr>
        <w:pStyle w:val="GesAbsatz"/>
        <w:rPr>
          <w:b/>
        </w:rPr>
      </w:pPr>
      <w:r>
        <w:rPr>
          <w:b/>
        </w:rPr>
        <w:t>2.5 MIR 9000 für CO, HCl, SO</w:t>
      </w:r>
      <w:r>
        <w:rPr>
          <w:b/>
          <w:vertAlign w:val="subscript"/>
        </w:rPr>
        <w:t>2</w:t>
      </w:r>
      <w:r>
        <w:rPr>
          <w:b/>
        </w:rPr>
        <w:t xml:space="preserve"> und NO</w:t>
      </w:r>
    </w:p>
    <w:p>
      <w:pPr>
        <w:pStyle w:val="GesAbsatz"/>
      </w:pPr>
      <w:r>
        <w:t>Hersteller:</w:t>
      </w:r>
    </w:p>
    <w:p>
      <w:pPr>
        <w:pStyle w:val="GesAbsatz"/>
        <w:rPr>
          <w:lang w:val="en-GB"/>
        </w:rPr>
      </w:pPr>
      <w:r>
        <w:rPr>
          <w:lang w:val="en-GB"/>
        </w:rPr>
        <w:t xml:space="preserve">Environnement </w:t>
      </w:r>
      <w:smartTag w:uri="urn:schemas-microsoft-com:office:smarttags" w:element="country-region">
        <w:smartTag w:uri="urn:schemas-microsoft-com:office:smarttags" w:element="place">
          <w:r>
            <w:rPr>
              <w:lang w:val="en-GB"/>
            </w:rPr>
            <w:t>S.A.</w:t>
          </w:r>
        </w:smartTag>
      </w:smartTag>
      <w:r>
        <w:rPr>
          <w:lang w:val="en-GB"/>
        </w:rPr>
        <w:t>, Poissy Cedex/Frankreich</w:t>
      </w:r>
    </w:p>
    <w:p>
      <w:pPr>
        <w:pStyle w:val="GesAbsatz"/>
      </w:pPr>
      <w:r>
        <w:t>Eignung:</w:t>
      </w:r>
    </w:p>
    <w:p>
      <w:pPr>
        <w:pStyle w:val="GesAbsatz"/>
      </w:pPr>
      <w:r>
        <w:t>Für genehmigungsbedürftige Anlagen und Anlagen der 27. BImSchV</w:t>
      </w:r>
    </w:p>
    <w:p>
      <w:pPr>
        <w:pStyle w:val="GesAbsatz"/>
      </w:pPr>
      <w:r>
        <w:lastRenderedPageBreak/>
        <w:t>Messbereiche bei der Eignungsprüfung:</w:t>
      </w:r>
    </w:p>
    <w:p>
      <w:pPr>
        <w:pStyle w:val="GesAbsatz"/>
        <w:tabs>
          <w:tab w:val="clear" w:pos="425"/>
          <w:tab w:val="left" w:pos="1701"/>
        </w:tabs>
      </w:pPr>
    </w:p>
    <w:tbl>
      <w:tblPr>
        <w:tblStyle w:val="Tabellenraster"/>
        <w:tblW w:w="0" w:type="auto"/>
        <w:tblLook w:val="01E0" w:firstRow="1" w:lastRow="1" w:firstColumn="1" w:lastColumn="1" w:noHBand="0" w:noVBand="0"/>
      </w:tblPr>
      <w:tblGrid>
        <w:gridCol w:w="2444"/>
        <w:gridCol w:w="1775"/>
        <w:gridCol w:w="1843"/>
        <w:gridCol w:w="1843"/>
      </w:tblGrid>
      <w:tr>
        <w:tc>
          <w:tcPr>
            <w:tcW w:w="2444" w:type="dxa"/>
          </w:tcPr>
          <w:p>
            <w:pPr>
              <w:pStyle w:val="GesAbsatz"/>
              <w:jc w:val="center"/>
            </w:pPr>
            <w:r>
              <w:t>Komponente</w:t>
            </w:r>
          </w:p>
        </w:tc>
        <w:tc>
          <w:tcPr>
            <w:tcW w:w="1775" w:type="dxa"/>
          </w:tcPr>
          <w:p>
            <w:pPr>
              <w:pStyle w:val="GesAbsatz"/>
              <w:jc w:val="center"/>
            </w:pPr>
            <w:r>
              <w:t>ZB 1</w:t>
            </w:r>
          </w:p>
        </w:tc>
        <w:tc>
          <w:tcPr>
            <w:tcW w:w="1843" w:type="dxa"/>
          </w:tcPr>
          <w:p>
            <w:pPr>
              <w:pStyle w:val="GesAbsatz"/>
              <w:jc w:val="center"/>
            </w:pPr>
            <w:r>
              <w:t>ZB 2</w:t>
            </w:r>
          </w:p>
        </w:tc>
        <w:tc>
          <w:tcPr>
            <w:tcW w:w="1843" w:type="dxa"/>
          </w:tcPr>
          <w:p>
            <w:pPr>
              <w:pStyle w:val="GesAbsatz"/>
              <w:jc w:val="center"/>
            </w:pPr>
            <w:r>
              <w:t>Einheit</w:t>
            </w:r>
          </w:p>
        </w:tc>
      </w:tr>
      <w:tr>
        <w:tc>
          <w:tcPr>
            <w:tcW w:w="2444" w:type="dxa"/>
          </w:tcPr>
          <w:p>
            <w:pPr>
              <w:pStyle w:val="GesAbsatz"/>
            </w:pPr>
            <w:r>
              <w:t>CO</w:t>
            </w:r>
          </w:p>
        </w:tc>
        <w:tc>
          <w:tcPr>
            <w:tcW w:w="1775" w:type="dxa"/>
          </w:tcPr>
          <w:p>
            <w:pPr>
              <w:pStyle w:val="GesAbsatz"/>
            </w:pPr>
            <w:r>
              <w:t>0 – 75</w:t>
            </w:r>
          </w:p>
        </w:tc>
        <w:tc>
          <w:tcPr>
            <w:tcW w:w="1843" w:type="dxa"/>
          </w:tcPr>
          <w:p>
            <w:pPr>
              <w:pStyle w:val="GesAbsatz"/>
            </w:pPr>
            <w:r>
              <w:t>0 – 500</w:t>
            </w:r>
          </w:p>
        </w:tc>
        <w:tc>
          <w:tcPr>
            <w:tcW w:w="1843" w:type="dxa"/>
          </w:tcPr>
          <w:p>
            <w:pPr>
              <w:pStyle w:val="GesAbsatz"/>
            </w:pPr>
            <w:r>
              <w:t>mg/m³</w:t>
            </w:r>
          </w:p>
        </w:tc>
      </w:tr>
      <w:tr>
        <w:tc>
          <w:tcPr>
            <w:tcW w:w="2444" w:type="dxa"/>
          </w:tcPr>
          <w:p>
            <w:pPr>
              <w:pStyle w:val="GesAbsatz"/>
            </w:pPr>
            <w:r>
              <w:t>HCl</w:t>
            </w:r>
          </w:p>
        </w:tc>
        <w:tc>
          <w:tcPr>
            <w:tcW w:w="1775" w:type="dxa"/>
          </w:tcPr>
          <w:p>
            <w:pPr>
              <w:pStyle w:val="GesAbsatz"/>
            </w:pPr>
            <w:r>
              <w:t>0 – 15</w:t>
            </w:r>
          </w:p>
        </w:tc>
        <w:tc>
          <w:tcPr>
            <w:tcW w:w="1843" w:type="dxa"/>
          </w:tcPr>
          <w:p>
            <w:pPr>
              <w:pStyle w:val="GesAbsatz"/>
            </w:pPr>
            <w:r>
              <w:t>0 – 100</w:t>
            </w:r>
          </w:p>
        </w:tc>
        <w:tc>
          <w:tcPr>
            <w:tcW w:w="1843" w:type="dxa"/>
          </w:tcPr>
          <w:p>
            <w:pPr>
              <w:pStyle w:val="GesAbsatz"/>
            </w:pPr>
            <w:r>
              <w:t>mg/m³</w:t>
            </w:r>
          </w:p>
        </w:tc>
      </w:tr>
      <w:tr>
        <w:tc>
          <w:tcPr>
            <w:tcW w:w="2444" w:type="dxa"/>
          </w:tcPr>
          <w:p>
            <w:pPr>
              <w:pStyle w:val="GesAbsatz"/>
            </w:pPr>
            <w:r>
              <w:t>SO</w:t>
            </w:r>
            <w:r>
              <w:rPr>
                <w:vertAlign w:val="subscript"/>
              </w:rPr>
              <w:t>2</w:t>
            </w:r>
          </w:p>
        </w:tc>
        <w:tc>
          <w:tcPr>
            <w:tcW w:w="1775" w:type="dxa"/>
          </w:tcPr>
          <w:p>
            <w:pPr>
              <w:pStyle w:val="GesAbsatz"/>
            </w:pPr>
            <w:r>
              <w:t>0 – 75</w:t>
            </w:r>
          </w:p>
        </w:tc>
        <w:tc>
          <w:tcPr>
            <w:tcW w:w="1843" w:type="dxa"/>
          </w:tcPr>
          <w:p>
            <w:pPr>
              <w:pStyle w:val="GesAbsatz"/>
            </w:pPr>
            <w:r>
              <w:t>0 - 200</w:t>
            </w:r>
          </w:p>
        </w:tc>
        <w:tc>
          <w:tcPr>
            <w:tcW w:w="1843" w:type="dxa"/>
          </w:tcPr>
          <w:p>
            <w:pPr>
              <w:pStyle w:val="GesAbsatz"/>
            </w:pPr>
            <w:r>
              <w:t>mg/m³</w:t>
            </w:r>
          </w:p>
        </w:tc>
      </w:tr>
      <w:tr>
        <w:tc>
          <w:tcPr>
            <w:tcW w:w="2444" w:type="dxa"/>
          </w:tcPr>
          <w:p>
            <w:pPr>
              <w:pStyle w:val="GesAbsatz"/>
            </w:pPr>
            <w:r>
              <w:t>NO</w:t>
            </w:r>
          </w:p>
        </w:tc>
        <w:tc>
          <w:tcPr>
            <w:tcW w:w="1775" w:type="dxa"/>
          </w:tcPr>
          <w:p>
            <w:pPr>
              <w:pStyle w:val="GesAbsatz"/>
            </w:pPr>
            <w:r>
              <w:t>0 – 100</w:t>
            </w:r>
          </w:p>
        </w:tc>
        <w:tc>
          <w:tcPr>
            <w:tcW w:w="1843" w:type="dxa"/>
          </w:tcPr>
          <w:p>
            <w:pPr>
              <w:pStyle w:val="GesAbsatz"/>
            </w:pPr>
            <w:r>
              <w:t>0 - 500</w:t>
            </w:r>
          </w:p>
        </w:tc>
        <w:tc>
          <w:tcPr>
            <w:tcW w:w="1843" w:type="dxa"/>
          </w:tcPr>
          <w:p>
            <w:pPr>
              <w:pStyle w:val="GesAbsatz"/>
            </w:pPr>
            <w:r>
              <w:t>mg/m³</w:t>
            </w:r>
          </w:p>
        </w:tc>
      </w:tr>
      <w:tr>
        <w:tc>
          <w:tcPr>
            <w:tcW w:w="7905" w:type="dxa"/>
            <w:gridSpan w:val="4"/>
          </w:tcPr>
          <w:p>
            <w:pPr>
              <w:pStyle w:val="GesAbsatz"/>
              <w:rPr>
                <w:sz w:val="16"/>
                <w:szCs w:val="16"/>
              </w:rPr>
            </w:pPr>
            <w:r>
              <w:rPr>
                <w:sz w:val="16"/>
                <w:szCs w:val="16"/>
              </w:rPr>
              <w:t>ZB = Zertifizierungsbereich</w:t>
            </w:r>
          </w:p>
        </w:tc>
      </w:tr>
    </w:tbl>
    <w:p>
      <w:pPr>
        <w:pStyle w:val="GesAbsatz"/>
        <w:tabs>
          <w:tab w:val="clear" w:pos="425"/>
          <w:tab w:val="left" w:pos="1701"/>
        </w:tabs>
      </w:pPr>
    </w:p>
    <w:p>
      <w:pPr>
        <w:pStyle w:val="GesAbsatz"/>
        <w:tabs>
          <w:tab w:val="left" w:pos="2268"/>
        </w:tabs>
      </w:pPr>
      <w:r>
        <w:t>Softwareversion:</w:t>
      </w:r>
      <w:r>
        <w:tab/>
        <w:t>Version v6.5</w:t>
      </w:r>
    </w:p>
    <w:p>
      <w:pPr>
        <w:pStyle w:val="GesAbsatz"/>
      </w:pPr>
      <w:r>
        <w:t>Hinweis:</w:t>
      </w:r>
    </w:p>
    <w:p>
      <w:pPr>
        <w:pStyle w:val="GesAbsatz"/>
        <w:tabs>
          <w:tab w:val="clear" w:pos="425"/>
          <w:tab w:val="left" w:pos="426"/>
        </w:tabs>
      </w:pPr>
      <w:r>
        <w:t>Die Anforderung bei der Eignungsprüfung nach DIN EN 15267-3 für die Schutzart des Gehäuses wird nicht erfüllt. Die Messeinrichtung muss geschützt vor Staub und Niederschlag aufgestellt werden.</w:t>
      </w:r>
    </w:p>
    <w:p>
      <w:pPr>
        <w:pStyle w:val="GesAbsatz"/>
      </w:pPr>
      <w:r>
        <w:t>Prüfbericht:</w:t>
      </w:r>
    </w:p>
    <w:p>
      <w:pPr>
        <w:pStyle w:val="GesAbsatz"/>
      </w:pPr>
      <w:r>
        <w:t>TÜV Rheinland Immissionsschutz und Energiesysteme GmbH, Köln</w:t>
      </w:r>
    </w:p>
    <w:p>
      <w:pPr>
        <w:pStyle w:val="GesAbsatz"/>
      </w:pPr>
      <w:r>
        <w:t>Bericht-Nr.: 936/21206578/F vom 10. Oktober 2008</w:t>
      </w:r>
    </w:p>
    <w:p>
      <w:pPr>
        <w:pStyle w:val="berschrift2"/>
      </w:pPr>
      <w:bookmarkStart w:id="11" w:name="_Toc210618594"/>
      <w:bookmarkStart w:id="12" w:name="_Toc225568907"/>
      <w:r>
        <w:t>II.</w:t>
      </w:r>
      <w:r>
        <w:br/>
        <w:t>Eignung für Messeinrichtungen zur kontinuierlichen Messung von</w:t>
      </w:r>
      <w:r>
        <w:br/>
        <w:t>Bezugsgr</w:t>
      </w:r>
      <w:r>
        <w:t>ö</w:t>
      </w:r>
      <w:r>
        <w:t>ßen/Betriebsgrößen</w:t>
      </w:r>
      <w:bookmarkEnd w:id="11"/>
      <w:bookmarkEnd w:id="12"/>
    </w:p>
    <w:p>
      <w:pPr>
        <w:pStyle w:val="berschrift3"/>
        <w:jc w:val="left"/>
      </w:pPr>
      <w:bookmarkStart w:id="13" w:name="_Toc210618595"/>
      <w:bookmarkStart w:id="14" w:name="_Toc225568908"/>
      <w:r>
        <w:t>1 Abgasgeschwindigkeit</w:t>
      </w:r>
      <w:bookmarkEnd w:id="13"/>
      <w:bookmarkEnd w:id="14"/>
    </w:p>
    <w:p>
      <w:pPr>
        <w:pStyle w:val="GesAbsatz"/>
        <w:rPr>
          <w:b/>
        </w:rPr>
      </w:pPr>
      <w:r>
        <w:rPr>
          <w:b/>
        </w:rPr>
        <w:t>1.1 FLOWSIC100</w:t>
      </w:r>
    </w:p>
    <w:p>
      <w:pPr>
        <w:pStyle w:val="GesAbsatz"/>
      </w:pPr>
      <w:r>
        <w:t>Hersteller:</w:t>
      </w:r>
    </w:p>
    <w:p>
      <w:pPr>
        <w:pStyle w:val="GesAbsatz"/>
      </w:pPr>
      <w:r>
        <w:t>SICK Engineering GmbH, Ottendorf-Okrilla</w:t>
      </w:r>
    </w:p>
    <w:p>
      <w:pPr>
        <w:pStyle w:val="GesAbsatz"/>
      </w:pPr>
      <w:r>
        <w:t>Eignung:</w:t>
      </w:r>
    </w:p>
    <w:p>
      <w:pPr>
        <w:pStyle w:val="GesAbsatz"/>
      </w:pPr>
      <w:r>
        <w:t>Für genehmigungsbedürftige Anlagen und Anlagen der 27. BImSchV</w:t>
      </w:r>
    </w:p>
    <w:p>
      <w:pPr>
        <w:pStyle w:val="GesAbsatz"/>
      </w:pPr>
      <w:r>
        <w:t>Messbereich bei der Eignungsprüfung:</w:t>
      </w:r>
    </w:p>
    <w:p>
      <w:pPr>
        <w:pStyle w:val="GesAbsatz"/>
        <w:tabs>
          <w:tab w:val="clear" w:pos="425"/>
          <w:tab w:val="left" w:pos="2268"/>
        </w:tabs>
      </w:pPr>
      <w:r>
        <w:t>Abgasgeschwindigkeit:</w:t>
      </w:r>
      <w:r>
        <w:tab/>
        <w:t>0 - 20 m/s</w:t>
      </w:r>
    </w:p>
    <w:p>
      <w:pPr>
        <w:pStyle w:val="GesAbsatz"/>
        <w:tabs>
          <w:tab w:val="clear" w:pos="425"/>
          <w:tab w:val="left" w:pos="2268"/>
        </w:tabs>
      </w:pPr>
      <w:r>
        <w:t>Softwareversionen:</w:t>
      </w:r>
      <w:r>
        <w:tab/>
        <w:t>MCU: 1.0.26,</w:t>
      </w:r>
    </w:p>
    <w:p>
      <w:pPr>
        <w:pStyle w:val="GesAbsatz"/>
        <w:tabs>
          <w:tab w:val="clear" w:pos="425"/>
          <w:tab w:val="left" w:pos="2268"/>
        </w:tabs>
      </w:pPr>
      <w:r>
        <w:tab/>
        <w:t>Sensor: 1.4.02,</w:t>
      </w:r>
    </w:p>
    <w:p>
      <w:pPr>
        <w:pStyle w:val="GesAbsatz"/>
        <w:tabs>
          <w:tab w:val="clear" w:pos="425"/>
          <w:tab w:val="left" w:pos="2268"/>
        </w:tabs>
        <w:ind w:left="2268"/>
      </w:pPr>
      <w:r>
        <w:t>SOPAS ET: 02.16</w:t>
      </w:r>
    </w:p>
    <w:p>
      <w:pPr>
        <w:pStyle w:val="GesAbsatz"/>
      </w:pPr>
      <w:r>
        <w:t>Hinweise:</w:t>
      </w:r>
    </w:p>
    <w:p>
      <w:pPr>
        <w:pStyle w:val="GesAbsatz"/>
      </w:pPr>
      <w:r>
        <w:t>1.</w:t>
      </w:r>
      <w:r>
        <w:tab/>
        <w:t>Der eingestellte Messbereich betrug im Labor 0 - 16 m/s.</w:t>
      </w:r>
    </w:p>
    <w:p>
      <w:pPr>
        <w:pStyle w:val="GesAbsatz"/>
      </w:pPr>
      <w:r>
        <w:t>2.</w:t>
      </w:r>
      <w:r>
        <w:tab/>
        <w:t>Die Eignungsprüfung umfasst folgende Gerätevaria</w:t>
      </w:r>
      <w:r>
        <w:t>n</w:t>
      </w:r>
      <w:r>
        <w:t>ten:</w:t>
      </w:r>
    </w:p>
    <w:p>
      <w:pPr>
        <w:pStyle w:val="GesAbsatz"/>
      </w:pPr>
    </w:p>
    <w:tbl>
      <w:tblPr>
        <w:tblStyle w:val="Tabellenraster"/>
        <w:tblW w:w="0" w:type="auto"/>
        <w:tblInd w:w="534" w:type="dxa"/>
        <w:tblLook w:val="01E0" w:firstRow="1" w:lastRow="1" w:firstColumn="1" w:lastColumn="1" w:noHBand="0" w:noVBand="0"/>
      </w:tblPr>
      <w:tblGrid>
        <w:gridCol w:w="2660"/>
      </w:tblGrid>
      <w:tr>
        <w:tc>
          <w:tcPr>
            <w:tcW w:w="2660" w:type="dxa"/>
          </w:tcPr>
          <w:p>
            <w:pPr>
              <w:pStyle w:val="GesAbsatz"/>
              <w:rPr>
                <w:lang w:val="en-GB"/>
              </w:rPr>
            </w:pPr>
            <w:r>
              <w:rPr>
                <w:lang w:val="en-GB"/>
              </w:rPr>
              <w:t>1</w:t>
            </w:r>
            <w:r>
              <w:rPr>
                <w:lang w:val="en-GB"/>
              </w:rPr>
              <w:tab/>
              <w:t>FLOWSIC100 PR</w:t>
            </w:r>
          </w:p>
        </w:tc>
      </w:tr>
      <w:tr>
        <w:tc>
          <w:tcPr>
            <w:tcW w:w="2660" w:type="dxa"/>
          </w:tcPr>
          <w:p>
            <w:pPr>
              <w:pStyle w:val="GesAbsatz"/>
              <w:rPr>
                <w:lang w:val="en-GB"/>
              </w:rPr>
            </w:pPr>
            <w:r>
              <w:rPr>
                <w:lang w:val="en-GB"/>
              </w:rPr>
              <w:t>2</w:t>
            </w:r>
            <w:r>
              <w:rPr>
                <w:lang w:val="en-GB"/>
              </w:rPr>
              <w:tab/>
              <w:t>FLOWSIC100 PR-AC</w:t>
            </w:r>
          </w:p>
        </w:tc>
      </w:tr>
      <w:tr>
        <w:tc>
          <w:tcPr>
            <w:tcW w:w="2660" w:type="dxa"/>
          </w:tcPr>
          <w:p>
            <w:pPr>
              <w:pStyle w:val="GesAbsatz"/>
              <w:rPr>
                <w:lang w:val="en-GB"/>
              </w:rPr>
            </w:pPr>
            <w:r>
              <w:rPr>
                <w:lang w:val="en-GB"/>
              </w:rPr>
              <w:t>3</w:t>
            </w:r>
            <w:r>
              <w:rPr>
                <w:lang w:val="en-GB"/>
              </w:rPr>
              <w:tab/>
              <w:t>FLOWSIC100 M</w:t>
            </w:r>
          </w:p>
        </w:tc>
      </w:tr>
      <w:tr>
        <w:tc>
          <w:tcPr>
            <w:tcW w:w="2660" w:type="dxa"/>
          </w:tcPr>
          <w:p>
            <w:pPr>
              <w:pStyle w:val="GesAbsatz"/>
              <w:rPr>
                <w:lang w:val="en-GB"/>
              </w:rPr>
            </w:pPr>
            <w:r>
              <w:rPr>
                <w:lang w:val="en-GB"/>
              </w:rPr>
              <w:t>4</w:t>
            </w:r>
            <w:r>
              <w:rPr>
                <w:lang w:val="en-GB"/>
              </w:rPr>
              <w:tab/>
              <w:t>FLOWSIC100 M-AC</w:t>
            </w:r>
          </w:p>
        </w:tc>
      </w:tr>
      <w:tr>
        <w:tc>
          <w:tcPr>
            <w:tcW w:w="2660" w:type="dxa"/>
          </w:tcPr>
          <w:p>
            <w:pPr>
              <w:pStyle w:val="GesAbsatz"/>
              <w:rPr>
                <w:lang w:val="en-GB"/>
              </w:rPr>
            </w:pPr>
            <w:r>
              <w:rPr>
                <w:lang w:val="en-GB"/>
              </w:rPr>
              <w:t>5</w:t>
            </w:r>
            <w:r>
              <w:rPr>
                <w:lang w:val="en-GB"/>
              </w:rPr>
              <w:tab/>
              <w:t>FLOWSIC100 H</w:t>
            </w:r>
          </w:p>
        </w:tc>
      </w:tr>
      <w:tr>
        <w:tc>
          <w:tcPr>
            <w:tcW w:w="2660" w:type="dxa"/>
          </w:tcPr>
          <w:p>
            <w:pPr>
              <w:pStyle w:val="GesAbsatz"/>
              <w:rPr>
                <w:lang w:val="en-GB"/>
              </w:rPr>
            </w:pPr>
            <w:r>
              <w:rPr>
                <w:lang w:val="en-GB"/>
              </w:rPr>
              <w:t>6</w:t>
            </w:r>
            <w:r>
              <w:rPr>
                <w:lang w:val="en-GB"/>
              </w:rPr>
              <w:tab/>
              <w:t>FLOWSIC100 H-AC</w:t>
            </w:r>
          </w:p>
        </w:tc>
      </w:tr>
      <w:tr>
        <w:tc>
          <w:tcPr>
            <w:tcW w:w="2660" w:type="dxa"/>
          </w:tcPr>
          <w:p>
            <w:pPr>
              <w:pStyle w:val="GesAbsatz"/>
              <w:rPr>
                <w:lang w:val="en-GB"/>
              </w:rPr>
            </w:pPr>
            <w:r>
              <w:rPr>
                <w:lang w:val="en-GB"/>
              </w:rPr>
              <w:lastRenderedPageBreak/>
              <w:t>7</w:t>
            </w:r>
            <w:r>
              <w:rPr>
                <w:lang w:val="en-GB"/>
              </w:rPr>
              <w:tab/>
              <w:t>FLOWSIC100 PM</w:t>
            </w:r>
          </w:p>
        </w:tc>
      </w:tr>
      <w:tr>
        <w:tc>
          <w:tcPr>
            <w:tcW w:w="2660" w:type="dxa"/>
          </w:tcPr>
          <w:p>
            <w:pPr>
              <w:pStyle w:val="GesAbsatz"/>
              <w:rPr>
                <w:lang w:val="en-GB"/>
              </w:rPr>
            </w:pPr>
            <w:r>
              <w:rPr>
                <w:lang w:val="en-GB"/>
              </w:rPr>
              <w:t>8</w:t>
            </w:r>
            <w:r>
              <w:rPr>
                <w:lang w:val="en-GB"/>
              </w:rPr>
              <w:tab/>
              <w:t>FLOWSIC100 PH</w:t>
            </w:r>
          </w:p>
        </w:tc>
      </w:tr>
      <w:tr>
        <w:tc>
          <w:tcPr>
            <w:tcW w:w="2660" w:type="dxa"/>
          </w:tcPr>
          <w:p>
            <w:pPr>
              <w:pStyle w:val="GesAbsatz"/>
              <w:rPr>
                <w:lang w:val="en-GB"/>
              </w:rPr>
            </w:pPr>
            <w:r>
              <w:rPr>
                <w:lang w:val="en-GB"/>
              </w:rPr>
              <w:t>9</w:t>
            </w:r>
            <w:r>
              <w:rPr>
                <w:lang w:val="en-GB"/>
              </w:rPr>
              <w:tab/>
              <w:t>FLOWSIC100 PH-S</w:t>
            </w:r>
          </w:p>
        </w:tc>
      </w:tr>
    </w:tbl>
    <w:p>
      <w:pPr>
        <w:pStyle w:val="GesAbsatz"/>
        <w:rPr>
          <w:lang w:val="en-GB"/>
        </w:rPr>
      </w:pPr>
    </w:p>
    <w:p>
      <w:pPr>
        <w:pStyle w:val="GesAbsatz"/>
      </w:pPr>
      <w:r>
        <w:t>3.</w:t>
      </w:r>
      <w:r>
        <w:tab/>
        <w:t>Das Wartungsintervall beträgt 6 Monate.</w:t>
      </w:r>
    </w:p>
    <w:p>
      <w:pPr>
        <w:pStyle w:val="GesAbsatz"/>
        <w:ind w:left="426" w:hanging="426"/>
      </w:pPr>
      <w:r>
        <w:t>4.</w:t>
      </w:r>
      <w:r>
        <w:tab/>
        <w:t>Ergänzungsprüfung zu den Bekanntgaben des Umweltbu</w:t>
      </w:r>
      <w:r>
        <w:t>n</w:t>
      </w:r>
      <w:r>
        <w:t>desamtes vom 14. Februar 2008 (BAnz. S. 902) und vom12. August 2008 (BAnz. S. 3246).</w:t>
      </w:r>
    </w:p>
    <w:p>
      <w:pPr>
        <w:pStyle w:val="GesAbsatz"/>
      </w:pPr>
      <w:r>
        <w:t>Prüfbericht:</w:t>
      </w:r>
    </w:p>
    <w:p>
      <w:pPr>
        <w:pStyle w:val="GesAbsatz"/>
      </w:pPr>
      <w:r>
        <w:t>TÜV Rheinland Immissionsschutz und Energiesysteme GmbH, Köln</w:t>
      </w:r>
    </w:p>
    <w:p>
      <w:pPr>
        <w:pStyle w:val="GesAbsatz"/>
      </w:pPr>
      <w:r>
        <w:t>Bericht-Nr.: 936/21206702/E vom 5. Oktober 2008</w:t>
      </w:r>
    </w:p>
    <w:p>
      <w:pPr>
        <w:pStyle w:val="berschrift3"/>
        <w:jc w:val="left"/>
      </w:pPr>
      <w:bookmarkStart w:id="15" w:name="_Toc225568909"/>
      <w:r>
        <w:t>2 Sauerstoff</w:t>
      </w:r>
      <w:bookmarkEnd w:id="15"/>
    </w:p>
    <w:p>
      <w:pPr>
        <w:pStyle w:val="GesAbsatz"/>
      </w:pPr>
      <w:r>
        <w:t>2.1 X-STREAM O</w:t>
      </w:r>
      <w:r>
        <w:rPr>
          <w:vertAlign w:val="subscript"/>
        </w:rPr>
        <w:t>2</w:t>
      </w:r>
      <w:r>
        <w:t>-Messumformer mit Xi-Interface</w:t>
      </w:r>
    </w:p>
    <w:p>
      <w:pPr>
        <w:pStyle w:val="GesAbsatz"/>
      </w:pPr>
      <w:r>
        <w:t>Hersteller:</w:t>
      </w:r>
    </w:p>
    <w:p>
      <w:pPr>
        <w:pStyle w:val="GesAbsatz"/>
      </w:pPr>
      <w:r>
        <w:t>Emerson Process Management Rosemount Analytical Inc, Solon, USA</w:t>
      </w:r>
    </w:p>
    <w:p>
      <w:pPr>
        <w:pStyle w:val="GesAbsatz"/>
      </w:pPr>
      <w:r>
        <w:t>Eignung:</w:t>
      </w:r>
    </w:p>
    <w:p>
      <w:pPr>
        <w:pStyle w:val="GesAbsatz"/>
      </w:pPr>
      <w:r>
        <w:t>Für genehmigungsbedürftige Anlagen und Anlagen 27. BImSchV</w:t>
      </w:r>
    </w:p>
    <w:p>
      <w:pPr>
        <w:pStyle w:val="GesAbsatz"/>
      </w:pPr>
      <w:r>
        <w:t>Messbereich bei der Eignungsprüfung:</w:t>
      </w:r>
    </w:p>
    <w:p>
      <w:pPr>
        <w:pStyle w:val="GesAbsatz"/>
      </w:pPr>
      <w:r>
        <w:t>O</w:t>
      </w:r>
      <w:r>
        <w:rPr>
          <w:vertAlign w:val="subscript"/>
        </w:rPr>
        <w:t>2</w:t>
      </w:r>
      <w:r>
        <w:t>: 0 – 25 Vol.-%</w:t>
      </w:r>
    </w:p>
    <w:p>
      <w:pPr>
        <w:pStyle w:val="GesAbsatz"/>
        <w:tabs>
          <w:tab w:val="left" w:pos="2268"/>
        </w:tabs>
      </w:pPr>
      <w:r>
        <w:t>Softwareversionen:</w:t>
      </w:r>
      <w:r>
        <w:tab/>
        <w:t>1.05B, 1.02 (Sonde/Messumformer),</w:t>
      </w:r>
    </w:p>
    <w:p>
      <w:pPr>
        <w:pStyle w:val="GesAbsatz"/>
        <w:ind w:left="2268"/>
      </w:pPr>
      <w:r>
        <w:t>1.04B (E/A-Platine)</w:t>
      </w:r>
    </w:p>
    <w:p>
      <w:pPr>
        <w:pStyle w:val="GesAbsatz"/>
      </w:pPr>
      <w:r>
        <w:t>Prüfbericht:</w:t>
      </w:r>
    </w:p>
    <w:p>
      <w:pPr>
        <w:pStyle w:val="GesAbsatz"/>
      </w:pPr>
      <w:r>
        <w:t>TÜV Rheinland Immissionsschutz und Energiesysteme GmbH, Köln</w:t>
      </w:r>
    </w:p>
    <w:p>
      <w:pPr>
        <w:pStyle w:val="GesAbsatz"/>
      </w:pPr>
      <w:r>
        <w:t>Bericht-Nr.: 936/21208608A vom 10. Oktober 2008</w:t>
      </w:r>
    </w:p>
    <w:p>
      <w:pPr>
        <w:pStyle w:val="berschrift2"/>
      </w:pPr>
      <w:bookmarkStart w:id="16" w:name="_Toc210618596"/>
      <w:bookmarkStart w:id="17" w:name="_Toc225568910"/>
      <w:r>
        <w:t>III.</w:t>
      </w:r>
      <w:r>
        <w:br/>
        <w:t xml:space="preserve">Eignung </w:t>
      </w:r>
      <w:bookmarkEnd w:id="16"/>
      <w:r>
        <w:t>elektronischer Systeme zum Erfassen und Auswerten</w:t>
      </w:r>
      <w:r>
        <w:br/>
        <w:t xml:space="preserve">kontinuierlicher </w:t>
      </w:r>
      <w:r>
        <w:t>E</w:t>
      </w:r>
      <w:r>
        <w:t>missionsmessungen</w:t>
      </w:r>
      <w:bookmarkEnd w:id="17"/>
    </w:p>
    <w:p>
      <w:pPr>
        <w:pStyle w:val="berschrift3"/>
        <w:jc w:val="left"/>
      </w:pPr>
      <w:bookmarkStart w:id="18" w:name="_Toc225568911"/>
      <w:r>
        <w:t>1 Auswerterechner</w:t>
      </w:r>
      <w:bookmarkEnd w:id="18"/>
    </w:p>
    <w:p>
      <w:pPr>
        <w:pStyle w:val="GesAbsatz"/>
        <w:rPr>
          <w:b/>
        </w:rPr>
      </w:pPr>
      <w:r>
        <w:rPr>
          <w:b/>
        </w:rPr>
        <w:t>1.1 D-EMS 2000 AiO (Version 4.18)</w:t>
      </w:r>
    </w:p>
    <w:p>
      <w:pPr>
        <w:pStyle w:val="GesAbsatz"/>
        <w:rPr>
          <w:lang w:val="en-GB"/>
        </w:rPr>
      </w:pPr>
      <w:r>
        <w:t>Hersteller</w:t>
      </w:r>
      <w:r>
        <w:rPr>
          <w:lang w:val="en-GB"/>
        </w:rPr>
        <w:t>:</w:t>
      </w:r>
    </w:p>
    <w:p>
      <w:pPr>
        <w:pStyle w:val="GesAbsatz"/>
      </w:pPr>
      <w:r>
        <w:t>DURAG GmbH, Hamburg</w:t>
      </w:r>
    </w:p>
    <w:p>
      <w:pPr>
        <w:pStyle w:val="GesAbsatz"/>
      </w:pPr>
      <w:r>
        <w:t>Eignung:</w:t>
      </w:r>
    </w:p>
    <w:p>
      <w:pPr>
        <w:pStyle w:val="GesAbsatz"/>
      </w:pPr>
      <w:r>
        <w:t>Erfassen und Auswerten kontinuierlicher Emissionsmessungen genehmigungsbedürftiger Anlagen und A</w:t>
      </w:r>
      <w:r>
        <w:t>n</w:t>
      </w:r>
      <w:r>
        <w:t>lagen der 27. und 31. BImSchV.</w:t>
      </w:r>
    </w:p>
    <w:p>
      <w:pPr>
        <w:pStyle w:val="GesAbsatz"/>
      </w:pPr>
      <w:r>
        <w:t>Softwareversion:</w:t>
      </w:r>
      <w:r>
        <w:tab/>
        <w:t>V 4.18</w:t>
      </w:r>
    </w:p>
    <w:p>
      <w:pPr>
        <w:pStyle w:val="GesAbsatz"/>
      </w:pPr>
      <w:r>
        <w:t>Hinweis:</w:t>
      </w:r>
    </w:p>
    <w:p>
      <w:pPr>
        <w:pStyle w:val="GesAbsatz"/>
      </w:pPr>
      <w:r>
        <w:t>Die physikalischen Grenzen der Datenübertragung mittels RS 232C/RS 485 sind bei Installation in Kombin</w:t>
      </w:r>
      <w:r>
        <w:t>a</w:t>
      </w:r>
      <w:r>
        <w:t>tion mit einem Systemarbeitsplatz und der Software Win-DEVA zu beachten.</w:t>
      </w:r>
    </w:p>
    <w:p>
      <w:pPr>
        <w:pStyle w:val="GesAbsatz"/>
      </w:pPr>
      <w:r>
        <w:t>Einschränkung:</w:t>
      </w:r>
    </w:p>
    <w:p>
      <w:pPr>
        <w:pStyle w:val="GesAbsatz"/>
      </w:pPr>
      <w:r>
        <w:t>Um das System in Kombination mit einem Auswerte-PC und der Software Win-DEVA vor Zugriff auf gespe</w:t>
      </w:r>
      <w:r>
        <w:t>i</w:t>
      </w:r>
      <w:r>
        <w:t>cherte Daten im Dauerbetrieb zu schützen, müssen die über den Administrator des PC-Betriebssystems e</w:t>
      </w:r>
      <w:r>
        <w:t>r</w:t>
      </w:r>
      <w:r>
        <w:t>teilten Zugangsrechte bei Dateiverwaltungs-Programmen (wie z.B. Explorer) beschränkt werden.</w:t>
      </w:r>
    </w:p>
    <w:p>
      <w:pPr>
        <w:pStyle w:val="GesAbsatz"/>
      </w:pPr>
      <w:r>
        <w:lastRenderedPageBreak/>
        <w:t>Prüfinstitut:</w:t>
      </w:r>
    </w:p>
    <w:p>
      <w:pPr>
        <w:pStyle w:val="GesAbsatz"/>
      </w:pPr>
      <w:r>
        <w:t>TÜV SÜD Industrie Service GmbH, Abteilung Umwelt Service, München</w:t>
      </w:r>
    </w:p>
    <w:p>
      <w:pPr>
        <w:pStyle w:val="GesAbsatz"/>
      </w:pPr>
      <w:r>
        <w:t>Bericht-Nr.: 970550 vom 29. Februar 2008</w:t>
      </w:r>
    </w:p>
    <w:p>
      <w:pPr>
        <w:pStyle w:val="berschrift2"/>
      </w:pPr>
      <w:bookmarkStart w:id="19" w:name="_Toc210618598"/>
      <w:bookmarkStart w:id="20" w:name="_Toc225568912"/>
      <w:r>
        <w:t>IV.</w:t>
      </w:r>
      <w:r>
        <w:br/>
        <w:t xml:space="preserve">Mitteilungen zur Bundeseinheitlichen Praxis bei der Überwachung </w:t>
      </w:r>
      <w:r>
        <w:br/>
        <w:t>von Emissi</w:t>
      </w:r>
      <w:r>
        <w:t>o</w:t>
      </w:r>
      <w:r>
        <w:t>nen und Immissionen</w:t>
      </w:r>
      <w:bookmarkEnd w:id="19"/>
      <w:bookmarkEnd w:id="20"/>
    </w:p>
    <w:p>
      <w:pPr>
        <w:pStyle w:val="GesAbsatz"/>
        <w:rPr>
          <w:b/>
        </w:rPr>
      </w:pPr>
      <w:r>
        <w:rPr>
          <w:b/>
        </w:rPr>
        <w:t>1 Mitteilung zur Bekanntmachung des Umweltbunde</w:t>
      </w:r>
      <w:r>
        <w:rPr>
          <w:b/>
        </w:rPr>
        <w:t>s</w:t>
      </w:r>
      <w:r>
        <w:rPr>
          <w:b/>
        </w:rPr>
        <w:t>amtes vom 14. Februar 2008 (BAnz. S. 901) und vom 12. August 2008 (BAnz. S. 3244)</w:t>
      </w:r>
    </w:p>
    <w:p>
      <w:pPr>
        <w:pStyle w:val="GesAbsatz"/>
      </w:pPr>
      <w:r>
        <w:t>Die eignungsgeprüfte Messeinrichtung LaserGas II für NH</w:t>
      </w:r>
      <w:r>
        <w:rPr>
          <w:vertAlign w:val="subscript"/>
        </w:rPr>
        <w:t>3</w:t>
      </w:r>
      <w:r>
        <w:t xml:space="preserve"> und H</w:t>
      </w:r>
      <w:r>
        <w:rPr>
          <w:vertAlign w:val="subscript"/>
        </w:rPr>
        <w:t>2</w:t>
      </w:r>
      <w:r>
        <w:t xml:space="preserve">O der Fa. NEO Monitors AS wird auch von der Fa. ABB Automation </w:t>
      </w:r>
      <w:r>
        <w:rPr>
          <w:lang w:val="en-US"/>
        </w:rPr>
        <w:t>Products</w:t>
      </w:r>
      <w:r>
        <w:t xml:space="preserve"> GmbH unter dem Namen AO2000 LS 25 vertrieben. Die Ausgabe der Analog- und Digitalsignale übernimmt dabei ein AO2000 Modul.</w:t>
      </w:r>
    </w:p>
    <w:p>
      <w:pPr>
        <w:pStyle w:val="GesAbsatz"/>
      </w:pPr>
      <w:r>
        <w:t>Stellungnahme der TÜV Rheinland Immissionsschutz und Energiesysteme GmbH vom 20. Oktober 2008</w:t>
      </w:r>
    </w:p>
    <w:p>
      <w:pPr>
        <w:pStyle w:val="GesAbsatz"/>
        <w:rPr>
          <w:b/>
        </w:rPr>
      </w:pPr>
      <w:r>
        <w:rPr>
          <w:b/>
        </w:rPr>
        <w:t>2 Mitteilung zu Rundschreiben des BMU vom 28. April 1999 – IG I 3 – 51134/2 – (GMBl 1999 S. 446) und vom 5. Oktober 1999 – IG I 3 – 51134/2 – (GMBl 1999 S. 720)</w:t>
      </w:r>
    </w:p>
    <w:p>
      <w:pPr>
        <w:pStyle w:val="GesAbsatz"/>
      </w:pPr>
      <w:r>
        <w:t xml:space="preserve">Die Messeinrichtung NGA 2000 MLT 4 der Firma Emerson </w:t>
      </w:r>
      <w:r>
        <w:rPr>
          <w:lang w:val="en-US"/>
        </w:rPr>
        <w:t>Process</w:t>
      </w:r>
      <w:r>
        <w:t xml:space="preserve"> Management GmbH &amp; Co. OHG (eh</w:t>
      </w:r>
      <w:r>
        <w:t>e</w:t>
      </w:r>
      <w:r>
        <w:t>mals Fisher Rosemount GmbH &amp; Co.) Bericht-Nr. 936/806017/B und 936/806017/E wird jetzt mit einer ne</w:t>
      </w:r>
      <w:r>
        <w:t>u</w:t>
      </w:r>
      <w:r>
        <w:t>en Lampenkonfiguration für den UV-Bereich vertrieben.</w:t>
      </w:r>
    </w:p>
    <w:p>
      <w:pPr>
        <w:pStyle w:val="GesAbsatz"/>
      </w:pPr>
      <w:r>
        <w:t>Stellungnahme der TÜV Rheinland Immissionsschutz und Energiesysteme GmbH vom 20. Oktober 2008</w:t>
      </w:r>
    </w:p>
    <w:p>
      <w:pPr>
        <w:pStyle w:val="GesAbsatz"/>
        <w:rPr>
          <w:b/>
        </w:rPr>
      </w:pPr>
      <w:r>
        <w:rPr>
          <w:b/>
        </w:rPr>
        <w:t>3 Mitteilung zum Rundschreiben des BMU vom 29. Dezember 1997 – IG I 3 – 51134/1 – (GMBl 1998 S. 10)</w:t>
      </w:r>
    </w:p>
    <w:p>
      <w:pPr>
        <w:pStyle w:val="GesAbsatz"/>
      </w:pPr>
      <w:r>
        <w:t>Die Langzeitprobenahmeeinrichtung AMESA wird jetzt von der Firma</w:t>
      </w:r>
    </w:p>
    <w:p>
      <w:pPr>
        <w:pStyle w:val="GesAbsatz"/>
      </w:pPr>
      <w:r>
        <w:t>Environnement SA Deutschland</w:t>
      </w:r>
    </w:p>
    <w:p>
      <w:pPr>
        <w:pStyle w:val="GesAbsatz"/>
      </w:pPr>
      <w:r>
        <w:t>Kölner Str. 6</w:t>
      </w:r>
    </w:p>
    <w:p>
      <w:pPr>
        <w:pStyle w:val="GesAbsatz"/>
      </w:pPr>
      <w:r>
        <w:t>65760 Eschborn</w:t>
      </w:r>
    </w:p>
    <w:p>
      <w:pPr>
        <w:pStyle w:val="GesAbsatz"/>
      </w:pPr>
      <w:r>
        <w:t>hergestellt und vertrieben.</w:t>
      </w:r>
    </w:p>
    <w:p>
      <w:pPr>
        <w:pStyle w:val="GesAbsatz"/>
      </w:pPr>
      <w:r>
        <w:t>Stellungnahme der TÜV Rheinland Immissionsschutz und Energiesysteme GmbH vom 20. August 2008</w:t>
      </w:r>
    </w:p>
    <w:p>
      <w:pPr>
        <w:pStyle w:val="GesAbsatz"/>
        <w:rPr>
          <w:b/>
        </w:rPr>
      </w:pPr>
      <w:r>
        <w:rPr>
          <w:b/>
        </w:rPr>
        <w:t>4 Mitteilung zur Bekanntmachung des Umweltbundesamtes vom 12. August 2008 (BAnz. S. 3245)</w:t>
      </w:r>
    </w:p>
    <w:p>
      <w:pPr>
        <w:pStyle w:val="GesAbsatz"/>
      </w:pPr>
      <w:r>
        <w:t>Die Messeinrichtung Horiba PG 250 SRM kann auch in Verbindung mit dem Kondensationstrockner vom Typ PSS 5 der Firma M&amp;C Products Analysentechnik GmbH eingesetzt werden.</w:t>
      </w:r>
    </w:p>
    <w:p>
      <w:pPr>
        <w:pStyle w:val="GesAbsatz"/>
      </w:pPr>
      <w:r>
        <w:t>Stellungnahme der TÜV Rheinland Immissionsschutz und Energiesysteme GmbH vom 22. Oktober 2008</w:t>
      </w:r>
    </w:p>
    <w:p>
      <w:pPr>
        <w:pStyle w:val="GesAbsatz"/>
        <w:rPr>
          <w:b/>
        </w:rPr>
      </w:pPr>
      <w:r>
        <w:rPr>
          <w:b/>
        </w:rPr>
        <w:t>5 Mitteilung zur Bekanntmachung des Umweltbundesamtes vom 21. Februar 2006 (BAnz. S. 2654)</w:t>
      </w:r>
    </w:p>
    <w:p>
      <w:pPr>
        <w:pStyle w:val="GesAbsatz"/>
      </w:pPr>
      <w:r>
        <w:t>Die aktuellen Softwareversionen des Emissionsrechners TALAS/net mit UmweltOffice2005 und EFÜ Modul der Firma NIS Ingenieurgesellschaft mbH sind:</w:t>
      </w:r>
    </w:p>
    <w:p>
      <w:pPr>
        <w:pStyle w:val="GesAbsatz"/>
        <w:tabs>
          <w:tab w:val="clear" w:pos="425"/>
          <w:tab w:val="left" w:pos="3828"/>
        </w:tabs>
      </w:pPr>
      <w:r>
        <w:t>TALAS/net:</w:t>
      </w:r>
      <w:r>
        <w:tab/>
        <w:t>5.2 (015)</w:t>
      </w:r>
    </w:p>
    <w:p>
      <w:pPr>
        <w:pStyle w:val="GesAbsatz"/>
        <w:tabs>
          <w:tab w:val="clear" w:pos="425"/>
          <w:tab w:val="left" w:pos="3828"/>
        </w:tabs>
      </w:pPr>
      <w:r>
        <w:t>UmweltOffice2005:</w:t>
      </w:r>
      <w:r>
        <w:tab/>
        <w:t>5.5.4</w:t>
      </w:r>
    </w:p>
    <w:p>
      <w:pPr>
        <w:pStyle w:val="GesAbsatz"/>
        <w:tabs>
          <w:tab w:val="clear" w:pos="425"/>
          <w:tab w:val="left" w:pos="3828"/>
        </w:tabs>
      </w:pPr>
      <w:r>
        <w:t>Oracle-Datenbank:</w:t>
      </w:r>
      <w:r>
        <w:tab/>
        <w:t>10.1</w:t>
      </w:r>
    </w:p>
    <w:p>
      <w:pPr>
        <w:pStyle w:val="GesAbsatz"/>
        <w:tabs>
          <w:tab w:val="clear" w:pos="425"/>
          <w:tab w:val="left" w:pos="3828"/>
        </w:tabs>
      </w:pPr>
      <w:r>
        <w:t>TService</w:t>
      </w:r>
      <w:r>
        <w:tab/>
        <w:t>5.2 (015)</w:t>
      </w:r>
    </w:p>
    <w:p>
      <w:pPr>
        <w:pStyle w:val="GesAbsatz"/>
        <w:tabs>
          <w:tab w:val="clear" w:pos="425"/>
          <w:tab w:val="left" w:pos="3828"/>
        </w:tabs>
      </w:pPr>
      <w:r>
        <w:t>TAP52</w:t>
      </w:r>
      <w:r>
        <w:tab/>
        <w:t>5.2 (015)</w:t>
      </w:r>
    </w:p>
    <w:p>
      <w:pPr>
        <w:pStyle w:val="GesAbsatz"/>
      </w:pPr>
      <w:r>
        <w:t>Stellungnahme der TÜV Rheinland Immissionsschutz und Energiesysteme GmbH vom 24. Oktober 2008</w:t>
      </w:r>
    </w:p>
    <w:p>
      <w:pPr>
        <w:pStyle w:val="GesAbsatz"/>
        <w:rPr>
          <w:b/>
        </w:rPr>
      </w:pPr>
      <w:r>
        <w:rPr>
          <w:b/>
        </w:rPr>
        <w:t>6 Mitteilung zur Bekanntmachung des Umweltbunde</w:t>
      </w:r>
      <w:r>
        <w:rPr>
          <w:b/>
        </w:rPr>
        <w:t>s</w:t>
      </w:r>
      <w:r>
        <w:rPr>
          <w:b/>
        </w:rPr>
        <w:t>amtes vom 21. Februar 2006 (BAnz. S. 2654)</w:t>
      </w:r>
    </w:p>
    <w:p>
      <w:pPr>
        <w:pStyle w:val="GesAbsatz"/>
      </w:pPr>
      <w:r>
        <w:t>Die aktuellen Softwareversionen des Emissionsrechners TALAS/net mit DSM-05 und EFÜ Modul der Firma NIS Ingenieurgesellschaft mbH sind:</w:t>
      </w:r>
    </w:p>
    <w:p>
      <w:pPr>
        <w:pStyle w:val="GesAbsatz"/>
        <w:tabs>
          <w:tab w:val="clear" w:pos="425"/>
          <w:tab w:val="left" w:pos="2694"/>
        </w:tabs>
      </w:pPr>
      <w:r>
        <w:t>TALAS/net</w:t>
      </w:r>
      <w:r>
        <w:tab/>
        <w:t>5.2 (015)</w:t>
      </w:r>
    </w:p>
    <w:p>
      <w:pPr>
        <w:pStyle w:val="GesAbsatz"/>
        <w:tabs>
          <w:tab w:val="clear" w:pos="425"/>
          <w:tab w:val="left" w:pos="2694"/>
        </w:tabs>
      </w:pPr>
      <w:r>
        <w:t>DSM-05</w:t>
      </w:r>
      <w:r>
        <w:tab/>
        <w:t>5.5.4</w:t>
      </w:r>
    </w:p>
    <w:p>
      <w:pPr>
        <w:pStyle w:val="GesAbsatz"/>
        <w:tabs>
          <w:tab w:val="clear" w:pos="425"/>
          <w:tab w:val="left" w:pos="2694"/>
        </w:tabs>
      </w:pPr>
      <w:r>
        <w:t>Oracle-Datenbank:</w:t>
      </w:r>
      <w:r>
        <w:tab/>
        <w:t>10.1</w:t>
      </w:r>
    </w:p>
    <w:p>
      <w:pPr>
        <w:pStyle w:val="GesAbsatz"/>
        <w:tabs>
          <w:tab w:val="clear" w:pos="425"/>
          <w:tab w:val="left" w:pos="2694"/>
        </w:tabs>
      </w:pPr>
      <w:r>
        <w:lastRenderedPageBreak/>
        <w:t>TService</w:t>
      </w:r>
      <w:r>
        <w:tab/>
        <w:t>5.2 (015)</w:t>
      </w:r>
    </w:p>
    <w:p>
      <w:pPr>
        <w:pStyle w:val="GesAbsatz"/>
        <w:tabs>
          <w:tab w:val="clear" w:pos="425"/>
          <w:tab w:val="left" w:pos="2694"/>
        </w:tabs>
      </w:pPr>
      <w:r>
        <w:t>TAP52</w:t>
      </w:r>
      <w:r>
        <w:tab/>
        <w:t>5.2 (015)</w:t>
      </w:r>
    </w:p>
    <w:p>
      <w:pPr>
        <w:pStyle w:val="GesAbsatz"/>
      </w:pPr>
      <w:r>
        <w:t>Stellungnahme der TÜV Rheinland Immissionsschutz und Energiesysteme GmbH vom 24. Oktober 2008</w:t>
      </w:r>
    </w:p>
    <w:p>
      <w:pPr>
        <w:pStyle w:val="GesAbsatz"/>
        <w:rPr>
          <w:b/>
        </w:rPr>
      </w:pPr>
      <w:r>
        <w:rPr>
          <w:b/>
        </w:rPr>
        <w:t>7 Mitteilung zur Bekanntmachung des Umweltbunde</w:t>
      </w:r>
      <w:r>
        <w:rPr>
          <w:b/>
        </w:rPr>
        <w:t>s</w:t>
      </w:r>
      <w:r>
        <w:rPr>
          <w:b/>
        </w:rPr>
        <w:t>amtes vom 21. Februar 2006 (BAnz. S. 2654)</w:t>
      </w:r>
    </w:p>
    <w:p>
      <w:pPr>
        <w:pStyle w:val="GesAbsatz"/>
      </w:pPr>
      <w:r>
        <w:t>Die aktuellen Softwareversionen des Emissionsrechners TALAS/e mit UmweltOffice2005 und EFÜ Modul der Fi</w:t>
      </w:r>
      <w:r>
        <w:t>r</w:t>
      </w:r>
      <w:r>
        <w:t>ma NIS Ingenieurgesellschaft mbH sind:</w:t>
      </w:r>
    </w:p>
    <w:p>
      <w:pPr>
        <w:pStyle w:val="GesAbsatz"/>
        <w:tabs>
          <w:tab w:val="clear" w:pos="425"/>
          <w:tab w:val="left" w:pos="3544"/>
        </w:tabs>
      </w:pPr>
      <w:r>
        <w:t>TALAS/e:</w:t>
      </w:r>
      <w:r>
        <w:tab/>
        <w:t>4.2 (015)</w:t>
      </w:r>
    </w:p>
    <w:p>
      <w:pPr>
        <w:pStyle w:val="GesAbsatz"/>
        <w:tabs>
          <w:tab w:val="clear" w:pos="425"/>
          <w:tab w:val="left" w:pos="3544"/>
        </w:tabs>
      </w:pPr>
      <w:r>
        <w:t>UmweltOffice2005:</w:t>
      </w:r>
      <w:r>
        <w:tab/>
        <w:t>5.5.4</w:t>
      </w:r>
    </w:p>
    <w:p>
      <w:pPr>
        <w:pStyle w:val="GesAbsatz"/>
        <w:tabs>
          <w:tab w:val="clear" w:pos="425"/>
          <w:tab w:val="left" w:pos="3544"/>
        </w:tabs>
      </w:pPr>
      <w:r>
        <w:t>Oracle-Datenbank:</w:t>
      </w:r>
      <w:r>
        <w:tab/>
        <w:t>10.1</w:t>
      </w:r>
    </w:p>
    <w:p>
      <w:pPr>
        <w:pStyle w:val="GesAbsatz"/>
        <w:tabs>
          <w:tab w:val="clear" w:pos="425"/>
          <w:tab w:val="left" w:pos="3544"/>
        </w:tabs>
      </w:pPr>
      <w:r>
        <w:t>TService</w:t>
      </w:r>
      <w:r>
        <w:tab/>
        <w:t>5.2 (015)</w:t>
      </w:r>
    </w:p>
    <w:p>
      <w:pPr>
        <w:pStyle w:val="GesAbsatz"/>
        <w:tabs>
          <w:tab w:val="clear" w:pos="425"/>
          <w:tab w:val="left" w:pos="3544"/>
        </w:tabs>
      </w:pPr>
      <w:r>
        <w:t>TAP42</w:t>
      </w:r>
      <w:r>
        <w:tab/>
        <w:t>4.2 (015)</w:t>
      </w:r>
    </w:p>
    <w:p>
      <w:pPr>
        <w:pStyle w:val="GesAbsatz"/>
      </w:pPr>
      <w:r>
        <w:t>Stellungnahme der TÜV Rheinland Immissionsschutz und Energiesysteme GmbH vom 24. Oktober 2008</w:t>
      </w:r>
    </w:p>
    <w:p>
      <w:pPr>
        <w:pStyle w:val="GesAbsatz"/>
        <w:rPr>
          <w:b/>
        </w:rPr>
      </w:pPr>
      <w:r>
        <w:rPr>
          <w:b/>
        </w:rPr>
        <w:t>8 Mitteilung zur Bekanntmachung des Umweltbunde</w:t>
      </w:r>
      <w:r>
        <w:rPr>
          <w:b/>
        </w:rPr>
        <w:t>s</w:t>
      </w:r>
      <w:r>
        <w:rPr>
          <w:b/>
        </w:rPr>
        <w:t>amtes vom 21. Februar 2006 (BAnz. S. 2655)</w:t>
      </w:r>
    </w:p>
    <w:p>
      <w:pPr>
        <w:pStyle w:val="GesAbsatz"/>
      </w:pPr>
      <w:r>
        <w:t>Die aktuellen Softwareversionen des Emissionsrechners DAS05 mit UmweltOffice2005 und EFÜ Modul der Firma Dr. Födisch Umweltmesstechnik AG sind:</w:t>
      </w:r>
    </w:p>
    <w:p>
      <w:pPr>
        <w:pStyle w:val="GesAbsatz"/>
        <w:tabs>
          <w:tab w:val="clear" w:pos="425"/>
          <w:tab w:val="left" w:pos="3402"/>
        </w:tabs>
      </w:pPr>
      <w:r>
        <w:t>DAS05:</w:t>
      </w:r>
      <w:r>
        <w:tab/>
        <w:t>5.2 (015)</w:t>
      </w:r>
    </w:p>
    <w:p>
      <w:pPr>
        <w:pStyle w:val="GesAbsatz"/>
        <w:tabs>
          <w:tab w:val="clear" w:pos="425"/>
          <w:tab w:val="left" w:pos="3402"/>
        </w:tabs>
      </w:pPr>
      <w:r>
        <w:t>UmweltOffice2005:</w:t>
      </w:r>
      <w:r>
        <w:tab/>
        <w:t>5.5.4</w:t>
      </w:r>
    </w:p>
    <w:p>
      <w:pPr>
        <w:pStyle w:val="GesAbsatz"/>
        <w:tabs>
          <w:tab w:val="clear" w:pos="425"/>
          <w:tab w:val="left" w:pos="3402"/>
        </w:tabs>
      </w:pPr>
      <w:r>
        <w:t>Oracle-Datenbank:</w:t>
      </w:r>
      <w:r>
        <w:tab/>
        <w:t>10.1</w:t>
      </w:r>
    </w:p>
    <w:p>
      <w:pPr>
        <w:pStyle w:val="GesAbsatz"/>
        <w:tabs>
          <w:tab w:val="clear" w:pos="425"/>
          <w:tab w:val="left" w:pos="3402"/>
        </w:tabs>
      </w:pPr>
      <w:r>
        <w:t>TService</w:t>
      </w:r>
      <w:r>
        <w:tab/>
        <w:t>5.2 (015)</w:t>
      </w:r>
    </w:p>
    <w:p>
      <w:pPr>
        <w:pStyle w:val="GesAbsatz"/>
        <w:tabs>
          <w:tab w:val="clear" w:pos="425"/>
          <w:tab w:val="left" w:pos="3402"/>
        </w:tabs>
      </w:pPr>
      <w:r>
        <w:t>TAP52</w:t>
      </w:r>
      <w:r>
        <w:tab/>
        <w:t>5.2 (015)</w:t>
      </w:r>
    </w:p>
    <w:p>
      <w:pPr>
        <w:pStyle w:val="GesAbsatz"/>
      </w:pPr>
      <w:r>
        <w:t>Stellungnahme der TÜV Rheinland Immissionsschutz und Energiesysteme GmbH vom 24. Oktober 2008</w:t>
      </w:r>
    </w:p>
    <w:p>
      <w:pPr>
        <w:pStyle w:val="GesAbsatz"/>
        <w:rPr>
          <w:b/>
        </w:rPr>
      </w:pPr>
      <w:r>
        <w:rPr>
          <w:b/>
        </w:rPr>
        <w:t>9 Mitteilung zur Bekanntmachung des Umweltbunde</w:t>
      </w:r>
      <w:r>
        <w:rPr>
          <w:b/>
        </w:rPr>
        <w:t>s</w:t>
      </w:r>
      <w:r>
        <w:rPr>
          <w:b/>
        </w:rPr>
        <w:t>amtes vom 21. Februar 2006 (BAnz. S. 2655)</w:t>
      </w:r>
    </w:p>
    <w:p>
      <w:pPr>
        <w:pStyle w:val="GesAbsatz"/>
      </w:pPr>
      <w:r>
        <w:t>Die aktuellen Software Versionen des Emissionsrechners DAS05 mit DSM-05 und EFÜ Modul der Firma Dr. F</w:t>
      </w:r>
      <w:r>
        <w:t>ö</w:t>
      </w:r>
      <w:r>
        <w:t>disch Umweltmesstechnik AG sind:</w:t>
      </w:r>
    </w:p>
    <w:p>
      <w:pPr>
        <w:pStyle w:val="GesAbsatz"/>
        <w:tabs>
          <w:tab w:val="clear" w:pos="425"/>
          <w:tab w:val="left" w:pos="2835"/>
        </w:tabs>
      </w:pPr>
      <w:r>
        <w:t>DAS05:</w:t>
      </w:r>
      <w:r>
        <w:tab/>
        <w:t>5.2 (015)</w:t>
      </w:r>
    </w:p>
    <w:p>
      <w:pPr>
        <w:pStyle w:val="GesAbsatz"/>
        <w:tabs>
          <w:tab w:val="clear" w:pos="425"/>
          <w:tab w:val="left" w:pos="2835"/>
        </w:tabs>
      </w:pPr>
      <w:r>
        <w:t>DSM-05:</w:t>
      </w:r>
      <w:r>
        <w:tab/>
        <w:t>5.5.4</w:t>
      </w:r>
    </w:p>
    <w:p>
      <w:pPr>
        <w:pStyle w:val="GesAbsatz"/>
        <w:tabs>
          <w:tab w:val="clear" w:pos="425"/>
          <w:tab w:val="left" w:pos="2835"/>
        </w:tabs>
      </w:pPr>
      <w:r>
        <w:t>Oracle-Datenbank</w:t>
      </w:r>
      <w:r>
        <w:tab/>
        <w:t>10.1</w:t>
      </w:r>
    </w:p>
    <w:p>
      <w:pPr>
        <w:pStyle w:val="GesAbsatz"/>
        <w:tabs>
          <w:tab w:val="clear" w:pos="425"/>
          <w:tab w:val="left" w:pos="2835"/>
        </w:tabs>
      </w:pPr>
      <w:r>
        <w:t>TService</w:t>
      </w:r>
      <w:r>
        <w:tab/>
        <w:t>5.2 (015)</w:t>
      </w:r>
    </w:p>
    <w:p>
      <w:pPr>
        <w:pStyle w:val="GesAbsatz"/>
        <w:tabs>
          <w:tab w:val="clear" w:pos="425"/>
          <w:tab w:val="left" w:pos="2835"/>
        </w:tabs>
      </w:pPr>
      <w:r>
        <w:t>TAP52</w:t>
      </w:r>
      <w:r>
        <w:tab/>
        <w:t>5.2 (015)</w:t>
      </w:r>
    </w:p>
    <w:p>
      <w:pPr>
        <w:pStyle w:val="GesAbsatz"/>
      </w:pPr>
      <w:r>
        <w:t>Stellungnahme der TÜV Rheinland Immissionsschutz und Energiesysteme GmbH vom 24. Oktober 2008</w:t>
      </w:r>
    </w:p>
    <w:p>
      <w:pPr>
        <w:pStyle w:val="GesAbsatz"/>
        <w:rPr>
          <w:b/>
        </w:rPr>
      </w:pPr>
      <w:r>
        <w:rPr>
          <w:b/>
        </w:rPr>
        <w:t>10 Mitteilung zu Bekanntmachungen des Umweltbunde</w:t>
      </w:r>
      <w:r>
        <w:rPr>
          <w:b/>
        </w:rPr>
        <w:t>s</w:t>
      </w:r>
      <w:r>
        <w:rPr>
          <w:b/>
        </w:rPr>
        <w:t>amtes vom 23. September 2008 (BAnz. S. 7925) und vom 14. Februar 2008 (BAnz. S. 901)</w:t>
      </w:r>
    </w:p>
    <w:p>
      <w:pPr>
        <w:pStyle w:val="GesAbsatz"/>
      </w:pPr>
      <w:r>
        <w:t>Die Messeinrichtung DT 991 der Firma PCME Ltd. Bericht-Nr. 936/21206365/A und 936/21206365/B trägt jetzt die Bezeichnung PCME QAL 991.</w:t>
      </w:r>
    </w:p>
    <w:p>
      <w:pPr>
        <w:pStyle w:val="GesAbsatz"/>
      </w:pPr>
      <w:r>
        <w:t>Stellungnahme der TÜV Rheinland Immissionsschutz und Energiesysteme GmbH vom 10. Oktober 2008</w:t>
      </w:r>
    </w:p>
    <w:p>
      <w:pPr>
        <w:pStyle w:val="GesAbsatz"/>
      </w:pPr>
      <w:r>
        <w:rPr>
          <w:b/>
        </w:rPr>
        <w:t>11 Mitteilung zur Bekanntmachung des Umweltbundesamtes vom 12. September 2006 (BAnz. S. 6715)</w:t>
      </w:r>
    </w:p>
    <w:p>
      <w:pPr>
        <w:pStyle w:val="GesAbsatz"/>
      </w:pPr>
      <w:r>
        <w:t>Die Messeinrichtung LMS181 der Firma PCME Ltd. Bericht-Nr. 936/21204255/A trägt jetzt die Bezeichnung PCME QAL 181.</w:t>
      </w:r>
    </w:p>
    <w:p>
      <w:pPr>
        <w:pStyle w:val="GesAbsatz"/>
      </w:pPr>
      <w:r>
        <w:t>Stellungnahme der TÜV Rheinland Immissionsschutz und Energiesysteme GmbH vom 10. Oktober 2008</w:t>
      </w:r>
    </w:p>
    <w:p>
      <w:pPr>
        <w:pStyle w:val="GesAbsatz"/>
      </w:pPr>
      <w:r>
        <w:rPr>
          <w:b/>
        </w:rPr>
        <w:t>12 Mitteilung zum Rundschreiben des BMU vom 5. Oktober 1999 – IG I 3 – 51134/2 – (GMBl 1999 S. 720) und zur Bekanntmachung des Umweltbundesamtes vom 30. März 2004 (BAnz. S. 9220)</w:t>
      </w:r>
    </w:p>
    <w:p>
      <w:pPr>
        <w:pStyle w:val="GesAbsatz"/>
      </w:pPr>
      <w:r>
        <w:t>Die aktuelle Softwareversion der Emissionsmesseinrichtung (MCS 100 E HW der Firma SICK MAIHAK GmbH lautet Version 1.41.</w:t>
      </w:r>
    </w:p>
    <w:p>
      <w:pPr>
        <w:pStyle w:val="GesAbsatz"/>
      </w:pPr>
      <w:r>
        <w:t>Stellungnahme der TÜV Rheinland Immissionsschutz und Energiesysteme GmbH vom 20. August 2008</w:t>
      </w:r>
    </w:p>
    <w:p>
      <w:pPr>
        <w:pStyle w:val="GesAbsatz"/>
      </w:pPr>
      <w:r>
        <w:rPr>
          <w:b/>
        </w:rPr>
        <w:lastRenderedPageBreak/>
        <w:t>13 Mitteilung zum Rundschreiben des BMU vom 17. April 2001 – IG I 3 – 51134/2 – (GMBl 2001 S. 387)</w:t>
      </w:r>
    </w:p>
    <w:p>
      <w:pPr>
        <w:pStyle w:val="GesAbsatz"/>
      </w:pPr>
      <w:r>
        <w:t>Die aktuelle Softwareversion der Emissionsmesseinrichtung S 700 der Firma MAIHAK AG lautet Version 1.31.</w:t>
      </w:r>
    </w:p>
    <w:p>
      <w:pPr>
        <w:pStyle w:val="GesAbsatz"/>
      </w:pPr>
      <w:r>
        <w:t>Stellungnahme der TÜV Rheinland Immissionsschutz und Energiesysteme GmbH vom 20. August 2008</w:t>
      </w:r>
    </w:p>
    <w:p>
      <w:pPr>
        <w:pStyle w:val="GesAbsatz"/>
      </w:pPr>
      <w:r>
        <w:rPr>
          <w:b/>
        </w:rPr>
        <w:t>14 Mitteilung zur Bekanntmachung des Umweltbundesamtes vom 12. September 2006 (BAnz. S. 6715)</w:t>
      </w:r>
    </w:p>
    <w:p>
      <w:pPr>
        <w:pStyle w:val="GesAbsatz"/>
      </w:pPr>
      <w:r>
        <w:t>Die aktuelle Software-Version für das Analysatormodul der Messeinrichtungen der EasyLine EL3000 Serie ist 3.2.10.</w:t>
      </w:r>
    </w:p>
    <w:p>
      <w:pPr>
        <w:pStyle w:val="GesAbsatz"/>
      </w:pPr>
      <w:r>
        <w:t>Stellungnahme der TÜV Süd Industrie Service GmbH vom 20. Oktober 2008</w:t>
      </w:r>
    </w:p>
    <w:p>
      <w:pPr>
        <w:pStyle w:val="GesAbsatz"/>
      </w:pPr>
      <w:r>
        <w:rPr>
          <w:b/>
        </w:rPr>
        <w:t>15 Mitteilung zur Bekanntmachung des Umweltbundesamtes vom 12. September 2006 (BAnz. S. 6715)</w:t>
      </w:r>
    </w:p>
    <w:p>
      <w:pPr>
        <w:pStyle w:val="GesAbsatz"/>
      </w:pPr>
      <w:r>
        <w:t>Die aktuelle Software-Version für das Analysatormodul der Messeinrichtungen der Advance Optima AO2000 Serie ist 3.2.10.</w:t>
      </w:r>
    </w:p>
    <w:p>
      <w:pPr>
        <w:pStyle w:val="GesAbsatz"/>
      </w:pPr>
      <w:r>
        <w:t>Stellungnahme der TÜV Süd Industrie Service GmbH vom 20. Oktober 2008</w:t>
      </w:r>
    </w:p>
    <w:p>
      <w:pPr>
        <w:pStyle w:val="GesAbsatz"/>
      </w:pPr>
      <w:r>
        <w:rPr>
          <w:b/>
        </w:rPr>
        <w:t>16 Mitteilung zur Bekanntmachung des Umweltbundesamtes vom 21. Februar 2006 (BAnz. S. 2653)</w:t>
      </w:r>
    </w:p>
    <w:p>
      <w:pPr>
        <w:pStyle w:val="GesAbsatz"/>
      </w:pPr>
      <w:r>
        <w:t>Die aktuelle Software-Version für die Messeinrichtung FIDAMAT 6-7MB2421 ist 1.3.1.</w:t>
      </w:r>
    </w:p>
    <w:p>
      <w:pPr>
        <w:pStyle w:val="GesAbsatz"/>
      </w:pPr>
      <w:r>
        <w:t>Stellungnahme der TÜV Süd Industrie Service GmbH vom 20. Oktober 2008</w:t>
      </w:r>
    </w:p>
    <w:p>
      <w:pPr>
        <w:pStyle w:val="GesAbsatz"/>
      </w:pPr>
      <w:r>
        <w:rPr>
          <w:b/>
        </w:rPr>
        <w:t>17 Mitteilung zu Bekanntmachungen des Umweltbundesamts vom 31. März 2005 (BAnz. S. 6892) und vom 14. Februar 2008 (BAnz. S. 902)</w:t>
      </w:r>
    </w:p>
    <w:p>
      <w:pPr>
        <w:pStyle w:val="GesAbsatz"/>
      </w:pPr>
      <w:r>
        <w:t>Die aktuelle Software-Version für die Messeinrichtungen ULTRAMAT 23-7MB2235/2237 ist 2.14.02.</w:t>
      </w:r>
    </w:p>
    <w:p>
      <w:pPr>
        <w:pStyle w:val="GesAbsatz"/>
      </w:pPr>
      <w:r>
        <w:t>Stellungnahme der TÜV Süd Industrie Service GmbH vom 20. Oktober 2008</w:t>
      </w:r>
    </w:p>
    <w:p>
      <w:pPr>
        <w:pStyle w:val="GesAbsatz"/>
      </w:pPr>
      <w:r>
        <w:rPr>
          <w:b/>
        </w:rPr>
        <w:t>18 Mitteilung zu Bekanntmachungen des Umweltbundesamtes vom 12. April 2007 (BAnz. S. 4139) und vom 14. Februar 2008 (BAnz. S. 902)</w:t>
      </w:r>
    </w:p>
    <w:p>
      <w:pPr>
        <w:pStyle w:val="GesAbsatz"/>
      </w:pPr>
      <w:r>
        <w:t>Die aktuelle Software-Version für die Messeinrichtung ULTRAMAT 23-7MB2238 ist 2.14.02.</w:t>
      </w:r>
    </w:p>
    <w:p>
      <w:pPr>
        <w:pStyle w:val="GesAbsatz"/>
      </w:pPr>
      <w:r>
        <w:t>Stellungnahme der TÜV Süd Industrie Service GmbH vom 20. Oktober 2008</w:t>
      </w:r>
    </w:p>
    <w:p>
      <w:pPr>
        <w:pStyle w:val="GesAbsatz"/>
      </w:pPr>
      <w:r>
        <w:rPr>
          <w:b/>
        </w:rPr>
        <w:t>19 Mitteilung zum Rundschreiben des BMU vom 28. April 1999 (GMBl 1999 S. 447)</w:t>
      </w:r>
    </w:p>
    <w:p>
      <w:pPr>
        <w:pStyle w:val="GesAbsatz"/>
      </w:pPr>
      <w:r>
        <w:t>Die aktuelle Software-Version für die Messeinrichtungen ULTRAMAT 6 E/F, OXYMAT 6 E/F und ULTR</w:t>
      </w:r>
      <w:r>
        <w:t>A</w:t>
      </w:r>
      <w:r>
        <w:t>MAT/OXYMAT 6 E/F ist 4.7.2</w:t>
      </w:r>
    </w:p>
    <w:p>
      <w:pPr>
        <w:pStyle w:val="GesAbsatz"/>
      </w:pPr>
      <w:r>
        <w:t>Stellungnahme der TÜV Süd Industrie Service GmbH vom 20. Oktober 2008</w:t>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19.02.2009 (BAnz. 38 S. 899)</w:t>
    </w:r>
    <w:r>
      <w:tab/>
      <w:t>Se</w:t>
    </w:r>
    <w:r>
      <w:t>i</w:t>
    </w:r>
    <w:r>
      <w:t xml:space="preserve">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61.4-54</w:t>
    </w:r>
  </w:p>
  <w:p>
    <w:pPr>
      <w:pStyle w:val="Kopfzeile"/>
      <w:spacing w:before="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980C37E-55E9-4B1A-A1C9-5D3A9DDB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before="0"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pPr>
      <w:spacing w:before="0" w:after="0"/>
    </w:pPr>
    <w:rPr>
      <w:sz w:val="16"/>
    </w:rPr>
  </w:style>
  <w:style w:type="paragraph" w:styleId="Verzeichnis1">
    <w:name w:val="toc 1"/>
    <w:basedOn w:val="Verzeichnis3"/>
    <w:next w:val="Standard"/>
    <w:semiHidden/>
    <w:pPr>
      <w:spacing w:before="120" w:after="120"/>
      <w:ind w:left="0"/>
    </w:pPr>
    <w:rPr>
      <w:b/>
      <w:bCs/>
      <w:i w:val="0"/>
      <w:iCs w:val="0"/>
      <w:caps/>
    </w:rPr>
  </w:style>
  <w:style w:type="paragraph" w:customStyle="1" w:styleId="GesAbsatz">
    <w:name w:val="GesAbsatz"/>
    <w:basedOn w:val="Standard"/>
    <w:pPr>
      <w:tabs>
        <w:tab w:val="left" w:pos="425"/>
      </w:tabs>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basedOn w:val="Absatz-Standardschriftart"/>
    <w:semiHidden/>
    <w:rPr>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ueter\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13</Pages>
  <Words>3040</Words>
  <Characters>19881</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Bundeseinheitliche Praxis 12. August 2008</vt:lpstr>
    </vt:vector>
  </TitlesOfParts>
  <Manager/>
  <Company>LANUV NRW</Company>
  <LinksUpToDate>false</LinksUpToDate>
  <CharactersWithSpaces>22876</CharactersWithSpaces>
  <SharedDoc>false</SharedDoc>
  <HLinks>
    <vt:vector size="60" baseType="variant">
      <vt:variant>
        <vt:i4>1638456</vt:i4>
      </vt:variant>
      <vt:variant>
        <vt:i4>56</vt:i4>
      </vt:variant>
      <vt:variant>
        <vt:i4>0</vt:i4>
      </vt:variant>
      <vt:variant>
        <vt:i4>5</vt:i4>
      </vt:variant>
      <vt:variant>
        <vt:lpwstr/>
      </vt:variant>
      <vt:variant>
        <vt:lpwstr>_Toc225568912</vt:lpwstr>
      </vt:variant>
      <vt:variant>
        <vt:i4>1638456</vt:i4>
      </vt:variant>
      <vt:variant>
        <vt:i4>50</vt:i4>
      </vt:variant>
      <vt:variant>
        <vt:i4>0</vt:i4>
      </vt:variant>
      <vt:variant>
        <vt:i4>5</vt:i4>
      </vt:variant>
      <vt:variant>
        <vt:lpwstr/>
      </vt:variant>
      <vt:variant>
        <vt:lpwstr>_Toc225568911</vt:lpwstr>
      </vt:variant>
      <vt:variant>
        <vt:i4>1638456</vt:i4>
      </vt:variant>
      <vt:variant>
        <vt:i4>44</vt:i4>
      </vt:variant>
      <vt:variant>
        <vt:i4>0</vt:i4>
      </vt:variant>
      <vt:variant>
        <vt:i4>5</vt:i4>
      </vt:variant>
      <vt:variant>
        <vt:lpwstr/>
      </vt:variant>
      <vt:variant>
        <vt:lpwstr>_Toc225568910</vt:lpwstr>
      </vt:variant>
      <vt:variant>
        <vt:i4>1572920</vt:i4>
      </vt:variant>
      <vt:variant>
        <vt:i4>38</vt:i4>
      </vt:variant>
      <vt:variant>
        <vt:i4>0</vt:i4>
      </vt:variant>
      <vt:variant>
        <vt:i4>5</vt:i4>
      </vt:variant>
      <vt:variant>
        <vt:lpwstr/>
      </vt:variant>
      <vt:variant>
        <vt:lpwstr>_Toc225568909</vt:lpwstr>
      </vt:variant>
      <vt:variant>
        <vt:i4>1572920</vt:i4>
      </vt:variant>
      <vt:variant>
        <vt:i4>32</vt:i4>
      </vt:variant>
      <vt:variant>
        <vt:i4>0</vt:i4>
      </vt:variant>
      <vt:variant>
        <vt:i4>5</vt:i4>
      </vt:variant>
      <vt:variant>
        <vt:lpwstr/>
      </vt:variant>
      <vt:variant>
        <vt:lpwstr>_Toc225568908</vt:lpwstr>
      </vt:variant>
      <vt:variant>
        <vt:i4>1572920</vt:i4>
      </vt:variant>
      <vt:variant>
        <vt:i4>26</vt:i4>
      </vt:variant>
      <vt:variant>
        <vt:i4>0</vt:i4>
      </vt:variant>
      <vt:variant>
        <vt:i4>5</vt:i4>
      </vt:variant>
      <vt:variant>
        <vt:lpwstr/>
      </vt:variant>
      <vt:variant>
        <vt:lpwstr>_Toc225568907</vt:lpwstr>
      </vt:variant>
      <vt:variant>
        <vt:i4>1572920</vt:i4>
      </vt:variant>
      <vt:variant>
        <vt:i4>20</vt:i4>
      </vt:variant>
      <vt:variant>
        <vt:i4>0</vt:i4>
      </vt:variant>
      <vt:variant>
        <vt:i4>5</vt:i4>
      </vt:variant>
      <vt:variant>
        <vt:lpwstr/>
      </vt:variant>
      <vt:variant>
        <vt:lpwstr>_Toc225568906</vt:lpwstr>
      </vt:variant>
      <vt:variant>
        <vt:i4>1572920</vt:i4>
      </vt:variant>
      <vt:variant>
        <vt:i4>14</vt:i4>
      </vt:variant>
      <vt:variant>
        <vt:i4>0</vt:i4>
      </vt:variant>
      <vt:variant>
        <vt:i4>5</vt:i4>
      </vt:variant>
      <vt:variant>
        <vt:lpwstr/>
      </vt:variant>
      <vt:variant>
        <vt:lpwstr>_Toc225568905</vt:lpwstr>
      </vt:variant>
      <vt:variant>
        <vt:i4>1572920</vt:i4>
      </vt:variant>
      <vt:variant>
        <vt:i4>8</vt:i4>
      </vt:variant>
      <vt:variant>
        <vt:i4>0</vt:i4>
      </vt:variant>
      <vt:variant>
        <vt:i4>5</vt:i4>
      </vt:variant>
      <vt:variant>
        <vt:lpwstr/>
      </vt:variant>
      <vt:variant>
        <vt:lpwstr>_Toc225568904</vt:lpwstr>
      </vt:variant>
      <vt:variant>
        <vt:i4>1572920</vt:i4>
      </vt:variant>
      <vt:variant>
        <vt:i4>2</vt:i4>
      </vt:variant>
      <vt:variant>
        <vt:i4>0</vt:i4>
      </vt:variant>
      <vt:variant>
        <vt:i4>5</vt:i4>
      </vt:variant>
      <vt:variant>
        <vt:lpwstr/>
      </vt:variant>
      <vt:variant>
        <vt:lpwstr>_Toc225568903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Bundeseinheitliche Praxis 12. August 2008</dc:title>
  <dc:subject/>
  <dc:creator>LANUV NRW</dc:creator>
  <cp:keywords/>
  <dc:description/>
  <cp:lastModifiedBy>Rüter, Dr., Ingo</cp:lastModifiedBy>
  <cp:revision>2</cp:revision>
  <cp:lastPrinted>2009-04-01T08:59:00Z</cp:lastPrinted>
  <dcterms:created xsi:type="dcterms:W3CDTF">2024-07-18T06:53:00Z</dcterms:created>
  <dcterms:modified xsi:type="dcterms:W3CDTF">2024-07-18T06:53:00Z</dcterms:modified>
</cp:coreProperties>
</file>