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210618590"/>
      <w:r>
        <w:t>Bekanntmachung über die bunde</w:t>
      </w:r>
      <w:r>
        <w:t>s</w:t>
      </w:r>
      <w:r>
        <w:t xml:space="preserve">einheitliche Praxis bei der </w:t>
      </w:r>
      <w:r>
        <w:br/>
        <w:t>Überwachung der Emissionen und der Immi</w:t>
      </w:r>
      <w:r>
        <w:t>s</w:t>
      </w:r>
      <w:r>
        <w:t>sionen</w:t>
      </w:r>
      <w:bookmarkEnd w:id="0"/>
    </w:p>
    <w:p>
      <w:pPr>
        <w:pStyle w:val="GesAbsatz"/>
        <w:jc w:val="center"/>
      </w:pPr>
      <w:r>
        <w:t>vom 12. August 2008</w:t>
      </w:r>
    </w:p>
    <w:p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p>
      <w:pPr>
        <w:pStyle w:val="Verzeichnis1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210618590" w:history="1">
        <w:r>
          <w:rPr>
            <w:rStyle w:val="Hyperlink"/>
            <w:noProof/>
          </w:rPr>
          <w:t>Bekanntmachung über die bundeseinheitliche Praxis bei der  Überwachung der Emissionen und der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_Toc210618590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10618591" w:history="1">
        <w:r>
          <w:rPr>
            <w:rStyle w:val="Hyperlink"/>
            <w:noProof/>
          </w:rPr>
          <w:t>I. Eignung von Messeinrichtungen zur kontinuierlichen Überwachung von Emissionen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_Toc210618591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10618592" w:history="1">
        <w:r>
          <w:rPr>
            <w:rStyle w:val="Hyperlink"/>
            <w:noProof/>
          </w:rPr>
          <w:t>1 Staubförmige Emissionen (Staubkonzentration)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_Toc210618592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10618593" w:history="1">
        <w:r>
          <w:rPr>
            <w:rStyle w:val="Hyperlink"/>
            <w:noProof/>
          </w:rPr>
          <w:t>2 Mehrkomponentenmesseinrichtungen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_Toc210618593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10618594" w:history="1">
        <w:r>
          <w:rPr>
            <w:rStyle w:val="Hyperlink"/>
            <w:noProof/>
          </w:rPr>
          <w:t>II. Eignung für Messeinrichtungen zur kontinuierlichen Messung von Bezugsgrößen/Betriebsgrößen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_Toc210618594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10618595" w:history="1">
        <w:r>
          <w:rPr>
            <w:rStyle w:val="Hyperlink"/>
            <w:noProof/>
          </w:rPr>
          <w:t>1 Abgasgeschwindigkeit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_Toc210618595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10618596" w:history="1">
        <w:r>
          <w:rPr>
            <w:rStyle w:val="Hyperlink"/>
            <w:noProof/>
          </w:rPr>
          <w:t>III. Eignung von Messeinrichtungen zur kontinuierlichen Überwachung von 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_Toc210618596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10618597" w:history="1">
        <w:r>
          <w:rPr>
            <w:rStyle w:val="Hyperlink"/>
            <w:noProof/>
            <w:lang w:val="en-GB"/>
          </w:rPr>
          <w:t>1 Kohlenmonoxid (CO)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_Toc210618597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10618598" w:history="1">
        <w:r>
          <w:rPr>
            <w:rStyle w:val="Hyperlink"/>
            <w:noProof/>
          </w:rPr>
          <w:t>IV. Mitteilungen zur Bundeseinheitlichen Praxis bei der Überwachung von Emissionen und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_Toc210618598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rPr>
          <w:rFonts w:ascii="Times New Roman" w:hAnsi="Times New Roman"/>
          <w:b/>
          <w:bCs/>
          <w:caps/>
          <w:color w:val="auto"/>
        </w:rPr>
        <w:fldChar w:fldCharType="end"/>
      </w:r>
    </w:p>
    <w:p>
      <w:pPr>
        <w:pStyle w:val="berschrift2"/>
      </w:pPr>
      <w:bookmarkStart w:id="1" w:name="_Toc210618591"/>
      <w:r>
        <w:t>I.</w:t>
      </w:r>
      <w:r>
        <w:br/>
        <w:t>Eignung von Messeinrichtungen zur kontin</w:t>
      </w:r>
      <w:r>
        <w:t>u</w:t>
      </w:r>
      <w:r>
        <w:t>ierlichen Überwachung von Emissionen</w:t>
      </w:r>
      <w:bookmarkEnd w:id="1"/>
    </w:p>
    <w:p>
      <w:pPr>
        <w:pStyle w:val="GesAbsatz"/>
      </w:pPr>
      <w:r>
        <w:t>Unter Bezugnahme auf Nummer 3 der Richtlinie über die Bundeseinheitliche Praxis bei der Überwachung der Emissionen - Rundschreiben des Bundesministeriums für Umwelt, Naturschutz und Reaktorsicherheit (BMU) vom 13. Juni 2005 - IG I 2 - 45053/5 (GMBl. 2005 S. 795) - wird im Auftrage des BMU die Eignung der folgenden Messei</w:t>
      </w:r>
      <w:r>
        <w:t>n</w:t>
      </w:r>
      <w:r>
        <w:t>richtungen bekannt gegeben:</w:t>
      </w:r>
    </w:p>
    <w:p>
      <w:pPr>
        <w:pStyle w:val="berschrift3"/>
        <w:jc w:val="left"/>
      </w:pPr>
      <w:bookmarkStart w:id="2" w:name="_Toc210618592"/>
      <w:r>
        <w:t>1 Staubförmige Emissionen (Staubkonze</w:t>
      </w:r>
      <w:r>
        <w:t>n</w:t>
      </w:r>
      <w:r>
        <w:t>tration)</w:t>
      </w:r>
      <w:bookmarkEnd w:id="2"/>
    </w:p>
    <w:p>
      <w:pPr>
        <w:pStyle w:val="GesAbsatz"/>
        <w:rPr>
          <w:b/>
        </w:rPr>
      </w:pPr>
      <w:r>
        <w:rPr>
          <w:b/>
        </w:rPr>
        <w:t>1.1 DUSTHUNTER SF100 für Staub (Massenkonzentr</w:t>
      </w:r>
      <w:r>
        <w:rPr>
          <w:b/>
        </w:rPr>
        <w:t>a</w:t>
      </w:r>
      <w:r>
        <w:rPr>
          <w:b/>
        </w:rPr>
        <w:t xml:space="preserve">tion) </w:t>
      </w:r>
    </w:p>
    <w:p>
      <w:pPr>
        <w:pStyle w:val="GesAbsatz"/>
      </w:pPr>
      <w:r>
        <w:t>Hersteller:</w:t>
      </w:r>
    </w:p>
    <w:p>
      <w:pPr>
        <w:pStyle w:val="GesAbsatz"/>
      </w:pPr>
      <w:r>
        <w:t>SICK Engineering GmbH, O</w:t>
      </w:r>
      <w:r>
        <w:t>t</w:t>
      </w:r>
      <w:r>
        <w:t>tendorf-Okrilla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Messbereiche bei der Eignungsprüfung:</w:t>
      </w:r>
    </w:p>
    <w:p>
      <w:pPr>
        <w:pStyle w:val="GesAbsatz"/>
        <w:rPr>
          <w:rFonts w:cs="Arial"/>
        </w:rPr>
      </w:pPr>
      <w:r>
        <w:tab/>
        <w:t xml:space="preserve">Staub (Streulichtmessung): 0 bis 50 Streulichteinheiten </w:t>
      </w:r>
      <w:r>
        <w:rPr>
          <w:rFonts w:ascii="Lucida Sans Unicode" w:hAnsi="Lucida Sans Unicode" w:cs="Lucida Sans Unicode"/>
        </w:rPr>
        <w:t>≙</w:t>
      </w:r>
      <w:r>
        <w:rPr>
          <w:rFonts w:cs="Arial"/>
        </w:rPr>
        <w:t xml:space="preserve"> 15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Staub, sowie</w:t>
      </w:r>
    </w:p>
    <w:p>
      <w:pPr>
        <w:pStyle w:val="GesAbsatz"/>
      </w:pPr>
      <w:r>
        <w:tab/>
        <w:t>0 bis 5 Streulichteinheiten</w:t>
      </w:r>
    </w:p>
    <w:p>
      <w:pPr>
        <w:pStyle w:val="GesAbsatz"/>
      </w:pPr>
      <w:r>
        <w:tab/>
        <w:t>0 bis 20 Streulichteinheiten</w:t>
      </w:r>
    </w:p>
    <w:p>
      <w:pPr>
        <w:pStyle w:val="GesAbsatz"/>
      </w:pPr>
      <w:r>
        <w:tab/>
        <w:t>0 bis 100 Streulichteinheiten</w:t>
      </w:r>
    </w:p>
    <w:p>
      <w:pPr>
        <w:pStyle w:val="GesAbsatz"/>
      </w:pPr>
      <w:r>
        <w:tab/>
        <w:t>0 bis 200 Streulichteinheiten</w:t>
      </w:r>
    </w:p>
    <w:p>
      <w:pPr>
        <w:pStyle w:val="GesAbsatz"/>
        <w:tabs>
          <w:tab w:val="clear" w:pos="425"/>
          <w:tab w:val="left" w:pos="3402"/>
        </w:tabs>
      </w:pPr>
      <w:r>
        <w:t xml:space="preserve">Software Versionen: </w:t>
      </w:r>
      <w:r>
        <w:tab/>
        <w:t>MCU: 1.026</w:t>
      </w:r>
    </w:p>
    <w:p>
      <w:pPr>
        <w:pStyle w:val="GesAbsatz"/>
        <w:tabs>
          <w:tab w:val="clear" w:pos="425"/>
          <w:tab w:val="left" w:pos="3402"/>
        </w:tabs>
      </w:pPr>
      <w:r>
        <w:t>Sensor:</w:t>
      </w:r>
      <w:r>
        <w:tab/>
        <w:t xml:space="preserve">1.3.04 </w:t>
      </w:r>
    </w:p>
    <w:p>
      <w:pPr>
        <w:pStyle w:val="GesAbsatz"/>
        <w:tabs>
          <w:tab w:val="clear" w:pos="425"/>
          <w:tab w:val="left" w:pos="3402"/>
        </w:tabs>
      </w:pPr>
      <w:r>
        <w:t>SOPAS ET:</w:t>
      </w:r>
      <w:r>
        <w:tab/>
        <w:t>02.16</w:t>
      </w:r>
    </w:p>
    <w:p>
      <w:pPr>
        <w:pStyle w:val="GesAbsatz"/>
        <w:tabs>
          <w:tab w:val="clear" w:pos="425"/>
          <w:tab w:val="left" w:pos="2127"/>
        </w:tabs>
      </w:pPr>
      <w:r>
        <w:t>Einschränkung:</w:t>
      </w:r>
    </w:p>
    <w:p>
      <w:pPr>
        <w:pStyle w:val="GesAbsatz"/>
      </w:pPr>
      <w:r>
        <w:t>Die Messeinrichtung kann nur eingesetzt werden, wenn eine Unterschreitung des Taupunktes ausgeschlo</w:t>
      </w:r>
      <w:r>
        <w:t>s</w:t>
      </w:r>
      <w:r>
        <w:t xml:space="preserve">sen werden kann. 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Das Wartungsintervall beträgt 4 Wochen.</w:t>
      </w:r>
    </w:p>
    <w:p>
      <w:pPr>
        <w:pStyle w:val="GesAbsatz"/>
      </w:pPr>
      <w:r>
        <w:t>2.</w:t>
      </w:r>
      <w:r>
        <w:tab/>
        <w:t>Die Staubkonzentration wird im feuchten Abgas unter Betriebsbedingungen gemessen.</w:t>
      </w:r>
    </w:p>
    <w:p>
      <w:pPr>
        <w:pStyle w:val="GesAbsatz"/>
      </w:pPr>
      <w:r>
        <w:t>Prüfbericht:</w:t>
      </w:r>
    </w:p>
    <w:p>
      <w:pPr>
        <w:pStyle w:val="GesAbsatz"/>
      </w:pPr>
      <w:r>
        <w:lastRenderedPageBreak/>
        <w:t>TÜV Rheinland Immissionsschutz und Energiesysteme GmbH, Köln</w:t>
      </w:r>
    </w:p>
    <w:p>
      <w:pPr>
        <w:pStyle w:val="GesAbsatz"/>
      </w:pPr>
      <w:r>
        <w:t>Bericht-Nr.:</w:t>
      </w:r>
      <w:r>
        <w:tab/>
        <w:t>936/21207351/B vom 10. März 2008</w:t>
      </w:r>
    </w:p>
    <w:p>
      <w:pPr>
        <w:pStyle w:val="GesAbsatz"/>
        <w:rPr>
          <w:b/>
        </w:rPr>
      </w:pPr>
      <w:r>
        <w:rPr>
          <w:b/>
        </w:rPr>
        <w:t>1.2 DUSTHUNTER T200 für Staub (Massenkonzentrat</w:t>
      </w:r>
      <w:r>
        <w:rPr>
          <w:b/>
        </w:rPr>
        <w:t>i</w:t>
      </w:r>
      <w:r>
        <w:rPr>
          <w:b/>
        </w:rPr>
        <w:t xml:space="preserve">on) </w:t>
      </w:r>
    </w:p>
    <w:p>
      <w:pPr>
        <w:pStyle w:val="GesAbsatz"/>
      </w:pPr>
      <w:r>
        <w:t>Hersteller:</w:t>
      </w:r>
    </w:p>
    <w:p>
      <w:pPr>
        <w:pStyle w:val="GesAbsatz"/>
      </w:pPr>
      <w:r>
        <w:t>SICK Engineering GmbH, Ottendorf-Okrilla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BlmSchV</w:t>
      </w:r>
    </w:p>
    <w:p>
      <w:pPr>
        <w:pStyle w:val="GesAbsatz"/>
      </w:pPr>
      <w:r>
        <w:t>Messbereiche bei der Eignungsprüfung:</w:t>
      </w:r>
    </w:p>
    <w:p>
      <w:pPr>
        <w:pStyle w:val="GesAbsatz"/>
        <w:rPr>
          <w:rFonts w:cs="Arial"/>
        </w:rPr>
      </w:pPr>
      <w:r>
        <w:t xml:space="preserve">Staub (Transmissionsmessung): 0 bis 0,1 Ext. </w:t>
      </w:r>
      <w:r>
        <w:rPr>
          <w:rFonts w:ascii="Lucida Sans Unicode" w:hAnsi="Lucida Sans Unicode" w:cs="Lucida Sans Unicode"/>
        </w:rPr>
        <w:t>≙</w:t>
      </w:r>
      <w:r>
        <w:rPr>
          <w:rFonts w:cs="Arial"/>
        </w:rPr>
        <w:t xml:space="preserve"> 15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Staub bei 5 m Messwe</w:t>
      </w:r>
      <w:r>
        <w:rPr>
          <w:rFonts w:cs="Arial"/>
        </w:rPr>
        <w:t>g</w:t>
      </w:r>
      <w:r>
        <w:rPr>
          <w:rFonts w:cs="Arial"/>
        </w:rPr>
        <w:t>länge,</w:t>
      </w:r>
      <w:r>
        <w:rPr>
          <w:rFonts w:cs="Arial"/>
        </w:rPr>
        <w:br/>
        <w:t>sowie</w:t>
      </w:r>
    </w:p>
    <w:p>
      <w:pPr>
        <w:pStyle w:val="GesAbsatz"/>
      </w:pPr>
      <w:r>
        <w:tab/>
        <w:t>0 bis 0,05 Ext.</w:t>
      </w:r>
    </w:p>
    <w:p>
      <w:pPr>
        <w:pStyle w:val="GesAbsatz"/>
      </w:pPr>
      <w:r>
        <w:tab/>
        <w:t>0 bis 0,2 Ext.</w:t>
      </w:r>
    </w:p>
    <w:p>
      <w:pPr>
        <w:pStyle w:val="GesAbsatz"/>
      </w:pPr>
      <w:r>
        <w:tab/>
        <w:t>0 bis 0,5 Ext.</w:t>
      </w:r>
    </w:p>
    <w:p>
      <w:pPr>
        <w:pStyle w:val="GesAbsatz"/>
      </w:pPr>
      <w:r>
        <w:tab/>
        <w:t>0 bis 1,0 Ext.</w:t>
      </w:r>
    </w:p>
    <w:p>
      <w:pPr>
        <w:pStyle w:val="GesAbsatz"/>
      </w:pPr>
      <w:r>
        <w:t>Softwareversionen:</w:t>
      </w:r>
      <w:r>
        <w:tab/>
        <w:t>MCU: 1.026</w:t>
      </w:r>
    </w:p>
    <w:p>
      <w:pPr>
        <w:pStyle w:val="GesAbsatz"/>
        <w:tabs>
          <w:tab w:val="clear" w:pos="425"/>
          <w:tab w:val="left" w:pos="2127"/>
        </w:tabs>
      </w:pPr>
      <w:r>
        <w:tab/>
        <w:t>Sensor: 1.3.04</w:t>
      </w:r>
    </w:p>
    <w:p>
      <w:pPr>
        <w:pStyle w:val="GesAbsatz"/>
        <w:tabs>
          <w:tab w:val="clear" w:pos="425"/>
          <w:tab w:val="left" w:pos="2127"/>
        </w:tabs>
      </w:pPr>
      <w:r>
        <w:tab/>
        <w:t>SOPAS ET: 02.16</w:t>
      </w:r>
    </w:p>
    <w:p>
      <w:pPr>
        <w:pStyle w:val="GesAbsatz"/>
      </w:pPr>
      <w:r>
        <w:t>Einschränkung:</w:t>
      </w:r>
    </w:p>
    <w:p>
      <w:pPr>
        <w:pStyle w:val="GesAbsatz"/>
      </w:pPr>
      <w:r>
        <w:t>Die Messeinrichtung kann nur eingesetzt werden, wenn eine Unterschreitung des Taupunktes ausgeschlo</w:t>
      </w:r>
      <w:r>
        <w:t>s</w:t>
      </w:r>
      <w:r>
        <w:t>sen werden kann.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Das Wartungsintervall beträgt 4 Wochen.</w:t>
      </w:r>
    </w:p>
    <w:p>
      <w:pPr>
        <w:pStyle w:val="GesAbsatz"/>
      </w:pPr>
      <w:r>
        <w:t>2.</w:t>
      </w:r>
      <w:r>
        <w:tab/>
        <w:t>Die Staubkonzentration wird im feuchten Abgas unter Betriebsbedingungen gemessen.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</w:t>
      </w:r>
      <w:r>
        <w:tab/>
        <w:t xml:space="preserve">936/21207351/C vom 10. März 2008 </w:t>
      </w:r>
    </w:p>
    <w:p>
      <w:pPr>
        <w:pStyle w:val="GesAbsatz"/>
        <w:rPr>
          <w:b/>
        </w:rPr>
      </w:pPr>
      <w:r>
        <w:rPr>
          <w:b/>
        </w:rPr>
        <w:t>1.3 DUSTHUNTER C200 für Staub (Massenkonzentrat</w:t>
      </w:r>
      <w:r>
        <w:rPr>
          <w:b/>
        </w:rPr>
        <w:t>i</w:t>
      </w:r>
      <w:r>
        <w:rPr>
          <w:b/>
        </w:rPr>
        <w:t xml:space="preserve">on) </w:t>
      </w:r>
    </w:p>
    <w:p>
      <w:pPr>
        <w:pStyle w:val="GesAbsatz"/>
      </w:pPr>
      <w:r>
        <w:t>Hersteller:</w:t>
      </w:r>
    </w:p>
    <w:p>
      <w:pPr>
        <w:pStyle w:val="GesAbsatz"/>
      </w:pPr>
      <w:r>
        <w:t xml:space="preserve">SICK Engineering GmbH, Ottendorf-Okrilla 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 xml:space="preserve">Staub (Transmissionsmessung):  0 bis 0,1 Ext. </w:t>
      </w:r>
      <w:r>
        <w:rPr>
          <w:rFonts w:ascii="Lucida Sans Unicode" w:hAnsi="Lucida Sans Unicode" w:cs="Lucida Sans Unicode"/>
        </w:rPr>
        <w:t>≙</w:t>
      </w:r>
      <w:r>
        <w:rPr>
          <w:rFonts w:cs="Arial"/>
        </w:rPr>
        <w:t xml:space="preserve"> 15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Staub bei 5 m Messwe</w:t>
      </w:r>
      <w:r>
        <w:rPr>
          <w:rFonts w:cs="Arial"/>
        </w:rPr>
        <w:t>g</w:t>
      </w:r>
      <w:r>
        <w:rPr>
          <w:rFonts w:cs="Arial"/>
        </w:rPr>
        <w:t>länge,</w:t>
      </w:r>
      <w:r>
        <w:rPr>
          <w:rFonts w:cs="Arial"/>
        </w:rPr>
        <w:br/>
        <w:t>sowie</w:t>
      </w:r>
    </w:p>
    <w:p>
      <w:pPr>
        <w:pStyle w:val="GesAbsatz"/>
      </w:pPr>
      <w:r>
        <w:tab/>
        <w:t>0 bis 0,05 Ext.</w:t>
      </w:r>
    </w:p>
    <w:p>
      <w:pPr>
        <w:pStyle w:val="GesAbsatz"/>
      </w:pPr>
      <w:r>
        <w:tab/>
        <w:t>0 bis 0,2 Ext.</w:t>
      </w:r>
    </w:p>
    <w:p>
      <w:pPr>
        <w:pStyle w:val="GesAbsatz"/>
      </w:pPr>
      <w:r>
        <w:tab/>
        <w:t>0 bis 0,5 Ext.</w:t>
      </w:r>
    </w:p>
    <w:p>
      <w:pPr>
        <w:pStyle w:val="GesAbsatz"/>
      </w:pPr>
      <w:r>
        <w:tab/>
        <w:t>0 bis 1,0 Ext.</w:t>
      </w:r>
    </w:p>
    <w:p>
      <w:pPr>
        <w:pStyle w:val="GesAbsatz"/>
      </w:pPr>
      <w:r>
        <w:t>Staub (Streulichtmessung):</w:t>
      </w:r>
    </w:p>
    <w:p>
      <w:pPr>
        <w:pStyle w:val="GesAbsatz"/>
        <w:rPr>
          <w:rFonts w:cs="Arial"/>
        </w:rPr>
      </w:pPr>
      <w:r>
        <w:tab/>
        <w:t xml:space="preserve">0 bis 50 Streulichteinheiten </w:t>
      </w:r>
      <w:r>
        <w:rPr>
          <w:rFonts w:ascii="Lucida Sans Unicode" w:hAnsi="Lucida Sans Unicode" w:cs="Lucida Sans Unicode"/>
        </w:rPr>
        <w:t>≙</w:t>
      </w:r>
      <w:r>
        <w:rPr>
          <w:rFonts w:cs="Arial"/>
        </w:rPr>
        <w:t>15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Staub,</w:t>
      </w:r>
    </w:p>
    <w:p>
      <w:pPr>
        <w:pStyle w:val="GesAbsatz"/>
        <w:rPr>
          <w:rFonts w:cs="Arial"/>
        </w:rPr>
      </w:pPr>
      <w:r>
        <w:rPr>
          <w:rFonts w:cs="Arial"/>
        </w:rPr>
        <w:t>sowie</w:t>
      </w:r>
    </w:p>
    <w:p>
      <w:pPr>
        <w:pStyle w:val="GesAbsatz"/>
      </w:pPr>
      <w:r>
        <w:tab/>
        <w:t>0 bis 5 Streulichteinheiten</w:t>
      </w:r>
    </w:p>
    <w:p>
      <w:pPr>
        <w:pStyle w:val="GesAbsatz"/>
      </w:pPr>
      <w:r>
        <w:lastRenderedPageBreak/>
        <w:tab/>
        <w:t>0 bis 20 Streulichteinheiten</w:t>
      </w:r>
    </w:p>
    <w:p>
      <w:pPr>
        <w:pStyle w:val="GesAbsatz"/>
      </w:pPr>
      <w:r>
        <w:tab/>
        <w:t>0 bis 100 Streulichteinheiten</w:t>
      </w:r>
    </w:p>
    <w:p>
      <w:pPr>
        <w:pStyle w:val="GesAbsatz"/>
      </w:pPr>
      <w:r>
        <w:tab/>
        <w:t>0 bis 200 Streulichteinheiten</w:t>
      </w:r>
    </w:p>
    <w:p>
      <w:pPr>
        <w:pStyle w:val="GesAbsatz"/>
      </w:pPr>
      <w:r>
        <w:t xml:space="preserve">Softwareversionen: </w:t>
      </w:r>
      <w:r>
        <w:tab/>
        <w:t>MCU: 1.026</w:t>
      </w:r>
    </w:p>
    <w:p>
      <w:pPr>
        <w:pStyle w:val="GesAbsatz"/>
        <w:tabs>
          <w:tab w:val="clear" w:pos="425"/>
          <w:tab w:val="left" w:pos="2127"/>
        </w:tabs>
      </w:pPr>
      <w:r>
        <w:tab/>
        <w:t>Sensor: 1.3.04</w:t>
      </w:r>
    </w:p>
    <w:p>
      <w:pPr>
        <w:pStyle w:val="GesAbsatz"/>
        <w:tabs>
          <w:tab w:val="clear" w:pos="425"/>
          <w:tab w:val="left" w:pos="2127"/>
        </w:tabs>
      </w:pPr>
      <w:r>
        <w:tab/>
        <w:t>SOPAS ET: 02.16</w:t>
      </w:r>
    </w:p>
    <w:p>
      <w:pPr>
        <w:pStyle w:val="GesAbsatz"/>
      </w:pPr>
      <w:r>
        <w:t>Einschränkung:</w:t>
      </w:r>
    </w:p>
    <w:p>
      <w:pPr>
        <w:pStyle w:val="GesAbsatz"/>
      </w:pPr>
      <w:r>
        <w:t>Die Messeinrichtung kann nur eingesetzt werden, wenn eine Unterschreitung des Taupunktes ausgeschlo</w:t>
      </w:r>
      <w:r>
        <w:t>s</w:t>
      </w:r>
      <w:r>
        <w:t>sen werden kann.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Das Wartungsintervall beträgt 4 Wochen.</w:t>
      </w:r>
    </w:p>
    <w:p>
      <w:pPr>
        <w:pStyle w:val="GesAbsatz"/>
      </w:pPr>
      <w:r>
        <w:t>2.</w:t>
      </w:r>
      <w:r>
        <w:tab/>
        <w:t>Die Staubkonzentration wird im feuchten Abgas unter Betriebsbedingungen gemessen.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</w:t>
      </w:r>
      <w:r>
        <w:tab/>
        <w:t>936/21207351/A vom 10. März 2008</w:t>
      </w:r>
    </w:p>
    <w:p>
      <w:pPr>
        <w:pStyle w:val="berschrift3"/>
        <w:jc w:val="left"/>
      </w:pPr>
      <w:bookmarkStart w:id="3" w:name="_Toc210618593"/>
      <w:r>
        <w:t>2 Mehrkomponentenmesseinrichtungen</w:t>
      </w:r>
      <w:bookmarkEnd w:id="3"/>
    </w:p>
    <w:p>
      <w:pPr>
        <w:pStyle w:val="GesAbsatz"/>
        <w:rPr>
          <w:b/>
        </w:rPr>
      </w:pPr>
      <w:r>
        <w:rPr>
          <w:b/>
        </w:rPr>
        <w:t>2.1 SIDOR für CO, NO, SO</w:t>
      </w:r>
      <w:r>
        <w:rPr>
          <w:b/>
          <w:vertAlign w:val="subscript"/>
        </w:rPr>
        <w:t>2</w:t>
      </w:r>
      <w:r>
        <w:rPr>
          <w:b/>
        </w:rPr>
        <w:t xml:space="preserve"> und der Bezugsgröße O</w:t>
      </w:r>
      <w:r>
        <w:rPr>
          <w:b/>
          <w:vertAlign w:val="subscript"/>
        </w:rPr>
        <w:t>2</w:t>
      </w:r>
    </w:p>
    <w:p>
      <w:pPr>
        <w:pStyle w:val="GesAbsatz"/>
      </w:pPr>
      <w:r>
        <w:t>Hersteller:</w:t>
      </w:r>
    </w:p>
    <w:p>
      <w:pPr>
        <w:pStyle w:val="GesAbsatz"/>
      </w:pPr>
      <w:r>
        <w:t>MAIHAK AG, Hamburg</w:t>
      </w:r>
    </w:p>
    <w:p>
      <w:pPr>
        <w:pStyle w:val="GesAbsatz"/>
      </w:pPr>
      <w:r>
        <w:t>Vertreiber:</w:t>
      </w:r>
    </w:p>
    <w:p>
      <w:pPr>
        <w:pStyle w:val="GesAbsatz"/>
      </w:pPr>
      <w:r>
        <w:t>SICK/Maihak GmbH, Reute</w:t>
      </w:r>
    </w:p>
    <w:p>
      <w:pPr>
        <w:pStyle w:val="GesAbsatz"/>
      </w:pPr>
      <w:r>
        <w:t>Eignung:</w:t>
      </w:r>
    </w:p>
    <w:p>
      <w:pPr>
        <w:pStyle w:val="GesAbsatz"/>
      </w:pPr>
      <w:r>
        <w:t>Anlagen der 13. und 27. BImSchV sowie der TA-Luft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left" w:pos="2268"/>
        </w:tabs>
      </w:pPr>
      <w:r>
        <w:tab/>
        <w:t>CO</w:t>
      </w:r>
      <w:r>
        <w:tab/>
        <w:t>0 bis 75 mg/m</w:t>
      </w:r>
      <w:r>
        <w:rPr>
          <w:vertAlign w:val="superscript"/>
        </w:rPr>
        <w:t>3</w:t>
      </w:r>
    </w:p>
    <w:p>
      <w:pPr>
        <w:pStyle w:val="GesAbsatz"/>
        <w:tabs>
          <w:tab w:val="left" w:pos="2268"/>
        </w:tabs>
      </w:pPr>
      <w:r>
        <w:tab/>
        <w:t>NO</w:t>
      </w:r>
      <w:r>
        <w:tab/>
        <w:t>0 bis 125 mg/m</w:t>
      </w:r>
      <w:r>
        <w:rPr>
          <w:vertAlign w:val="superscript"/>
        </w:rPr>
        <w:t>3</w:t>
      </w:r>
    </w:p>
    <w:p>
      <w:pPr>
        <w:pStyle w:val="GesAbsatz"/>
        <w:tabs>
          <w:tab w:val="left" w:pos="2268"/>
        </w:tabs>
      </w:pPr>
      <w:r>
        <w:tab/>
        <w:t>SO</w:t>
      </w:r>
      <w:r>
        <w:rPr>
          <w:vertAlign w:val="subscript"/>
        </w:rPr>
        <w:t>2</w:t>
      </w:r>
      <w:r>
        <w:tab/>
        <w:t>0 bis 100 mg/m</w:t>
      </w:r>
      <w:r>
        <w:rPr>
          <w:vertAlign w:val="superscript"/>
        </w:rPr>
        <w:t>3</w:t>
      </w:r>
    </w:p>
    <w:p>
      <w:pPr>
        <w:pStyle w:val="GesAbsatz"/>
        <w:tabs>
          <w:tab w:val="left" w:pos="2268"/>
        </w:tabs>
      </w:pPr>
      <w:r>
        <w:tab/>
        <w:t>O</w:t>
      </w:r>
      <w:r>
        <w:rPr>
          <w:vertAlign w:val="subscript"/>
        </w:rPr>
        <w:t>2</w:t>
      </w:r>
      <w:r>
        <w:t>, el.chem.</w:t>
      </w:r>
      <w:r>
        <w:tab/>
        <w:t>0 bis 25 Vol.-%</w:t>
      </w:r>
    </w:p>
    <w:p>
      <w:pPr>
        <w:pStyle w:val="GesAbsatz"/>
        <w:tabs>
          <w:tab w:val="left" w:pos="2268"/>
        </w:tabs>
      </w:pPr>
      <w:r>
        <w:tab/>
      </w:r>
      <w:r>
        <w:tab/>
        <w:t xml:space="preserve">0 bis 10 Vol.-% </w:t>
      </w:r>
    </w:p>
    <w:p>
      <w:pPr>
        <w:pStyle w:val="GesAbsatz"/>
        <w:tabs>
          <w:tab w:val="left" w:pos="2268"/>
        </w:tabs>
      </w:pPr>
      <w:r>
        <w:tab/>
        <w:t>O</w:t>
      </w:r>
      <w:r>
        <w:rPr>
          <w:vertAlign w:val="subscript"/>
        </w:rPr>
        <w:t>2</w:t>
      </w:r>
      <w:r>
        <w:t>, paramag.</w:t>
      </w:r>
      <w:r>
        <w:tab/>
        <w:t>0 bis 25 Vol.-%</w:t>
      </w:r>
    </w:p>
    <w:p>
      <w:pPr>
        <w:pStyle w:val="GesAbsatz"/>
        <w:tabs>
          <w:tab w:val="left" w:pos="2268"/>
        </w:tabs>
      </w:pPr>
      <w:r>
        <w:tab/>
      </w:r>
      <w:r>
        <w:tab/>
        <w:t>0 bis 10 Vol.-%</w:t>
      </w:r>
    </w:p>
    <w:p>
      <w:pPr>
        <w:pStyle w:val="GesAbsatz"/>
      </w:pPr>
      <w:r>
        <w:t>Softwareversion:</w:t>
      </w:r>
      <w:r>
        <w:tab/>
        <w:t>1.7</w:t>
      </w:r>
    </w:p>
    <w:p>
      <w:pPr>
        <w:pStyle w:val="GesAbsatz"/>
      </w:pPr>
      <w:r>
        <w:t>Einschränkungen:</w:t>
      </w:r>
    </w:p>
    <w:p>
      <w:pPr>
        <w:pStyle w:val="GesAbsatz"/>
      </w:pPr>
      <w:r>
        <w:t>Für die Komponenten CO, NO und SO</w:t>
      </w:r>
      <w:r>
        <w:rPr>
          <w:vertAlign w:val="subscript"/>
        </w:rPr>
        <w:t>2</w:t>
      </w:r>
      <w:r>
        <w:t>:</w:t>
      </w:r>
    </w:p>
    <w:p>
      <w:pPr>
        <w:pStyle w:val="GesAbsatz"/>
      </w:pPr>
      <w:r>
        <w:t>Wöchentliche Autokalibrierung des Nullpunktes mit b</w:t>
      </w:r>
      <w:r>
        <w:t>e</w:t>
      </w:r>
      <w:r>
        <w:t>feuchteter Umgebungsluft oder Stickstoff.</w:t>
      </w:r>
    </w:p>
    <w:p>
      <w:pPr>
        <w:pStyle w:val="GesAbsatz"/>
      </w:pPr>
      <w:r>
        <w:t>Für O</w:t>
      </w:r>
      <w:r>
        <w:rPr>
          <w:vertAlign w:val="subscript"/>
        </w:rPr>
        <w:t>2</w:t>
      </w:r>
      <w:r>
        <w:t>:</w:t>
      </w:r>
    </w:p>
    <w:p>
      <w:pPr>
        <w:pStyle w:val="GesAbsatz"/>
      </w:pPr>
      <w:r>
        <w:t>Wöchentliche Autokalibrierung der Empfindlichkeit mit befeuchteter Umgebungsluft.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Das während der Ergänzungsprüfung ermittelte Wa</w:t>
      </w:r>
      <w:r>
        <w:t>r</w:t>
      </w:r>
      <w:r>
        <w:t>tungsintervall beträgt 6 Monate.</w:t>
      </w:r>
    </w:p>
    <w:p>
      <w:pPr>
        <w:pStyle w:val="GesAbsatz"/>
        <w:ind w:left="426" w:hanging="426"/>
      </w:pPr>
      <w:r>
        <w:t>2.</w:t>
      </w:r>
      <w:r>
        <w:tab/>
        <w:t>Ergänzungsprüfung zur Bekanntgabe des Umweltbu</w:t>
      </w:r>
      <w:r>
        <w:t>n</w:t>
      </w:r>
      <w:r>
        <w:t>desamtes vom 12. September 2006</w:t>
      </w:r>
      <w:r>
        <w:br/>
        <w:t>(BAnz. S. 6716).</w:t>
      </w:r>
    </w:p>
    <w:p>
      <w:pPr>
        <w:pStyle w:val="GesAbsatz"/>
      </w:pPr>
      <w:r>
        <w:lastRenderedPageBreak/>
        <w:t>Prüfbericht:</w:t>
      </w:r>
    </w:p>
    <w:p>
      <w:pPr>
        <w:pStyle w:val="GesAbsatz"/>
      </w:pPr>
      <w:r>
        <w:t>TÜV NORD Umweltschutz GmbH &amp; Co. KG</w:t>
      </w:r>
    </w:p>
    <w:p>
      <w:pPr>
        <w:pStyle w:val="GesAbsatz"/>
      </w:pPr>
      <w:r>
        <w:t>Bericht-Nr.: 107GMT005/8000616716 vom 29. Februar 2008</w:t>
      </w:r>
    </w:p>
    <w:p>
      <w:pPr>
        <w:pStyle w:val="GesAbsatz"/>
        <w:rPr>
          <w:b/>
        </w:rPr>
      </w:pPr>
      <w:r>
        <w:rPr>
          <w:b/>
        </w:rPr>
        <w:t>2.2 LaserGas II für H</w:t>
      </w:r>
      <w:r>
        <w:rPr>
          <w:b/>
          <w:vertAlign w:val="subscript"/>
        </w:rPr>
        <w:t>2</w:t>
      </w:r>
      <w:r>
        <w:rPr>
          <w:b/>
        </w:rPr>
        <w:t>O und NH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</w:p>
    <w:p>
      <w:pPr>
        <w:pStyle w:val="GesAbsatz"/>
      </w:pPr>
      <w:r>
        <w:t>Hersteller:</w:t>
      </w:r>
    </w:p>
    <w:p>
      <w:pPr>
        <w:pStyle w:val="GesAbsatz"/>
      </w:pPr>
      <w:r>
        <w:t>NEO Monitors AS, Lorenskog, Norwegen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1843"/>
        </w:tabs>
      </w:pPr>
      <w:r>
        <w:t>NH</w:t>
      </w:r>
      <w:r>
        <w:rPr>
          <w:vertAlign w:val="subscript"/>
        </w:rPr>
        <w:t>3</w:t>
      </w:r>
      <w:r>
        <w:tab/>
        <w:t>0 bis 10*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843"/>
        </w:tabs>
      </w:pPr>
      <w:r>
        <w:tab/>
        <w:t>0 bis 15*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843"/>
        </w:tabs>
      </w:pPr>
      <w:r>
        <w:t>H</w:t>
      </w:r>
      <w:r>
        <w:rPr>
          <w:vertAlign w:val="subscript"/>
        </w:rPr>
        <w:t>2</w:t>
      </w:r>
      <w:r>
        <w:t>O</w:t>
      </w:r>
      <w:r>
        <w:tab/>
        <w:t>0 bis 30* Vol.-%</w:t>
      </w:r>
    </w:p>
    <w:p>
      <w:pPr>
        <w:pStyle w:val="GesAbsatz"/>
        <w:tabs>
          <w:tab w:val="clear" w:pos="425"/>
          <w:tab w:val="left" w:pos="1843"/>
        </w:tabs>
      </w:pPr>
      <w:r>
        <w:tab/>
        <w:t>0 bis 40* Vol.-%</w:t>
      </w:r>
    </w:p>
    <w:p>
      <w:pPr>
        <w:pStyle w:val="GesAbsatz"/>
        <w:tabs>
          <w:tab w:val="clear" w:pos="425"/>
          <w:tab w:val="left" w:pos="1843"/>
        </w:tabs>
      </w:pPr>
      <w:r>
        <w:tab/>
        <w:t>0 bis 50* Vol.-%</w:t>
      </w:r>
    </w:p>
    <w:p>
      <w:pPr>
        <w:pStyle w:val="GesAbsatz"/>
      </w:pPr>
      <w:r>
        <w:t>* bei einer aktiven Messweglänge von 1,00 m</w:t>
      </w:r>
    </w:p>
    <w:p>
      <w:pPr>
        <w:pStyle w:val="GesAbsatz"/>
      </w:pPr>
      <w:r>
        <w:t>Softwareversionen:</w:t>
      </w:r>
      <w:r>
        <w:tab/>
        <w:t>GM6.1c1 und gmw61 Version V.1.2.5.1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Die Messweglänge betrug im Labortest 0,513 m.</w:t>
      </w:r>
    </w:p>
    <w:p>
      <w:pPr>
        <w:pStyle w:val="GesAbsatz"/>
      </w:pPr>
      <w:r>
        <w:t>2.</w:t>
      </w:r>
      <w:r>
        <w:tab/>
        <w:t>Die Messweglänge betrug im Feldtest 1,0 m.</w:t>
      </w:r>
    </w:p>
    <w:p>
      <w:pPr>
        <w:pStyle w:val="GesAbsatz"/>
        <w:ind w:left="426" w:hanging="426"/>
      </w:pPr>
      <w:r>
        <w:t>3.</w:t>
      </w:r>
      <w:r>
        <w:tab/>
        <w:t>Für die Überprüfung von NH</w:t>
      </w:r>
      <w:r>
        <w:rPr>
          <w:vertAlign w:val="subscript"/>
        </w:rPr>
        <w:t>3</w:t>
      </w:r>
      <w:r>
        <w:t xml:space="preserve"> können trockene Prüfgase in Verbindung mit einer unbeheizten Messga</w:t>
      </w:r>
      <w:r>
        <w:t>s</w:t>
      </w:r>
      <w:r>
        <w:t>zelle eingesetzt werden.</w:t>
      </w:r>
    </w:p>
    <w:p>
      <w:pPr>
        <w:pStyle w:val="GesAbsatz"/>
      </w:pPr>
      <w:r>
        <w:t>4.</w:t>
      </w:r>
      <w:r>
        <w:tab/>
        <w:t>Das Wartungsintervall beträgt 12 Wochen.</w:t>
      </w:r>
    </w:p>
    <w:p>
      <w:pPr>
        <w:pStyle w:val="GesAbsatz"/>
      </w:pPr>
      <w:r>
        <w:t>5.</w:t>
      </w:r>
      <w:r>
        <w:tab/>
        <w:t>Eine interne Messwertkontrolle ist fester Bestandteil der Messeinrichtung.</w:t>
      </w:r>
    </w:p>
    <w:p>
      <w:pPr>
        <w:pStyle w:val="GesAbsatz"/>
      </w:pPr>
      <w:r>
        <w:t>6.</w:t>
      </w:r>
      <w:r>
        <w:tab/>
        <w:t>Ergänzungsprüfung zur Bekanntgabe des Umweltbu</w:t>
      </w:r>
      <w:r>
        <w:t>n</w:t>
      </w:r>
      <w:r>
        <w:t>desamtes vom 14. Februar 2008 (BAnz. S. 901).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TÜV Rheinland Group</w:t>
      </w:r>
    </w:p>
    <w:p>
      <w:pPr>
        <w:pStyle w:val="GesAbsatz"/>
        <w:rPr>
          <w:lang w:val="en-GB"/>
        </w:rPr>
      </w:pPr>
      <w:r>
        <w:t>Bericht-Nr.: 936/21205655/B vom 29. Februar</w:t>
      </w:r>
      <w:r>
        <w:rPr>
          <w:lang w:val="en-GB"/>
        </w:rPr>
        <w:t xml:space="preserve"> 2008</w:t>
      </w:r>
    </w:p>
    <w:p>
      <w:pPr>
        <w:pStyle w:val="GesAbsatz"/>
        <w:rPr>
          <w:b/>
          <w:lang w:val="en-GB"/>
        </w:rPr>
      </w:pPr>
      <w:r>
        <w:rPr>
          <w:b/>
          <w:lang w:val="en-GB"/>
        </w:rPr>
        <w:t xml:space="preserve">2.3 GIGAS 10M </w:t>
      </w:r>
      <w:r>
        <w:rPr>
          <w:b/>
        </w:rPr>
        <w:t>für</w:t>
      </w:r>
      <w:r>
        <w:rPr>
          <w:b/>
          <w:lang w:val="en-GB"/>
        </w:rPr>
        <w:t xml:space="preserve"> CO, NO, NO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SO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HCl, NH</w:t>
      </w:r>
      <w:r>
        <w:rPr>
          <w:b/>
          <w:vertAlign w:val="subscript"/>
          <w:lang w:val="en-GB"/>
        </w:rPr>
        <w:t>3</w:t>
      </w:r>
      <w:r>
        <w:rPr>
          <w:b/>
          <w:lang w:val="en-GB"/>
        </w:rPr>
        <w:t>, CO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 xml:space="preserve"> und H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 xml:space="preserve">O </w:t>
      </w:r>
    </w:p>
    <w:p>
      <w:pPr>
        <w:pStyle w:val="GesAbsatz"/>
      </w:pPr>
      <w:r>
        <w:t>Hersteller:</w:t>
      </w:r>
    </w:p>
    <w:p>
      <w:pPr>
        <w:pStyle w:val="GesAbsatz"/>
        <w:rPr>
          <w:lang w:val="it-IT"/>
        </w:rPr>
      </w:pPr>
      <w:r>
        <w:rPr>
          <w:lang w:val="it-IT"/>
        </w:rPr>
        <w:t xml:space="preserve">General Impianti, Moie di Maiolati, </w:t>
      </w:r>
      <w:r>
        <w:t>Italien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1701"/>
        </w:tabs>
      </w:pPr>
      <w:r>
        <w:t>CO</w:t>
      </w:r>
      <w:r>
        <w:tab/>
        <w:t>0 bis 75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ab/>
        <w:t>0 bis 300 mg/m</w:t>
      </w:r>
      <w:r>
        <w:rPr>
          <w:vertAlign w:val="superscript"/>
        </w:rPr>
        <w:t>3</w:t>
      </w:r>
      <w:r>
        <w:t xml:space="preserve"> </w:t>
      </w:r>
    </w:p>
    <w:p>
      <w:pPr>
        <w:pStyle w:val="GesAbsatz"/>
        <w:tabs>
          <w:tab w:val="clear" w:pos="425"/>
          <w:tab w:val="left" w:pos="1701"/>
        </w:tabs>
      </w:pPr>
      <w:r>
        <w:t>NO</w:t>
      </w:r>
      <w:r>
        <w:tab/>
        <w:t>0 bis 200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ab/>
        <w:t>0 bis 400 mg/m</w:t>
      </w:r>
      <w:r>
        <w:rPr>
          <w:vertAlign w:val="superscript"/>
        </w:rPr>
        <w:t>3</w:t>
      </w:r>
      <w:r>
        <w:t xml:space="preserve"> </w:t>
      </w:r>
    </w:p>
    <w:p>
      <w:pPr>
        <w:pStyle w:val="GesAbsatz"/>
        <w:tabs>
          <w:tab w:val="clear" w:pos="425"/>
          <w:tab w:val="left" w:pos="1701"/>
        </w:tabs>
      </w:pPr>
      <w:r>
        <w:t>NO</w:t>
      </w:r>
      <w:r>
        <w:rPr>
          <w:vertAlign w:val="subscript"/>
        </w:rPr>
        <w:t>2</w:t>
      </w:r>
      <w:r>
        <w:tab/>
        <w:t>0 bis 100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ab/>
        <w:t>0 bis 200 mg/m</w:t>
      </w:r>
      <w:r>
        <w:rPr>
          <w:vertAlign w:val="superscript"/>
        </w:rPr>
        <w:t>3</w:t>
      </w:r>
      <w:r>
        <w:t xml:space="preserve"> </w:t>
      </w:r>
    </w:p>
    <w:p>
      <w:pPr>
        <w:pStyle w:val="GesAbsatz"/>
        <w:tabs>
          <w:tab w:val="clear" w:pos="425"/>
          <w:tab w:val="left" w:pos="1701"/>
        </w:tabs>
      </w:pPr>
      <w:r>
        <w:t>SO</w:t>
      </w:r>
      <w:r>
        <w:rPr>
          <w:vertAlign w:val="subscript"/>
        </w:rPr>
        <w:t>2</w:t>
      </w:r>
      <w:r>
        <w:tab/>
        <w:t>0 bis 75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ab/>
        <w:t>0 bis 300 mg/m</w:t>
      </w:r>
      <w:r>
        <w:rPr>
          <w:vertAlign w:val="superscript"/>
        </w:rPr>
        <w:t>3</w:t>
      </w:r>
      <w:r>
        <w:t xml:space="preserve"> </w:t>
      </w:r>
    </w:p>
    <w:p>
      <w:pPr>
        <w:pStyle w:val="GesAbsatz"/>
        <w:tabs>
          <w:tab w:val="clear" w:pos="425"/>
          <w:tab w:val="left" w:pos="1701"/>
        </w:tabs>
      </w:pPr>
      <w:r>
        <w:lastRenderedPageBreak/>
        <w:t>NH</w:t>
      </w:r>
      <w:r>
        <w:rPr>
          <w:vertAlign w:val="subscript"/>
        </w:rPr>
        <w:t>3</w:t>
      </w:r>
      <w:r>
        <w:tab/>
        <w:t>0 bis 15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>HCl</w:t>
      </w:r>
      <w:r>
        <w:tab/>
        <w:t>0 bis 15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ab/>
        <w:t>0 bis 90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>CO</w:t>
      </w:r>
      <w:r>
        <w:rPr>
          <w:vertAlign w:val="subscript"/>
        </w:rPr>
        <w:t>2</w:t>
      </w:r>
      <w:r>
        <w:tab/>
        <w:t>0 bis 20 Vol.-%</w:t>
      </w:r>
    </w:p>
    <w:p>
      <w:pPr>
        <w:pStyle w:val="GesAbsatz"/>
        <w:tabs>
          <w:tab w:val="clear" w:pos="425"/>
          <w:tab w:val="left" w:pos="1701"/>
        </w:tabs>
      </w:pPr>
      <w:r>
        <w:t>H</w:t>
      </w:r>
      <w:r>
        <w:rPr>
          <w:vertAlign w:val="subscript"/>
        </w:rPr>
        <w:t>2</w:t>
      </w:r>
      <w:r>
        <w:t>O</w:t>
      </w:r>
      <w:r>
        <w:tab/>
        <w:t>0 bis 30 Vol.-%</w:t>
      </w:r>
    </w:p>
    <w:p>
      <w:pPr>
        <w:pStyle w:val="GesAbsatz"/>
      </w:pPr>
      <w:r>
        <w:t>Softwareversionen:</w:t>
      </w:r>
      <w:r>
        <w:tab/>
        <w:t>GasCalc 4.4 und Ominc 6.2</w:t>
      </w:r>
    </w:p>
    <w:p>
      <w:pPr>
        <w:pStyle w:val="GesAbsatz"/>
      </w:pPr>
      <w:r>
        <w:t>Einschränkungen:</w:t>
      </w:r>
    </w:p>
    <w:p>
      <w:pPr>
        <w:pStyle w:val="GesAbsatz"/>
        <w:ind w:left="426" w:hanging="426"/>
      </w:pPr>
      <w:r>
        <w:t>1.</w:t>
      </w:r>
      <w:r>
        <w:tab/>
        <w:t>Die Messeinrichtung darf nur an Anlagen eingesetzt werden, bei denen die Abgasfeuchte 30 Vol.-% nicht dauerhaft überschreitet.</w:t>
      </w:r>
    </w:p>
    <w:p>
      <w:pPr>
        <w:pStyle w:val="GesAbsatz"/>
      </w:pPr>
      <w:r>
        <w:t>2.</w:t>
      </w:r>
      <w:r>
        <w:tab/>
        <w:t>Die Einstellzeit für HCl beträgt 200 s.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Bei der Prüfung von HCl und NH</w:t>
      </w:r>
      <w:r>
        <w:rPr>
          <w:vertAlign w:val="subscript"/>
        </w:rPr>
        <w:t>3</w:t>
      </w:r>
      <w:r>
        <w:t xml:space="preserve"> sind feuchte Prü</w:t>
      </w:r>
      <w:r>
        <w:t>f</w:t>
      </w:r>
      <w:r>
        <w:t>gase einzusetzen.</w:t>
      </w:r>
    </w:p>
    <w:p>
      <w:pPr>
        <w:pStyle w:val="GesAbsatz"/>
      </w:pPr>
      <w:r>
        <w:t>2.</w:t>
      </w:r>
      <w:r>
        <w:tab/>
        <w:t>Das Wartungsintervall betragt 6 Monate.</w:t>
      </w:r>
    </w:p>
    <w:p>
      <w:pPr>
        <w:pStyle w:val="GesAbsatz"/>
        <w:ind w:left="426" w:hanging="426"/>
      </w:pPr>
      <w:r>
        <w:t>3.</w:t>
      </w:r>
      <w:r>
        <w:tab/>
        <w:t>Ergänzungsprüfung zu den Bekanntgaben des U</w:t>
      </w:r>
      <w:r>
        <w:t>m</w:t>
      </w:r>
      <w:r>
        <w:t>weltbundesamtes vom 23. September 2007 (BAnz. S. 7925) und vom 14. Februar 2008 (BAnz. S. 901).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 xml:space="preserve">TÜV Rheinland Group </w:t>
      </w:r>
    </w:p>
    <w:p>
      <w:pPr>
        <w:pStyle w:val="GesAbsatz"/>
      </w:pPr>
      <w:r>
        <w:t>Bericht-Nr.: 936/21206517/C vom 27. Februar 2008</w:t>
      </w:r>
    </w:p>
    <w:p>
      <w:pPr>
        <w:pStyle w:val="GesAbsatz"/>
        <w:rPr>
          <w:b/>
        </w:rPr>
      </w:pPr>
      <w:r>
        <w:rPr>
          <w:b/>
        </w:rPr>
        <w:t>2.4 PG 250 SRM für CO, NO</w:t>
      </w:r>
      <w:r>
        <w:rPr>
          <w:b/>
          <w:vertAlign w:val="subscript"/>
        </w:rPr>
        <w:t>x</w:t>
      </w:r>
      <w:r>
        <w:rPr>
          <w:b/>
        </w:rPr>
        <w:t xml:space="preserve"> und O</w:t>
      </w:r>
      <w:r>
        <w:rPr>
          <w:b/>
          <w:vertAlign w:val="subscript"/>
        </w:rPr>
        <w:t>2</w:t>
      </w:r>
      <w:r>
        <w:rPr>
          <w:b/>
        </w:rPr>
        <w:t xml:space="preserve"> Hersteller</w:t>
      </w:r>
    </w:p>
    <w:p>
      <w:pPr>
        <w:pStyle w:val="GesAbsatz"/>
      </w:pPr>
      <w:r>
        <w:t>Horiba Europe GmbH, Leichlingen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1701"/>
        </w:tabs>
      </w:pPr>
      <w:r>
        <w:t>CO</w:t>
      </w:r>
      <w:r>
        <w:tab/>
        <w:t>0 bis 75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>NO</w:t>
      </w:r>
      <w:r>
        <w:rPr>
          <w:vertAlign w:val="subscript"/>
        </w:rPr>
        <w:t>X</w:t>
      </w:r>
      <w:r>
        <w:tab/>
        <w:t>0 bis 134 mg/m</w:t>
      </w:r>
      <w:r>
        <w:rPr>
          <w:vertAlign w:val="superscript"/>
        </w:rPr>
        <w:t>3</w:t>
      </w:r>
      <w:r>
        <w:t xml:space="preserve"> als NO</w:t>
      </w:r>
    </w:p>
    <w:p>
      <w:pPr>
        <w:pStyle w:val="GesAbsatz"/>
        <w:tabs>
          <w:tab w:val="clear" w:pos="425"/>
          <w:tab w:val="left" w:pos="1701"/>
        </w:tabs>
      </w:pPr>
      <w:r>
        <w:tab/>
        <w:t>0 bis 205 mg/m</w:t>
      </w:r>
      <w:r>
        <w:rPr>
          <w:vertAlign w:val="superscript"/>
        </w:rPr>
        <w:t>3</w:t>
      </w:r>
      <w:r>
        <w:t xml:space="preserve"> als NO</w:t>
      </w:r>
      <w:r>
        <w:rPr>
          <w:vertAlign w:val="subscript"/>
        </w:rPr>
        <w:t>2</w:t>
      </w:r>
    </w:p>
    <w:p>
      <w:pPr>
        <w:pStyle w:val="GesAbsatz"/>
        <w:tabs>
          <w:tab w:val="clear" w:pos="425"/>
          <w:tab w:val="left" w:pos="1701"/>
        </w:tabs>
      </w:pPr>
      <w:r>
        <w:t>O</w:t>
      </w:r>
      <w:r>
        <w:rPr>
          <w:vertAlign w:val="subscript"/>
        </w:rPr>
        <w:t>2</w:t>
      </w:r>
      <w:r>
        <w:tab/>
        <w:t>0 bis 25 Vol.-%</w:t>
      </w:r>
    </w:p>
    <w:p>
      <w:pPr>
        <w:pStyle w:val="GesAbsatz"/>
        <w:tabs>
          <w:tab w:val="left" w:pos="1701"/>
        </w:tabs>
      </w:pPr>
      <w:r>
        <w:t>Softwareversion:</w:t>
      </w:r>
      <w:r>
        <w:tab/>
        <w:t>P 1000500001C</w:t>
      </w:r>
    </w:p>
    <w:p>
      <w:pPr>
        <w:pStyle w:val="GesAbsatz"/>
      </w:pPr>
      <w:r>
        <w:t>Hinweis:</w:t>
      </w:r>
    </w:p>
    <w:p>
      <w:pPr>
        <w:pStyle w:val="GesAbsatz"/>
      </w:pPr>
      <w:r>
        <w:t>Die Messeinrichtung weist ebenfalls Messkanäle für CO</w:t>
      </w:r>
      <w:r>
        <w:rPr>
          <w:vertAlign w:val="subscript"/>
        </w:rPr>
        <w:t>2</w:t>
      </w:r>
      <w:r>
        <w:t xml:space="preserve"> und SO</w:t>
      </w:r>
      <w:r>
        <w:rPr>
          <w:vertAlign w:val="subscript"/>
        </w:rPr>
        <w:t>2</w:t>
      </w:r>
      <w:r>
        <w:t xml:space="preserve"> auf. Diese Geräteversion ist für die Mes</w:t>
      </w:r>
      <w:r>
        <w:t>s</w:t>
      </w:r>
      <w:r>
        <w:t>kanäle SO</w:t>
      </w:r>
      <w:r>
        <w:rPr>
          <w:vertAlign w:val="subscript"/>
        </w:rPr>
        <w:t>2</w:t>
      </w:r>
      <w:r>
        <w:t xml:space="preserve"> und CO</w:t>
      </w:r>
      <w:r>
        <w:rPr>
          <w:vertAlign w:val="subscript"/>
        </w:rPr>
        <w:t>2</w:t>
      </w:r>
      <w:r>
        <w:t xml:space="preserve"> nicht eignungsgeprüft.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 Köln</w:t>
      </w:r>
    </w:p>
    <w:p>
      <w:pPr>
        <w:pStyle w:val="GesAbsatz"/>
      </w:pPr>
      <w:r>
        <w:t>TÜV Rheinland Group</w:t>
      </w:r>
    </w:p>
    <w:p>
      <w:pPr>
        <w:pStyle w:val="GesAbsatz"/>
      </w:pPr>
      <w:r>
        <w:t>Bericht-Nr.: 936/21206693/A vom 6. März 2008</w:t>
      </w:r>
    </w:p>
    <w:p>
      <w:pPr>
        <w:pStyle w:val="GesAbsatz"/>
        <w:rPr>
          <w:b/>
        </w:rPr>
      </w:pPr>
      <w:r>
        <w:rPr>
          <w:b/>
        </w:rPr>
        <w:t>2.5 Zentraleinheit LDS 6 7MB6121 für HCl und H</w:t>
      </w:r>
      <w:r>
        <w:rPr>
          <w:b/>
          <w:vertAlign w:val="subscript"/>
        </w:rPr>
        <w:t>2</w:t>
      </w:r>
      <w:r>
        <w:rPr>
          <w:b/>
        </w:rPr>
        <w:t>O, Sensor CD 6 7MB6122</w:t>
      </w:r>
    </w:p>
    <w:p>
      <w:pPr>
        <w:pStyle w:val="GesAbsatz"/>
      </w:pPr>
      <w:r>
        <w:t>Hersteller:</w:t>
      </w:r>
    </w:p>
    <w:p>
      <w:pPr>
        <w:pStyle w:val="GesAbsatz"/>
      </w:pPr>
      <w:r>
        <w:t>Siemens Laser Analytics AB, Mölndal, Schweden</w:t>
      </w:r>
    </w:p>
    <w:p>
      <w:pPr>
        <w:pStyle w:val="GesAbsatz"/>
      </w:pPr>
      <w:r>
        <w:t>Vertrieb in Deutschland:</w:t>
      </w:r>
    </w:p>
    <w:p>
      <w:pPr>
        <w:pStyle w:val="GesAbsatz"/>
      </w:pPr>
      <w:r>
        <w:t>Siemens AG Process Instr</w:t>
      </w:r>
      <w:r>
        <w:t>u</w:t>
      </w:r>
      <w:r>
        <w:t>mentation and Analytics, Karlsruhe</w:t>
      </w:r>
    </w:p>
    <w:p>
      <w:pPr>
        <w:pStyle w:val="GesAbsatz"/>
      </w:pPr>
      <w:r>
        <w:t>Eignung:</w:t>
      </w:r>
    </w:p>
    <w:p>
      <w:pPr>
        <w:pStyle w:val="GesAbsatz"/>
      </w:pPr>
      <w:r>
        <w:lastRenderedPageBreak/>
        <w:t>Für genehmigungsbedürftige Anlagen und Anlagen der 27. BImSchV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1701"/>
        </w:tabs>
      </w:pPr>
      <w:r>
        <w:t>HCl</w:t>
      </w:r>
      <w:r>
        <w:tab/>
        <w:t>0 bis 15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ab/>
        <w:t>0 bis 90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ab/>
        <w:t>Gültig für Weglängen ab 2,0 m</w:t>
      </w:r>
    </w:p>
    <w:p>
      <w:pPr>
        <w:pStyle w:val="GesAbsatz"/>
        <w:tabs>
          <w:tab w:val="clear" w:pos="425"/>
          <w:tab w:val="left" w:pos="1701"/>
        </w:tabs>
      </w:pPr>
      <w:r>
        <w:t>Feuchte</w:t>
      </w:r>
      <w:r>
        <w:tab/>
        <w:t>0 bis 30 Vol.-%</w:t>
      </w:r>
    </w:p>
    <w:p>
      <w:pPr>
        <w:pStyle w:val="GesAbsatz"/>
        <w:tabs>
          <w:tab w:val="clear" w:pos="425"/>
          <w:tab w:val="left" w:pos="1701"/>
        </w:tabs>
      </w:pPr>
      <w:r>
        <w:tab/>
        <w:t>Gültig für Weglängen ab 1,25 m</w:t>
      </w:r>
    </w:p>
    <w:p>
      <w:pPr>
        <w:pStyle w:val="GesAbsatz"/>
      </w:pPr>
      <w:r>
        <w:t>Softwareversion: R22</w:t>
      </w:r>
    </w:p>
    <w:p>
      <w:pPr>
        <w:pStyle w:val="GesAbsatz"/>
      </w:pPr>
      <w:r>
        <w:t>Einschränkungen:</w:t>
      </w:r>
    </w:p>
    <w:p>
      <w:pPr>
        <w:pStyle w:val="GesAbsatz"/>
        <w:ind w:left="426" w:hanging="426"/>
      </w:pPr>
      <w:r>
        <w:t>1.</w:t>
      </w:r>
      <w:r>
        <w:tab/>
        <w:t>Bei der HCl- und H</w:t>
      </w:r>
      <w:r>
        <w:rPr>
          <w:vertAlign w:val="subscript"/>
        </w:rPr>
        <w:t>2</w:t>
      </w:r>
      <w:r>
        <w:t>O-Messung übersteigt für M</w:t>
      </w:r>
      <w:r>
        <w:t>e</w:t>
      </w:r>
      <w:r>
        <w:t>thankonzentrationen über 15 mg/m</w:t>
      </w:r>
      <w:r>
        <w:rPr>
          <w:vertAlign w:val="superscript"/>
        </w:rPr>
        <w:t>3</w:t>
      </w:r>
      <w:r>
        <w:t xml:space="preserve"> die Summe der negativen Einflüsse von Störkomponenten (Querempfindlichkeit) 4 % des Mes</w:t>
      </w:r>
      <w:r>
        <w:t>s</w:t>
      </w:r>
      <w:r>
        <w:t>bereichendwertes.</w:t>
      </w:r>
    </w:p>
    <w:p>
      <w:pPr>
        <w:pStyle w:val="GesAbsatz"/>
        <w:ind w:left="426" w:hanging="426"/>
      </w:pPr>
      <w:r>
        <w:t>2.</w:t>
      </w:r>
      <w:r>
        <w:tab/>
        <w:t>Die Alarmschwelle für die relative Transmission zur Störungsmeldung für Verschmutzung oder Dej</w:t>
      </w:r>
      <w:r>
        <w:t>u</w:t>
      </w:r>
      <w:r>
        <w:t>stierung der Sensorköpfe ist auf mindestens 75 % einzustellen. (Die Abnahme der Transmission kann ein Hinweis auf Dejustierung sein).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</w:t>
      </w:r>
      <w:r>
        <w:tab/>
        <w:t>Für die Messeinrichtung in der Einkomponentenausführung LDS 6 HCl werden die Mindestanforderu</w:t>
      </w:r>
      <w:r>
        <w:t>n</w:t>
      </w:r>
      <w:r>
        <w:t>gen ebenfalls eingehalten. Die eignungsgeprüfte Gerätekonfiguration ist unter folgenden Bezeichnu</w:t>
      </w:r>
      <w:r>
        <w:t>n</w:t>
      </w:r>
      <w:r>
        <w:t>gen erhältlich:</w:t>
      </w:r>
    </w:p>
    <w:p>
      <w:pPr>
        <w:pStyle w:val="GesAbsatz"/>
      </w:pPr>
    </w:p>
    <w:tbl>
      <w:tblPr>
        <w:tblStyle w:val="Tabellenraster"/>
        <w:tblW w:w="0" w:type="auto"/>
        <w:tblInd w:w="534" w:type="dxa"/>
        <w:tblLook w:val="01E0" w:firstRow="1" w:lastRow="1" w:firstColumn="1" w:lastColumn="1" w:noHBand="0" w:noVBand="0"/>
      </w:tblPr>
      <w:tblGrid>
        <w:gridCol w:w="3085"/>
        <w:gridCol w:w="2268"/>
      </w:tblGrid>
      <w:tr>
        <w:tc>
          <w:tcPr>
            <w:tcW w:w="3085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Gerätebezeichnung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Messbereiche</w:t>
            </w:r>
          </w:p>
        </w:tc>
      </w:tr>
      <w:tr>
        <w:tc>
          <w:tcPr>
            <w:tcW w:w="3085" w:type="dxa"/>
          </w:tcPr>
          <w:p>
            <w:pPr>
              <w:pStyle w:val="GesAbsatz"/>
              <w:tabs>
                <w:tab w:val="clear" w:pos="425"/>
              </w:tabs>
            </w:pPr>
            <w:r>
              <w:t>7 MB 6121-0FT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clear" w:pos="425"/>
              </w:tabs>
            </w:pPr>
            <w:r>
              <w:t>0 bis 90 mg/m</w:t>
            </w:r>
            <w:r>
              <w:rPr>
                <w:vertAlign w:val="superscript"/>
              </w:rPr>
              <w:t>3</w:t>
            </w:r>
            <w:r>
              <w:t xml:space="preserve"> HCl</w:t>
            </w:r>
            <w:r>
              <w:br/>
              <w:t>0 bis 30 Vol.-%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>
        <w:tc>
          <w:tcPr>
            <w:tcW w:w="3085" w:type="dxa"/>
          </w:tcPr>
          <w:p>
            <w:pPr>
              <w:pStyle w:val="GesAbsatz"/>
              <w:tabs>
                <w:tab w:val="clear" w:pos="425"/>
              </w:tabs>
            </w:pPr>
            <w:r>
              <w:t>7MB6121-0ET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clear" w:pos="425"/>
              </w:tabs>
            </w:pPr>
            <w:r>
              <w:t>0 bis 90 mg/m</w:t>
            </w:r>
            <w:r>
              <w:rPr>
                <w:vertAlign w:val="superscript"/>
              </w:rPr>
              <w:t>3</w:t>
            </w:r>
            <w:r>
              <w:t xml:space="preserve"> HCl</w:t>
            </w:r>
          </w:p>
        </w:tc>
      </w:tr>
      <w:tr>
        <w:tc>
          <w:tcPr>
            <w:tcW w:w="3085" w:type="dxa"/>
          </w:tcPr>
          <w:p>
            <w:pPr>
              <w:pStyle w:val="GesAbsatz"/>
              <w:tabs>
                <w:tab w:val="clear" w:pos="425"/>
              </w:tabs>
            </w:pPr>
            <w:r>
              <w:t>Sensoreinheit 7 MB 6122 - 0W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clear" w:pos="425"/>
              </w:tabs>
            </w:pPr>
          </w:p>
        </w:tc>
      </w:tr>
    </w:tbl>
    <w:p>
      <w:pPr>
        <w:pStyle w:val="GesAbsatz"/>
      </w:pPr>
    </w:p>
    <w:p>
      <w:pPr>
        <w:pStyle w:val="GesAbsatz"/>
        <w:ind w:left="426" w:hanging="426"/>
      </w:pPr>
      <w:r>
        <w:t>2.</w:t>
      </w:r>
      <w:r>
        <w:tab/>
        <w:t>Die Messeinrichtung muss mit einer Spülluftverso</w:t>
      </w:r>
      <w:r>
        <w:t>r</w:t>
      </w:r>
      <w:r>
        <w:t>gung betrieben werden.</w:t>
      </w:r>
    </w:p>
    <w:p>
      <w:pPr>
        <w:pStyle w:val="GesAbsatz"/>
        <w:ind w:left="426" w:hanging="426"/>
      </w:pPr>
      <w:r>
        <w:t>3.</w:t>
      </w:r>
      <w:r>
        <w:tab/>
        <w:t>Der Messeinrichtung ist der Wert der Messgastemperatur zur Verfügung zustellen. Dies kann als An</w:t>
      </w:r>
      <w:r>
        <w:t>a</w:t>
      </w:r>
      <w:r>
        <w:t>logsignal 4-20 mA erfolgen oder bei sehr konstanten Verhältnissen als Festwert parametriert werden.</w:t>
      </w:r>
    </w:p>
    <w:p>
      <w:pPr>
        <w:pStyle w:val="GesAbsatz"/>
        <w:ind w:left="426" w:hanging="426"/>
      </w:pPr>
      <w:r>
        <w:t>4.</w:t>
      </w:r>
      <w:r>
        <w:tab/>
        <w:t>Zur Prüfung der Linearität, Null- und Referenzpunktl</w:t>
      </w:r>
      <w:r>
        <w:t>a</w:t>
      </w:r>
      <w:r>
        <w:t>ge wird eine geeignete Messstrecke wie FC 3002H unter Verwendung geeigneter Prüfgase oder der Kalibrier-Kit RG 3009 benötigt.</w:t>
      </w:r>
    </w:p>
    <w:p>
      <w:pPr>
        <w:pStyle w:val="GesAbsatz"/>
        <w:ind w:left="426" w:hanging="426"/>
      </w:pPr>
      <w:r>
        <w:t>5.</w:t>
      </w:r>
      <w:r>
        <w:tab/>
        <w:t>Das Wartungsintervall beträgt 2 Wochen.</w:t>
      </w:r>
    </w:p>
    <w:p>
      <w:pPr>
        <w:pStyle w:val="GesAbsatz"/>
        <w:ind w:left="426" w:hanging="426"/>
      </w:pPr>
      <w:r>
        <w:t>6.</w:t>
      </w:r>
      <w:r>
        <w:tab/>
        <w:t>Die Null- und Referenzpunktdrifts für HCl und H</w:t>
      </w:r>
      <w:r>
        <w:rPr>
          <w:vertAlign w:val="subscript"/>
        </w:rPr>
        <w:t>2</w:t>
      </w:r>
      <w:r>
        <w:t>O sind alle 6 Monate mit einer Justierhilfe zu überpr</w:t>
      </w:r>
      <w:r>
        <w:t>ü</w:t>
      </w:r>
      <w:r>
        <w:t>fen.</w:t>
      </w:r>
    </w:p>
    <w:p>
      <w:pPr>
        <w:pStyle w:val="GesAbsatz"/>
        <w:ind w:left="426" w:hanging="426"/>
      </w:pPr>
      <w:r>
        <w:t>7.</w:t>
      </w:r>
      <w:r>
        <w:tab/>
        <w:t>Ergänzungsprüfung zur Bekanntgabe des Umweltbu</w:t>
      </w:r>
      <w:r>
        <w:t>n</w:t>
      </w:r>
      <w:r>
        <w:t>desamtes vom 23. September 2007 (BAnz. S. 7925).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SÜD Industrie Service GmbH, Abte</w:t>
      </w:r>
      <w:r>
        <w:t>i</w:t>
      </w:r>
      <w:r>
        <w:t>lung Umwelt Service, München</w:t>
      </w:r>
    </w:p>
    <w:p>
      <w:pPr>
        <w:pStyle w:val="GesAbsatz"/>
      </w:pPr>
      <w:r>
        <w:t>Bericht-Nr.:</w:t>
      </w:r>
      <w:r>
        <w:tab/>
        <w:t>840754-E vom 22. Februar 2008</w:t>
      </w:r>
    </w:p>
    <w:p>
      <w:pPr>
        <w:pStyle w:val="GesAbsatz"/>
        <w:rPr>
          <w:b/>
        </w:rPr>
      </w:pPr>
      <w:r>
        <w:rPr>
          <w:b/>
        </w:rPr>
        <w:t>2.6 Zentraleinheit LDS 6 7MB6121 für NH</w:t>
      </w:r>
      <w:r>
        <w:rPr>
          <w:b/>
          <w:vertAlign w:val="subscript"/>
        </w:rPr>
        <w:t>3</w:t>
      </w:r>
      <w:r>
        <w:rPr>
          <w:b/>
        </w:rPr>
        <w:t xml:space="preserve"> und H</w:t>
      </w:r>
      <w:r>
        <w:rPr>
          <w:b/>
          <w:vertAlign w:val="subscript"/>
        </w:rPr>
        <w:t>2</w:t>
      </w:r>
      <w:r>
        <w:rPr>
          <w:b/>
        </w:rPr>
        <w:t>O, Sensor 7MB6122</w:t>
      </w:r>
    </w:p>
    <w:p>
      <w:pPr>
        <w:pStyle w:val="GesAbsatz"/>
      </w:pPr>
      <w:r>
        <w:t>Hersteller:</w:t>
      </w:r>
    </w:p>
    <w:p>
      <w:pPr>
        <w:pStyle w:val="GesAbsatz"/>
      </w:pPr>
      <w:r>
        <w:t>Siemens Laser Analytics AB, Mölndal, Schweden</w:t>
      </w:r>
    </w:p>
    <w:p>
      <w:pPr>
        <w:pStyle w:val="GesAbsatz"/>
      </w:pPr>
      <w:r>
        <w:t>Vertrieb in Deutschland:</w:t>
      </w:r>
    </w:p>
    <w:p>
      <w:pPr>
        <w:pStyle w:val="GesAbsatz"/>
      </w:pPr>
      <w:r>
        <w:t>Siemens AG Process Instrumentation and Analytics, Karlsruhe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lastRenderedPageBreak/>
        <w:t>Messbereiche bei der Eignungsprüfung:</w:t>
      </w:r>
    </w:p>
    <w:p>
      <w:pPr>
        <w:pStyle w:val="GesAbsatz"/>
        <w:tabs>
          <w:tab w:val="clear" w:pos="425"/>
          <w:tab w:val="left" w:pos="1701"/>
        </w:tabs>
      </w:pPr>
      <w:r>
        <w:t>NH</w:t>
      </w:r>
      <w:r>
        <w:rPr>
          <w:vertAlign w:val="subscript"/>
        </w:rPr>
        <w:t>3</w:t>
      </w:r>
      <w:r>
        <w:tab/>
        <w:t>0 bis 20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  <w:tab w:val="left" w:pos="2127"/>
        </w:tabs>
      </w:pPr>
      <w:r>
        <w:t>Feuchte</w:t>
      </w:r>
      <w:r>
        <w:tab/>
        <w:t>0 bis 30 Vol.-%</w:t>
      </w:r>
    </w:p>
    <w:p>
      <w:pPr>
        <w:pStyle w:val="GesAbsatz"/>
        <w:tabs>
          <w:tab w:val="clear" w:pos="425"/>
          <w:tab w:val="left" w:pos="1701"/>
          <w:tab w:val="left" w:pos="2127"/>
        </w:tabs>
      </w:pPr>
      <w:r>
        <w:tab/>
        <w:t>0 bis 15 Vol.-%</w:t>
      </w:r>
    </w:p>
    <w:p>
      <w:pPr>
        <w:pStyle w:val="GesAbsatz"/>
        <w:tabs>
          <w:tab w:val="clear" w:pos="425"/>
          <w:tab w:val="left" w:pos="1701"/>
          <w:tab w:val="left" w:pos="2127"/>
        </w:tabs>
      </w:pPr>
      <w:r>
        <w:tab/>
        <w:t>Gültig für Weglängen ab 1,25 m</w:t>
      </w:r>
    </w:p>
    <w:p>
      <w:pPr>
        <w:pStyle w:val="GesAbsatz"/>
        <w:tabs>
          <w:tab w:val="left" w:pos="1701"/>
        </w:tabs>
      </w:pPr>
      <w:r>
        <w:t>Softwareversion:</w:t>
      </w:r>
      <w:r>
        <w:tab/>
        <w:t>R22</w:t>
      </w:r>
    </w:p>
    <w:p>
      <w:pPr>
        <w:pStyle w:val="GesAbsatz"/>
      </w:pPr>
      <w:r>
        <w:t>Einschränkung:</w:t>
      </w:r>
    </w:p>
    <w:p>
      <w:pPr>
        <w:pStyle w:val="GesAbsatz"/>
      </w:pPr>
      <w:r>
        <w:t>Die Alarmschwelle für die relative Transmission zur Störungsmeldung für Verschmutzung oder Dej</w:t>
      </w:r>
      <w:r>
        <w:t>u</w:t>
      </w:r>
      <w:r>
        <w:t>stierung der Sensorköpfe ist auf mindestens 75 % einzustellen. (Die Abnahme der Transmission kann ein Hinweis auf Dejustierung sein).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Für die Messeinrichtungen in der Einkomponentenausführung LDS 6 NH</w:t>
      </w:r>
      <w:r>
        <w:rPr>
          <w:vertAlign w:val="subscript"/>
        </w:rPr>
        <w:t>3</w:t>
      </w:r>
      <w:r>
        <w:t xml:space="preserve"> und LDS 6 H</w:t>
      </w:r>
      <w:r>
        <w:rPr>
          <w:vertAlign w:val="subscript"/>
        </w:rPr>
        <w:t>2</w:t>
      </w:r>
      <w:r>
        <w:t>O werden die Mindestanforderungen ebenfalls eingehalten. Die eignungsgeprüfte Gerätekonfiguration ist unter fo</w:t>
      </w:r>
      <w:r>
        <w:t>l</w:t>
      </w:r>
      <w:r>
        <w:t>genden B</w:t>
      </w:r>
      <w:r>
        <w:t>e</w:t>
      </w:r>
      <w:r>
        <w:t>zeichnungen erhältlich:</w:t>
      </w:r>
    </w:p>
    <w:tbl>
      <w:tblPr>
        <w:tblStyle w:val="Tabellenraster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376"/>
        <w:gridCol w:w="2552"/>
      </w:tblGrid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r>
              <w:t>Gerätebezeic</w:t>
            </w:r>
            <w:r>
              <w:t>h</w:t>
            </w:r>
            <w:r>
              <w:t>nung</w:t>
            </w:r>
          </w:p>
        </w:tc>
        <w:tc>
          <w:tcPr>
            <w:tcW w:w="2552" w:type="dxa"/>
          </w:tcPr>
          <w:p>
            <w:pPr>
              <w:pStyle w:val="GesAbsatz"/>
              <w:tabs>
                <w:tab w:val="clear" w:pos="425"/>
              </w:tabs>
            </w:pPr>
            <w:r>
              <w:t>Messbereiche</w:t>
            </w:r>
          </w:p>
        </w:tc>
      </w:tr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r>
              <w:t>7 MB 6121-0DT</w:t>
            </w:r>
          </w:p>
        </w:tc>
        <w:tc>
          <w:tcPr>
            <w:tcW w:w="2552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20 mg/m</w:t>
            </w:r>
            <w:r>
              <w:rPr>
                <w:vertAlign w:val="superscript"/>
              </w:rPr>
              <w:t>3</w:t>
            </w:r>
            <w:r>
              <w:t xml:space="preserve"> NH</w:t>
            </w:r>
            <w:r>
              <w:rPr>
                <w:vertAlign w:val="subscript"/>
              </w:rPr>
              <w:t>3</w:t>
            </w:r>
            <w:r>
              <w:br/>
              <w:t>0 bis 30 Vol-%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r>
              <w:t>7 MB 6121-0CT</w:t>
            </w:r>
          </w:p>
        </w:tc>
        <w:tc>
          <w:tcPr>
            <w:tcW w:w="2552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20 mg/m</w:t>
            </w:r>
            <w:r>
              <w:rPr>
                <w:vertAlign w:val="superscript"/>
              </w:rPr>
              <w:t>3</w:t>
            </w:r>
            <w:r>
              <w:t xml:space="preserve"> NH</w:t>
            </w:r>
            <w:r>
              <w:rPr>
                <w:vertAlign w:val="subscript"/>
              </w:rPr>
              <w:t>3</w:t>
            </w:r>
          </w:p>
        </w:tc>
      </w:tr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r>
              <w:t>7 MB 6121-0MT</w:t>
            </w:r>
          </w:p>
        </w:tc>
        <w:tc>
          <w:tcPr>
            <w:tcW w:w="2552" w:type="dxa"/>
          </w:tcPr>
          <w:p>
            <w:pPr>
              <w:pStyle w:val="GesAbsatz"/>
              <w:tabs>
                <w:tab w:val="clear" w:pos="425"/>
              </w:tabs>
            </w:pPr>
            <w:r>
              <w:t>0 bis 30 Vol.-%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Sensoreinheit </w:t>
            </w:r>
            <w:r>
              <w:br/>
              <w:t>7 MB 6122-0W</w:t>
            </w:r>
          </w:p>
        </w:tc>
        <w:tc>
          <w:tcPr>
            <w:tcW w:w="2552" w:type="dxa"/>
          </w:tcPr>
          <w:p>
            <w:pPr>
              <w:pStyle w:val="GesAbsatz"/>
              <w:tabs>
                <w:tab w:val="clear" w:pos="425"/>
              </w:tabs>
            </w:pPr>
          </w:p>
        </w:tc>
      </w:tr>
    </w:tbl>
    <w:p>
      <w:pPr>
        <w:pStyle w:val="GesAbsatz"/>
        <w:ind w:left="426" w:hanging="426"/>
      </w:pPr>
    </w:p>
    <w:p>
      <w:pPr>
        <w:pStyle w:val="GesAbsatz"/>
        <w:ind w:left="426" w:hanging="426"/>
      </w:pPr>
      <w:r>
        <w:t>2.</w:t>
      </w:r>
      <w:r>
        <w:tab/>
        <w:t>Zur Kompensation der Querempfindlichkeiten der NH</w:t>
      </w:r>
      <w:r>
        <w:rPr>
          <w:vertAlign w:val="subscript"/>
        </w:rPr>
        <w:t>3</w:t>
      </w:r>
      <w:r>
        <w:t>-Messung bezüglich O</w:t>
      </w:r>
      <w:r>
        <w:rPr>
          <w:vertAlign w:val="subscript"/>
        </w:rPr>
        <w:t>2</w:t>
      </w:r>
      <w:r>
        <w:t xml:space="preserve"> und CO</w:t>
      </w:r>
      <w:r>
        <w:rPr>
          <w:vertAlign w:val="subscript"/>
        </w:rPr>
        <w:t>2</w:t>
      </w:r>
      <w:r>
        <w:t xml:space="preserve"> sind die en</w:t>
      </w:r>
      <w:r>
        <w:t>t</w:t>
      </w:r>
      <w:r>
        <w:t>sprechenden Parameter zur Kompensation am Gerät einz</w:t>
      </w:r>
      <w:r>
        <w:t>u</w:t>
      </w:r>
      <w:r>
        <w:t>stellen.</w:t>
      </w:r>
    </w:p>
    <w:p>
      <w:pPr>
        <w:pStyle w:val="GesAbsatz"/>
        <w:ind w:left="426" w:hanging="426"/>
      </w:pPr>
      <w:r>
        <w:t>3.</w:t>
      </w:r>
      <w:r>
        <w:tab/>
        <w:t>Bei Verwendung des Kalibrier-Kit RC 3009 ist die d</w:t>
      </w:r>
      <w:r>
        <w:t>y</w:t>
      </w:r>
      <w:r>
        <w:t>namische Feuchtekorrektur zu deaktivieren.</w:t>
      </w:r>
    </w:p>
    <w:p>
      <w:pPr>
        <w:pStyle w:val="GesAbsatz"/>
        <w:ind w:left="426" w:hanging="426"/>
      </w:pPr>
      <w:r>
        <w:t>4.</w:t>
      </w:r>
      <w:r>
        <w:tab/>
        <w:t>Die Messeinrichtung muss mit einer Spülluftverso</w:t>
      </w:r>
      <w:r>
        <w:t>r</w:t>
      </w:r>
      <w:r>
        <w:t>gung betrieben werden.</w:t>
      </w:r>
    </w:p>
    <w:p>
      <w:pPr>
        <w:pStyle w:val="GesAbsatz"/>
        <w:ind w:left="426" w:hanging="426"/>
      </w:pPr>
      <w:r>
        <w:t>5.</w:t>
      </w:r>
      <w:r>
        <w:tab/>
        <w:t>Der Messeinrichtung ist der Wert der Messgastemperatur zur Verfügung zu stellen. Dies kann als An</w:t>
      </w:r>
      <w:r>
        <w:t>a</w:t>
      </w:r>
      <w:r>
        <w:t>logsignal 4-20 mA erfolgen oder bei sehr konstanten Verhäl</w:t>
      </w:r>
      <w:r>
        <w:t>t</w:t>
      </w:r>
      <w:r>
        <w:t>nissen als Festwert parametriert werden.</w:t>
      </w:r>
    </w:p>
    <w:p>
      <w:pPr>
        <w:pStyle w:val="GesAbsatz"/>
        <w:ind w:left="426" w:hanging="426"/>
      </w:pPr>
      <w:r>
        <w:t>6.</w:t>
      </w:r>
      <w:r>
        <w:tab/>
        <w:t>Zur Prüfung der Linearität, Null- und Referenzpunktl</w:t>
      </w:r>
      <w:r>
        <w:t>a</w:t>
      </w:r>
      <w:r>
        <w:t>ge wird eine geeignete Messstrecke wie FC 3003H unter Verwendung geeigneter Prüfgase oder der Kalibrier-Kit RC 3009 benötigt.</w:t>
      </w:r>
    </w:p>
    <w:p>
      <w:pPr>
        <w:pStyle w:val="GesAbsatz"/>
        <w:ind w:left="426" w:hanging="426"/>
      </w:pPr>
      <w:r>
        <w:t>7.</w:t>
      </w:r>
      <w:r>
        <w:tab/>
        <w:t>Das Wartungsintervall beträgt 2 Wochen.</w:t>
      </w:r>
    </w:p>
    <w:p>
      <w:pPr>
        <w:pStyle w:val="GesAbsatz"/>
        <w:ind w:left="426" w:hanging="426"/>
      </w:pPr>
      <w:r>
        <w:t>8.</w:t>
      </w:r>
      <w:r>
        <w:tab/>
        <w:t>Die Null- und Referenzpunktdrifts für NH</w:t>
      </w:r>
      <w:r>
        <w:rPr>
          <w:vertAlign w:val="subscript"/>
        </w:rPr>
        <w:t>3</w:t>
      </w:r>
      <w:r>
        <w:t xml:space="preserve"> und H</w:t>
      </w:r>
      <w:r>
        <w:rPr>
          <w:vertAlign w:val="subscript"/>
        </w:rPr>
        <w:t>2</w:t>
      </w:r>
      <w:r>
        <w:t>O sind alle 6 Monate mit einer Justierhilfe zu überpr</w:t>
      </w:r>
      <w:r>
        <w:t>ü</w:t>
      </w:r>
      <w:r>
        <w:t>fen.</w:t>
      </w:r>
    </w:p>
    <w:p>
      <w:pPr>
        <w:pStyle w:val="GesAbsatz"/>
        <w:ind w:left="426" w:hanging="426"/>
      </w:pPr>
      <w:r>
        <w:t>9.</w:t>
      </w:r>
      <w:r>
        <w:tab/>
        <w:t>Änderung der Gerätebezeichnung von LDS 7 MB 6021/7 MB 6022 auf LDS 7 MB 6121/7 MB 6122.</w:t>
      </w:r>
    </w:p>
    <w:p>
      <w:pPr>
        <w:pStyle w:val="GesAbsatz"/>
        <w:ind w:left="426" w:hanging="426"/>
      </w:pPr>
      <w:r>
        <w:t>10.</w:t>
      </w:r>
      <w:r>
        <w:tab/>
        <w:t>Ergänzungsprüfung zur Bekanntgabe des Umwel</w:t>
      </w:r>
      <w:r>
        <w:t>t</w:t>
      </w:r>
      <w:r>
        <w:t>bundesamtes vom 21. Februar 2006 (BAnz. S. 2653).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SÜD Industrie Service GmbH, München</w:t>
      </w:r>
    </w:p>
    <w:p>
      <w:pPr>
        <w:pStyle w:val="GesAbsatz"/>
      </w:pPr>
      <w:r>
        <w:t>Bericht-Nr.: 819683 vom 29. Februar 2008</w:t>
      </w:r>
    </w:p>
    <w:p>
      <w:pPr>
        <w:pStyle w:val="berschrift2"/>
      </w:pPr>
      <w:bookmarkStart w:id="4" w:name="_Toc210618594"/>
      <w:r>
        <w:t>II.</w:t>
      </w:r>
      <w:r>
        <w:br/>
        <w:t>Eignung für Messeinrichtungen zur kontinuierlichen Messung von</w:t>
      </w:r>
      <w:r>
        <w:br/>
        <w:t>Bezugsgr</w:t>
      </w:r>
      <w:r>
        <w:t>ö</w:t>
      </w:r>
      <w:r>
        <w:t>ßen/Betriebsgrößen</w:t>
      </w:r>
      <w:bookmarkEnd w:id="4"/>
    </w:p>
    <w:p>
      <w:pPr>
        <w:pStyle w:val="berschrift3"/>
        <w:jc w:val="left"/>
      </w:pPr>
      <w:bookmarkStart w:id="5" w:name="_Toc210618595"/>
      <w:r>
        <w:t>1 Abgasgeschwindigkeit</w:t>
      </w:r>
      <w:bookmarkEnd w:id="5"/>
    </w:p>
    <w:p>
      <w:pPr>
        <w:pStyle w:val="GesAbsatz"/>
        <w:rPr>
          <w:b/>
        </w:rPr>
      </w:pPr>
      <w:r>
        <w:rPr>
          <w:b/>
        </w:rPr>
        <w:t>1.1 FLOWSIC 100</w:t>
      </w:r>
    </w:p>
    <w:p>
      <w:pPr>
        <w:pStyle w:val="GesAbsatz"/>
      </w:pPr>
      <w:r>
        <w:t>Hersteller:</w:t>
      </w:r>
    </w:p>
    <w:p>
      <w:pPr>
        <w:pStyle w:val="GesAbsatz"/>
      </w:pPr>
      <w:r>
        <w:lastRenderedPageBreak/>
        <w:t>SICK Engineering GmbH, Ottendorf-Okrilla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 bei der Eignungsprüfung:</w:t>
      </w:r>
    </w:p>
    <w:p>
      <w:pPr>
        <w:pStyle w:val="GesAbsatz"/>
        <w:tabs>
          <w:tab w:val="clear" w:pos="425"/>
          <w:tab w:val="left" w:pos="2835"/>
        </w:tabs>
      </w:pPr>
      <w:r>
        <w:t>Abgasgeschwindigkeit:</w:t>
      </w:r>
      <w:r>
        <w:tab/>
        <w:t>0 bis 20 m/s</w:t>
      </w:r>
    </w:p>
    <w:p>
      <w:pPr>
        <w:pStyle w:val="GesAbsatz"/>
        <w:tabs>
          <w:tab w:val="clear" w:pos="425"/>
          <w:tab w:val="left" w:pos="2835"/>
        </w:tabs>
      </w:pPr>
      <w:r>
        <w:t>Softwareversionen:</w:t>
      </w:r>
      <w:r>
        <w:tab/>
        <w:t>MCU: 1.4.02</w:t>
      </w:r>
    </w:p>
    <w:p>
      <w:pPr>
        <w:pStyle w:val="GesAbsatz"/>
        <w:tabs>
          <w:tab w:val="clear" w:pos="425"/>
          <w:tab w:val="left" w:pos="2835"/>
        </w:tabs>
      </w:pPr>
      <w:r>
        <w:tab/>
        <w:t>Sensor: 1.0.26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Der eingestellte Messbereich betrug im Labor 0 bis 16 m/s.</w:t>
      </w:r>
    </w:p>
    <w:p>
      <w:pPr>
        <w:pStyle w:val="GesAbsatz"/>
      </w:pPr>
      <w:r>
        <w:t>2.</w:t>
      </w:r>
      <w:r>
        <w:tab/>
        <w:t>Die Eignungsprüfung umfasst folgende Gerätevaria</w:t>
      </w:r>
      <w:r>
        <w:t>n</w:t>
      </w:r>
      <w:r>
        <w:t>ten:</w:t>
      </w:r>
    </w:p>
    <w:tbl>
      <w:tblPr>
        <w:tblStyle w:val="Tabellenraster"/>
        <w:tblW w:w="0" w:type="auto"/>
        <w:tblInd w:w="534" w:type="dxa"/>
        <w:tblLook w:val="01E0" w:firstRow="1" w:lastRow="1" w:firstColumn="1" w:lastColumn="1" w:noHBand="0" w:noVBand="0"/>
      </w:tblPr>
      <w:tblGrid>
        <w:gridCol w:w="2660"/>
      </w:tblGrid>
      <w:tr>
        <w:tc>
          <w:tcPr>
            <w:tcW w:w="266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ab/>
              <w:t>FLOWSIC100 PR</w:t>
            </w:r>
          </w:p>
        </w:tc>
      </w:tr>
      <w:tr>
        <w:tc>
          <w:tcPr>
            <w:tcW w:w="266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2</w:t>
            </w:r>
            <w:r>
              <w:rPr>
                <w:lang w:val="en-GB"/>
              </w:rPr>
              <w:tab/>
              <w:t>FLOWSIC100 PR AC</w:t>
            </w:r>
          </w:p>
        </w:tc>
      </w:tr>
      <w:tr>
        <w:tc>
          <w:tcPr>
            <w:tcW w:w="266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rPr>
                <w:lang w:val="en-GB"/>
              </w:rPr>
              <w:tab/>
              <w:t>FLOWSIC100 M</w:t>
            </w:r>
          </w:p>
        </w:tc>
      </w:tr>
      <w:tr>
        <w:tc>
          <w:tcPr>
            <w:tcW w:w="266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4</w:t>
            </w:r>
            <w:r>
              <w:rPr>
                <w:lang w:val="en-GB"/>
              </w:rPr>
              <w:tab/>
              <w:t>FLOWSIC100 M AC</w:t>
            </w:r>
          </w:p>
        </w:tc>
      </w:tr>
      <w:tr>
        <w:tc>
          <w:tcPr>
            <w:tcW w:w="266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5</w:t>
            </w:r>
            <w:r>
              <w:rPr>
                <w:lang w:val="en-GB"/>
              </w:rPr>
              <w:tab/>
              <w:t>FLOWSIC100 H</w:t>
            </w:r>
          </w:p>
        </w:tc>
      </w:tr>
      <w:tr>
        <w:tc>
          <w:tcPr>
            <w:tcW w:w="266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rPr>
                <w:lang w:val="en-GB"/>
              </w:rPr>
              <w:tab/>
              <w:t>FLOWSIC100 H AC</w:t>
            </w:r>
          </w:p>
        </w:tc>
      </w:tr>
      <w:tr>
        <w:tc>
          <w:tcPr>
            <w:tcW w:w="266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7</w:t>
            </w:r>
            <w:r>
              <w:rPr>
                <w:lang w:val="en-GB"/>
              </w:rPr>
              <w:tab/>
              <w:t>FLOWSIC100 PM</w:t>
            </w:r>
          </w:p>
        </w:tc>
      </w:tr>
      <w:tr>
        <w:tc>
          <w:tcPr>
            <w:tcW w:w="266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8</w:t>
            </w:r>
            <w:r>
              <w:rPr>
                <w:lang w:val="en-GB"/>
              </w:rPr>
              <w:tab/>
              <w:t>FLOWSIC100 PH</w:t>
            </w:r>
          </w:p>
        </w:tc>
      </w:tr>
      <w:tr>
        <w:tc>
          <w:tcPr>
            <w:tcW w:w="266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9</w:t>
            </w:r>
            <w:r>
              <w:rPr>
                <w:lang w:val="en-GB"/>
              </w:rPr>
              <w:tab/>
              <w:t>FLOWSIC100 PH-S</w:t>
            </w:r>
          </w:p>
        </w:tc>
      </w:tr>
    </w:tbl>
    <w:p>
      <w:pPr>
        <w:pStyle w:val="GesAbsatz"/>
        <w:rPr>
          <w:lang w:val="en-GB"/>
        </w:rPr>
      </w:pPr>
    </w:p>
    <w:p>
      <w:pPr>
        <w:pStyle w:val="GesAbsatz"/>
      </w:pPr>
      <w:r>
        <w:t>3.</w:t>
      </w:r>
      <w:r>
        <w:tab/>
        <w:t>Das Wartungsintervall beträgt 3 Monate.</w:t>
      </w:r>
    </w:p>
    <w:p>
      <w:pPr>
        <w:pStyle w:val="GesAbsatz"/>
      </w:pPr>
      <w:r>
        <w:t>4.</w:t>
      </w:r>
      <w:r>
        <w:tab/>
        <w:t>Ergänzungsprüfung zur Bekanntgabe des Umweltbu</w:t>
      </w:r>
      <w:r>
        <w:t>n</w:t>
      </w:r>
      <w:r>
        <w:t>desamtes vom 14. Februar 2008 (BAnz. S. 902).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</w:t>
      </w:r>
      <w:r>
        <w:tab/>
        <w:t>936/21206702/B vom 28. Februar 2008</w:t>
      </w:r>
    </w:p>
    <w:p>
      <w:pPr>
        <w:pStyle w:val="berschrift2"/>
      </w:pPr>
      <w:bookmarkStart w:id="6" w:name="_Toc210618596"/>
      <w:r>
        <w:t>III.</w:t>
      </w:r>
      <w:r>
        <w:br/>
        <w:t xml:space="preserve">Eignung von Messeinrichtungen zur kontinuierlichen Überwachung von </w:t>
      </w:r>
      <w:r>
        <w:br/>
        <w:t>Immissi</w:t>
      </w:r>
      <w:r>
        <w:t>o</w:t>
      </w:r>
      <w:r>
        <w:t>nen</w:t>
      </w:r>
      <w:bookmarkEnd w:id="6"/>
    </w:p>
    <w:p>
      <w:pPr>
        <w:pStyle w:val="GesAbsatz"/>
      </w:pPr>
      <w:r>
        <w:t>Unter Bezugnahme auf die Nummer 3.2 der Bekanntm</w:t>
      </w:r>
      <w:r>
        <w:t>a</w:t>
      </w:r>
      <w:r>
        <w:t>chung der für die Durchführung der Richtlinie 96/62/EG des Rates vom 27. September 1996 über die Beurteilung und Kontrolle der Luftqualität zuständ</w:t>
      </w:r>
      <w:r>
        <w:t>i</w:t>
      </w:r>
      <w:r>
        <w:t>gen Stellen vom 1. Oktober 1998 (BAnz. S. 15126) wird im Auftrag des BMU die Eignung der folgenden Messeinrichtung bekannt g</w:t>
      </w:r>
      <w:r>
        <w:t>e</w:t>
      </w:r>
      <w:r>
        <w:t>geben:</w:t>
      </w:r>
    </w:p>
    <w:p>
      <w:pPr>
        <w:pStyle w:val="berschrift3"/>
        <w:jc w:val="left"/>
        <w:rPr>
          <w:lang w:val="en-GB"/>
        </w:rPr>
      </w:pPr>
      <w:bookmarkStart w:id="7" w:name="_Toc210618597"/>
      <w:r>
        <w:rPr>
          <w:lang w:val="en-GB"/>
        </w:rPr>
        <w:t>1 Kohlenmonoxid (CO)</w:t>
      </w:r>
      <w:bookmarkEnd w:id="7"/>
    </w:p>
    <w:p>
      <w:pPr>
        <w:pStyle w:val="GesAbsatz"/>
        <w:rPr>
          <w:b/>
          <w:lang w:val="en-GB"/>
        </w:rPr>
      </w:pPr>
      <w:r>
        <w:rPr>
          <w:b/>
          <w:lang w:val="en-GB"/>
        </w:rPr>
        <w:t>1.1 CO12M für CO</w:t>
      </w:r>
    </w:p>
    <w:p>
      <w:pPr>
        <w:pStyle w:val="GesAbsatz"/>
      </w:pPr>
      <w:r>
        <w:t>Hersteller:</w:t>
      </w:r>
    </w:p>
    <w:p>
      <w:pPr>
        <w:pStyle w:val="GesAbsatz"/>
      </w:pPr>
      <w:r>
        <w:t>Environnement S. A., Poissy Cedex, Fran</w:t>
      </w:r>
      <w:r>
        <w:t>k</w:t>
      </w:r>
      <w:r>
        <w:t>reich</w:t>
      </w:r>
    </w:p>
    <w:p>
      <w:pPr>
        <w:pStyle w:val="GesAbsatz"/>
      </w:pPr>
      <w:r>
        <w:t>Vertrieb in Deutschland:</w:t>
      </w:r>
    </w:p>
    <w:p>
      <w:pPr>
        <w:pStyle w:val="GesAbsatz"/>
      </w:pPr>
      <w:r>
        <w:t>Ansyco GmbH, Karlsruhe</w:t>
      </w:r>
    </w:p>
    <w:p>
      <w:pPr>
        <w:pStyle w:val="GesAbsatz"/>
      </w:pPr>
      <w:r>
        <w:t>Eignung:</w:t>
      </w:r>
    </w:p>
    <w:p>
      <w:pPr>
        <w:pStyle w:val="GesAbsatz"/>
      </w:pPr>
      <w:r>
        <w:t>Zur stationären Immissionsmessung von Kohlenmonoxid</w:t>
      </w:r>
    </w:p>
    <w:p>
      <w:pPr>
        <w:pStyle w:val="GesAbsatz"/>
      </w:pPr>
      <w:r>
        <w:t>Messbereich bei der Eignungsprüfung:</w:t>
      </w:r>
    </w:p>
    <w:p>
      <w:pPr>
        <w:pStyle w:val="GesAbsatz"/>
        <w:tabs>
          <w:tab w:val="clear" w:pos="425"/>
          <w:tab w:val="left" w:pos="1701"/>
        </w:tabs>
      </w:pPr>
      <w:r>
        <w:lastRenderedPageBreak/>
        <w:t>CO</w:t>
      </w:r>
      <w:r>
        <w:tab/>
        <w:t>0 bis 60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701"/>
        </w:tabs>
      </w:pPr>
      <w:r>
        <w:tab/>
        <w:t>0 bis 100 mg/m</w:t>
      </w:r>
      <w:r>
        <w:rPr>
          <w:vertAlign w:val="superscript"/>
        </w:rPr>
        <w:t>3</w:t>
      </w:r>
    </w:p>
    <w:p>
      <w:pPr>
        <w:pStyle w:val="GesAbsatz"/>
      </w:pPr>
      <w:r>
        <w:t>Softwareversion:</w:t>
      </w:r>
      <w:r>
        <w:tab/>
        <w:t>V1.26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TÜV Rheinland Group</w:t>
      </w:r>
    </w:p>
    <w:p>
      <w:pPr>
        <w:pStyle w:val="GesAbsatz"/>
      </w:pPr>
      <w:r>
        <w:t>Bericht-Nr.:</w:t>
      </w:r>
      <w:r>
        <w:tab/>
        <w:t>936/21206773/B vom 29. Februar 2008</w:t>
      </w:r>
    </w:p>
    <w:p>
      <w:pPr>
        <w:pStyle w:val="berschrift2"/>
      </w:pPr>
      <w:bookmarkStart w:id="8" w:name="_Toc210618598"/>
      <w:r>
        <w:t>IV.</w:t>
      </w:r>
      <w:r>
        <w:br/>
        <w:t>Mitteilungen zur Bundeseinheitlichen Praxis bei der Überwachung von Emissi</w:t>
      </w:r>
      <w:r>
        <w:t>o</w:t>
      </w:r>
      <w:r>
        <w:t>nen und Immissionen</w:t>
      </w:r>
      <w:bookmarkEnd w:id="8"/>
    </w:p>
    <w:p>
      <w:pPr>
        <w:pStyle w:val="GesAbsatz"/>
        <w:rPr>
          <w:b/>
        </w:rPr>
      </w:pPr>
      <w:r>
        <w:rPr>
          <w:b/>
        </w:rPr>
        <w:t>1 Mitteilung zur Bekanntmachung des Umweltbunde</w:t>
      </w:r>
      <w:r>
        <w:rPr>
          <w:b/>
        </w:rPr>
        <w:t>s</w:t>
      </w:r>
      <w:r>
        <w:rPr>
          <w:b/>
        </w:rPr>
        <w:t>amtes vom 12. September 2006 (BAnz. S. 6716)</w:t>
      </w:r>
    </w:p>
    <w:p>
      <w:pPr>
        <w:pStyle w:val="GesAbsatz"/>
      </w:pPr>
      <w:r>
        <w:t>Die aktuellen Softwareversionen des Emissionsrechners ARGUS PRO EFÜ der Firma ABB Utilities GmbH sind:</w:t>
      </w:r>
    </w:p>
    <w:p>
      <w:pPr>
        <w:pStyle w:val="GesAbsatz"/>
        <w:tabs>
          <w:tab w:val="clear" w:pos="425"/>
          <w:tab w:val="left" w:pos="2268"/>
        </w:tabs>
      </w:pPr>
      <w:r>
        <w:t>ARGUS Pro Emi:</w:t>
      </w:r>
      <w:r>
        <w:tab/>
        <w:t>4.81</w:t>
      </w:r>
    </w:p>
    <w:p>
      <w:pPr>
        <w:pStyle w:val="GesAbsatz"/>
        <w:tabs>
          <w:tab w:val="clear" w:pos="425"/>
          <w:tab w:val="left" w:pos="2268"/>
        </w:tabs>
      </w:pPr>
      <w:r>
        <w:t>ARGUS Pro EFÜ</w:t>
      </w:r>
      <w:r>
        <w:tab/>
        <w:t>1.21</w:t>
      </w:r>
    </w:p>
    <w:p>
      <w:pPr>
        <w:pStyle w:val="GesAbsatz"/>
        <w:tabs>
          <w:tab w:val="clear" w:pos="425"/>
          <w:tab w:val="left" w:pos="2268"/>
        </w:tabs>
        <w:rPr>
          <w:lang w:val="en-GB"/>
        </w:rPr>
      </w:pPr>
      <w:r>
        <w:rPr>
          <w:lang w:val="en-GB"/>
        </w:rPr>
        <w:t>ARGUS Pro Editor:</w:t>
      </w:r>
      <w:r>
        <w:rPr>
          <w:lang w:val="en-GB"/>
        </w:rPr>
        <w:tab/>
        <w:t>2.1.1</w:t>
      </w:r>
    </w:p>
    <w:p>
      <w:pPr>
        <w:pStyle w:val="GesAbsatz"/>
        <w:tabs>
          <w:tab w:val="clear" w:pos="425"/>
          <w:tab w:val="left" w:pos="2268"/>
        </w:tabs>
        <w:rPr>
          <w:lang w:val="en-GB"/>
        </w:rPr>
      </w:pPr>
      <w:r>
        <w:rPr>
          <w:lang w:val="en-GB"/>
        </w:rPr>
        <w:t>ARGUS Pro Viewer:</w:t>
      </w:r>
      <w:r>
        <w:rPr>
          <w:lang w:val="en-GB"/>
        </w:rPr>
        <w:tab/>
        <w:t>1.0.</w:t>
      </w:r>
    </w:p>
    <w:p>
      <w:pPr>
        <w:pStyle w:val="GesAbsatz"/>
      </w:pPr>
      <w:r>
        <w:t>Stellungnahme der TÜV Rheinland Immissionsschutz und Energiesysteme vom 4. März 2008</w:t>
      </w:r>
    </w:p>
    <w:p>
      <w:pPr>
        <w:pStyle w:val="GesAbsatz"/>
        <w:rPr>
          <w:b/>
        </w:rPr>
      </w:pPr>
      <w:r>
        <w:rPr>
          <w:b/>
        </w:rPr>
        <w:t>2 Mitteilung zu Bekanntmachungen des Umweltbunde</w:t>
      </w:r>
      <w:r>
        <w:rPr>
          <w:b/>
        </w:rPr>
        <w:t>s</w:t>
      </w:r>
      <w:r>
        <w:rPr>
          <w:b/>
        </w:rPr>
        <w:t>amtes vom 12. September 2006 (BAnz. S. 6715) und vom 12. April 2007 (BAnz. S. 4139)</w:t>
      </w:r>
    </w:p>
    <w:p>
      <w:pPr>
        <w:pStyle w:val="GesAbsatz"/>
      </w:pPr>
      <w:r>
        <w:t>Die aktuelle Sof</w:t>
      </w:r>
      <w:r>
        <w:t>t</w:t>
      </w:r>
      <w:r>
        <w:t>wareversion der Messeinrichtung DURAG D-R 800 ist V 1.72.</w:t>
      </w:r>
    </w:p>
    <w:p>
      <w:pPr>
        <w:pStyle w:val="GesAbsatz"/>
      </w:pPr>
      <w:r>
        <w:t>Stellungnahme der TÜV Rheinland Immissionsschutz und Energiesysteme vom 11. März 2008</w:t>
      </w:r>
    </w:p>
    <w:p>
      <w:pPr>
        <w:pStyle w:val="GesAbsatz"/>
        <w:rPr>
          <w:b/>
        </w:rPr>
      </w:pPr>
      <w:r>
        <w:rPr>
          <w:b/>
        </w:rPr>
        <w:t>3 Mitteilung zum Rundschreiben des BMU vom 29. O</w:t>
      </w:r>
      <w:r>
        <w:rPr>
          <w:b/>
        </w:rPr>
        <w:t>k</w:t>
      </w:r>
      <w:r>
        <w:rPr>
          <w:b/>
        </w:rPr>
        <w:t>tober 1998 - IG I 3-51134/2 - (GMBl. 1998 S. 946)</w:t>
      </w:r>
    </w:p>
    <w:p>
      <w:pPr>
        <w:pStyle w:val="GesAbsatz"/>
      </w:pPr>
      <w:r>
        <w:t>Die Messeinrichtung PFM 02V der Firma Dr. Födisch Umweltmesstechnik AG, TÜV Bericht-Nr. 936/21200495/D vom 7. Juli 2004 wird baugleich auch von der Firma T&amp;T Ingenieurgesellschaft GmbH, Neckarsulm unter dem Namen Dust Monitor IMR 200 ve</w:t>
      </w:r>
      <w:r>
        <w:t>r</w:t>
      </w:r>
      <w:r>
        <w:t>trieben.</w:t>
      </w:r>
    </w:p>
    <w:p>
      <w:pPr>
        <w:pStyle w:val="GesAbsatz"/>
      </w:pPr>
      <w:r>
        <w:t>Stellungnahme der TÜV Rheinland Immissionsschutz und Energiesysteme GmbH vom 15. Januar 2008</w:t>
      </w:r>
    </w:p>
    <w:p>
      <w:pPr>
        <w:pStyle w:val="GesAbsatz"/>
        <w:rPr>
          <w:b/>
        </w:rPr>
      </w:pPr>
      <w:r>
        <w:rPr>
          <w:b/>
        </w:rPr>
        <w:t>4 Mitteilung zur Bekanntmachung des Umweltbunde</w:t>
      </w:r>
      <w:r>
        <w:rPr>
          <w:b/>
        </w:rPr>
        <w:t>s</w:t>
      </w:r>
      <w:r>
        <w:rPr>
          <w:b/>
        </w:rPr>
        <w:t>amtes vom 30. September 2004 (BAnz. S. 22 512)</w:t>
      </w:r>
    </w:p>
    <w:p>
      <w:pPr>
        <w:pStyle w:val="GesAbsatz"/>
      </w:pPr>
      <w:r>
        <w:t>Die Messeinrichtung FMD 02 der Firma Dr. Födisch Umweltmesstechnik AG, TÜV Bericht-Nr.  936/21200495/A vom 29. Juli 2003 wird baugleich auch von der Firma T&amp;T Ingenieurgesellschaft GmbH, Neckarsulm unter dem Namen Flow Monitor IMR 100 ve</w:t>
      </w:r>
      <w:r>
        <w:t>r</w:t>
      </w:r>
      <w:r>
        <w:t>trieben.</w:t>
      </w:r>
    </w:p>
    <w:p>
      <w:pPr>
        <w:pStyle w:val="GesAbsatz"/>
      </w:pPr>
      <w:r>
        <w:t>Stellungnahme der TÜV Rheinland Immissionsschutz und Energiesysteme GmbH vom 15. Januar 2008</w:t>
      </w:r>
    </w:p>
    <w:p>
      <w:pPr>
        <w:pStyle w:val="GesAbsatz"/>
        <w:rPr>
          <w:b/>
        </w:rPr>
      </w:pPr>
      <w:r>
        <w:rPr>
          <w:b/>
        </w:rPr>
        <w:t>5 Mitteilung zur Bekanntmachung des Umweltbunde</w:t>
      </w:r>
      <w:r>
        <w:rPr>
          <w:b/>
        </w:rPr>
        <w:t>s</w:t>
      </w:r>
      <w:r>
        <w:rPr>
          <w:b/>
        </w:rPr>
        <w:t>amtes vom 21. Februar 2006 (BAnz. S. 2654)</w:t>
      </w:r>
    </w:p>
    <w:p>
      <w:pPr>
        <w:pStyle w:val="GesAbsatz"/>
      </w:pPr>
      <w:r>
        <w:t>Die aktuellen Softwareversionen des Emissionsrechners TALAS/ net mit UmweltOffice2005 und EFÜ Modul der Firma NUKEM GmbH/NIS Ingenieure sind:</w:t>
      </w:r>
    </w:p>
    <w:p>
      <w:pPr>
        <w:pStyle w:val="GesAbsatz"/>
        <w:tabs>
          <w:tab w:val="clear" w:pos="425"/>
          <w:tab w:val="left" w:pos="3828"/>
        </w:tabs>
      </w:pPr>
      <w:r>
        <w:t>TALAS/net:</w:t>
      </w:r>
      <w:r>
        <w:tab/>
        <w:t>5.2 (011)</w:t>
      </w:r>
    </w:p>
    <w:p>
      <w:pPr>
        <w:pStyle w:val="GesAbsatz"/>
        <w:tabs>
          <w:tab w:val="clear" w:pos="425"/>
          <w:tab w:val="left" w:pos="3828"/>
        </w:tabs>
      </w:pPr>
      <w:r>
        <w:t>UmweltOffice2005:</w:t>
      </w:r>
      <w:r>
        <w:tab/>
        <w:t>5.5.2</w:t>
      </w:r>
    </w:p>
    <w:p>
      <w:pPr>
        <w:pStyle w:val="GesAbsatz"/>
        <w:tabs>
          <w:tab w:val="clear" w:pos="425"/>
          <w:tab w:val="left" w:pos="3828"/>
        </w:tabs>
      </w:pPr>
      <w:r>
        <w:t>Oracle-Datenbank:</w:t>
      </w:r>
      <w:r>
        <w:tab/>
        <w:t>10.1</w:t>
      </w:r>
    </w:p>
    <w:p>
      <w:pPr>
        <w:pStyle w:val="GesAbsatz"/>
        <w:tabs>
          <w:tab w:val="clear" w:pos="425"/>
          <w:tab w:val="left" w:pos="3828"/>
        </w:tabs>
      </w:pPr>
      <w:r>
        <w:t>TService</w:t>
      </w:r>
      <w:r>
        <w:tab/>
        <w:t>5.2 (013)</w:t>
      </w:r>
    </w:p>
    <w:p>
      <w:pPr>
        <w:pStyle w:val="GesAbsatz"/>
        <w:tabs>
          <w:tab w:val="clear" w:pos="425"/>
          <w:tab w:val="left" w:pos="3828"/>
        </w:tabs>
      </w:pPr>
      <w:r>
        <w:t>TAP52</w:t>
      </w:r>
      <w:r>
        <w:tab/>
        <w:t>5.2 (012)</w:t>
      </w:r>
    </w:p>
    <w:p>
      <w:pPr>
        <w:pStyle w:val="GesAbsatz"/>
      </w:pPr>
      <w:r>
        <w:t>Stellungnahme der TÜV Rheinland Immissionsschutz und Energiesysteme vom 29. Februar 2008</w:t>
      </w:r>
    </w:p>
    <w:p>
      <w:pPr>
        <w:pStyle w:val="GesAbsatz"/>
        <w:rPr>
          <w:b/>
        </w:rPr>
      </w:pPr>
      <w:r>
        <w:rPr>
          <w:b/>
        </w:rPr>
        <w:t>6 Mitteilung zur Bekanntmachung des Umweltbunde</w:t>
      </w:r>
      <w:r>
        <w:rPr>
          <w:b/>
        </w:rPr>
        <w:t>s</w:t>
      </w:r>
      <w:r>
        <w:rPr>
          <w:b/>
        </w:rPr>
        <w:t>amtes vom 21. Februar 2006 (BAnz. S. 2654)</w:t>
      </w:r>
    </w:p>
    <w:p>
      <w:pPr>
        <w:pStyle w:val="GesAbsatz"/>
      </w:pPr>
      <w:r>
        <w:t>Die aktuellen Softwareversionen des Emissionsrechners TALAS/net mit DSM-05 und EFÜ Modul der Firma N</w:t>
      </w:r>
      <w:r>
        <w:t>U</w:t>
      </w:r>
      <w:r>
        <w:t>KEM GmbH/NIS Ingenieure sind:</w:t>
      </w:r>
    </w:p>
    <w:p>
      <w:pPr>
        <w:pStyle w:val="GesAbsatz"/>
        <w:tabs>
          <w:tab w:val="clear" w:pos="425"/>
          <w:tab w:val="left" w:pos="2694"/>
        </w:tabs>
      </w:pPr>
      <w:r>
        <w:lastRenderedPageBreak/>
        <w:t>TALAS/net</w:t>
      </w:r>
      <w:r>
        <w:tab/>
        <w:t>5.2 (011)</w:t>
      </w:r>
    </w:p>
    <w:p>
      <w:pPr>
        <w:pStyle w:val="GesAbsatz"/>
        <w:tabs>
          <w:tab w:val="clear" w:pos="425"/>
          <w:tab w:val="left" w:pos="2694"/>
        </w:tabs>
      </w:pPr>
      <w:r>
        <w:t>DSM-05</w:t>
      </w:r>
      <w:r>
        <w:tab/>
        <w:t>5.5.2</w:t>
      </w:r>
    </w:p>
    <w:p>
      <w:pPr>
        <w:pStyle w:val="GesAbsatz"/>
        <w:tabs>
          <w:tab w:val="clear" w:pos="425"/>
          <w:tab w:val="left" w:pos="2694"/>
        </w:tabs>
      </w:pPr>
      <w:r>
        <w:t>Oracle-Datenbank:</w:t>
      </w:r>
      <w:r>
        <w:tab/>
        <w:t>10.1</w:t>
      </w:r>
    </w:p>
    <w:p>
      <w:pPr>
        <w:pStyle w:val="GesAbsatz"/>
        <w:tabs>
          <w:tab w:val="clear" w:pos="425"/>
          <w:tab w:val="left" w:pos="2694"/>
        </w:tabs>
      </w:pPr>
      <w:r>
        <w:t>TService</w:t>
      </w:r>
      <w:r>
        <w:tab/>
        <w:t>5.2 (013)</w:t>
      </w:r>
    </w:p>
    <w:p>
      <w:pPr>
        <w:pStyle w:val="GesAbsatz"/>
        <w:tabs>
          <w:tab w:val="clear" w:pos="425"/>
          <w:tab w:val="left" w:pos="2694"/>
        </w:tabs>
      </w:pPr>
      <w:r>
        <w:t>TAP52</w:t>
      </w:r>
      <w:r>
        <w:tab/>
        <w:t>5.2 (012)</w:t>
      </w:r>
    </w:p>
    <w:p>
      <w:pPr>
        <w:pStyle w:val="GesAbsatz"/>
      </w:pPr>
      <w:r>
        <w:t>Stellungnahme der TÜV Rheinland Immissionsschutz und Energiesysteme vom 29. Februar 2008</w:t>
      </w:r>
    </w:p>
    <w:p>
      <w:pPr>
        <w:pStyle w:val="GesAbsatz"/>
        <w:rPr>
          <w:b/>
        </w:rPr>
      </w:pPr>
      <w:r>
        <w:rPr>
          <w:b/>
        </w:rPr>
        <w:t>7 Mitteilung zur Bekanntmachung des Umweltbunde</w:t>
      </w:r>
      <w:r>
        <w:rPr>
          <w:b/>
        </w:rPr>
        <w:t>s</w:t>
      </w:r>
      <w:r>
        <w:rPr>
          <w:b/>
        </w:rPr>
        <w:t>amtes vom 21. Februar 2006 (BAnz. S. 2654)</w:t>
      </w:r>
    </w:p>
    <w:p>
      <w:pPr>
        <w:pStyle w:val="GesAbsatz"/>
      </w:pPr>
      <w:r>
        <w:t>Die aktuellen Softwareversionen des Emissionsrechners TALAS/e mit UmweltOffice2005 und EFÜ Modul der Fi</w:t>
      </w:r>
      <w:r>
        <w:t>r</w:t>
      </w:r>
      <w:r>
        <w:t>ma NUKEM GmbH/NIS Ingenieure sind:</w:t>
      </w:r>
    </w:p>
    <w:p>
      <w:pPr>
        <w:pStyle w:val="GesAbsatz"/>
        <w:tabs>
          <w:tab w:val="clear" w:pos="425"/>
          <w:tab w:val="left" w:pos="3544"/>
        </w:tabs>
      </w:pPr>
      <w:r>
        <w:t>TALAS/e:</w:t>
      </w:r>
      <w:r>
        <w:tab/>
        <w:t>4.2 (012)</w:t>
      </w:r>
    </w:p>
    <w:p>
      <w:pPr>
        <w:pStyle w:val="GesAbsatz"/>
        <w:tabs>
          <w:tab w:val="clear" w:pos="425"/>
          <w:tab w:val="left" w:pos="3544"/>
        </w:tabs>
      </w:pPr>
      <w:r>
        <w:t>UmweltOffice2005:</w:t>
      </w:r>
      <w:r>
        <w:tab/>
        <w:t>5.5.2</w:t>
      </w:r>
    </w:p>
    <w:p>
      <w:pPr>
        <w:pStyle w:val="GesAbsatz"/>
        <w:tabs>
          <w:tab w:val="clear" w:pos="425"/>
          <w:tab w:val="left" w:pos="3544"/>
        </w:tabs>
      </w:pPr>
      <w:r>
        <w:t>Oracle-Datenbank:</w:t>
      </w:r>
      <w:r>
        <w:tab/>
        <w:t>10.1</w:t>
      </w:r>
    </w:p>
    <w:p>
      <w:pPr>
        <w:pStyle w:val="GesAbsatz"/>
        <w:tabs>
          <w:tab w:val="clear" w:pos="425"/>
          <w:tab w:val="left" w:pos="3544"/>
        </w:tabs>
      </w:pPr>
      <w:r>
        <w:t>TService</w:t>
      </w:r>
      <w:r>
        <w:tab/>
        <w:t xml:space="preserve"> 5.2 (013)</w:t>
      </w:r>
    </w:p>
    <w:p>
      <w:pPr>
        <w:pStyle w:val="GesAbsatz"/>
        <w:tabs>
          <w:tab w:val="clear" w:pos="425"/>
          <w:tab w:val="left" w:pos="3544"/>
        </w:tabs>
      </w:pPr>
      <w:r>
        <w:t>TAP42</w:t>
      </w:r>
      <w:r>
        <w:tab/>
        <w:t>4.2 (012)</w:t>
      </w:r>
    </w:p>
    <w:p>
      <w:pPr>
        <w:pStyle w:val="GesAbsatz"/>
      </w:pPr>
      <w:r>
        <w:t>Stellungnahme der TÜV Rheinland Immissionsschutz und Energiesysteme vom 29. Februar 2008</w:t>
      </w:r>
    </w:p>
    <w:p>
      <w:pPr>
        <w:pStyle w:val="GesAbsatz"/>
        <w:rPr>
          <w:b/>
        </w:rPr>
      </w:pPr>
      <w:r>
        <w:rPr>
          <w:b/>
        </w:rPr>
        <w:t>8 Mitteilung zur Bekanntmachung des Umweltbunde</w:t>
      </w:r>
      <w:r>
        <w:rPr>
          <w:b/>
        </w:rPr>
        <w:t>s</w:t>
      </w:r>
      <w:r>
        <w:rPr>
          <w:b/>
        </w:rPr>
        <w:t>amtes vom 21. Februar 2006 (BAnz. S. 2655)</w:t>
      </w:r>
    </w:p>
    <w:p>
      <w:pPr>
        <w:pStyle w:val="GesAbsatz"/>
      </w:pPr>
      <w:r>
        <w:t>Die aktuellen Softwareversionen des Emissionsrechners DAS05 mit UmweltOffice2005 und EFÜ Modul der Firma Dr. Födisch Umweltmesstechnik AG sind:</w:t>
      </w:r>
    </w:p>
    <w:p>
      <w:pPr>
        <w:pStyle w:val="GesAbsatz"/>
        <w:tabs>
          <w:tab w:val="clear" w:pos="425"/>
          <w:tab w:val="left" w:pos="3402"/>
        </w:tabs>
      </w:pPr>
      <w:r>
        <w:t>DAS05:</w:t>
      </w:r>
      <w:r>
        <w:tab/>
        <w:t>5.2 (011)</w:t>
      </w:r>
    </w:p>
    <w:p>
      <w:pPr>
        <w:pStyle w:val="GesAbsatz"/>
        <w:tabs>
          <w:tab w:val="clear" w:pos="425"/>
          <w:tab w:val="left" w:pos="3402"/>
        </w:tabs>
      </w:pPr>
      <w:r>
        <w:t>UmweltOffice2005:</w:t>
      </w:r>
      <w:r>
        <w:tab/>
        <w:t>5.5.2</w:t>
      </w:r>
    </w:p>
    <w:p>
      <w:pPr>
        <w:pStyle w:val="GesAbsatz"/>
        <w:tabs>
          <w:tab w:val="clear" w:pos="425"/>
          <w:tab w:val="left" w:pos="3402"/>
        </w:tabs>
      </w:pPr>
      <w:r>
        <w:t>Oracle-Datenbank:</w:t>
      </w:r>
      <w:r>
        <w:tab/>
        <w:t>10.1</w:t>
      </w:r>
    </w:p>
    <w:p>
      <w:pPr>
        <w:pStyle w:val="GesAbsatz"/>
        <w:tabs>
          <w:tab w:val="clear" w:pos="425"/>
          <w:tab w:val="left" w:pos="3402"/>
        </w:tabs>
      </w:pPr>
      <w:r>
        <w:t>TService</w:t>
      </w:r>
      <w:r>
        <w:tab/>
        <w:t>5.2 (013)</w:t>
      </w:r>
    </w:p>
    <w:p>
      <w:pPr>
        <w:pStyle w:val="GesAbsatz"/>
        <w:tabs>
          <w:tab w:val="clear" w:pos="425"/>
          <w:tab w:val="left" w:pos="3402"/>
        </w:tabs>
      </w:pPr>
      <w:r>
        <w:t>TAP52</w:t>
      </w:r>
      <w:r>
        <w:tab/>
        <w:t>5.2 (012)</w:t>
      </w:r>
    </w:p>
    <w:p>
      <w:pPr>
        <w:pStyle w:val="GesAbsatz"/>
      </w:pPr>
      <w:r>
        <w:t>Stellungnahme der TÜV Rheinland Immissionsschutz und Energiesysteme vom 29. Februar 2008</w:t>
      </w:r>
    </w:p>
    <w:p>
      <w:pPr>
        <w:pStyle w:val="GesAbsatz"/>
        <w:rPr>
          <w:b/>
        </w:rPr>
      </w:pPr>
      <w:r>
        <w:rPr>
          <w:b/>
        </w:rPr>
        <w:t>9 Mitteilung zur Bekanntmachung des Umweltbunde</w:t>
      </w:r>
      <w:r>
        <w:rPr>
          <w:b/>
        </w:rPr>
        <w:t>s</w:t>
      </w:r>
      <w:r>
        <w:rPr>
          <w:b/>
        </w:rPr>
        <w:t>amtes vom 21. Februar 2006 (BAnz. S. 2655)</w:t>
      </w:r>
    </w:p>
    <w:p>
      <w:pPr>
        <w:pStyle w:val="GesAbsatz"/>
      </w:pPr>
      <w:r>
        <w:t>Die aktuellen Software Versionen des Emissionsrechners DAS05 mit DSM-05 und EFÜ Modul der Firma Dr. F</w:t>
      </w:r>
      <w:r>
        <w:t>ö</w:t>
      </w:r>
      <w:r>
        <w:t>disch Umweltmesstechnik AG sind:</w:t>
      </w:r>
    </w:p>
    <w:p>
      <w:pPr>
        <w:pStyle w:val="GesAbsatz"/>
        <w:tabs>
          <w:tab w:val="clear" w:pos="425"/>
          <w:tab w:val="left" w:pos="2835"/>
        </w:tabs>
      </w:pPr>
      <w:r>
        <w:t>DAS05:</w:t>
      </w:r>
      <w:r>
        <w:tab/>
        <w:t>5.2 (011)</w:t>
      </w:r>
    </w:p>
    <w:p>
      <w:pPr>
        <w:pStyle w:val="GesAbsatz"/>
        <w:tabs>
          <w:tab w:val="clear" w:pos="425"/>
          <w:tab w:val="left" w:pos="2835"/>
        </w:tabs>
      </w:pPr>
      <w:r>
        <w:t>DSM-05:</w:t>
      </w:r>
      <w:r>
        <w:tab/>
        <w:t>5.5.2</w:t>
      </w:r>
    </w:p>
    <w:p>
      <w:pPr>
        <w:pStyle w:val="GesAbsatz"/>
        <w:tabs>
          <w:tab w:val="clear" w:pos="425"/>
          <w:tab w:val="left" w:pos="2835"/>
        </w:tabs>
      </w:pPr>
      <w:r>
        <w:t>Oracle-Datenbank</w:t>
      </w:r>
      <w:r>
        <w:tab/>
        <w:t>10.1</w:t>
      </w:r>
    </w:p>
    <w:p>
      <w:pPr>
        <w:pStyle w:val="GesAbsatz"/>
        <w:tabs>
          <w:tab w:val="clear" w:pos="425"/>
          <w:tab w:val="left" w:pos="2835"/>
        </w:tabs>
      </w:pPr>
      <w:r>
        <w:t>TService</w:t>
      </w:r>
      <w:r>
        <w:tab/>
        <w:t>5.2 (013)</w:t>
      </w:r>
    </w:p>
    <w:p>
      <w:pPr>
        <w:pStyle w:val="GesAbsatz"/>
        <w:tabs>
          <w:tab w:val="clear" w:pos="425"/>
          <w:tab w:val="left" w:pos="2835"/>
        </w:tabs>
      </w:pPr>
      <w:r>
        <w:t>TAP52</w:t>
      </w:r>
      <w:r>
        <w:tab/>
        <w:t>5.2 (012)</w:t>
      </w:r>
    </w:p>
    <w:p>
      <w:pPr>
        <w:pStyle w:val="GesAbsatz"/>
      </w:pPr>
      <w:r>
        <w:t>Stellungnahme der TÜV Rheinland Immissionsschutz und Energiesysteme vom 29. Februar 2008</w:t>
      </w:r>
    </w:p>
    <w:p>
      <w:pPr>
        <w:pStyle w:val="GesAbsatz"/>
        <w:rPr>
          <w:b/>
        </w:rPr>
      </w:pPr>
      <w:r>
        <w:rPr>
          <w:b/>
        </w:rPr>
        <w:t>10 Mitteilung zu Bekanntmachungen des Umweltbunde</w:t>
      </w:r>
      <w:r>
        <w:rPr>
          <w:b/>
        </w:rPr>
        <w:t>s</w:t>
      </w:r>
      <w:r>
        <w:rPr>
          <w:b/>
        </w:rPr>
        <w:t>amtes vom 25. Juli 2005 (BAnz. S. 15 700) und vom 12. September 2006 (BAnz. S. 6716)</w:t>
      </w:r>
    </w:p>
    <w:p>
      <w:pPr>
        <w:pStyle w:val="GesAbsatz"/>
      </w:pPr>
      <w:r>
        <w:t>Die aktuellen Softwareversionen der Emissionsmessei</w:t>
      </w:r>
      <w:r>
        <w:t>n</w:t>
      </w:r>
      <w:r>
        <w:t>richtung GM 35 In-situ Gasanalysator der Firma SICK MAIHAK GmbH sind:</w:t>
      </w:r>
    </w:p>
    <w:p>
      <w:pPr>
        <w:pStyle w:val="GesAbsatz"/>
        <w:tabs>
          <w:tab w:val="clear" w:pos="425"/>
          <w:tab w:val="left" w:pos="2835"/>
        </w:tabs>
      </w:pPr>
      <w:r>
        <w:t>SE-Einheit:</w:t>
      </w:r>
      <w:r>
        <w:tab/>
        <w:t>9062244 RJ37</w:t>
      </w:r>
    </w:p>
    <w:p>
      <w:pPr>
        <w:pStyle w:val="GesAbsatz"/>
        <w:tabs>
          <w:tab w:val="clear" w:pos="425"/>
          <w:tab w:val="left" w:pos="2835"/>
        </w:tabs>
      </w:pPr>
      <w:r>
        <w:t>Auswerteeinheit:</w:t>
      </w:r>
      <w:r>
        <w:tab/>
        <w:t>9062243 S436</w:t>
      </w:r>
    </w:p>
    <w:p>
      <w:pPr>
        <w:pStyle w:val="GesAbsatz"/>
        <w:tabs>
          <w:tab w:val="clear" w:pos="425"/>
          <w:tab w:val="left" w:pos="2835"/>
        </w:tabs>
      </w:pPr>
      <w:r>
        <w:t>Spülluft:</w:t>
      </w:r>
      <w:r>
        <w:tab/>
        <w:t>9091948 QC24</w:t>
      </w:r>
    </w:p>
    <w:p>
      <w:pPr>
        <w:pStyle w:val="GesAbsatz"/>
      </w:pPr>
      <w:r>
        <w:t>Stellungnahme der TÜV Rheinland Immissionsschutz und Energiesysteme vom 10. März 2008</w:t>
      </w:r>
    </w:p>
    <w:p>
      <w:pPr>
        <w:pStyle w:val="GesAbsatz"/>
        <w:rPr>
          <w:b/>
        </w:rPr>
      </w:pPr>
      <w:r>
        <w:rPr>
          <w:b/>
        </w:rPr>
        <w:t>11 Mitteilung zu Bekanntmachungen des Umweltbunde</w:t>
      </w:r>
      <w:r>
        <w:rPr>
          <w:b/>
        </w:rPr>
        <w:t>s</w:t>
      </w:r>
      <w:r>
        <w:rPr>
          <w:b/>
        </w:rPr>
        <w:t>amtes vom 31. März 2005 (BAnz. S. 6892) und vom 12. September 2006 (BAnz. S. 6717)</w:t>
      </w:r>
    </w:p>
    <w:p>
      <w:pPr>
        <w:pStyle w:val="GesAbsatz"/>
      </w:pPr>
      <w:r>
        <w:lastRenderedPageBreak/>
        <w:t>Die Messeinrichtung StackGuard der Fa. Sigrist Photometer AG wird ab sofort mit einem dielektrisch b</w:t>
      </w:r>
      <w:r>
        <w:t>e</w:t>
      </w:r>
      <w:r>
        <w:t>schichteten Umlenkspiegel anstelle des aluminiumbedampften Spiegels zur Laserlichtumlenkung ausgesta</w:t>
      </w:r>
      <w:r>
        <w:t>t</w:t>
      </w:r>
      <w:r>
        <w:t>tet.</w:t>
      </w:r>
    </w:p>
    <w:p>
      <w:pPr>
        <w:pStyle w:val="GesAbsatz"/>
      </w:pPr>
      <w:r>
        <w:t>Stellungnahme der TÜV Rheinland Immissionsschutz und Energiesysteme vom 11. März 2008</w:t>
      </w:r>
    </w:p>
    <w:p>
      <w:pPr>
        <w:pStyle w:val="GesAbsatz"/>
        <w:rPr>
          <w:b/>
        </w:rPr>
      </w:pPr>
      <w:r>
        <w:rPr>
          <w:b/>
        </w:rPr>
        <w:t>12 Mitteilung zur Bekanntmachung des Umweltbunde</w:t>
      </w:r>
      <w:r>
        <w:rPr>
          <w:b/>
        </w:rPr>
        <w:t>s</w:t>
      </w:r>
      <w:r>
        <w:rPr>
          <w:b/>
        </w:rPr>
        <w:t>amtes vom 21. Februar 2006 (BAnz. S. 2655)</w:t>
      </w:r>
    </w:p>
    <w:p>
      <w:pPr>
        <w:pStyle w:val="GesAbsatz"/>
      </w:pPr>
      <w:r>
        <w:t>Die aktuelle Softwareversion der Immissionsmesseinrichtung 42i der Firma Thermo Fisher Scientific la</w:t>
      </w:r>
      <w:r>
        <w:t>u</w:t>
      </w:r>
      <w:r>
        <w:t>tet: V 01.05.01 (105646-00)</w:t>
      </w:r>
    </w:p>
    <w:p>
      <w:pPr>
        <w:pStyle w:val="GesAbsatz"/>
      </w:pPr>
      <w:r>
        <w:t>Stellungnahme der TÜV Rheinland Immissionsschutz und Energiesysteme vom 10. März 2008</w:t>
      </w:r>
    </w:p>
    <w:p>
      <w:pPr>
        <w:pStyle w:val="GesAbsatz"/>
        <w:rPr>
          <w:b/>
        </w:rPr>
      </w:pPr>
      <w:r>
        <w:rPr>
          <w:b/>
        </w:rPr>
        <w:t>13 Mitteilung zur Bekanntmachung des Umweltbunde</w:t>
      </w:r>
      <w:r>
        <w:rPr>
          <w:b/>
        </w:rPr>
        <w:t>s</w:t>
      </w:r>
      <w:r>
        <w:rPr>
          <w:b/>
        </w:rPr>
        <w:t>amtes vom 12. September 2006 (BAnz. S. 6717)</w:t>
      </w:r>
    </w:p>
    <w:p>
      <w:pPr>
        <w:pStyle w:val="GesAbsatz"/>
      </w:pPr>
      <w:r>
        <w:t>Die aktuelle Softwareversion der Immissionsmesseinrichtung 43i der Firma Thermo Fisher Scientific la</w:t>
      </w:r>
      <w:r>
        <w:t>u</w:t>
      </w:r>
      <w:r>
        <w:t>tet: V 01.05.06 (105721-00)</w:t>
      </w:r>
    </w:p>
    <w:p>
      <w:pPr>
        <w:pStyle w:val="GesAbsatz"/>
      </w:pPr>
      <w:r>
        <w:t xml:space="preserve">Stellungnahme der TÜV Rheinland Immissionsschutz und Energiesysteme vom 10. März </w:t>
      </w:r>
    </w:p>
    <w:p>
      <w:pPr>
        <w:pStyle w:val="GesAbsatz"/>
        <w:rPr>
          <w:b/>
        </w:rPr>
      </w:pPr>
      <w:r>
        <w:rPr>
          <w:b/>
        </w:rPr>
        <w:t>14 Mitteilung zur Bekanntmachung des Umweltbunde</w:t>
      </w:r>
      <w:r>
        <w:rPr>
          <w:b/>
        </w:rPr>
        <w:t>s</w:t>
      </w:r>
      <w:r>
        <w:rPr>
          <w:b/>
        </w:rPr>
        <w:t>amtes vom 21. Februar 2006 (BAnz. S. 2655)</w:t>
      </w:r>
    </w:p>
    <w:p>
      <w:pPr>
        <w:pStyle w:val="GesAbsatz"/>
      </w:pPr>
      <w:r>
        <w:t>Die aktuelle Softwareversion der Immissionsmesseinrichtung 48i der Firma Thermo Fisher Scientific la</w:t>
      </w:r>
      <w:r>
        <w:t>u</w:t>
      </w:r>
      <w:r>
        <w:t>tet: V 01.05.03 (106423-00)</w:t>
      </w:r>
    </w:p>
    <w:p>
      <w:pPr>
        <w:pStyle w:val="GesAbsatz"/>
      </w:pPr>
      <w:r>
        <w:t>Stellungnahme der TÜV Rheinland Immissionsschutz und Energiesysteme vom 10. März 2008</w:t>
      </w:r>
    </w:p>
    <w:p>
      <w:pPr>
        <w:pStyle w:val="GesAbsatz"/>
        <w:rPr>
          <w:b/>
        </w:rPr>
      </w:pPr>
      <w:r>
        <w:rPr>
          <w:b/>
        </w:rPr>
        <w:t>15 Mitteilung zur Bekanntmachung des Umweltbunde</w:t>
      </w:r>
      <w:r>
        <w:rPr>
          <w:b/>
        </w:rPr>
        <w:t>s</w:t>
      </w:r>
      <w:r>
        <w:rPr>
          <w:b/>
        </w:rPr>
        <w:t>amtes vom 21. Februar 2006 (BAnz. S. 2655)</w:t>
      </w:r>
    </w:p>
    <w:p>
      <w:pPr>
        <w:pStyle w:val="GesAbsatz"/>
      </w:pPr>
      <w:r>
        <w:t>Die aktuelle Softwareversion der Immissionsmesseinrichtung 49i der Firma Thermo Fisher Scientific la</w:t>
      </w:r>
      <w:r>
        <w:t>u</w:t>
      </w:r>
      <w:r>
        <w:t>tet: V 01.05.00 (105115-00)</w:t>
      </w:r>
    </w:p>
    <w:p>
      <w:pPr>
        <w:pStyle w:val="GesAbsatz"/>
      </w:pPr>
      <w:r>
        <w:t>Stellungnahme der TÜV Rheinland Immissionsschutz und Energiesysteme vom 10. März 2008</w:t>
      </w:r>
    </w:p>
    <w:p>
      <w:pPr>
        <w:pStyle w:val="GesAbsatz"/>
        <w:rPr>
          <w:b/>
        </w:rPr>
      </w:pPr>
      <w:r>
        <w:rPr>
          <w:b/>
        </w:rPr>
        <w:t>16 Mitteilung zur Bekanntmachung des Umweltbunde</w:t>
      </w:r>
      <w:r>
        <w:rPr>
          <w:b/>
        </w:rPr>
        <w:t>s</w:t>
      </w:r>
      <w:r>
        <w:rPr>
          <w:b/>
        </w:rPr>
        <w:t>amtes vom 12. September 2006 (BAnz. S. 6715)</w:t>
      </w:r>
    </w:p>
    <w:p>
      <w:pPr>
        <w:pStyle w:val="GesAbsatz"/>
      </w:pPr>
      <w:r>
        <w:t>Die aktuelle Softwareversion für das Analysatormodul der Messeinrichtungen der EasyLine EL3000 Serie ist 3.2.8.</w:t>
      </w:r>
    </w:p>
    <w:p>
      <w:pPr>
        <w:pStyle w:val="GesAbsatz"/>
      </w:pPr>
      <w:r>
        <w:t>Stellungnahme der TÜV Süd Industrie Service GmbH vom 29. Februar 2008</w:t>
      </w:r>
    </w:p>
    <w:p>
      <w:pPr>
        <w:pStyle w:val="GesAbsatz"/>
        <w:rPr>
          <w:b/>
        </w:rPr>
      </w:pPr>
      <w:r>
        <w:rPr>
          <w:b/>
        </w:rPr>
        <w:t>17 Mitteilung zur Bekanntmachung des Umweltbunde</w:t>
      </w:r>
      <w:r>
        <w:rPr>
          <w:b/>
        </w:rPr>
        <w:t>s</w:t>
      </w:r>
      <w:r>
        <w:rPr>
          <w:b/>
        </w:rPr>
        <w:t>amtes vom 12. September 2006 (BAnz. S. 6715)</w:t>
      </w:r>
    </w:p>
    <w:p>
      <w:pPr>
        <w:pStyle w:val="GesAbsatz"/>
      </w:pPr>
      <w:r>
        <w:t>Die aktuelle Software-Version für das Analysatormodul der Messeinrichtungen  er Advance Optima AO2000 S</w:t>
      </w:r>
      <w:r>
        <w:t>e</w:t>
      </w:r>
      <w:r>
        <w:t>rie ist 3.2.8.</w:t>
      </w:r>
    </w:p>
    <w:p>
      <w:pPr>
        <w:pStyle w:val="GesAbsatz"/>
      </w:pPr>
      <w:r>
        <w:t>Stellungnahme der TÜV Süd Industrie Service GmbH vom 29. Februar 2008</w:t>
      </w:r>
    </w:p>
    <w:p>
      <w:pPr>
        <w:pStyle w:val="GesAbsatz"/>
        <w:rPr>
          <w:b/>
        </w:rPr>
      </w:pPr>
      <w:r>
        <w:rPr>
          <w:b/>
        </w:rPr>
        <w:t>18 Mitteilung des Umweltbundesamtes</w:t>
      </w:r>
    </w:p>
    <w:p>
      <w:pPr>
        <w:pStyle w:val="GesAbsatz"/>
      </w:pPr>
      <w:r>
        <w:t>Die Erfahrungen mit der kontinuierlichen Bestimmung von Quecksilber machen weitere qualitätssichernde Maßnahmen erforderlich. Die Messeinrichtungen bedürfen während des Betriebes einer laufenden Qual</w:t>
      </w:r>
      <w:r>
        <w:t>i</w:t>
      </w:r>
      <w:r>
        <w:t>tätssicherung (QAL 3), wie etwa die regelmäßige Überprüfung des Null- und Referenzpunktes und sind da</w:t>
      </w:r>
      <w:r>
        <w:t>r</w:t>
      </w:r>
      <w:r>
        <w:t>über hinaus nur noch in Verbindung mit en</w:t>
      </w:r>
      <w:r>
        <w:t>t</w:t>
      </w:r>
      <w:r>
        <w:t>sprechenden Wartungshandbüchern zu betreiben. Für folgende Messeinrichtungen liegen durch die Prüfinstitute geprüfte Wartungshandbücher bei dem jeweiligen Herste</w:t>
      </w:r>
      <w:r>
        <w:t>l</w:t>
      </w:r>
      <w:r>
        <w:t>ler vor:</w:t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4083"/>
        <w:gridCol w:w="2295"/>
      </w:tblGrid>
      <w:tr>
        <w:tc>
          <w:tcPr>
            <w:tcW w:w="1668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Messeinric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tung</w:t>
            </w:r>
          </w:p>
        </w:tc>
        <w:tc>
          <w:tcPr>
            <w:tcW w:w="4083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Hersteller</w:t>
            </w:r>
          </w:p>
        </w:tc>
        <w:tc>
          <w:tcPr>
            <w:tcW w:w="2295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Bekanntgabe</w:t>
            </w:r>
          </w:p>
        </w:tc>
      </w:tr>
      <w:tr>
        <w:tc>
          <w:tcPr>
            <w:tcW w:w="1668" w:type="dxa"/>
          </w:tcPr>
          <w:p>
            <w:pPr>
              <w:pStyle w:val="GesAbsatz"/>
              <w:tabs>
                <w:tab w:val="clear" w:pos="425"/>
              </w:tabs>
            </w:pPr>
            <w:r>
              <w:t>MERGEM</w:t>
            </w:r>
            <w:r>
              <w:br/>
              <w:t>Quecksilbe</w:t>
            </w:r>
            <w:r>
              <w:t>r</w:t>
            </w:r>
            <w:r>
              <w:t>analys</w:t>
            </w:r>
            <w:r>
              <w:t>a</w:t>
            </w:r>
            <w:r>
              <w:t>tor</w:t>
            </w:r>
          </w:p>
        </w:tc>
        <w:tc>
          <w:tcPr>
            <w:tcW w:w="4083" w:type="dxa"/>
          </w:tcPr>
          <w:p>
            <w:pPr>
              <w:pStyle w:val="GesAbsatz"/>
              <w:tabs>
                <w:tab w:val="clear" w:pos="425"/>
              </w:tabs>
            </w:pPr>
            <w:r>
              <w:t>SICK MAIHK GmbH, Meer</w:t>
            </w:r>
            <w:r>
              <w:t>s</w:t>
            </w:r>
            <w:r>
              <w:t>burg</w:t>
            </w:r>
          </w:p>
        </w:tc>
        <w:tc>
          <w:tcPr>
            <w:tcW w:w="2295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- GMBl. 1996 S. 592 </w:t>
            </w:r>
            <w:r>
              <w:br/>
              <w:t>- GMBl. 2001 S. 386</w:t>
            </w:r>
          </w:p>
        </w:tc>
      </w:tr>
      <w:tr>
        <w:tc>
          <w:tcPr>
            <w:tcW w:w="1668" w:type="dxa"/>
          </w:tcPr>
          <w:p>
            <w:pPr>
              <w:pStyle w:val="GesAbsatz"/>
              <w:tabs>
                <w:tab w:val="clear" w:pos="425"/>
              </w:tabs>
            </w:pPr>
            <w:r>
              <w:t>HM 1400 TR</w:t>
            </w:r>
          </w:p>
        </w:tc>
        <w:tc>
          <w:tcPr>
            <w:tcW w:w="4083" w:type="dxa"/>
          </w:tcPr>
          <w:p>
            <w:pPr>
              <w:pStyle w:val="GesAbsatz"/>
              <w:tabs>
                <w:tab w:val="clear" w:pos="425"/>
              </w:tabs>
            </w:pPr>
            <w:r>
              <w:t xml:space="preserve">VEREWA -Umwelt- und </w:t>
            </w:r>
            <w:r>
              <w:br/>
              <w:t>Prozessmes</w:t>
            </w:r>
            <w:r>
              <w:t>s</w:t>
            </w:r>
            <w:r>
              <w:t>technik GmbH, Hamburg</w:t>
            </w:r>
          </w:p>
        </w:tc>
        <w:tc>
          <w:tcPr>
            <w:tcW w:w="2295" w:type="dxa"/>
          </w:tcPr>
          <w:p>
            <w:pPr>
              <w:pStyle w:val="GesAbsatz"/>
              <w:tabs>
                <w:tab w:val="clear" w:pos="425"/>
              </w:tabs>
            </w:pPr>
            <w:r>
              <w:t>- GMBl. 2001 S. 386</w:t>
            </w:r>
          </w:p>
        </w:tc>
      </w:tr>
      <w:tr>
        <w:tc>
          <w:tcPr>
            <w:tcW w:w="1668" w:type="dxa"/>
          </w:tcPr>
          <w:p>
            <w:pPr>
              <w:pStyle w:val="GesAbsatz"/>
              <w:tabs>
                <w:tab w:val="clear" w:pos="425"/>
              </w:tabs>
            </w:pPr>
            <w:r>
              <w:t>Hg 2010</w:t>
            </w:r>
          </w:p>
        </w:tc>
        <w:tc>
          <w:tcPr>
            <w:tcW w:w="4083" w:type="dxa"/>
          </w:tcPr>
          <w:p>
            <w:pPr>
              <w:pStyle w:val="GesAbsatz"/>
              <w:tabs>
                <w:tab w:val="clear" w:pos="425"/>
              </w:tabs>
            </w:pPr>
            <w:r>
              <w:t>Semtech Metallurgy AB, Lund/Schweden</w:t>
            </w:r>
          </w:p>
        </w:tc>
        <w:tc>
          <w:tcPr>
            <w:tcW w:w="2295" w:type="dxa"/>
          </w:tcPr>
          <w:p>
            <w:pPr>
              <w:pStyle w:val="GesAbsatz"/>
              <w:tabs>
                <w:tab w:val="clear" w:pos="425"/>
              </w:tabs>
            </w:pPr>
            <w:r>
              <w:t>- GMBl. 2000 S. 1193</w:t>
            </w:r>
          </w:p>
        </w:tc>
      </w:tr>
      <w:tr>
        <w:tc>
          <w:tcPr>
            <w:tcW w:w="16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SM3</w:t>
            </w:r>
            <w:r>
              <w:rPr>
                <w:lang w:val="en-GB"/>
              </w:rPr>
              <w:br/>
              <w:t>Quecksilbe</w:t>
            </w:r>
            <w:r>
              <w:rPr>
                <w:lang w:val="en-GB"/>
              </w:rPr>
              <w:t>r</w:t>
            </w:r>
            <w:r>
              <w:rPr>
                <w:lang w:val="en-GB"/>
              </w:rPr>
              <w:t>monitor</w:t>
            </w:r>
          </w:p>
        </w:tc>
        <w:tc>
          <w:tcPr>
            <w:tcW w:w="4083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Mercury Instruments GmbH, Karlsfeld</w:t>
            </w:r>
            <w:bookmarkStart w:id="9" w:name="_GoBack"/>
            <w:bookmarkEnd w:id="9"/>
          </w:p>
        </w:tc>
        <w:tc>
          <w:tcPr>
            <w:tcW w:w="229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 GMBl. 1999 S. 720</w:t>
            </w:r>
          </w:p>
        </w:tc>
      </w:tr>
    </w:tbl>
    <w:p>
      <w:pPr>
        <w:pStyle w:val="GesAbsatz"/>
        <w:rPr>
          <w:lang w:val="en-GB"/>
        </w:rPr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-1"/>
    </w:pPr>
    <w:r>
      <w:tab/>
      <w:t>Stand 12.08.2008 (BAnz. 133 S. 3243)</w:t>
    </w:r>
    <w:r>
      <w:tab/>
      <w:t>Se</w:t>
    </w:r>
    <w:r>
      <w:t>i</w:t>
    </w:r>
    <w:r>
      <w:t xml:space="preserve">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before="0"/>
      <w:rPr>
        <w:b/>
        <w:sz w:val="24"/>
      </w:rPr>
    </w:pPr>
    <w:r>
      <w:rPr>
        <w:b/>
        <w:sz w:val="24"/>
      </w:rPr>
      <w:t>61.4-53</w:t>
    </w:r>
  </w:p>
  <w:p>
    <w:pPr>
      <w:pStyle w:val="Kopfzeile"/>
      <w:spacing w:before="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9BA435-A66A-40C8-8B06-C156BD7D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qFormat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  <w:jc w:val="right"/>
    </w:pPr>
  </w:style>
  <w:style w:type="paragraph" w:styleId="Fuzeile">
    <w:name w:val="footer"/>
    <w:basedOn w:val="Standar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</w:tabs>
      <w:spacing w:before="0" w:after="0"/>
      <w:ind w:left="20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</w:tabs>
      <w:spacing w:before="0" w:after="0"/>
      <w:ind w:left="400"/>
      <w:jc w:val="left"/>
    </w:pPr>
    <w:rPr>
      <w:rFonts w:ascii="Times New Roman" w:hAnsi="Times New Roman"/>
      <w:i/>
      <w:iCs/>
    </w:rPr>
  </w:style>
  <w:style w:type="paragraph" w:styleId="Funotentext">
    <w:name w:val="footnote text"/>
    <w:basedOn w:val="Standard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bCs/>
      <w:i w:val="0"/>
      <w:iCs w:val="0"/>
      <w:caps/>
    </w:rPr>
  </w:style>
  <w:style w:type="paragraph" w:customStyle="1" w:styleId="GesAbsatz">
    <w:name w:val="GesAbsatz"/>
    <w:basedOn w:val="Standard"/>
    <w:pPr>
      <w:tabs>
        <w:tab w:val="left" w:pos="425"/>
      </w:tabs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</w:tabs>
      <w:spacing w:before="0" w:after="0"/>
      <w:ind w:left="600"/>
      <w:jc w:val="left"/>
    </w:pPr>
    <w:rPr>
      <w:rFonts w:ascii="Times New Roman" w:hAnsi="Times New Roman"/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</w:tabs>
      <w:spacing w:before="0"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</w:tabs>
      <w:spacing w:before="0"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</w:tabs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</w:tabs>
      <w:spacing w:before="0"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</w:tabs>
      <w:spacing w:before="0"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ueter\Anwendungsdaten\Microsoft\Vorlagen\VT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</Template>
  <TotalTime>0</TotalTime>
  <Pages>11</Pages>
  <Words>2882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Bundeseinheitliche Praxis 12. August 2008</vt:lpstr>
    </vt:vector>
  </TitlesOfParts>
  <Manager/>
  <Company>LANUV NRW</Company>
  <LinksUpToDate>false</LinksUpToDate>
  <CharactersWithSpaces>21558</CharactersWithSpaces>
  <SharedDoc>false</SharedDoc>
  <HLinks>
    <vt:vector size="54" baseType="variant"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_Toc210618598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_Toc210618597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_Toc210618596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_Toc210618595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_Toc210618594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_Toc210618593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_Toc210618592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_Toc210618591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_Toc210618590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Bundeseinheitliche Praxis 12. August 2008</dc:title>
  <dc:subject/>
  <dc:creator>LANUV NRW</dc:creator>
  <cp:keywords/>
  <dc:description/>
  <cp:lastModifiedBy>Rüter, Dr., Ingo</cp:lastModifiedBy>
  <cp:revision>2</cp:revision>
  <cp:lastPrinted>2004-12-14T12:08:00Z</cp:lastPrinted>
  <dcterms:created xsi:type="dcterms:W3CDTF">2024-07-18T06:48:00Z</dcterms:created>
  <dcterms:modified xsi:type="dcterms:W3CDTF">2024-07-18T06:48:00Z</dcterms:modified>
</cp:coreProperties>
</file>