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Bekanntmachung über die bundeseinheitliche Praxis bei der Überw</w:t>
      </w:r>
      <w:r>
        <w:t>a</w:t>
      </w:r>
      <w:r>
        <w:t>chung der Emissionen und der Immi</w:t>
      </w:r>
      <w:r>
        <w:t>s</w:t>
      </w:r>
      <w:r>
        <w:t>sionen</w:t>
      </w:r>
    </w:p>
    <w:p>
      <w:pPr>
        <w:pStyle w:val="GesAbsatz"/>
        <w:jc w:val="center"/>
      </w:pPr>
      <w:r>
        <w:t>vom 12. September 2006</w:t>
      </w:r>
    </w:p>
    <w:p>
      <w:pPr>
        <w:pStyle w:val="berschrift2"/>
      </w:pPr>
      <w:r>
        <w:t>I.</w:t>
      </w:r>
      <w:r>
        <w:br/>
        <w:t>Eignung von Messeinrichtungen zur kontinuierlichen Überwachung von Emissionen</w:t>
      </w:r>
    </w:p>
    <w:p>
      <w:pPr>
        <w:pStyle w:val="GesAbsatz"/>
      </w:pPr>
      <w:r>
        <w:t>Unter Bezugnahme auf Nummer 3 der Richtlinie über die Bundes</w:t>
      </w:r>
      <w:bookmarkStart w:id="0" w:name="_GoBack"/>
      <w:bookmarkEnd w:id="0"/>
      <w:r>
        <w:t>einheitliche Praxis bei der Überwachung der Emissionen — Rundschreiben des Bundesministeriums für Umwelt, Naturschutz und Reaktorsicherheit (BMU) vom 13. Juni 2005 — IG I 2 - 45053/5 (GMBI. 2005 S. 795) — wird im Auftrag des BMU die Eignung der folgenden Messeinrichtungen bekannt gegeben:</w:t>
      </w:r>
    </w:p>
    <w:p>
      <w:pPr>
        <w:pStyle w:val="GesAbsatz"/>
        <w:rPr>
          <w:b/>
        </w:rPr>
      </w:pPr>
      <w:r>
        <w:rPr>
          <w:b/>
        </w:rPr>
        <w:t xml:space="preserve">1 Staubförmige Emissionen (Staubkonzentration) </w:t>
      </w:r>
    </w:p>
    <w:p>
      <w:pPr>
        <w:pStyle w:val="GesAbsatz"/>
      </w:pPr>
      <w:r>
        <w:t>1.1 D-R 800</w:t>
      </w:r>
    </w:p>
    <w:p>
      <w:pPr>
        <w:pStyle w:val="GesAbsatz"/>
      </w:pPr>
      <w:r>
        <w:t>Hersteller:</w:t>
      </w:r>
    </w:p>
    <w:p>
      <w:pPr>
        <w:pStyle w:val="GesAbsatz"/>
      </w:pPr>
      <w:r>
        <w:t>DURAG GmbH, Hamburg</w:t>
      </w:r>
    </w:p>
    <w:p>
      <w:pPr>
        <w:pStyle w:val="GesAbsatz"/>
      </w:pPr>
      <w:r>
        <w:t>Eignung:</w:t>
      </w:r>
    </w:p>
    <w:p>
      <w:pPr>
        <w:pStyle w:val="GesAbsatz"/>
      </w:pPr>
      <w:r>
        <w:t>Für genehmigungsbedürftige Anlagen und Anlagen der 27. BImSchV</w:t>
      </w:r>
    </w:p>
    <w:p>
      <w:pPr>
        <w:pStyle w:val="GesAbsatz"/>
      </w:pPr>
      <w:r>
        <w:t>Messbereiche bei der Eignungsprüfung:</w:t>
      </w:r>
    </w:p>
    <w:p>
      <w:pPr>
        <w:pStyle w:val="GesAbsatz"/>
      </w:pPr>
      <w:r>
        <w:t xml:space="preserve">Staub: </w:t>
      </w:r>
    </w:p>
    <w:p>
      <w:pPr>
        <w:pStyle w:val="GesAbsatz"/>
      </w:pPr>
      <w:r>
        <w:t>0 - 15 mg/m</w:t>
      </w:r>
      <w:r>
        <w:rPr>
          <w:vertAlign w:val="superscript"/>
        </w:rPr>
        <w:t>3</w:t>
      </w:r>
    </w:p>
    <w:p>
      <w:pPr>
        <w:pStyle w:val="GesAbsatz"/>
      </w:pPr>
      <w:r>
        <w:t xml:space="preserve">0 - 100 % T (Referenzmessbereich) </w:t>
      </w:r>
    </w:p>
    <w:p>
      <w:pPr>
        <w:pStyle w:val="GesAbsatz"/>
      </w:pPr>
      <w:r>
        <w:t>Softwareversion: 1.91</w:t>
      </w:r>
    </w:p>
    <w:p>
      <w:pPr>
        <w:pStyle w:val="GesAbsatz"/>
      </w:pPr>
      <w:r>
        <w:t>Hinweise:</w:t>
      </w:r>
    </w:p>
    <w:p>
      <w:pPr>
        <w:pStyle w:val="GesAbsatz"/>
      </w:pPr>
      <w:r>
        <w:t>1.</w:t>
      </w:r>
      <w:r>
        <w:tab/>
        <w:t>Bei der manuellen Kalibrierung ergab sich ein Messbereich von ca. 0 - 16,5 mg/m</w:t>
      </w:r>
      <w:r>
        <w:rPr>
          <w:vertAlign w:val="superscript"/>
        </w:rPr>
        <w:t>3</w:t>
      </w:r>
      <w:r>
        <w:t xml:space="preserve"> Staub.</w:t>
      </w:r>
    </w:p>
    <w:p>
      <w:pPr>
        <w:pStyle w:val="GesAbsatz"/>
      </w:pPr>
      <w:r>
        <w:t>2.</w:t>
      </w:r>
      <w:r>
        <w:tab/>
        <w:t xml:space="preserve">Das Wartungsintervall beträgt 2 Wochen. </w:t>
      </w:r>
    </w:p>
    <w:p>
      <w:pPr>
        <w:pStyle w:val="GesAbsatz"/>
      </w:pPr>
      <w:r>
        <w:t>Prüfbericht:</w:t>
      </w:r>
    </w:p>
    <w:p>
      <w:pPr>
        <w:pStyle w:val="GesAbsatz"/>
      </w:pPr>
      <w:r>
        <w:t>TÜV Rheinland Immissionsschutz und Energiesysteme GmbH, Köln, TÜV Rheinland Group</w:t>
      </w:r>
    </w:p>
    <w:p>
      <w:pPr>
        <w:pStyle w:val="GesAbsatz"/>
      </w:pPr>
      <w:r>
        <w:t xml:space="preserve">Bericht-Nr. 936/21205307/A vom 7. Juli 2006 </w:t>
      </w:r>
    </w:p>
    <w:p>
      <w:pPr>
        <w:pStyle w:val="GesAbsatz"/>
      </w:pPr>
    </w:p>
    <w:p>
      <w:pPr>
        <w:pStyle w:val="GesAbsatz"/>
      </w:pPr>
      <w:r>
        <w:t>1.2 LMS 181</w:t>
      </w:r>
    </w:p>
    <w:p>
      <w:pPr>
        <w:pStyle w:val="GesAbsatz"/>
      </w:pPr>
      <w:r>
        <w:t>Hersteller:</w:t>
      </w:r>
    </w:p>
    <w:p>
      <w:pPr>
        <w:pStyle w:val="GesAbsatz"/>
      </w:pPr>
      <w:r>
        <w:t>PCME Ltd., St. Ives Cambs, UK</w:t>
      </w:r>
    </w:p>
    <w:p>
      <w:pPr>
        <w:pStyle w:val="GesAbsatz"/>
      </w:pPr>
      <w:r>
        <w:t>Eignung:</w:t>
      </w:r>
    </w:p>
    <w:p>
      <w:pPr>
        <w:pStyle w:val="GesAbsatz"/>
      </w:pPr>
      <w:r>
        <w:t>Für genehmigungsbedürftige Anlagen und Anlagen der 27. BImSchV</w:t>
      </w:r>
    </w:p>
    <w:p>
      <w:pPr>
        <w:pStyle w:val="GesAbsatz"/>
      </w:pPr>
      <w:r>
        <w:t>Messbereiche bei der Eignungsprüfung:</w:t>
      </w:r>
    </w:p>
    <w:p>
      <w:pPr>
        <w:pStyle w:val="GesAbsatz"/>
        <w:tabs>
          <w:tab w:val="clear" w:pos="425"/>
          <w:tab w:val="left" w:pos="2268"/>
        </w:tabs>
      </w:pPr>
      <w:r>
        <w:t>Staub</w:t>
      </w:r>
      <w:r>
        <w:tab/>
        <w:t>0 - 15 mg/m</w:t>
      </w:r>
      <w:r>
        <w:rPr>
          <w:vertAlign w:val="superscript"/>
        </w:rPr>
        <w:t>3</w:t>
      </w:r>
    </w:p>
    <w:p>
      <w:pPr>
        <w:pStyle w:val="GesAbsatz"/>
        <w:tabs>
          <w:tab w:val="clear" w:pos="425"/>
          <w:tab w:val="left" w:pos="2268"/>
        </w:tabs>
      </w:pPr>
      <w:r>
        <w:t>Staub</w:t>
      </w:r>
      <w:r>
        <w:tab/>
        <w:t>0 - 100 mg/m</w:t>
      </w:r>
      <w:r>
        <w:rPr>
          <w:vertAlign w:val="superscript"/>
        </w:rPr>
        <w:t>3</w:t>
      </w:r>
      <w:r>
        <w:t xml:space="preserve"> </w:t>
      </w:r>
    </w:p>
    <w:p>
      <w:pPr>
        <w:pStyle w:val="GesAbsatz"/>
      </w:pPr>
      <w:r>
        <w:t xml:space="preserve">Softwareversion: 1.2 H </w:t>
      </w:r>
    </w:p>
    <w:p>
      <w:pPr>
        <w:pStyle w:val="GesAbsatz"/>
      </w:pPr>
      <w:r>
        <w:t>Hinweise:</w:t>
      </w:r>
    </w:p>
    <w:p>
      <w:pPr>
        <w:pStyle w:val="GesAbsatz"/>
      </w:pPr>
      <w:r>
        <w:t>1.</w:t>
      </w:r>
      <w:r>
        <w:tab/>
        <w:t>Bei der manuellen Kalibrierung ergab sich aufgrund der zeitweise hohen Staubkonzentrationen am Pr</w:t>
      </w:r>
      <w:r>
        <w:t>ü</w:t>
      </w:r>
      <w:r>
        <w:t>fort ein Messbereich von 0 - 85 mg/m</w:t>
      </w:r>
      <w:r>
        <w:rPr>
          <w:vertAlign w:val="superscript"/>
        </w:rPr>
        <w:t>3</w:t>
      </w:r>
      <w:r>
        <w:t xml:space="preserve"> Staub bei einem eingestellten Messbereich von 100 mg/m</w:t>
      </w:r>
      <w:r>
        <w:rPr>
          <w:vertAlign w:val="superscript"/>
        </w:rPr>
        <w:t>3</w:t>
      </w:r>
      <w:r>
        <w:t>. Die Au</w:t>
      </w:r>
      <w:r>
        <w:t>s</w:t>
      </w:r>
      <w:r>
        <w:t>wertung der Feldtestdaten erfolgte im Messbereich 0 - 15 mg/m</w:t>
      </w:r>
      <w:r>
        <w:rPr>
          <w:vertAlign w:val="superscript"/>
        </w:rPr>
        <w:t>3</w:t>
      </w:r>
      <w:r>
        <w:t>.</w:t>
      </w:r>
    </w:p>
    <w:p>
      <w:pPr>
        <w:pStyle w:val="GesAbsatz"/>
      </w:pPr>
      <w:r>
        <w:t>2.</w:t>
      </w:r>
      <w:r>
        <w:tab/>
        <w:t xml:space="preserve">Das Wartungsintervall beträgt vier Wochen. </w:t>
      </w:r>
    </w:p>
    <w:p>
      <w:pPr>
        <w:pStyle w:val="GesAbsatz"/>
      </w:pPr>
      <w:r>
        <w:t>Prüfbericht:</w:t>
      </w:r>
    </w:p>
    <w:p>
      <w:pPr>
        <w:pStyle w:val="GesAbsatz"/>
      </w:pPr>
      <w:r>
        <w:lastRenderedPageBreak/>
        <w:t>TÜV Rheinland Immissionsschutz und Energiesysteme GmbH, Köln, TÜV Rheinland Group</w:t>
      </w:r>
    </w:p>
    <w:p>
      <w:pPr>
        <w:pStyle w:val="GesAbsatz"/>
      </w:pPr>
      <w:r>
        <w:t>Bericht-Nr. 936/21204255/A vom 7. Juli 2006</w:t>
      </w:r>
    </w:p>
    <w:p>
      <w:pPr>
        <w:pStyle w:val="GesAbsatz"/>
      </w:pPr>
    </w:p>
    <w:p>
      <w:pPr>
        <w:pStyle w:val="GesAbsatz"/>
        <w:rPr>
          <w:b/>
        </w:rPr>
      </w:pPr>
      <w:r>
        <w:rPr>
          <w:b/>
        </w:rPr>
        <w:t>2 Mehrkomponentenmesseinrichtungen</w:t>
      </w:r>
    </w:p>
    <w:p>
      <w:pPr>
        <w:pStyle w:val="GesAbsatz"/>
      </w:pPr>
      <w:r>
        <w:t>2.1 Advance Optima A02000 Serie für CO, NO, SO</w:t>
      </w:r>
      <w:r>
        <w:rPr>
          <w:vertAlign w:val="subscript"/>
        </w:rPr>
        <w:t>2</w:t>
      </w:r>
      <w:r>
        <w:t>, CO</w:t>
      </w:r>
      <w:r>
        <w:rPr>
          <w:vertAlign w:val="subscript"/>
        </w:rPr>
        <w:t>2</w:t>
      </w:r>
      <w:r>
        <w:t>, N</w:t>
      </w:r>
      <w:r>
        <w:rPr>
          <w:vertAlign w:val="subscript"/>
        </w:rPr>
        <w:t>2</w:t>
      </w:r>
      <w:r>
        <w:t>O und O</w:t>
      </w:r>
      <w:r>
        <w:rPr>
          <w:vertAlign w:val="subscript"/>
        </w:rPr>
        <w:t>2</w:t>
      </w:r>
    </w:p>
    <w:p>
      <w:pPr>
        <w:pStyle w:val="GesAbsatz"/>
      </w:pPr>
      <w:r>
        <w:t>Hersteller:</w:t>
      </w:r>
    </w:p>
    <w:p>
      <w:pPr>
        <w:pStyle w:val="GesAbsatz"/>
      </w:pPr>
      <w:r>
        <w:t>ABB Automation GmbH, Frankfurt/Main</w:t>
      </w:r>
    </w:p>
    <w:p>
      <w:pPr>
        <w:pStyle w:val="GesAbsatz"/>
      </w:pPr>
      <w:r>
        <w:t>Eignung:</w:t>
      </w:r>
    </w:p>
    <w:p>
      <w:pPr>
        <w:pStyle w:val="GesAbsatz"/>
      </w:pPr>
      <w:r>
        <w:t>Für genehmigungsbedürftige Anlagen und Anlagen der 27. BImSchV</w:t>
      </w:r>
    </w:p>
    <w:p>
      <w:pPr>
        <w:pStyle w:val="GesAbsatz"/>
      </w:pPr>
      <w:r>
        <w:t xml:space="preserve">Messbereiche bei der Eignungsprüfung: </w:t>
      </w:r>
    </w:p>
    <w:p>
      <w:pPr>
        <w:pStyle w:val="GesAbsatz"/>
      </w:pPr>
      <w:r>
        <w:t>Gerätevariante CEM1230KL</w:t>
      </w:r>
    </w:p>
    <w:p>
      <w:pPr>
        <w:pStyle w:val="GesAbsatz"/>
        <w:tabs>
          <w:tab w:val="clear" w:pos="425"/>
          <w:tab w:val="left" w:pos="1985"/>
        </w:tabs>
      </w:pPr>
      <w:r>
        <w:t>CO</w:t>
      </w:r>
      <w:r>
        <w:tab/>
        <w:t>0 - 75 mg/m</w:t>
      </w:r>
      <w:r>
        <w:rPr>
          <w:vertAlign w:val="superscript"/>
        </w:rPr>
        <w:t>3</w:t>
      </w:r>
    </w:p>
    <w:p>
      <w:pPr>
        <w:pStyle w:val="GesAbsatz"/>
        <w:tabs>
          <w:tab w:val="clear" w:pos="425"/>
          <w:tab w:val="left" w:pos="1985"/>
        </w:tabs>
      </w:pPr>
      <w:r>
        <w:t>NO Version (L)</w:t>
      </w:r>
      <w:r>
        <w:tab/>
        <w:t>0 - 100 mg/m</w:t>
      </w:r>
      <w:r>
        <w:rPr>
          <w:vertAlign w:val="superscript"/>
        </w:rPr>
        <w:t>3</w:t>
      </w:r>
    </w:p>
    <w:p>
      <w:pPr>
        <w:pStyle w:val="GesAbsatz"/>
        <w:tabs>
          <w:tab w:val="clear" w:pos="425"/>
          <w:tab w:val="left" w:pos="1985"/>
        </w:tabs>
      </w:pPr>
      <w:r>
        <w:t>SO</w:t>
      </w:r>
      <w:r>
        <w:rPr>
          <w:vertAlign w:val="subscript"/>
        </w:rPr>
        <w:t>2</w:t>
      </w:r>
      <w:r>
        <w:tab/>
        <w:t>0 - 75 mg/m</w:t>
      </w:r>
      <w:r>
        <w:rPr>
          <w:vertAlign w:val="superscript"/>
        </w:rPr>
        <w:t>3</w:t>
      </w:r>
    </w:p>
    <w:p>
      <w:pPr>
        <w:pStyle w:val="GesAbsatz"/>
        <w:tabs>
          <w:tab w:val="clear" w:pos="425"/>
          <w:tab w:val="left" w:pos="1985"/>
        </w:tabs>
      </w:pPr>
      <w:r>
        <w:t>0</w:t>
      </w:r>
      <w:r>
        <w:rPr>
          <w:vertAlign w:val="subscript"/>
        </w:rPr>
        <w:t>2</w:t>
      </w:r>
      <w:r>
        <w:tab/>
        <w:t>0 - 10/25 Vol.-%</w:t>
      </w:r>
    </w:p>
    <w:p>
      <w:pPr>
        <w:pStyle w:val="GesAbsatz"/>
      </w:pPr>
      <w:r>
        <w:t>Gerätevariante CEM2450</w:t>
      </w:r>
    </w:p>
    <w:p>
      <w:pPr>
        <w:pStyle w:val="GesAbsatz"/>
        <w:tabs>
          <w:tab w:val="clear" w:pos="425"/>
          <w:tab w:val="left" w:pos="1985"/>
        </w:tabs>
      </w:pPr>
      <w:r>
        <w:t>CO</w:t>
      </w:r>
      <w:r>
        <w:rPr>
          <w:vertAlign w:val="subscript"/>
        </w:rPr>
        <w:t>2</w:t>
      </w:r>
      <w:r>
        <w:tab/>
        <w:t>0 - 20 Vol.-%</w:t>
      </w:r>
    </w:p>
    <w:p>
      <w:pPr>
        <w:pStyle w:val="GesAbsatz"/>
        <w:tabs>
          <w:tab w:val="clear" w:pos="425"/>
          <w:tab w:val="left" w:pos="1985"/>
        </w:tabs>
      </w:pPr>
      <w:r>
        <w:t>NO</w:t>
      </w:r>
      <w:r>
        <w:tab/>
        <w:t>0 - 200 mg/m</w:t>
      </w:r>
      <w:r>
        <w:rPr>
          <w:vertAlign w:val="superscript"/>
        </w:rPr>
        <w:t>3</w:t>
      </w:r>
    </w:p>
    <w:p>
      <w:pPr>
        <w:pStyle w:val="GesAbsatz"/>
        <w:tabs>
          <w:tab w:val="clear" w:pos="425"/>
          <w:tab w:val="left" w:pos="1985"/>
        </w:tabs>
      </w:pPr>
      <w:r>
        <w:t>N</w:t>
      </w:r>
      <w:r>
        <w:rPr>
          <w:vertAlign w:val="subscript"/>
        </w:rPr>
        <w:t>2</w:t>
      </w:r>
      <w:r>
        <w:t>O</w:t>
      </w:r>
      <w:r>
        <w:tab/>
        <w:t>0 - 100 mg/m</w:t>
      </w:r>
      <w:r>
        <w:rPr>
          <w:vertAlign w:val="superscript"/>
        </w:rPr>
        <w:t>3</w:t>
      </w:r>
    </w:p>
    <w:p>
      <w:pPr>
        <w:pStyle w:val="GesAbsatz"/>
        <w:tabs>
          <w:tab w:val="clear" w:pos="425"/>
          <w:tab w:val="left" w:pos="1985"/>
        </w:tabs>
      </w:pPr>
      <w:r>
        <w:t>O</w:t>
      </w:r>
      <w:r>
        <w:rPr>
          <w:vertAlign w:val="subscript"/>
        </w:rPr>
        <w:t>2</w:t>
      </w:r>
      <w:r>
        <w:tab/>
        <w:t xml:space="preserve">0 - 10/25 Vol.-% </w:t>
      </w:r>
    </w:p>
    <w:p>
      <w:pPr>
        <w:pStyle w:val="GesAbsatz"/>
      </w:pPr>
      <w:r>
        <w:t xml:space="preserve">Softwareversion: 4.0.0 </w:t>
      </w:r>
    </w:p>
    <w:p>
      <w:pPr>
        <w:pStyle w:val="GesAbsatz"/>
      </w:pPr>
      <w:r>
        <w:t>Einschränkungen:</w:t>
      </w:r>
    </w:p>
    <w:p>
      <w:pPr>
        <w:pStyle w:val="GesAbsatz"/>
        <w:ind w:left="426" w:hanging="426"/>
      </w:pPr>
      <w:r>
        <w:t>1.</w:t>
      </w:r>
      <w:r>
        <w:tab/>
        <w:t>Bei der N</w:t>
      </w:r>
      <w:r>
        <w:rPr>
          <w:vertAlign w:val="subscript"/>
        </w:rPr>
        <w:t>2</w:t>
      </w:r>
      <w:r>
        <w:t>O-Messung übersteigt für CO-Konzentrationen über 210 mg/m</w:t>
      </w:r>
      <w:r>
        <w:rPr>
          <w:vertAlign w:val="superscript"/>
        </w:rPr>
        <w:t>3</w:t>
      </w:r>
      <w:r>
        <w:t xml:space="preserve"> die Summe der positiven Einflüsse von Störkomponenten (Querempfindlichkeit) 4 % des Messbereichsendwertes. Ggf. ist eine i</w:t>
      </w:r>
      <w:r>
        <w:t>n</w:t>
      </w:r>
      <w:r>
        <w:t>terne Korrektur über einen zusätzlichen CO-Messkanal möglich.</w:t>
      </w:r>
    </w:p>
    <w:p>
      <w:pPr>
        <w:pStyle w:val="GesAbsatz"/>
        <w:ind w:left="426" w:hanging="426"/>
      </w:pPr>
      <w:r>
        <w:t>2.</w:t>
      </w:r>
      <w:r>
        <w:tab/>
        <w:t>Bei N</w:t>
      </w:r>
      <w:r>
        <w:rPr>
          <w:vertAlign w:val="subscript"/>
        </w:rPr>
        <w:t>2</w:t>
      </w:r>
      <w:r>
        <w:t>O-Konzentrationen über 75 mg/m</w:t>
      </w:r>
      <w:r>
        <w:rPr>
          <w:vertAlign w:val="superscript"/>
        </w:rPr>
        <w:t>3</w:t>
      </w:r>
      <w:r>
        <w:t xml:space="preserve"> übersteigt am CO-Messkanal der Gerätevariante ohne Filte</w:t>
      </w:r>
      <w:r>
        <w:t>r</w:t>
      </w:r>
      <w:r>
        <w:t>küvette die Summe der positiven Einflüsse von Störkomponenten im Messbereich 0 - 150 mg/m</w:t>
      </w:r>
      <w:r>
        <w:rPr>
          <w:vertAlign w:val="superscript"/>
        </w:rPr>
        <w:t>3</w:t>
      </w:r>
      <w:r>
        <w:t xml:space="preserve"> den zulässigen Betrag von 4 % des Messbereichsendwertes. Ggf. ist der Einsatz der Filterküvette oder eine interne Ko</w:t>
      </w:r>
      <w:r>
        <w:t>r</w:t>
      </w:r>
      <w:r>
        <w:t>rektur über einen zusätzlichen N</w:t>
      </w:r>
      <w:r>
        <w:rPr>
          <w:vertAlign w:val="subscript"/>
        </w:rPr>
        <w:t>2</w:t>
      </w:r>
      <w:r>
        <w:t>O-Messkanal möglich.</w:t>
      </w:r>
    </w:p>
    <w:p>
      <w:pPr>
        <w:pStyle w:val="GesAbsatz"/>
      </w:pPr>
      <w:r>
        <w:t>Hinweise:</w:t>
      </w:r>
    </w:p>
    <w:p>
      <w:pPr>
        <w:pStyle w:val="GesAbsatz"/>
        <w:ind w:left="426" w:hanging="426"/>
      </w:pPr>
      <w:r>
        <w:t>1.</w:t>
      </w:r>
      <w:r>
        <w:tab/>
        <w:t>Die Messeinrichtungen der Advance Optima AO2000 Serie sind mit der Infrarotmesszelle Uras26 au</w:t>
      </w:r>
      <w:r>
        <w:t>s</w:t>
      </w:r>
      <w:r>
        <w:t>gerüstet. Sie können ohne Sauerstoffmesszelle, mit einer paramagnetischen Sauerstoffmesszelle M</w:t>
      </w:r>
      <w:r>
        <w:t>a</w:t>
      </w:r>
      <w:r>
        <w:t>gnos206 oder alternativ mit einer elektrochemischen Sauerstoffmesszelle (Sensor) ausgerüstet sein.</w:t>
      </w:r>
    </w:p>
    <w:p>
      <w:pPr>
        <w:pStyle w:val="GesAbsatz"/>
        <w:ind w:left="426" w:hanging="426"/>
      </w:pPr>
      <w:r>
        <w:t>2.</w:t>
      </w:r>
      <w:r>
        <w:tab/>
        <w:t>Geräte mit dem Messbereich NO (L) müssen immer mit einer Sauerstoffmesszelle ausgerüstet sein.</w:t>
      </w:r>
    </w:p>
    <w:p>
      <w:pPr>
        <w:pStyle w:val="GesAbsatz"/>
        <w:ind w:left="426" w:hanging="426"/>
      </w:pPr>
      <w:r>
        <w:t>3.</w:t>
      </w:r>
      <w:r>
        <w:tab/>
        <w:t>Geräte mit einem Messbereich für SO</w:t>
      </w:r>
      <w:r>
        <w:rPr>
          <w:vertAlign w:val="subscript"/>
        </w:rPr>
        <w:t>2</w:t>
      </w:r>
      <w:r>
        <w:t xml:space="preserve"> von 0 - 75 mg/m</w:t>
      </w:r>
      <w:r>
        <w:rPr>
          <w:vertAlign w:val="superscript"/>
        </w:rPr>
        <w:t>3</w:t>
      </w:r>
      <w:r>
        <w:t xml:space="preserve"> müssen immer mit einer Sauerstoffmessze</w:t>
      </w:r>
      <w:r>
        <w:t>l</w:t>
      </w:r>
      <w:r>
        <w:t>le ausgerüstet sein.</w:t>
      </w:r>
    </w:p>
    <w:p>
      <w:pPr>
        <w:pStyle w:val="GesAbsatz"/>
        <w:ind w:left="426" w:hanging="426"/>
      </w:pPr>
      <w:r>
        <w:t>4.</w:t>
      </w:r>
      <w:r>
        <w:tab/>
        <w:t>Werden die Analysatoren mit Justierküvetten betrieben, so sind deren Konzentrationen bei der jährlichen Funktionsprüfung mit Prüfgasen zu überprüfen.</w:t>
      </w:r>
    </w:p>
    <w:p>
      <w:pPr>
        <w:pStyle w:val="GesAbsatz"/>
        <w:ind w:left="426" w:hanging="426"/>
      </w:pPr>
      <w:r>
        <w:t>5.</w:t>
      </w:r>
      <w:r>
        <w:tab/>
        <w:t>Bei der jährlichen Funktionsprüfung sind die Nullpunkte der Sauerstoffmesseinrichtungen mit Stickstoff zu überprüfen.</w:t>
      </w:r>
    </w:p>
    <w:p>
      <w:pPr>
        <w:pStyle w:val="GesAbsatz"/>
        <w:ind w:left="426" w:hanging="426"/>
      </w:pPr>
      <w:r>
        <w:t>6.</w:t>
      </w:r>
      <w:r>
        <w:tab/>
        <w:t>Geräte mit dem Zusatz (K) sind mit einer Filterküvette ausgestattet.</w:t>
      </w:r>
    </w:p>
    <w:p>
      <w:pPr>
        <w:pStyle w:val="GesAbsatz"/>
        <w:ind w:left="426" w:hanging="426"/>
      </w:pPr>
      <w:r>
        <w:t>7.</w:t>
      </w:r>
      <w:r>
        <w:tab/>
        <w:t>Die Eignungsprüfung umfasst folgende Gerätevariationen</w:t>
      </w:r>
    </w:p>
    <w:p>
      <w:pPr>
        <w:pStyle w:val="GesAbsatz"/>
      </w:pPr>
    </w:p>
    <w:tbl>
      <w:tblPr>
        <w:tblStyle w:val="Tabellenraster"/>
        <w:tblW w:w="0" w:type="auto"/>
        <w:tblLook w:val="00BF" w:firstRow="1" w:lastRow="0" w:firstColumn="1" w:lastColumn="0" w:noHBand="0" w:noVBand="0"/>
      </w:tblPr>
      <w:tblGrid>
        <w:gridCol w:w="1622"/>
        <w:gridCol w:w="1861"/>
        <w:gridCol w:w="1530"/>
        <w:gridCol w:w="1532"/>
        <w:gridCol w:w="1488"/>
        <w:gridCol w:w="1595"/>
      </w:tblGrid>
      <w:tr>
        <w:tc>
          <w:tcPr>
            <w:tcW w:w="1629" w:type="dxa"/>
          </w:tcPr>
          <w:p>
            <w:pPr>
              <w:pStyle w:val="GesAbsatz"/>
            </w:pPr>
            <w:r>
              <w:t>Gerätevaria</w:t>
            </w:r>
            <w:r>
              <w:t>n</w:t>
            </w:r>
            <w:r>
              <w:t>te</w:t>
            </w:r>
          </w:p>
        </w:tc>
        <w:tc>
          <w:tcPr>
            <w:tcW w:w="1881" w:type="dxa"/>
          </w:tcPr>
          <w:p>
            <w:pPr>
              <w:pStyle w:val="GesAbsatz"/>
            </w:pPr>
            <w:r>
              <w:t>Uras 26- Ke</w:t>
            </w:r>
            <w:r>
              <w:t>n</w:t>
            </w:r>
            <w:r>
              <w:t>nung</w:t>
            </w:r>
          </w:p>
        </w:tc>
        <w:tc>
          <w:tcPr>
            <w:tcW w:w="1560" w:type="dxa"/>
          </w:tcPr>
          <w:p>
            <w:pPr>
              <w:pStyle w:val="GesAbsatz"/>
            </w:pPr>
            <w:r>
              <w:t>Komponente 1</w:t>
            </w:r>
          </w:p>
        </w:tc>
        <w:tc>
          <w:tcPr>
            <w:tcW w:w="1559" w:type="dxa"/>
          </w:tcPr>
          <w:p>
            <w:pPr>
              <w:pStyle w:val="GesAbsatz"/>
            </w:pPr>
            <w:r>
              <w:t>Komponente 2</w:t>
            </w:r>
          </w:p>
        </w:tc>
        <w:tc>
          <w:tcPr>
            <w:tcW w:w="1519" w:type="dxa"/>
          </w:tcPr>
          <w:p>
            <w:pPr>
              <w:pStyle w:val="GesAbsatz"/>
            </w:pPr>
            <w:r>
              <w:t>Komponente 3</w:t>
            </w:r>
          </w:p>
        </w:tc>
        <w:tc>
          <w:tcPr>
            <w:tcW w:w="1630" w:type="dxa"/>
          </w:tcPr>
          <w:p>
            <w:pPr>
              <w:pStyle w:val="GesAbsatz"/>
            </w:pPr>
            <w:r>
              <w:t>Komponente 4</w:t>
            </w:r>
          </w:p>
        </w:tc>
      </w:tr>
      <w:tr>
        <w:tc>
          <w:tcPr>
            <w:tcW w:w="1629" w:type="dxa"/>
          </w:tcPr>
          <w:p>
            <w:pPr>
              <w:pStyle w:val="GesAbsatz"/>
            </w:pPr>
            <w:r>
              <w:lastRenderedPageBreak/>
              <w:t>AO2020/2040</w:t>
            </w:r>
          </w:p>
        </w:tc>
        <w:tc>
          <w:tcPr>
            <w:tcW w:w="1881" w:type="dxa"/>
          </w:tcPr>
          <w:p>
            <w:pPr>
              <w:pStyle w:val="GesAbsatz"/>
            </w:pPr>
            <w:r>
              <w:t>CEM1000</w:t>
            </w:r>
          </w:p>
        </w:tc>
        <w:tc>
          <w:tcPr>
            <w:tcW w:w="1560" w:type="dxa"/>
          </w:tcPr>
          <w:p>
            <w:pPr>
              <w:pStyle w:val="GesAbsatz"/>
            </w:pPr>
            <w:r>
              <w:t>CO</w:t>
            </w:r>
          </w:p>
        </w:tc>
        <w:tc>
          <w:tcPr>
            <w:tcW w:w="1559" w:type="dxa"/>
          </w:tcPr>
          <w:p>
            <w:pPr>
              <w:pStyle w:val="GesAbsatz"/>
            </w:pPr>
          </w:p>
        </w:tc>
        <w:tc>
          <w:tcPr>
            <w:tcW w:w="1519" w:type="dxa"/>
          </w:tcPr>
          <w:p>
            <w:pPr>
              <w:pStyle w:val="GesAbsatz"/>
            </w:pPr>
          </w:p>
        </w:tc>
        <w:tc>
          <w:tcPr>
            <w:tcW w:w="1630" w:type="dxa"/>
          </w:tcPr>
          <w:p>
            <w:pPr>
              <w:pStyle w:val="GesAbsatz"/>
            </w:pPr>
          </w:p>
        </w:tc>
      </w:tr>
      <w:tr>
        <w:tc>
          <w:tcPr>
            <w:tcW w:w="1629" w:type="dxa"/>
          </w:tcPr>
          <w:p>
            <w:pPr>
              <w:pStyle w:val="GesAbsatz"/>
            </w:pPr>
            <w:r>
              <w:t>AO2020/2040</w:t>
            </w:r>
          </w:p>
        </w:tc>
        <w:tc>
          <w:tcPr>
            <w:tcW w:w="1881" w:type="dxa"/>
          </w:tcPr>
          <w:p>
            <w:pPr>
              <w:pStyle w:val="GesAbsatz"/>
            </w:pPr>
            <w:r>
              <w:t>CEM2000</w:t>
            </w:r>
          </w:p>
        </w:tc>
        <w:tc>
          <w:tcPr>
            <w:tcW w:w="1560" w:type="dxa"/>
          </w:tcPr>
          <w:p>
            <w:pPr>
              <w:pStyle w:val="GesAbsatz"/>
            </w:pPr>
            <w:r>
              <w:t>NO</w:t>
            </w:r>
          </w:p>
        </w:tc>
        <w:tc>
          <w:tcPr>
            <w:tcW w:w="1559" w:type="dxa"/>
          </w:tcPr>
          <w:p>
            <w:pPr>
              <w:pStyle w:val="GesAbsatz"/>
            </w:pPr>
          </w:p>
        </w:tc>
        <w:tc>
          <w:tcPr>
            <w:tcW w:w="1519" w:type="dxa"/>
          </w:tcPr>
          <w:p>
            <w:pPr>
              <w:pStyle w:val="GesAbsatz"/>
            </w:pPr>
          </w:p>
        </w:tc>
        <w:tc>
          <w:tcPr>
            <w:tcW w:w="1630" w:type="dxa"/>
          </w:tcPr>
          <w:p>
            <w:pPr>
              <w:pStyle w:val="GesAbsatz"/>
            </w:pPr>
          </w:p>
        </w:tc>
      </w:tr>
      <w:tr>
        <w:tc>
          <w:tcPr>
            <w:tcW w:w="1629" w:type="dxa"/>
          </w:tcPr>
          <w:p>
            <w:pPr>
              <w:pStyle w:val="GesAbsatz"/>
            </w:pPr>
            <w:r>
              <w:t>AO2020/2040</w:t>
            </w:r>
          </w:p>
        </w:tc>
        <w:tc>
          <w:tcPr>
            <w:tcW w:w="1881" w:type="dxa"/>
          </w:tcPr>
          <w:p>
            <w:pPr>
              <w:pStyle w:val="GesAbsatz"/>
            </w:pPr>
            <w:r>
              <w:t>CEM2000L</w:t>
            </w:r>
          </w:p>
        </w:tc>
        <w:tc>
          <w:tcPr>
            <w:tcW w:w="1560" w:type="dxa"/>
          </w:tcPr>
          <w:p>
            <w:pPr>
              <w:pStyle w:val="GesAbsatz"/>
            </w:pPr>
            <w:r>
              <w:t>NO (L)</w:t>
            </w:r>
          </w:p>
        </w:tc>
        <w:tc>
          <w:tcPr>
            <w:tcW w:w="1559" w:type="dxa"/>
          </w:tcPr>
          <w:p>
            <w:pPr>
              <w:pStyle w:val="GesAbsatz"/>
            </w:pPr>
          </w:p>
        </w:tc>
        <w:tc>
          <w:tcPr>
            <w:tcW w:w="1519" w:type="dxa"/>
          </w:tcPr>
          <w:p>
            <w:pPr>
              <w:pStyle w:val="GesAbsatz"/>
            </w:pPr>
          </w:p>
        </w:tc>
        <w:tc>
          <w:tcPr>
            <w:tcW w:w="1630" w:type="dxa"/>
          </w:tcPr>
          <w:p>
            <w:pPr>
              <w:pStyle w:val="GesAbsatz"/>
            </w:pPr>
          </w:p>
        </w:tc>
      </w:tr>
      <w:tr>
        <w:tc>
          <w:tcPr>
            <w:tcW w:w="1629" w:type="dxa"/>
          </w:tcPr>
          <w:p>
            <w:pPr>
              <w:pStyle w:val="GesAbsatz"/>
            </w:pPr>
            <w:r>
              <w:t>AO2020/2040</w:t>
            </w:r>
          </w:p>
        </w:tc>
        <w:tc>
          <w:tcPr>
            <w:tcW w:w="1881" w:type="dxa"/>
          </w:tcPr>
          <w:p>
            <w:pPr>
              <w:pStyle w:val="GesAbsatz"/>
            </w:pPr>
            <w:r>
              <w:t>CEM4000</w:t>
            </w:r>
          </w:p>
        </w:tc>
        <w:tc>
          <w:tcPr>
            <w:tcW w:w="1560" w:type="dxa"/>
          </w:tcPr>
          <w:p>
            <w:pPr>
              <w:pStyle w:val="GesAbsatz"/>
            </w:pPr>
            <w:r>
              <w:t>N</w:t>
            </w:r>
            <w:r>
              <w:rPr>
                <w:vertAlign w:val="subscript"/>
              </w:rPr>
              <w:t>2</w:t>
            </w:r>
            <w:r>
              <w:t>O</w:t>
            </w:r>
          </w:p>
        </w:tc>
        <w:tc>
          <w:tcPr>
            <w:tcW w:w="1559" w:type="dxa"/>
          </w:tcPr>
          <w:p>
            <w:pPr>
              <w:pStyle w:val="GesAbsatz"/>
            </w:pPr>
          </w:p>
        </w:tc>
        <w:tc>
          <w:tcPr>
            <w:tcW w:w="1519" w:type="dxa"/>
          </w:tcPr>
          <w:p>
            <w:pPr>
              <w:pStyle w:val="GesAbsatz"/>
            </w:pPr>
          </w:p>
        </w:tc>
        <w:tc>
          <w:tcPr>
            <w:tcW w:w="1630" w:type="dxa"/>
          </w:tcPr>
          <w:p>
            <w:pPr>
              <w:pStyle w:val="GesAbsatz"/>
            </w:pPr>
          </w:p>
        </w:tc>
      </w:tr>
      <w:tr>
        <w:tc>
          <w:tcPr>
            <w:tcW w:w="1629" w:type="dxa"/>
          </w:tcPr>
          <w:p>
            <w:pPr>
              <w:pStyle w:val="GesAbsatz"/>
            </w:pPr>
          </w:p>
        </w:tc>
        <w:tc>
          <w:tcPr>
            <w:tcW w:w="1881" w:type="dxa"/>
          </w:tcPr>
          <w:p>
            <w:pPr>
              <w:pStyle w:val="GesAbsatz"/>
            </w:pPr>
          </w:p>
        </w:tc>
        <w:tc>
          <w:tcPr>
            <w:tcW w:w="1560" w:type="dxa"/>
          </w:tcPr>
          <w:p>
            <w:pPr>
              <w:pStyle w:val="GesAbsatz"/>
            </w:pPr>
          </w:p>
        </w:tc>
        <w:tc>
          <w:tcPr>
            <w:tcW w:w="1559" w:type="dxa"/>
          </w:tcPr>
          <w:p>
            <w:pPr>
              <w:pStyle w:val="GesAbsatz"/>
            </w:pPr>
          </w:p>
        </w:tc>
        <w:tc>
          <w:tcPr>
            <w:tcW w:w="1519" w:type="dxa"/>
          </w:tcPr>
          <w:p>
            <w:pPr>
              <w:pStyle w:val="GesAbsatz"/>
            </w:pPr>
          </w:p>
        </w:tc>
        <w:tc>
          <w:tcPr>
            <w:tcW w:w="1630" w:type="dxa"/>
          </w:tcPr>
          <w:p>
            <w:pPr>
              <w:pStyle w:val="GesAbsatz"/>
            </w:pPr>
          </w:p>
        </w:tc>
      </w:tr>
      <w:tr>
        <w:tc>
          <w:tcPr>
            <w:tcW w:w="1629" w:type="dxa"/>
          </w:tcPr>
          <w:p>
            <w:pPr>
              <w:pStyle w:val="GesAbsatz"/>
            </w:pPr>
            <w:r>
              <w:t>AO2020/2040</w:t>
            </w:r>
          </w:p>
        </w:tc>
        <w:tc>
          <w:tcPr>
            <w:tcW w:w="1881" w:type="dxa"/>
          </w:tcPr>
          <w:p>
            <w:pPr>
              <w:pStyle w:val="GesAbsatz"/>
            </w:pPr>
            <w:r>
              <w:t>CEM1200</w:t>
            </w:r>
          </w:p>
        </w:tc>
        <w:tc>
          <w:tcPr>
            <w:tcW w:w="1560" w:type="dxa"/>
          </w:tcPr>
          <w:p>
            <w:pPr>
              <w:pStyle w:val="GesAbsatz"/>
            </w:pPr>
            <w:r>
              <w:t>CO</w:t>
            </w:r>
          </w:p>
        </w:tc>
        <w:tc>
          <w:tcPr>
            <w:tcW w:w="1559" w:type="dxa"/>
          </w:tcPr>
          <w:p>
            <w:pPr>
              <w:pStyle w:val="GesAbsatz"/>
            </w:pPr>
            <w:r>
              <w:t>NO</w:t>
            </w:r>
          </w:p>
        </w:tc>
        <w:tc>
          <w:tcPr>
            <w:tcW w:w="1519" w:type="dxa"/>
          </w:tcPr>
          <w:p>
            <w:pPr>
              <w:pStyle w:val="GesAbsatz"/>
            </w:pPr>
          </w:p>
        </w:tc>
        <w:tc>
          <w:tcPr>
            <w:tcW w:w="1630" w:type="dxa"/>
          </w:tcPr>
          <w:p>
            <w:pPr>
              <w:pStyle w:val="GesAbsatz"/>
            </w:pPr>
          </w:p>
        </w:tc>
      </w:tr>
      <w:tr>
        <w:tc>
          <w:tcPr>
            <w:tcW w:w="1629" w:type="dxa"/>
          </w:tcPr>
          <w:p>
            <w:pPr>
              <w:pStyle w:val="GesAbsatz"/>
            </w:pPr>
            <w:r>
              <w:t>AO2020/2040</w:t>
            </w:r>
          </w:p>
        </w:tc>
        <w:tc>
          <w:tcPr>
            <w:tcW w:w="1881" w:type="dxa"/>
          </w:tcPr>
          <w:p>
            <w:pPr>
              <w:pStyle w:val="GesAbsatz"/>
            </w:pPr>
            <w:r>
              <w:t>CEM1200L</w:t>
            </w:r>
          </w:p>
        </w:tc>
        <w:tc>
          <w:tcPr>
            <w:tcW w:w="1560" w:type="dxa"/>
          </w:tcPr>
          <w:p>
            <w:pPr>
              <w:pStyle w:val="GesAbsatz"/>
            </w:pPr>
            <w:r>
              <w:t>CO</w:t>
            </w:r>
          </w:p>
        </w:tc>
        <w:tc>
          <w:tcPr>
            <w:tcW w:w="1559" w:type="dxa"/>
          </w:tcPr>
          <w:p>
            <w:pPr>
              <w:pStyle w:val="GesAbsatz"/>
            </w:pPr>
            <w:r>
              <w:t>NO(L)</w:t>
            </w:r>
          </w:p>
        </w:tc>
        <w:tc>
          <w:tcPr>
            <w:tcW w:w="1519" w:type="dxa"/>
          </w:tcPr>
          <w:p>
            <w:pPr>
              <w:pStyle w:val="GesAbsatz"/>
            </w:pPr>
          </w:p>
        </w:tc>
        <w:tc>
          <w:tcPr>
            <w:tcW w:w="1630" w:type="dxa"/>
          </w:tcPr>
          <w:p>
            <w:pPr>
              <w:pStyle w:val="GesAbsatz"/>
            </w:pPr>
          </w:p>
        </w:tc>
      </w:tr>
      <w:tr>
        <w:tc>
          <w:tcPr>
            <w:tcW w:w="1629" w:type="dxa"/>
          </w:tcPr>
          <w:p>
            <w:pPr>
              <w:pStyle w:val="GesAbsatz"/>
            </w:pPr>
            <w:r>
              <w:t>AO2020/2040</w:t>
            </w:r>
          </w:p>
        </w:tc>
        <w:tc>
          <w:tcPr>
            <w:tcW w:w="1881" w:type="dxa"/>
          </w:tcPr>
          <w:p>
            <w:pPr>
              <w:pStyle w:val="GesAbsatz"/>
            </w:pPr>
            <w:r>
              <w:t>CEM1500</w:t>
            </w:r>
          </w:p>
        </w:tc>
        <w:tc>
          <w:tcPr>
            <w:tcW w:w="1560" w:type="dxa"/>
          </w:tcPr>
          <w:p>
            <w:pPr>
              <w:pStyle w:val="GesAbsatz"/>
            </w:pPr>
            <w:r>
              <w:t>CO</w:t>
            </w:r>
          </w:p>
        </w:tc>
        <w:tc>
          <w:tcPr>
            <w:tcW w:w="1559" w:type="dxa"/>
          </w:tcPr>
          <w:p>
            <w:pPr>
              <w:pStyle w:val="GesAbsatz"/>
            </w:pPr>
            <w:r>
              <w:t>CO</w:t>
            </w:r>
            <w:r>
              <w:rPr>
                <w:vertAlign w:val="subscript"/>
              </w:rPr>
              <w:t>2</w:t>
            </w:r>
          </w:p>
        </w:tc>
        <w:tc>
          <w:tcPr>
            <w:tcW w:w="1519" w:type="dxa"/>
          </w:tcPr>
          <w:p>
            <w:pPr>
              <w:pStyle w:val="GesAbsatz"/>
            </w:pPr>
          </w:p>
        </w:tc>
        <w:tc>
          <w:tcPr>
            <w:tcW w:w="1630" w:type="dxa"/>
          </w:tcPr>
          <w:p>
            <w:pPr>
              <w:pStyle w:val="GesAbsatz"/>
            </w:pPr>
          </w:p>
        </w:tc>
      </w:tr>
      <w:tr>
        <w:tc>
          <w:tcPr>
            <w:tcW w:w="1629" w:type="dxa"/>
          </w:tcPr>
          <w:p>
            <w:pPr>
              <w:pStyle w:val="GesAbsatz"/>
            </w:pPr>
            <w:r>
              <w:t>AO2020/2040</w:t>
            </w:r>
          </w:p>
        </w:tc>
        <w:tc>
          <w:tcPr>
            <w:tcW w:w="1881" w:type="dxa"/>
          </w:tcPr>
          <w:p>
            <w:pPr>
              <w:pStyle w:val="GesAbsatz"/>
            </w:pPr>
            <w:r>
              <w:t>CEM1400</w:t>
            </w:r>
          </w:p>
        </w:tc>
        <w:tc>
          <w:tcPr>
            <w:tcW w:w="1560" w:type="dxa"/>
          </w:tcPr>
          <w:p>
            <w:pPr>
              <w:pStyle w:val="GesAbsatz"/>
            </w:pPr>
            <w:r>
              <w:t>CO</w:t>
            </w:r>
          </w:p>
        </w:tc>
        <w:tc>
          <w:tcPr>
            <w:tcW w:w="1559" w:type="dxa"/>
          </w:tcPr>
          <w:p>
            <w:pPr>
              <w:pStyle w:val="GesAbsatz"/>
            </w:pPr>
            <w:r>
              <w:t>N</w:t>
            </w:r>
            <w:r>
              <w:rPr>
                <w:vertAlign w:val="subscript"/>
              </w:rPr>
              <w:t>2</w:t>
            </w:r>
            <w:r>
              <w:t>O</w:t>
            </w:r>
          </w:p>
        </w:tc>
        <w:tc>
          <w:tcPr>
            <w:tcW w:w="1519" w:type="dxa"/>
          </w:tcPr>
          <w:p>
            <w:pPr>
              <w:pStyle w:val="GesAbsatz"/>
            </w:pPr>
          </w:p>
        </w:tc>
        <w:tc>
          <w:tcPr>
            <w:tcW w:w="1630" w:type="dxa"/>
          </w:tcPr>
          <w:p>
            <w:pPr>
              <w:pStyle w:val="GesAbsatz"/>
            </w:pPr>
          </w:p>
        </w:tc>
      </w:tr>
      <w:tr>
        <w:tc>
          <w:tcPr>
            <w:tcW w:w="1629" w:type="dxa"/>
          </w:tcPr>
          <w:p>
            <w:pPr>
              <w:pStyle w:val="GesAbsatz"/>
            </w:pPr>
            <w:r>
              <w:t>AO2020/2040</w:t>
            </w:r>
          </w:p>
        </w:tc>
        <w:tc>
          <w:tcPr>
            <w:tcW w:w="1881" w:type="dxa"/>
          </w:tcPr>
          <w:p>
            <w:pPr>
              <w:pStyle w:val="GesAbsatz"/>
            </w:pPr>
            <w:r>
              <w:t>CEM2300</w:t>
            </w:r>
          </w:p>
        </w:tc>
        <w:tc>
          <w:tcPr>
            <w:tcW w:w="1560" w:type="dxa"/>
          </w:tcPr>
          <w:p>
            <w:pPr>
              <w:pStyle w:val="GesAbsatz"/>
            </w:pPr>
            <w:r>
              <w:t>NO</w:t>
            </w:r>
          </w:p>
        </w:tc>
        <w:tc>
          <w:tcPr>
            <w:tcW w:w="1559" w:type="dxa"/>
          </w:tcPr>
          <w:p>
            <w:pPr>
              <w:pStyle w:val="GesAbsatz"/>
            </w:pPr>
            <w:r>
              <w:t>SO</w:t>
            </w:r>
            <w:r>
              <w:rPr>
                <w:vertAlign w:val="subscript"/>
              </w:rPr>
              <w:t>2</w:t>
            </w:r>
          </w:p>
        </w:tc>
        <w:tc>
          <w:tcPr>
            <w:tcW w:w="1519" w:type="dxa"/>
          </w:tcPr>
          <w:p>
            <w:pPr>
              <w:pStyle w:val="GesAbsatz"/>
            </w:pPr>
          </w:p>
        </w:tc>
        <w:tc>
          <w:tcPr>
            <w:tcW w:w="1630" w:type="dxa"/>
          </w:tcPr>
          <w:p>
            <w:pPr>
              <w:pStyle w:val="GesAbsatz"/>
            </w:pPr>
          </w:p>
        </w:tc>
      </w:tr>
      <w:tr>
        <w:tc>
          <w:tcPr>
            <w:tcW w:w="1629" w:type="dxa"/>
          </w:tcPr>
          <w:p>
            <w:pPr>
              <w:pStyle w:val="GesAbsatz"/>
            </w:pPr>
            <w:r>
              <w:t>AO2020/2040</w:t>
            </w:r>
          </w:p>
        </w:tc>
        <w:tc>
          <w:tcPr>
            <w:tcW w:w="1881" w:type="dxa"/>
          </w:tcPr>
          <w:p>
            <w:pPr>
              <w:pStyle w:val="GesAbsatz"/>
            </w:pPr>
            <w:r>
              <w:t>CEM2400</w:t>
            </w:r>
          </w:p>
        </w:tc>
        <w:tc>
          <w:tcPr>
            <w:tcW w:w="1560" w:type="dxa"/>
          </w:tcPr>
          <w:p>
            <w:pPr>
              <w:pStyle w:val="GesAbsatz"/>
            </w:pPr>
            <w:r>
              <w:t>NO</w:t>
            </w:r>
          </w:p>
        </w:tc>
        <w:tc>
          <w:tcPr>
            <w:tcW w:w="1559" w:type="dxa"/>
          </w:tcPr>
          <w:p>
            <w:pPr>
              <w:pStyle w:val="GesAbsatz"/>
            </w:pPr>
            <w:r>
              <w:t>N</w:t>
            </w:r>
            <w:r>
              <w:rPr>
                <w:vertAlign w:val="subscript"/>
              </w:rPr>
              <w:t>2</w:t>
            </w:r>
            <w:r>
              <w:t>O</w:t>
            </w:r>
          </w:p>
        </w:tc>
        <w:tc>
          <w:tcPr>
            <w:tcW w:w="1519" w:type="dxa"/>
          </w:tcPr>
          <w:p>
            <w:pPr>
              <w:pStyle w:val="GesAbsatz"/>
            </w:pPr>
          </w:p>
        </w:tc>
        <w:tc>
          <w:tcPr>
            <w:tcW w:w="1630" w:type="dxa"/>
          </w:tcPr>
          <w:p>
            <w:pPr>
              <w:pStyle w:val="GesAbsatz"/>
            </w:pPr>
          </w:p>
        </w:tc>
      </w:tr>
      <w:tr>
        <w:tc>
          <w:tcPr>
            <w:tcW w:w="1629" w:type="dxa"/>
          </w:tcPr>
          <w:p>
            <w:pPr>
              <w:pStyle w:val="GesAbsatz"/>
            </w:pPr>
            <w:r>
              <w:t>AO2020/2040</w:t>
            </w:r>
          </w:p>
        </w:tc>
        <w:tc>
          <w:tcPr>
            <w:tcW w:w="1881" w:type="dxa"/>
          </w:tcPr>
          <w:p>
            <w:pPr>
              <w:pStyle w:val="GesAbsatz"/>
            </w:pPr>
            <w:r>
              <w:t>CEM2500</w:t>
            </w:r>
          </w:p>
        </w:tc>
        <w:tc>
          <w:tcPr>
            <w:tcW w:w="1560" w:type="dxa"/>
          </w:tcPr>
          <w:p>
            <w:pPr>
              <w:pStyle w:val="GesAbsatz"/>
            </w:pPr>
            <w:r>
              <w:t>NO</w:t>
            </w:r>
          </w:p>
        </w:tc>
        <w:tc>
          <w:tcPr>
            <w:tcW w:w="1559" w:type="dxa"/>
          </w:tcPr>
          <w:p>
            <w:pPr>
              <w:pStyle w:val="GesAbsatz"/>
            </w:pPr>
            <w:r>
              <w:t>CO</w:t>
            </w:r>
            <w:r>
              <w:rPr>
                <w:vertAlign w:val="subscript"/>
              </w:rPr>
              <w:t>2</w:t>
            </w:r>
          </w:p>
        </w:tc>
        <w:tc>
          <w:tcPr>
            <w:tcW w:w="1519" w:type="dxa"/>
          </w:tcPr>
          <w:p>
            <w:pPr>
              <w:pStyle w:val="GesAbsatz"/>
            </w:pPr>
          </w:p>
        </w:tc>
        <w:tc>
          <w:tcPr>
            <w:tcW w:w="1630" w:type="dxa"/>
          </w:tcPr>
          <w:p>
            <w:pPr>
              <w:pStyle w:val="GesAbsatz"/>
            </w:pPr>
          </w:p>
        </w:tc>
      </w:tr>
      <w:tr>
        <w:tc>
          <w:tcPr>
            <w:tcW w:w="1629" w:type="dxa"/>
          </w:tcPr>
          <w:p>
            <w:pPr>
              <w:pStyle w:val="GesAbsatz"/>
            </w:pPr>
            <w:r>
              <w:t>AO2020/2040</w:t>
            </w:r>
          </w:p>
        </w:tc>
        <w:tc>
          <w:tcPr>
            <w:tcW w:w="1881" w:type="dxa"/>
          </w:tcPr>
          <w:p>
            <w:pPr>
              <w:pStyle w:val="GesAbsatz"/>
            </w:pPr>
            <w:r>
              <w:t>CEM2500L</w:t>
            </w:r>
          </w:p>
        </w:tc>
        <w:tc>
          <w:tcPr>
            <w:tcW w:w="1560" w:type="dxa"/>
          </w:tcPr>
          <w:p>
            <w:pPr>
              <w:pStyle w:val="GesAbsatz"/>
            </w:pPr>
            <w:r>
              <w:t>NO(L)</w:t>
            </w:r>
          </w:p>
        </w:tc>
        <w:tc>
          <w:tcPr>
            <w:tcW w:w="1559" w:type="dxa"/>
          </w:tcPr>
          <w:p>
            <w:pPr>
              <w:pStyle w:val="GesAbsatz"/>
            </w:pPr>
            <w:r>
              <w:t>CO</w:t>
            </w:r>
            <w:r>
              <w:rPr>
                <w:vertAlign w:val="subscript"/>
              </w:rPr>
              <w:t>2</w:t>
            </w:r>
          </w:p>
        </w:tc>
        <w:tc>
          <w:tcPr>
            <w:tcW w:w="1519" w:type="dxa"/>
          </w:tcPr>
          <w:p>
            <w:pPr>
              <w:pStyle w:val="GesAbsatz"/>
            </w:pPr>
          </w:p>
        </w:tc>
        <w:tc>
          <w:tcPr>
            <w:tcW w:w="1630" w:type="dxa"/>
          </w:tcPr>
          <w:p>
            <w:pPr>
              <w:pStyle w:val="GesAbsatz"/>
            </w:pPr>
          </w:p>
        </w:tc>
      </w:tr>
      <w:tr>
        <w:tc>
          <w:tcPr>
            <w:tcW w:w="1629" w:type="dxa"/>
          </w:tcPr>
          <w:p>
            <w:pPr>
              <w:pStyle w:val="GesAbsatz"/>
            </w:pPr>
            <w:r>
              <w:t>AO2020/2040</w:t>
            </w:r>
          </w:p>
        </w:tc>
        <w:tc>
          <w:tcPr>
            <w:tcW w:w="1881" w:type="dxa"/>
          </w:tcPr>
          <w:p>
            <w:pPr>
              <w:pStyle w:val="GesAbsatz"/>
            </w:pPr>
            <w:r>
              <w:t>CEM4500</w:t>
            </w:r>
          </w:p>
        </w:tc>
        <w:tc>
          <w:tcPr>
            <w:tcW w:w="1560" w:type="dxa"/>
          </w:tcPr>
          <w:p>
            <w:pPr>
              <w:pStyle w:val="GesAbsatz"/>
            </w:pPr>
            <w:r>
              <w:t>N</w:t>
            </w:r>
            <w:r>
              <w:rPr>
                <w:vertAlign w:val="subscript"/>
              </w:rPr>
              <w:t>2</w:t>
            </w:r>
            <w:r>
              <w:t>O</w:t>
            </w:r>
          </w:p>
        </w:tc>
        <w:tc>
          <w:tcPr>
            <w:tcW w:w="1559" w:type="dxa"/>
          </w:tcPr>
          <w:p>
            <w:pPr>
              <w:pStyle w:val="GesAbsatz"/>
            </w:pPr>
            <w:r>
              <w:t>CO</w:t>
            </w:r>
            <w:r>
              <w:rPr>
                <w:vertAlign w:val="subscript"/>
              </w:rPr>
              <w:t>2</w:t>
            </w:r>
          </w:p>
        </w:tc>
        <w:tc>
          <w:tcPr>
            <w:tcW w:w="1519" w:type="dxa"/>
          </w:tcPr>
          <w:p>
            <w:pPr>
              <w:pStyle w:val="GesAbsatz"/>
            </w:pPr>
          </w:p>
        </w:tc>
        <w:tc>
          <w:tcPr>
            <w:tcW w:w="1630" w:type="dxa"/>
          </w:tcPr>
          <w:p>
            <w:pPr>
              <w:pStyle w:val="GesAbsatz"/>
            </w:pPr>
          </w:p>
        </w:tc>
      </w:tr>
      <w:tr>
        <w:tc>
          <w:tcPr>
            <w:tcW w:w="1629" w:type="dxa"/>
          </w:tcPr>
          <w:p>
            <w:pPr>
              <w:pStyle w:val="GesAbsatz"/>
            </w:pPr>
          </w:p>
        </w:tc>
        <w:tc>
          <w:tcPr>
            <w:tcW w:w="1881" w:type="dxa"/>
          </w:tcPr>
          <w:p>
            <w:pPr>
              <w:pStyle w:val="GesAbsatz"/>
            </w:pPr>
          </w:p>
        </w:tc>
        <w:tc>
          <w:tcPr>
            <w:tcW w:w="1560" w:type="dxa"/>
          </w:tcPr>
          <w:p>
            <w:pPr>
              <w:pStyle w:val="GesAbsatz"/>
            </w:pPr>
          </w:p>
        </w:tc>
        <w:tc>
          <w:tcPr>
            <w:tcW w:w="1559" w:type="dxa"/>
          </w:tcPr>
          <w:p>
            <w:pPr>
              <w:pStyle w:val="GesAbsatz"/>
            </w:pPr>
          </w:p>
        </w:tc>
        <w:tc>
          <w:tcPr>
            <w:tcW w:w="1519" w:type="dxa"/>
          </w:tcPr>
          <w:p>
            <w:pPr>
              <w:pStyle w:val="GesAbsatz"/>
            </w:pPr>
          </w:p>
        </w:tc>
        <w:tc>
          <w:tcPr>
            <w:tcW w:w="1630" w:type="dxa"/>
          </w:tcPr>
          <w:p>
            <w:pPr>
              <w:pStyle w:val="GesAbsatz"/>
            </w:pPr>
          </w:p>
        </w:tc>
      </w:tr>
      <w:tr>
        <w:tc>
          <w:tcPr>
            <w:tcW w:w="1629" w:type="dxa"/>
          </w:tcPr>
          <w:p>
            <w:pPr>
              <w:pStyle w:val="GesAbsatz"/>
            </w:pPr>
            <w:r>
              <w:t>AO2020/2040</w:t>
            </w:r>
          </w:p>
        </w:tc>
        <w:tc>
          <w:tcPr>
            <w:tcW w:w="1881" w:type="dxa"/>
          </w:tcPr>
          <w:p>
            <w:pPr>
              <w:pStyle w:val="GesAbsatz"/>
            </w:pPr>
            <w:r>
              <w:t>CEM1250</w:t>
            </w:r>
          </w:p>
        </w:tc>
        <w:tc>
          <w:tcPr>
            <w:tcW w:w="1560" w:type="dxa"/>
          </w:tcPr>
          <w:p>
            <w:pPr>
              <w:pStyle w:val="GesAbsatz"/>
            </w:pPr>
            <w:r>
              <w:t>CO</w:t>
            </w:r>
          </w:p>
        </w:tc>
        <w:tc>
          <w:tcPr>
            <w:tcW w:w="1559" w:type="dxa"/>
          </w:tcPr>
          <w:p>
            <w:pPr>
              <w:pStyle w:val="GesAbsatz"/>
            </w:pPr>
            <w:r>
              <w:t>NO</w:t>
            </w:r>
          </w:p>
        </w:tc>
        <w:tc>
          <w:tcPr>
            <w:tcW w:w="1519" w:type="dxa"/>
          </w:tcPr>
          <w:p>
            <w:pPr>
              <w:pStyle w:val="GesAbsatz"/>
            </w:pPr>
            <w:r>
              <w:t>CO</w:t>
            </w:r>
            <w:r>
              <w:rPr>
                <w:vertAlign w:val="subscript"/>
              </w:rPr>
              <w:t>2</w:t>
            </w:r>
          </w:p>
        </w:tc>
        <w:tc>
          <w:tcPr>
            <w:tcW w:w="1630" w:type="dxa"/>
          </w:tcPr>
          <w:p>
            <w:pPr>
              <w:pStyle w:val="GesAbsatz"/>
            </w:pPr>
          </w:p>
        </w:tc>
      </w:tr>
      <w:tr>
        <w:tc>
          <w:tcPr>
            <w:tcW w:w="1629" w:type="dxa"/>
          </w:tcPr>
          <w:p>
            <w:pPr>
              <w:pStyle w:val="GesAbsatz"/>
            </w:pPr>
            <w:r>
              <w:t>AO2020/2040</w:t>
            </w:r>
          </w:p>
        </w:tc>
        <w:tc>
          <w:tcPr>
            <w:tcW w:w="1881" w:type="dxa"/>
          </w:tcPr>
          <w:p>
            <w:pPr>
              <w:pStyle w:val="GesAbsatz"/>
            </w:pPr>
            <w:r>
              <w:t>CEM1250L</w:t>
            </w:r>
          </w:p>
        </w:tc>
        <w:tc>
          <w:tcPr>
            <w:tcW w:w="1560" w:type="dxa"/>
          </w:tcPr>
          <w:p>
            <w:pPr>
              <w:pStyle w:val="GesAbsatz"/>
            </w:pPr>
            <w:r>
              <w:t>CO</w:t>
            </w:r>
          </w:p>
        </w:tc>
        <w:tc>
          <w:tcPr>
            <w:tcW w:w="1559" w:type="dxa"/>
          </w:tcPr>
          <w:p>
            <w:pPr>
              <w:pStyle w:val="GesAbsatz"/>
            </w:pPr>
            <w:r>
              <w:t>NO(L)</w:t>
            </w:r>
          </w:p>
        </w:tc>
        <w:tc>
          <w:tcPr>
            <w:tcW w:w="1519" w:type="dxa"/>
          </w:tcPr>
          <w:p>
            <w:pPr>
              <w:pStyle w:val="GesAbsatz"/>
            </w:pPr>
            <w:r>
              <w:t>CO</w:t>
            </w:r>
            <w:r>
              <w:rPr>
                <w:vertAlign w:val="subscript"/>
              </w:rPr>
              <w:t>2</w:t>
            </w:r>
          </w:p>
        </w:tc>
        <w:tc>
          <w:tcPr>
            <w:tcW w:w="1630" w:type="dxa"/>
          </w:tcPr>
          <w:p>
            <w:pPr>
              <w:pStyle w:val="GesAbsatz"/>
            </w:pPr>
          </w:p>
        </w:tc>
      </w:tr>
      <w:tr>
        <w:tc>
          <w:tcPr>
            <w:tcW w:w="1629" w:type="dxa"/>
          </w:tcPr>
          <w:p>
            <w:pPr>
              <w:pStyle w:val="GesAbsatz"/>
            </w:pPr>
            <w:r>
              <w:t>AO2020/2040</w:t>
            </w:r>
          </w:p>
        </w:tc>
        <w:tc>
          <w:tcPr>
            <w:tcW w:w="1881" w:type="dxa"/>
          </w:tcPr>
          <w:p>
            <w:pPr>
              <w:pStyle w:val="GesAbsatz"/>
            </w:pPr>
            <w:r>
              <w:t>CEM1230</w:t>
            </w:r>
          </w:p>
        </w:tc>
        <w:tc>
          <w:tcPr>
            <w:tcW w:w="1560" w:type="dxa"/>
          </w:tcPr>
          <w:p>
            <w:pPr>
              <w:pStyle w:val="GesAbsatz"/>
            </w:pPr>
            <w:r>
              <w:t>CO</w:t>
            </w:r>
          </w:p>
        </w:tc>
        <w:tc>
          <w:tcPr>
            <w:tcW w:w="1559" w:type="dxa"/>
          </w:tcPr>
          <w:p>
            <w:pPr>
              <w:pStyle w:val="GesAbsatz"/>
            </w:pPr>
            <w:r>
              <w:t>SO</w:t>
            </w:r>
            <w:r>
              <w:rPr>
                <w:vertAlign w:val="subscript"/>
              </w:rPr>
              <w:t>2</w:t>
            </w:r>
          </w:p>
        </w:tc>
        <w:tc>
          <w:tcPr>
            <w:tcW w:w="1519" w:type="dxa"/>
          </w:tcPr>
          <w:p>
            <w:pPr>
              <w:pStyle w:val="GesAbsatz"/>
            </w:pPr>
            <w:r>
              <w:t>NO</w:t>
            </w:r>
          </w:p>
        </w:tc>
        <w:tc>
          <w:tcPr>
            <w:tcW w:w="1630" w:type="dxa"/>
          </w:tcPr>
          <w:p>
            <w:pPr>
              <w:pStyle w:val="GesAbsatz"/>
            </w:pPr>
          </w:p>
        </w:tc>
      </w:tr>
      <w:tr>
        <w:tc>
          <w:tcPr>
            <w:tcW w:w="1629" w:type="dxa"/>
          </w:tcPr>
          <w:p>
            <w:pPr>
              <w:pStyle w:val="GesAbsatz"/>
            </w:pPr>
            <w:r>
              <w:t>AO2020/2040</w:t>
            </w:r>
          </w:p>
        </w:tc>
        <w:tc>
          <w:tcPr>
            <w:tcW w:w="1881" w:type="dxa"/>
          </w:tcPr>
          <w:p>
            <w:pPr>
              <w:pStyle w:val="GesAbsatz"/>
            </w:pPr>
            <w:r>
              <w:t>CEM1230K</w:t>
            </w:r>
          </w:p>
        </w:tc>
        <w:tc>
          <w:tcPr>
            <w:tcW w:w="1560" w:type="dxa"/>
          </w:tcPr>
          <w:p>
            <w:pPr>
              <w:pStyle w:val="GesAbsatz"/>
            </w:pPr>
            <w:r>
              <w:t>CO(K)</w:t>
            </w:r>
          </w:p>
        </w:tc>
        <w:tc>
          <w:tcPr>
            <w:tcW w:w="1559" w:type="dxa"/>
          </w:tcPr>
          <w:p>
            <w:pPr>
              <w:pStyle w:val="GesAbsatz"/>
            </w:pPr>
            <w:r>
              <w:t>SO</w:t>
            </w:r>
            <w:r>
              <w:rPr>
                <w:vertAlign w:val="subscript"/>
              </w:rPr>
              <w:t>2</w:t>
            </w:r>
            <w:r>
              <w:t>(K)</w:t>
            </w:r>
          </w:p>
        </w:tc>
        <w:tc>
          <w:tcPr>
            <w:tcW w:w="1519" w:type="dxa"/>
          </w:tcPr>
          <w:p>
            <w:pPr>
              <w:pStyle w:val="GesAbsatz"/>
            </w:pPr>
            <w:r>
              <w:t>NO</w:t>
            </w:r>
          </w:p>
        </w:tc>
        <w:tc>
          <w:tcPr>
            <w:tcW w:w="1630" w:type="dxa"/>
          </w:tcPr>
          <w:p>
            <w:pPr>
              <w:pStyle w:val="GesAbsatz"/>
            </w:pPr>
          </w:p>
        </w:tc>
      </w:tr>
      <w:tr>
        <w:tc>
          <w:tcPr>
            <w:tcW w:w="1629" w:type="dxa"/>
          </w:tcPr>
          <w:p>
            <w:pPr>
              <w:pStyle w:val="GesAbsatz"/>
            </w:pPr>
            <w:r>
              <w:t>AO2020/2040</w:t>
            </w:r>
          </w:p>
        </w:tc>
        <w:tc>
          <w:tcPr>
            <w:tcW w:w="1881" w:type="dxa"/>
          </w:tcPr>
          <w:p>
            <w:pPr>
              <w:pStyle w:val="GesAbsatz"/>
            </w:pPr>
            <w:r>
              <w:t>CEM1230L</w:t>
            </w:r>
          </w:p>
        </w:tc>
        <w:tc>
          <w:tcPr>
            <w:tcW w:w="1560" w:type="dxa"/>
          </w:tcPr>
          <w:p>
            <w:pPr>
              <w:pStyle w:val="GesAbsatz"/>
            </w:pPr>
            <w:r>
              <w:t>CO</w:t>
            </w:r>
          </w:p>
        </w:tc>
        <w:tc>
          <w:tcPr>
            <w:tcW w:w="1559" w:type="dxa"/>
          </w:tcPr>
          <w:p>
            <w:pPr>
              <w:pStyle w:val="GesAbsatz"/>
            </w:pPr>
            <w:r>
              <w:t>SO</w:t>
            </w:r>
            <w:r>
              <w:rPr>
                <w:vertAlign w:val="subscript"/>
              </w:rPr>
              <w:t>2</w:t>
            </w:r>
          </w:p>
        </w:tc>
        <w:tc>
          <w:tcPr>
            <w:tcW w:w="1519" w:type="dxa"/>
          </w:tcPr>
          <w:p>
            <w:pPr>
              <w:pStyle w:val="GesAbsatz"/>
            </w:pPr>
            <w:r>
              <w:t>NO (L)</w:t>
            </w:r>
          </w:p>
        </w:tc>
        <w:tc>
          <w:tcPr>
            <w:tcW w:w="1630" w:type="dxa"/>
          </w:tcPr>
          <w:p>
            <w:pPr>
              <w:pStyle w:val="GesAbsatz"/>
            </w:pPr>
          </w:p>
        </w:tc>
      </w:tr>
      <w:tr>
        <w:tc>
          <w:tcPr>
            <w:tcW w:w="1629" w:type="dxa"/>
          </w:tcPr>
          <w:p>
            <w:pPr>
              <w:pStyle w:val="GesAbsatz"/>
            </w:pPr>
            <w:r>
              <w:t>AO2020/2040</w:t>
            </w:r>
          </w:p>
        </w:tc>
        <w:tc>
          <w:tcPr>
            <w:tcW w:w="1881" w:type="dxa"/>
          </w:tcPr>
          <w:p>
            <w:pPr>
              <w:pStyle w:val="GesAbsatz"/>
            </w:pPr>
            <w:r>
              <w:t>CEM1230KL</w:t>
            </w:r>
          </w:p>
        </w:tc>
        <w:tc>
          <w:tcPr>
            <w:tcW w:w="1560" w:type="dxa"/>
          </w:tcPr>
          <w:p>
            <w:pPr>
              <w:pStyle w:val="GesAbsatz"/>
            </w:pPr>
            <w:r>
              <w:t>CO (K)</w:t>
            </w:r>
          </w:p>
        </w:tc>
        <w:tc>
          <w:tcPr>
            <w:tcW w:w="1559" w:type="dxa"/>
          </w:tcPr>
          <w:p>
            <w:pPr>
              <w:pStyle w:val="GesAbsatz"/>
            </w:pPr>
            <w:r>
              <w:t>SO</w:t>
            </w:r>
            <w:r>
              <w:rPr>
                <w:vertAlign w:val="subscript"/>
              </w:rPr>
              <w:t>2</w:t>
            </w:r>
            <w:r>
              <w:t xml:space="preserve"> (K)</w:t>
            </w:r>
          </w:p>
        </w:tc>
        <w:tc>
          <w:tcPr>
            <w:tcW w:w="1519" w:type="dxa"/>
          </w:tcPr>
          <w:p>
            <w:pPr>
              <w:pStyle w:val="GesAbsatz"/>
            </w:pPr>
            <w:r>
              <w:t>NO (L)</w:t>
            </w:r>
          </w:p>
        </w:tc>
        <w:tc>
          <w:tcPr>
            <w:tcW w:w="1630" w:type="dxa"/>
          </w:tcPr>
          <w:p>
            <w:pPr>
              <w:pStyle w:val="GesAbsatz"/>
            </w:pPr>
          </w:p>
        </w:tc>
      </w:tr>
      <w:tr>
        <w:tc>
          <w:tcPr>
            <w:tcW w:w="1629" w:type="dxa"/>
          </w:tcPr>
          <w:p>
            <w:pPr>
              <w:pStyle w:val="GesAbsatz"/>
            </w:pPr>
            <w:r>
              <w:t>AO2020/2040</w:t>
            </w:r>
          </w:p>
        </w:tc>
        <w:tc>
          <w:tcPr>
            <w:tcW w:w="1881" w:type="dxa"/>
          </w:tcPr>
          <w:p>
            <w:pPr>
              <w:pStyle w:val="GesAbsatz"/>
            </w:pPr>
            <w:r>
              <w:t>CEM1450</w:t>
            </w:r>
          </w:p>
        </w:tc>
        <w:tc>
          <w:tcPr>
            <w:tcW w:w="1560" w:type="dxa"/>
          </w:tcPr>
          <w:p>
            <w:pPr>
              <w:pStyle w:val="GesAbsatz"/>
            </w:pPr>
            <w:r>
              <w:t>CO</w:t>
            </w:r>
          </w:p>
        </w:tc>
        <w:tc>
          <w:tcPr>
            <w:tcW w:w="1559" w:type="dxa"/>
          </w:tcPr>
          <w:p>
            <w:pPr>
              <w:pStyle w:val="GesAbsatz"/>
            </w:pPr>
            <w:r>
              <w:t>N</w:t>
            </w:r>
            <w:r>
              <w:rPr>
                <w:vertAlign w:val="subscript"/>
              </w:rPr>
              <w:t>2</w:t>
            </w:r>
            <w:r>
              <w:t>O</w:t>
            </w:r>
          </w:p>
        </w:tc>
        <w:tc>
          <w:tcPr>
            <w:tcW w:w="1519" w:type="dxa"/>
          </w:tcPr>
          <w:p>
            <w:pPr>
              <w:pStyle w:val="GesAbsatz"/>
            </w:pPr>
            <w:r>
              <w:t>CO</w:t>
            </w:r>
            <w:r>
              <w:rPr>
                <w:vertAlign w:val="subscript"/>
              </w:rPr>
              <w:t>2</w:t>
            </w:r>
          </w:p>
        </w:tc>
        <w:tc>
          <w:tcPr>
            <w:tcW w:w="1630" w:type="dxa"/>
          </w:tcPr>
          <w:p>
            <w:pPr>
              <w:pStyle w:val="GesAbsatz"/>
            </w:pPr>
          </w:p>
        </w:tc>
      </w:tr>
      <w:tr>
        <w:tc>
          <w:tcPr>
            <w:tcW w:w="1629" w:type="dxa"/>
          </w:tcPr>
          <w:p>
            <w:pPr>
              <w:pStyle w:val="GesAbsatz"/>
            </w:pPr>
            <w:r>
              <w:t>AO2020/2040</w:t>
            </w:r>
          </w:p>
        </w:tc>
        <w:tc>
          <w:tcPr>
            <w:tcW w:w="1881" w:type="dxa"/>
          </w:tcPr>
          <w:p>
            <w:pPr>
              <w:pStyle w:val="GesAbsatz"/>
            </w:pPr>
            <w:r>
              <w:t>CEM2350</w:t>
            </w:r>
          </w:p>
        </w:tc>
        <w:tc>
          <w:tcPr>
            <w:tcW w:w="1560" w:type="dxa"/>
          </w:tcPr>
          <w:p>
            <w:pPr>
              <w:pStyle w:val="GesAbsatz"/>
            </w:pPr>
            <w:r>
              <w:t>NO</w:t>
            </w:r>
          </w:p>
        </w:tc>
        <w:tc>
          <w:tcPr>
            <w:tcW w:w="1559" w:type="dxa"/>
          </w:tcPr>
          <w:p>
            <w:pPr>
              <w:pStyle w:val="GesAbsatz"/>
            </w:pPr>
            <w:r>
              <w:t>SO</w:t>
            </w:r>
            <w:r>
              <w:rPr>
                <w:vertAlign w:val="subscript"/>
              </w:rPr>
              <w:t>2</w:t>
            </w:r>
          </w:p>
        </w:tc>
        <w:tc>
          <w:tcPr>
            <w:tcW w:w="1519" w:type="dxa"/>
          </w:tcPr>
          <w:p>
            <w:pPr>
              <w:pStyle w:val="GesAbsatz"/>
            </w:pPr>
            <w:r>
              <w:t>CO</w:t>
            </w:r>
            <w:r>
              <w:rPr>
                <w:vertAlign w:val="subscript"/>
              </w:rPr>
              <w:t>2</w:t>
            </w:r>
          </w:p>
        </w:tc>
        <w:tc>
          <w:tcPr>
            <w:tcW w:w="1630" w:type="dxa"/>
          </w:tcPr>
          <w:p>
            <w:pPr>
              <w:pStyle w:val="GesAbsatz"/>
            </w:pPr>
          </w:p>
        </w:tc>
      </w:tr>
      <w:tr>
        <w:tc>
          <w:tcPr>
            <w:tcW w:w="1629" w:type="dxa"/>
          </w:tcPr>
          <w:p>
            <w:pPr>
              <w:pStyle w:val="GesAbsatz"/>
            </w:pPr>
            <w:r>
              <w:t>AO2020/2040</w:t>
            </w:r>
          </w:p>
        </w:tc>
        <w:tc>
          <w:tcPr>
            <w:tcW w:w="1881" w:type="dxa"/>
          </w:tcPr>
          <w:p>
            <w:pPr>
              <w:pStyle w:val="GesAbsatz"/>
            </w:pPr>
            <w:r>
              <w:t>CEM2450</w:t>
            </w:r>
          </w:p>
        </w:tc>
        <w:tc>
          <w:tcPr>
            <w:tcW w:w="1560" w:type="dxa"/>
          </w:tcPr>
          <w:p>
            <w:pPr>
              <w:pStyle w:val="GesAbsatz"/>
            </w:pPr>
            <w:r>
              <w:t>NO</w:t>
            </w:r>
          </w:p>
        </w:tc>
        <w:tc>
          <w:tcPr>
            <w:tcW w:w="1559" w:type="dxa"/>
          </w:tcPr>
          <w:p>
            <w:pPr>
              <w:pStyle w:val="GesAbsatz"/>
            </w:pPr>
            <w:r>
              <w:t>N</w:t>
            </w:r>
            <w:r>
              <w:rPr>
                <w:vertAlign w:val="subscript"/>
              </w:rPr>
              <w:t>2</w:t>
            </w:r>
            <w:r>
              <w:t>O</w:t>
            </w:r>
          </w:p>
        </w:tc>
        <w:tc>
          <w:tcPr>
            <w:tcW w:w="1519" w:type="dxa"/>
          </w:tcPr>
          <w:p>
            <w:pPr>
              <w:pStyle w:val="GesAbsatz"/>
            </w:pPr>
            <w:r>
              <w:t>CO</w:t>
            </w:r>
            <w:r>
              <w:rPr>
                <w:vertAlign w:val="subscript"/>
              </w:rPr>
              <w:t>2</w:t>
            </w:r>
          </w:p>
        </w:tc>
        <w:tc>
          <w:tcPr>
            <w:tcW w:w="1630" w:type="dxa"/>
          </w:tcPr>
          <w:p>
            <w:pPr>
              <w:pStyle w:val="GesAbsatz"/>
            </w:pPr>
          </w:p>
        </w:tc>
      </w:tr>
      <w:tr>
        <w:tc>
          <w:tcPr>
            <w:tcW w:w="1629" w:type="dxa"/>
          </w:tcPr>
          <w:p>
            <w:pPr>
              <w:pStyle w:val="GesAbsatz"/>
            </w:pPr>
          </w:p>
        </w:tc>
        <w:tc>
          <w:tcPr>
            <w:tcW w:w="1881" w:type="dxa"/>
          </w:tcPr>
          <w:p>
            <w:pPr>
              <w:pStyle w:val="GesAbsatz"/>
            </w:pPr>
          </w:p>
        </w:tc>
        <w:tc>
          <w:tcPr>
            <w:tcW w:w="1560" w:type="dxa"/>
          </w:tcPr>
          <w:p>
            <w:pPr>
              <w:pStyle w:val="GesAbsatz"/>
            </w:pPr>
          </w:p>
        </w:tc>
        <w:tc>
          <w:tcPr>
            <w:tcW w:w="1559" w:type="dxa"/>
          </w:tcPr>
          <w:p>
            <w:pPr>
              <w:pStyle w:val="GesAbsatz"/>
            </w:pPr>
          </w:p>
        </w:tc>
        <w:tc>
          <w:tcPr>
            <w:tcW w:w="1519" w:type="dxa"/>
          </w:tcPr>
          <w:p>
            <w:pPr>
              <w:pStyle w:val="GesAbsatz"/>
            </w:pPr>
          </w:p>
        </w:tc>
        <w:tc>
          <w:tcPr>
            <w:tcW w:w="1630" w:type="dxa"/>
          </w:tcPr>
          <w:p>
            <w:pPr>
              <w:pStyle w:val="GesAbsatz"/>
            </w:pPr>
          </w:p>
        </w:tc>
      </w:tr>
      <w:tr>
        <w:tc>
          <w:tcPr>
            <w:tcW w:w="1629" w:type="dxa"/>
          </w:tcPr>
          <w:p>
            <w:pPr>
              <w:pStyle w:val="GesAbsatz"/>
            </w:pPr>
            <w:r>
              <w:t>AO2020/2040</w:t>
            </w:r>
          </w:p>
        </w:tc>
        <w:tc>
          <w:tcPr>
            <w:tcW w:w="1881" w:type="dxa"/>
          </w:tcPr>
          <w:p>
            <w:pPr>
              <w:pStyle w:val="GesAbsatz"/>
            </w:pPr>
            <w:r>
              <w:t>CEM1235</w:t>
            </w:r>
          </w:p>
        </w:tc>
        <w:tc>
          <w:tcPr>
            <w:tcW w:w="1560" w:type="dxa"/>
          </w:tcPr>
          <w:p>
            <w:pPr>
              <w:pStyle w:val="GesAbsatz"/>
            </w:pPr>
            <w:r>
              <w:t>CO</w:t>
            </w:r>
          </w:p>
        </w:tc>
        <w:tc>
          <w:tcPr>
            <w:tcW w:w="1559" w:type="dxa"/>
          </w:tcPr>
          <w:p>
            <w:pPr>
              <w:pStyle w:val="GesAbsatz"/>
            </w:pPr>
            <w:r>
              <w:t>SO</w:t>
            </w:r>
            <w:r>
              <w:rPr>
                <w:vertAlign w:val="subscript"/>
              </w:rPr>
              <w:t>2</w:t>
            </w:r>
          </w:p>
        </w:tc>
        <w:tc>
          <w:tcPr>
            <w:tcW w:w="1519" w:type="dxa"/>
          </w:tcPr>
          <w:p>
            <w:pPr>
              <w:pStyle w:val="GesAbsatz"/>
            </w:pPr>
            <w:r>
              <w:t>NO</w:t>
            </w:r>
          </w:p>
        </w:tc>
        <w:tc>
          <w:tcPr>
            <w:tcW w:w="1630" w:type="dxa"/>
          </w:tcPr>
          <w:p>
            <w:pPr>
              <w:pStyle w:val="GesAbsatz"/>
            </w:pPr>
            <w:r>
              <w:t>CO</w:t>
            </w:r>
            <w:r>
              <w:rPr>
                <w:vertAlign w:val="subscript"/>
              </w:rPr>
              <w:t>2</w:t>
            </w:r>
          </w:p>
        </w:tc>
      </w:tr>
      <w:tr>
        <w:tc>
          <w:tcPr>
            <w:tcW w:w="1629" w:type="dxa"/>
          </w:tcPr>
          <w:p>
            <w:pPr>
              <w:pStyle w:val="GesAbsatz"/>
            </w:pPr>
            <w:r>
              <w:t>AO2020/2040</w:t>
            </w:r>
          </w:p>
        </w:tc>
        <w:tc>
          <w:tcPr>
            <w:tcW w:w="1881" w:type="dxa"/>
          </w:tcPr>
          <w:p>
            <w:pPr>
              <w:pStyle w:val="GesAbsatz"/>
            </w:pPr>
            <w:r>
              <w:t>CEM1235K</w:t>
            </w:r>
          </w:p>
        </w:tc>
        <w:tc>
          <w:tcPr>
            <w:tcW w:w="1560" w:type="dxa"/>
          </w:tcPr>
          <w:p>
            <w:pPr>
              <w:pStyle w:val="GesAbsatz"/>
            </w:pPr>
            <w:r>
              <w:t>CO(K)</w:t>
            </w:r>
          </w:p>
        </w:tc>
        <w:tc>
          <w:tcPr>
            <w:tcW w:w="1559" w:type="dxa"/>
          </w:tcPr>
          <w:p>
            <w:pPr>
              <w:pStyle w:val="GesAbsatz"/>
            </w:pPr>
            <w:r>
              <w:t>SO</w:t>
            </w:r>
            <w:r>
              <w:rPr>
                <w:vertAlign w:val="subscript"/>
              </w:rPr>
              <w:t>2</w:t>
            </w:r>
            <w:r>
              <w:t>(K)</w:t>
            </w:r>
          </w:p>
        </w:tc>
        <w:tc>
          <w:tcPr>
            <w:tcW w:w="1519" w:type="dxa"/>
          </w:tcPr>
          <w:p>
            <w:pPr>
              <w:pStyle w:val="GesAbsatz"/>
            </w:pPr>
            <w:r>
              <w:t>NO</w:t>
            </w:r>
          </w:p>
        </w:tc>
        <w:tc>
          <w:tcPr>
            <w:tcW w:w="1630" w:type="dxa"/>
          </w:tcPr>
          <w:p>
            <w:pPr>
              <w:pStyle w:val="GesAbsatz"/>
            </w:pPr>
            <w:r>
              <w:t>CO</w:t>
            </w:r>
            <w:r>
              <w:rPr>
                <w:vertAlign w:val="subscript"/>
              </w:rPr>
              <w:t>2</w:t>
            </w:r>
          </w:p>
        </w:tc>
      </w:tr>
    </w:tbl>
    <w:p>
      <w:pPr>
        <w:pStyle w:val="GesAbsatz"/>
        <w:ind w:left="426"/>
      </w:pPr>
      <w:r>
        <w:t>Zusätzlich wird angegeben, ob eine Sauerstoffzelle Magnos206 oder ein elektrochemischer Sensor ei</w:t>
      </w:r>
      <w:r>
        <w:t>n</w:t>
      </w:r>
      <w:r>
        <w:t>gebaut ist.</w:t>
      </w:r>
    </w:p>
    <w:p>
      <w:pPr>
        <w:pStyle w:val="GesAbsatz"/>
      </w:pPr>
      <w:r>
        <w:t>8.</w:t>
      </w:r>
      <w:r>
        <w:tab/>
        <w:t>Ergänzungsprüfung zur Eignungsbekanntgabe unter Nummer 2.2</w:t>
      </w:r>
    </w:p>
    <w:p>
      <w:pPr>
        <w:pStyle w:val="GesAbsatz"/>
      </w:pPr>
      <w:r>
        <w:t>9.</w:t>
      </w:r>
      <w:r>
        <w:tab/>
        <w:t xml:space="preserve">Das Wartungsintervall beträgt 3 Wochen. </w:t>
      </w:r>
    </w:p>
    <w:p>
      <w:pPr>
        <w:pStyle w:val="GesAbsatz"/>
      </w:pPr>
      <w:r>
        <w:t>Prüfbericht:</w:t>
      </w:r>
    </w:p>
    <w:p>
      <w:pPr>
        <w:pStyle w:val="GesAbsatz"/>
      </w:pPr>
      <w:r>
        <w:t xml:space="preserve">TÜV SÜD Industrie Service GmbH, München </w:t>
      </w:r>
    </w:p>
    <w:p>
      <w:pPr>
        <w:pStyle w:val="GesAbsatz"/>
      </w:pPr>
      <w:r>
        <w:t>Bericht-Nr. 821029 vom 30. Juni 2006</w:t>
      </w:r>
    </w:p>
    <w:p>
      <w:pPr>
        <w:pStyle w:val="GesAbsatz"/>
      </w:pPr>
    </w:p>
    <w:p>
      <w:pPr>
        <w:pStyle w:val="GesAbsatz"/>
      </w:pPr>
      <w:r>
        <w:t>2.2 EasyLine EL3000 Serie für CO, NO, SO</w:t>
      </w:r>
      <w:r>
        <w:rPr>
          <w:vertAlign w:val="subscript"/>
        </w:rPr>
        <w:t>2</w:t>
      </w:r>
      <w:r>
        <w:t>, N</w:t>
      </w:r>
      <w:r>
        <w:rPr>
          <w:vertAlign w:val="subscript"/>
        </w:rPr>
        <w:t>2</w:t>
      </w:r>
      <w:r>
        <w:t>O, CO</w:t>
      </w:r>
      <w:r>
        <w:rPr>
          <w:vertAlign w:val="subscript"/>
        </w:rPr>
        <w:t>2</w:t>
      </w:r>
      <w:r>
        <w:t>, O</w:t>
      </w:r>
      <w:r>
        <w:rPr>
          <w:vertAlign w:val="subscript"/>
        </w:rPr>
        <w:t>2</w:t>
      </w:r>
      <w:r>
        <w:t xml:space="preserve"> </w:t>
      </w:r>
    </w:p>
    <w:p>
      <w:pPr>
        <w:pStyle w:val="GesAbsatz"/>
      </w:pPr>
      <w:r>
        <w:t>Hersteller:</w:t>
      </w:r>
    </w:p>
    <w:p>
      <w:pPr>
        <w:pStyle w:val="GesAbsatz"/>
      </w:pPr>
      <w:r>
        <w:t>ABB Automation GmbH, Frankfurt/Main</w:t>
      </w:r>
    </w:p>
    <w:p>
      <w:pPr>
        <w:pStyle w:val="GesAbsatz"/>
      </w:pPr>
      <w:r>
        <w:t>Eignung:</w:t>
      </w:r>
    </w:p>
    <w:p>
      <w:pPr>
        <w:pStyle w:val="GesAbsatz"/>
      </w:pPr>
      <w:r>
        <w:t>Für genehmigungsbedürftige Anlagen und Anlagen der 27. BImSchV</w:t>
      </w:r>
    </w:p>
    <w:p>
      <w:pPr>
        <w:pStyle w:val="GesAbsatz"/>
      </w:pPr>
      <w:r>
        <w:t xml:space="preserve">Messbereiche bei der Eignungsprüfung: </w:t>
      </w:r>
    </w:p>
    <w:p>
      <w:pPr>
        <w:pStyle w:val="GesAbsatz"/>
      </w:pPr>
      <w:r>
        <w:lastRenderedPageBreak/>
        <w:t>Gerätevariante CEM1230KL</w:t>
      </w:r>
    </w:p>
    <w:p>
      <w:pPr>
        <w:pStyle w:val="GesAbsatz"/>
        <w:tabs>
          <w:tab w:val="clear" w:pos="425"/>
          <w:tab w:val="left" w:pos="2268"/>
        </w:tabs>
      </w:pPr>
      <w:r>
        <w:t>CO</w:t>
      </w:r>
      <w:r>
        <w:tab/>
        <w:t>0 - 75 mg/m</w:t>
      </w:r>
      <w:r>
        <w:rPr>
          <w:vertAlign w:val="superscript"/>
        </w:rPr>
        <w:t>3</w:t>
      </w:r>
    </w:p>
    <w:p>
      <w:pPr>
        <w:pStyle w:val="GesAbsatz"/>
        <w:tabs>
          <w:tab w:val="clear" w:pos="425"/>
          <w:tab w:val="left" w:pos="2268"/>
        </w:tabs>
      </w:pPr>
      <w:r>
        <w:t>NO Version (L)</w:t>
      </w:r>
      <w:r>
        <w:tab/>
        <w:t>0 - 100 mg/m</w:t>
      </w:r>
      <w:r>
        <w:rPr>
          <w:vertAlign w:val="superscript"/>
        </w:rPr>
        <w:t>3</w:t>
      </w:r>
    </w:p>
    <w:p>
      <w:pPr>
        <w:pStyle w:val="GesAbsatz"/>
        <w:tabs>
          <w:tab w:val="clear" w:pos="425"/>
          <w:tab w:val="left" w:pos="2268"/>
        </w:tabs>
      </w:pPr>
      <w:r>
        <w:t>SO</w:t>
      </w:r>
      <w:r>
        <w:rPr>
          <w:vertAlign w:val="subscript"/>
        </w:rPr>
        <w:t>2</w:t>
      </w:r>
      <w:r>
        <w:tab/>
        <w:t>0 - 75 mg/m</w:t>
      </w:r>
      <w:r>
        <w:rPr>
          <w:vertAlign w:val="superscript"/>
        </w:rPr>
        <w:t>3</w:t>
      </w:r>
    </w:p>
    <w:p>
      <w:pPr>
        <w:pStyle w:val="GesAbsatz"/>
        <w:tabs>
          <w:tab w:val="clear" w:pos="425"/>
          <w:tab w:val="left" w:pos="2268"/>
        </w:tabs>
      </w:pPr>
      <w:r>
        <w:t>O</w:t>
      </w:r>
      <w:r>
        <w:rPr>
          <w:vertAlign w:val="subscript"/>
        </w:rPr>
        <w:t>2</w:t>
      </w:r>
      <w:r>
        <w:tab/>
        <w:t>0 - 10/25 Vol.-%</w:t>
      </w:r>
    </w:p>
    <w:p>
      <w:pPr>
        <w:pStyle w:val="GesAbsatz"/>
        <w:tabs>
          <w:tab w:val="clear" w:pos="425"/>
          <w:tab w:val="left" w:pos="2268"/>
        </w:tabs>
      </w:pPr>
      <w:r>
        <w:t>Gerätevariante CEM2450</w:t>
      </w:r>
    </w:p>
    <w:p>
      <w:pPr>
        <w:pStyle w:val="GesAbsatz"/>
        <w:tabs>
          <w:tab w:val="clear" w:pos="425"/>
          <w:tab w:val="left" w:pos="2268"/>
        </w:tabs>
      </w:pPr>
      <w:r>
        <w:t>CO</w:t>
      </w:r>
      <w:r>
        <w:rPr>
          <w:vertAlign w:val="subscript"/>
        </w:rPr>
        <w:t>2</w:t>
      </w:r>
      <w:r>
        <w:tab/>
        <w:t>0 - 20 Vol.-%</w:t>
      </w:r>
    </w:p>
    <w:p>
      <w:pPr>
        <w:pStyle w:val="GesAbsatz"/>
        <w:tabs>
          <w:tab w:val="clear" w:pos="425"/>
          <w:tab w:val="left" w:pos="2268"/>
        </w:tabs>
      </w:pPr>
      <w:r>
        <w:t>NO</w:t>
      </w:r>
      <w:r>
        <w:tab/>
        <w:t>0 - 200 mg/m3</w:t>
      </w:r>
    </w:p>
    <w:p>
      <w:pPr>
        <w:pStyle w:val="GesAbsatz"/>
        <w:tabs>
          <w:tab w:val="clear" w:pos="425"/>
          <w:tab w:val="left" w:pos="2268"/>
        </w:tabs>
      </w:pPr>
      <w:r>
        <w:t>N</w:t>
      </w:r>
      <w:r>
        <w:rPr>
          <w:vertAlign w:val="subscript"/>
        </w:rPr>
        <w:t>2</w:t>
      </w:r>
      <w:r>
        <w:t>O</w:t>
      </w:r>
      <w:r>
        <w:tab/>
        <w:t>0 - 100 mg/m3</w:t>
      </w:r>
    </w:p>
    <w:p>
      <w:pPr>
        <w:pStyle w:val="GesAbsatz"/>
        <w:tabs>
          <w:tab w:val="clear" w:pos="425"/>
          <w:tab w:val="left" w:pos="2268"/>
        </w:tabs>
      </w:pPr>
      <w:r>
        <w:t>O</w:t>
      </w:r>
      <w:r>
        <w:rPr>
          <w:vertAlign w:val="subscript"/>
        </w:rPr>
        <w:t>2</w:t>
      </w:r>
      <w:r>
        <w:tab/>
        <w:t>0 - 10/25 Vol.-%</w:t>
      </w:r>
    </w:p>
    <w:p>
      <w:pPr>
        <w:pStyle w:val="GesAbsatz"/>
      </w:pPr>
      <w:r>
        <w:t>Softwareversion: 3.2.2</w:t>
      </w:r>
    </w:p>
    <w:p>
      <w:pPr>
        <w:pStyle w:val="GesAbsatz"/>
      </w:pPr>
      <w:r>
        <w:t>Einschränkungen:</w:t>
      </w:r>
    </w:p>
    <w:p>
      <w:pPr>
        <w:pStyle w:val="GesAbsatz"/>
        <w:ind w:left="426" w:hanging="426"/>
      </w:pPr>
      <w:r>
        <w:t>1.</w:t>
      </w:r>
      <w:r>
        <w:tab/>
        <w:t>Bei der N</w:t>
      </w:r>
      <w:r>
        <w:rPr>
          <w:vertAlign w:val="subscript"/>
        </w:rPr>
        <w:t>2</w:t>
      </w:r>
      <w:r>
        <w:t>O-Messung übersteigt für CO-Konzentrationen über 210 mg/m</w:t>
      </w:r>
      <w:r>
        <w:rPr>
          <w:vertAlign w:val="superscript"/>
        </w:rPr>
        <w:t>3</w:t>
      </w:r>
      <w:r>
        <w:t xml:space="preserve"> die Summe der positiven Einflüsse von Störkomponenten (Querempfindlichkeit) 4 % des Messbereichsendwertes. Ggf. ist eine i</w:t>
      </w:r>
      <w:r>
        <w:t>n</w:t>
      </w:r>
      <w:r>
        <w:t>terne Korrektur über einen zusätzlichen CO-Messkanal möglich.</w:t>
      </w:r>
    </w:p>
    <w:p>
      <w:pPr>
        <w:pStyle w:val="GesAbsatz"/>
        <w:ind w:left="426" w:hanging="426"/>
      </w:pPr>
      <w:r>
        <w:t>2.</w:t>
      </w:r>
      <w:r>
        <w:tab/>
        <w:t>Bei N</w:t>
      </w:r>
      <w:r>
        <w:rPr>
          <w:vertAlign w:val="subscript"/>
        </w:rPr>
        <w:t>2</w:t>
      </w:r>
      <w:r>
        <w:t>O-Konzentrationen über 75 mg/m</w:t>
      </w:r>
      <w:r>
        <w:rPr>
          <w:vertAlign w:val="superscript"/>
        </w:rPr>
        <w:t>3</w:t>
      </w:r>
      <w:r>
        <w:t xml:space="preserve"> übersteigt am CO-Messkanal der Gerätevariante ohne Filte</w:t>
      </w:r>
      <w:r>
        <w:t>r</w:t>
      </w:r>
      <w:r>
        <w:t>küvette die Summe der positiven Einflüsse von Störkomponenten im Messbereich 0 - 150 mg/m</w:t>
      </w:r>
      <w:r>
        <w:rPr>
          <w:vertAlign w:val="superscript"/>
        </w:rPr>
        <w:t>3</w:t>
      </w:r>
      <w:r>
        <w:t xml:space="preserve"> den zulässigen Betrag von 4 % des Messbereichsendwertes. Ggf. ist der Einsatz der Filterküvette oder eine interne Korrektur über einen zusätzlichen N2O-Messkanal möglich.</w:t>
      </w:r>
    </w:p>
    <w:p>
      <w:pPr>
        <w:pStyle w:val="GesAbsatz"/>
      </w:pPr>
      <w:r>
        <w:t>Hinweise:</w:t>
      </w:r>
    </w:p>
    <w:p>
      <w:pPr>
        <w:pStyle w:val="GesAbsatz"/>
        <w:ind w:left="426" w:hanging="426"/>
      </w:pPr>
      <w:r>
        <w:t>1.</w:t>
      </w:r>
      <w:r>
        <w:tab/>
        <w:t>Die Messeinrichtungen der EasyLine EL3000 Serie sind mit der Infrarotmesszelle Uras26 ausgerüstet. Sie können ohne Sauerstoffmesszelle, mit einer paramagnetischen Sauerstoffmesszelle Magnos206 oder alte</w:t>
      </w:r>
      <w:r>
        <w:t>r</w:t>
      </w:r>
      <w:r>
        <w:t>nativ mit einer elektrochemischen Sauerstoffmesszelle (Sensor) ausgerüstet sein.</w:t>
      </w:r>
    </w:p>
    <w:p>
      <w:pPr>
        <w:pStyle w:val="GesAbsatz"/>
        <w:ind w:left="426" w:hanging="426"/>
      </w:pPr>
      <w:r>
        <w:t>2.</w:t>
      </w:r>
      <w:r>
        <w:tab/>
        <w:t>Geräte mit dem Messbereich NO(L) müssen immer mit einer Sauerstoffmesszelle ausgerüstet sein.</w:t>
      </w:r>
    </w:p>
    <w:p>
      <w:pPr>
        <w:pStyle w:val="GesAbsatz"/>
        <w:ind w:left="426" w:hanging="426"/>
      </w:pPr>
      <w:r>
        <w:t>3.</w:t>
      </w:r>
      <w:r>
        <w:tab/>
        <w:t>Geräte mit einem Messbereich für SO</w:t>
      </w:r>
      <w:r>
        <w:rPr>
          <w:vertAlign w:val="subscript"/>
        </w:rPr>
        <w:t>2</w:t>
      </w:r>
      <w:r>
        <w:t xml:space="preserve"> von 0 - 75 mg/m</w:t>
      </w:r>
      <w:r>
        <w:rPr>
          <w:vertAlign w:val="superscript"/>
        </w:rPr>
        <w:t>3</w:t>
      </w:r>
      <w:r>
        <w:t xml:space="preserve"> müssen immer mit einer Sauerstoffmessze</w:t>
      </w:r>
      <w:r>
        <w:t>l</w:t>
      </w:r>
      <w:r>
        <w:t>le ausgerüstet sein.</w:t>
      </w:r>
    </w:p>
    <w:p>
      <w:pPr>
        <w:pStyle w:val="GesAbsatz"/>
        <w:ind w:left="426" w:hanging="426"/>
      </w:pPr>
      <w:r>
        <w:t>4.</w:t>
      </w:r>
      <w:r>
        <w:tab/>
        <w:t>Werden die Analysatoren mit Justierküvetten betrieben, so sind deren Konzentrationen bei der jährlichen Funktionsprüfung mit Prüfgasen zu überprüfen.</w:t>
      </w:r>
    </w:p>
    <w:p>
      <w:pPr>
        <w:pStyle w:val="GesAbsatz"/>
        <w:ind w:left="426" w:hanging="426"/>
      </w:pPr>
      <w:r>
        <w:t>5.</w:t>
      </w:r>
      <w:r>
        <w:tab/>
        <w:t>Bei der jährlichen Funktionsprüfung sind die Nullpunkte der Sauerstoffmesseinrichtungen mit Stickstoff zu überprüfen.</w:t>
      </w:r>
    </w:p>
    <w:p>
      <w:pPr>
        <w:pStyle w:val="GesAbsatz"/>
        <w:ind w:left="426" w:hanging="426"/>
      </w:pPr>
      <w:r>
        <w:t>6.</w:t>
      </w:r>
      <w:r>
        <w:tab/>
        <w:t>Geräte mit dem Zusatz (K) sind mit einer Filterküvette ausgestattet.</w:t>
      </w:r>
    </w:p>
    <w:p>
      <w:pPr>
        <w:pStyle w:val="GesAbsatz"/>
        <w:ind w:left="426" w:hanging="426"/>
      </w:pPr>
      <w:r>
        <w:t>7.</w:t>
      </w:r>
      <w:r>
        <w:tab/>
        <w:t>Die Eignungsprüfung umfasst folgende Gerätevariationen:</w:t>
      </w:r>
    </w:p>
    <w:p>
      <w:pPr>
        <w:pStyle w:val="GesAbsatz"/>
      </w:pPr>
    </w:p>
    <w:tbl>
      <w:tblPr>
        <w:tblStyle w:val="Tabellenraster"/>
        <w:tblW w:w="0" w:type="auto"/>
        <w:tblLook w:val="00BF" w:firstRow="1" w:lastRow="0" w:firstColumn="1" w:lastColumn="0" w:noHBand="0" w:noVBand="0"/>
      </w:tblPr>
      <w:tblGrid>
        <w:gridCol w:w="1620"/>
        <w:gridCol w:w="1861"/>
        <w:gridCol w:w="1531"/>
        <w:gridCol w:w="1532"/>
        <w:gridCol w:w="1489"/>
        <w:gridCol w:w="1595"/>
      </w:tblGrid>
      <w:tr>
        <w:tc>
          <w:tcPr>
            <w:tcW w:w="1629" w:type="dxa"/>
          </w:tcPr>
          <w:p>
            <w:pPr>
              <w:pStyle w:val="GesAbsatz"/>
            </w:pPr>
            <w:r>
              <w:t>Gerätevaria</w:t>
            </w:r>
            <w:r>
              <w:t>n</w:t>
            </w:r>
            <w:r>
              <w:t>te</w:t>
            </w:r>
          </w:p>
        </w:tc>
        <w:tc>
          <w:tcPr>
            <w:tcW w:w="1881" w:type="dxa"/>
          </w:tcPr>
          <w:p>
            <w:pPr>
              <w:pStyle w:val="GesAbsatz"/>
            </w:pPr>
            <w:r>
              <w:t>Uras 26- Ke</w:t>
            </w:r>
            <w:r>
              <w:t>n</w:t>
            </w:r>
            <w:r>
              <w:t>nung</w:t>
            </w:r>
          </w:p>
        </w:tc>
        <w:tc>
          <w:tcPr>
            <w:tcW w:w="1560" w:type="dxa"/>
          </w:tcPr>
          <w:p>
            <w:pPr>
              <w:pStyle w:val="GesAbsatz"/>
            </w:pPr>
            <w:r>
              <w:t>Komponente 1</w:t>
            </w:r>
          </w:p>
        </w:tc>
        <w:tc>
          <w:tcPr>
            <w:tcW w:w="1559" w:type="dxa"/>
          </w:tcPr>
          <w:p>
            <w:pPr>
              <w:pStyle w:val="GesAbsatz"/>
            </w:pPr>
            <w:r>
              <w:t>Komponente 2</w:t>
            </w:r>
          </w:p>
        </w:tc>
        <w:tc>
          <w:tcPr>
            <w:tcW w:w="1519" w:type="dxa"/>
          </w:tcPr>
          <w:p>
            <w:pPr>
              <w:pStyle w:val="GesAbsatz"/>
            </w:pPr>
            <w:r>
              <w:t>Komponente 3</w:t>
            </w:r>
          </w:p>
        </w:tc>
        <w:tc>
          <w:tcPr>
            <w:tcW w:w="1630" w:type="dxa"/>
          </w:tcPr>
          <w:p>
            <w:pPr>
              <w:pStyle w:val="GesAbsatz"/>
            </w:pPr>
            <w:r>
              <w:t>Komponente 4</w:t>
            </w:r>
          </w:p>
        </w:tc>
      </w:tr>
      <w:tr>
        <w:tc>
          <w:tcPr>
            <w:tcW w:w="1629" w:type="dxa"/>
          </w:tcPr>
          <w:p>
            <w:pPr>
              <w:pStyle w:val="GesAbsatz"/>
            </w:pPr>
            <w:r>
              <w:t>EL3020/3040</w:t>
            </w:r>
          </w:p>
        </w:tc>
        <w:tc>
          <w:tcPr>
            <w:tcW w:w="1881" w:type="dxa"/>
          </w:tcPr>
          <w:p>
            <w:pPr>
              <w:pStyle w:val="GesAbsatz"/>
            </w:pPr>
            <w:r>
              <w:t>CEM1000</w:t>
            </w:r>
          </w:p>
        </w:tc>
        <w:tc>
          <w:tcPr>
            <w:tcW w:w="1560" w:type="dxa"/>
          </w:tcPr>
          <w:p>
            <w:pPr>
              <w:pStyle w:val="GesAbsatz"/>
            </w:pPr>
            <w:r>
              <w:t>CO</w:t>
            </w:r>
          </w:p>
        </w:tc>
        <w:tc>
          <w:tcPr>
            <w:tcW w:w="1559" w:type="dxa"/>
          </w:tcPr>
          <w:p>
            <w:pPr>
              <w:pStyle w:val="GesAbsatz"/>
            </w:pPr>
          </w:p>
        </w:tc>
        <w:tc>
          <w:tcPr>
            <w:tcW w:w="1519" w:type="dxa"/>
          </w:tcPr>
          <w:p>
            <w:pPr>
              <w:pStyle w:val="GesAbsatz"/>
            </w:pPr>
          </w:p>
        </w:tc>
        <w:tc>
          <w:tcPr>
            <w:tcW w:w="1630" w:type="dxa"/>
          </w:tcPr>
          <w:p>
            <w:pPr>
              <w:pStyle w:val="GesAbsatz"/>
            </w:pPr>
          </w:p>
        </w:tc>
      </w:tr>
      <w:tr>
        <w:tc>
          <w:tcPr>
            <w:tcW w:w="1629" w:type="dxa"/>
          </w:tcPr>
          <w:p>
            <w:pPr>
              <w:pStyle w:val="GesAbsatz"/>
            </w:pPr>
            <w:r>
              <w:t>EL3020/3040</w:t>
            </w:r>
          </w:p>
        </w:tc>
        <w:tc>
          <w:tcPr>
            <w:tcW w:w="1881" w:type="dxa"/>
          </w:tcPr>
          <w:p>
            <w:pPr>
              <w:pStyle w:val="GesAbsatz"/>
            </w:pPr>
            <w:r>
              <w:t>CEM2000</w:t>
            </w:r>
          </w:p>
        </w:tc>
        <w:tc>
          <w:tcPr>
            <w:tcW w:w="1560" w:type="dxa"/>
          </w:tcPr>
          <w:p>
            <w:pPr>
              <w:pStyle w:val="GesAbsatz"/>
            </w:pPr>
            <w:r>
              <w:t>NO</w:t>
            </w:r>
          </w:p>
        </w:tc>
        <w:tc>
          <w:tcPr>
            <w:tcW w:w="1559" w:type="dxa"/>
          </w:tcPr>
          <w:p>
            <w:pPr>
              <w:pStyle w:val="GesAbsatz"/>
            </w:pPr>
          </w:p>
        </w:tc>
        <w:tc>
          <w:tcPr>
            <w:tcW w:w="1519" w:type="dxa"/>
          </w:tcPr>
          <w:p>
            <w:pPr>
              <w:pStyle w:val="GesAbsatz"/>
            </w:pPr>
          </w:p>
        </w:tc>
        <w:tc>
          <w:tcPr>
            <w:tcW w:w="1630" w:type="dxa"/>
          </w:tcPr>
          <w:p>
            <w:pPr>
              <w:pStyle w:val="GesAbsatz"/>
            </w:pPr>
          </w:p>
        </w:tc>
      </w:tr>
      <w:tr>
        <w:tc>
          <w:tcPr>
            <w:tcW w:w="1629" w:type="dxa"/>
          </w:tcPr>
          <w:p>
            <w:pPr>
              <w:pStyle w:val="GesAbsatz"/>
            </w:pPr>
            <w:r>
              <w:t>EL3020 / 3040</w:t>
            </w:r>
          </w:p>
        </w:tc>
        <w:tc>
          <w:tcPr>
            <w:tcW w:w="1881" w:type="dxa"/>
          </w:tcPr>
          <w:p>
            <w:pPr>
              <w:pStyle w:val="GesAbsatz"/>
            </w:pPr>
            <w:r>
              <w:t>CEM2000L</w:t>
            </w:r>
          </w:p>
        </w:tc>
        <w:tc>
          <w:tcPr>
            <w:tcW w:w="1560" w:type="dxa"/>
          </w:tcPr>
          <w:p>
            <w:pPr>
              <w:pStyle w:val="GesAbsatz"/>
            </w:pPr>
            <w:r>
              <w:t>NO (L )</w:t>
            </w:r>
          </w:p>
        </w:tc>
        <w:tc>
          <w:tcPr>
            <w:tcW w:w="1559" w:type="dxa"/>
          </w:tcPr>
          <w:p>
            <w:pPr>
              <w:pStyle w:val="GesAbsatz"/>
            </w:pPr>
          </w:p>
        </w:tc>
        <w:tc>
          <w:tcPr>
            <w:tcW w:w="1519" w:type="dxa"/>
          </w:tcPr>
          <w:p>
            <w:pPr>
              <w:pStyle w:val="GesAbsatz"/>
            </w:pPr>
          </w:p>
        </w:tc>
        <w:tc>
          <w:tcPr>
            <w:tcW w:w="1630" w:type="dxa"/>
          </w:tcPr>
          <w:p>
            <w:pPr>
              <w:pStyle w:val="GesAbsatz"/>
            </w:pPr>
          </w:p>
        </w:tc>
      </w:tr>
      <w:tr>
        <w:tc>
          <w:tcPr>
            <w:tcW w:w="1629" w:type="dxa"/>
          </w:tcPr>
          <w:p>
            <w:pPr>
              <w:pStyle w:val="GesAbsatz"/>
            </w:pPr>
            <w:r>
              <w:t>EL 3020 / 3040</w:t>
            </w:r>
          </w:p>
        </w:tc>
        <w:tc>
          <w:tcPr>
            <w:tcW w:w="1881" w:type="dxa"/>
          </w:tcPr>
          <w:p>
            <w:pPr>
              <w:pStyle w:val="GesAbsatz"/>
            </w:pPr>
            <w:r>
              <w:t>CEM4000</w:t>
            </w:r>
          </w:p>
        </w:tc>
        <w:tc>
          <w:tcPr>
            <w:tcW w:w="1560" w:type="dxa"/>
          </w:tcPr>
          <w:p>
            <w:pPr>
              <w:pStyle w:val="GesAbsatz"/>
            </w:pPr>
          </w:p>
        </w:tc>
        <w:tc>
          <w:tcPr>
            <w:tcW w:w="1559" w:type="dxa"/>
          </w:tcPr>
          <w:p>
            <w:pPr>
              <w:pStyle w:val="GesAbsatz"/>
            </w:pPr>
          </w:p>
        </w:tc>
        <w:tc>
          <w:tcPr>
            <w:tcW w:w="1519" w:type="dxa"/>
          </w:tcPr>
          <w:p>
            <w:pPr>
              <w:pStyle w:val="GesAbsatz"/>
            </w:pPr>
          </w:p>
        </w:tc>
        <w:tc>
          <w:tcPr>
            <w:tcW w:w="1630" w:type="dxa"/>
          </w:tcPr>
          <w:p>
            <w:pPr>
              <w:pStyle w:val="GesAbsatz"/>
            </w:pPr>
          </w:p>
        </w:tc>
      </w:tr>
      <w:tr>
        <w:tc>
          <w:tcPr>
            <w:tcW w:w="1629" w:type="dxa"/>
          </w:tcPr>
          <w:p>
            <w:pPr>
              <w:pStyle w:val="GesAbsatz"/>
            </w:pPr>
          </w:p>
        </w:tc>
        <w:tc>
          <w:tcPr>
            <w:tcW w:w="1881" w:type="dxa"/>
          </w:tcPr>
          <w:p>
            <w:pPr>
              <w:pStyle w:val="GesAbsatz"/>
            </w:pPr>
          </w:p>
        </w:tc>
        <w:tc>
          <w:tcPr>
            <w:tcW w:w="1560" w:type="dxa"/>
          </w:tcPr>
          <w:p>
            <w:pPr>
              <w:pStyle w:val="GesAbsatz"/>
            </w:pPr>
          </w:p>
        </w:tc>
        <w:tc>
          <w:tcPr>
            <w:tcW w:w="1559" w:type="dxa"/>
          </w:tcPr>
          <w:p>
            <w:pPr>
              <w:pStyle w:val="GesAbsatz"/>
            </w:pPr>
          </w:p>
        </w:tc>
        <w:tc>
          <w:tcPr>
            <w:tcW w:w="1519" w:type="dxa"/>
          </w:tcPr>
          <w:p>
            <w:pPr>
              <w:pStyle w:val="GesAbsatz"/>
            </w:pPr>
          </w:p>
        </w:tc>
        <w:tc>
          <w:tcPr>
            <w:tcW w:w="1630" w:type="dxa"/>
          </w:tcPr>
          <w:p>
            <w:pPr>
              <w:pStyle w:val="GesAbsatz"/>
            </w:pPr>
          </w:p>
        </w:tc>
      </w:tr>
      <w:tr>
        <w:tc>
          <w:tcPr>
            <w:tcW w:w="1629" w:type="dxa"/>
          </w:tcPr>
          <w:p>
            <w:pPr>
              <w:pStyle w:val="GesAbsatz"/>
            </w:pPr>
            <w:r>
              <w:t>EL3020/3040</w:t>
            </w:r>
          </w:p>
        </w:tc>
        <w:tc>
          <w:tcPr>
            <w:tcW w:w="1881" w:type="dxa"/>
          </w:tcPr>
          <w:p>
            <w:pPr>
              <w:pStyle w:val="GesAbsatz"/>
            </w:pPr>
            <w:r>
              <w:t>CEM1200</w:t>
            </w:r>
          </w:p>
        </w:tc>
        <w:tc>
          <w:tcPr>
            <w:tcW w:w="1560" w:type="dxa"/>
          </w:tcPr>
          <w:p>
            <w:pPr>
              <w:pStyle w:val="GesAbsatz"/>
            </w:pPr>
            <w:r>
              <w:t>CO</w:t>
            </w:r>
          </w:p>
        </w:tc>
        <w:tc>
          <w:tcPr>
            <w:tcW w:w="1559" w:type="dxa"/>
          </w:tcPr>
          <w:p>
            <w:pPr>
              <w:pStyle w:val="GesAbsatz"/>
            </w:pPr>
            <w:r>
              <w:t>NO</w:t>
            </w:r>
          </w:p>
        </w:tc>
        <w:tc>
          <w:tcPr>
            <w:tcW w:w="1519" w:type="dxa"/>
          </w:tcPr>
          <w:p>
            <w:pPr>
              <w:pStyle w:val="GesAbsatz"/>
            </w:pPr>
          </w:p>
        </w:tc>
        <w:tc>
          <w:tcPr>
            <w:tcW w:w="1630" w:type="dxa"/>
          </w:tcPr>
          <w:p>
            <w:pPr>
              <w:pStyle w:val="GesAbsatz"/>
            </w:pPr>
          </w:p>
        </w:tc>
      </w:tr>
      <w:tr>
        <w:tc>
          <w:tcPr>
            <w:tcW w:w="1629" w:type="dxa"/>
          </w:tcPr>
          <w:p>
            <w:pPr>
              <w:pStyle w:val="GesAbsatz"/>
            </w:pPr>
            <w:r>
              <w:t>EL3020/3040</w:t>
            </w:r>
          </w:p>
        </w:tc>
        <w:tc>
          <w:tcPr>
            <w:tcW w:w="1881" w:type="dxa"/>
          </w:tcPr>
          <w:p>
            <w:pPr>
              <w:pStyle w:val="GesAbsatz"/>
            </w:pPr>
            <w:r>
              <w:t>CEM1200L</w:t>
            </w:r>
          </w:p>
        </w:tc>
        <w:tc>
          <w:tcPr>
            <w:tcW w:w="1560" w:type="dxa"/>
          </w:tcPr>
          <w:p>
            <w:pPr>
              <w:pStyle w:val="GesAbsatz"/>
            </w:pPr>
            <w:r>
              <w:t>CO</w:t>
            </w:r>
          </w:p>
        </w:tc>
        <w:tc>
          <w:tcPr>
            <w:tcW w:w="1559" w:type="dxa"/>
          </w:tcPr>
          <w:p>
            <w:pPr>
              <w:pStyle w:val="GesAbsatz"/>
            </w:pPr>
            <w:r>
              <w:t>NO(L)</w:t>
            </w:r>
          </w:p>
        </w:tc>
        <w:tc>
          <w:tcPr>
            <w:tcW w:w="1519" w:type="dxa"/>
          </w:tcPr>
          <w:p>
            <w:pPr>
              <w:pStyle w:val="GesAbsatz"/>
            </w:pPr>
          </w:p>
        </w:tc>
        <w:tc>
          <w:tcPr>
            <w:tcW w:w="1630" w:type="dxa"/>
          </w:tcPr>
          <w:p>
            <w:pPr>
              <w:pStyle w:val="GesAbsatz"/>
            </w:pPr>
          </w:p>
        </w:tc>
      </w:tr>
      <w:tr>
        <w:tc>
          <w:tcPr>
            <w:tcW w:w="1629" w:type="dxa"/>
          </w:tcPr>
          <w:p>
            <w:pPr>
              <w:pStyle w:val="GesAbsatz"/>
            </w:pPr>
            <w:r>
              <w:t>EL3020/3040</w:t>
            </w:r>
          </w:p>
        </w:tc>
        <w:tc>
          <w:tcPr>
            <w:tcW w:w="1881" w:type="dxa"/>
          </w:tcPr>
          <w:p>
            <w:pPr>
              <w:pStyle w:val="GesAbsatz"/>
            </w:pPr>
            <w:r>
              <w:t>CEM1500</w:t>
            </w:r>
          </w:p>
        </w:tc>
        <w:tc>
          <w:tcPr>
            <w:tcW w:w="1560" w:type="dxa"/>
          </w:tcPr>
          <w:p>
            <w:pPr>
              <w:pStyle w:val="GesAbsatz"/>
            </w:pPr>
            <w:r>
              <w:t>CO</w:t>
            </w:r>
          </w:p>
        </w:tc>
        <w:tc>
          <w:tcPr>
            <w:tcW w:w="1559" w:type="dxa"/>
          </w:tcPr>
          <w:p>
            <w:pPr>
              <w:pStyle w:val="GesAbsatz"/>
            </w:pPr>
            <w:r>
              <w:t>CO</w:t>
            </w:r>
            <w:r>
              <w:rPr>
                <w:vertAlign w:val="subscript"/>
              </w:rPr>
              <w:t>2</w:t>
            </w:r>
          </w:p>
        </w:tc>
        <w:tc>
          <w:tcPr>
            <w:tcW w:w="1519" w:type="dxa"/>
          </w:tcPr>
          <w:p>
            <w:pPr>
              <w:pStyle w:val="GesAbsatz"/>
            </w:pPr>
          </w:p>
        </w:tc>
        <w:tc>
          <w:tcPr>
            <w:tcW w:w="1630" w:type="dxa"/>
          </w:tcPr>
          <w:p>
            <w:pPr>
              <w:pStyle w:val="GesAbsatz"/>
            </w:pPr>
          </w:p>
        </w:tc>
      </w:tr>
      <w:tr>
        <w:tc>
          <w:tcPr>
            <w:tcW w:w="1629" w:type="dxa"/>
          </w:tcPr>
          <w:p>
            <w:pPr>
              <w:pStyle w:val="GesAbsatz"/>
            </w:pPr>
            <w:r>
              <w:t>EL3020/3040</w:t>
            </w:r>
          </w:p>
        </w:tc>
        <w:tc>
          <w:tcPr>
            <w:tcW w:w="1881" w:type="dxa"/>
          </w:tcPr>
          <w:p>
            <w:pPr>
              <w:pStyle w:val="GesAbsatz"/>
            </w:pPr>
            <w:r>
              <w:t>CEM1400</w:t>
            </w:r>
          </w:p>
        </w:tc>
        <w:tc>
          <w:tcPr>
            <w:tcW w:w="1560" w:type="dxa"/>
          </w:tcPr>
          <w:p>
            <w:pPr>
              <w:pStyle w:val="GesAbsatz"/>
            </w:pPr>
            <w:r>
              <w:t>CO</w:t>
            </w:r>
          </w:p>
        </w:tc>
        <w:tc>
          <w:tcPr>
            <w:tcW w:w="1559" w:type="dxa"/>
          </w:tcPr>
          <w:p>
            <w:pPr>
              <w:pStyle w:val="GesAbsatz"/>
            </w:pPr>
            <w:r>
              <w:t>N</w:t>
            </w:r>
            <w:r>
              <w:rPr>
                <w:vertAlign w:val="subscript"/>
              </w:rPr>
              <w:t>2</w:t>
            </w:r>
            <w:r>
              <w:t>O</w:t>
            </w:r>
          </w:p>
        </w:tc>
        <w:tc>
          <w:tcPr>
            <w:tcW w:w="1519" w:type="dxa"/>
          </w:tcPr>
          <w:p>
            <w:pPr>
              <w:pStyle w:val="GesAbsatz"/>
            </w:pPr>
          </w:p>
        </w:tc>
        <w:tc>
          <w:tcPr>
            <w:tcW w:w="1630" w:type="dxa"/>
          </w:tcPr>
          <w:p>
            <w:pPr>
              <w:pStyle w:val="GesAbsatz"/>
            </w:pPr>
          </w:p>
        </w:tc>
      </w:tr>
      <w:tr>
        <w:tc>
          <w:tcPr>
            <w:tcW w:w="1629" w:type="dxa"/>
          </w:tcPr>
          <w:p>
            <w:pPr>
              <w:pStyle w:val="GesAbsatz"/>
            </w:pPr>
            <w:r>
              <w:t>EL3020/3040</w:t>
            </w:r>
          </w:p>
        </w:tc>
        <w:tc>
          <w:tcPr>
            <w:tcW w:w="1881" w:type="dxa"/>
          </w:tcPr>
          <w:p>
            <w:pPr>
              <w:pStyle w:val="GesAbsatz"/>
            </w:pPr>
            <w:r>
              <w:t>CEM2300</w:t>
            </w:r>
          </w:p>
        </w:tc>
        <w:tc>
          <w:tcPr>
            <w:tcW w:w="1560" w:type="dxa"/>
          </w:tcPr>
          <w:p>
            <w:pPr>
              <w:pStyle w:val="GesAbsatz"/>
            </w:pPr>
            <w:r>
              <w:t>NO</w:t>
            </w:r>
          </w:p>
        </w:tc>
        <w:tc>
          <w:tcPr>
            <w:tcW w:w="1559" w:type="dxa"/>
          </w:tcPr>
          <w:p>
            <w:pPr>
              <w:pStyle w:val="GesAbsatz"/>
            </w:pPr>
            <w:r>
              <w:t>SO</w:t>
            </w:r>
            <w:r>
              <w:rPr>
                <w:vertAlign w:val="subscript"/>
              </w:rPr>
              <w:t>2</w:t>
            </w:r>
          </w:p>
        </w:tc>
        <w:tc>
          <w:tcPr>
            <w:tcW w:w="1519" w:type="dxa"/>
          </w:tcPr>
          <w:p>
            <w:pPr>
              <w:pStyle w:val="GesAbsatz"/>
            </w:pPr>
          </w:p>
        </w:tc>
        <w:tc>
          <w:tcPr>
            <w:tcW w:w="1630" w:type="dxa"/>
          </w:tcPr>
          <w:p>
            <w:pPr>
              <w:pStyle w:val="GesAbsatz"/>
            </w:pPr>
          </w:p>
        </w:tc>
      </w:tr>
      <w:tr>
        <w:tc>
          <w:tcPr>
            <w:tcW w:w="1629" w:type="dxa"/>
          </w:tcPr>
          <w:p>
            <w:pPr>
              <w:pStyle w:val="GesAbsatz"/>
            </w:pPr>
            <w:r>
              <w:lastRenderedPageBreak/>
              <w:t>EL3020/3040</w:t>
            </w:r>
          </w:p>
        </w:tc>
        <w:tc>
          <w:tcPr>
            <w:tcW w:w="1881" w:type="dxa"/>
          </w:tcPr>
          <w:p>
            <w:pPr>
              <w:pStyle w:val="GesAbsatz"/>
            </w:pPr>
            <w:r>
              <w:t>CEM2400</w:t>
            </w:r>
          </w:p>
        </w:tc>
        <w:tc>
          <w:tcPr>
            <w:tcW w:w="1560" w:type="dxa"/>
          </w:tcPr>
          <w:p>
            <w:pPr>
              <w:pStyle w:val="GesAbsatz"/>
            </w:pPr>
            <w:r>
              <w:t>NO</w:t>
            </w:r>
          </w:p>
        </w:tc>
        <w:tc>
          <w:tcPr>
            <w:tcW w:w="1559" w:type="dxa"/>
          </w:tcPr>
          <w:p>
            <w:pPr>
              <w:pStyle w:val="GesAbsatz"/>
            </w:pPr>
            <w:r>
              <w:t>N</w:t>
            </w:r>
            <w:r>
              <w:rPr>
                <w:vertAlign w:val="subscript"/>
              </w:rPr>
              <w:t>2</w:t>
            </w:r>
            <w:r>
              <w:t>O</w:t>
            </w:r>
          </w:p>
        </w:tc>
        <w:tc>
          <w:tcPr>
            <w:tcW w:w="1519" w:type="dxa"/>
          </w:tcPr>
          <w:p>
            <w:pPr>
              <w:pStyle w:val="GesAbsatz"/>
            </w:pPr>
          </w:p>
        </w:tc>
        <w:tc>
          <w:tcPr>
            <w:tcW w:w="1630" w:type="dxa"/>
          </w:tcPr>
          <w:p>
            <w:pPr>
              <w:pStyle w:val="GesAbsatz"/>
            </w:pPr>
          </w:p>
        </w:tc>
      </w:tr>
      <w:tr>
        <w:tc>
          <w:tcPr>
            <w:tcW w:w="1629" w:type="dxa"/>
          </w:tcPr>
          <w:p>
            <w:pPr>
              <w:pStyle w:val="GesAbsatz"/>
            </w:pPr>
            <w:r>
              <w:t>EL3020/3040</w:t>
            </w:r>
          </w:p>
        </w:tc>
        <w:tc>
          <w:tcPr>
            <w:tcW w:w="1881" w:type="dxa"/>
          </w:tcPr>
          <w:p>
            <w:pPr>
              <w:pStyle w:val="GesAbsatz"/>
            </w:pPr>
            <w:r>
              <w:t>CEM2500</w:t>
            </w:r>
          </w:p>
        </w:tc>
        <w:tc>
          <w:tcPr>
            <w:tcW w:w="1560" w:type="dxa"/>
          </w:tcPr>
          <w:p>
            <w:pPr>
              <w:pStyle w:val="GesAbsatz"/>
            </w:pPr>
            <w:r>
              <w:t>NO</w:t>
            </w:r>
          </w:p>
        </w:tc>
        <w:tc>
          <w:tcPr>
            <w:tcW w:w="1559" w:type="dxa"/>
          </w:tcPr>
          <w:p>
            <w:pPr>
              <w:pStyle w:val="GesAbsatz"/>
            </w:pPr>
            <w:r>
              <w:t>CO</w:t>
            </w:r>
            <w:r>
              <w:rPr>
                <w:vertAlign w:val="subscript"/>
              </w:rPr>
              <w:t>2</w:t>
            </w:r>
          </w:p>
        </w:tc>
        <w:tc>
          <w:tcPr>
            <w:tcW w:w="1519" w:type="dxa"/>
          </w:tcPr>
          <w:p>
            <w:pPr>
              <w:pStyle w:val="GesAbsatz"/>
            </w:pPr>
          </w:p>
        </w:tc>
        <w:tc>
          <w:tcPr>
            <w:tcW w:w="1630" w:type="dxa"/>
          </w:tcPr>
          <w:p>
            <w:pPr>
              <w:pStyle w:val="GesAbsatz"/>
            </w:pPr>
          </w:p>
        </w:tc>
      </w:tr>
      <w:tr>
        <w:tc>
          <w:tcPr>
            <w:tcW w:w="1629" w:type="dxa"/>
          </w:tcPr>
          <w:p>
            <w:pPr>
              <w:pStyle w:val="GesAbsatz"/>
            </w:pPr>
            <w:r>
              <w:t>EL3020/3040</w:t>
            </w:r>
          </w:p>
        </w:tc>
        <w:tc>
          <w:tcPr>
            <w:tcW w:w="1881" w:type="dxa"/>
          </w:tcPr>
          <w:p>
            <w:pPr>
              <w:pStyle w:val="GesAbsatz"/>
            </w:pPr>
            <w:r>
              <w:t>CEM2500L</w:t>
            </w:r>
          </w:p>
        </w:tc>
        <w:tc>
          <w:tcPr>
            <w:tcW w:w="1560" w:type="dxa"/>
          </w:tcPr>
          <w:p>
            <w:pPr>
              <w:pStyle w:val="GesAbsatz"/>
            </w:pPr>
            <w:r>
              <w:t>NO(L)</w:t>
            </w:r>
          </w:p>
        </w:tc>
        <w:tc>
          <w:tcPr>
            <w:tcW w:w="1559" w:type="dxa"/>
          </w:tcPr>
          <w:p>
            <w:pPr>
              <w:pStyle w:val="GesAbsatz"/>
            </w:pPr>
            <w:r>
              <w:t>CO</w:t>
            </w:r>
            <w:r>
              <w:rPr>
                <w:vertAlign w:val="subscript"/>
              </w:rPr>
              <w:t>2</w:t>
            </w:r>
          </w:p>
        </w:tc>
        <w:tc>
          <w:tcPr>
            <w:tcW w:w="1519" w:type="dxa"/>
          </w:tcPr>
          <w:p>
            <w:pPr>
              <w:pStyle w:val="GesAbsatz"/>
            </w:pPr>
          </w:p>
        </w:tc>
        <w:tc>
          <w:tcPr>
            <w:tcW w:w="1630" w:type="dxa"/>
          </w:tcPr>
          <w:p>
            <w:pPr>
              <w:pStyle w:val="GesAbsatz"/>
            </w:pPr>
          </w:p>
        </w:tc>
      </w:tr>
      <w:tr>
        <w:tc>
          <w:tcPr>
            <w:tcW w:w="1629" w:type="dxa"/>
          </w:tcPr>
          <w:p>
            <w:pPr>
              <w:pStyle w:val="GesAbsatz"/>
            </w:pPr>
            <w:r>
              <w:t>EL3020/3040</w:t>
            </w:r>
          </w:p>
        </w:tc>
        <w:tc>
          <w:tcPr>
            <w:tcW w:w="1881" w:type="dxa"/>
          </w:tcPr>
          <w:p>
            <w:pPr>
              <w:pStyle w:val="GesAbsatz"/>
            </w:pPr>
            <w:r>
              <w:t>CEM4500</w:t>
            </w:r>
          </w:p>
        </w:tc>
        <w:tc>
          <w:tcPr>
            <w:tcW w:w="1560" w:type="dxa"/>
          </w:tcPr>
          <w:p>
            <w:pPr>
              <w:pStyle w:val="GesAbsatz"/>
            </w:pPr>
            <w:r>
              <w:t>N</w:t>
            </w:r>
            <w:r>
              <w:rPr>
                <w:vertAlign w:val="subscript"/>
              </w:rPr>
              <w:t>2</w:t>
            </w:r>
            <w:r>
              <w:t>O</w:t>
            </w:r>
          </w:p>
        </w:tc>
        <w:tc>
          <w:tcPr>
            <w:tcW w:w="1559" w:type="dxa"/>
          </w:tcPr>
          <w:p>
            <w:pPr>
              <w:pStyle w:val="GesAbsatz"/>
            </w:pPr>
            <w:r>
              <w:t>CO</w:t>
            </w:r>
            <w:r>
              <w:rPr>
                <w:vertAlign w:val="subscript"/>
              </w:rPr>
              <w:t>2</w:t>
            </w:r>
          </w:p>
        </w:tc>
        <w:tc>
          <w:tcPr>
            <w:tcW w:w="1519" w:type="dxa"/>
          </w:tcPr>
          <w:p>
            <w:pPr>
              <w:pStyle w:val="GesAbsatz"/>
            </w:pPr>
          </w:p>
        </w:tc>
        <w:tc>
          <w:tcPr>
            <w:tcW w:w="1630" w:type="dxa"/>
          </w:tcPr>
          <w:p>
            <w:pPr>
              <w:pStyle w:val="GesAbsatz"/>
            </w:pPr>
          </w:p>
        </w:tc>
      </w:tr>
      <w:tr>
        <w:tc>
          <w:tcPr>
            <w:tcW w:w="1629" w:type="dxa"/>
          </w:tcPr>
          <w:p>
            <w:pPr>
              <w:pStyle w:val="GesAbsatz"/>
            </w:pPr>
          </w:p>
        </w:tc>
        <w:tc>
          <w:tcPr>
            <w:tcW w:w="1881" w:type="dxa"/>
          </w:tcPr>
          <w:p>
            <w:pPr>
              <w:pStyle w:val="GesAbsatz"/>
            </w:pPr>
          </w:p>
        </w:tc>
        <w:tc>
          <w:tcPr>
            <w:tcW w:w="1560" w:type="dxa"/>
          </w:tcPr>
          <w:p>
            <w:pPr>
              <w:pStyle w:val="GesAbsatz"/>
            </w:pPr>
          </w:p>
        </w:tc>
        <w:tc>
          <w:tcPr>
            <w:tcW w:w="1559" w:type="dxa"/>
          </w:tcPr>
          <w:p>
            <w:pPr>
              <w:pStyle w:val="GesAbsatz"/>
            </w:pPr>
          </w:p>
        </w:tc>
        <w:tc>
          <w:tcPr>
            <w:tcW w:w="1519" w:type="dxa"/>
          </w:tcPr>
          <w:p>
            <w:pPr>
              <w:pStyle w:val="GesAbsatz"/>
            </w:pPr>
          </w:p>
        </w:tc>
        <w:tc>
          <w:tcPr>
            <w:tcW w:w="1630" w:type="dxa"/>
          </w:tcPr>
          <w:p>
            <w:pPr>
              <w:pStyle w:val="GesAbsatz"/>
            </w:pPr>
          </w:p>
        </w:tc>
      </w:tr>
      <w:tr>
        <w:tc>
          <w:tcPr>
            <w:tcW w:w="1629" w:type="dxa"/>
          </w:tcPr>
          <w:p>
            <w:pPr>
              <w:pStyle w:val="GesAbsatz"/>
            </w:pPr>
            <w:r>
              <w:t>EL3020/3040</w:t>
            </w:r>
          </w:p>
        </w:tc>
        <w:tc>
          <w:tcPr>
            <w:tcW w:w="1881" w:type="dxa"/>
          </w:tcPr>
          <w:p>
            <w:pPr>
              <w:pStyle w:val="GesAbsatz"/>
            </w:pPr>
            <w:r>
              <w:t>CEM1250</w:t>
            </w:r>
          </w:p>
        </w:tc>
        <w:tc>
          <w:tcPr>
            <w:tcW w:w="1560" w:type="dxa"/>
          </w:tcPr>
          <w:p>
            <w:pPr>
              <w:pStyle w:val="GesAbsatz"/>
            </w:pPr>
            <w:r>
              <w:t>CO</w:t>
            </w:r>
          </w:p>
        </w:tc>
        <w:tc>
          <w:tcPr>
            <w:tcW w:w="1559" w:type="dxa"/>
          </w:tcPr>
          <w:p>
            <w:pPr>
              <w:pStyle w:val="GesAbsatz"/>
            </w:pPr>
            <w:r>
              <w:t>NO</w:t>
            </w:r>
          </w:p>
        </w:tc>
        <w:tc>
          <w:tcPr>
            <w:tcW w:w="1519" w:type="dxa"/>
          </w:tcPr>
          <w:p>
            <w:pPr>
              <w:pStyle w:val="GesAbsatz"/>
            </w:pPr>
            <w:r>
              <w:t>CO</w:t>
            </w:r>
            <w:r>
              <w:rPr>
                <w:vertAlign w:val="subscript"/>
              </w:rPr>
              <w:t>2</w:t>
            </w:r>
          </w:p>
        </w:tc>
        <w:tc>
          <w:tcPr>
            <w:tcW w:w="1630" w:type="dxa"/>
          </w:tcPr>
          <w:p>
            <w:pPr>
              <w:pStyle w:val="GesAbsatz"/>
            </w:pPr>
          </w:p>
        </w:tc>
      </w:tr>
      <w:tr>
        <w:tc>
          <w:tcPr>
            <w:tcW w:w="1629" w:type="dxa"/>
          </w:tcPr>
          <w:p>
            <w:pPr>
              <w:pStyle w:val="GesAbsatz"/>
            </w:pPr>
            <w:r>
              <w:t>EL3020/3040</w:t>
            </w:r>
          </w:p>
        </w:tc>
        <w:tc>
          <w:tcPr>
            <w:tcW w:w="1881" w:type="dxa"/>
          </w:tcPr>
          <w:p>
            <w:pPr>
              <w:pStyle w:val="GesAbsatz"/>
            </w:pPr>
            <w:r>
              <w:t>CEM1250L</w:t>
            </w:r>
          </w:p>
        </w:tc>
        <w:tc>
          <w:tcPr>
            <w:tcW w:w="1560" w:type="dxa"/>
          </w:tcPr>
          <w:p>
            <w:pPr>
              <w:pStyle w:val="GesAbsatz"/>
            </w:pPr>
            <w:r>
              <w:t>CO</w:t>
            </w:r>
          </w:p>
        </w:tc>
        <w:tc>
          <w:tcPr>
            <w:tcW w:w="1559" w:type="dxa"/>
          </w:tcPr>
          <w:p>
            <w:pPr>
              <w:pStyle w:val="GesAbsatz"/>
            </w:pPr>
            <w:r>
              <w:t>NO(L)</w:t>
            </w:r>
          </w:p>
        </w:tc>
        <w:tc>
          <w:tcPr>
            <w:tcW w:w="1519" w:type="dxa"/>
          </w:tcPr>
          <w:p>
            <w:pPr>
              <w:pStyle w:val="GesAbsatz"/>
            </w:pPr>
            <w:r>
              <w:t>CO</w:t>
            </w:r>
            <w:r>
              <w:rPr>
                <w:vertAlign w:val="subscript"/>
              </w:rPr>
              <w:t>2</w:t>
            </w:r>
          </w:p>
        </w:tc>
        <w:tc>
          <w:tcPr>
            <w:tcW w:w="1630" w:type="dxa"/>
          </w:tcPr>
          <w:p>
            <w:pPr>
              <w:pStyle w:val="GesAbsatz"/>
            </w:pPr>
          </w:p>
        </w:tc>
      </w:tr>
      <w:tr>
        <w:tc>
          <w:tcPr>
            <w:tcW w:w="1629" w:type="dxa"/>
          </w:tcPr>
          <w:p>
            <w:pPr>
              <w:pStyle w:val="GesAbsatz"/>
            </w:pPr>
            <w:r>
              <w:t>EL3020/3040</w:t>
            </w:r>
          </w:p>
        </w:tc>
        <w:tc>
          <w:tcPr>
            <w:tcW w:w="1881" w:type="dxa"/>
          </w:tcPr>
          <w:p>
            <w:pPr>
              <w:pStyle w:val="GesAbsatz"/>
            </w:pPr>
            <w:r>
              <w:t>CEM1230</w:t>
            </w:r>
          </w:p>
        </w:tc>
        <w:tc>
          <w:tcPr>
            <w:tcW w:w="1560" w:type="dxa"/>
          </w:tcPr>
          <w:p>
            <w:pPr>
              <w:pStyle w:val="GesAbsatz"/>
            </w:pPr>
            <w:r>
              <w:t>CO</w:t>
            </w:r>
          </w:p>
        </w:tc>
        <w:tc>
          <w:tcPr>
            <w:tcW w:w="1559" w:type="dxa"/>
          </w:tcPr>
          <w:p>
            <w:pPr>
              <w:pStyle w:val="GesAbsatz"/>
            </w:pPr>
            <w:r>
              <w:t>SO</w:t>
            </w:r>
            <w:r>
              <w:rPr>
                <w:vertAlign w:val="subscript"/>
              </w:rPr>
              <w:t>2</w:t>
            </w:r>
          </w:p>
        </w:tc>
        <w:tc>
          <w:tcPr>
            <w:tcW w:w="1519" w:type="dxa"/>
          </w:tcPr>
          <w:p>
            <w:pPr>
              <w:pStyle w:val="GesAbsatz"/>
            </w:pPr>
            <w:r>
              <w:t>NO</w:t>
            </w:r>
          </w:p>
        </w:tc>
        <w:tc>
          <w:tcPr>
            <w:tcW w:w="1630" w:type="dxa"/>
          </w:tcPr>
          <w:p>
            <w:pPr>
              <w:pStyle w:val="GesAbsatz"/>
            </w:pPr>
          </w:p>
        </w:tc>
      </w:tr>
      <w:tr>
        <w:tc>
          <w:tcPr>
            <w:tcW w:w="1629" w:type="dxa"/>
          </w:tcPr>
          <w:p>
            <w:pPr>
              <w:pStyle w:val="GesAbsatz"/>
            </w:pPr>
            <w:r>
              <w:t>EL3020/3040</w:t>
            </w:r>
          </w:p>
        </w:tc>
        <w:tc>
          <w:tcPr>
            <w:tcW w:w="1881" w:type="dxa"/>
          </w:tcPr>
          <w:p>
            <w:pPr>
              <w:pStyle w:val="GesAbsatz"/>
            </w:pPr>
            <w:r>
              <w:t>CEM1230K</w:t>
            </w:r>
          </w:p>
        </w:tc>
        <w:tc>
          <w:tcPr>
            <w:tcW w:w="1560" w:type="dxa"/>
          </w:tcPr>
          <w:p>
            <w:pPr>
              <w:pStyle w:val="GesAbsatz"/>
            </w:pPr>
            <w:r>
              <w:t>CO(K)</w:t>
            </w:r>
          </w:p>
        </w:tc>
        <w:tc>
          <w:tcPr>
            <w:tcW w:w="1559" w:type="dxa"/>
          </w:tcPr>
          <w:p>
            <w:pPr>
              <w:pStyle w:val="GesAbsatz"/>
            </w:pPr>
            <w:r>
              <w:t>SO</w:t>
            </w:r>
            <w:r>
              <w:rPr>
                <w:vertAlign w:val="subscript"/>
              </w:rPr>
              <w:t>2</w:t>
            </w:r>
            <w:r>
              <w:t xml:space="preserve"> (K)</w:t>
            </w:r>
          </w:p>
        </w:tc>
        <w:tc>
          <w:tcPr>
            <w:tcW w:w="1519" w:type="dxa"/>
          </w:tcPr>
          <w:p>
            <w:pPr>
              <w:pStyle w:val="GesAbsatz"/>
            </w:pPr>
            <w:r>
              <w:t>NO</w:t>
            </w:r>
          </w:p>
        </w:tc>
        <w:tc>
          <w:tcPr>
            <w:tcW w:w="1630" w:type="dxa"/>
          </w:tcPr>
          <w:p>
            <w:pPr>
              <w:pStyle w:val="GesAbsatz"/>
            </w:pPr>
          </w:p>
        </w:tc>
      </w:tr>
      <w:tr>
        <w:tc>
          <w:tcPr>
            <w:tcW w:w="1629" w:type="dxa"/>
          </w:tcPr>
          <w:p>
            <w:pPr>
              <w:pStyle w:val="GesAbsatz"/>
            </w:pPr>
            <w:r>
              <w:t>EL3020/3040</w:t>
            </w:r>
          </w:p>
        </w:tc>
        <w:tc>
          <w:tcPr>
            <w:tcW w:w="1881" w:type="dxa"/>
          </w:tcPr>
          <w:p>
            <w:pPr>
              <w:pStyle w:val="GesAbsatz"/>
            </w:pPr>
            <w:r>
              <w:t>CEM1230L</w:t>
            </w:r>
          </w:p>
        </w:tc>
        <w:tc>
          <w:tcPr>
            <w:tcW w:w="1560" w:type="dxa"/>
          </w:tcPr>
          <w:p>
            <w:pPr>
              <w:pStyle w:val="GesAbsatz"/>
            </w:pPr>
            <w:r>
              <w:t>CO</w:t>
            </w:r>
          </w:p>
        </w:tc>
        <w:tc>
          <w:tcPr>
            <w:tcW w:w="1559" w:type="dxa"/>
          </w:tcPr>
          <w:p>
            <w:pPr>
              <w:pStyle w:val="GesAbsatz"/>
            </w:pPr>
            <w:r>
              <w:t>SO</w:t>
            </w:r>
            <w:r>
              <w:rPr>
                <w:vertAlign w:val="subscript"/>
              </w:rPr>
              <w:t>2</w:t>
            </w:r>
          </w:p>
        </w:tc>
        <w:tc>
          <w:tcPr>
            <w:tcW w:w="1519" w:type="dxa"/>
          </w:tcPr>
          <w:p>
            <w:pPr>
              <w:pStyle w:val="GesAbsatz"/>
            </w:pPr>
            <w:r>
              <w:t>NO (L)</w:t>
            </w:r>
          </w:p>
        </w:tc>
        <w:tc>
          <w:tcPr>
            <w:tcW w:w="1630" w:type="dxa"/>
          </w:tcPr>
          <w:p>
            <w:pPr>
              <w:pStyle w:val="GesAbsatz"/>
            </w:pPr>
          </w:p>
        </w:tc>
      </w:tr>
      <w:tr>
        <w:tc>
          <w:tcPr>
            <w:tcW w:w="1629" w:type="dxa"/>
          </w:tcPr>
          <w:p>
            <w:pPr>
              <w:pStyle w:val="GesAbsatz"/>
            </w:pPr>
            <w:r>
              <w:t>EL3020/3040</w:t>
            </w:r>
          </w:p>
        </w:tc>
        <w:tc>
          <w:tcPr>
            <w:tcW w:w="1881" w:type="dxa"/>
          </w:tcPr>
          <w:p>
            <w:pPr>
              <w:pStyle w:val="GesAbsatz"/>
            </w:pPr>
            <w:r>
              <w:t>CEM1230KL</w:t>
            </w:r>
          </w:p>
        </w:tc>
        <w:tc>
          <w:tcPr>
            <w:tcW w:w="1560" w:type="dxa"/>
          </w:tcPr>
          <w:p>
            <w:pPr>
              <w:pStyle w:val="GesAbsatz"/>
            </w:pPr>
            <w:r>
              <w:t>CO (K)</w:t>
            </w:r>
          </w:p>
        </w:tc>
        <w:tc>
          <w:tcPr>
            <w:tcW w:w="1559" w:type="dxa"/>
          </w:tcPr>
          <w:p>
            <w:pPr>
              <w:pStyle w:val="GesAbsatz"/>
            </w:pPr>
            <w:r>
              <w:t>SO</w:t>
            </w:r>
            <w:r>
              <w:rPr>
                <w:vertAlign w:val="subscript"/>
              </w:rPr>
              <w:t>2</w:t>
            </w:r>
            <w:r>
              <w:t xml:space="preserve"> (K)</w:t>
            </w:r>
          </w:p>
        </w:tc>
        <w:tc>
          <w:tcPr>
            <w:tcW w:w="1519" w:type="dxa"/>
          </w:tcPr>
          <w:p>
            <w:pPr>
              <w:pStyle w:val="GesAbsatz"/>
            </w:pPr>
            <w:r>
              <w:t>NO (L)</w:t>
            </w:r>
          </w:p>
        </w:tc>
        <w:tc>
          <w:tcPr>
            <w:tcW w:w="1630" w:type="dxa"/>
          </w:tcPr>
          <w:p>
            <w:pPr>
              <w:pStyle w:val="GesAbsatz"/>
            </w:pPr>
          </w:p>
        </w:tc>
      </w:tr>
      <w:tr>
        <w:tc>
          <w:tcPr>
            <w:tcW w:w="1629" w:type="dxa"/>
          </w:tcPr>
          <w:p>
            <w:pPr>
              <w:pStyle w:val="GesAbsatz"/>
            </w:pPr>
            <w:r>
              <w:t>EL3020/3040</w:t>
            </w:r>
          </w:p>
        </w:tc>
        <w:tc>
          <w:tcPr>
            <w:tcW w:w="1881" w:type="dxa"/>
          </w:tcPr>
          <w:p>
            <w:pPr>
              <w:pStyle w:val="GesAbsatz"/>
            </w:pPr>
            <w:r>
              <w:t>CEM1450</w:t>
            </w:r>
          </w:p>
        </w:tc>
        <w:tc>
          <w:tcPr>
            <w:tcW w:w="1560" w:type="dxa"/>
          </w:tcPr>
          <w:p>
            <w:pPr>
              <w:pStyle w:val="GesAbsatz"/>
            </w:pPr>
            <w:r>
              <w:t>CO</w:t>
            </w:r>
          </w:p>
        </w:tc>
        <w:tc>
          <w:tcPr>
            <w:tcW w:w="1559" w:type="dxa"/>
          </w:tcPr>
          <w:p>
            <w:pPr>
              <w:pStyle w:val="GesAbsatz"/>
            </w:pPr>
            <w:r>
              <w:t>N</w:t>
            </w:r>
            <w:r>
              <w:rPr>
                <w:vertAlign w:val="subscript"/>
              </w:rPr>
              <w:t>2</w:t>
            </w:r>
            <w:r>
              <w:t>O</w:t>
            </w:r>
          </w:p>
        </w:tc>
        <w:tc>
          <w:tcPr>
            <w:tcW w:w="1519" w:type="dxa"/>
          </w:tcPr>
          <w:p>
            <w:pPr>
              <w:pStyle w:val="GesAbsatz"/>
            </w:pPr>
            <w:r>
              <w:t>CO</w:t>
            </w:r>
            <w:r>
              <w:rPr>
                <w:vertAlign w:val="subscript"/>
              </w:rPr>
              <w:t>2</w:t>
            </w:r>
          </w:p>
        </w:tc>
        <w:tc>
          <w:tcPr>
            <w:tcW w:w="1630" w:type="dxa"/>
          </w:tcPr>
          <w:p>
            <w:pPr>
              <w:pStyle w:val="GesAbsatz"/>
            </w:pPr>
          </w:p>
        </w:tc>
      </w:tr>
      <w:tr>
        <w:tc>
          <w:tcPr>
            <w:tcW w:w="1629" w:type="dxa"/>
          </w:tcPr>
          <w:p>
            <w:pPr>
              <w:pStyle w:val="GesAbsatz"/>
            </w:pPr>
            <w:r>
              <w:t>EL3020/3040</w:t>
            </w:r>
          </w:p>
        </w:tc>
        <w:tc>
          <w:tcPr>
            <w:tcW w:w="1881" w:type="dxa"/>
          </w:tcPr>
          <w:p>
            <w:pPr>
              <w:pStyle w:val="GesAbsatz"/>
            </w:pPr>
            <w:r>
              <w:t>CEM2350</w:t>
            </w:r>
          </w:p>
        </w:tc>
        <w:tc>
          <w:tcPr>
            <w:tcW w:w="1560" w:type="dxa"/>
          </w:tcPr>
          <w:p>
            <w:pPr>
              <w:pStyle w:val="GesAbsatz"/>
            </w:pPr>
            <w:r>
              <w:t>NO</w:t>
            </w:r>
          </w:p>
        </w:tc>
        <w:tc>
          <w:tcPr>
            <w:tcW w:w="1559" w:type="dxa"/>
          </w:tcPr>
          <w:p>
            <w:pPr>
              <w:pStyle w:val="GesAbsatz"/>
            </w:pPr>
            <w:r>
              <w:t>SO</w:t>
            </w:r>
            <w:r>
              <w:rPr>
                <w:vertAlign w:val="subscript"/>
              </w:rPr>
              <w:t>2</w:t>
            </w:r>
          </w:p>
        </w:tc>
        <w:tc>
          <w:tcPr>
            <w:tcW w:w="1519" w:type="dxa"/>
          </w:tcPr>
          <w:p>
            <w:pPr>
              <w:pStyle w:val="GesAbsatz"/>
            </w:pPr>
            <w:r>
              <w:t>CO</w:t>
            </w:r>
            <w:r>
              <w:rPr>
                <w:vertAlign w:val="subscript"/>
              </w:rPr>
              <w:t>2</w:t>
            </w:r>
          </w:p>
        </w:tc>
        <w:tc>
          <w:tcPr>
            <w:tcW w:w="1630" w:type="dxa"/>
          </w:tcPr>
          <w:p>
            <w:pPr>
              <w:pStyle w:val="GesAbsatz"/>
            </w:pPr>
          </w:p>
        </w:tc>
      </w:tr>
      <w:tr>
        <w:tc>
          <w:tcPr>
            <w:tcW w:w="1629" w:type="dxa"/>
          </w:tcPr>
          <w:p>
            <w:pPr>
              <w:pStyle w:val="GesAbsatz"/>
            </w:pPr>
            <w:r>
              <w:t>EL3020/3040</w:t>
            </w:r>
          </w:p>
        </w:tc>
        <w:tc>
          <w:tcPr>
            <w:tcW w:w="1881" w:type="dxa"/>
          </w:tcPr>
          <w:p>
            <w:pPr>
              <w:pStyle w:val="GesAbsatz"/>
            </w:pPr>
            <w:r>
              <w:t>CEM2450</w:t>
            </w:r>
          </w:p>
        </w:tc>
        <w:tc>
          <w:tcPr>
            <w:tcW w:w="1560" w:type="dxa"/>
          </w:tcPr>
          <w:p>
            <w:pPr>
              <w:pStyle w:val="GesAbsatz"/>
            </w:pPr>
            <w:r>
              <w:t>NO</w:t>
            </w:r>
          </w:p>
        </w:tc>
        <w:tc>
          <w:tcPr>
            <w:tcW w:w="1559" w:type="dxa"/>
          </w:tcPr>
          <w:p>
            <w:pPr>
              <w:pStyle w:val="GesAbsatz"/>
            </w:pPr>
            <w:r>
              <w:t>N</w:t>
            </w:r>
            <w:r>
              <w:rPr>
                <w:vertAlign w:val="subscript"/>
              </w:rPr>
              <w:t>2</w:t>
            </w:r>
            <w:r>
              <w:t>O</w:t>
            </w:r>
          </w:p>
        </w:tc>
        <w:tc>
          <w:tcPr>
            <w:tcW w:w="1519" w:type="dxa"/>
          </w:tcPr>
          <w:p>
            <w:pPr>
              <w:pStyle w:val="GesAbsatz"/>
            </w:pPr>
            <w:r>
              <w:t>CO</w:t>
            </w:r>
            <w:r>
              <w:rPr>
                <w:vertAlign w:val="subscript"/>
              </w:rPr>
              <w:t>2</w:t>
            </w:r>
          </w:p>
        </w:tc>
        <w:tc>
          <w:tcPr>
            <w:tcW w:w="1630" w:type="dxa"/>
          </w:tcPr>
          <w:p>
            <w:pPr>
              <w:pStyle w:val="GesAbsatz"/>
            </w:pPr>
          </w:p>
        </w:tc>
      </w:tr>
      <w:tr>
        <w:tc>
          <w:tcPr>
            <w:tcW w:w="1629" w:type="dxa"/>
          </w:tcPr>
          <w:p>
            <w:pPr>
              <w:pStyle w:val="GesAbsatz"/>
            </w:pPr>
          </w:p>
        </w:tc>
        <w:tc>
          <w:tcPr>
            <w:tcW w:w="1881" w:type="dxa"/>
          </w:tcPr>
          <w:p>
            <w:pPr>
              <w:pStyle w:val="GesAbsatz"/>
            </w:pPr>
          </w:p>
        </w:tc>
        <w:tc>
          <w:tcPr>
            <w:tcW w:w="1560" w:type="dxa"/>
          </w:tcPr>
          <w:p>
            <w:pPr>
              <w:pStyle w:val="GesAbsatz"/>
            </w:pPr>
          </w:p>
        </w:tc>
        <w:tc>
          <w:tcPr>
            <w:tcW w:w="1559" w:type="dxa"/>
          </w:tcPr>
          <w:p>
            <w:pPr>
              <w:pStyle w:val="GesAbsatz"/>
            </w:pPr>
          </w:p>
        </w:tc>
        <w:tc>
          <w:tcPr>
            <w:tcW w:w="1519" w:type="dxa"/>
          </w:tcPr>
          <w:p>
            <w:pPr>
              <w:pStyle w:val="GesAbsatz"/>
            </w:pPr>
          </w:p>
        </w:tc>
        <w:tc>
          <w:tcPr>
            <w:tcW w:w="1630" w:type="dxa"/>
          </w:tcPr>
          <w:p>
            <w:pPr>
              <w:pStyle w:val="GesAbsatz"/>
            </w:pPr>
          </w:p>
        </w:tc>
      </w:tr>
      <w:tr>
        <w:tc>
          <w:tcPr>
            <w:tcW w:w="1629" w:type="dxa"/>
          </w:tcPr>
          <w:p>
            <w:pPr>
              <w:pStyle w:val="GesAbsatz"/>
            </w:pPr>
            <w:r>
              <w:t>EL3020/3040</w:t>
            </w:r>
          </w:p>
        </w:tc>
        <w:tc>
          <w:tcPr>
            <w:tcW w:w="1881" w:type="dxa"/>
          </w:tcPr>
          <w:p>
            <w:pPr>
              <w:pStyle w:val="GesAbsatz"/>
            </w:pPr>
            <w:r>
              <w:t>CEM1235</w:t>
            </w:r>
          </w:p>
        </w:tc>
        <w:tc>
          <w:tcPr>
            <w:tcW w:w="1560" w:type="dxa"/>
          </w:tcPr>
          <w:p>
            <w:pPr>
              <w:pStyle w:val="GesAbsatz"/>
            </w:pPr>
            <w:r>
              <w:t>CO</w:t>
            </w:r>
          </w:p>
        </w:tc>
        <w:tc>
          <w:tcPr>
            <w:tcW w:w="1559" w:type="dxa"/>
          </w:tcPr>
          <w:p>
            <w:pPr>
              <w:pStyle w:val="GesAbsatz"/>
            </w:pPr>
            <w:r>
              <w:t>SO</w:t>
            </w:r>
            <w:r>
              <w:rPr>
                <w:vertAlign w:val="subscript"/>
              </w:rPr>
              <w:t>2</w:t>
            </w:r>
          </w:p>
        </w:tc>
        <w:tc>
          <w:tcPr>
            <w:tcW w:w="1519" w:type="dxa"/>
          </w:tcPr>
          <w:p>
            <w:pPr>
              <w:pStyle w:val="GesAbsatz"/>
            </w:pPr>
            <w:r>
              <w:t>NO</w:t>
            </w:r>
          </w:p>
        </w:tc>
        <w:tc>
          <w:tcPr>
            <w:tcW w:w="1630" w:type="dxa"/>
          </w:tcPr>
          <w:p>
            <w:pPr>
              <w:pStyle w:val="GesAbsatz"/>
            </w:pPr>
            <w:r>
              <w:t>CO</w:t>
            </w:r>
            <w:r>
              <w:rPr>
                <w:vertAlign w:val="subscript"/>
              </w:rPr>
              <w:t>2</w:t>
            </w:r>
          </w:p>
        </w:tc>
      </w:tr>
      <w:tr>
        <w:tc>
          <w:tcPr>
            <w:tcW w:w="1629" w:type="dxa"/>
          </w:tcPr>
          <w:p>
            <w:pPr>
              <w:pStyle w:val="GesAbsatz"/>
            </w:pPr>
            <w:r>
              <w:t>EL3020/3040</w:t>
            </w:r>
          </w:p>
        </w:tc>
        <w:tc>
          <w:tcPr>
            <w:tcW w:w="1881" w:type="dxa"/>
          </w:tcPr>
          <w:p>
            <w:pPr>
              <w:pStyle w:val="GesAbsatz"/>
            </w:pPr>
            <w:r>
              <w:t>CEM1235K</w:t>
            </w:r>
          </w:p>
        </w:tc>
        <w:tc>
          <w:tcPr>
            <w:tcW w:w="1560" w:type="dxa"/>
          </w:tcPr>
          <w:p>
            <w:pPr>
              <w:pStyle w:val="GesAbsatz"/>
            </w:pPr>
            <w:r>
              <w:t>CO(K)</w:t>
            </w:r>
          </w:p>
        </w:tc>
        <w:tc>
          <w:tcPr>
            <w:tcW w:w="1559" w:type="dxa"/>
          </w:tcPr>
          <w:p>
            <w:pPr>
              <w:pStyle w:val="GesAbsatz"/>
            </w:pPr>
            <w:r>
              <w:t>SO</w:t>
            </w:r>
            <w:r>
              <w:rPr>
                <w:vertAlign w:val="subscript"/>
              </w:rPr>
              <w:t>2</w:t>
            </w:r>
            <w:r>
              <w:t>(K)</w:t>
            </w:r>
          </w:p>
        </w:tc>
        <w:tc>
          <w:tcPr>
            <w:tcW w:w="1519" w:type="dxa"/>
          </w:tcPr>
          <w:p>
            <w:pPr>
              <w:pStyle w:val="GesAbsatz"/>
            </w:pPr>
            <w:r>
              <w:t>NO</w:t>
            </w:r>
          </w:p>
        </w:tc>
        <w:tc>
          <w:tcPr>
            <w:tcW w:w="1630" w:type="dxa"/>
          </w:tcPr>
          <w:p>
            <w:pPr>
              <w:pStyle w:val="GesAbsatz"/>
            </w:pPr>
            <w:r>
              <w:t>CO</w:t>
            </w:r>
            <w:r>
              <w:rPr>
                <w:vertAlign w:val="subscript"/>
              </w:rPr>
              <w:t>2</w:t>
            </w:r>
          </w:p>
        </w:tc>
      </w:tr>
    </w:tbl>
    <w:p>
      <w:pPr>
        <w:pStyle w:val="GesAbsatz"/>
        <w:ind w:left="426"/>
      </w:pPr>
      <w:r>
        <w:t>Zusätzlich wird angegeben, ob eine Sauerstoffzelle Magnos206 oder ein elektrochemischer Sensor ei</w:t>
      </w:r>
      <w:r>
        <w:t>n</w:t>
      </w:r>
      <w:r>
        <w:t>gebaut ist.</w:t>
      </w:r>
    </w:p>
    <w:p>
      <w:pPr>
        <w:pStyle w:val="GesAbsatz"/>
      </w:pPr>
      <w:r>
        <w:t>8.</w:t>
      </w:r>
      <w:r>
        <w:tab/>
        <w:t xml:space="preserve">Das Wartungsintervall beträgt 3 Wochen. </w:t>
      </w:r>
    </w:p>
    <w:p>
      <w:pPr>
        <w:pStyle w:val="GesAbsatz"/>
      </w:pPr>
      <w:r>
        <w:t>Prüfbericht:</w:t>
      </w:r>
    </w:p>
    <w:p>
      <w:pPr>
        <w:pStyle w:val="GesAbsatz"/>
      </w:pPr>
      <w:r>
        <w:t xml:space="preserve">TÜV SÜD Industrie Service GmbH, München </w:t>
      </w:r>
    </w:p>
    <w:p>
      <w:pPr>
        <w:pStyle w:val="GesAbsatz"/>
      </w:pPr>
      <w:r>
        <w:t>Bericht-Nr. 691317 vom 30. Juni 2006</w:t>
      </w:r>
    </w:p>
    <w:p>
      <w:pPr>
        <w:pStyle w:val="GesAbsatz"/>
      </w:pPr>
      <w:r>
        <w:t>2.3 GM 35 In-situ-Gasanalysator, Version Cross-Duct für CO, CO</w:t>
      </w:r>
      <w:r>
        <w:rPr>
          <w:vertAlign w:val="subscript"/>
        </w:rPr>
        <w:t>2</w:t>
      </w:r>
      <w:r>
        <w:t xml:space="preserve"> und H</w:t>
      </w:r>
      <w:r>
        <w:rPr>
          <w:vertAlign w:val="subscript"/>
        </w:rPr>
        <w:t>2</w:t>
      </w:r>
      <w:r>
        <w:t>O</w:t>
      </w:r>
    </w:p>
    <w:p>
      <w:pPr>
        <w:pStyle w:val="GesAbsatz"/>
      </w:pPr>
      <w:r>
        <w:t>Hersteller:</w:t>
      </w:r>
    </w:p>
    <w:p>
      <w:pPr>
        <w:pStyle w:val="GesAbsatz"/>
      </w:pPr>
      <w:r>
        <w:t>SICK MAIHAK GmbH</w:t>
      </w:r>
    </w:p>
    <w:p>
      <w:pPr>
        <w:pStyle w:val="GesAbsatz"/>
      </w:pPr>
      <w:r>
        <w:t>Eignung:</w:t>
      </w:r>
    </w:p>
    <w:p>
      <w:pPr>
        <w:pStyle w:val="GesAbsatz"/>
      </w:pPr>
      <w:r>
        <w:t>Für genehmigungsbedürftige Anlagen und Anlagen der 27. BImSchV</w:t>
      </w:r>
    </w:p>
    <w:p>
      <w:pPr>
        <w:pStyle w:val="GesAbsatz"/>
      </w:pPr>
      <w:r>
        <w:t>Messbereiche bei der Eignungsprüfung:</w:t>
      </w:r>
    </w:p>
    <w:p>
      <w:pPr>
        <w:pStyle w:val="GesAbsatz"/>
        <w:tabs>
          <w:tab w:val="clear" w:pos="425"/>
          <w:tab w:val="left" w:pos="2268"/>
        </w:tabs>
      </w:pPr>
      <w:r>
        <w:t>CO</w:t>
      </w:r>
      <w:r>
        <w:tab/>
        <w:t>0 - 75* mg/m</w:t>
      </w:r>
      <w:r>
        <w:rPr>
          <w:vertAlign w:val="superscript"/>
        </w:rPr>
        <w:t>3</w:t>
      </w:r>
    </w:p>
    <w:p>
      <w:pPr>
        <w:pStyle w:val="GesAbsatz"/>
        <w:tabs>
          <w:tab w:val="clear" w:pos="425"/>
          <w:tab w:val="left" w:pos="2268"/>
        </w:tabs>
      </w:pPr>
      <w:r>
        <w:t>CO</w:t>
      </w:r>
      <w:r>
        <w:tab/>
        <w:t>0 - 2000* mg/m</w:t>
      </w:r>
      <w:r>
        <w:rPr>
          <w:vertAlign w:val="superscript"/>
        </w:rPr>
        <w:t>3</w:t>
      </w:r>
    </w:p>
    <w:p>
      <w:pPr>
        <w:pStyle w:val="GesAbsatz"/>
        <w:tabs>
          <w:tab w:val="clear" w:pos="425"/>
          <w:tab w:val="left" w:pos="2268"/>
        </w:tabs>
      </w:pPr>
      <w:r>
        <w:t>CO</w:t>
      </w:r>
      <w:r>
        <w:rPr>
          <w:vertAlign w:val="subscript"/>
        </w:rPr>
        <w:t>2</w:t>
      </w:r>
      <w:r>
        <w:tab/>
        <w:t>0 - 15* Vol.-%</w:t>
      </w:r>
    </w:p>
    <w:p>
      <w:pPr>
        <w:pStyle w:val="GesAbsatz"/>
        <w:tabs>
          <w:tab w:val="clear" w:pos="425"/>
          <w:tab w:val="left" w:pos="2268"/>
        </w:tabs>
      </w:pPr>
      <w:r>
        <w:t>H</w:t>
      </w:r>
      <w:r>
        <w:rPr>
          <w:vertAlign w:val="subscript"/>
        </w:rPr>
        <w:t>2</w:t>
      </w:r>
      <w:r>
        <w:t>O</w:t>
      </w:r>
      <w:r>
        <w:tab/>
        <w:t>0 - 25* Vol.-%</w:t>
      </w:r>
    </w:p>
    <w:p>
      <w:pPr>
        <w:pStyle w:val="GesAbsatz"/>
      </w:pPr>
      <w:r>
        <w:t xml:space="preserve">* bei einer aktiven Messweglänge von 5,12 m </w:t>
      </w:r>
    </w:p>
    <w:p>
      <w:pPr>
        <w:pStyle w:val="GesAbsatz"/>
      </w:pPr>
      <w:r>
        <w:t>Softwareversionen:</w:t>
      </w:r>
    </w:p>
    <w:p>
      <w:pPr>
        <w:pStyle w:val="GesAbsatz"/>
        <w:tabs>
          <w:tab w:val="clear" w:pos="425"/>
          <w:tab w:val="left" w:pos="2268"/>
        </w:tabs>
      </w:pPr>
      <w:r>
        <w:t>Version SE-Einheit:</w:t>
      </w:r>
      <w:r>
        <w:tab/>
        <w:t>9062244 PH18</w:t>
      </w:r>
    </w:p>
    <w:p>
      <w:pPr>
        <w:pStyle w:val="GesAbsatz"/>
        <w:tabs>
          <w:tab w:val="clear" w:pos="425"/>
          <w:tab w:val="left" w:pos="2268"/>
        </w:tabs>
      </w:pPr>
      <w:r>
        <w:t>Auswerteinheit:</w:t>
      </w:r>
      <w:r>
        <w:tab/>
        <w:t>9062243 PA18</w:t>
      </w:r>
    </w:p>
    <w:p>
      <w:pPr>
        <w:pStyle w:val="GesAbsatz"/>
        <w:tabs>
          <w:tab w:val="clear" w:pos="425"/>
          <w:tab w:val="left" w:pos="2268"/>
        </w:tabs>
      </w:pPr>
      <w:r>
        <w:t>Spülluft:</w:t>
      </w:r>
      <w:r>
        <w:tab/>
        <w:t>9091948 P517</w:t>
      </w:r>
    </w:p>
    <w:p>
      <w:pPr>
        <w:pStyle w:val="GesAbsatz"/>
      </w:pPr>
      <w:r>
        <w:t>Einschränkung:</w:t>
      </w:r>
    </w:p>
    <w:p>
      <w:pPr>
        <w:pStyle w:val="GesAbsatz"/>
        <w:ind w:left="426" w:hanging="426"/>
      </w:pPr>
      <w:r>
        <w:t>1.</w:t>
      </w:r>
      <w:r>
        <w:tab/>
        <w:t>Zur externen Überprüfung von Null- und Referenzpunkt im Rahmen der jährlichen Funktionsprüfung we</w:t>
      </w:r>
      <w:r>
        <w:t>r</w:t>
      </w:r>
      <w:r>
        <w:t>den eine an die örtlichen Verhältnisse angepasste Nullpunktvergleichsstrecke sowie ein Filterkasten (CO) bzw. Gitterfilterkasten (CO</w:t>
      </w:r>
      <w:r>
        <w:rPr>
          <w:vertAlign w:val="subscript"/>
        </w:rPr>
        <w:t>2</w:t>
      </w:r>
      <w:r>
        <w:t xml:space="preserve"> und H</w:t>
      </w:r>
      <w:r>
        <w:rPr>
          <w:vertAlign w:val="subscript"/>
        </w:rPr>
        <w:t>2</w:t>
      </w:r>
      <w:r>
        <w:t>O) benötigt.</w:t>
      </w:r>
    </w:p>
    <w:p>
      <w:pPr>
        <w:pStyle w:val="GesAbsatz"/>
      </w:pPr>
      <w:r>
        <w:lastRenderedPageBreak/>
        <w:t>Hinweise:</w:t>
      </w:r>
    </w:p>
    <w:p>
      <w:pPr>
        <w:pStyle w:val="GesAbsatz"/>
        <w:ind w:left="426" w:hanging="426"/>
      </w:pPr>
      <w:r>
        <w:t>1.</w:t>
      </w:r>
      <w:r>
        <w:tab/>
        <w:t>Die Mindestanforderungen wurden während des Feldtestes der Messeinrichtung für CO für den Messb</w:t>
      </w:r>
      <w:r>
        <w:t>e</w:t>
      </w:r>
      <w:r>
        <w:t>reich 0 - 75 mg/m</w:t>
      </w:r>
      <w:r>
        <w:rPr>
          <w:vertAlign w:val="superscript"/>
        </w:rPr>
        <w:t>3</w:t>
      </w:r>
      <w:r>
        <w:t xml:space="preserve"> bis zu einer minimalen Messweglänge von 3 m erfüllt.</w:t>
      </w:r>
    </w:p>
    <w:p>
      <w:pPr>
        <w:pStyle w:val="GesAbsatz"/>
        <w:ind w:left="426" w:hanging="426"/>
      </w:pPr>
      <w:r>
        <w:t>2.</w:t>
      </w:r>
      <w:r>
        <w:tab/>
        <w:t>Die Mindestanforderungen wurden während des Feldtestes der Messeinrichtung für CO</w:t>
      </w:r>
      <w:r>
        <w:rPr>
          <w:vertAlign w:val="subscript"/>
        </w:rPr>
        <w:t>2</w:t>
      </w:r>
      <w:r>
        <w:t xml:space="preserve"> für den Mes</w:t>
      </w:r>
      <w:r>
        <w:t>s</w:t>
      </w:r>
      <w:r>
        <w:t>bereich 0 - 15 Vol.-% bis zu einer minimalen Messweglänge von 1,50 m erfüllt.</w:t>
      </w:r>
    </w:p>
    <w:p>
      <w:pPr>
        <w:pStyle w:val="GesAbsatz"/>
        <w:ind w:left="426" w:hanging="426"/>
      </w:pPr>
      <w:r>
        <w:t>3.</w:t>
      </w:r>
      <w:r>
        <w:tab/>
        <w:t>Die Mindestanforderungen wurden während des Feldtestes der Messeinrichtung für H</w:t>
      </w:r>
      <w:r>
        <w:rPr>
          <w:vertAlign w:val="subscript"/>
        </w:rPr>
        <w:t>2</w:t>
      </w:r>
      <w:r>
        <w:t>O für den Mes</w:t>
      </w:r>
      <w:r>
        <w:t>s</w:t>
      </w:r>
      <w:r>
        <w:t>bereich 0 - 25 Vol.-% bis zu einer minimalen Messweglänge von 1,00 m erfüllt.</w:t>
      </w:r>
    </w:p>
    <w:p>
      <w:pPr>
        <w:pStyle w:val="GesAbsatz"/>
        <w:ind w:left="426" w:hanging="426"/>
      </w:pPr>
      <w:r>
        <w:t>4.</w:t>
      </w:r>
      <w:r>
        <w:tab/>
        <w:t>Das Wartungsintervall beträgt 3 Monate.</w:t>
      </w:r>
    </w:p>
    <w:p>
      <w:pPr>
        <w:pStyle w:val="GesAbsatz"/>
        <w:ind w:left="426" w:hanging="426"/>
      </w:pPr>
      <w:r>
        <w:t>5.</w:t>
      </w:r>
      <w:r>
        <w:tab/>
        <w:t>Im Rahmen der laufenden Qualitätssicherung im Betrieb gemäß QAL 3 der Richtlinie DIN EN 14181 kann zur regelmäßigen Überprüfung von Null- und Referenzpunkt auf die Signale des internen Kontrol</w:t>
      </w:r>
      <w:r>
        <w:t>l</w:t>
      </w:r>
      <w:r>
        <w:t>zyklus z</w:t>
      </w:r>
      <w:r>
        <w:t>u</w:t>
      </w:r>
      <w:r>
        <w:t>rückgegriffen werden.</w:t>
      </w:r>
    </w:p>
    <w:p>
      <w:pPr>
        <w:pStyle w:val="GesAbsatz"/>
        <w:ind w:left="426" w:hanging="426"/>
      </w:pPr>
      <w:r>
        <w:t>6.</w:t>
      </w:r>
      <w:r>
        <w:tab/>
        <w:t>Die Überprüfung von Null- und Referenzpunkt im Wartungsintervall beschränkt sich auf die Auswertung der Ergebnisse des internen Kontrollzyklus gemäß QAL 3 der Richtlinie DIN EN 14 181. Werden hier unzulässige Überschreitungen festgestellt, dann erfolgt analog der jährlichen Funktionsprüfung eine Überprüfung der Messeinrichtung mit Hilfe einer an die örtlichen Verhältnisse angepassten Nullpunk</w:t>
      </w:r>
      <w:r>
        <w:t>t</w:t>
      </w:r>
      <w:r>
        <w:t>vergleichsstrecke sowie eines Filterkastens (CO) bzw. Gitterfilterkastens (CO</w:t>
      </w:r>
      <w:r>
        <w:rPr>
          <w:vertAlign w:val="subscript"/>
        </w:rPr>
        <w:t>2</w:t>
      </w:r>
      <w:r>
        <w:t xml:space="preserve"> und H</w:t>
      </w:r>
      <w:r>
        <w:rPr>
          <w:vertAlign w:val="subscript"/>
        </w:rPr>
        <w:t>2</w:t>
      </w:r>
      <w:r>
        <w:t>O).</w:t>
      </w:r>
    </w:p>
    <w:p>
      <w:pPr>
        <w:pStyle w:val="GesAbsatz"/>
        <w:ind w:left="426" w:hanging="426"/>
      </w:pPr>
      <w:r>
        <w:t>7.</w:t>
      </w:r>
      <w:r>
        <w:tab/>
        <w:t>Bei übersättigten Abgasen ist die Einsetzbarkeit der Messeinrichtung zu prüfen.</w:t>
      </w:r>
    </w:p>
    <w:p>
      <w:pPr>
        <w:pStyle w:val="GesAbsatz"/>
        <w:ind w:left="426" w:hanging="426"/>
      </w:pPr>
      <w:r>
        <w:t>8.</w:t>
      </w:r>
      <w:r>
        <w:tab/>
        <w:t>Ergänzungsprüfung zur Eignungsbekanntgabe (Bekanntmachung vom 25. Juli 2005, BAnz. S. 15 700).</w:t>
      </w:r>
    </w:p>
    <w:p>
      <w:pPr>
        <w:pStyle w:val="GesAbsatz"/>
        <w:ind w:left="426" w:hanging="426"/>
      </w:pPr>
      <w:r>
        <w:t>9.</w:t>
      </w:r>
      <w:r>
        <w:tab/>
        <w:t>Die Eignungsprüfung umfasst folgende Gerätevariationen (Messkomponenten):</w:t>
      </w:r>
    </w:p>
    <w:tbl>
      <w:tblPr>
        <w:tblStyle w:val="Tabellenraster"/>
        <w:tblW w:w="0" w:type="auto"/>
        <w:tblLook w:val="00BF" w:firstRow="1" w:lastRow="0" w:firstColumn="1" w:lastColumn="0" w:noHBand="0" w:noVBand="0"/>
      </w:tblPr>
      <w:tblGrid>
        <w:gridCol w:w="4566"/>
        <w:gridCol w:w="1815"/>
        <w:gridCol w:w="1678"/>
        <w:gridCol w:w="1569"/>
      </w:tblGrid>
      <w:tr>
        <w:tc>
          <w:tcPr>
            <w:tcW w:w="4644" w:type="dxa"/>
          </w:tcPr>
          <w:p>
            <w:pPr>
              <w:pStyle w:val="GesAbsatz"/>
              <w:rPr>
                <w:b/>
              </w:rPr>
            </w:pPr>
            <w:r>
              <w:rPr>
                <w:b/>
              </w:rPr>
              <w:t>Geräte-Benennung g</w:t>
            </w:r>
            <w:r>
              <w:rPr>
                <w:b/>
              </w:rPr>
              <w:t>e</w:t>
            </w:r>
            <w:r>
              <w:rPr>
                <w:b/>
              </w:rPr>
              <w:t>mäß Typenschlüssel</w:t>
            </w:r>
          </w:p>
        </w:tc>
        <w:tc>
          <w:tcPr>
            <w:tcW w:w="1843" w:type="dxa"/>
          </w:tcPr>
          <w:p>
            <w:pPr>
              <w:pStyle w:val="GesAbsatz"/>
              <w:rPr>
                <w:b/>
              </w:rPr>
            </w:pPr>
            <w:r>
              <w:rPr>
                <w:b/>
              </w:rPr>
              <w:t>CO</w:t>
            </w:r>
          </w:p>
        </w:tc>
        <w:tc>
          <w:tcPr>
            <w:tcW w:w="1701" w:type="dxa"/>
          </w:tcPr>
          <w:p>
            <w:pPr>
              <w:pStyle w:val="GesAbsatz"/>
              <w:rPr>
                <w:b/>
              </w:rPr>
            </w:pPr>
            <w:r>
              <w:rPr>
                <w:b/>
              </w:rPr>
              <w:t>CO</w:t>
            </w:r>
            <w:r>
              <w:rPr>
                <w:b/>
                <w:vertAlign w:val="subscript"/>
              </w:rPr>
              <w:t>2</w:t>
            </w:r>
          </w:p>
        </w:tc>
        <w:tc>
          <w:tcPr>
            <w:tcW w:w="1590" w:type="dxa"/>
          </w:tcPr>
          <w:p>
            <w:pPr>
              <w:pStyle w:val="GesAbsatz"/>
              <w:rPr>
                <w:b/>
              </w:rPr>
            </w:pPr>
            <w:r>
              <w:rPr>
                <w:b/>
              </w:rPr>
              <w:t>H</w:t>
            </w:r>
            <w:r>
              <w:rPr>
                <w:b/>
                <w:vertAlign w:val="subscript"/>
              </w:rPr>
              <w:t>2</w:t>
            </w:r>
            <w:r>
              <w:rPr>
                <w:b/>
              </w:rPr>
              <w:t>O</w:t>
            </w:r>
          </w:p>
        </w:tc>
      </w:tr>
      <w:tr>
        <w:tc>
          <w:tcPr>
            <w:tcW w:w="4644" w:type="dxa"/>
          </w:tcPr>
          <w:p>
            <w:pPr>
              <w:pStyle w:val="GesAbsatz"/>
            </w:pPr>
            <w:r>
              <w:t>01</w:t>
            </w:r>
          </w:p>
        </w:tc>
        <w:tc>
          <w:tcPr>
            <w:tcW w:w="1843" w:type="dxa"/>
          </w:tcPr>
          <w:p>
            <w:pPr>
              <w:pStyle w:val="GesAbsatz"/>
            </w:pPr>
            <w:r>
              <w:t>x</w:t>
            </w:r>
          </w:p>
        </w:tc>
        <w:tc>
          <w:tcPr>
            <w:tcW w:w="1701" w:type="dxa"/>
          </w:tcPr>
          <w:p>
            <w:pPr>
              <w:pStyle w:val="GesAbsatz"/>
            </w:pPr>
          </w:p>
        </w:tc>
        <w:tc>
          <w:tcPr>
            <w:tcW w:w="1590" w:type="dxa"/>
          </w:tcPr>
          <w:p>
            <w:pPr>
              <w:pStyle w:val="GesAbsatz"/>
            </w:pPr>
          </w:p>
        </w:tc>
      </w:tr>
      <w:tr>
        <w:tc>
          <w:tcPr>
            <w:tcW w:w="4644" w:type="dxa"/>
          </w:tcPr>
          <w:p>
            <w:pPr>
              <w:pStyle w:val="GesAbsatz"/>
            </w:pPr>
            <w:r>
              <w:t>02</w:t>
            </w:r>
          </w:p>
        </w:tc>
        <w:tc>
          <w:tcPr>
            <w:tcW w:w="1843" w:type="dxa"/>
          </w:tcPr>
          <w:p>
            <w:pPr>
              <w:pStyle w:val="GesAbsatz"/>
            </w:pPr>
            <w:r>
              <w:t>x</w:t>
            </w:r>
          </w:p>
        </w:tc>
        <w:tc>
          <w:tcPr>
            <w:tcW w:w="1701" w:type="dxa"/>
          </w:tcPr>
          <w:p>
            <w:pPr>
              <w:pStyle w:val="GesAbsatz"/>
            </w:pPr>
          </w:p>
        </w:tc>
        <w:tc>
          <w:tcPr>
            <w:tcW w:w="1590" w:type="dxa"/>
          </w:tcPr>
          <w:p>
            <w:pPr>
              <w:pStyle w:val="GesAbsatz"/>
            </w:pPr>
            <w:r>
              <w:t>x</w:t>
            </w:r>
          </w:p>
        </w:tc>
      </w:tr>
      <w:tr>
        <w:tc>
          <w:tcPr>
            <w:tcW w:w="4644" w:type="dxa"/>
          </w:tcPr>
          <w:p>
            <w:pPr>
              <w:pStyle w:val="GesAbsatz"/>
            </w:pPr>
            <w:r>
              <w:t>03</w:t>
            </w:r>
          </w:p>
        </w:tc>
        <w:tc>
          <w:tcPr>
            <w:tcW w:w="1843" w:type="dxa"/>
          </w:tcPr>
          <w:p>
            <w:pPr>
              <w:pStyle w:val="GesAbsatz"/>
            </w:pPr>
            <w:r>
              <w:t>x</w:t>
            </w:r>
          </w:p>
        </w:tc>
        <w:tc>
          <w:tcPr>
            <w:tcW w:w="1701" w:type="dxa"/>
          </w:tcPr>
          <w:p>
            <w:pPr>
              <w:pStyle w:val="GesAbsatz"/>
            </w:pPr>
            <w:r>
              <w:t>x</w:t>
            </w:r>
          </w:p>
        </w:tc>
        <w:tc>
          <w:tcPr>
            <w:tcW w:w="1590" w:type="dxa"/>
          </w:tcPr>
          <w:p>
            <w:pPr>
              <w:pStyle w:val="GesAbsatz"/>
            </w:pPr>
            <w:r>
              <w:t>x</w:t>
            </w:r>
          </w:p>
        </w:tc>
      </w:tr>
      <w:tr>
        <w:tc>
          <w:tcPr>
            <w:tcW w:w="4644" w:type="dxa"/>
          </w:tcPr>
          <w:p>
            <w:pPr>
              <w:pStyle w:val="GesAbsatz"/>
            </w:pPr>
            <w:r>
              <w:t>04</w:t>
            </w:r>
          </w:p>
        </w:tc>
        <w:tc>
          <w:tcPr>
            <w:tcW w:w="1843" w:type="dxa"/>
          </w:tcPr>
          <w:p>
            <w:pPr>
              <w:pStyle w:val="GesAbsatz"/>
            </w:pPr>
            <w:r>
              <w:t>x</w:t>
            </w:r>
          </w:p>
        </w:tc>
        <w:tc>
          <w:tcPr>
            <w:tcW w:w="1701" w:type="dxa"/>
          </w:tcPr>
          <w:p>
            <w:pPr>
              <w:pStyle w:val="GesAbsatz"/>
            </w:pPr>
            <w:r>
              <w:t>x</w:t>
            </w:r>
          </w:p>
        </w:tc>
        <w:tc>
          <w:tcPr>
            <w:tcW w:w="1590" w:type="dxa"/>
          </w:tcPr>
          <w:p>
            <w:pPr>
              <w:pStyle w:val="GesAbsatz"/>
            </w:pPr>
          </w:p>
        </w:tc>
      </w:tr>
      <w:tr>
        <w:tc>
          <w:tcPr>
            <w:tcW w:w="4644" w:type="dxa"/>
          </w:tcPr>
          <w:p>
            <w:pPr>
              <w:pStyle w:val="GesAbsatz"/>
            </w:pPr>
            <w:r>
              <w:t>05</w:t>
            </w:r>
          </w:p>
        </w:tc>
        <w:tc>
          <w:tcPr>
            <w:tcW w:w="1843" w:type="dxa"/>
          </w:tcPr>
          <w:p>
            <w:pPr>
              <w:pStyle w:val="GesAbsatz"/>
            </w:pPr>
          </w:p>
        </w:tc>
        <w:tc>
          <w:tcPr>
            <w:tcW w:w="1701" w:type="dxa"/>
          </w:tcPr>
          <w:p>
            <w:pPr>
              <w:pStyle w:val="GesAbsatz"/>
            </w:pPr>
            <w:r>
              <w:t>x</w:t>
            </w:r>
          </w:p>
        </w:tc>
        <w:tc>
          <w:tcPr>
            <w:tcW w:w="1590" w:type="dxa"/>
          </w:tcPr>
          <w:p>
            <w:pPr>
              <w:pStyle w:val="GesAbsatz"/>
            </w:pPr>
            <w:r>
              <w:t>x</w:t>
            </w:r>
          </w:p>
        </w:tc>
      </w:tr>
      <w:tr>
        <w:tc>
          <w:tcPr>
            <w:tcW w:w="4644" w:type="dxa"/>
          </w:tcPr>
          <w:p>
            <w:pPr>
              <w:pStyle w:val="GesAbsatz"/>
            </w:pPr>
            <w:r>
              <w:t>06</w:t>
            </w:r>
          </w:p>
        </w:tc>
        <w:tc>
          <w:tcPr>
            <w:tcW w:w="1843" w:type="dxa"/>
          </w:tcPr>
          <w:p>
            <w:pPr>
              <w:pStyle w:val="GesAbsatz"/>
            </w:pPr>
          </w:p>
        </w:tc>
        <w:tc>
          <w:tcPr>
            <w:tcW w:w="1701" w:type="dxa"/>
          </w:tcPr>
          <w:p>
            <w:pPr>
              <w:pStyle w:val="GesAbsatz"/>
            </w:pPr>
          </w:p>
        </w:tc>
        <w:tc>
          <w:tcPr>
            <w:tcW w:w="1590" w:type="dxa"/>
          </w:tcPr>
          <w:p>
            <w:pPr>
              <w:pStyle w:val="GesAbsatz"/>
            </w:pPr>
            <w:r>
              <w:t>x</w:t>
            </w:r>
          </w:p>
        </w:tc>
      </w:tr>
      <w:tr>
        <w:tc>
          <w:tcPr>
            <w:tcW w:w="4644" w:type="dxa"/>
          </w:tcPr>
          <w:p>
            <w:pPr>
              <w:pStyle w:val="GesAbsatz"/>
            </w:pPr>
            <w:r>
              <w:t>07</w:t>
            </w:r>
          </w:p>
        </w:tc>
        <w:tc>
          <w:tcPr>
            <w:tcW w:w="1843" w:type="dxa"/>
          </w:tcPr>
          <w:p>
            <w:pPr>
              <w:pStyle w:val="GesAbsatz"/>
            </w:pPr>
          </w:p>
        </w:tc>
        <w:tc>
          <w:tcPr>
            <w:tcW w:w="1701" w:type="dxa"/>
          </w:tcPr>
          <w:p>
            <w:pPr>
              <w:pStyle w:val="GesAbsatz"/>
            </w:pPr>
            <w:r>
              <w:t>x</w:t>
            </w:r>
          </w:p>
        </w:tc>
        <w:tc>
          <w:tcPr>
            <w:tcW w:w="1590" w:type="dxa"/>
          </w:tcPr>
          <w:p>
            <w:pPr>
              <w:pStyle w:val="GesAbsatz"/>
            </w:pPr>
          </w:p>
        </w:tc>
      </w:tr>
    </w:tbl>
    <w:p>
      <w:pPr>
        <w:pStyle w:val="GesAbsatz"/>
        <w:ind w:left="426" w:hanging="426"/>
      </w:pPr>
      <w:r>
        <w:t>Prüfbericht:</w:t>
      </w:r>
    </w:p>
    <w:p>
      <w:pPr>
        <w:pStyle w:val="GesAbsatz"/>
        <w:ind w:left="426" w:hanging="426"/>
      </w:pPr>
      <w:r>
        <w:t>TÜV Rheinland Immissionsschutz und Energiesysteme GmbH, Köln, TÜV Rheinland Group</w:t>
      </w:r>
    </w:p>
    <w:p>
      <w:pPr>
        <w:pStyle w:val="GesAbsatz"/>
        <w:ind w:left="426" w:hanging="426"/>
      </w:pPr>
      <w:r>
        <w:t>Bericht-Nr. 936/21204254/A vom 1. Juni 2006</w:t>
      </w:r>
    </w:p>
    <w:p>
      <w:pPr>
        <w:pStyle w:val="GesAbsatz"/>
        <w:ind w:left="426" w:hanging="426"/>
      </w:pPr>
    </w:p>
    <w:p>
      <w:pPr>
        <w:pStyle w:val="GesAbsatz"/>
        <w:ind w:left="426" w:hanging="426"/>
      </w:pPr>
      <w:r>
        <w:t xml:space="preserve">2.4 GM 35 In-situ-Gasanalysator, Version Messlanze GMP </w:t>
      </w:r>
    </w:p>
    <w:p>
      <w:pPr>
        <w:pStyle w:val="GesAbsatz"/>
        <w:ind w:left="426" w:hanging="426"/>
      </w:pPr>
      <w:r>
        <w:t>Hersteller:</w:t>
      </w:r>
    </w:p>
    <w:p>
      <w:pPr>
        <w:pStyle w:val="GesAbsatz"/>
        <w:ind w:left="426" w:hanging="426"/>
      </w:pPr>
      <w:r>
        <w:t>SICK MAIHAK GmbH</w:t>
      </w:r>
    </w:p>
    <w:p>
      <w:pPr>
        <w:pStyle w:val="GesAbsatz"/>
        <w:ind w:left="426" w:hanging="426"/>
      </w:pPr>
      <w:r>
        <w:t>Eignung:</w:t>
      </w:r>
    </w:p>
    <w:p>
      <w:pPr>
        <w:pStyle w:val="GesAbsatz"/>
        <w:ind w:left="426" w:hanging="426"/>
      </w:pPr>
      <w:r>
        <w:t>Für genehmigungsbedürftige Anlagen und Anlagen der 27. BImSchV</w:t>
      </w:r>
    </w:p>
    <w:p>
      <w:pPr>
        <w:pStyle w:val="GesAbsatz"/>
        <w:ind w:left="426" w:hanging="426"/>
      </w:pPr>
      <w:r>
        <w:t>Messbereiche bei der Eignungsprüfung:</w:t>
      </w:r>
    </w:p>
    <w:p>
      <w:pPr>
        <w:pStyle w:val="GesAbsatz"/>
        <w:tabs>
          <w:tab w:val="clear" w:pos="425"/>
          <w:tab w:val="left" w:pos="2268"/>
        </w:tabs>
      </w:pPr>
      <w:r>
        <w:t>CO</w:t>
      </w:r>
      <w:r>
        <w:tab/>
        <w:t>0 - 225* mg/m</w:t>
      </w:r>
      <w:r>
        <w:rPr>
          <w:vertAlign w:val="superscript"/>
        </w:rPr>
        <w:t>3</w:t>
      </w:r>
    </w:p>
    <w:p>
      <w:pPr>
        <w:pStyle w:val="GesAbsatz"/>
        <w:tabs>
          <w:tab w:val="clear" w:pos="425"/>
          <w:tab w:val="left" w:pos="2268"/>
        </w:tabs>
      </w:pPr>
      <w:r>
        <w:t>CO</w:t>
      </w:r>
      <w:r>
        <w:tab/>
        <w:t>0 - 10 240* mg/m</w:t>
      </w:r>
      <w:r>
        <w:rPr>
          <w:vertAlign w:val="superscript"/>
        </w:rPr>
        <w:t>3</w:t>
      </w:r>
    </w:p>
    <w:p>
      <w:pPr>
        <w:pStyle w:val="GesAbsatz"/>
        <w:tabs>
          <w:tab w:val="clear" w:pos="425"/>
          <w:tab w:val="left" w:pos="2268"/>
        </w:tabs>
      </w:pPr>
      <w:r>
        <w:t>CO</w:t>
      </w:r>
      <w:r>
        <w:rPr>
          <w:vertAlign w:val="subscript"/>
        </w:rPr>
        <w:t>2</w:t>
      </w:r>
      <w:r>
        <w:tab/>
        <w:t>0 - 22,5* Vol.-%</w:t>
      </w:r>
    </w:p>
    <w:p>
      <w:pPr>
        <w:pStyle w:val="GesAbsatz"/>
        <w:tabs>
          <w:tab w:val="clear" w:pos="425"/>
          <w:tab w:val="left" w:pos="2268"/>
        </w:tabs>
      </w:pPr>
      <w:r>
        <w:t>H</w:t>
      </w:r>
      <w:r>
        <w:rPr>
          <w:vertAlign w:val="subscript"/>
        </w:rPr>
        <w:t>2</w:t>
      </w:r>
      <w:r>
        <w:t>O</w:t>
      </w:r>
      <w:r>
        <w:tab/>
        <w:t>0 - 25* Vol.-%</w:t>
      </w:r>
    </w:p>
    <w:p>
      <w:pPr>
        <w:pStyle w:val="GesAbsatz"/>
        <w:ind w:left="426" w:hanging="426"/>
      </w:pPr>
      <w:r>
        <w:t xml:space="preserve">* rechnerisch bei einer aktiven Messweglänge von 1,00 m </w:t>
      </w:r>
    </w:p>
    <w:p>
      <w:pPr>
        <w:pStyle w:val="GesAbsatz"/>
        <w:ind w:left="426" w:hanging="426"/>
      </w:pPr>
      <w:r>
        <w:t>Softwareversionen:</w:t>
      </w:r>
    </w:p>
    <w:p>
      <w:pPr>
        <w:pStyle w:val="GesAbsatz"/>
        <w:tabs>
          <w:tab w:val="clear" w:pos="425"/>
          <w:tab w:val="left" w:pos="2268"/>
        </w:tabs>
      </w:pPr>
      <w:r>
        <w:t>Version SE-Einheit:</w:t>
      </w:r>
      <w:r>
        <w:tab/>
        <w:t>9062244 PH18</w:t>
      </w:r>
    </w:p>
    <w:p>
      <w:pPr>
        <w:pStyle w:val="GesAbsatz"/>
        <w:tabs>
          <w:tab w:val="clear" w:pos="425"/>
          <w:tab w:val="left" w:pos="2268"/>
        </w:tabs>
      </w:pPr>
      <w:r>
        <w:lastRenderedPageBreak/>
        <w:t>Auswerteinheit:</w:t>
      </w:r>
      <w:r>
        <w:tab/>
        <w:t>9062243 PA18</w:t>
      </w:r>
    </w:p>
    <w:p>
      <w:pPr>
        <w:pStyle w:val="GesAbsatz"/>
        <w:tabs>
          <w:tab w:val="clear" w:pos="425"/>
          <w:tab w:val="left" w:pos="2268"/>
        </w:tabs>
      </w:pPr>
      <w:r>
        <w:t>Spülluft:</w:t>
      </w:r>
      <w:r>
        <w:tab/>
        <w:t>9091948 P517</w:t>
      </w:r>
    </w:p>
    <w:p>
      <w:pPr>
        <w:pStyle w:val="GesAbsatz"/>
        <w:ind w:left="426" w:hanging="426"/>
      </w:pPr>
      <w:r>
        <w:t>Einschränkung:</w:t>
      </w:r>
    </w:p>
    <w:p>
      <w:pPr>
        <w:pStyle w:val="GesAbsatz"/>
        <w:ind w:left="426" w:hanging="426"/>
      </w:pPr>
      <w:r>
        <w:t>1.</w:t>
      </w:r>
      <w:r>
        <w:tab/>
        <w:t>Zur externen Überprüfung im Rahmen der jährlichen Funktionsprüfung von Null- und Referenzpunkt werden eine messgas- und staubfreie Umgebungsatmosphäre sowie ein Filterkasten (CO) bzw. Gitterfi</w:t>
      </w:r>
      <w:r>
        <w:t>l</w:t>
      </w:r>
      <w:r>
        <w:t>terkasten (CO</w:t>
      </w:r>
      <w:r>
        <w:rPr>
          <w:vertAlign w:val="subscript"/>
        </w:rPr>
        <w:t>2</w:t>
      </w:r>
      <w:r>
        <w:t xml:space="preserve"> und H</w:t>
      </w:r>
      <w:r>
        <w:rPr>
          <w:vertAlign w:val="subscript"/>
        </w:rPr>
        <w:t>2</w:t>
      </w:r>
      <w:r>
        <w:t>O) benötigt.</w:t>
      </w:r>
    </w:p>
    <w:p>
      <w:pPr>
        <w:pStyle w:val="GesAbsatz"/>
        <w:ind w:left="426" w:hanging="426"/>
      </w:pPr>
      <w:r>
        <w:t>Hinweise:</w:t>
      </w:r>
    </w:p>
    <w:p>
      <w:pPr>
        <w:pStyle w:val="GesAbsatz"/>
        <w:ind w:left="426" w:hanging="426"/>
      </w:pPr>
      <w:r>
        <w:t>1.</w:t>
      </w:r>
      <w:r>
        <w:tab/>
        <w:t>Die verfügbaren aktiven Messstrecken für die Version Messlanze GMP liegen standardmäßig bei 250/500/750/1000 und 1250 mm. Lanzen mit davon abweichenden aktiven Messstrecken können auf Anfrage gefertigt werden. Die entsprechenden minimal möglichen Messbereiche können mit Hilfe des Konzentrations-Messstreckenproduktes gemäß Kapitel 3.1 dieses Berichtes errechnet werden.</w:t>
      </w:r>
    </w:p>
    <w:p>
      <w:pPr>
        <w:pStyle w:val="GesAbsatz"/>
        <w:ind w:left="426" w:hanging="426"/>
      </w:pPr>
      <w:r>
        <w:t>2.</w:t>
      </w:r>
      <w:r>
        <w:tab/>
        <w:t>Im Rahmen der laufenden Qualitätssicherung im Betrieb gemäß QAL 3 der Richtlinie DIN EN 14 181 kann zur regelmäßigen Überprüfung von Null- und Referenzpunkt auf die Signale des internen Kontrol</w:t>
      </w:r>
      <w:r>
        <w:t>l</w:t>
      </w:r>
      <w:r>
        <w:t>zyklus zurückgegriffen werden.</w:t>
      </w:r>
    </w:p>
    <w:p>
      <w:pPr>
        <w:pStyle w:val="GesAbsatz"/>
        <w:ind w:left="426" w:hanging="426"/>
      </w:pPr>
      <w:r>
        <w:t>3.</w:t>
      </w:r>
      <w:r>
        <w:tab/>
        <w:t>Das Wartungsintervall beträgt 3 Monate.</w:t>
      </w:r>
    </w:p>
    <w:p>
      <w:pPr>
        <w:pStyle w:val="GesAbsatz"/>
        <w:ind w:left="426" w:hanging="426"/>
      </w:pPr>
      <w:r>
        <w:t>4.</w:t>
      </w:r>
      <w:r>
        <w:tab/>
        <w:t>Die Überprüfung von Null- und Referenzpunkt im Wartungsintervall beschränkt sich auf die Auswertung der Ergebnisse des internen Kontrollzyklus gemäß QAL 3 der Richtlinie DIN EN 14 181. Werden hier unzulässige Überschreitungen festgestellt, dann erfolgt analog der jährlichen Funktionsprüfung eine Überprüfung der Messeinrichtung mit Hilfe einer an die örtlichen Verhältnisse angepassten Nullpunk</w:t>
      </w:r>
      <w:r>
        <w:t>t</w:t>
      </w:r>
      <w:r>
        <w:t>vergleichsstrecke sowie eines Filterkastens (CO) bzw. Gitterfilterkastens (CO</w:t>
      </w:r>
      <w:r>
        <w:rPr>
          <w:vertAlign w:val="subscript"/>
        </w:rPr>
        <w:t>2</w:t>
      </w:r>
      <w:r>
        <w:t xml:space="preserve"> und H</w:t>
      </w:r>
      <w:r>
        <w:rPr>
          <w:vertAlign w:val="subscript"/>
        </w:rPr>
        <w:t>2</w:t>
      </w:r>
      <w:r>
        <w:t>O).</w:t>
      </w:r>
    </w:p>
    <w:p>
      <w:pPr>
        <w:pStyle w:val="GesAbsatz"/>
        <w:ind w:left="426" w:hanging="426"/>
      </w:pPr>
      <w:r>
        <w:t>5.</w:t>
      </w:r>
      <w:r>
        <w:tab/>
        <w:t>Bei übersättigten Abgasen ist die Einsetzbarkeit der Messeinrichtung zu prüfen.</w:t>
      </w:r>
    </w:p>
    <w:p>
      <w:pPr>
        <w:pStyle w:val="GesAbsatz"/>
        <w:ind w:left="426" w:hanging="426"/>
      </w:pPr>
      <w:r>
        <w:t>6.</w:t>
      </w:r>
      <w:r>
        <w:tab/>
        <w:t>Ergänzungsprüfung zur Eignungsbekanntgabe (Bekanntmachung vom 25. Juli 2005, BAnz. S. 15 700).</w:t>
      </w:r>
    </w:p>
    <w:p>
      <w:pPr>
        <w:pStyle w:val="GesAbsatz"/>
        <w:ind w:left="426" w:hanging="426"/>
      </w:pPr>
      <w:r>
        <w:t>7.</w:t>
      </w:r>
      <w:r>
        <w:tab/>
        <w:t>Die Eignungsprüfung umfasst folgende Gerätevariationen (Messkomponenten) :</w:t>
      </w:r>
    </w:p>
    <w:tbl>
      <w:tblPr>
        <w:tblStyle w:val="Tabellenraster"/>
        <w:tblW w:w="0" w:type="auto"/>
        <w:tblLook w:val="00BF" w:firstRow="1" w:lastRow="0" w:firstColumn="1" w:lastColumn="0" w:noHBand="0" w:noVBand="0"/>
      </w:tblPr>
      <w:tblGrid>
        <w:gridCol w:w="4566"/>
        <w:gridCol w:w="1815"/>
        <w:gridCol w:w="1678"/>
        <w:gridCol w:w="1569"/>
      </w:tblGrid>
      <w:tr>
        <w:tc>
          <w:tcPr>
            <w:tcW w:w="4644" w:type="dxa"/>
          </w:tcPr>
          <w:p>
            <w:pPr>
              <w:pStyle w:val="GesAbsatz"/>
              <w:rPr>
                <w:b/>
              </w:rPr>
            </w:pPr>
            <w:r>
              <w:rPr>
                <w:b/>
              </w:rPr>
              <w:t>Geräte-Benennung g</w:t>
            </w:r>
            <w:r>
              <w:rPr>
                <w:b/>
              </w:rPr>
              <w:t>e</w:t>
            </w:r>
            <w:r>
              <w:rPr>
                <w:b/>
              </w:rPr>
              <w:t>mäß Typenschlüssel</w:t>
            </w:r>
          </w:p>
        </w:tc>
        <w:tc>
          <w:tcPr>
            <w:tcW w:w="1843" w:type="dxa"/>
          </w:tcPr>
          <w:p>
            <w:pPr>
              <w:pStyle w:val="GesAbsatz"/>
              <w:rPr>
                <w:b/>
              </w:rPr>
            </w:pPr>
            <w:r>
              <w:rPr>
                <w:b/>
              </w:rPr>
              <w:t>CO</w:t>
            </w:r>
          </w:p>
        </w:tc>
        <w:tc>
          <w:tcPr>
            <w:tcW w:w="1701" w:type="dxa"/>
          </w:tcPr>
          <w:p>
            <w:pPr>
              <w:pStyle w:val="GesAbsatz"/>
              <w:rPr>
                <w:b/>
              </w:rPr>
            </w:pPr>
            <w:r>
              <w:rPr>
                <w:b/>
              </w:rPr>
              <w:t>CO</w:t>
            </w:r>
            <w:r>
              <w:rPr>
                <w:b/>
                <w:vertAlign w:val="subscript"/>
              </w:rPr>
              <w:t>2</w:t>
            </w:r>
          </w:p>
        </w:tc>
        <w:tc>
          <w:tcPr>
            <w:tcW w:w="1590" w:type="dxa"/>
          </w:tcPr>
          <w:p>
            <w:pPr>
              <w:pStyle w:val="GesAbsatz"/>
              <w:rPr>
                <w:b/>
              </w:rPr>
            </w:pPr>
            <w:r>
              <w:rPr>
                <w:b/>
              </w:rPr>
              <w:t>H</w:t>
            </w:r>
            <w:r>
              <w:rPr>
                <w:b/>
                <w:vertAlign w:val="subscript"/>
              </w:rPr>
              <w:t>2</w:t>
            </w:r>
            <w:r>
              <w:rPr>
                <w:b/>
              </w:rPr>
              <w:t>O</w:t>
            </w:r>
          </w:p>
        </w:tc>
      </w:tr>
      <w:tr>
        <w:tc>
          <w:tcPr>
            <w:tcW w:w="4644" w:type="dxa"/>
          </w:tcPr>
          <w:p>
            <w:pPr>
              <w:pStyle w:val="GesAbsatz"/>
            </w:pPr>
            <w:r>
              <w:t>01</w:t>
            </w:r>
          </w:p>
        </w:tc>
        <w:tc>
          <w:tcPr>
            <w:tcW w:w="1843" w:type="dxa"/>
          </w:tcPr>
          <w:p>
            <w:pPr>
              <w:pStyle w:val="GesAbsatz"/>
            </w:pPr>
            <w:r>
              <w:t>x</w:t>
            </w:r>
          </w:p>
        </w:tc>
        <w:tc>
          <w:tcPr>
            <w:tcW w:w="1701" w:type="dxa"/>
          </w:tcPr>
          <w:p>
            <w:pPr>
              <w:pStyle w:val="GesAbsatz"/>
            </w:pPr>
          </w:p>
        </w:tc>
        <w:tc>
          <w:tcPr>
            <w:tcW w:w="1590" w:type="dxa"/>
          </w:tcPr>
          <w:p>
            <w:pPr>
              <w:pStyle w:val="GesAbsatz"/>
            </w:pPr>
          </w:p>
        </w:tc>
      </w:tr>
      <w:tr>
        <w:tc>
          <w:tcPr>
            <w:tcW w:w="4644" w:type="dxa"/>
          </w:tcPr>
          <w:p>
            <w:pPr>
              <w:pStyle w:val="GesAbsatz"/>
            </w:pPr>
            <w:r>
              <w:t>02</w:t>
            </w:r>
          </w:p>
        </w:tc>
        <w:tc>
          <w:tcPr>
            <w:tcW w:w="1843" w:type="dxa"/>
          </w:tcPr>
          <w:p>
            <w:pPr>
              <w:pStyle w:val="GesAbsatz"/>
            </w:pPr>
            <w:r>
              <w:t>x</w:t>
            </w:r>
          </w:p>
        </w:tc>
        <w:tc>
          <w:tcPr>
            <w:tcW w:w="1701" w:type="dxa"/>
          </w:tcPr>
          <w:p>
            <w:pPr>
              <w:pStyle w:val="GesAbsatz"/>
            </w:pPr>
          </w:p>
        </w:tc>
        <w:tc>
          <w:tcPr>
            <w:tcW w:w="1590" w:type="dxa"/>
          </w:tcPr>
          <w:p>
            <w:pPr>
              <w:pStyle w:val="GesAbsatz"/>
            </w:pPr>
            <w:r>
              <w:t>x</w:t>
            </w:r>
          </w:p>
        </w:tc>
      </w:tr>
      <w:tr>
        <w:tc>
          <w:tcPr>
            <w:tcW w:w="4644" w:type="dxa"/>
          </w:tcPr>
          <w:p>
            <w:pPr>
              <w:pStyle w:val="GesAbsatz"/>
            </w:pPr>
            <w:r>
              <w:t>03</w:t>
            </w:r>
          </w:p>
        </w:tc>
        <w:tc>
          <w:tcPr>
            <w:tcW w:w="1843" w:type="dxa"/>
          </w:tcPr>
          <w:p>
            <w:pPr>
              <w:pStyle w:val="GesAbsatz"/>
            </w:pPr>
            <w:r>
              <w:t>x</w:t>
            </w:r>
          </w:p>
        </w:tc>
        <w:tc>
          <w:tcPr>
            <w:tcW w:w="1701" w:type="dxa"/>
          </w:tcPr>
          <w:p>
            <w:pPr>
              <w:pStyle w:val="GesAbsatz"/>
            </w:pPr>
            <w:r>
              <w:t>x</w:t>
            </w:r>
          </w:p>
        </w:tc>
        <w:tc>
          <w:tcPr>
            <w:tcW w:w="1590" w:type="dxa"/>
          </w:tcPr>
          <w:p>
            <w:pPr>
              <w:pStyle w:val="GesAbsatz"/>
            </w:pPr>
            <w:r>
              <w:t>x</w:t>
            </w:r>
          </w:p>
        </w:tc>
      </w:tr>
      <w:tr>
        <w:tc>
          <w:tcPr>
            <w:tcW w:w="4644" w:type="dxa"/>
          </w:tcPr>
          <w:p>
            <w:pPr>
              <w:pStyle w:val="GesAbsatz"/>
            </w:pPr>
            <w:r>
              <w:t>04</w:t>
            </w:r>
          </w:p>
        </w:tc>
        <w:tc>
          <w:tcPr>
            <w:tcW w:w="1843" w:type="dxa"/>
          </w:tcPr>
          <w:p>
            <w:pPr>
              <w:pStyle w:val="GesAbsatz"/>
            </w:pPr>
            <w:r>
              <w:t>x</w:t>
            </w:r>
          </w:p>
        </w:tc>
        <w:tc>
          <w:tcPr>
            <w:tcW w:w="1701" w:type="dxa"/>
          </w:tcPr>
          <w:p>
            <w:pPr>
              <w:pStyle w:val="GesAbsatz"/>
            </w:pPr>
            <w:r>
              <w:t>x</w:t>
            </w:r>
          </w:p>
        </w:tc>
        <w:tc>
          <w:tcPr>
            <w:tcW w:w="1590" w:type="dxa"/>
          </w:tcPr>
          <w:p>
            <w:pPr>
              <w:pStyle w:val="GesAbsatz"/>
            </w:pPr>
          </w:p>
        </w:tc>
      </w:tr>
      <w:tr>
        <w:tc>
          <w:tcPr>
            <w:tcW w:w="4644" w:type="dxa"/>
          </w:tcPr>
          <w:p>
            <w:pPr>
              <w:pStyle w:val="GesAbsatz"/>
            </w:pPr>
            <w:r>
              <w:t>05</w:t>
            </w:r>
          </w:p>
        </w:tc>
        <w:tc>
          <w:tcPr>
            <w:tcW w:w="1843" w:type="dxa"/>
          </w:tcPr>
          <w:p>
            <w:pPr>
              <w:pStyle w:val="GesAbsatz"/>
            </w:pPr>
          </w:p>
        </w:tc>
        <w:tc>
          <w:tcPr>
            <w:tcW w:w="1701" w:type="dxa"/>
          </w:tcPr>
          <w:p>
            <w:pPr>
              <w:pStyle w:val="GesAbsatz"/>
            </w:pPr>
            <w:r>
              <w:t>x</w:t>
            </w:r>
          </w:p>
        </w:tc>
        <w:tc>
          <w:tcPr>
            <w:tcW w:w="1590" w:type="dxa"/>
          </w:tcPr>
          <w:p>
            <w:pPr>
              <w:pStyle w:val="GesAbsatz"/>
            </w:pPr>
            <w:r>
              <w:t>x</w:t>
            </w:r>
          </w:p>
        </w:tc>
      </w:tr>
      <w:tr>
        <w:tc>
          <w:tcPr>
            <w:tcW w:w="4644" w:type="dxa"/>
          </w:tcPr>
          <w:p>
            <w:pPr>
              <w:pStyle w:val="GesAbsatz"/>
            </w:pPr>
            <w:r>
              <w:t>06</w:t>
            </w:r>
          </w:p>
        </w:tc>
        <w:tc>
          <w:tcPr>
            <w:tcW w:w="1843" w:type="dxa"/>
          </w:tcPr>
          <w:p>
            <w:pPr>
              <w:pStyle w:val="GesAbsatz"/>
            </w:pPr>
          </w:p>
        </w:tc>
        <w:tc>
          <w:tcPr>
            <w:tcW w:w="1701" w:type="dxa"/>
          </w:tcPr>
          <w:p>
            <w:pPr>
              <w:pStyle w:val="GesAbsatz"/>
            </w:pPr>
          </w:p>
        </w:tc>
        <w:tc>
          <w:tcPr>
            <w:tcW w:w="1590" w:type="dxa"/>
          </w:tcPr>
          <w:p>
            <w:pPr>
              <w:pStyle w:val="GesAbsatz"/>
            </w:pPr>
            <w:r>
              <w:t>x</w:t>
            </w:r>
          </w:p>
        </w:tc>
      </w:tr>
      <w:tr>
        <w:tc>
          <w:tcPr>
            <w:tcW w:w="4644" w:type="dxa"/>
          </w:tcPr>
          <w:p>
            <w:pPr>
              <w:pStyle w:val="GesAbsatz"/>
            </w:pPr>
            <w:r>
              <w:t>07</w:t>
            </w:r>
          </w:p>
        </w:tc>
        <w:tc>
          <w:tcPr>
            <w:tcW w:w="1843" w:type="dxa"/>
          </w:tcPr>
          <w:p>
            <w:pPr>
              <w:pStyle w:val="GesAbsatz"/>
            </w:pPr>
          </w:p>
        </w:tc>
        <w:tc>
          <w:tcPr>
            <w:tcW w:w="1701" w:type="dxa"/>
          </w:tcPr>
          <w:p>
            <w:pPr>
              <w:pStyle w:val="GesAbsatz"/>
            </w:pPr>
            <w:r>
              <w:t>x</w:t>
            </w:r>
          </w:p>
        </w:tc>
        <w:tc>
          <w:tcPr>
            <w:tcW w:w="1590" w:type="dxa"/>
          </w:tcPr>
          <w:p>
            <w:pPr>
              <w:pStyle w:val="GesAbsatz"/>
            </w:pPr>
          </w:p>
        </w:tc>
      </w:tr>
    </w:tbl>
    <w:p>
      <w:pPr>
        <w:pStyle w:val="GesAbsatz"/>
        <w:ind w:left="426" w:hanging="426"/>
      </w:pPr>
      <w:r>
        <w:t>Prüfbericht:</w:t>
      </w:r>
    </w:p>
    <w:p>
      <w:pPr>
        <w:pStyle w:val="GesAbsatz"/>
        <w:ind w:left="426" w:hanging="426"/>
      </w:pPr>
      <w:r>
        <w:t>TÜV Rheinland Immissionsschutz und Energiesysteme GmbH, Köln, TÜV Rheinland Group</w:t>
      </w:r>
    </w:p>
    <w:p>
      <w:pPr>
        <w:pStyle w:val="GesAbsatz"/>
        <w:ind w:left="426" w:hanging="426"/>
      </w:pPr>
      <w:r>
        <w:t>Bericht-Nr. 936/21204254/A vom 1. Juni 2006</w:t>
      </w:r>
    </w:p>
    <w:p>
      <w:pPr>
        <w:pStyle w:val="GesAbsatz"/>
        <w:ind w:left="426" w:hanging="426"/>
      </w:pPr>
    </w:p>
    <w:p>
      <w:pPr>
        <w:pStyle w:val="GesAbsatz"/>
        <w:ind w:left="426" w:hanging="426"/>
      </w:pPr>
      <w:r>
        <w:t>2.5 GASMET CEMS für CO, NO, NO</w:t>
      </w:r>
      <w:r>
        <w:rPr>
          <w:vertAlign w:val="subscript"/>
        </w:rPr>
        <w:t>2</w:t>
      </w:r>
      <w:r>
        <w:t>, N</w:t>
      </w:r>
      <w:r>
        <w:rPr>
          <w:vertAlign w:val="subscript"/>
        </w:rPr>
        <w:t>2</w:t>
      </w:r>
      <w:r>
        <w:t>O, SO</w:t>
      </w:r>
      <w:r>
        <w:rPr>
          <w:vertAlign w:val="subscript"/>
        </w:rPr>
        <w:t>2</w:t>
      </w:r>
      <w:r>
        <w:t>, HCl, NH</w:t>
      </w:r>
      <w:r>
        <w:rPr>
          <w:vertAlign w:val="subscript"/>
        </w:rPr>
        <w:t>3</w:t>
      </w:r>
      <w:r>
        <w:t>, CO</w:t>
      </w:r>
      <w:r>
        <w:rPr>
          <w:vertAlign w:val="subscript"/>
        </w:rPr>
        <w:t>2</w:t>
      </w:r>
      <w:r>
        <w:t xml:space="preserve"> und H</w:t>
      </w:r>
      <w:r>
        <w:rPr>
          <w:vertAlign w:val="subscript"/>
        </w:rPr>
        <w:t>2</w:t>
      </w:r>
      <w:r>
        <w:t>O</w:t>
      </w:r>
    </w:p>
    <w:p>
      <w:pPr>
        <w:pStyle w:val="GesAbsatz"/>
        <w:ind w:left="426" w:hanging="426"/>
      </w:pPr>
      <w:r>
        <w:t>Hersteller:</w:t>
      </w:r>
    </w:p>
    <w:p>
      <w:pPr>
        <w:pStyle w:val="GesAbsatz"/>
        <w:ind w:left="426" w:hanging="426"/>
      </w:pPr>
      <w:r>
        <w:t xml:space="preserve">Gasmet Technologies Oy, Helsinki, Finnland </w:t>
      </w:r>
    </w:p>
    <w:p>
      <w:pPr>
        <w:pStyle w:val="GesAbsatz"/>
        <w:ind w:left="426" w:hanging="426"/>
      </w:pPr>
      <w:r>
        <w:t>Eignung:</w:t>
      </w:r>
    </w:p>
    <w:p>
      <w:pPr>
        <w:pStyle w:val="GesAbsatz"/>
        <w:ind w:left="426" w:hanging="426"/>
      </w:pPr>
      <w:r>
        <w:t>Für genehmigungsbedürftige Anlagen und Anlagen der 27. BImSchV.</w:t>
      </w:r>
    </w:p>
    <w:p>
      <w:pPr>
        <w:pStyle w:val="GesAbsatz"/>
        <w:ind w:left="426" w:hanging="426"/>
      </w:pPr>
      <w:r>
        <w:t>Messbereiche bei der Eignungsprüfung:</w:t>
      </w:r>
    </w:p>
    <w:p>
      <w:pPr>
        <w:pStyle w:val="GesAbsatz"/>
        <w:tabs>
          <w:tab w:val="clear" w:pos="425"/>
          <w:tab w:val="left" w:pos="2268"/>
        </w:tabs>
      </w:pPr>
      <w:r>
        <w:t>CO</w:t>
      </w:r>
      <w:r>
        <w:tab/>
        <w:t>0 bis 75 mg/m</w:t>
      </w:r>
      <w:r>
        <w:rPr>
          <w:vertAlign w:val="superscript"/>
        </w:rPr>
        <w:t>3</w:t>
      </w:r>
    </w:p>
    <w:p>
      <w:pPr>
        <w:pStyle w:val="GesAbsatz"/>
        <w:tabs>
          <w:tab w:val="clear" w:pos="425"/>
          <w:tab w:val="left" w:pos="2268"/>
        </w:tabs>
      </w:pPr>
      <w:r>
        <w:t>NO</w:t>
      </w:r>
      <w:r>
        <w:tab/>
        <w:t>0 bis 200 mg/m</w:t>
      </w:r>
      <w:r>
        <w:rPr>
          <w:vertAlign w:val="superscript"/>
        </w:rPr>
        <w:t>3</w:t>
      </w:r>
    </w:p>
    <w:p>
      <w:pPr>
        <w:pStyle w:val="GesAbsatz"/>
        <w:tabs>
          <w:tab w:val="clear" w:pos="425"/>
          <w:tab w:val="left" w:pos="2268"/>
        </w:tabs>
      </w:pPr>
      <w:r>
        <w:t>NO</w:t>
      </w:r>
      <w:r>
        <w:rPr>
          <w:vertAlign w:val="subscript"/>
        </w:rPr>
        <w:t>2</w:t>
      </w:r>
      <w:r>
        <w:tab/>
        <w:t>0 bis 200 mg/m</w:t>
      </w:r>
      <w:r>
        <w:rPr>
          <w:vertAlign w:val="superscript"/>
        </w:rPr>
        <w:t>3</w:t>
      </w:r>
    </w:p>
    <w:p>
      <w:pPr>
        <w:pStyle w:val="GesAbsatz"/>
        <w:tabs>
          <w:tab w:val="clear" w:pos="425"/>
          <w:tab w:val="left" w:pos="2268"/>
        </w:tabs>
      </w:pPr>
      <w:r>
        <w:t>N</w:t>
      </w:r>
      <w:r>
        <w:rPr>
          <w:vertAlign w:val="subscript"/>
        </w:rPr>
        <w:t>2</w:t>
      </w:r>
      <w:r>
        <w:t>O</w:t>
      </w:r>
      <w:r>
        <w:tab/>
        <w:t>0 bis 100 mg/m</w:t>
      </w:r>
      <w:r>
        <w:rPr>
          <w:vertAlign w:val="superscript"/>
        </w:rPr>
        <w:t>3</w:t>
      </w:r>
    </w:p>
    <w:p>
      <w:pPr>
        <w:pStyle w:val="GesAbsatz"/>
        <w:tabs>
          <w:tab w:val="clear" w:pos="425"/>
          <w:tab w:val="left" w:pos="2268"/>
        </w:tabs>
      </w:pPr>
      <w:r>
        <w:lastRenderedPageBreak/>
        <w:t>SO</w:t>
      </w:r>
      <w:r>
        <w:rPr>
          <w:vertAlign w:val="subscript"/>
        </w:rPr>
        <w:t>2</w:t>
      </w:r>
      <w:r>
        <w:tab/>
        <w:t>0 bis 75 mg/m</w:t>
      </w:r>
      <w:r>
        <w:rPr>
          <w:vertAlign w:val="superscript"/>
        </w:rPr>
        <w:t>3</w:t>
      </w:r>
    </w:p>
    <w:p>
      <w:pPr>
        <w:pStyle w:val="GesAbsatz"/>
        <w:tabs>
          <w:tab w:val="clear" w:pos="425"/>
          <w:tab w:val="left" w:pos="2268"/>
        </w:tabs>
      </w:pPr>
      <w:r>
        <w:t>HCl</w:t>
      </w:r>
      <w:r>
        <w:tab/>
        <w:t>0 bis 15 mg/m</w:t>
      </w:r>
      <w:r>
        <w:rPr>
          <w:vertAlign w:val="superscript"/>
        </w:rPr>
        <w:t>3</w:t>
      </w:r>
    </w:p>
    <w:p>
      <w:pPr>
        <w:pStyle w:val="GesAbsatz"/>
        <w:tabs>
          <w:tab w:val="clear" w:pos="425"/>
          <w:tab w:val="left" w:pos="2268"/>
        </w:tabs>
      </w:pPr>
      <w:r>
        <w:t>NH</w:t>
      </w:r>
      <w:r>
        <w:rPr>
          <w:vertAlign w:val="subscript"/>
        </w:rPr>
        <w:t>3</w:t>
      </w:r>
      <w:r>
        <w:tab/>
        <w:t>0 bis 15 mg/m</w:t>
      </w:r>
      <w:r>
        <w:rPr>
          <w:vertAlign w:val="superscript"/>
        </w:rPr>
        <w:t>3</w:t>
      </w:r>
    </w:p>
    <w:p>
      <w:pPr>
        <w:pStyle w:val="GesAbsatz"/>
        <w:tabs>
          <w:tab w:val="clear" w:pos="425"/>
          <w:tab w:val="left" w:pos="2268"/>
        </w:tabs>
      </w:pPr>
      <w:r>
        <w:t>CO</w:t>
      </w:r>
      <w:r>
        <w:rPr>
          <w:vertAlign w:val="subscript"/>
        </w:rPr>
        <w:t>2</w:t>
      </w:r>
      <w:r>
        <w:tab/>
        <w:t>0 bis 25 Vol.-%</w:t>
      </w:r>
    </w:p>
    <w:p>
      <w:pPr>
        <w:pStyle w:val="GesAbsatz"/>
        <w:tabs>
          <w:tab w:val="clear" w:pos="425"/>
          <w:tab w:val="left" w:pos="2268"/>
        </w:tabs>
      </w:pPr>
      <w:r>
        <w:t>H</w:t>
      </w:r>
      <w:r>
        <w:rPr>
          <w:vertAlign w:val="subscript"/>
        </w:rPr>
        <w:t>2</w:t>
      </w:r>
      <w:r>
        <w:t>O</w:t>
      </w:r>
      <w:r>
        <w:tab/>
        <w:t xml:space="preserve">0 bis 30 Vol.-% </w:t>
      </w:r>
    </w:p>
    <w:p>
      <w:pPr>
        <w:pStyle w:val="GesAbsatz"/>
        <w:tabs>
          <w:tab w:val="clear" w:pos="425"/>
          <w:tab w:val="left" w:pos="2268"/>
        </w:tabs>
      </w:pPr>
      <w:r>
        <w:t>Softwareversion: 4.42.2</w:t>
      </w:r>
    </w:p>
    <w:p>
      <w:pPr>
        <w:pStyle w:val="GesAbsatz"/>
        <w:ind w:left="426" w:hanging="426"/>
      </w:pPr>
      <w:r>
        <w:t>Einschränkung:</w:t>
      </w:r>
    </w:p>
    <w:p>
      <w:pPr>
        <w:pStyle w:val="GesAbsatz"/>
        <w:ind w:left="426" w:hanging="426"/>
      </w:pPr>
      <w:r>
        <w:t>1.</w:t>
      </w:r>
      <w:r>
        <w:tab/>
        <w:t>Die Messeinrichtung darf nur an Anlagen eingesetzt werden, bei denen die Abgasfeuchte 30 Vol.-% nicht dauerhaft überschreitet.</w:t>
      </w:r>
    </w:p>
    <w:p>
      <w:pPr>
        <w:pStyle w:val="GesAbsatz"/>
        <w:ind w:left="426" w:hanging="426"/>
      </w:pPr>
      <w:r>
        <w:t>Hinweise:</w:t>
      </w:r>
    </w:p>
    <w:p>
      <w:pPr>
        <w:pStyle w:val="GesAbsatz"/>
        <w:ind w:left="426" w:hanging="426"/>
      </w:pPr>
      <w:r>
        <w:t>1.</w:t>
      </w:r>
      <w:r>
        <w:tab/>
        <w:t>Bei der Prüfung von HC1 und NH3 sind feuchte Prüfgase einzusetzen.</w:t>
      </w:r>
    </w:p>
    <w:p>
      <w:pPr>
        <w:pStyle w:val="GesAbsatz"/>
        <w:ind w:left="426" w:hanging="426"/>
      </w:pPr>
      <w:r>
        <w:t>2.</w:t>
      </w:r>
      <w:r>
        <w:tab/>
        <w:t xml:space="preserve">Das Wartungsintervall beträgt 4 Wochen. </w:t>
      </w:r>
    </w:p>
    <w:p>
      <w:pPr>
        <w:pStyle w:val="GesAbsatz"/>
        <w:ind w:left="426" w:hanging="426"/>
      </w:pPr>
      <w:r>
        <w:t>Prüfbericht:</w:t>
      </w:r>
    </w:p>
    <w:p>
      <w:pPr>
        <w:pStyle w:val="GesAbsatz"/>
        <w:ind w:left="426" w:hanging="426"/>
      </w:pPr>
      <w:r>
        <w:t>TÜV Rheinland Immissionsschutz und Energiesysteme GmbH, Köln, TÜV Rheinland Group</w:t>
      </w:r>
    </w:p>
    <w:p>
      <w:pPr>
        <w:pStyle w:val="GesAbsatz"/>
        <w:ind w:left="426" w:hanging="426"/>
      </w:pPr>
      <w:r>
        <w:t>Bericht-Nr. 936/21200448/A vom 7. Juli 2006</w:t>
      </w:r>
    </w:p>
    <w:p>
      <w:pPr>
        <w:pStyle w:val="GesAbsatz"/>
        <w:ind w:left="426" w:hanging="426"/>
      </w:pPr>
    </w:p>
    <w:p>
      <w:pPr>
        <w:pStyle w:val="GesAbsatz"/>
        <w:ind w:left="426" w:hanging="426"/>
      </w:pPr>
      <w:r>
        <w:t>2.6 SIDOR für CO, NO, SO</w:t>
      </w:r>
      <w:r>
        <w:rPr>
          <w:vertAlign w:val="subscript"/>
        </w:rPr>
        <w:t>2</w:t>
      </w:r>
      <w:r>
        <w:t xml:space="preserve"> und O</w:t>
      </w:r>
      <w:r>
        <w:rPr>
          <w:vertAlign w:val="subscript"/>
        </w:rPr>
        <w:t>2</w:t>
      </w:r>
    </w:p>
    <w:p>
      <w:pPr>
        <w:pStyle w:val="GesAbsatz"/>
        <w:ind w:left="426" w:hanging="426"/>
      </w:pPr>
      <w:r>
        <w:t>Hersteller:</w:t>
      </w:r>
    </w:p>
    <w:p>
      <w:pPr>
        <w:pStyle w:val="GesAbsatz"/>
        <w:ind w:left="426" w:hanging="426"/>
      </w:pPr>
      <w:r>
        <w:t>MAIHAK AG, Hamburg</w:t>
      </w:r>
    </w:p>
    <w:p>
      <w:pPr>
        <w:pStyle w:val="GesAbsatz"/>
        <w:ind w:left="426" w:hanging="426"/>
      </w:pPr>
      <w:r>
        <w:t>Vertreiber:</w:t>
      </w:r>
    </w:p>
    <w:p>
      <w:pPr>
        <w:pStyle w:val="GesAbsatz"/>
        <w:ind w:left="426" w:hanging="426"/>
      </w:pPr>
      <w:r>
        <w:t>SICK/Maihack GmbH, Reute</w:t>
      </w:r>
    </w:p>
    <w:p>
      <w:pPr>
        <w:pStyle w:val="GesAbsatz"/>
        <w:ind w:left="426" w:hanging="426"/>
      </w:pPr>
      <w:r>
        <w:t>Eignung:</w:t>
      </w:r>
    </w:p>
    <w:p>
      <w:pPr>
        <w:pStyle w:val="GesAbsatz"/>
        <w:ind w:left="426" w:hanging="426"/>
      </w:pPr>
      <w:r>
        <w:t xml:space="preserve">Für Anlagen gemäß 13. BImSchV, 27. BImSchV und der TA Luft. </w:t>
      </w:r>
    </w:p>
    <w:p>
      <w:pPr>
        <w:pStyle w:val="GesAbsatz"/>
        <w:ind w:left="426" w:hanging="426"/>
      </w:pPr>
      <w:r>
        <w:t>Messbereiche bei der Eignungsprüfung:</w:t>
      </w:r>
    </w:p>
    <w:p>
      <w:pPr>
        <w:pStyle w:val="GesAbsatz"/>
        <w:tabs>
          <w:tab w:val="clear" w:pos="425"/>
          <w:tab w:val="left" w:pos="2268"/>
        </w:tabs>
      </w:pPr>
      <w:r>
        <w:t>CO</w:t>
      </w:r>
      <w:r>
        <w:tab/>
        <w:t>0 bis 75 mg/m</w:t>
      </w:r>
      <w:r>
        <w:rPr>
          <w:vertAlign w:val="superscript"/>
        </w:rPr>
        <w:t>3</w:t>
      </w:r>
    </w:p>
    <w:p>
      <w:pPr>
        <w:pStyle w:val="GesAbsatz"/>
        <w:tabs>
          <w:tab w:val="clear" w:pos="425"/>
          <w:tab w:val="left" w:pos="2268"/>
        </w:tabs>
      </w:pPr>
      <w:r>
        <w:t>NO</w:t>
      </w:r>
      <w:r>
        <w:tab/>
        <w:t>0 bis 125 mg/m</w:t>
      </w:r>
      <w:r>
        <w:rPr>
          <w:vertAlign w:val="superscript"/>
        </w:rPr>
        <w:t>3</w:t>
      </w:r>
    </w:p>
    <w:p>
      <w:pPr>
        <w:pStyle w:val="GesAbsatz"/>
        <w:tabs>
          <w:tab w:val="clear" w:pos="425"/>
          <w:tab w:val="left" w:pos="2268"/>
        </w:tabs>
      </w:pPr>
      <w:r>
        <w:t>NO</w:t>
      </w:r>
      <w:r>
        <w:rPr>
          <w:vertAlign w:val="subscript"/>
        </w:rPr>
        <w:t>2</w:t>
      </w:r>
      <w:r>
        <w:tab/>
        <w:t>0 bis 100 mg/m</w:t>
      </w:r>
      <w:r>
        <w:rPr>
          <w:vertAlign w:val="superscript"/>
        </w:rPr>
        <w:t>3</w:t>
      </w:r>
    </w:p>
    <w:p>
      <w:pPr>
        <w:pStyle w:val="GesAbsatz"/>
        <w:tabs>
          <w:tab w:val="clear" w:pos="425"/>
          <w:tab w:val="left" w:pos="2268"/>
        </w:tabs>
      </w:pPr>
      <w:r>
        <w:t>O</w:t>
      </w:r>
      <w:r>
        <w:rPr>
          <w:vertAlign w:val="subscript"/>
        </w:rPr>
        <w:t>2</w:t>
      </w:r>
      <w:r>
        <w:t>, el. chem.</w:t>
      </w:r>
      <w:r>
        <w:tab/>
        <w:t>0 bis 25 Vol.-%</w:t>
      </w:r>
    </w:p>
    <w:p>
      <w:pPr>
        <w:pStyle w:val="GesAbsatz"/>
        <w:tabs>
          <w:tab w:val="clear" w:pos="425"/>
          <w:tab w:val="left" w:pos="2268"/>
        </w:tabs>
      </w:pPr>
      <w:r>
        <w:tab/>
        <w:t>0 bis 10 Vol.-%</w:t>
      </w:r>
    </w:p>
    <w:p>
      <w:pPr>
        <w:pStyle w:val="GesAbsatz"/>
        <w:tabs>
          <w:tab w:val="clear" w:pos="425"/>
          <w:tab w:val="left" w:pos="2268"/>
        </w:tabs>
      </w:pPr>
      <w:r>
        <w:t>O</w:t>
      </w:r>
      <w:r>
        <w:rPr>
          <w:vertAlign w:val="subscript"/>
        </w:rPr>
        <w:t>2</w:t>
      </w:r>
      <w:r>
        <w:t>, paramag.</w:t>
      </w:r>
      <w:r>
        <w:tab/>
        <w:t>0 bis 25 Vol.-%</w:t>
      </w:r>
    </w:p>
    <w:p>
      <w:pPr>
        <w:pStyle w:val="GesAbsatz"/>
        <w:tabs>
          <w:tab w:val="clear" w:pos="425"/>
          <w:tab w:val="left" w:pos="2268"/>
        </w:tabs>
      </w:pPr>
      <w:r>
        <w:tab/>
        <w:t>0 bis 10 Vol.-%</w:t>
      </w:r>
    </w:p>
    <w:p>
      <w:pPr>
        <w:pStyle w:val="GesAbsatz"/>
        <w:tabs>
          <w:tab w:val="clear" w:pos="425"/>
          <w:tab w:val="left" w:pos="2268"/>
        </w:tabs>
      </w:pPr>
      <w:r>
        <w:t>Softwareversion: 1.6</w:t>
      </w:r>
    </w:p>
    <w:p>
      <w:pPr>
        <w:pStyle w:val="GesAbsatz"/>
        <w:ind w:left="426" w:hanging="426"/>
      </w:pPr>
      <w:r>
        <w:t>Hinweise:</w:t>
      </w:r>
    </w:p>
    <w:p>
      <w:pPr>
        <w:pStyle w:val="GesAbsatz"/>
        <w:ind w:left="426" w:hanging="426"/>
      </w:pPr>
      <w:r>
        <w:t>1.</w:t>
      </w:r>
      <w:r>
        <w:tab/>
        <w:t>Für die Komponenten CO, NO und SO2: Wöchentliche Autokalibrierung des Nullpunktes mit befeucht</w:t>
      </w:r>
      <w:r>
        <w:t>e</w:t>
      </w:r>
      <w:r>
        <w:t>ter Umgebungsluft oder Stickstoff.</w:t>
      </w:r>
    </w:p>
    <w:p>
      <w:pPr>
        <w:pStyle w:val="GesAbsatz"/>
        <w:ind w:left="426"/>
      </w:pPr>
      <w:r>
        <w:t>Für O</w:t>
      </w:r>
      <w:r>
        <w:rPr>
          <w:vertAlign w:val="subscript"/>
        </w:rPr>
        <w:t>2</w:t>
      </w:r>
      <w:r>
        <w:t>: Alle 3 Tage Autokalibrierung der Empfindlichkeit mit befeuchteter Umgebungsluft.</w:t>
      </w:r>
    </w:p>
    <w:p>
      <w:pPr>
        <w:pStyle w:val="GesAbsatz"/>
        <w:ind w:left="426" w:hanging="426"/>
      </w:pPr>
      <w:r>
        <w:t>2.</w:t>
      </w:r>
      <w:r>
        <w:tab/>
        <w:t xml:space="preserve">Das Wartungsintervall beträgt 3 Monate. </w:t>
      </w:r>
    </w:p>
    <w:p>
      <w:pPr>
        <w:pStyle w:val="GesAbsatz"/>
        <w:ind w:left="426" w:hanging="426"/>
      </w:pPr>
      <w:r>
        <w:t>Prüfbericht:</w:t>
      </w:r>
    </w:p>
    <w:p>
      <w:pPr>
        <w:pStyle w:val="GesAbsatz"/>
        <w:ind w:left="426" w:hanging="426"/>
      </w:pPr>
      <w:r>
        <w:t>TÜV Nord Umweltschutz GmbH &amp; Co. KG</w:t>
      </w:r>
    </w:p>
    <w:p>
      <w:pPr>
        <w:pStyle w:val="GesAbsatz"/>
        <w:ind w:left="426" w:hanging="426"/>
      </w:pPr>
      <w:r>
        <w:t>Bericht-Nr. 04CU035 / 8000607710 vom 30. Juni 2006</w:t>
      </w:r>
    </w:p>
    <w:p>
      <w:pPr>
        <w:pStyle w:val="berschrift2"/>
      </w:pPr>
      <w:r>
        <w:lastRenderedPageBreak/>
        <w:t>II.</w:t>
      </w:r>
      <w:r>
        <w:br/>
        <w:t xml:space="preserve">Eignung für Messeinrichtungen zur kontinuierlichen Messung von </w:t>
      </w:r>
      <w:r>
        <w:br/>
        <w:t>Bezugsgr</w:t>
      </w:r>
      <w:r>
        <w:t>ö</w:t>
      </w:r>
      <w:r>
        <w:t>ßen/Betriebsgrößen</w:t>
      </w:r>
    </w:p>
    <w:p>
      <w:pPr>
        <w:pStyle w:val="GesAbsatz"/>
        <w:ind w:left="426" w:hanging="426"/>
      </w:pPr>
      <w:r>
        <w:t>1 Sauerstoff (O</w:t>
      </w:r>
      <w:r>
        <w:rPr>
          <w:vertAlign w:val="subscript"/>
        </w:rPr>
        <w:t>2</w:t>
      </w:r>
      <w:r>
        <w:t>)</w:t>
      </w:r>
    </w:p>
    <w:p>
      <w:pPr>
        <w:pStyle w:val="GesAbsatz"/>
        <w:ind w:left="426" w:hanging="426"/>
      </w:pPr>
      <w:r>
        <w:t>1.1 Genesis g1200, Genesis g1210/g1220</w:t>
      </w:r>
    </w:p>
    <w:p>
      <w:pPr>
        <w:pStyle w:val="GesAbsatz"/>
        <w:ind w:left="426" w:hanging="426"/>
      </w:pPr>
      <w:r>
        <w:t>Hersteller:</w:t>
      </w:r>
    </w:p>
    <w:p>
      <w:pPr>
        <w:pStyle w:val="GesAbsatz"/>
        <w:ind w:left="426" w:hanging="426"/>
      </w:pPr>
      <w:r>
        <w:t>Land Instruments International, Dronfield, England</w:t>
      </w:r>
    </w:p>
    <w:p>
      <w:pPr>
        <w:pStyle w:val="GesAbsatz"/>
        <w:ind w:left="426" w:hanging="426"/>
      </w:pPr>
      <w:r>
        <w:t>Eignung:</w:t>
      </w:r>
    </w:p>
    <w:p>
      <w:pPr>
        <w:pStyle w:val="GesAbsatz"/>
        <w:ind w:left="426" w:hanging="426"/>
      </w:pPr>
      <w:r>
        <w:t>Für genehmigungsbedürftige Anlagen und Anlagen der 27. BImSchV</w:t>
      </w:r>
    </w:p>
    <w:p>
      <w:pPr>
        <w:pStyle w:val="GesAbsatz"/>
        <w:ind w:left="426" w:hanging="426"/>
      </w:pPr>
      <w:r>
        <w:t>Messbereich bei der Eignungsprüfung:</w:t>
      </w:r>
    </w:p>
    <w:p>
      <w:pPr>
        <w:pStyle w:val="GesAbsatz"/>
        <w:tabs>
          <w:tab w:val="clear" w:pos="425"/>
          <w:tab w:val="left" w:pos="2268"/>
        </w:tabs>
      </w:pPr>
      <w:r>
        <w:t>O</w:t>
      </w:r>
      <w:r>
        <w:rPr>
          <w:vertAlign w:val="subscript"/>
        </w:rPr>
        <w:t>2</w:t>
      </w:r>
      <w:r>
        <w:tab/>
        <w:t xml:space="preserve">0 bis 25 Vol.-% </w:t>
      </w:r>
    </w:p>
    <w:p>
      <w:pPr>
        <w:pStyle w:val="GesAbsatz"/>
        <w:tabs>
          <w:tab w:val="clear" w:pos="425"/>
          <w:tab w:val="left" w:pos="2268"/>
        </w:tabs>
      </w:pPr>
      <w:r>
        <w:t>Softwareversion: V2.03</w:t>
      </w:r>
    </w:p>
    <w:p>
      <w:pPr>
        <w:pStyle w:val="GesAbsatz"/>
        <w:ind w:left="426" w:hanging="426"/>
      </w:pPr>
      <w:r>
        <w:t>Hinweise:</w:t>
      </w:r>
    </w:p>
    <w:p>
      <w:pPr>
        <w:pStyle w:val="GesAbsatz"/>
        <w:ind w:left="426" w:hanging="426"/>
      </w:pPr>
      <w:r>
        <w:t>1.</w:t>
      </w:r>
      <w:r>
        <w:tab/>
        <w:t>Der Sauerstoffgehalt wird im feuchten Abgas gemessen.</w:t>
      </w:r>
    </w:p>
    <w:p>
      <w:pPr>
        <w:pStyle w:val="GesAbsatz"/>
        <w:ind w:left="426" w:hanging="426"/>
      </w:pPr>
      <w:r>
        <w:t>2.</w:t>
      </w:r>
      <w:r>
        <w:tab/>
        <w:t>Das Gerät benötigt eine Versorgung mit sauberer Druckluft (ca. 0,21/min) als Referenzluft.</w:t>
      </w:r>
    </w:p>
    <w:p>
      <w:pPr>
        <w:pStyle w:val="GesAbsatz"/>
        <w:ind w:left="426" w:hanging="426"/>
      </w:pPr>
      <w:r>
        <w:t>3.</w:t>
      </w:r>
      <w:r>
        <w:tab/>
        <w:t>Die Modelle Genesis g1200 und Genesis g1210/g1220 sind identisch. Beim Modell g1210/1220 sind Messsonde und Steuereinheit durch verlängerte elektrische Leitungen räumlich voneinander getrennt. Durch Umklemmen weniger elektrischer Verbindungen kann diese Version innerhalb von ca. 10 Minuten in die Version g1200 umgebaut werden.</w:t>
      </w:r>
    </w:p>
    <w:p>
      <w:pPr>
        <w:pStyle w:val="GesAbsatz"/>
        <w:ind w:left="426" w:hanging="426"/>
      </w:pPr>
      <w:r>
        <w:t>4.</w:t>
      </w:r>
      <w:r>
        <w:tab/>
        <w:t>Das Wartungsintervall beträgt 4 Wochen.</w:t>
      </w:r>
    </w:p>
    <w:p>
      <w:pPr>
        <w:pStyle w:val="GesAbsatz"/>
        <w:ind w:left="426" w:hanging="426"/>
      </w:pPr>
      <w:r>
        <w:t>Prüfbericht:</w:t>
      </w:r>
    </w:p>
    <w:p>
      <w:pPr>
        <w:pStyle w:val="GesAbsatz"/>
        <w:ind w:left="426" w:hanging="426"/>
      </w:pPr>
      <w:r>
        <w:t>TÜV Rheinland Immissionsschutz und Energiesysteme GmbH, Köln, TÜV Rheinland Group</w:t>
      </w:r>
    </w:p>
    <w:p>
      <w:pPr>
        <w:pStyle w:val="GesAbsatz"/>
        <w:ind w:left="426" w:hanging="426"/>
      </w:pPr>
      <w:r>
        <w:t>Bericht-Nr. 936/21205203/A vom 29. Juni 2006</w:t>
      </w:r>
    </w:p>
    <w:p>
      <w:pPr>
        <w:pStyle w:val="berschrift2"/>
      </w:pPr>
      <w:r>
        <w:t>III.</w:t>
      </w:r>
      <w:r>
        <w:br/>
        <w:t xml:space="preserve">Eignung elektronischer Systeme zum Erfassen und Auswerten </w:t>
      </w:r>
      <w:r>
        <w:br/>
        <w:t>kontinuierlicher Emissionsmessungen</w:t>
      </w:r>
    </w:p>
    <w:p>
      <w:pPr>
        <w:pStyle w:val="GesAbsatz"/>
        <w:ind w:left="426" w:hanging="426"/>
      </w:pPr>
      <w:r>
        <w:t>1 Auswerterechner</w:t>
      </w:r>
    </w:p>
    <w:p>
      <w:pPr>
        <w:pStyle w:val="GesAbsatz"/>
        <w:ind w:left="426" w:hanging="426"/>
      </w:pPr>
      <w:r>
        <w:t>1.1 ARGUS Pro mit ARGUS Pro EFÜ</w:t>
      </w:r>
    </w:p>
    <w:p>
      <w:pPr>
        <w:pStyle w:val="GesAbsatz"/>
        <w:ind w:left="426" w:hanging="426"/>
      </w:pPr>
      <w:r>
        <w:t>Hersteller:</w:t>
      </w:r>
    </w:p>
    <w:p>
      <w:pPr>
        <w:pStyle w:val="GesAbsatz"/>
        <w:ind w:left="426" w:hanging="426"/>
      </w:pPr>
      <w:r>
        <w:t>ABB Utilities GmbH, Mannheim</w:t>
      </w:r>
    </w:p>
    <w:p>
      <w:pPr>
        <w:pStyle w:val="GesAbsatz"/>
        <w:ind w:left="426" w:hanging="426"/>
      </w:pPr>
      <w:r>
        <w:t>Eignung:</w:t>
      </w:r>
    </w:p>
    <w:p>
      <w:pPr>
        <w:pStyle w:val="GesAbsatz"/>
        <w:ind w:left="426" w:hanging="426"/>
      </w:pPr>
      <w:r>
        <w:t>1.</w:t>
      </w:r>
      <w:r>
        <w:tab/>
        <w:t>Erfassen und Auswerten kontinuierlicher Emissionsmessungen gemäß TA-Luft, 13. und 17. BlmSchV.</w:t>
      </w:r>
    </w:p>
    <w:p>
      <w:pPr>
        <w:pStyle w:val="GesAbsatz"/>
        <w:ind w:left="426" w:hanging="426"/>
      </w:pPr>
      <w:r>
        <w:t>2.</w:t>
      </w:r>
      <w:r>
        <w:tab/>
        <w:t xml:space="preserve">B-System zur Emissionsdatenfernübertragung. </w:t>
      </w:r>
    </w:p>
    <w:p>
      <w:pPr>
        <w:pStyle w:val="GesAbsatz"/>
        <w:ind w:left="426" w:hanging="426"/>
      </w:pPr>
      <w:r>
        <w:t>Softwareversionen:</w:t>
      </w:r>
    </w:p>
    <w:p>
      <w:pPr>
        <w:pStyle w:val="GesAbsatz"/>
        <w:tabs>
          <w:tab w:val="clear" w:pos="425"/>
          <w:tab w:val="left" w:pos="2268"/>
        </w:tabs>
      </w:pPr>
      <w:r>
        <w:t>ARGUS Pro Emi:</w:t>
      </w:r>
      <w:r>
        <w:tab/>
        <w:t>4.61 D</w:t>
      </w:r>
    </w:p>
    <w:p>
      <w:pPr>
        <w:pStyle w:val="GesAbsatz"/>
        <w:tabs>
          <w:tab w:val="clear" w:pos="425"/>
          <w:tab w:val="left" w:pos="2268"/>
        </w:tabs>
      </w:pPr>
      <w:r>
        <w:t>ARGUS Pro EFÜ:</w:t>
      </w:r>
      <w:r>
        <w:tab/>
      </w:r>
      <w:smartTag w:uri="urn:schemas-microsoft-com:office:smarttags" w:element="time">
        <w:smartTagPr>
          <w:attr w:name="Hour" w:val="1"/>
          <w:attr w:name="Minute" w:val="02"/>
        </w:smartTagPr>
        <w:r>
          <w:t>1.02</w:t>
        </w:r>
      </w:smartTag>
      <w:r>
        <w:t xml:space="preserve"> </w:t>
      </w:r>
    </w:p>
    <w:p>
      <w:pPr>
        <w:pStyle w:val="GesAbsatz"/>
        <w:tabs>
          <w:tab w:val="clear" w:pos="425"/>
          <w:tab w:val="left" w:pos="2268"/>
        </w:tabs>
      </w:pPr>
      <w:r>
        <w:t>ARGUS Pro Editor:</w:t>
      </w:r>
      <w:r>
        <w:tab/>
        <w:t xml:space="preserve">2.0 </w:t>
      </w:r>
    </w:p>
    <w:p>
      <w:pPr>
        <w:pStyle w:val="GesAbsatz"/>
        <w:tabs>
          <w:tab w:val="clear" w:pos="425"/>
          <w:tab w:val="left" w:pos="2268"/>
        </w:tabs>
      </w:pPr>
      <w:r>
        <w:t>ARGUS Pro Viewer:</w:t>
      </w:r>
      <w:r>
        <w:tab/>
        <w:t xml:space="preserve">1.0 </w:t>
      </w:r>
    </w:p>
    <w:p>
      <w:pPr>
        <w:pStyle w:val="GesAbsatz"/>
        <w:ind w:left="426" w:hanging="426"/>
      </w:pPr>
      <w:r>
        <w:t>Hinweise:</w:t>
      </w:r>
    </w:p>
    <w:p>
      <w:pPr>
        <w:pStyle w:val="GesAbsatz"/>
        <w:ind w:left="426" w:hanging="426"/>
      </w:pPr>
      <w:r>
        <w:t>1.</w:t>
      </w:r>
      <w:r>
        <w:tab/>
        <w:t>Die Prüfung der Fernüberwachung erfolgte gegen das Maihak G-System LIM-Version 2.5.0.</w:t>
      </w:r>
    </w:p>
    <w:p>
      <w:pPr>
        <w:pStyle w:val="GesAbsatz"/>
        <w:ind w:left="426" w:hanging="426"/>
      </w:pPr>
      <w:r>
        <w:t>2.</w:t>
      </w:r>
      <w:r>
        <w:tab/>
        <w:t>Das EFÜ-Modul kann sowohl nach der Schnittstellendefinition aus dem Jahre 2000 als auch 2005 arbe</w:t>
      </w:r>
      <w:r>
        <w:t>i</w:t>
      </w:r>
      <w:r>
        <w:t>ten. Es ist auf eine korrekte Parametrierung zu achten.</w:t>
      </w:r>
    </w:p>
    <w:p>
      <w:pPr>
        <w:pStyle w:val="GesAbsatz"/>
        <w:ind w:left="426" w:hanging="426"/>
      </w:pPr>
      <w:r>
        <w:t>Prüfinstitut:</w:t>
      </w:r>
    </w:p>
    <w:p>
      <w:pPr>
        <w:pStyle w:val="GesAbsatz"/>
        <w:ind w:left="426" w:hanging="426"/>
      </w:pPr>
      <w:r>
        <w:lastRenderedPageBreak/>
        <w:t>TÜV Rheinland Immissionsschutz und Energiesysteme GmbH, Köln, TÜV Rheinland Group</w:t>
      </w:r>
    </w:p>
    <w:p>
      <w:pPr>
        <w:pStyle w:val="GesAbsatz"/>
        <w:ind w:left="426" w:hanging="426"/>
      </w:pPr>
      <w:r>
        <w:t>Bericht-Nr. 936/21203482/C vom 14. August 2006</w:t>
      </w:r>
    </w:p>
    <w:p>
      <w:pPr>
        <w:pStyle w:val="GesAbsatz"/>
        <w:ind w:left="426" w:hanging="426"/>
      </w:pPr>
    </w:p>
    <w:p>
      <w:pPr>
        <w:pStyle w:val="GesAbsatz"/>
        <w:ind w:left="426" w:hanging="426"/>
      </w:pPr>
      <w:r>
        <w:t>1.2 EMI3000 mit EFÜ</w:t>
      </w:r>
    </w:p>
    <w:p>
      <w:pPr>
        <w:pStyle w:val="GesAbsatz"/>
        <w:ind w:left="426" w:hanging="426"/>
      </w:pPr>
      <w:r>
        <w:t>Hersteller:</w:t>
      </w:r>
    </w:p>
    <w:p>
      <w:pPr>
        <w:pStyle w:val="GesAbsatz"/>
        <w:ind w:left="426" w:hanging="426"/>
      </w:pPr>
      <w:r>
        <w:t>ITBK Ingenieurgesellschaft für Umweltschutz mbH, Bruchköbel</w:t>
      </w:r>
    </w:p>
    <w:p>
      <w:pPr>
        <w:pStyle w:val="GesAbsatz"/>
        <w:ind w:left="426" w:hanging="426"/>
      </w:pPr>
      <w:r>
        <w:t>Eignung:</w:t>
      </w:r>
    </w:p>
    <w:p>
      <w:pPr>
        <w:pStyle w:val="GesAbsatz"/>
        <w:ind w:left="426" w:hanging="426"/>
      </w:pPr>
      <w:r>
        <w:t>1.</w:t>
      </w:r>
      <w:r>
        <w:tab/>
        <w:t>Erfassen und Auswerten kontinuierlicher Emissionsmessungen genehmigungsbedürftiger Anlagen.</w:t>
      </w:r>
    </w:p>
    <w:p>
      <w:pPr>
        <w:pStyle w:val="GesAbsatz"/>
        <w:ind w:left="426" w:hanging="426"/>
      </w:pPr>
      <w:r>
        <w:t>2.</w:t>
      </w:r>
      <w:r>
        <w:tab/>
        <w:t xml:space="preserve">B-System zur Emissionsdatenfernübertragung. </w:t>
      </w:r>
    </w:p>
    <w:p>
      <w:pPr>
        <w:pStyle w:val="GesAbsatz"/>
        <w:ind w:left="426" w:hanging="426"/>
      </w:pPr>
      <w:r>
        <w:t xml:space="preserve">Softwareversion: </w:t>
      </w:r>
    </w:p>
    <w:p>
      <w:pPr>
        <w:pStyle w:val="GesAbsatz"/>
        <w:ind w:left="426" w:hanging="426"/>
      </w:pPr>
      <w:r>
        <w:t>V1.0 (EFÜ-Modul)</w:t>
      </w:r>
    </w:p>
    <w:p>
      <w:pPr>
        <w:pStyle w:val="GesAbsatz"/>
        <w:ind w:left="426" w:hanging="426"/>
      </w:pPr>
      <w:r>
        <w:t>V1.14 (EMI3000)</w:t>
      </w:r>
    </w:p>
    <w:p>
      <w:pPr>
        <w:pStyle w:val="GesAbsatz"/>
        <w:ind w:left="426" w:hanging="426"/>
      </w:pPr>
      <w:r>
        <w:t>Einschränkung:</w:t>
      </w:r>
    </w:p>
    <w:p>
      <w:pPr>
        <w:pStyle w:val="GesAbsatz"/>
        <w:ind w:left="426" w:hanging="426"/>
      </w:pPr>
      <w:r>
        <w:t>Eine Möglichkeit von Prozessbildübertragungen besteht nicht.</w:t>
      </w:r>
    </w:p>
    <w:p>
      <w:pPr>
        <w:pStyle w:val="GesAbsatz"/>
        <w:ind w:left="426" w:hanging="426"/>
      </w:pPr>
      <w:r>
        <w:t>Prüfinstitut:</w:t>
      </w:r>
    </w:p>
    <w:p>
      <w:pPr>
        <w:pStyle w:val="GesAbsatz"/>
        <w:ind w:left="426" w:hanging="426"/>
      </w:pPr>
      <w:r>
        <w:t xml:space="preserve">TÜV Nord Umweltschutz GmbH &amp; Co. KG, Hamburg </w:t>
      </w:r>
    </w:p>
    <w:p>
      <w:pPr>
        <w:pStyle w:val="GesAbsatz"/>
        <w:ind w:left="426" w:hanging="426"/>
      </w:pPr>
      <w:r>
        <w:t>Bericht-Nr. 106EFK147/8000702681 vom 7. Juli 2006</w:t>
      </w:r>
    </w:p>
    <w:p>
      <w:pPr>
        <w:pStyle w:val="berschrift2"/>
      </w:pPr>
      <w:r>
        <w:t>IV.</w:t>
      </w:r>
      <w:r>
        <w:br/>
        <w:t xml:space="preserve">Eignung von Messeinrichtungen zur kontinuierlichen </w:t>
      </w:r>
      <w:r>
        <w:br/>
        <w:t>Überwachung von Immissi</w:t>
      </w:r>
      <w:r>
        <w:t>o</w:t>
      </w:r>
      <w:r>
        <w:t>nen</w:t>
      </w:r>
    </w:p>
    <w:p>
      <w:pPr>
        <w:pStyle w:val="GesAbsatz"/>
      </w:pPr>
      <w:r>
        <w:t>Unter Bezugsnahme auf die Nummer 3.2 der Bekanntmachung der für die Durchführung der Richtlinie 96/62/EG des Rates vom 27. September 1996 über die Beurteilung und Kontrolle der Luftqualität zuständigen Stellen vom 1. Oktober 1998 (BAnz. S. 15 126) wird im Auftrag des BMU die Eignung der folgenden Mes</w:t>
      </w:r>
      <w:r>
        <w:t>s</w:t>
      </w:r>
      <w:r>
        <w:t>einrichtung bekannt gegeben:</w:t>
      </w:r>
    </w:p>
    <w:p>
      <w:pPr>
        <w:pStyle w:val="GesAbsatz"/>
      </w:pPr>
      <w:r>
        <w:t>1 Schwebstaub (PM10-Fraktion)</w:t>
      </w:r>
    </w:p>
    <w:p>
      <w:pPr>
        <w:pStyle w:val="GesAbsatz"/>
      </w:pPr>
      <w:r>
        <w:t>1.1 F-701-20</w:t>
      </w:r>
    </w:p>
    <w:p>
      <w:pPr>
        <w:pStyle w:val="GesAbsatz"/>
      </w:pPr>
      <w:r>
        <w:t>Hersteller:</w:t>
      </w:r>
    </w:p>
    <w:p>
      <w:pPr>
        <w:pStyle w:val="GesAbsatz"/>
      </w:pPr>
      <w:r>
        <w:t xml:space="preserve">VEREWA Umwelt- und Prozeßmeßtechnik GmbH, Hamburg </w:t>
      </w:r>
    </w:p>
    <w:p>
      <w:pPr>
        <w:pStyle w:val="GesAbsatz"/>
      </w:pPr>
      <w:r>
        <w:t>Eignung:</w:t>
      </w:r>
    </w:p>
    <w:p>
      <w:pPr>
        <w:pStyle w:val="GesAbsatz"/>
      </w:pPr>
      <w:r>
        <w:t>Zur kontinuierlichen Immissionsmessung der PM10-Fraktion des Schwebstaubes im stationären Einsatz.</w:t>
      </w:r>
    </w:p>
    <w:p>
      <w:pPr>
        <w:pStyle w:val="GesAbsatz"/>
      </w:pPr>
      <w:r>
        <w:t xml:space="preserve">Messbereich bei der Eignungsprüfung: </w:t>
      </w:r>
    </w:p>
    <w:p>
      <w:pPr>
        <w:pStyle w:val="GesAbsatz"/>
      </w:pPr>
      <w:r>
        <w:t>0 bis 200 µg/m</w:t>
      </w:r>
      <w:r>
        <w:rPr>
          <w:vertAlign w:val="superscript"/>
        </w:rPr>
        <w:t>3</w:t>
      </w:r>
    </w:p>
    <w:p>
      <w:pPr>
        <w:pStyle w:val="GesAbsatz"/>
      </w:pPr>
      <w:r>
        <w:t>Softwareversion: 2.00b</w:t>
      </w:r>
    </w:p>
    <w:p>
      <w:pPr>
        <w:pStyle w:val="GesAbsatz"/>
      </w:pPr>
      <w:r>
        <w:t>Hinweise:</w:t>
      </w:r>
    </w:p>
    <w:p>
      <w:pPr>
        <w:pStyle w:val="GesAbsatz"/>
        <w:ind w:left="426" w:hanging="426"/>
      </w:pPr>
      <w:r>
        <w:t>1.</w:t>
      </w:r>
      <w:r>
        <w:tab/>
        <w:t xml:space="preserve">Die Eignungsprüfung wurde mit einer Zykluszeit von </w:t>
      </w:r>
      <w:smartTag w:uri="urn:schemas-microsoft-com:office:smarttags" w:element="time">
        <w:smartTagPr>
          <w:attr w:name="Hour" w:val="3"/>
        </w:smartTagPr>
        <w:r>
          <w:t>3 h</w:t>
        </w:r>
      </w:smartTag>
      <w:r>
        <w:t xml:space="preserve"> und einer Belegzahl von 1 durchgeführt; d. h. alle </w:t>
      </w:r>
      <w:smartTag w:uri="urn:schemas-microsoft-com:office:smarttags" w:element="time">
        <w:smartTagPr>
          <w:attr w:name="Hour" w:val="3"/>
        </w:smartTagPr>
        <w:r>
          <w:t>3 h</w:t>
        </w:r>
      </w:smartTag>
      <w:r>
        <w:t xml:space="preserve"> wurde ein automatischer Filterwechsel durchgeführt, wobei jeder Filterfleck nur einmal beprobt wu</w:t>
      </w:r>
      <w:r>
        <w:t>r</w:t>
      </w:r>
      <w:r>
        <w:t>de.</w:t>
      </w:r>
    </w:p>
    <w:p>
      <w:pPr>
        <w:pStyle w:val="GesAbsatz"/>
        <w:ind w:left="426" w:hanging="426"/>
      </w:pPr>
      <w:r>
        <w:t>2.</w:t>
      </w:r>
      <w:r>
        <w:tab/>
        <w:t>Die Messeinrichtung ist mit dem gravimetrischen PM10-Referenzverfahren nach DIN EN 12 341 rege</w:t>
      </w:r>
      <w:r>
        <w:t>l</w:t>
      </w:r>
      <w:r>
        <w:t>mäßig am Standort zu kalibrieren.</w:t>
      </w:r>
    </w:p>
    <w:p>
      <w:pPr>
        <w:pStyle w:val="GesAbsatz"/>
      </w:pPr>
      <w:r>
        <w:t>Prüfinstitut:</w:t>
      </w:r>
    </w:p>
    <w:p>
      <w:pPr>
        <w:pStyle w:val="GesAbsatz"/>
      </w:pPr>
      <w:r>
        <w:t>TÜV SÜD Industrie Service GmbH, München Bericht-Nr. 720 349 vom 6. Juli 2006</w:t>
      </w:r>
    </w:p>
    <w:p>
      <w:pPr>
        <w:pStyle w:val="GesAbsatz"/>
      </w:pPr>
    </w:p>
    <w:p>
      <w:pPr>
        <w:pStyle w:val="GesAbsatz"/>
      </w:pPr>
      <w:r>
        <w:t>2 Schwefeldioxid (SO</w:t>
      </w:r>
      <w:r>
        <w:rPr>
          <w:vertAlign w:val="subscript"/>
        </w:rPr>
        <w:t>2</w:t>
      </w:r>
      <w:r>
        <w:t>)</w:t>
      </w:r>
    </w:p>
    <w:p>
      <w:pPr>
        <w:pStyle w:val="GesAbsatz"/>
      </w:pPr>
      <w:r>
        <w:lastRenderedPageBreak/>
        <w:t>2.1 APSA 370</w:t>
      </w:r>
    </w:p>
    <w:p>
      <w:pPr>
        <w:pStyle w:val="GesAbsatz"/>
      </w:pPr>
      <w:r>
        <w:t>Hersteller:</w:t>
      </w:r>
    </w:p>
    <w:p>
      <w:pPr>
        <w:pStyle w:val="GesAbsatz"/>
      </w:pPr>
      <w:r>
        <w:t>Horiba, Ltd. Kyoto, Japan</w:t>
      </w:r>
    </w:p>
    <w:p>
      <w:pPr>
        <w:pStyle w:val="GesAbsatz"/>
      </w:pPr>
      <w:r>
        <w:t>Vertrieb:</w:t>
      </w:r>
    </w:p>
    <w:p>
      <w:pPr>
        <w:pStyle w:val="GesAbsatz"/>
      </w:pPr>
      <w:r>
        <w:t>Horiba Europe GmbH, Leichlingen</w:t>
      </w:r>
    </w:p>
    <w:p>
      <w:pPr>
        <w:pStyle w:val="GesAbsatz"/>
      </w:pPr>
      <w:r>
        <w:t>Eignung:</w:t>
      </w:r>
    </w:p>
    <w:p>
      <w:pPr>
        <w:pStyle w:val="GesAbsatz"/>
      </w:pPr>
      <w:r>
        <w:t>Zur kontinuierlichen Immissionsmessung von Schwefeldioxid im stationären Einsatz</w:t>
      </w:r>
    </w:p>
    <w:p>
      <w:pPr>
        <w:pStyle w:val="GesAbsatz"/>
      </w:pPr>
      <w:r>
        <w:t xml:space="preserve">Messbereiche bei der Eignungsprüfung: </w:t>
      </w:r>
    </w:p>
    <w:p>
      <w:pPr>
        <w:pStyle w:val="GesAbsatz"/>
        <w:tabs>
          <w:tab w:val="clear" w:pos="425"/>
          <w:tab w:val="left" w:pos="2268"/>
        </w:tabs>
      </w:pPr>
      <w:r>
        <w:t>SO</w:t>
      </w:r>
      <w:r>
        <w:rPr>
          <w:vertAlign w:val="subscript"/>
        </w:rPr>
        <w:t>2</w:t>
      </w:r>
      <w:r>
        <w:tab/>
        <w:t>0 bis 700 µg/m</w:t>
      </w:r>
      <w:r>
        <w:rPr>
          <w:vertAlign w:val="superscript"/>
        </w:rPr>
        <w:t>3</w:t>
      </w:r>
      <w:r>
        <w:t xml:space="preserve"> und</w:t>
      </w:r>
    </w:p>
    <w:p>
      <w:pPr>
        <w:pStyle w:val="GesAbsatz"/>
        <w:tabs>
          <w:tab w:val="clear" w:pos="425"/>
          <w:tab w:val="left" w:pos="2268"/>
        </w:tabs>
      </w:pPr>
      <w:r>
        <w:tab/>
        <w:t>0 bis 1000 µg/m</w:t>
      </w:r>
      <w:r>
        <w:rPr>
          <w:vertAlign w:val="superscript"/>
        </w:rPr>
        <w:t>3</w:t>
      </w:r>
    </w:p>
    <w:p>
      <w:pPr>
        <w:pStyle w:val="GesAbsatz"/>
      </w:pPr>
      <w:r>
        <w:t>Softwareversion: P1000878001C</w:t>
      </w:r>
    </w:p>
    <w:p>
      <w:pPr>
        <w:pStyle w:val="GesAbsatz"/>
      </w:pPr>
      <w:r>
        <w:t>Prüfinstitut:</w:t>
      </w:r>
    </w:p>
    <w:p>
      <w:pPr>
        <w:pStyle w:val="GesAbsatz"/>
      </w:pPr>
      <w:r>
        <w:t>TÜV Rheinland Immissionsschutz und Energiesysteme GmbH, Köln, TUV Rheinland Group</w:t>
      </w:r>
    </w:p>
    <w:p>
      <w:pPr>
        <w:pStyle w:val="GesAbsatz"/>
      </w:pPr>
      <w:r>
        <w:t>Bericht-Nr. 936/21204643/D vom 7. Juli 2006</w:t>
      </w:r>
    </w:p>
    <w:p>
      <w:pPr>
        <w:pStyle w:val="GesAbsatz"/>
      </w:pPr>
    </w:p>
    <w:p>
      <w:pPr>
        <w:pStyle w:val="GesAbsatz"/>
      </w:pPr>
      <w:r>
        <w:t>2.2 SO</w:t>
      </w:r>
      <w:r>
        <w:rPr>
          <w:vertAlign w:val="subscript"/>
        </w:rPr>
        <w:t>2</w:t>
      </w:r>
      <w:r>
        <w:t xml:space="preserve"> Analysator Modell 43i </w:t>
      </w:r>
    </w:p>
    <w:p>
      <w:pPr>
        <w:pStyle w:val="GesAbsatz"/>
      </w:pPr>
      <w:r>
        <w:t>Hersteller:</w:t>
      </w:r>
    </w:p>
    <w:p>
      <w:pPr>
        <w:pStyle w:val="GesAbsatz"/>
      </w:pPr>
      <w:r>
        <w:t>Thermo Electron Corporation, Franklin, USA</w:t>
      </w:r>
    </w:p>
    <w:p>
      <w:pPr>
        <w:pStyle w:val="GesAbsatz"/>
      </w:pPr>
      <w:r>
        <w:t>Vertrieb:</w:t>
      </w:r>
    </w:p>
    <w:p>
      <w:pPr>
        <w:pStyle w:val="GesAbsatz"/>
      </w:pPr>
      <w:r>
        <w:t>Thermo Electron Corporation, Erlangen</w:t>
      </w:r>
    </w:p>
    <w:p>
      <w:pPr>
        <w:pStyle w:val="GesAbsatz"/>
      </w:pPr>
      <w:r>
        <w:t>Eignung:</w:t>
      </w:r>
    </w:p>
    <w:p>
      <w:pPr>
        <w:pStyle w:val="GesAbsatz"/>
      </w:pPr>
      <w:r>
        <w:t>Zur kontinuierlichen Immissionsmessung von Schwefeldioxid im stationären Einsatz</w:t>
      </w:r>
    </w:p>
    <w:p>
      <w:pPr>
        <w:pStyle w:val="GesAbsatz"/>
      </w:pPr>
      <w:r>
        <w:t xml:space="preserve">Messbereiche bei der Eignungsprüfung: </w:t>
      </w:r>
    </w:p>
    <w:p>
      <w:pPr>
        <w:pStyle w:val="GesAbsatz"/>
        <w:tabs>
          <w:tab w:val="clear" w:pos="425"/>
          <w:tab w:val="left" w:pos="2268"/>
        </w:tabs>
      </w:pPr>
      <w:r>
        <w:t>SO</w:t>
      </w:r>
      <w:r>
        <w:rPr>
          <w:vertAlign w:val="subscript"/>
        </w:rPr>
        <w:t>2</w:t>
      </w:r>
      <w:r>
        <w:t xml:space="preserve"> </w:t>
      </w:r>
      <w:r>
        <w:tab/>
        <w:t>0 - 700 µg/m</w:t>
      </w:r>
      <w:r>
        <w:rPr>
          <w:vertAlign w:val="superscript"/>
        </w:rPr>
        <w:t>3</w:t>
      </w:r>
      <w:r>
        <w:t xml:space="preserve"> und</w:t>
      </w:r>
    </w:p>
    <w:p>
      <w:pPr>
        <w:pStyle w:val="GesAbsatz"/>
        <w:tabs>
          <w:tab w:val="clear" w:pos="425"/>
          <w:tab w:val="left" w:pos="2268"/>
        </w:tabs>
      </w:pPr>
      <w:r>
        <w:tab/>
        <w:t>0 - 1000 µg/m</w:t>
      </w:r>
      <w:r>
        <w:rPr>
          <w:vertAlign w:val="superscript"/>
        </w:rPr>
        <w:t>3</w:t>
      </w:r>
    </w:p>
    <w:p>
      <w:pPr>
        <w:pStyle w:val="GesAbsatz"/>
      </w:pPr>
      <w:r>
        <w:t>Softwareversion: V 01.03.00.083</w:t>
      </w:r>
    </w:p>
    <w:p>
      <w:pPr>
        <w:pStyle w:val="GesAbsatz"/>
      </w:pPr>
      <w:r>
        <w:t>Prüfinstitut:</w:t>
      </w:r>
    </w:p>
    <w:p>
      <w:pPr>
        <w:pStyle w:val="GesAbsatz"/>
      </w:pPr>
      <w:r>
        <w:t>TÜV Rheinland Immissionsschutz und Energiesysteme GmbH, Köln,</w:t>
      </w:r>
    </w:p>
    <w:p>
      <w:pPr>
        <w:pStyle w:val="GesAbsatz"/>
      </w:pPr>
      <w:r>
        <w:t>TUV Rheinland Group</w:t>
      </w:r>
    </w:p>
    <w:p>
      <w:pPr>
        <w:pStyle w:val="GesAbsatz"/>
      </w:pPr>
      <w:r>
        <w:t>Bericht-Nr. 936/21203248/D vom 7. Juli 2006</w:t>
      </w:r>
    </w:p>
    <w:p>
      <w:pPr>
        <w:pStyle w:val="GesAbsatz"/>
      </w:pPr>
    </w:p>
    <w:p>
      <w:pPr>
        <w:pStyle w:val="GesAbsatz"/>
      </w:pPr>
      <w:r>
        <w:t>3 Stickstoffoxide (NO, NO</w:t>
      </w:r>
      <w:r>
        <w:rPr>
          <w:vertAlign w:val="subscript"/>
        </w:rPr>
        <w:t>2</w:t>
      </w:r>
      <w:r>
        <w:t>, NO</w:t>
      </w:r>
      <w:r>
        <w:rPr>
          <w:vertAlign w:val="subscript"/>
        </w:rPr>
        <w:t>x</w:t>
      </w:r>
      <w:r>
        <w:t>)</w:t>
      </w:r>
    </w:p>
    <w:p>
      <w:pPr>
        <w:pStyle w:val="GesAbsatz"/>
      </w:pPr>
      <w:r>
        <w:t>3.1 APNA 370</w:t>
      </w:r>
    </w:p>
    <w:p>
      <w:pPr>
        <w:pStyle w:val="GesAbsatz"/>
      </w:pPr>
      <w:r>
        <w:t>Hersteller:</w:t>
      </w:r>
    </w:p>
    <w:p>
      <w:pPr>
        <w:pStyle w:val="GesAbsatz"/>
      </w:pPr>
      <w:r>
        <w:t>Horiba, Ltd. Kyoto, Japan</w:t>
      </w:r>
    </w:p>
    <w:p>
      <w:pPr>
        <w:pStyle w:val="GesAbsatz"/>
      </w:pPr>
      <w:r>
        <w:t>Vertrieb:</w:t>
      </w:r>
    </w:p>
    <w:p>
      <w:pPr>
        <w:pStyle w:val="GesAbsatz"/>
      </w:pPr>
      <w:r>
        <w:t>Horiba Europe GmbH, Leichlingen</w:t>
      </w:r>
    </w:p>
    <w:p>
      <w:pPr>
        <w:pStyle w:val="GesAbsatz"/>
      </w:pPr>
      <w:r>
        <w:t>Eignung:</w:t>
      </w:r>
    </w:p>
    <w:p>
      <w:pPr>
        <w:pStyle w:val="GesAbsatz"/>
      </w:pPr>
      <w:r>
        <w:t>Zur kontinuierlichen Immissionsmessung von NO, NO</w:t>
      </w:r>
      <w:r>
        <w:rPr>
          <w:vertAlign w:val="subscript"/>
        </w:rPr>
        <w:t>2</w:t>
      </w:r>
      <w:r>
        <w:t>und NO</w:t>
      </w:r>
      <w:r>
        <w:rPr>
          <w:vertAlign w:val="subscript"/>
        </w:rPr>
        <w:t>x</w:t>
      </w:r>
      <w:r>
        <w:t xml:space="preserve"> im stationären Einsatz.</w:t>
      </w:r>
    </w:p>
    <w:p>
      <w:pPr>
        <w:pStyle w:val="GesAbsatz"/>
      </w:pPr>
      <w:r>
        <w:t>Messbereiche bei der Eignungsprüfung:</w:t>
      </w:r>
    </w:p>
    <w:p>
      <w:pPr>
        <w:pStyle w:val="GesAbsatz"/>
        <w:tabs>
          <w:tab w:val="clear" w:pos="425"/>
          <w:tab w:val="left" w:pos="2268"/>
        </w:tabs>
        <w:rPr>
          <w:vertAlign w:val="superscript"/>
        </w:rPr>
      </w:pPr>
      <w:r>
        <w:t>NO</w:t>
      </w:r>
      <w:r>
        <w:rPr>
          <w:vertAlign w:val="subscript"/>
        </w:rPr>
        <w:t>2</w:t>
      </w:r>
      <w:r>
        <w:tab/>
        <w:t>0 bis 400 gg/m</w:t>
      </w:r>
      <w:r>
        <w:rPr>
          <w:vertAlign w:val="superscript"/>
        </w:rPr>
        <w:t>3</w:t>
      </w:r>
    </w:p>
    <w:p>
      <w:pPr>
        <w:pStyle w:val="GesAbsatz"/>
        <w:tabs>
          <w:tab w:val="clear" w:pos="425"/>
          <w:tab w:val="left" w:pos="2268"/>
        </w:tabs>
      </w:pPr>
      <w:r>
        <w:lastRenderedPageBreak/>
        <w:t>NO</w:t>
      </w:r>
      <w:r>
        <w:rPr>
          <w:vertAlign w:val="subscript"/>
        </w:rPr>
        <w:t>2</w:t>
      </w:r>
      <w:r>
        <w:tab/>
        <w:t>0 bis 500 gg/m</w:t>
      </w:r>
      <w:r>
        <w:rPr>
          <w:vertAlign w:val="superscript"/>
        </w:rPr>
        <w:t>3</w:t>
      </w:r>
      <w:r>
        <w:t xml:space="preserve"> </w:t>
      </w:r>
    </w:p>
    <w:p>
      <w:pPr>
        <w:pStyle w:val="GesAbsatz"/>
        <w:tabs>
          <w:tab w:val="clear" w:pos="425"/>
          <w:tab w:val="left" w:pos="2268"/>
        </w:tabs>
      </w:pPr>
      <w:r>
        <w:t>NO</w:t>
      </w:r>
      <w:r>
        <w:tab/>
        <w:t>0 bis 1200 gg/m</w:t>
      </w:r>
      <w:r>
        <w:rPr>
          <w:vertAlign w:val="superscript"/>
        </w:rPr>
        <w:t>3</w:t>
      </w:r>
    </w:p>
    <w:p>
      <w:pPr>
        <w:pStyle w:val="GesAbsatz"/>
        <w:tabs>
          <w:tab w:val="clear" w:pos="425"/>
          <w:tab w:val="left" w:pos="2268"/>
        </w:tabs>
      </w:pPr>
      <w:r>
        <w:t>Softwareversion: P1000878001C</w:t>
      </w:r>
    </w:p>
    <w:p>
      <w:pPr>
        <w:pStyle w:val="GesAbsatz"/>
      </w:pPr>
      <w:r>
        <w:t>Prüfinstitut:</w:t>
      </w:r>
    </w:p>
    <w:p>
      <w:pPr>
        <w:pStyle w:val="GesAbsatz"/>
      </w:pPr>
      <w:r>
        <w:t>TÜV Rheinland Immissionsschutz und Energiesysteme GmbH, Köln, TÜV Rheinland Group</w:t>
      </w:r>
    </w:p>
    <w:p>
      <w:pPr>
        <w:pStyle w:val="GesAbsatz"/>
      </w:pPr>
      <w:r>
        <w:t>Bericht-Nr. 936/21204643/C vom 7. Juli 2006</w:t>
      </w:r>
    </w:p>
    <w:p>
      <w:pPr>
        <w:pStyle w:val="berschrift2"/>
      </w:pPr>
      <w:r>
        <w:t>V.</w:t>
      </w:r>
      <w:r>
        <w:br/>
        <w:t xml:space="preserve">Mitteilungen zur Bundeseinheitlichen Praxis bei der Überwachung </w:t>
      </w:r>
      <w:r>
        <w:br/>
        <w:t>von Emissionen und Immissionen</w:t>
      </w:r>
    </w:p>
    <w:p>
      <w:pPr>
        <w:pStyle w:val="GesAbsatz"/>
      </w:pPr>
      <w:r>
        <w:t>1 Mitteilung zur Bekanntmachung des Umweltbundesamtes vom 22. April 2003 (BAnz. S. 10 742)</w:t>
      </w:r>
    </w:p>
    <w:p>
      <w:pPr>
        <w:pStyle w:val="GesAbsatz"/>
      </w:pPr>
      <w:r>
        <w:t>Die Messeinrichtung D-R 290 der Firma DURAG Industrie Elektronik GmbH &amp; Co. KG, 22453 Hamburg, kann zur Überwachung eines Emissionsgrenzwertes an genehmigungsbedürftigen Anlagen und Anlagen der 27. BlmSchV dann eingesetzt werden, wenn das nach Formel 1 berechnete Konzentrationsstreckenprodukt größer als 80 mg/m</w:t>
      </w:r>
      <w:r>
        <w:rPr>
          <w:vertAlign w:val="superscript"/>
        </w:rPr>
        <w:t>3</w:t>
      </w:r>
      <w:r>
        <w:t>* m ist.</w:t>
      </w:r>
    </w:p>
    <w:p>
      <w:pPr>
        <w:pStyle w:val="GesAbsatz"/>
      </w:pPr>
      <w:r>
        <w:t>CL = C*L (1)</w:t>
      </w:r>
    </w:p>
    <w:p>
      <w:pPr>
        <w:pStyle w:val="GesAbsatz"/>
      </w:pPr>
      <w:r>
        <w:t>CL = Konzentrationsstreckenprodukt ((mg/m</w:t>
      </w:r>
      <w:r>
        <w:rPr>
          <w:vertAlign w:val="superscript"/>
        </w:rPr>
        <w:t>3</w:t>
      </w:r>
      <w:r>
        <w:t xml:space="preserve">) *m) </w:t>
      </w:r>
    </w:p>
    <w:p>
      <w:pPr>
        <w:pStyle w:val="GesAbsatz"/>
      </w:pPr>
      <w:r>
        <w:t>C = Konzentration am Grenzwert (mg/m</w:t>
      </w:r>
      <w:r>
        <w:rPr>
          <w:vertAlign w:val="superscript"/>
        </w:rPr>
        <w:t>3</w:t>
      </w:r>
      <w:r>
        <w:t xml:space="preserve">) </w:t>
      </w:r>
    </w:p>
    <w:p>
      <w:pPr>
        <w:pStyle w:val="GesAbsatz"/>
      </w:pPr>
      <w:r>
        <w:t>L = Länge der Messstrecke (m)</w:t>
      </w:r>
    </w:p>
    <w:p>
      <w:pPr>
        <w:pStyle w:val="GesAbsatz"/>
      </w:pPr>
      <w:r>
        <w:t>Stellungnahme der TÜV Rheinland Immissionsschutz und Energiesysteme, 51101 Köln, Dr. Peter Wilbring, vom 30. Juni 2006.</w:t>
      </w:r>
    </w:p>
    <w:p>
      <w:pPr>
        <w:pStyle w:val="GesAbsatz"/>
      </w:pPr>
      <w:r>
        <w:t>2 Mitteilung zur Bekanntmachung des Umweltbundesamtes vom 21. Februar 2006 (BAnz. S. 2653)</w:t>
      </w:r>
    </w:p>
    <w:p>
      <w:pPr>
        <w:pStyle w:val="GesAbsatz"/>
      </w:pPr>
      <w:r>
        <w:t>Die Messeinrichtung VA 3000 der Fa. Horiba Europe GmbH kann auch mit der Probenaufbereitung VSE-3003 betrieben werden. Die Probenaufbereitung VSE-3003 ersetzt in diesem Fall die im Eignungsprüfbericht genannten Probenaufbereitungen VS 3001 bis 3003.</w:t>
      </w:r>
    </w:p>
    <w:p>
      <w:pPr>
        <w:pStyle w:val="GesAbsatz"/>
      </w:pPr>
      <w:r>
        <w:t>Stellungnahme der TÜV Rheinland Immissionsschutz und Energiesysteme, 51101 Köln, Dr. Peter Wilbring, vom 30. Juni 2006</w:t>
      </w:r>
    </w:p>
    <w:p>
      <w:pPr>
        <w:pStyle w:val="GesAbsatz"/>
      </w:pPr>
      <w:r>
        <w:t>3 Mitteilung zur Bekanntmachung im GMBI 2001 Nr. 19 S. 387</w:t>
      </w:r>
    </w:p>
    <w:p>
      <w:pPr>
        <w:pStyle w:val="GesAbsatz"/>
      </w:pPr>
      <w:r>
        <w:t>Die aktuelle Softwareversion der Messeinrichtung Modularsystem S 700, Multor/Oxor 710/715/720 für CO, NO, SO</w:t>
      </w:r>
      <w:r>
        <w:rPr>
          <w:vertAlign w:val="subscript"/>
        </w:rPr>
        <w:t>2</w:t>
      </w:r>
      <w:r>
        <w:t>, O</w:t>
      </w:r>
      <w:r>
        <w:rPr>
          <w:vertAlign w:val="subscript"/>
        </w:rPr>
        <w:t>2</w:t>
      </w:r>
      <w:r>
        <w:t xml:space="preserve"> der Firma Maihak AG ist jetzt die Version </w:t>
      </w:r>
      <w:smartTag w:uri="urn:schemas-microsoft-com:office:smarttags" w:element="time">
        <w:smartTagPr>
          <w:attr w:name="Hour" w:val="1"/>
          <w:attr w:name="Minute" w:val="29"/>
        </w:smartTagPr>
        <w:r>
          <w:t>1.29.</w:t>
        </w:r>
      </w:smartTag>
    </w:p>
    <w:p>
      <w:pPr>
        <w:pStyle w:val="GesAbsatz"/>
      </w:pPr>
      <w:r>
        <w:t>Stellungnahme der TÜV Rheinland Immissionsschutz und Energiesysteme, 51101 Köln, Dr. Peter Wilbring, vom 30. Juni 2006</w:t>
      </w:r>
    </w:p>
    <w:p>
      <w:pPr>
        <w:pStyle w:val="GesAbsatz"/>
      </w:pPr>
      <w:r>
        <w:t>4 Mitteilung zur Bekanntmachung des Umweltbundesamtes vom 31. März 2005 (BAnz. S. 6892).</w:t>
      </w:r>
    </w:p>
    <w:p>
      <w:pPr>
        <w:pStyle w:val="GesAbsatz"/>
      </w:pPr>
      <w:r>
        <w:t>Die aktuelle Softwareversion der Messeinrichtung StackGuard der Firma Dr. Sigrist AG ist jetzt die Version 1.1.</w:t>
      </w:r>
    </w:p>
    <w:p>
      <w:pPr>
        <w:pStyle w:val="GesAbsatz"/>
      </w:pPr>
      <w:r>
        <w:t>Stellungnahme der TÜV Rheinland Immissionsschutz und Energiesysteme, 51101 Köln, Dr. Peter Wilbring, vom 30. Juni 2006</w:t>
      </w:r>
    </w:p>
    <w:p>
      <w:pPr>
        <w:pStyle w:val="GesAbsatz"/>
      </w:pPr>
      <w:r>
        <w:t>5 Mitteilung zur Bekanntmachung des Umweltbundesamtes vom 21. Februar 2006 (BAnz. S. 2653)</w:t>
      </w:r>
    </w:p>
    <w:p>
      <w:pPr>
        <w:pStyle w:val="GesAbsatz"/>
      </w:pPr>
      <w:r>
        <w:t>Die Messeinrichtung Analysensystem ZKJ/ZFK7 der Firma Fuji Electric Systems Co., Ltd., Japan, erfüllt die Anforderungen an die Gesamtunsicherheit gemäß DIN EN 14 956 ab einem Grenzwert für das Tagesmittel von CO von 60 mg/m</w:t>
      </w:r>
      <w:r>
        <w:rPr>
          <w:vertAlign w:val="superscript"/>
        </w:rPr>
        <w:t>3</w:t>
      </w:r>
      <w:r>
        <w:t>.</w:t>
      </w:r>
    </w:p>
    <w:p>
      <w:pPr>
        <w:pStyle w:val="GesAbsatz"/>
      </w:pPr>
      <w:r>
        <w:t>Stellungnahme der TÜV Rheinland Immissionsschutz und Energiesysteme GmbH, 51101 Köln, Dr. Peter Wilbring, vom 30. Juni 2006</w:t>
      </w:r>
    </w:p>
    <w:p>
      <w:pPr>
        <w:pStyle w:val="GesAbsatz"/>
      </w:pPr>
      <w:r>
        <w:t>6 Mitteilung zur Bekanntmachung des Umweltbundesamtes vom 21. Februar 2006 (BAnz. S. 2653)</w:t>
      </w:r>
    </w:p>
    <w:p>
      <w:pPr>
        <w:pStyle w:val="GesAbsatz"/>
      </w:pPr>
      <w:r>
        <w:t>Die Messeinrichtung Analysensystem ZRJ/ZFK7 der Firma Fuji Electric Systems Co., Ltd., Japan, erfüllt die Anforderungen an die Gesamtunsicherheit gemäß DIN EN 14 956 ab einem Grenzwert für das Tagesmittel von CO von 140 mg/m</w:t>
      </w:r>
      <w:r>
        <w:rPr>
          <w:vertAlign w:val="superscript"/>
        </w:rPr>
        <w:t>3</w:t>
      </w:r>
      <w:r>
        <w:t>.</w:t>
      </w:r>
    </w:p>
    <w:p>
      <w:pPr>
        <w:pStyle w:val="GesAbsatz"/>
      </w:pPr>
      <w:r>
        <w:lastRenderedPageBreak/>
        <w:t>Stellungnahme der TÜV Rheinland Immissionsschutz und Energiesysteme GmbH, 51101 Köln, Dr. Peter Wilbring, vom 30. Juni 2006</w:t>
      </w:r>
    </w:p>
    <w:p>
      <w:pPr>
        <w:pStyle w:val="berschrift2"/>
      </w:pPr>
      <w:r>
        <w:t>VI.</w:t>
      </w:r>
      <w:r>
        <w:br/>
        <w:t xml:space="preserve">Ergänzung zur Bundeseinheitlichen Praxis bei der Überwachung </w:t>
      </w:r>
      <w:r>
        <w:br/>
        <w:t>von Emissionen und Immissionen</w:t>
      </w:r>
    </w:p>
    <w:p>
      <w:pPr>
        <w:pStyle w:val="GesAbsatz"/>
      </w:pPr>
      <w:r>
        <w:t>Ergänzung zur Bekanntmachung des Umweltbundesamtes vom 21. Februar 2006 (BAnz. S. 2653)</w:t>
      </w:r>
    </w:p>
    <w:p>
      <w:pPr>
        <w:pStyle w:val="GesAbsatz"/>
      </w:pPr>
      <w:r>
        <w:t>Die Messeinrichtung LAMDATRANSMITTER LT 10 P wird auch von der Fa. Sick Maihack GmbH unter dem Gerätenamen ZIRKOR 302 P vertrieben.</w:t>
      </w:r>
    </w:p>
    <w:p>
      <w:pPr>
        <w:pStyle w:val="GesAbsatz"/>
      </w:pPr>
      <w:r>
        <w:t>Stellungnahme der TÜV Rheinland Immissionsschutz und Energiesysteme GmbH, 51101 Köln, Dr. Peter Wilbring, vom 1. August 2006</w:t>
      </w:r>
    </w:p>
    <w:p>
      <w:pPr>
        <w:pStyle w:val="GesAbsatz"/>
      </w:pPr>
    </w:p>
    <w:p>
      <w:pPr>
        <w:pStyle w:val="GesAbsatz"/>
      </w:pPr>
    </w:p>
    <w:sectPr>
      <w:headerReference w:type="default" r:id="rId6"/>
      <w:footerReference w:type="even" r:id="rId7"/>
      <w:footerReference w:type="default" r:id="rId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
    </w:pPr>
    <w:r>
      <w:tab/>
      <w:t>12.9.2006 (BAnz. 194 S. 6715)</w:t>
    </w:r>
    <w:r>
      <w:tab/>
      <w:t>Se</w:t>
    </w:r>
    <w:r>
      <w:t>i</w:t>
    </w:r>
    <w:r>
      <w:t xml:space="preserve">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spacing w:before="0"/>
      <w:rPr>
        <w:b/>
        <w:sz w:val="24"/>
      </w:rPr>
    </w:pPr>
    <w:r>
      <w:rPr>
        <w:b/>
        <w:sz w:val="24"/>
      </w:rPr>
      <w:t>61.4-49</w:t>
    </w:r>
  </w:p>
  <w:p>
    <w:pPr>
      <w:pStyle w:val="Kopfzeile"/>
      <w:spacing w:before="0"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050"/>
    <o:shapelayout v:ext="edit">
      <o:idmap v:ext="edit" data="1"/>
    </o:shapelayout>
  </w:shapeDefaults>
  <w:decimalSymbol w:val=","/>
  <w:listSeparator w:val=";"/>
  <w15:chartTrackingRefBased/>
  <w15:docId w15:val="{11B6CC80-DA00-4FA9-BCF3-368B0AE57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Standard"/>
    <w:qFormat/>
    <w:pPr>
      <w:keepNext/>
      <w:spacing w:before="0"/>
      <w:jc w:val="center"/>
      <w:outlineLvl w:val="0"/>
    </w:pPr>
    <w:rPr>
      <w:b/>
      <w:kern w:val="28"/>
      <w:sz w:val="28"/>
    </w:rPr>
  </w:style>
  <w:style w:type="paragraph" w:styleId="berschrift2">
    <w:name w:val="heading 2"/>
    <w:basedOn w:val="Standard"/>
    <w:next w:val="Standard"/>
    <w:qFormat/>
    <w:pPr>
      <w:keepNext/>
      <w:spacing w:before="240"/>
      <w:jc w:val="center"/>
      <w:outlineLvl w:val="1"/>
    </w:pPr>
    <w:rPr>
      <w:b/>
      <w:sz w:val="24"/>
    </w:rPr>
  </w:style>
  <w:style w:type="paragraph" w:styleId="berschrift3">
    <w:name w:val="heading 3"/>
    <w:basedOn w:val="Standard"/>
    <w:next w:val="Standard"/>
    <w:qFormat/>
    <w:pPr>
      <w:keepNext/>
      <w:spacing w:before="240" w:after="180"/>
      <w:jc w:val="center"/>
      <w:outlineLvl w:val="2"/>
    </w:pPr>
    <w:rPr>
      <w:b/>
    </w:rPr>
  </w:style>
  <w:style w:type="paragraph" w:styleId="berschrift4">
    <w:name w:val="heading 4"/>
    <w:basedOn w:val="Standard"/>
    <w:next w:val="Standard"/>
    <w:qFormat/>
    <w:pPr>
      <w:keepNext/>
      <w:spacing w:before="240"/>
      <w:outlineLvl w:val="3"/>
    </w:pPr>
  </w:style>
  <w:style w:type="paragraph" w:styleId="berschrift5">
    <w:name w:val="heading 5"/>
    <w:basedOn w:val="Standard"/>
    <w:next w:val="Standard"/>
    <w:qFormat/>
    <w:pPr>
      <w:spacing w:before="120"/>
      <w:ind w:left="709" w:hanging="709"/>
      <w:outlineLvl w:val="4"/>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spacing w:after="0"/>
      <w:jc w:val="right"/>
    </w:pPr>
  </w:style>
  <w:style w:type="paragraph" w:styleId="Fuzeile">
    <w:name w:val="footer"/>
    <w:basedOn w:val="Standard"/>
    <w:pPr>
      <w:tabs>
        <w:tab w:val="clear" w:pos="425"/>
        <w:tab w:val="right" w:pos="8505"/>
        <w:tab w:val="right" w:pos="9639"/>
      </w:tabs>
      <w:spacing w:before="0" w:after="0"/>
      <w:jc w:val="left"/>
    </w:pPr>
    <w:rPr>
      <w:sz w:val="16"/>
    </w:rPr>
  </w:style>
  <w:style w:type="character" w:styleId="Seitenzahl">
    <w:name w:val="page number"/>
    <w:basedOn w:val="Absatz-Standardschriftart"/>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pPr>
      <w:tabs>
        <w:tab w:val="left" w:pos="425"/>
      </w:tabs>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basedOn w:val="Absatz-Standardschriftart"/>
    <w:semiHidden/>
    <w:rPr>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basedOn w:val="Absatz-Standardschriftart"/>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rueter\Anwendungsdaten\Microsoft\Vorlagen\VTU.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VTU.DOT</Template>
  <TotalTime>0</TotalTime>
  <Pages>13</Pages>
  <Words>3142</Words>
  <Characters>19657</Characters>
  <Application>Microsoft Office Word</Application>
  <DocSecurity>0</DocSecurity>
  <Lines>163</Lines>
  <Paragraphs>45</Paragraphs>
  <ScaleCrop>false</ScaleCrop>
  <HeadingPairs>
    <vt:vector size="2" baseType="variant">
      <vt:variant>
        <vt:lpstr>Titel</vt:lpstr>
      </vt:variant>
      <vt:variant>
        <vt:i4>1</vt:i4>
      </vt:variant>
    </vt:vector>
  </HeadingPairs>
  <TitlesOfParts>
    <vt:vector size="1" baseType="lpstr">
      <vt:lpstr>Bekanntmachung über die bundeseinheitliche Praxis bei der Überwa-chung der Emissionen und der Immissionen</vt:lpstr>
    </vt:vector>
  </TitlesOfParts>
  <Manager/>
  <Company>Landesumweltamt NRW</Company>
  <LinksUpToDate>false</LinksUpToDate>
  <CharactersWithSpaces>22754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Bekanntmachung über die bundeseinheitliche Praxis bei der Überwa-chung der Emissionen und der Immissionen</dc:title>
  <dc:subject/>
  <dc:creator>Rü</dc:creator>
  <cp:keywords/>
  <dc:description/>
  <cp:lastModifiedBy>Rüter, Dr., Ingo</cp:lastModifiedBy>
  <cp:revision>2</cp:revision>
  <cp:lastPrinted>2004-12-14T12:08:00Z</cp:lastPrinted>
  <dcterms:created xsi:type="dcterms:W3CDTF">2024-07-17T14:15:00Z</dcterms:created>
  <dcterms:modified xsi:type="dcterms:W3CDTF">2024-07-17T14:15:00Z</dcterms:modified>
</cp:coreProperties>
</file>