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0"/>
      </w:pPr>
      <w:bookmarkStart w:id="0" w:name="_Toc57524364"/>
      <w:bookmarkStart w:id="1" w:name="_GoBack"/>
      <w:bookmarkEnd w:id="1"/>
      <w:r>
        <w:t>Bekanntmachung über die einheitliche Praxis bei der Überwachung</w:t>
      </w:r>
      <w:r>
        <w:br/>
        <w:t>der Emissionen und der Immissionen</w:t>
      </w:r>
      <w:bookmarkEnd w:id="0"/>
    </w:p>
    <w:p>
      <w:pPr>
        <w:pStyle w:val="GesAbsatz"/>
        <w:jc w:val="center"/>
      </w:pPr>
      <w:r>
        <w:t>vom 17. Oktober 2003</w:t>
      </w:r>
    </w:p>
    <w:p>
      <w:pPr>
        <w:pStyle w:val="GesAbsatz"/>
        <w:jc w:val="center"/>
      </w:pPr>
    </w:p>
    <w:p>
      <w:pPr>
        <w:pStyle w:val="GesAbsatz"/>
        <w:jc w:val="center"/>
        <w:rPr>
          <w:b/>
          <w:bCs/>
          <w:noProof/>
        </w:rPr>
      </w:pPr>
      <w:r>
        <w:rPr>
          <w:b/>
          <w:bCs/>
          <w:sz w:val="22"/>
        </w:rPr>
        <w:t>Inhalt:</w:t>
      </w:r>
      <w:r>
        <w:rPr>
          <w:b/>
          <w:bCs/>
          <w:sz w:val="22"/>
        </w:rPr>
        <w:fldChar w:fldCharType="begin"/>
      </w:r>
      <w:r>
        <w:rPr>
          <w:b/>
          <w:bCs/>
          <w:sz w:val="22"/>
        </w:rPr>
        <w:instrText xml:space="preserve"> TOC \o "1-3" \h \z </w:instrText>
      </w:r>
      <w:r>
        <w:rPr>
          <w:b/>
          <w:bCs/>
          <w:sz w:val="22"/>
        </w:rPr>
        <w:fldChar w:fldCharType="separate"/>
      </w:r>
    </w:p>
    <w:p>
      <w:pPr>
        <w:pStyle w:val="Verzeichnis1"/>
        <w:tabs>
          <w:tab w:val="right" w:leader="dot" w:pos="9628"/>
        </w:tabs>
        <w:rPr>
          <w:b w:val="0"/>
          <w:bCs w:val="0"/>
          <w:caps w:val="0"/>
          <w:noProof/>
          <w:sz w:val="24"/>
        </w:rPr>
      </w:pPr>
      <w:hyperlink w:anchor="_Toc57524364" w:history="1">
        <w:r>
          <w:rPr>
            <w:rStyle w:val="Hyperlink"/>
            <w:noProof/>
            <w:szCs w:val="28"/>
          </w:rPr>
          <w:t>Bekanntmachung über die einheitliche Praxis bei der Überwachung der Emissionen und der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_Toc57524364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</w:rPr>
      </w:pPr>
      <w:hyperlink w:anchor="_Toc57524365" w:history="1">
        <w:r>
          <w:rPr>
            <w:rStyle w:val="Hyperlink"/>
            <w:noProof/>
          </w:rPr>
          <w:t>I. Eignung von Messeinrichtungen zu kontinuierlichen Überwachung von Emissionen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_Toc57524365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</w:rPr>
      </w:pPr>
      <w:hyperlink w:anchor="_Toc57524366" w:history="1">
        <w:r>
          <w:rPr>
            <w:rStyle w:val="Hyperlink"/>
            <w:noProof/>
          </w:rPr>
          <w:t>1 Staubförmige Emission (qualitative Messung)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_Toc57524366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</w:rPr>
      </w:pPr>
      <w:hyperlink w:anchor="_Toc57524367" w:history="1">
        <w:r>
          <w:rPr>
            <w:rStyle w:val="Hyperlink"/>
            <w:noProof/>
          </w:rPr>
          <w:t>2 Staubförmige Emissionen (Staubkonzentration)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_Toc57524367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</w:rPr>
      </w:pPr>
      <w:hyperlink w:anchor="_Toc57524368" w:history="1">
        <w:r>
          <w:rPr>
            <w:rStyle w:val="Hyperlink"/>
            <w:noProof/>
          </w:rPr>
          <w:t>3 Mehrkomponentenmesseinrichtungen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_Toc57524368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</w:rPr>
      </w:pPr>
      <w:hyperlink w:anchor="_Toc57524369" w:history="1">
        <w:r>
          <w:rPr>
            <w:rStyle w:val="Hyperlink"/>
            <w:noProof/>
          </w:rPr>
          <w:t>II. Eignung für Messeinrichtungen zur kontinuierlichen Messung von Bezugsgrößen/Betriebsgrößen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_Toc57524369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</w:rPr>
      </w:pPr>
      <w:hyperlink w:anchor="_Toc57524370" w:history="1">
        <w:r>
          <w:rPr>
            <w:rStyle w:val="Hyperlink"/>
            <w:noProof/>
          </w:rPr>
          <w:t>III. Elektronische Systeme zur Erfassung und Auswertung kontinuierlicher Emissionsmessungen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_Toc57524370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</w:rPr>
      </w:pPr>
      <w:hyperlink w:anchor="_Toc57524371" w:history="1">
        <w:r>
          <w:rPr>
            <w:rStyle w:val="Hyperlink"/>
            <w:noProof/>
          </w:rPr>
          <w:t>IV. Mitteilung zum Rundschreiben des BMU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_Toc57524371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  <w:jc w:val="center"/>
        <w:rPr>
          <w:sz w:val="22"/>
        </w:rPr>
      </w:pPr>
      <w:r>
        <w:rPr>
          <w:sz w:val="22"/>
        </w:rPr>
        <w:fldChar w:fldCharType="end"/>
      </w:r>
    </w:p>
    <w:p>
      <w:pPr>
        <w:pStyle w:val="berschrift2"/>
      </w:pPr>
      <w:bookmarkStart w:id="2" w:name="_Toc57524365"/>
      <w:r>
        <w:t>I.</w:t>
      </w:r>
      <w:r>
        <w:br/>
        <w:t>Eignung von Messeinrichtungen zu kontinuierlichen</w:t>
      </w:r>
      <w:r>
        <w:br/>
        <w:t>Überwachung von Emissionen</w:t>
      </w:r>
      <w:bookmarkEnd w:id="2"/>
    </w:p>
    <w:p>
      <w:pPr>
        <w:pStyle w:val="GesAbsatz"/>
      </w:pPr>
      <w:r>
        <w:t>Unter Bezugnahme auf Nummer 3 der Richtlinie über die Bundeseinheitliche Praxis bei der Überwachung der Emissionen – Rundschreiben des Bundesministeriums für Umwelt, Naturschutz und Reaktorsicherheit (BMU) vom 08. Juni 1998 – IG I 3 – 51 134/3 (GMBl S. 543) – wird im Auftrag des BMU die Eignung der folgenden Messeinrichtungen bekannt gegeben:</w:t>
      </w:r>
    </w:p>
    <w:p>
      <w:pPr>
        <w:pStyle w:val="berschrift3"/>
        <w:jc w:val="left"/>
      </w:pPr>
      <w:bookmarkStart w:id="3" w:name="_Toc57524366"/>
      <w:r>
        <w:t>1 Staubförmige Emission (qualitative Messung)</w:t>
      </w:r>
      <w:bookmarkEnd w:id="3"/>
    </w:p>
    <w:p>
      <w:pPr>
        <w:pStyle w:val="GesAbsatz"/>
        <w:rPr>
          <w:b/>
        </w:rPr>
      </w:pPr>
      <w:r>
        <w:rPr>
          <w:b/>
        </w:rPr>
        <w:t>1.1 PFM 02</w:t>
      </w:r>
    </w:p>
    <w:p>
      <w:pPr>
        <w:pStyle w:val="GesAbsatz"/>
      </w:pPr>
      <w:r>
        <w:t>Hersteller:</w:t>
      </w:r>
    </w:p>
    <w:p>
      <w:pPr>
        <w:pStyle w:val="GesAbsatz"/>
      </w:pPr>
      <w:r>
        <w:t>Dr. Födisch Umweltmesstechnik AG, 04420 Markranstädt</w:t>
      </w:r>
    </w:p>
    <w:p>
      <w:pPr>
        <w:pStyle w:val="GesAbsatz"/>
      </w:pPr>
      <w:r>
        <w:t>Eignung:</w:t>
      </w:r>
    </w:p>
    <w:p>
      <w:pPr>
        <w:pStyle w:val="GesAbsatz"/>
      </w:pPr>
      <w:r>
        <w:t>Für Anlagen der 27. BImSchV und der TA Luft</w:t>
      </w:r>
    </w:p>
    <w:p>
      <w:pPr>
        <w:pStyle w:val="GesAbsatz"/>
      </w:pPr>
      <w:r>
        <w:t>Messbereich bei der Eignungsprüfung:</w:t>
      </w:r>
    </w:p>
    <w:p>
      <w:pPr>
        <w:pStyle w:val="GesAbsatz"/>
      </w:pPr>
      <w:r>
        <w:t>Staub 0 bis 50 mg/m³</w:t>
      </w:r>
    </w:p>
    <w:p>
      <w:pPr>
        <w:pStyle w:val="GesAbsatz"/>
      </w:pPr>
      <w:r>
        <w:t>Einschränkung:</w:t>
      </w:r>
    </w:p>
    <w:p>
      <w:pPr>
        <w:pStyle w:val="GesAbsatz"/>
      </w:pPr>
      <w:r>
        <w:t>Die Messeinrichtung kann nur eingesetzt werden, wenn keine Taupunktunterschreitungen auftreten.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Die Staubkonzentration wird im feuchten Abgas unter Betriebsbedingungen gemessen.</w:t>
      </w:r>
    </w:p>
    <w:p>
      <w:pPr>
        <w:pStyle w:val="GesAbsatz"/>
        <w:ind w:left="426" w:hanging="426"/>
      </w:pPr>
      <w:r>
        <w:t>2.</w:t>
      </w:r>
      <w:r>
        <w:tab/>
        <w:t>Die Messeinrichtung hat ihre Kalibrierfähigkeit im Bereich 0 bis 50 mg/m³ nachgewiesen.</w:t>
      </w:r>
    </w:p>
    <w:p>
      <w:pPr>
        <w:pStyle w:val="GesAbsatz"/>
        <w:ind w:left="426" w:hanging="426"/>
      </w:pPr>
      <w:r>
        <w:t>3.</w:t>
      </w:r>
      <w:r>
        <w:tab/>
        <w:t>Die eignungsgeprüfte Version bezieht sich nur auf die Sonde mit Rechteckprofil.</w:t>
      </w:r>
    </w:p>
    <w:p>
      <w:pPr>
        <w:pStyle w:val="GesAbsatz"/>
        <w:ind w:left="426" w:hanging="426"/>
      </w:pPr>
      <w:r>
        <w:t>4.</w:t>
      </w:r>
      <w:r>
        <w:tab/>
        <w:t>Die Referenzpunktkontrolle erfolgt nur durch eine interne elektronische Prüfung.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Immissionsschutz und Energiesysteme GmbH, Köln, Unternehmensgruppe TÜV Rheinland/Berlin Bra</w:t>
      </w:r>
      <w:r>
        <w:t>n</w:t>
      </w:r>
      <w:r>
        <w:t>denburg Nr. 936/212 00 495/B vom 29. Juni 2003</w:t>
      </w:r>
    </w:p>
    <w:p>
      <w:pPr>
        <w:pStyle w:val="berschrift3"/>
        <w:jc w:val="left"/>
      </w:pPr>
      <w:bookmarkStart w:id="4" w:name="_Toc57524367"/>
      <w:r>
        <w:t>2 Staubförmige Emissionen (Staubkonzentration)</w:t>
      </w:r>
      <w:bookmarkEnd w:id="4"/>
    </w:p>
    <w:p>
      <w:pPr>
        <w:pStyle w:val="GesAbsatz"/>
        <w:rPr>
          <w:b/>
        </w:rPr>
      </w:pPr>
      <w:r>
        <w:rPr>
          <w:b/>
        </w:rPr>
        <w:t>2.1 FW 101</w:t>
      </w:r>
    </w:p>
    <w:p>
      <w:pPr>
        <w:pStyle w:val="GesAbsatz"/>
      </w:pPr>
      <w:r>
        <w:t>Hersteller:</w:t>
      </w:r>
    </w:p>
    <w:p>
      <w:pPr>
        <w:pStyle w:val="GesAbsatz"/>
        <w:rPr>
          <w:lang w:val="en-GB"/>
        </w:rPr>
      </w:pPr>
      <w:r>
        <w:rPr>
          <w:lang w:val="en-GB"/>
        </w:rPr>
        <w:lastRenderedPageBreak/>
        <w:t>Sick Engineering GmbH, 01458 Ottendorf-Okrilla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  <w:r>
        <w:t>Messbereich bei der Eignungsprüfung:</w:t>
      </w:r>
    </w:p>
    <w:p>
      <w:pPr>
        <w:pStyle w:val="GesAbsatz"/>
      </w:pPr>
      <w:r>
        <w:t>0 – 15 mg/m³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Im Bereich der Messebene dürfen keine Taupunktunterschreitungen auftreten.</w:t>
      </w:r>
    </w:p>
    <w:p>
      <w:pPr>
        <w:pStyle w:val="GesAbsatz"/>
        <w:ind w:left="426" w:hanging="426"/>
      </w:pPr>
      <w:r>
        <w:t>2.</w:t>
      </w:r>
      <w:r>
        <w:tab/>
        <w:t>Ergänzungsprüfung zur Eignungsbekanntgabe im GMBl 2000 S. 1192 Pkt. 1.1; die Ergänzungsprüfung bezieht sich auf die Lanze mit einer Länge von 1335 mm, die alternativ zur Lanze mit der Länge von 1035 mm eingesetzt werden kann.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RWTÜV Systems GmbH, Sparte Umwelttechnik, Nr. 205 92 933 vom 23. Juli 2003</w:t>
      </w:r>
    </w:p>
    <w:p>
      <w:pPr>
        <w:pStyle w:val="berschrift3"/>
        <w:jc w:val="left"/>
      </w:pPr>
      <w:bookmarkStart w:id="5" w:name="_Toc57524368"/>
      <w:r>
        <w:t>3 Mehrkomponentenmesseinrichtungen</w:t>
      </w:r>
      <w:bookmarkEnd w:id="5"/>
    </w:p>
    <w:p>
      <w:pPr>
        <w:pStyle w:val="GesAbsatz"/>
        <w:rPr>
          <w:b/>
          <w:lang w:val="en-GB"/>
        </w:rPr>
      </w:pPr>
      <w:r>
        <w:rPr>
          <w:b/>
          <w:lang w:val="en-GB"/>
        </w:rPr>
        <w:t>3.1 FGA II für CO, NO, NO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SO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 xml:space="preserve"> und CO</w:t>
      </w:r>
      <w:r>
        <w:rPr>
          <w:b/>
          <w:vertAlign w:val="subscript"/>
          <w:lang w:val="en-GB"/>
        </w:rPr>
        <w:t>2</w:t>
      </w:r>
    </w:p>
    <w:p>
      <w:pPr>
        <w:pStyle w:val="GesAbsatz"/>
      </w:pPr>
      <w:r>
        <w:t>Hersteller:</w:t>
      </w:r>
    </w:p>
    <w:p>
      <w:pPr>
        <w:pStyle w:val="GesAbsatz"/>
      </w:pPr>
      <w:r>
        <w:t>LAND Instrument International Ltd., Dronfield, S 18 1DJ, England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decimal" w:pos="1418"/>
        </w:tabs>
        <w:rPr>
          <w:lang w:val="en-GB"/>
        </w:rPr>
      </w:pPr>
      <w:r>
        <w:rPr>
          <w:lang w:val="en-GB"/>
        </w:rPr>
        <w:t>CO:</w:t>
      </w:r>
      <w:r>
        <w:rPr>
          <w:lang w:val="en-GB"/>
        </w:rPr>
        <w:tab/>
      </w:r>
      <w:r>
        <w:rPr>
          <w:lang w:val="en-GB"/>
        </w:rPr>
        <w:tab/>
        <w:t>0 – 75 mg/m³</w:t>
      </w:r>
    </w:p>
    <w:p>
      <w:pPr>
        <w:pStyle w:val="GesAbsatz"/>
        <w:tabs>
          <w:tab w:val="decimal" w:pos="1418"/>
        </w:tabs>
        <w:rPr>
          <w:lang w:val="en-GB"/>
        </w:rPr>
      </w:pPr>
      <w:r>
        <w:rPr>
          <w:lang w:val="en-GB"/>
        </w:rPr>
        <w:t>NO:</w:t>
      </w:r>
      <w:r>
        <w:rPr>
          <w:lang w:val="en-GB"/>
        </w:rPr>
        <w:tab/>
      </w:r>
      <w:r>
        <w:rPr>
          <w:lang w:val="en-GB"/>
        </w:rPr>
        <w:tab/>
        <w:t>0 – 200 mg/m³</w:t>
      </w:r>
    </w:p>
    <w:p>
      <w:pPr>
        <w:pStyle w:val="GesAbsatz"/>
        <w:tabs>
          <w:tab w:val="decimal" w:pos="1418"/>
        </w:tabs>
        <w:rPr>
          <w:lang w:val="en-GB"/>
        </w:rPr>
      </w:pPr>
      <w:r>
        <w:rPr>
          <w:lang w:val="en-GB"/>
        </w:rPr>
        <w:t>NO</w:t>
      </w:r>
      <w:r>
        <w:rPr>
          <w:vertAlign w:val="subscript"/>
          <w:lang w:val="en-GB"/>
        </w:rPr>
        <w:t>2</w:t>
      </w:r>
      <w:r>
        <w:rPr>
          <w:lang w:val="en-GB"/>
        </w:rPr>
        <w:t>:</w:t>
      </w:r>
      <w:r>
        <w:rPr>
          <w:lang w:val="en-GB"/>
        </w:rPr>
        <w:tab/>
        <w:t>0 – 50 mg/m³</w:t>
      </w:r>
    </w:p>
    <w:p>
      <w:pPr>
        <w:pStyle w:val="GesAbsatz"/>
        <w:tabs>
          <w:tab w:val="decimal" w:pos="1418"/>
        </w:tabs>
      </w:pPr>
      <w:r>
        <w:t>SO</w:t>
      </w:r>
      <w:r>
        <w:rPr>
          <w:vertAlign w:val="subscript"/>
        </w:rPr>
        <w:t>2</w:t>
      </w:r>
      <w:r>
        <w:t>:</w:t>
      </w:r>
      <w:r>
        <w:tab/>
        <w:t>0 – 75 mg/m³</w:t>
      </w:r>
    </w:p>
    <w:p>
      <w:pPr>
        <w:pStyle w:val="GesAbsatz"/>
        <w:tabs>
          <w:tab w:val="decimal" w:pos="1418"/>
        </w:tabs>
      </w:pPr>
      <w:r>
        <w:t>O</w:t>
      </w:r>
      <w:r>
        <w:rPr>
          <w:vertAlign w:val="subscript"/>
        </w:rPr>
        <w:t>2</w:t>
      </w:r>
      <w:r>
        <w:t>:</w:t>
      </w:r>
      <w:r>
        <w:tab/>
      </w:r>
      <w:r>
        <w:tab/>
        <w:t>0 – 10 Vol.-% und 0 – 25 Vol.-%</w:t>
      </w:r>
    </w:p>
    <w:p>
      <w:pPr>
        <w:pStyle w:val="GesAbsatz"/>
        <w:tabs>
          <w:tab w:val="decimal" w:pos="1418"/>
        </w:tabs>
      </w:pPr>
      <w:r>
        <w:t>CO</w:t>
      </w:r>
      <w:r>
        <w:rPr>
          <w:vertAlign w:val="subscript"/>
        </w:rPr>
        <w:t>2</w:t>
      </w:r>
      <w:r>
        <w:t>:</w:t>
      </w:r>
      <w:r>
        <w:tab/>
        <w:t>0 – 20 Vol.-%</w:t>
      </w:r>
    </w:p>
    <w:p>
      <w:pPr>
        <w:pStyle w:val="GesAbsatz"/>
        <w:tabs>
          <w:tab w:val="decimal" w:pos="1418"/>
        </w:tabs>
      </w:pPr>
      <w:r>
        <w:t>Hinweise:</w:t>
      </w:r>
    </w:p>
    <w:p>
      <w:pPr>
        <w:pStyle w:val="GesAbsatz"/>
        <w:tabs>
          <w:tab w:val="decimal" w:pos="1418"/>
        </w:tabs>
      </w:pPr>
      <w:r>
        <w:t>1.</w:t>
      </w:r>
      <w:r>
        <w:tab/>
        <w:t>Ergänzungsprüfung zur Eignungsbekanntmachung vom 22. April 2003 (BAnz. S. 10742, Pkt. 2.1)</w:t>
      </w:r>
    </w:p>
    <w:p>
      <w:pPr>
        <w:pStyle w:val="GesAbsatz"/>
        <w:ind w:left="426" w:hanging="426"/>
      </w:pPr>
      <w:r>
        <w:t>2.</w:t>
      </w:r>
      <w:r>
        <w:tab/>
        <w:t>Das Wartungsintervall beträgt bei aktiver wöchentlicher automatischer Kalibrierung einen Monat, sonst beträgt es eine Woche.</w:t>
      </w:r>
    </w:p>
    <w:p>
      <w:pPr>
        <w:pStyle w:val="GesAbsatz"/>
        <w:ind w:left="426" w:hanging="426"/>
      </w:pPr>
      <w:r>
        <w:t>3.</w:t>
      </w:r>
      <w:r>
        <w:tab/>
        <w:t>Die Querempfindlichkeit im SO</w:t>
      </w:r>
      <w:r>
        <w:rPr>
          <w:vertAlign w:val="subscript"/>
        </w:rPr>
        <w:t>2</w:t>
      </w:r>
      <w:r>
        <w:t>-Messkanal (0 – 75 mg/m³) gegen CO und NO</w:t>
      </w:r>
      <w:r>
        <w:rPr>
          <w:vertAlign w:val="subscript"/>
        </w:rPr>
        <w:t>x</w:t>
      </w:r>
      <w:r>
        <w:t xml:space="preserve"> müssen durch Einste</w:t>
      </w:r>
      <w:r>
        <w:t>l</w:t>
      </w:r>
      <w:r>
        <w:t>len der Messeinrichtungen mit den nachstehend aufgeführten Prüfgaskonzentrationen gemäß Herstellera</w:t>
      </w:r>
      <w:r>
        <w:t>n</w:t>
      </w:r>
      <w:r>
        <w:t>gaben kompensiert werden:</w:t>
      </w: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86"/>
      </w:tblGrid>
      <w:tr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>
            <w:pPr>
              <w:pStyle w:val="GesAbsatz"/>
              <w:tabs>
                <w:tab w:val="decimal" w:pos="1418"/>
              </w:tabs>
              <w:jc w:val="center"/>
            </w:pPr>
            <w:r>
              <w:t>Gas</w:t>
            </w:r>
          </w:p>
        </w:tc>
        <w:tc>
          <w:tcPr>
            <w:tcW w:w="3686" w:type="dxa"/>
          </w:tcPr>
          <w:p>
            <w:pPr>
              <w:pStyle w:val="GesAbsatz"/>
              <w:tabs>
                <w:tab w:val="decimal" w:pos="1418"/>
              </w:tabs>
              <w:jc w:val="center"/>
            </w:pPr>
            <w:r>
              <w:t>Konzentration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>
            <w:pPr>
              <w:pStyle w:val="GesAbsatz"/>
            </w:pPr>
            <w:r>
              <w:t>CO</w:t>
            </w:r>
          </w:p>
        </w:tc>
        <w:tc>
          <w:tcPr>
            <w:tcW w:w="3686" w:type="dxa"/>
          </w:tcPr>
          <w:p>
            <w:pPr>
              <w:pStyle w:val="GesAbsatz"/>
              <w:tabs>
                <w:tab w:val="clear" w:pos="425"/>
                <w:tab w:val="decimal" w:pos="1065"/>
                <w:tab w:val="left" w:pos="1348"/>
              </w:tabs>
            </w:pPr>
            <w:r>
              <w:tab/>
              <w:t>250</w:t>
            </w:r>
            <w:r>
              <w:tab/>
              <w:t>ppm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>
            <w:pPr>
              <w:pStyle w:val="GesAbsatz"/>
            </w:pPr>
            <w:r>
              <w:t>NO</w:t>
            </w:r>
          </w:p>
        </w:tc>
        <w:tc>
          <w:tcPr>
            <w:tcW w:w="3686" w:type="dxa"/>
          </w:tcPr>
          <w:p>
            <w:pPr>
              <w:pStyle w:val="GesAbsatz"/>
              <w:tabs>
                <w:tab w:val="clear" w:pos="425"/>
                <w:tab w:val="decimal" w:pos="1065"/>
                <w:tab w:val="left" w:pos="1348"/>
              </w:tabs>
            </w:pPr>
            <w:r>
              <w:tab/>
              <w:t>250</w:t>
            </w:r>
            <w:r>
              <w:tab/>
              <w:t>ppm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>
            <w:pPr>
              <w:pStyle w:val="GesAbsatz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3686" w:type="dxa"/>
          </w:tcPr>
          <w:p>
            <w:pPr>
              <w:pStyle w:val="GesAbsatz"/>
              <w:tabs>
                <w:tab w:val="clear" w:pos="425"/>
                <w:tab w:val="decimal" w:pos="1065"/>
                <w:tab w:val="left" w:pos="1348"/>
              </w:tabs>
            </w:pPr>
            <w:r>
              <w:tab/>
              <w:t>250</w:t>
            </w:r>
            <w:r>
              <w:tab/>
              <w:t>ppm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>
            <w:pPr>
              <w:pStyle w:val="GesAbsatz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3686" w:type="dxa"/>
          </w:tcPr>
          <w:p>
            <w:pPr>
              <w:pStyle w:val="GesAbsatz"/>
              <w:tabs>
                <w:tab w:val="clear" w:pos="425"/>
                <w:tab w:val="decimal" w:pos="1065"/>
                <w:tab w:val="left" w:pos="1348"/>
              </w:tabs>
            </w:pPr>
            <w:r>
              <w:tab/>
              <w:t>50</w:t>
            </w:r>
            <w:r>
              <w:tab/>
              <w:t>ppm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>
            <w:pPr>
              <w:pStyle w:val="GesAbsatz"/>
            </w:pP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3686" w:type="dxa"/>
          </w:tcPr>
          <w:p>
            <w:pPr>
              <w:pStyle w:val="GesAbsatz"/>
              <w:tabs>
                <w:tab w:val="clear" w:pos="425"/>
                <w:tab w:val="decimal" w:pos="1065"/>
                <w:tab w:val="left" w:pos="1348"/>
              </w:tabs>
            </w:pPr>
            <w:r>
              <w:tab/>
              <w:t>250</w:t>
            </w:r>
            <w:r>
              <w:tab/>
              <w:t>ppm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>
            <w:pPr>
              <w:pStyle w:val="GesAbsatz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3686" w:type="dxa"/>
          </w:tcPr>
          <w:p>
            <w:pPr>
              <w:pStyle w:val="GesAbsatz"/>
              <w:tabs>
                <w:tab w:val="clear" w:pos="425"/>
                <w:tab w:val="decimal" w:pos="1065"/>
                <w:tab w:val="left" w:pos="1348"/>
              </w:tabs>
            </w:pPr>
            <w:r>
              <w:tab/>
              <w:t>15</w:t>
            </w:r>
            <w:r>
              <w:tab/>
              <w:t>Vol.-%</w:t>
            </w:r>
          </w:p>
        </w:tc>
      </w:tr>
    </w:tbl>
    <w:p>
      <w:pPr>
        <w:pStyle w:val="GesAbsatz"/>
        <w:tabs>
          <w:tab w:val="decimal" w:pos="1418"/>
        </w:tabs>
      </w:pPr>
    </w:p>
    <w:p>
      <w:pPr>
        <w:pStyle w:val="GesAbsatz"/>
        <w:tabs>
          <w:tab w:val="decimal" w:pos="1418"/>
        </w:tabs>
      </w:pPr>
      <w:r>
        <w:br w:type="page"/>
      </w:r>
      <w:r>
        <w:lastRenderedPageBreak/>
        <w:t>Prüfbericht:</w:t>
      </w:r>
    </w:p>
    <w:p>
      <w:pPr>
        <w:pStyle w:val="GesAbsatz"/>
        <w:tabs>
          <w:tab w:val="decimal" w:pos="1418"/>
        </w:tabs>
      </w:pPr>
      <w:r>
        <w:t>TÜV Immissionsschutz und Energiesysteme GmbH, Köln, Unternehmensgruppe TÜV Rheinland/Berlin Bra</w:t>
      </w:r>
      <w:r>
        <w:t>n</w:t>
      </w:r>
      <w:r>
        <w:t>denburg Nr. 936/802004/B vom 28. Juli 2003.</w:t>
      </w:r>
    </w:p>
    <w:p>
      <w:pPr>
        <w:pStyle w:val="GesAbsatz"/>
        <w:tabs>
          <w:tab w:val="decimal" w:pos="1418"/>
        </w:tabs>
        <w:rPr>
          <w:b/>
          <w:lang w:val="en-GB"/>
        </w:rPr>
      </w:pPr>
      <w:r>
        <w:rPr>
          <w:b/>
          <w:lang w:val="en-GB"/>
        </w:rPr>
        <w:t>3.2 S700er Modulgeräte-Serie: Multor S 700</w:t>
      </w:r>
      <w:r>
        <w:rPr>
          <w:b/>
        </w:rPr>
        <w:t xml:space="preserve"> für</w:t>
      </w:r>
      <w:r>
        <w:rPr>
          <w:b/>
          <w:lang w:val="en-GB"/>
        </w:rPr>
        <w:t xml:space="preserve"> CO, NO, SO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>, Unor S 700 für CO, NO, SO</w:t>
      </w:r>
      <w:r>
        <w:rPr>
          <w:b/>
          <w:vertAlign w:val="subscript"/>
          <w:lang w:val="en-GB"/>
        </w:rPr>
        <w:t>2</w:t>
      </w:r>
      <w:r>
        <w:rPr>
          <w:b/>
          <w:lang w:val="en-GB"/>
        </w:rPr>
        <w:t xml:space="preserve"> und Oxor für O</w:t>
      </w:r>
      <w:r>
        <w:rPr>
          <w:b/>
          <w:vertAlign w:val="subscript"/>
          <w:lang w:val="en-GB"/>
        </w:rPr>
        <w:t>2</w:t>
      </w:r>
    </w:p>
    <w:p>
      <w:pPr>
        <w:pStyle w:val="GesAbsatz"/>
        <w:tabs>
          <w:tab w:val="decimal" w:pos="1418"/>
        </w:tabs>
      </w:pPr>
      <w:r>
        <w:t>Hersteller:</w:t>
      </w:r>
    </w:p>
    <w:p>
      <w:pPr>
        <w:pStyle w:val="GesAbsatz"/>
        <w:tabs>
          <w:tab w:val="decimal" w:pos="1418"/>
        </w:tabs>
      </w:pPr>
      <w:r>
        <w:t>Maihak, 22399 Hamburg</w:t>
      </w:r>
    </w:p>
    <w:p>
      <w:pPr>
        <w:pStyle w:val="GesAbsatz"/>
        <w:tabs>
          <w:tab w:val="decimal" w:pos="1418"/>
        </w:tabs>
      </w:pPr>
      <w:r>
        <w:t>Eignung:</w:t>
      </w:r>
    </w:p>
    <w:p>
      <w:pPr>
        <w:pStyle w:val="GesAbsatz"/>
        <w:tabs>
          <w:tab w:val="decimal" w:pos="1418"/>
        </w:tabs>
      </w:pPr>
      <w:r>
        <w:t>Multor: Für Anlagen der 13. BImSchV und TA Luft</w:t>
      </w:r>
    </w:p>
    <w:p>
      <w:pPr>
        <w:pStyle w:val="GesAbsatz"/>
        <w:tabs>
          <w:tab w:val="decimal" w:pos="1418"/>
        </w:tabs>
      </w:pPr>
      <w:r>
        <w:t>Unor: Für genehmigungsbedürftige Anlagen und Anlagen der 27. BImSchV</w:t>
      </w:r>
    </w:p>
    <w:p>
      <w:pPr>
        <w:pStyle w:val="GesAbsatz"/>
        <w:tabs>
          <w:tab w:val="decimal" w:pos="1418"/>
        </w:tabs>
      </w:pPr>
      <w:r>
        <w:t>Messbereiche bei der Eignungsprüfung:</w:t>
      </w:r>
    </w:p>
    <w:p>
      <w:pPr>
        <w:pStyle w:val="GesAbsatz"/>
        <w:tabs>
          <w:tab w:val="decimal" w:pos="1418"/>
        </w:tabs>
        <w:rPr>
          <w:lang w:val="en-GB"/>
        </w:rPr>
      </w:pPr>
      <w:r>
        <w:rPr>
          <w:lang w:val="en-GB"/>
        </w:rPr>
        <w:t>für Multor:</w:t>
      </w:r>
    </w:p>
    <w:p>
      <w:pPr>
        <w:pStyle w:val="GesAbsatz"/>
        <w:tabs>
          <w:tab w:val="left" w:pos="1418"/>
        </w:tabs>
        <w:rPr>
          <w:lang w:val="en-GB"/>
        </w:rPr>
      </w:pPr>
      <w:r>
        <w:rPr>
          <w:lang w:val="en-GB"/>
        </w:rPr>
        <w:t>CO:</w:t>
      </w:r>
      <w:r>
        <w:rPr>
          <w:lang w:val="en-GB"/>
        </w:rPr>
        <w:tab/>
      </w:r>
      <w:r>
        <w:rPr>
          <w:lang w:val="en-GB"/>
        </w:rPr>
        <w:tab/>
        <w:t>0 – 250 mg/m³</w:t>
      </w:r>
    </w:p>
    <w:p>
      <w:pPr>
        <w:pStyle w:val="GesAbsatz"/>
        <w:tabs>
          <w:tab w:val="left" w:pos="1418"/>
        </w:tabs>
        <w:rPr>
          <w:lang w:val="en-GB"/>
        </w:rPr>
      </w:pPr>
      <w:r>
        <w:rPr>
          <w:lang w:val="en-GB"/>
        </w:rPr>
        <w:t>NO:</w:t>
      </w:r>
      <w:r>
        <w:rPr>
          <w:lang w:val="en-GB"/>
        </w:rPr>
        <w:tab/>
      </w:r>
      <w:r>
        <w:rPr>
          <w:lang w:val="en-GB"/>
        </w:rPr>
        <w:tab/>
        <w:t>0 – 250 mg/m³</w:t>
      </w:r>
    </w:p>
    <w:p>
      <w:pPr>
        <w:pStyle w:val="GesAbsatz"/>
        <w:tabs>
          <w:tab w:val="left" w:pos="1418"/>
        </w:tabs>
      </w:pPr>
      <w:r>
        <w:t>SO</w:t>
      </w:r>
      <w:r>
        <w:rPr>
          <w:vertAlign w:val="subscript"/>
        </w:rPr>
        <w:t>2</w:t>
      </w:r>
      <w:r>
        <w:t>:</w:t>
      </w:r>
      <w:r>
        <w:tab/>
        <w:t>0 – 250 mg/m³</w:t>
      </w:r>
    </w:p>
    <w:p>
      <w:pPr>
        <w:pStyle w:val="GesAbsatz"/>
        <w:tabs>
          <w:tab w:val="left" w:pos="1418"/>
        </w:tabs>
        <w:rPr>
          <w:lang w:val="en-GB"/>
        </w:rPr>
      </w:pPr>
      <w:r>
        <w:rPr>
          <w:lang w:val="en-GB"/>
        </w:rPr>
        <w:t>für Unor:</w:t>
      </w:r>
    </w:p>
    <w:p>
      <w:pPr>
        <w:pStyle w:val="GesAbsatz"/>
        <w:tabs>
          <w:tab w:val="left" w:pos="1418"/>
        </w:tabs>
        <w:rPr>
          <w:lang w:val="en-GB"/>
        </w:rPr>
      </w:pPr>
      <w:r>
        <w:rPr>
          <w:lang w:val="en-GB"/>
        </w:rPr>
        <w:t>CO:</w:t>
      </w:r>
      <w:r>
        <w:rPr>
          <w:lang w:val="en-GB"/>
        </w:rPr>
        <w:tab/>
      </w:r>
      <w:r>
        <w:rPr>
          <w:lang w:val="en-GB"/>
        </w:rPr>
        <w:tab/>
        <w:t>0 – 100 mg/m³</w:t>
      </w:r>
    </w:p>
    <w:p>
      <w:pPr>
        <w:pStyle w:val="GesAbsatz"/>
        <w:tabs>
          <w:tab w:val="left" w:pos="1418"/>
        </w:tabs>
        <w:rPr>
          <w:lang w:val="en-GB"/>
        </w:rPr>
      </w:pPr>
      <w:r>
        <w:rPr>
          <w:lang w:val="en-GB"/>
        </w:rPr>
        <w:t>NO:</w:t>
      </w:r>
      <w:r>
        <w:rPr>
          <w:lang w:val="en-GB"/>
        </w:rPr>
        <w:tab/>
      </w:r>
      <w:r>
        <w:rPr>
          <w:lang w:val="en-GB"/>
        </w:rPr>
        <w:tab/>
        <w:t>0 – 100 mg/m³</w:t>
      </w:r>
    </w:p>
    <w:p>
      <w:pPr>
        <w:pStyle w:val="GesAbsatz"/>
        <w:tabs>
          <w:tab w:val="left" w:pos="1418"/>
        </w:tabs>
      </w:pPr>
      <w:r>
        <w:t>SO</w:t>
      </w:r>
      <w:r>
        <w:rPr>
          <w:vertAlign w:val="subscript"/>
        </w:rPr>
        <w:t>2</w:t>
      </w:r>
      <w:r>
        <w:t>:</w:t>
      </w:r>
      <w:r>
        <w:tab/>
        <w:t>0 – 100 mg/m³</w:t>
      </w:r>
    </w:p>
    <w:p>
      <w:pPr>
        <w:pStyle w:val="GesAbsatz"/>
        <w:tabs>
          <w:tab w:val="left" w:pos="1418"/>
        </w:tabs>
      </w:pPr>
      <w:r>
        <w:t>Einschränkungen:</w:t>
      </w:r>
    </w:p>
    <w:p>
      <w:pPr>
        <w:pStyle w:val="GesAbsatz"/>
        <w:tabs>
          <w:tab w:val="left" w:pos="1418"/>
        </w:tabs>
      </w:pPr>
      <w:r>
        <w:t>Das Wartungsintervall ohne automatische Kalibriereinrichtung beträgt 7 Tage.</w:t>
      </w:r>
    </w:p>
    <w:p>
      <w:pPr>
        <w:pStyle w:val="GesAbsatz"/>
        <w:tabs>
          <w:tab w:val="left" w:pos="1418"/>
        </w:tabs>
      </w:pPr>
      <w:r>
        <w:t>Hinweise:</w:t>
      </w:r>
    </w:p>
    <w:p>
      <w:pPr>
        <w:pStyle w:val="GesAbsatz"/>
        <w:tabs>
          <w:tab w:val="left" w:pos="1418"/>
        </w:tabs>
        <w:ind w:left="426" w:hanging="426"/>
      </w:pPr>
      <w:r>
        <w:t>1.</w:t>
      </w:r>
      <w:r>
        <w:tab/>
        <w:t>Ergänzungsprüfung zur Eignungsbekanntgabe im GMBl 2002 S. 401, Pkt. 2.1; die Ergänzungsprüfung bezieht sich auf die Software-Version 1.25, 1.26 und 1.27</w:t>
      </w:r>
    </w:p>
    <w:p>
      <w:pPr>
        <w:pStyle w:val="GesAbsatz"/>
        <w:tabs>
          <w:tab w:val="left" w:pos="1418"/>
        </w:tabs>
        <w:ind w:left="426" w:hanging="426"/>
      </w:pPr>
      <w:r>
        <w:t>2.</w:t>
      </w:r>
      <w:r>
        <w:tab/>
        <w:t>Die Justierung der Gerätekennlinie kann mit trockenem sowie alternativ mit feuchtem Prüfgas erfolgen, wenn die Messeinrichtung über eine interne Wasserdampfkompensation verfügt.</w:t>
      </w:r>
    </w:p>
    <w:p>
      <w:pPr>
        <w:pStyle w:val="GesAbsatz"/>
        <w:tabs>
          <w:tab w:val="left" w:pos="1418"/>
        </w:tabs>
        <w:ind w:left="426" w:hanging="426"/>
      </w:pPr>
      <w:r>
        <w:t>3.</w:t>
      </w:r>
      <w:r>
        <w:tab/>
        <w:t>Die Eignungsbekanntgabe umfasst folgende Gerätevariationen: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1017"/>
        <w:gridCol w:w="1155"/>
        <w:gridCol w:w="1086"/>
        <w:gridCol w:w="1037"/>
        <w:gridCol w:w="974"/>
        <w:gridCol w:w="1410"/>
        <w:gridCol w:w="1087"/>
      </w:tblGrid>
      <w:tr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189" w:type="dxa"/>
            <w:gridSpan w:val="3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Produktbezeichnung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Komp</w:t>
            </w:r>
            <w:r>
              <w:t>o</w:t>
            </w:r>
            <w:r>
              <w:t>nente 1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Komp</w:t>
            </w:r>
            <w:r>
              <w:t>o</w:t>
            </w:r>
            <w:r>
              <w:t>nente 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Kompo-ne</w:t>
            </w:r>
            <w:r>
              <w:t>n</w:t>
            </w:r>
            <w:r>
              <w:t>te 3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Komp</w:t>
            </w:r>
            <w:r>
              <w:t>o</w:t>
            </w:r>
            <w:r>
              <w:t>nente 4</w:t>
            </w: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Komp</w:t>
            </w:r>
            <w:r>
              <w:t>o</w:t>
            </w:r>
            <w:r>
              <w:t>nente H</w:t>
            </w:r>
            <w:r>
              <w:rPr>
                <w:vertAlign w:val="subscript"/>
              </w:rPr>
              <w:t>2</w:t>
            </w:r>
            <w:r>
              <w:t>O (nur Mu</w:t>
            </w:r>
            <w:r>
              <w:t>l</w:t>
            </w:r>
            <w:r>
              <w:t>tor)</w:t>
            </w: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rPr>
                <w:u w:val="single"/>
              </w:rPr>
              <w:t>Typ</w:t>
            </w:r>
            <w:r>
              <w:t xml:space="preserve"> B</w:t>
            </w:r>
            <w:r>
              <w:t>e</w:t>
            </w:r>
            <w:r>
              <w:t xml:space="preserve">zeichnung </w:t>
            </w:r>
            <w:r>
              <w:rPr>
                <w:u w:val="single"/>
              </w:rPr>
              <w:t>S 700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3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P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4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E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6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7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8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P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9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P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10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P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11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E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12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E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13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lastRenderedPageBreak/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E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14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15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16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17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r>
              <w:t>Oxor P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18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r>
              <w:t>Oxor P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19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r>
              <w:t>Oxor P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20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r>
              <w:t>Oxor E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21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r>
              <w:t>Oxor E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22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r>
              <w:t>Oxor E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23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24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25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26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(1..3)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27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P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28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bookmarkStart w:id="6" w:name="OLE_LINK1"/>
            <w:r>
              <w:t>Oxor P (3)</w:t>
            </w:r>
            <w:bookmarkEnd w:id="6"/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29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P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  <w:rPr>
                <w:vertAlign w:val="subscript"/>
              </w:rPr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30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E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  <w:rPr>
                <w:vertAlign w:val="subscript"/>
              </w:rPr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31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E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  <w:rPr>
                <w:vertAlign w:val="subscript"/>
              </w:rPr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  <w:rPr>
                <w:vertAlign w:val="subscript"/>
              </w:rPr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32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E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  <w:rPr>
                <w:vertAlign w:val="subscript"/>
              </w:rPr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  <w:rPr>
                <w:vertAlign w:val="subscript"/>
              </w:rPr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33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(1..3)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P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  <w:rPr>
                <w:vertAlign w:val="subscript"/>
              </w:rPr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  <w:rPr>
                <w:vertAlign w:val="subscript"/>
              </w:rPr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34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(1..3)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Oxor E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  <w:rPr>
                <w:vertAlign w:val="subscript"/>
              </w:rPr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  <w:rPr>
                <w:vertAlign w:val="subscript"/>
              </w:rPr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35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r>
              <w:t>Oxor P (4)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36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r>
              <w:t>Oxor P (4)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37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r>
              <w:t>Oxor P (4)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38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bookmarkStart w:id="7" w:name="OLE_LINK2"/>
            <w:r>
              <w:t>Oxor E (4)</w:t>
            </w:r>
            <w:bookmarkEnd w:id="7"/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39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lastRenderedPageBreak/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r>
              <w:t>Oxor E (4)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40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Multor (1+2)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</w:pPr>
            <w:r>
              <w:t>Unor (3)</w:t>
            </w:r>
          </w:p>
        </w:tc>
        <w:tc>
          <w:tcPr>
            <w:tcW w:w="1017" w:type="dxa"/>
          </w:tcPr>
          <w:p>
            <w:pPr>
              <w:pStyle w:val="GesAbsatz"/>
              <w:tabs>
                <w:tab w:val="left" w:pos="1418"/>
              </w:tabs>
            </w:pPr>
            <w:r>
              <w:t>Oxor E (4)</w:t>
            </w:r>
          </w:p>
        </w:tc>
        <w:tc>
          <w:tcPr>
            <w:tcW w:w="1155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NO</w:t>
            </w:r>
          </w:p>
        </w:tc>
        <w:tc>
          <w:tcPr>
            <w:tcW w:w="1086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03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CO</w:t>
            </w:r>
          </w:p>
        </w:tc>
        <w:tc>
          <w:tcPr>
            <w:tcW w:w="974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410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87" w:type="dxa"/>
          </w:tcPr>
          <w:p>
            <w:pPr>
              <w:pStyle w:val="GesAbsatz"/>
              <w:tabs>
                <w:tab w:val="left" w:pos="1418"/>
              </w:tabs>
              <w:jc w:val="center"/>
            </w:pPr>
            <w:r>
              <w:t>41</w:t>
            </w:r>
          </w:p>
        </w:tc>
      </w:tr>
    </w:tbl>
    <w:p>
      <w:pPr>
        <w:pStyle w:val="GesAbsatz"/>
        <w:tabs>
          <w:tab w:val="left" w:pos="1418"/>
        </w:tabs>
        <w:rPr>
          <w:lang w:val="it-IT"/>
        </w:rPr>
      </w:pPr>
    </w:p>
    <w:p>
      <w:pPr>
        <w:pStyle w:val="GesAbsatz"/>
      </w:pPr>
      <w:r>
        <w:t>Prüfbericht:</w:t>
      </w:r>
    </w:p>
    <w:p>
      <w:pPr>
        <w:pStyle w:val="GesAbsatz"/>
      </w:pPr>
      <w:r>
        <w:t>RWTÜV Systems GmbH, Essen, Nr. 1.6/01190/94 – 203 75 784 vom 24. Juli 2003.</w:t>
      </w:r>
    </w:p>
    <w:p>
      <w:pPr>
        <w:pStyle w:val="berschrift2"/>
      </w:pPr>
      <w:bookmarkStart w:id="8" w:name="_Toc57524369"/>
      <w:r>
        <w:t>II.</w:t>
      </w:r>
      <w:r>
        <w:br/>
        <w:t>Eignung für Messeinrichtungen zur kontinuierlichen</w:t>
      </w:r>
      <w:r>
        <w:br/>
        <w:t>Messung von Bezugsgrößen/Betriebsgrößen</w:t>
      </w:r>
      <w:bookmarkEnd w:id="8"/>
    </w:p>
    <w:p>
      <w:pPr>
        <w:pStyle w:val="GesAbsatz"/>
        <w:rPr>
          <w:b/>
        </w:rPr>
      </w:pPr>
      <w:r>
        <w:rPr>
          <w:b/>
        </w:rPr>
        <w:t>1. Volumenstrom</w:t>
      </w:r>
    </w:p>
    <w:p>
      <w:pPr>
        <w:pStyle w:val="GesAbsatz"/>
      </w:pPr>
      <w:r>
        <w:rPr>
          <w:b/>
        </w:rPr>
        <w:t>1.1 FMD 02</w:t>
      </w:r>
    </w:p>
    <w:p>
      <w:pPr>
        <w:pStyle w:val="GesAbsatz"/>
      </w:pPr>
      <w:r>
        <w:t>Hersteller:</w:t>
      </w:r>
    </w:p>
    <w:p>
      <w:pPr>
        <w:pStyle w:val="GesAbsatz"/>
      </w:pPr>
      <w:r>
        <w:t>Dr. Födisch Umweltmesstechnik AG, 04420 Markranstädt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BImSchV.</w:t>
      </w:r>
    </w:p>
    <w:p>
      <w:pPr>
        <w:pStyle w:val="GesAbsatz"/>
      </w:pPr>
      <w:r>
        <w:t>Messbereich bei der Eignung:</w:t>
      </w:r>
    </w:p>
    <w:p>
      <w:pPr>
        <w:pStyle w:val="GesAbsatz"/>
      </w:pPr>
      <w:r>
        <w:t>0 bis 30 m/s</w:t>
      </w:r>
    </w:p>
    <w:p>
      <w:pPr>
        <w:pStyle w:val="GesAbsatz"/>
      </w:pPr>
      <w:r>
        <w:t>Hinweis:</w:t>
      </w:r>
    </w:p>
    <w:p>
      <w:pPr>
        <w:pStyle w:val="GesAbsatz"/>
      </w:pPr>
      <w:r>
        <w:t>1.</w:t>
      </w:r>
      <w:r>
        <w:tab/>
        <w:t>Die Messeinrichtung kann nur eingesetzt werden, wenn keine Taupunktunterschreitungen auftreten.</w:t>
      </w:r>
    </w:p>
    <w:p>
      <w:pPr>
        <w:pStyle w:val="GesAbsatz"/>
      </w:pPr>
      <w:r>
        <w:t>2.</w:t>
      </w:r>
      <w:r>
        <w:tab/>
        <w:t>Strömungsgeschwindigkeiten unter 3 m/s werden von der Messeinrichtung nicht aufgelöst.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Immissionsschutz und Energiesysteme GmbH, Köln, Unternehmensgruppe TÜV Rheinland/Berlin Bra</w:t>
      </w:r>
      <w:r>
        <w:t>n</w:t>
      </w:r>
      <w:r>
        <w:t>denburg Nr. 936/21 200 495/A vom 29. Juli 2003.</w:t>
      </w:r>
    </w:p>
    <w:p>
      <w:pPr>
        <w:pStyle w:val="berschrift2"/>
      </w:pPr>
      <w:bookmarkStart w:id="9" w:name="_Toc57524370"/>
      <w:r>
        <w:t>III.</w:t>
      </w:r>
      <w:r>
        <w:br/>
        <w:t>Elektronische Systeme zur Erfassung und Auswertung</w:t>
      </w:r>
      <w:r>
        <w:br/>
        <w:t>kontinuierlicher Emissionsmessungen</w:t>
      </w:r>
      <w:bookmarkEnd w:id="9"/>
    </w:p>
    <w:p>
      <w:pPr>
        <w:pStyle w:val="GesAbsatz"/>
      </w:pPr>
      <w:r>
        <w:t>Unter Bezugnahme auf Nummer 3.2 der Bekanntmachung vom 1. Oktober 1998 der für die Durchführung der Richtlinie 96/62/EG des Rates vom 27. September 1996 über die Beurteilung und Kontrolle der Luftqual</w:t>
      </w:r>
      <w:r>
        <w:t>i</w:t>
      </w:r>
      <w:r>
        <w:t>tät zuständigen Stellen (BAnz. S. 15 126) wird im Auftrag des BMU die Eignung der folgenden Messeinric</w:t>
      </w:r>
      <w:r>
        <w:t>h</w:t>
      </w:r>
      <w:r>
        <w:t>tung bekannt gegeben:</w:t>
      </w:r>
    </w:p>
    <w:p>
      <w:pPr>
        <w:pStyle w:val="GesAbsatz"/>
        <w:rPr>
          <w:lang w:val="en-GB"/>
        </w:rPr>
      </w:pPr>
      <w:r>
        <w:rPr>
          <w:b/>
          <w:lang w:val="en-GB"/>
        </w:rPr>
        <w:t>1 D-EMS 2000 – PC-Version</w:t>
      </w:r>
    </w:p>
    <w:p>
      <w:pPr>
        <w:pStyle w:val="GesAbsatz"/>
      </w:pPr>
      <w:r>
        <w:t>Hersteller:</w:t>
      </w:r>
    </w:p>
    <w:p>
      <w:pPr>
        <w:pStyle w:val="GesAbsatz"/>
      </w:pPr>
      <w:r>
        <w:t>DURAG Industrie Elektronik GmbH &amp; KG, 22453 Hamburg</w:t>
      </w:r>
    </w:p>
    <w:p>
      <w:pPr>
        <w:pStyle w:val="GesAbsatz"/>
      </w:pPr>
      <w:r>
        <w:t>Eignung:</w:t>
      </w:r>
    </w:p>
    <w:p>
      <w:pPr>
        <w:pStyle w:val="GesAbsatz"/>
        <w:ind w:left="426" w:hanging="426"/>
      </w:pPr>
      <w:r>
        <w:t>1.</w:t>
      </w:r>
      <w:r>
        <w:tab/>
        <w:t>Erfassung und Auswertung kontinuierlicher Emissionsmessungen genehmigungsbedürftiger Anlagen und Anlagen der 27. BImSchV</w:t>
      </w:r>
    </w:p>
    <w:p>
      <w:pPr>
        <w:pStyle w:val="GesAbsatz"/>
      </w:pPr>
      <w:r>
        <w:t>2.</w:t>
      </w:r>
      <w:r>
        <w:tab/>
        <w:t>Emissionsfernüberwachung</w:t>
      </w:r>
    </w:p>
    <w:p>
      <w:pPr>
        <w:pStyle w:val="GesAbsatz"/>
      </w:pPr>
      <w:r>
        <w:t>Einschränkung:</w:t>
      </w:r>
    </w:p>
    <w:p>
      <w:pPr>
        <w:pStyle w:val="GesAbsatz"/>
      </w:pPr>
      <w:r>
        <w:lastRenderedPageBreak/>
        <w:t>Um das System vor unbefugten Zugriff auf gespeicherte Daten im Dauerbetrieb zu schützen, sind die über den Administrator des PC-Betriebssystems erteilten Zugangsrechte bei Dateiverwaltungs-Programmen (wie zum Beispiel Explorer) zu beschränken.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Die Messeinrichtung ist mit folgenden Software-Versionen geprüft: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528"/>
        <w:gridCol w:w="992"/>
      </w:tblGrid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</w:pPr>
            <w:r>
              <w:t>Bezeichnung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Kurzbeschreibung</w:t>
            </w:r>
          </w:p>
        </w:tc>
        <w:tc>
          <w:tcPr>
            <w:tcW w:w="992" w:type="dxa"/>
          </w:tcPr>
          <w:p>
            <w:pPr>
              <w:pStyle w:val="GesAbsatz"/>
            </w:pPr>
            <w:r>
              <w:t>Version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</w:pPr>
            <w:r>
              <w:t>GTÜ-EFÜ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Behördensoftware zur Auswertung von Daten (EFÜ)</w:t>
            </w:r>
          </w:p>
        </w:tc>
        <w:tc>
          <w:tcPr>
            <w:tcW w:w="992" w:type="dxa"/>
          </w:tcPr>
          <w:p>
            <w:pPr>
              <w:pStyle w:val="GesAbsatz"/>
              <w:rPr>
                <w:lang w:val="it-IT"/>
              </w:rPr>
            </w:pPr>
            <w:r>
              <w:rPr>
                <w:lang w:val="it-IT"/>
              </w:rPr>
              <w:t>3.00e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  <w:rPr>
                <w:lang w:val="it-IT"/>
              </w:rPr>
            </w:pPr>
            <w:r>
              <w:rPr>
                <w:lang w:val="it-IT"/>
              </w:rPr>
              <w:t>Win-D-Eva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Visualisierung der Emissionsdaten</w:t>
            </w:r>
          </w:p>
        </w:tc>
        <w:tc>
          <w:tcPr>
            <w:tcW w:w="992" w:type="dxa"/>
          </w:tcPr>
          <w:p>
            <w:pPr>
              <w:pStyle w:val="GesAbsatz"/>
            </w:pPr>
            <w:r>
              <w:t>4.11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</w:pPr>
            <w:r>
              <w:t>D-EVA_SD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Dienst zur Kommunikation mit den Emission</w:t>
            </w:r>
            <w:r>
              <w:t>s</w:t>
            </w:r>
            <w:r>
              <w:t>wertrechnern</w:t>
            </w:r>
          </w:p>
        </w:tc>
        <w:tc>
          <w:tcPr>
            <w:tcW w:w="992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4.11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D-Efue_D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Dienst für Emissionsdaten Fer</w:t>
            </w:r>
            <w:r>
              <w:t>n</w:t>
            </w:r>
            <w:r>
              <w:t>übertragung</w:t>
            </w:r>
          </w:p>
        </w:tc>
        <w:tc>
          <w:tcPr>
            <w:tcW w:w="992" w:type="dxa"/>
          </w:tcPr>
          <w:p>
            <w:pPr>
              <w:pStyle w:val="GesAbsatz"/>
              <w:rPr>
                <w:lang w:val="it-IT"/>
              </w:rPr>
            </w:pPr>
            <w:r>
              <w:rPr>
                <w:lang w:val="it-IT"/>
              </w:rPr>
              <w:t>4.11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  <w:rPr>
                <w:lang w:val="it-IT"/>
              </w:rPr>
            </w:pPr>
            <w:r>
              <w:rPr>
                <w:lang w:val="it-IT"/>
              </w:rPr>
              <w:t>D-EVA_BD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Dienst für automatisches Backup auf Wechse</w:t>
            </w:r>
            <w:r>
              <w:t>l</w:t>
            </w:r>
            <w:r>
              <w:t>medien</w:t>
            </w:r>
          </w:p>
        </w:tc>
        <w:tc>
          <w:tcPr>
            <w:tcW w:w="992" w:type="dxa"/>
          </w:tcPr>
          <w:p>
            <w:pPr>
              <w:pStyle w:val="GesAbsatz"/>
              <w:rPr>
                <w:lang w:val="it-IT"/>
              </w:rPr>
            </w:pPr>
            <w:r>
              <w:rPr>
                <w:lang w:val="it-IT"/>
              </w:rPr>
              <w:t>4.11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  <w:rPr>
                <w:lang w:val="it-IT"/>
              </w:rPr>
            </w:pPr>
            <w:r>
              <w:rPr>
                <w:lang w:val="it-IT"/>
              </w:rPr>
              <w:t>D-EVA_PD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Dienst für automatisches Protokoll mit und ohne Ausdruck</w:t>
            </w:r>
          </w:p>
        </w:tc>
        <w:tc>
          <w:tcPr>
            <w:tcW w:w="992" w:type="dxa"/>
          </w:tcPr>
          <w:p>
            <w:pPr>
              <w:pStyle w:val="GesAbsatz"/>
              <w:rPr>
                <w:lang w:val="it-IT"/>
              </w:rPr>
            </w:pPr>
            <w:r>
              <w:rPr>
                <w:lang w:val="it-IT"/>
              </w:rPr>
              <w:t>4.11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  <w:rPr>
                <w:lang w:val="it-IT"/>
              </w:rPr>
            </w:pPr>
            <w:r>
              <w:rPr>
                <w:lang w:val="it-IT"/>
              </w:rPr>
              <w:t>D-EVA_MBD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Dienst für Emissionsdatenexport via Modbus (nur Labortest)</w:t>
            </w:r>
          </w:p>
        </w:tc>
        <w:tc>
          <w:tcPr>
            <w:tcW w:w="992" w:type="dxa"/>
          </w:tcPr>
          <w:p>
            <w:pPr>
              <w:pStyle w:val="GesAbsatz"/>
            </w:pPr>
            <w:r>
              <w:t>4.11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D-EVA_WD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Dienst für Watchdog</w:t>
            </w:r>
          </w:p>
        </w:tc>
        <w:tc>
          <w:tcPr>
            <w:tcW w:w="992" w:type="dxa"/>
          </w:tcPr>
          <w:p>
            <w:pPr>
              <w:pStyle w:val="GesAbsatz"/>
            </w:pPr>
            <w:r>
              <w:t>4.11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</w:pPr>
            <w:r>
              <w:t>D-ER500_D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Dienst für behördliche Emission</w:t>
            </w:r>
            <w:r>
              <w:t>s</w:t>
            </w:r>
            <w:r>
              <w:t>rechnungen</w:t>
            </w:r>
          </w:p>
        </w:tc>
        <w:tc>
          <w:tcPr>
            <w:tcW w:w="992" w:type="dxa"/>
          </w:tcPr>
          <w:p>
            <w:pPr>
              <w:pStyle w:val="GesAbsatz"/>
            </w:pPr>
            <w:r>
              <w:t>4.11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</w:pPr>
            <w:r>
              <w:t>D-ER500_O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Oberfläche behördliche Emission</w:t>
            </w:r>
            <w:r>
              <w:t>s</w:t>
            </w:r>
            <w:r>
              <w:t>rechnungen</w:t>
            </w:r>
          </w:p>
        </w:tc>
        <w:tc>
          <w:tcPr>
            <w:tcW w:w="992" w:type="dxa"/>
          </w:tcPr>
          <w:p>
            <w:pPr>
              <w:pStyle w:val="GesAbsatz"/>
              <w:rPr>
                <w:lang w:val="it-IT"/>
              </w:rPr>
            </w:pPr>
            <w:r>
              <w:rPr>
                <w:lang w:val="it-IT"/>
              </w:rPr>
              <w:t>4.11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  <w:rPr>
                <w:lang w:val="it-IT"/>
              </w:rPr>
            </w:pPr>
            <w:r>
              <w:rPr>
                <w:lang w:val="it-IT"/>
              </w:rPr>
              <w:t>D-EVA_Scr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Visualisierungs- und Bedientool für Dienste o</w:t>
            </w:r>
            <w:r>
              <w:t>h</w:t>
            </w:r>
            <w:r>
              <w:t>ne Oberfläche</w:t>
            </w:r>
          </w:p>
        </w:tc>
        <w:tc>
          <w:tcPr>
            <w:tcW w:w="992" w:type="dxa"/>
          </w:tcPr>
          <w:p>
            <w:pPr>
              <w:pStyle w:val="GesAbsatz"/>
              <w:rPr>
                <w:lang w:val="fr-FR"/>
              </w:rPr>
            </w:pPr>
            <w:r>
              <w:rPr>
                <w:lang w:val="fr-FR"/>
              </w:rPr>
              <w:t>4.11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pStyle w:val="GesAbsatz"/>
              <w:rPr>
                <w:lang w:val="fr-FR"/>
              </w:rPr>
            </w:pPr>
            <w:r>
              <w:rPr>
                <w:lang w:val="fr-FR"/>
              </w:rPr>
              <w:t>D-EVA_CE</w:t>
            </w:r>
          </w:p>
        </w:tc>
        <w:tc>
          <w:tcPr>
            <w:tcW w:w="5528" w:type="dxa"/>
          </w:tcPr>
          <w:p>
            <w:pPr>
              <w:pStyle w:val="GesAbsatz"/>
            </w:pPr>
            <w:r>
              <w:t>Tool für Dienste und Programme</w:t>
            </w:r>
          </w:p>
        </w:tc>
        <w:tc>
          <w:tcPr>
            <w:tcW w:w="992" w:type="dxa"/>
          </w:tcPr>
          <w:p>
            <w:pPr>
              <w:pStyle w:val="GesAbsatz"/>
            </w:pPr>
            <w:r>
              <w:t>4.11</w:t>
            </w:r>
          </w:p>
        </w:tc>
      </w:tr>
    </w:tbl>
    <w:p>
      <w:pPr>
        <w:pStyle w:val="GesAbsatz"/>
      </w:pPr>
    </w:p>
    <w:p>
      <w:pPr>
        <w:pStyle w:val="GesAbsatz"/>
        <w:ind w:left="426" w:hanging="426"/>
      </w:pPr>
      <w:r>
        <w:t>2.</w:t>
      </w:r>
      <w:r>
        <w:tab/>
        <w:t>Die physikalischen Grenzen der Datenübertragung mittels RS232C sind bei der Installation zu beac</w:t>
      </w:r>
      <w:r>
        <w:t>h</w:t>
      </w:r>
      <w:r>
        <w:t>ten</w:t>
      </w:r>
    </w:p>
    <w:p>
      <w:pPr>
        <w:pStyle w:val="GesAbsatz"/>
      </w:pPr>
      <w:r>
        <w:t>3.</w:t>
      </w:r>
      <w:r>
        <w:tab/>
        <w:t>Ergänzungsprüfung zur Eignungsbekanntgabe GMBl 2002, S. 403.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Süddeutschland Bau und Betrieb GmbH, München, Nr. 222 640 vom 3. Juli 2003.</w:t>
      </w:r>
    </w:p>
    <w:p>
      <w:pPr>
        <w:pStyle w:val="GesAbsatz"/>
      </w:pPr>
      <w:r>
        <w:rPr>
          <w:b/>
        </w:rPr>
        <w:t>2. Emissionsfernüberwachungs- und Auswertesystem MEAC 2000</w:t>
      </w:r>
    </w:p>
    <w:p>
      <w:pPr>
        <w:pStyle w:val="GesAbsatz"/>
      </w:pPr>
      <w:r>
        <w:t>Hersteller:</w:t>
      </w:r>
    </w:p>
    <w:p>
      <w:pPr>
        <w:pStyle w:val="GesAbsatz"/>
      </w:pPr>
      <w:r>
        <w:t>Sick/Maihak AG, 22399 Hamburg</w:t>
      </w:r>
    </w:p>
    <w:p>
      <w:pPr>
        <w:pStyle w:val="GesAbsatz"/>
      </w:pPr>
      <w:r>
        <w:t>Eignung:</w:t>
      </w:r>
    </w:p>
    <w:p>
      <w:pPr>
        <w:pStyle w:val="GesAbsatz"/>
      </w:pPr>
      <w:r>
        <w:t>Auswertung kontinuierlicher Emissionsmessungen genehmigungsbedürftiger Anlagen sowie 27. BImSchV.</w:t>
      </w:r>
    </w:p>
    <w:p>
      <w:pPr>
        <w:pStyle w:val="GesAbsatz"/>
      </w:pPr>
      <w:r>
        <w:t>Einschränkung:</w:t>
      </w:r>
    </w:p>
    <w:p>
      <w:pPr>
        <w:pStyle w:val="GesAbsatz"/>
      </w:pPr>
      <w:r>
        <w:t>Das System soll nur in büroähnlichen Räumen (z.B. in Messwarten oder klimatisierten Räumen) installiert werden.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Die Daten-Aufnahme-Einheit DAE ist im Temperaturbereich von –10 °C bis 50 °C einsetzbar.</w:t>
      </w:r>
    </w:p>
    <w:p>
      <w:pPr>
        <w:pStyle w:val="GesAbsatz"/>
        <w:ind w:left="426" w:hanging="426"/>
      </w:pPr>
      <w:r>
        <w:t>2.</w:t>
      </w:r>
      <w:r>
        <w:tab/>
        <w:t>Die EFÜ-Funktionen sind zusammen mit dem „G-System“ GTÜ (Software-Version 3.00d) geprüft wo</w:t>
      </w:r>
      <w:r>
        <w:t>r</w:t>
      </w:r>
      <w:r>
        <w:t>den.</w:t>
      </w:r>
    </w:p>
    <w:p>
      <w:pPr>
        <w:pStyle w:val="GesAbsatz"/>
        <w:ind w:left="426" w:hanging="426"/>
      </w:pPr>
      <w:r>
        <w:t>3.</w:t>
      </w:r>
      <w:r>
        <w:tab/>
        <w:t>Es handelt sich um ein eignungsgeprüftes Software-Produkt für handelsübliche Hardware verschied</w:t>
      </w:r>
      <w:r>
        <w:t>e</w:t>
      </w:r>
      <w:r>
        <w:t>ner Hersteller.</w:t>
      </w:r>
    </w:p>
    <w:p>
      <w:pPr>
        <w:pStyle w:val="GesAbsatz"/>
        <w:ind w:left="426" w:hanging="426"/>
      </w:pPr>
      <w:r>
        <w:t>4.</w:t>
      </w:r>
      <w:r>
        <w:tab/>
        <w:t>Die Prüfung erfolgte unter Berücksichtigung der bundeseinheitlichen Schnittstellendefinition (Stand: 7. März 1996).</w:t>
      </w:r>
    </w:p>
    <w:p>
      <w:pPr>
        <w:pStyle w:val="GesAbsatz"/>
      </w:pPr>
      <w:r>
        <w:t>5.</w:t>
      </w:r>
      <w:r>
        <w:tab/>
        <w:t>Ergänzungsprüfung zur Eignungsbekanntgabe GMBl 1998 S. 419, geprüfte Software-Version 1.28.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Süddeutschland Bau und Betrieb GmbH, München, Nr. 286 758 vom 21. Juli 2003.</w:t>
      </w:r>
    </w:p>
    <w:p>
      <w:pPr>
        <w:pStyle w:val="berschrift2"/>
      </w:pPr>
      <w:bookmarkStart w:id="10" w:name="_Toc57524371"/>
      <w:r>
        <w:lastRenderedPageBreak/>
        <w:t>IV.</w:t>
      </w:r>
      <w:r>
        <w:br/>
        <w:t>Mitteilung zum Rundschreiben des BMU</w:t>
      </w:r>
      <w:bookmarkEnd w:id="10"/>
    </w:p>
    <w:p>
      <w:pPr>
        <w:pStyle w:val="GesAbsatz"/>
        <w:jc w:val="center"/>
      </w:pPr>
      <w:r>
        <w:t>vom 3. Juni 1996 – IG I 3 – 51134 / 2 -</w:t>
      </w:r>
      <w:r>
        <w:br/>
        <w:t>GMBl S. 591 Pkt. 4.1</w:t>
      </w:r>
    </w:p>
    <w:p>
      <w:pPr>
        <w:pStyle w:val="GesAbsatz"/>
      </w:pPr>
      <w:r>
        <w:t>Die im oben genannten Rundschreiben aufgeführten Messeinrichtung FID 3001 W des Herstellers Testa GmbH, München, wird auch mit der Gerätebezeichnung LAND THA 300 von Land Instrument International Ltd., Dronfield, England, vertrieben.</w:t>
      </w:r>
    </w:p>
    <w:p>
      <w:pPr>
        <w:pStyle w:val="GesAbsatz"/>
      </w:pPr>
      <w:r>
        <w:t>Stellungnahme:</w:t>
      </w:r>
    </w:p>
    <w:p>
      <w:pPr>
        <w:pStyle w:val="GesAbsatz"/>
      </w:pPr>
      <w:r>
        <w:t>TÜV Immissionsschutz und Energiesysteme GmbH, Abt. Immissionsschutz, Unternehmensgruppe TÜV Rheinland/Berlin Brandenburg, Köln, Zeichen 936-dr.will, vom 19. August 2003.</w:t>
      </w:r>
    </w:p>
    <w:p>
      <w:pPr>
        <w:pStyle w:val="GesAbsatz"/>
      </w:pPr>
      <w:r>
        <w:t>Berlin, den 17. Oktober 2003</w:t>
      </w:r>
    </w:p>
    <w:p>
      <w:pPr>
        <w:pStyle w:val="GesAbsatz"/>
      </w:pPr>
      <w:r>
        <w:t>UBA II 6.4 – 54 173/1</w:t>
      </w: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360"/>
    </w:pPr>
    <w:r>
      <w:tab/>
      <w:t>Stand 17.10.2003 (BAnz. Nr. 210 S. 23997)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  <w:sz w:val="24"/>
      </w:rPr>
    </w:pPr>
    <w:r>
      <w:rPr>
        <w:b/>
        <w:sz w:val="24"/>
      </w:rPr>
      <w:t>61.4-42</w:t>
    </w:r>
  </w:p>
  <w:p>
    <w:pPr>
      <w:pStyle w:val="Kopfzeile"/>
      <w:spacing w:before="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0D2F55-D916-42FF-90FA-6610653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spacing w:before="60" w:after="60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qFormat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0"/>
      <w:jc w:val="right"/>
    </w:pPr>
  </w:style>
  <w:style w:type="paragraph" w:styleId="Fuzeile">
    <w:name w:val="footer"/>
    <w:basedOn w:val="Standard"/>
    <w:semiHidden/>
    <w:pPr>
      <w:tabs>
        <w:tab w:val="clear" w:pos="425"/>
        <w:tab w:val="right" w:pos="8505"/>
        <w:tab w:val="right" w:pos="9639"/>
      </w:tabs>
      <w:spacing w:after="0"/>
      <w:jc w:val="left"/>
    </w:pPr>
    <w:rPr>
      <w:sz w:val="16"/>
    </w:rPr>
  </w:style>
  <w:style w:type="character" w:styleId="Seitenzahl">
    <w:name w:val="page number"/>
    <w:basedOn w:val="Absatz-Standardschriftart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</w:tabs>
      <w:spacing w:before="0" w:after="0"/>
      <w:ind w:left="200"/>
      <w:jc w:val="left"/>
    </w:pPr>
    <w:rPr>
      <w:rFonts w:ascii="Times New Roman" w:hAnsi="Times New Roman"/>
      <w:smallCaps/>
      <w:szCs w:val="24"/>
    </w:rPr>
  </w:style>
  <w:style w:type="paragraph" w:styleId="Beschriftung">
    <w:name w:val="caption"/>
    <w:basedOn w:val="Standard"/>
    <w:next w:val="Standard"/>
    <w:qFormat/>
    <w:pPr>
      <w:spacing w:before="120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clear" w:pos="425"/>
      </w:tabs>
      <w:spacing w:before="0" w:after="0"/>
      <w:ind w:left="400"/>
      <w:jc w:val="left"/>
    </w:pPr>
    <w:rPr>
      <w:rFonts w:ascii="Times New Roman" w:hAnsi="Times New Roman"/>
      <w:i/>
      <w:iCs/>
      <w:szCs w:val="24"/>
    </w:rPr>
  </w:style>
  <w:style w:type="paragraph" w:styleId="Funotentext">
    <w:name w:val="footnote text"/>
    <w:basedOn w:val="Standard"/>
    <w:semiHidden/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bCs/>
      <w:i w:val="0"/>
      <w:iCs w:val="0"/>
      <w:caps/>
    </w:r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customStyle="1" w:styleId="GesAbsatz">
    <w:name w:val="GesAbsatz"/>
    <w:basedOn w:val="Standard"/>
    <w:pPr>
      <w:tabs>
        <w:tab w:val="left" w:pos="425"/>
      </w:tabs>
    </w:pPr>
    <w:rPr>
      <w:color w:val="000000"/>
    </w:rPr>
  </w:style>
  <w:style w:type="paragraph" w:customStyle="1" w:styleId="GesNr">
    <w:name w:val="GesNr"/>
    <w:basedOn w:val="Standard"/>
    <w:pPr>
      <w:tabs>
        <w:tab w:val="left" w:pos="578"/>
      </w:tabs>
      <w:ind w:left="284" w:hanging="284"/>
    </w:pPr>
    <w:rPr>
      <w:color w:val="000000"/>
    </w:rPr>
  </w:style>
  <w:style w:type="paragraph" w:customStyle="1" w:styleId="Einzug1">
    <w:name w:val="Einzug1"/>
    <w:basedOn w:val="Standard"/>
    <w:next w:val="Standard"/>
    <w:pPr>
      <w:tabs>
        <w:tab w:val="clear" w:pos="425"/>
        <w:tab w:val="left" w:pos="576"/>
      </w:tabs>
      <w:ind w:left="567" w:hanging="567"/>
    </w:pPr>
    <w:rPr>
      <w:color w:val="000000"/>
    </w:rPr>
  </w:style>
  <w:style w:type="paragraph" w:customStyle="1" w:styleId="Einzug3">
    <w:name w:val="Einzug3"/>
    <w:basedOn w:val="Standard"/>
    <w:pPr>
      <w:tabs>
        <w:tab w:val="clear" w:pos="425"/>
      </w:tabs>
      <w:ind w:left="993" w:hanging="284"/>
    </w:pPr>
    <w:rPr>
      <w:color w:val="000000"/>
    </w:rPr>
  </w:style>
  <w:style w:type="paragraph" w:customStyle="1" w:styleId="GesBs">
    <w:name w:val="GesBs"/>
    <w:basedOn w:val="Standard"/>
    <w:pPr>
      <w:tabs>
        <w:tab w:val="left" w:pos="935"/>
      </w:tabs>
      <w:ind w:left="568" w:hanging="284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</w:tabs>
      <w:spacing w:before="0" w:after="0"/>
      <w:ind w:left="600"/>
      <w:jc w:val="left"/>
    </w:pPr>
    <w:rPr>
      <w:rFonts w:ascii="Times New Roman" w:hAnsi="Times New Roman"/>
      <w:szCs w:val="21"/>
    </w:rPr>
  </w:style>
  <w:style w:type="paragraph" w:customStyle="1" w:styleId="Einzug2">
    <w:name w:val="Einzug2"/>
    <w:basedOn w:val="Standard"/>
    <w:pPr>
      <w:tabs>
        <w:tab w:val="left" w:pos="937"/>
      </w:tabs>
      <w:ind w:left="709" w:hanging="284"/>
    </w:pPr>
    <w:rPr>
      <w:color w:val="000000"/>
    </w:rPr>
  </w:style>
  <w:style w:type="paragraph" w:customStyle="1" w:styleId="EinzugNR">
    <w:name w:val="EinzugNR"/>
    <w:basedOn w:val="Standard"/>
    <w:pPr>
      <w:tabs>
        <w:tab w:val="clear" w:pos="425"/>
        <w:tab w:val="left" w:pos="1298"/>
      </w:tabs>
      <w:ind w:left="567" w:hanging="567"/>
    </w:pPr>
    <w:rPr>
      <w:color w:val="000000"/>
    </w:rPr>
  </w:style>
  <w:style w:type="paragraph" w:customStyle="1" w:styleId="GesetzAbsatz">
    <w:name w:val="GesetzAbsatz"/>
    <w:pPr>
      <w:tabs>
        <w:tab w:val="left" w:pos="425"/>
        <w:tab w:val="left" w:pos="567"/>
      </w:tabs>
      <w:spacing w:before="60" w:after="60"/>
      <w:jc w:val="both"/>
    </w:pPr>
    <w:rPr>
      <w:rFonts w:ascii="Arial" w:hAnsi="Arial"/>
      <w:noProof/>
      <w:color w:val="000000"/>
    </w:rPr>
  </w:style>
  <w:style w:type="paragraph" w:customStyle="1" w:styleId="Einzug075Nr">
    <w:name w:val="Einzug075Nr"/>
    <w:pPr>
      <w:tabs>
        <w:tab w:val="left" w:pos="578"/>
      </w:tabs>
      <w:spacing w:before="60" w:after="60"/>
      <w:ind w:left="425" w:hanging="425"/>
      <w:jc w:val="both"/>
    </w:pPr>
    <w:rPr>
      <w:rFonts w:ascii="Arial" w:hAnsi="Arial"/>
      <w:noProof/>
      <w:color w:val="000000"/>
    </w:rPr>
  </w:style>
  <w:style w:type="paragraph" w:customStyle="1" w:styleId="Einzug075050Bs">
    <w:name w:val="Einzug075_050Bs"/>
    <w:basedOn w:val="Standard"/>
    <w:pPr>
      <w:tabs>
        <w:tab w:val="left" w:pos="935"/>
      </w:tabs>
      <w:spacing w:before="120" w:after="0"/>
      <w:ind w:left="709" w:hanging="284"/>
    </w:pPr>
    <w:rPr>
      <w:color w:val="000000"/>
    </w:rPr>
  </w:style>
  <w:style w:type="paragraph" w:customStyle="1" w:styleId="Einzug100Nr">
    <w:name w:val="Einzug100Nr"/>
    <w:basedOn w:val="Einzug075Nr"/>
    <w:pPr>
      <w:ind w:left="567" w:hanging="567"/>
    </w:pPr>
  </w:style>
  <w:style w:type="paragraph" w:customStyle="1" w:styleId="Einzug125">
    <w:name w:val="Einzug125"/>
    <w:basedOn w:val="Standard"/>
    <w:pPr>
      <w:tabs>
        <w:tab w:val="clear" w:pos="425"/>
      </w:tabs>
      <w:ind w:left="709" w:hanging="709"/>
    </w:pPr>
  </w:style>
  <w:style w:type="paragraph" w:customStyle="1" w:styleId="Einzug1250">
    <w:name w:val="Einzug 125"/>
    <w:basedOn w:val="Standard"/>
    <w:pPr>
      <w:spacing w:before="0" w:after="120"/>
      <w:ind w:left="709" w:hanging="709"/>
    </w:pPr>
  </w:style>
  <w:style w:type="paragraph" w:styleId="Verzeichnis5">
    <w:name w:val="toc 5"/>
    <w:basedOn w:val="Standard"/>
    <w:next w:val="Standard"/>
    <w:autoRedefine/>
    <w:semiHidden/>
    <w:pPr>
      <w:tabs>
        <w:tab w:val="clear" w:pos="425"/>
      </w:tabs>
      <w:spacing w:before="0" w:after="0"/>
      <w:ind w:left="800"/>
      <w:jc w:val="left"/>
    </w:pPr>
    <w:rPr>
      <w:rFonts w:ascii="Times New Roman" w:hAnsi="Times New Roman"/>
      <w:szCs w:val="21"/>
    </w:rPr>
  </w:style>
  <w:style w:type="paragraph" w:styleId="Verzeichnis6">
    <w:name w:val="toc 6"/>
    <w:basedOn w:val="Standard"/>
    <w:next w:val="Standard"/>
    <w:autoRedefine/>
    <w:semiHidden/>
    <w:pPr>
      <w:tabs>
        <w:tab w:val="clear" w:pos="425"/>
      </w:tabs>
      <w:spacing w:before="0" w:after="0"/>
      <w:ind w:left="1000"/>
      <w:jc w:val="left"/>
    </w:pPr>
    <w:rPr>
      <w:rFonts w:ascii="Times New Roman" w:hAnsi="Times New Roman"/>
      <w:szCs w:val="21"/>
    </w:rPr>
  </w:style>
  <w:style w:type="paragraph" w:styleId="Verzeichnis7">
    <w:name w:val="toc 7"/>
    <w:basedOn w:val="Standard"/>
    <w:next w:val="Standard"/>
    <w:autoRedefine/>
    <w:semiHidden/>
    <w:pPr>
      <w:tabs>
        <w:tab w:val="clear" w:pos="425"/>
      </w:tabs>
      <w:spacing w:before="0" w:after="0"/>
      <w:ind w:left="1200"/>
      <w:jc w:val="left"/>
    </w:pPr>
    <w:rPr>
      <w:rFonts w:ascii="Times New Roman" w:hAnsi="Times New Roman"/>
      <w:szCs w:val="21"/>
    </w:rPr>
  </w:style>
  <w:style w:type="paragraph" w:styleId="Verzeichnis8">
    <w:name w:val="toc 8"/>
    <w:basedOn w:val="Standard"/>
    <w:next w:val="Standard"/>
    <w:autoRedefine/>
    <w:semiHidden/>
    <w:pPr>
      <w:tabs>
        <w:tab w:val="clear" w:pos="425"/>
      </w:tabs>
      <w:spacing w:before="0" w:after="0"/>
      <w:ind w:left="1400"/>
      <w:jc w:val="left"/>
    </w:pPr>
    <w:rPr>
      <w:rFonts w:ascii="Times New Roman" w:hAnsi="Times New Roman"/>
      <w:szCs w:val="21"/>
    </w:rPr>
  </w:style>
  <w:style w:type="paragraph" w:styleId="Verzeichnis9">
    <w:name w:val="toc 9"/>
    <w:basedOn w:val="Standard"/>
    <w:next w:val="Standard"/>
    <w:autoRedefine/>
    <w:semiHidden/>
    <w:pPr>
      <w:tabs>
        <w:tab w:val="clear" w:pos="425"/>
      </w:tabs>
      <w:spacing w:before="0" w:after="0"/>
      <w:ind w:left="1600"/>
      <w:jc w:val="left"/>
    </w:pPr>
    <w:rPr>
      <w:rFonts w:ascii="Times New Roman" w:hAnsi="Times New Roman"/>
      <w:szCs w:val="21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LUA-St&#246;tzel\VT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</Template>
  <TotalTime>0</TotalTime>
  <Pages>7</Pages>
  <Words>1508</Words>
  <Characters>9488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einheitliche Praxis bei der Überwachung der Emissionen und der Immissionen</vt:lpstr>
    </vt:vector>
  </TitlesOfParts>
  <Company>LUA</Company>
  <LinksUpToDate>false</LinksUpToDate>
  <CharactersWithSpaces>10975</CharactersWithSpaces>
  <SharedDoc>false</SharedDoc>
  <HLinks>
    <vt:vector size="48" baseType="variant"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_Toc57524371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_Toc57524370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_Toc57524369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_Toc57524368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_Toc57524367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_Toc57524366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_Toc57524365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_Toc57524364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einheitliche Praxis bei der Überwachung der Emissionen und der Immissionen</dc:title>
  <dc:subject/>
  <dc:creator>Natrop</dc:creator>
  <cp:keywords/>
  <cp:lastModifiedBy>Rüter, Dr., Ingo</cp:lastModifiedBy>
  <cp:revision>2</cp:revision>
  <cp:lastPrinted>2003-11-27T09:51:00Z</cp:lastPrinted>
  <dcterms:created xsi:type="dcterms:W3CDTF">2024-07-17T09:14:00Z</dcterms:created>
  <dcterms:modified xsi:type="dcterms:W3CDTF">2024-07-17T09:14:00Z</dcterms:modified>
</cp:coreProperties>
</file>