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22560211"/>
      <w:bookmarkStart w:id="1" w:name="_Toc422560298"/>
      <w:bookmarkStart w:id="2" w:name="_Toc389900425"/>
      <w:bookmarkStart w:id="3" w:name="_Toc399128069"/>
      <w:bookmarkStart w:id="4" w:name="_Toc399128294"/>
      <w:bookmarkStart w:id="5" w:name="_Toc399128482"/>
      <w:bookmarkStart w:id="6" w:name="_Toc417367436"/>
      <w:bookmarkStart w:id="7" w:name="_Toc417367704"/>
      <w:bookmarkStart w:id="8" w:name="_Toc417367753"/>
      <w:bookmarkStart w:id="9" w:name="_Toc419017329"/>
      <w:bookmarkStart w:id="10" w:name="_Toc419017758"/>
      <w:bookmarkStart w:id="11" w:name="_Toc419080434"/>
      <w:bookmarkStart w:id="12" w:name="_Toc422039909"/>
      <w:bookmarkStart w:id="13" w:name="_Toc422041677"/>
      <w:bookmarkStart w:id="14" w:name="_Toc422041841"/>
      <w:bookmarkStart w:id="15" w:name="_GoBack"/>
      <w:bookmarkEnd w:id="15"/>
      <w:r>
        <w:t xml:space="preserve">Bundeseinheitliche Praxis bei der Überwachung der </w:t>
      </w:r>
      <w:r>
        <w:br/>
        <w:t>Emissionen und der Immissionen</w:t>
      </w:r>
      <w:bookmarkEnd w:id="0"/>
      <w:bookmarkEnd w:id="1"/>
    </w:p>
    <w:p>
      <w:pPr>
        <w:pStyle w:val="GesAbsatz"/>
        <w:jc w:val="center"/>
        <w:rPr>
          <w:b/>
        </w:rPr>
      </w:pPr>
      <w:bookmarkStart w:id="16" w:name="_Toc422560212"/>
      <w:bookmarkStart w:id="17" w:name="_Toc422560299"/>
      <w:r>
        <w:rPr>
          <w:b/>
        </w:rPr>
        <w:t>- RdSchr. d. BMU v. 7.11.1990 - IG I 2 - 40038 – 2</w:t>
      </w:r>
      <w:bookmarkEnd w:id="16"/>
      <w:bookmarkEnd w:id="17"/>
    </w:p>
    <w:p>
      <w:pPr>
        <w:pStyle w:val="GesAbsatz"/>
      </w:pP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bookmarkStart w:id="18" w:name="_Toc422560213"/>
    <w:p>
      <w:pPr>
        <w:pStyle w:val="Verzeichnis1"/>
        <w:rPr>
          <w:noProof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</w:instrText>
      </w:r>
      <w:r>
        <w:rPr>
          <w:caps w:val="0"/>
        </w:rPr>
        <w:fldChar w:fldCharType="separate"/>
      </w:r>
      <w:r>
        <w:rPr>
          <w:noProof/>
        </w:rPr>
        <w:t>Bundeseinheitliche Praxis bei der Überwachung der  Emissionen und der Immissionen</w:t>
      </w:r>
      <w:r>
        <w:rPr>
          <w:noProof/>
        </w:rPr>
        <w:tab/>
      </w:r>
      <w:r>
        <w:rPr>
          <w:caps w:val="0"/>
          <w:noProof/>
        </w:rPr>
        <w:fldChar w:fldCharType="begin"/>
      </w:r>
      <w:r>
        <w:rPr>
          <w:caps w:val="0"/>
          <w:noProof/>
        </w:rPr>
        <w:instrText xml:space="preserve"> GOTOBUTTON _Toc422560298  </w:instrText>
      </w:r>
      <w:r>
        <w:rPr>
          <w:caps w:val="0"/>
          <w:noProof/>
        </w:rPr>
        <w:fldChar w:fldCharType="begin"/>
      </w:r>
      <w:r>
        <w:rPr>
          <w:caps w:val="0"/>
          <w:noProof/>
        </w:rPr>
        <w:instrText xml:space="preserve"> PAGEREF _Toc422560298 </w:instrText>
      </w:r>
      <w:r>
        <w:rPr>
          <w:caps w:val="0"/>
          <w:noProof/>
        </w:rPr>
        <w:fldChar w:fldCharType="separate"/>
      </w:r>
      <w:r>
        <w:rPr>
          <w:caps w:val="0"/>
          <w:noProof/>
        </w:rPr>
        <w:instrText>1</w:instrText>
      </w:r>
      <w:r>
        <w:rPr>
          <w:caps w:val="0"/>
          <w:noProof/>
        </w:rPr>
        <w:fldChar w:fldCharType="end"/>
      </w:r>
      <w:r>
        <w:rPr>
          <w:caps w:val="0"/>
          <w:noProof/>
        </w:rPr>
        <w:fldChar w:fldCharType="end"/>
      </w:r>
    </w:p>
    <w:p>
      <w:pPr>
        <w:pStyle w:val="Verzeichnis2"/>
        <w:rPr>
          <w:noProof/>
        </w:rPr>
      </w:pPr>
      <w:r>
        <w:rPr>
          <w:noProof/>
        </w:rPr>
        <w:t xml:space="preserve">- RdSchr. d. BMU v. 7.11.1990 - IG I 2 - 40038 - 2 - </w:t>
      </w:r>
      <w:r>
        <w:rPr>
          <w:noProof/>
        </w:rPr>
        <w:tab/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GOTOBUTTON _Toc422560299  </w:instrText>
      </w:r>
      <w:r>
        <w:rPr>
          <w:smallCaps w:val="0"/>
          <w:noProof/>
        </w:rPr>
        <w:fldChar w:fldCharType="begin"/>
      </w:r>
      <w:r>
        <w:rPr>
          <w:smallCaps w:val="0"/>
          <w:noProof/>
        </w:rPr>
        <w:instrText xml:space="preserve"> PAGEREF _Toc422560299 </w:instrText>
      </w:r>
      <w:r>
        <w:rPr>
          <w:smallCaps w:val="0"/>
          <w:noProof/>
        </w:rPr>
        <w:fldChar w:fldCharType="separate"/>
      </w:r>
      <w:r>
        <w:rPr>
          <w:smallCaps w:val="0"/>
          <w:noProof/>
        </w:rPr>
        <w:instrText>1</w:instrText>
      </w:r>
      <w:r>
        <w:rPr>
          <w:smallCaps w:val="0"/>
          <w:noProof/>
        </w:rPr>
        <w:fldChar w:fldCharType="end"/>
      </w:r>
      <w:r>
        <w:rPr>
          <w:smallCaps w:val="0"/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I. Eignung von Meßeinrichtungen zur kontinuierlichen Überwachung von Emissionen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_Toc422560300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_Toc422560300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Staubförmige Emissionen: Massenkonzentration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_Toc422560301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1.1 GM 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_Toc422560302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_Toc422560302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1.2 GM 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_Toc422560303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_Toc422560303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 Staubförmige Emissionen: Abgastrübung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_Toc422560304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_Toc422560304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2.1 KTNR - M - RZ1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_Toc422560305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2.2 RM 100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_Toc422560306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_Toc422560306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 Schwefeldioxid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_Toc422560307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3.1 GM 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_Toc422560308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_Toc422560308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4. Summenbestimmung organischer Verbindungen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_Toc422560309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_Toc422560309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4.1 FID VE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_Toc422560310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_Toc422560310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4.2 FIDAMAT K Ausführung M52044-A10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_Toc422560311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II. Eignung von Meßeinrichtungen zur kontinuierlichen Messung von Bezugsgrößen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_Toc422560312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_Toc422560312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Sauerstoff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_Toc422560313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_Toc422560313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1.1 Magnos 6 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_Toc422560314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_Toc422560314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III. Eignung von elektronischen Systemen zur Auswertung kontinuierlicher Emissionsmessungen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_Toc422560315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 Klassiergerät mit Bezugswertrechner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_Toc422560316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_Toc422560316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1.1 ZEUS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_Toc422560317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</w:rPr>
      </w:pPr>
      <w:r>
        <w:rPr>
          <w:noProof/>
        </w:rPr>
        <w:t>IV. Eignung von Meßgeräten zur kontinuierlichen Überwachung der Immissionen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_Toc422560318  </w:instrText>
      </w:r>
      <w:r>
        <w:rPr>
          <w:noProof/>
        </w:rPr>
        <w:fldChar w:fldCharType="begin"/>
      </w:r>
      <w:r>
        <w:rPr>
          <w:noProof/>
        </w:rPr>
        <w:instrText xml:space="preserve"> PAGEREF _Toc422560318 </w:instrText>
      </w:r>
      <w:r>
        <w:rPr>
          <w:noProof/>
        </w:rPr>
        <w:fldChar w:fldCharType="separate"/>
      </w:r>
      <w:r>
        <w:rPr>
          <w:noProof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it-IT"/>
        </w:rPr>
      </w:pPr>
      <w:r>
        <w:rPr>
          <w:noProof/>
          <w:lang w:val="it-IT"/>
        </w:rPr>
        <w:t>1. Ozon</w:t>
      </w:r>
      <w:r>
        <w:rPr>
          <w:noProof/>
          <w:lang w:val="it-IT"/>
        </w:rPr>
        <w:tab/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GOTOBUTTON _Toc422560319  </w:instrTex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PAGEREF _Toc422560319 </w:instrText>
      </w:r>
      <w:r>
        <w:rPr>
          <w:noProof/>
        </w:rPr>
        <w:fldChar w:fldCharType="separate"/>
      </w:r>
      <w:r>
        <w:rPr>
          <w:noProof/>
          <w:lang w:val="it-IT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Verzeichnis3"/>
        <w:rPr>
          <w:noProof/>
          <w:lang w:val="it-IT"/>
        </w:rPr>
      </w:pPr>
      <w:r>
        <w:rPr>
          <w:noProof/>
          <w:lang w:val="it-IT"/>
        </w:rPr>
        <w:t>1.1 APOA - 350 E</w:t>
      </w:r>
      <w:r>
        <w:rPr>
          <w:noProof/>
          <w:lang w:val="it-IT"/>
        </w:rPr>
        <w:tab/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GOTOBUTTON _Toc422560320  </w:instrText>
      </w:r>
      <w:r>
        <w:rPr>
          <w:noProof/>
        </w:rPr>
        <w:fldChar w:fldCharType="begin"/>
      </w:r>
      <w:r>
        <w:rPr>
          <w:noProof/>
          <w:lang w:val="it-IT"/>
        </w:rPr>
        <w:instrText xml:space="preserve"> PAGEREF _Toc422560320 </w:instrText>
      </w:r>
      <w:r>
        <w:rPr>
          <w:noProof/>
        </w:rPr>
        <w:fldChar w:fldCharType="separate"/>
      </w:r>
      <w:r>
        <w:rPr>
          <w:noProof/>
          <w:lang w:val="it-IT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>
      <w:pPr>
        <w:pStyle w:val="GesAbsatz"/>
      </w:pPr>
      <w:r>
        <w:fldChar w:fldCharType="end"/>
      </w:r>
      <w:bookmarkStart w:id="19" w:name="_Toc422560300"/>
    </w:p>
    <w:p>
      <w:pPr>
        <w:pStyle w:val="berschrift2"/>
      </w:pPr>
      <w:r>
        <w:t>I.</w:t>
      </w:r>
      <w:r>
        <w:br/>
        <w:t>Eignung von Meßeinrichtungen zur kontinuierlichen</w:t>
      </w:r>
      <w:r>
        <w:br/>
        <w:t>Überwachung von Emissionen</w:t>
      </w:r>
      <w:bookmarkEnd w:id="18"/>
      <w:bookmarkEnd w:id="19"/>
    </w:p>
    <w:p>
      <w:r>
        <w:t>Unter Bezugnahme auf Nummer 3 der Richtlinien über die Eignugsprüfung, den Einbau, die Kalibrierung und die War</w:t>
      </w:r>
      <w:r>
        <w:softHyphen/>
        <w:t>tung von Meßeinrichtungen für kontinuierliche Eimissionsmes</w:t>
      </w:r>
      <w:r>
        <w:softHyphen/>
        <w:t>sungen - RdSchr. d. BMU vom 1.3.1990 - IG I 2 - 556 134 / 4 (GMBl S.226) - wird nach Abstimmung mit den zuständigen Länderressorts und den Prüfinstituten die Eignung der folgen</w:t>
      </w:r>
      <w:r>
        <w:softHyphen/>
        <w:t>den Meßeinrichtungen bekanntgegeben:</w:t>
      </w:r>
    </w:p>
    <w:p>
      <w:pPr>
        <w:pStyle w:val="berschrift3"/>
      </w:pPr>
      <w:bookmarkStart w:id="20" w:name="_Toc422560214"/>
      <w:bookmarkStart w:id="21" w:name="_Toc422560301"/>
      <w:r>
        <w:t>1.</w:t>
      </w:r>
      <w:r>
        <w:br/>
        <w:t>Staubförmige Emissionen:</w:t>
      </w:r>
      <w:r>
        <w:br/>
        <w:t>Massenkonzentration</w:t>
      </w:r>
      <w:bookmarkEnd w:id="20"/>
      <w:bookmarkEnd w:id="21"/>
    </w:p>
    <w:p>
      <w:pPr>
        <w:pStyle w:val="berschrift3"/>
      </w:pPr>
      <w:bookmarkStart w:id="22" w:name="_Toc422560215"/>
      <w:bookmarkStart w:id="23" w:name="_Toc422560302"/>
      <w:r>
        <w:t>1.1</w:t>
      </w:r>
      <w:r>
        <w:br/>
        <w:t>GM 30</w:t>
      </w:r>
      <w:bookmarkEnd w:id="22"/>
      <w:bookmarkEnd w:id="23"/>
    </w:p>
    <w:p>
      <w:r>
        <w:t>Hersteller:</w:t>
      </w:r>
      <w:r>
        <w:tab/>
        <w:t>E. Sick GmbH, Reute</w:t>
      </w:r>
    </w:p>
    <w:p>
      <w:r>
        <w:t>Eignung:</w:t>
      </w:r>
      <w:r>
        <w:tab/>
        <w:t>Als Staubgehalts - Meßeinrichtung für Feuerungsanlagen,</w:t>
      </w:r>
    </w:p>
    <w:p>
      <w:r>
        <w:tab/>
      </w:r>
      <w:r>
        <w:tab/>
      </w:r>
      <w:r>
        <w:tab/>
      </w:r>
      <w:r>
        <w:tab/>
        <w:t>für Anlagen zur Zementherstellung</w:t>
      </w:r>
    </w:p>
    <w:p>
      <w:r>
        <w:t>Kleinster Meßbereich bei der Eignungsprüfung: 0-0,18 Extinktion</w:t>
      </w:r>
    </w:p>
    <w:p>
      <w:r>
        <w:t>Einschränkung:</w:t>
      </w:r>
      <w:r>
        <w:tab/>
        <w:t>Im Bereich der Meßstelle darf keine Taupunktunterschreitung auftreten,</w:t>
      </w:r>
    </w:p>
    <w:p>
      <w:r>
        <w:t>Prüfbericht:</w:t>
      </w:r>
      <w:r>
        <w:tab/>
        <w:t>Rheinisch - Westfälischer Technischer Überwachungs - Ver</w:t>
      </w:r>
      <w:r>
        <w:softHyphen/>
        <w:t>ein e. V.</w:t>
      </w:r>
    </w:p>
    <w:p>
      <w:r>
        <w:tab/>
      </w:r>
      <w:r>
        <w:tab/>
      </w:r>
      <w:r>
        <w:tab/>
      </w:r>
      <w:r>
        <w:tab/>
        <w:t>Nr 3.5.2 / 907 / 87 vom 21.12.1989 und 4.8.1990</w:t>
      </w:r>
    </w:p>
    <w:p>
      <w:pPr>
        <w:pStyle w:val="berschrift3"/>
      </w:pPr>
      <w:bookmarkStart w:id="24" w:name="_Toc422560216"/>
      <w:bookmarkStart w:id="25" w:name="_Toc422560303"/>
      <w:r>
        <w:lastRenderedPageBreak/>
        <w:t>1.2</w:t>
      </w:r>
      <w:r>
        <w:br/>
        <w:t>GM 21</w:t>
      </w:r>
      <w:bookmarkEnd w:id="24"/>
      <w:bookmarkEnd w:id="25"/>
    </w:p>
    <w:p>
      <w:r>
        <w:t>Hersteller:</w:t>
      </w:r>
      <w:r>
        <w:tab/>
        <w:t>E. Sick GmbH, Reute</w:t>
      </w:r>
    </w:p>
    <w:p>
      <w:r>
        <w:t>Eignung:</w:t>
      </w:r>
      <w:r>
        <w:tab/>
        <w:t>Als Staubgehalts - Meßeinrichtung für Feuerungsanlagen,</w:t>
      </w:r>
    </w:p>
    <w:p>
      <w:r>
        <w:tab/>
      </w:r>
      <w:r>
        <w:tab/>
      </w:r>
      <w:r>
        <w:tab/>
      </w:r>
      <w:r>
        <w:tab/>
        <w:t>für Anlagen zur Zementherstellung</w:t>
      </w:r>
    </w:p>
    <w:p>
      <w:r>
        <w:t>Kleinster Meßbereich bei der Eignungsprüfung: 0-0,18 Extinktion</w:t>
      </w:r>
    </w:p>
    <w:p>
      <w:r>
        <w:t>Einschränkung:</w:t>
      </w:r>
      <w:r>
        <w:tab/>
        <w:t>Im Bereich der Meßstelle darf keine Taupunktunterschreitung auftreten,</w:t>
      </w:r>
    </w:p>
    <w:p>
      <w:r>
        <w:t>Prüfbericht:</w:t>
      </w:r>
      <w:r>
        <w:tab/>
        <w:t>Rheinisch - Westfälischer Technischer Überwachungs - Ver</w:t>
      </w:r>
      <w:r>
        <w:softHyphen/>
        <w:t>ein e. V.</w:t>
      </w:r>
    </w:p>
    <w:p>
      <w:r>
        <w:tab/>
      </w:r>
      <w:r>
        <w:tab/>
      </w:r>
      <w:r>
        <w:tab/>
      </w:r>
      <w:r>
        <w:tab/>
        <w:t xml:space="preserve">Nr. IV, 2.2 / 1083 / 77 - 333161 / 00 vom 15.12.1980 und </w:t>
      </w:r>
    </w:p>
    <w:p>
      <w:r>
        <w:tab/>
      </w:r>
      <w:r>
        <w:tab/>
      </w:r>
      <w:r>
        <w:tab/>
      </w:r>
      <w:r>
        <w:tab/>
        <w:t>Nr. 3.5.2 / 258 / 88 vom 9.8.1990</w:t>
      </w:r>
    </w:p>
    <w:p>
      <w:pPr>
        <w:pStyle w:val="berschrift3"/>
      </w:pPr>
      <w:bookmarkStart w:id="26" w:name="_Toc422560217"/>
      <w:bookmarkStart w:id="27" w:name="_Toc422560304"/>
      <w:r>
        <w:t>2.</w:t>
      </w:r>
      <w:r>
        <w:br/>
        <w:t>Staubförmige Emissionen: Abgastrübung</w:t>
      </w:r>
      <w:bookmarkEnd w:id="26"/>
      <w:bookmarkEnd w:id="27"/>
    </w:p>
    <w:p>
      <w:pPr>
        <w:pStyle w:val="berschrift3"/>
      </w:pPr>
      <w:bookmarkStart w:id="28" w:name="_Toc422560218"/>
      <w:bookmarkStart w:id="29" w:name="_Toc422560305"/>
      <w:r>
        <w:t>2.1</w:t>
      </w:r>
      <w:r>
        <w:br/>
        <w:t>KTNR - M - RZ1</w:t>
      </w:r>
      <w:bookmarkEnd w:id="28"/>
      <w:bookmarkEnd w:id="29"/>
    </w:p>
    <w:p>
      <w:r>
        <w:t>Hersteller:</w:t>
      </w:r>
      <w:r>
        <w:tab/>
        <w:t>Sigrist Photometer AG, Ennetbürgen (Schweiz) / Sont</w:t>
      </w:r>
      <w:r>
        <w:softHyphen/>
        <w:t>hofen</w:t>
      </w:r>
    </w:p>
    <w:p>
      <w:r>
        <w:t>Eignung:</w:t>
      </w:r>
      <w:r>
        <w:tab/>
        <w:t>für die Überwachung der Rußzahl an Feuerungsanlagen für Heizöl EL</w:t>
      </w:r>
    </w:p>
    <w:p>
      <w:r>
        <w:t>Kleinster Meßbereich bei der Eignunsprüfung: 0-4 RZ</w:t>
      </w:r>
    </w:p>
    <w:p>
      <w:r>
        <w:t>Prüfbericht:</w:t>
      </w:r>
      <w:r>
        <w:tab/>
        <w:t xml:space="preserve">Technischer Überwachungs - Verein Rheinland e. V. </w:t>
      </w:r>
    </w:p>
    <w:p>
      <w:r>
        <w:tab/>
      </w:r>
      <w:r>
        <w:tab/>
      </w:r>
      <w:r>
        <w:tab/>
      </w:r>
      <w:r>
        <w:tab/>
        <w:t>Nr.936 / 800001 vom 30.7.1990</w:t>
      </w:r>
    </w:p>
    <w:p>
      <w:pPr>
        <w:pStyle w:val="berschrift3"/>
      </w:pPr>
      <w:bookmarkStart w:id="30" w:name="_Toc422560219"/>
      <w:bookmarkStart w:id="31" w:name="_Toc422560306"/>
      <w:r>
        <w:t>2.2</w:t>
      </w:r>
      <w:r>
        <w:br/>
        <w:t>RM 100</w:t>
      </w:r>
      <w:bookmarkEnd w:id="30"/>
      <w:bookmarkEnd w:id="31"/>
    </w:p>
    <w:p>
      <w:r>
        <w:t>Hersteller:</w:t>
      </w:r>
      <w:r>
        <w:tab/>
        <w:t>E. Sick GmbH, Reute</w:t>
      </w:r>
    </w:p>
    <w:p>
      <w:r>
        <w:t>Eignung:</w:t>
      </w:r>
      <w:r>
        <w:tab/>
        <w:t>für die Überwachung der Rußzahl an Feuerungsanlagen für Heizöl EL</w:t>
      </w:r>
    </w:p>
    <w:p>
      <w:r>
        <w:t>Kleinster Meßbereich bei der Eignungsprüfung: 0-2,5 RZ</w:t>
      </w:r>
    </w:p>
    <w:p>
      <w:r>
        <w:t>Hinweise:</w:t>
      </w:r>
    </w:p>
    <w:p>
      <w:pPr>
        <w:numPr>
          <w:ilvl w:val="0"/>
          <w:numId w:val="1"/>
        </w:numPr>
      </w:pPr>
      <w:r>
        <w:t>Die Meßeinrichtung ist in der geprüften Version für den Einbau in dickwandige Abgasleitungen, beispiels</w:t>
      </w:r>
      <w:r>
        <w:softHyphen/>
        <w:t xml:space="preserve">weise gemauerte Kamine, nicht geeignet. </w:t>
      </w:r>
    </w:p>
    <w:p>
      <w:pPr>
        <w:numPr>
          <w:ilvl w:val="0"/>
          <w:numId w:val="1"/>
        </w:numPr>
      </w:pPr>
      <w:r>
        <w:t>Das Gerät ist im Abstand von drei Monaten von der Kanalseite her zu reinigen,</w:t>
      </w:r>
    </w:p>
    <w:p>
      <w:r>
        <w:t>Prüfbericht:</w:t>
      </w:r>
      <w:r>
        <w:tab/>
        <w:t>Technischer Überwachungs - Verein Rheinland e. V.</w:t>
      </w:r>
    </w:p>
    <w:p>
      <w:r>
        <w:tab/>
      </w:r>
      <w:r>
        <w:tab/>
      </w:r>
      <w:r>
        <w:tab/>
      </w:r>
      <w:r>
        <w:tab/>
        <w:t>Nr. 936 / 800003 vom 5.9.1990</w:t>
      </w:r>
    </w:p>
    <w:p>
      <w:pPr>
        <w:pStyle w:val="berschrift3"/>
      </w:pPr>
      <w:bookmarkStart w:id="32" w:name="_Toc422560220"/>
      <w:bookmarkStart w:id="33" w:name="_Toc422560307"/>
      <w:r>
        <w:t>3.</w:t>
      </w:r>
      <w:r>
        <w:br/>
        <w:t>Schwefeldioxid</w:t>
      </w:r>
      <w:bookmarkEnd w:id="32"/>
      <w:bookmarkEnd w:id="33"/>
    </w:p>
    <w:p>
      <w:pPr>
        <w:pStyle w:val="berschrift3"/>
      </w:pPr>
      <w:bookmarkStart w:id="34" w:name="_Toc422560221"/>
      <w:bookmarkStart w:id="35" w:name="_Toc422560308"/>
      <w:r>
        <w:t>3.1</w:t>
      </w:r>
      <w:r>
        <w:br/>
        <w:t>GM 21</w:t>
      </w:r>
      <w:bookmarkEnd w:id="34"/>
      <w:bookmarkEnd w:id="35"/>
    </w:p>
    <w:p>
      <w:r>
        <w:t>Hersteller:</w:t>
      </w:r>
      <w:r>
        <w:tab/>
        <w:t>E. Sick GmbH, Reute</w:t>
      </w:r>
    </w:p>
    <w:p>
      <w:r>
        <w:t>Eignung:</w:t>
      </w:r>
      <w:r>
        <w:tab/>
        <w:t>Als Schwefeldioxid - Meßeinrichtung für Feuerungsanla</w:t>
      </w:r>
      <w:r>
        <w:softHyphen/>
        <w:t xml:space="preserve">gen, </w:t>
      </w:r>
    </w:p>
    <w:p>
      <w:r>
        <w:tab/>
      </w:r>
      <w:r>
        <w:tab/>
      </w:r>
      <w:r>
        <w:tab/>
      </w:r>
      <w:r>
        <w:tab/>
        <w:t>für Anlagen zur Zementherstellung</w:t>
      </w:r>
    </w:p>
    <w:p>
      <w:r>
        <w:t>Kleinster Meßbereich bei der Eignungsprüfung: 0-1 g/m3</w:t>
      </w:r>
    </w:p>
    <w:p>
      <w:r>
        <w:t>Einschränkung:</w:t>
      </w:r>
      <w:r>
        <w:tab/>
        <w:t>Im Bereich der Meßstelle darf keine Taupunktunterschrei</w:t>
      </w:r>
      <w:r>
        <w:softHyphen/>
        <w:t>tung auftreten.</w:t>
      </w:r>
    </w:p>
    <w:p>
      <w:r>
        <w:t>Prüfberichte:</w:t>
      </w:r>
      <w:r>
        <w:tab/>
        <w:t>Rheinisch - Westfälischer Technischer Überwachungs - Ver</w:t>
      </w:r>
      <w:r>
        <w:softHyphen/>
        <w:t>ein e. V.</w:t>
      </w:r>
    </w:p>
    <w:p>
      <w:r>
        <w:tab/>
      </w:r>
      <w:r>
        <w:tab/>
      </w:r>
      <w:r>
        <w:tab/>
      </w:r>
      <w:r>
        <w:tab/>
        <w:t xml:space="preserve">Nr. lV. 2.2 / 1083 / 77 - 333161 / 00 vom 15.12.1980 und </w:t>
      </w:r>
    </w:p>
    <w:p>
      <w:r>
        <w:tab/>
      </w:r>
      <w:r>
        <w:tab/>
      </w:r>
      <w:r>
        <w:tab/>
      </w:r>
      <w:r>
        <w:tab/>
        <w:t>Nr. 3.5.2 / 258 / 88 vom 9.8.1990</w:t>
      </w:r>
    </w:p>
    <w:p>
      <w:pPr>
        <w:pStyle w:val="berschrift3"/>
      </w:pPr>
      <w:bookmarkStart w:id="36" w:name="_Toc422560222"/>
      <w:bookmarkStart w:id="37" w:name="_Toc422560309"/>
      <w:r>
        <w:lastRenderedPageBreak/>
        <w:t>4.</w:t>
      </w:r>
      <w:r>
        <w:br/>
        <w:t>Summenbestimmung organischer Verbindungen</w:t>
      </w:r>
      <w:bookmarkEnd w:id="36"/>
      <w:bookmarkEnd w:id="37"/>
    </w:p>
    <w:p>
      <w:pPr>
        <w:pStyle w:val="berschrift3"/>
      </w:pPr>
      <w:bookmarkStart w:id="38" w:name="_Toc422560223"/>
      <w:bookmarkStart w:id="39" w:name="_Toc422560310"/>
      <w:r>
        <w:t>4.1</w:t>
      </w:r>
      <w:r>
        <w:br/>
        <w:t>FID VE 7</w:t>
      </w:r>
      <w:bookmarkEnd w:id="38"/>
      <w:bookmarkEnd w:id="39"/>
    </w:p>
    <w:p>
      <w:r>
        <w:t>Hersteller:</w:t>
      </w:r>
      <w:r>
        <w:tab/>
        <w:t>J. U. M. Engineering Ges.mbH, München</w:t>
      </w:r>
    </w:p>
    <w:p>
      <w:r>
        <w:t xml:space="preserve">Eignung: </w:t>
      </w:r>
      <w:r>
        <w:tab/>
        <w:t xml:space="preserve">für Abfallverbrennungsanlagen, </w:t>
      </w:r>
    </w:p>
    <w:p>
      <w:r>
        <w:tab/>
      </w:r>
      <w:r>
        <w:tab/>
      </w:r>
      <w:r>
        <w:tab/>
      </w:r>
      <w:r>
        <w:tab/>
        <w:t>zur Überwachung der Emissionen organischer Lösemittel</w:t>
      </w:r>
    </w:p>
    <w:p>
      <w:r>
        <w:t>Kleinster Meßbereich bei der Eignungsprüfung: 0-25 mg/m3</w:t>
      </w:r>
    </w:p>
    <w:p>
      <w:r>
        <w:t>Prüfbericht:</w:t>
      </w:r>
      <w:r>
        <w:tab/>
        <w:t xml:space="preserve">Technischer Überwachungs - Verein Norddeutschland e. V. </w:t>
      </w:r>
    </w:p>
    <w:p>
      <w:r>
        <w:tab/>
      </w:r>
      <w:r>
        <w:tab/>
      </w:r>
      <w:r>
        <w:tab/>
      </w:r>
      <w:r>
        <w:tab/>
        <w:t>Nr.128 CGO 1970 vom 29.8.1990</w:t>
      </w:r>
    </w:p>
    <w:p>
      <w:pPr>
        <w:pStyle w:val="berschrift3"/>
      </w:pPr>
      <w:bookmarkStart w:id="40" w:name="_Toc422560224"/>
      <w:bookmarkStart w:id="41" w:name="_Toc422560311"/>
      <w:r>
        <w:t>4.2</w:t>
      </w:r>
      <w:r>
        <w:br/>
        <w:t>FIDAMAT K</w:t>
      </w:r>
      <w:r>
        <w:br/>
        <w:t>Ausführung M52044-A10</w:t>
      </w:r>
      <w:bookmarkEnd w:id="40"/>
      <w:bookmarkEnd w:id="41"/>
    </w:p>
    <w:p>
      <w:r>
        <w:t>Hersteller:</w:t>
      </w:r>
      <w:r>
        <w:tab/>
        <w:t>Siemens AG, Karlsruhe</w:t>
      </w:r>
    </w:p>
    <w:p>
      <w:r>
        <w:t xml:space="preserve">Eignung: </w:t>
      </w:r>
      <w:r>
        <w:tab/>
        <w:t xml:space="preserve">für Abfallverbrennungsanlagen, </w:t>
      </w:r>
    </w:p>
    <w:p>
      <w:r>
        <w:tab/>
      </w:r>
      <w:r>
        <w:tab/>
      </w:r>
      <w:r>
        <w:tab/>
      </w:r>
      <w:r>
        <w:tab/>
        <w:t>zur Überwachung der Emissionen organischer Lösemittel</w:t>
      </w:r>
    </w:p>
    <w:p>
      <w:r>
        <w:t>Kleinster Meßbereich bei der Eignungsprüfung: 0-50 mg/m3</w:t>
      </w:r>
    </w:p>
    <w:p>
      <w:r>
        <w:t>Prüfberichte:</w:t>
      </w:r>
      <w:r>
        <w:tab/>
        <w:t>Technischer Überwachungs - Verein Rheinland e. V.</w:t>
      </w:r>
    </w:p>
    <w:p>
      <w:r>
        <w:tab/>
      </w:r>
      <w:r>
        <w:tab/>
      </w:r>
      <w:r>
        <w:tab/>
      </w:r>
      <w:r>
        <w:tab/>
        <w:t xml:space="preserve">Nr. 936 / 804006 vom 31.1.1977, </w:t>
      </w:r>
    </w:p>
    <w:p>
      <w:r>
        <w:tab/>
      </w:r>
      <w:r>
        <w:tab/>
      </w:r>
      <w:r>
        <w:tab/>
      </w:r>
      <w:r>
        <w:tab/>
        <w:t xml:space="preserve">Nr. 936 / 808013 vom 15.2.1979 und </w:t>
      </w:r>
    </w:p>
    <w:p>
      <w:r>
        <w:tab/>
      </w:r>
      <w:r>
        <w:tab/>
      </w:r>
      <w:r>
        <w:tab/>
      </w:r>
      <w:r>
        <w:tab/>
        <w:t>Nr. 936 / 808009 vom 30.7.1990</w:t>
      </w:r>
    </w:p>
    <w:p>
      <w:pPr>
        <w:pStyle w:val="berschrift2"/>
      </w:pPr>
      <w:bookmarkStart w:id="42" w:name="_Toc422560225"/>
      <w:bookmarkStart w:id="43" w:name="_Toc422560312"/>
      <w:r>
        <w:t>II.</w:t>
      </w:r>
      <w:r>
        <w:br/>
        <w:t>Eignung von Meßeinrichtungen zur kontinuierlichen</w:t>
      </w:r>
      <w:r>
        <w:br/>
        <w:t>Messung von Bezugsgrößen</w:t>
      </w:r>
      <w:bookmarkEnd w:id="42"/>
      <w:bookmarkEnd w:id="43"/>
    </w:p>
    <w:p>
      <w:pPr>
        <w:pStyle w:val="GesAbsatz"/>
      </w:pPr>
      <w:r>
        <w:t>Unter Bezugnahme auf Nummer 3 der Richtlinien über die Eignungsprüfung, den Einbau, die Kalibrierung und die War</w:t>
      </w:r>
      <w:r>
        <w:softHyphen/>
        <w:t>tung von Meßeinrichtungen für kontinuierliche Emissionsmes</w:t>
      </w:r>
      <w:r>
        <w:softHyphen/>
        <w:t xml:space="preserve">sungen - RdSchr. d. BMU vom 1.3.1990 - IG I 2 - 556 134 / 4 (GMBI. S.226) - wird nach Abstimmung mit den zuständigen Länderressorts und den Prüfinstituten die Eignung der folgenden </w:t>
      </w:r>
      <w:proofErr w:type="spellStart"/>
      <w:r>
        <w:t>Meßeinrichtung</w:t>
      </w:r>
      <w:proofErr w:type="spellEnd"/>
      <w:r>
        <w:t xml:space="preserve"> bekanntgegeben:</w:t>
      </w:r>
    </w:p>
    <w:p>
      <w:pPr>
        <w:pStyle w:val="berschrift3"/>
      </w:pPr>
      <w:bookmarkStart w:id="44" w:name="_Toc422560226"/>
      <w:bookmarkStart w:id="45" w:name="_Toc422560313"/>
      <w:r>
        <w:t>1.</w:t>
      </w:r>
      <w:r>
        <w:br/>
        <w:t>Sauerstoff</w:t>
      </w:r>
      <w:bookmarkEnd w:id="44"/>
      <w:bookmarkEnd w:id="45"/>
    </w:p>
    <w:p>
      <w:pPr>
        <w:pStyle w:val="berschrift3"/>
      </w:pPr>
      <w:bookmarkStart w:id="46" w:name="_Toc422560227"/>
      <w:bookmarkStart w:id="47" w:name="_Toc422560314"/>
      <w:r>
        <w:t>1.1</w:t>
      </w:r>
      <w:r>
        <w:br/>
      </w:r>
      <w:proofErr w:type="spellStart"/>
      <w:r>
        <w:t>Magnos</w:t>
      </w:r>
      <w:proofErr w:type="spellEnd"/>
      <w:r>
        <w:t xml:space="preserve"> 6 G</w:t>
      </w:r>
      <w:bookmarkEnd w:id="46"/>
      <w:bookmarkEnd w:id="47"/>
    </w:p>
    <w:p>
      <w:r>
        <w:t>Hersteller:</w:t>
      </w:r>
      <w:r>
        <w:tab/>
        <w:t>Hartmann &amp; Braun AG, Frankfurt/Main</w:t>
      </w:r>
    </w:p>
    <w:p>
      <w:r>
        <w:t>Meßbereiche bei der Eignungsprüfung: 0-10 Vol.-%, 0-21 Vol.-%</w:t>
      </w:r>
    </w:p>
    <w:p>
      <w:r>
        <w:t>Prüfbericht:</w:t>
      </w:r>
      <w:r>
        <w:tab/>
        <w:t>Rheinisch - Westfälischer Technischer Überwachungs - Ver</w:t>
      </w:r>
      <w:r>
        <w:softHyphen/>
        <w:t>ein e. V.</w:t>
      </w:r>
    </w:p>
    <w:p>
      <w:r>
        <w:tab/>
      </w:r>
      <w:r>
        <w:tab/>
      </w:r>
      <w:r>
        <w:tab/>
      </w:r>
      <w:r>
        <w:tab/>
        <w:t>Nr. 3.5.2 / 993 / 85 vom 18.7.1990</w:t>
      </w:r>
    </w:p>
    <w:p>
      <w:pPr>
        <w:pStyle w:val="berschrift3"/>
      </w:pPr>
      <w:bookmarkStart w:id="48" w:name="_Toc422560228"/>
      <w:bookmarkStart w:id="49" w:name="_Toc422560315"/>
      <w:r>
        <w:t>III.</w:t>
      </w:r>
      <w:r>
        <w:br/>
        <w:t>Eignung von elektronischen Systemen zur Auswertung</w:t>
      </w:r>
      <w:r>
        <w:br/>
        <w:t>kontinuierlicher Emissionsmessungen</w:t>
      </w:r>
      <w:bookmarkEnd w:id="48"/>
      <w:bookmarkEnd w:id="49"/>
    </w:p>
    <w:p>
      <w:pPr>
        <w:pStyle w:val="GesAbsatz"/>
      </w:pPr>
      <w:r>
        <w:t xml:space="preserve">Unter Bezugnahme auf Nr. 2.5.2 der Richtlinien über die Auswertung kontinuierlicher Emissionsmessungen - RdSchr. d. BMU vom 26.7.1988 (GMBI Nr.23 S.426) - wird nach Abstimmung mit den zuständigen </w:t>
      </w:r>
      <w:proofErr w:type="spellStart"/>
      <w:r>
        <w:t>Länerressorts</w:t>
      </w:r>
      <w:proofErr w:type="spellEnd"/>
      <w:r>
        <w:t xml:space="preserve"> und den Prüfinstituten die Eignung des folgenden elektronischen Aus</w:t>
      </w:r>
      <w:r>
        <w:softHyphen/>
        <w:t>wertesystems bekanntgegeben</w:t>
      </w:r>
    </w:p>
    <w:p>
      <w:pPr>
        <w:pStyle w:val="berschrift3"/>
      </w:pPr>
      <w:bookmarkStart w:id="50" w:name="_Toc422560229"/>
      <w:bookmarkStart w:id="51" w:name="_Toc422560316"/>
      <w:r>
        <w:lastRenderedPageBreak/>
        <w:t>1.</w:t>
      </w:r>
      <w:r>
        <w:br/>
        <w:t>Klassiergerät mit Bezugswertrechner</w:t>
      </w:r>
      <w:bookmarkEnd w:id="50"/>
      <w:bookmarkEnd w:id="51"/>
    </w:p>
    <w:p>
      <w:pPr>
        <w:pStyle w:val="berschrift3"/>
      </w:pPr>
      <w:bookmarkStart w:id="52" w:name="_Toc422560230"/>
      <w:bookmarkStart w:id="53" w:name="_Toc422560317"/>
      <w:r>
        <w:t>1.1</w:t>
      </w:r>
      <w:r>
        <w:br/>
        <w:t>ZEUS II</w:t>
      </w:r>
      <w:bookmarkEnd w:id="52"/>
      <w:bookmarkEnd w:id="53"/>
    </w:p>
    <w:p>
      <w:r>
        <w:t>Hersteller:</w:t>
      </w:r>
      <w:r>
        <w:tab/>
        <w:t>NUKEM GmbH, Alzenau</w:t>
      </w:r>
    </w:p>
    <w:p>
      <w:r>
        <w:t>Eignung:</w:t>
      </w:r>
      <w:r>
        <w:tab/>
        <w:t xml:space="preserve">Integration mit Bezugswertrechnung und Klassierung der Meßsignale von kontinuierlich </w:t>
      </w:r>
      <w:r>
        <w:tab/>
      </w:r>
      <w:r>
        <w:tab/>
      </w:r>
      <w:r>
        <w:tab/>
      </w:r>
      <w:r>
        <w:tab/>
        <w:t>arbeitenden Emissions</w:t>
      </w:r>
      <w:r>
        <w:softHyphen/>
        <w:t xml:space="preserve">meßeinrichtungen </w:t>
      </w:r>
    </w:p>
    <w:p>
      <w:r>
        <w:tab/>
      </w:r>
      <w:r>
        <w:tab/>
      </w:r>
      <w:r>
        <w:tab/>
      </w:r>
      <w:r>
        <w:tab/>
        <w:t xml:space="preserve">Für die Meßsignalauswertung gemäß der Verordnung über Großfeuerungsanlagen (13. </w:t>
      </w:r>
      <w:r>
        <w:tab/>
      </w:r>
      <w:r>
        <w:tab/>
      </w:r>
      <w:r>
        <w:tab/>
      </w:r>
      <w:r>
        <w:tab/>
      </w:r>
      <w:r>
        <w:tab/>
        <w:t>BImSchV) und der TA Luft</w:t>
      </w:r>
    </w:p>
    <w:p>
      <w:r>
        <w:t>Prüfbericht:</w:t>
      </w:r>
      <w:r>
        <w:tab/>
        <w:t>Rheinisch - Westfälischer Technischer Überwachungs - Ver</w:t>
      </w:r>
      <w:r>
        <w:softHyphen/>
        <w:t xml:space="preserve">ein e. V. </w:t>
      </w:r>
    </w:p>
    <w:p>
      <w:r>
        <w:tab/>
      </w:r>
      <w:r>
        <w:tab/>
      </w:r>
      <w:r>
        <w:tab/>
      </w:r>
      <w:r>
        <w:tab/>
        <w:t>Nr. IV. 2.2 / 51583 - 335708 / 00 vom 14.8.1985,</w:t>
      </w:r>
    </w:p>
    <w:p>
      <w:r>
        <w:tab/>
      </w:r>
      <w:r>
        <w:tab/>
      </w:r>
      <w:r>
        <w:tab/>
      </w:r>
      <w:r>
        <w:tab/>
        <w:t xml:space="preserve">Technischer Überwachungs - Verein Rheinland e. V. </w:t>
      </w:r>
    </w:p>
    <w:p>
      <w:r>
        <w:tab/>
      </w:r>
      <w:r>
        <w:tab/>
      </w:r>
      <w:r>
        <w:tab/>
      </w:r>
      <w:r>
        <w:tab/>
        <w:t>Nr. 936 / 808004 vom 6.6.1989 und</w:t>
      </w:r>
    </w:p>
    <w:p>
      <w:r>
        <w:tab/>
      </w:r>
      <w:r>
        <w:tab/>
      </w:r>
      <w:r>
        <w:tab/>
      </w:r>
      <w:r>
        <w:tab/>
        <w:t>Rheinisch - Westfälischer Technischer Überwachungs - Ver</w:t>
      </w:r>
      <w:r>
        <w:softHyphen/>
        <w:t>ein e. V.</w:t>
      </w:r>
    </w:p>
    <w:p>
      <w:r>
        <w:tab/>
      </w:r>
      <w:r>
        <w:tab/>
      </w:r>
      <w:r>
        <w:tab/>
      </w:r>
      <w:r>
        <w:tab/>
        <w:t>Nr. 3.5.2 / 1234 / 89 vom 27.6.1990</w:t>
      </w:r>
    </w:p>
    <w:p>
      <w:pPr>
        <w:pStyle w:val="berschrift3"/>
      </w:pPr>
      <w:bookmarkStart w:id="54" w:name="_Toc422560231"/>
      <w:bookmarkStart w:id="55" w:name="_Toc422560318"/>
      <w:r>
        <w:t>IV.</w:t>
      </w:r>
      <w:r>
        <w:br/>
        <w:t>Eignung von Meßgeräten zur kontinuierlichen</w:t>
      </w:r>
      <w:r>
        <w:br/>
        <w:t>Überwachung der Immissionen</w:t>
      </w:r>
      <w:bookmarkEnd w:id="54"/>
      <w:bookmarkEnd w:id="55"/>
    </w:p>
    <w:p>
      <w:pPr>
        <w:pStyle w:val="GesAbsatz"/>
      </w:pPr>
      <w:r>
        <w:t>Unter Bezugnahme auf Nr. 3 der Richtlinien über die Bau</w:t>
      </w:r>
      <w:r>
        <w:softHyphen/>
        <w:t xml:space="preserve">ausführung und Eignungsprüfung von Meßeinrichtungen zur kontinuierlichen Überwachung der Immissionen - RdSchr. d. BMI vom 19.8.1981 - [U] II 8 - 556 134 / 4 - (GMBI S.355) </w:t>
      </w:r>
      <w:r>
        <w:softHyphen/>
        <w:t>wird nach Abstimmung mit den zuständigen Länderressorts und den Prüfinstituten die Eignung des folgenden Meßgerätes bekanntgegeben:</w:t>
      </w:r>
    </w:p>
    <w:p>
      <w:pPr>
        <w:pStyle w:val="berschrift3"/>
      </w:pPr>
      <w:bookmarkStart w:id="56" w:name="_Toc422560232"/>
      <w:bookmarkStart w:id="57" w:name="_Toc422560319"/>
      <w:r>
        <w:t>1.</w:t>
      </w:r>
      <w:r>
        <w:br/>
        <w:t>Ozon</w:t>
      </w:r>
      <w:bookmarkEnd w:id="56"/>
      <w:bookmarkEnd w:id="57"/>
    </w:p>
    <w:p>
      <w:pPr>
        <w:pStyle w:val="berschrift3"/>
      </w:pPr>
      <w:bookmarkStart w:id="58" w:name="_Toc422560233"/>
      <w:bookmarkStart w:id="59" w:name="_Toc422560320"/>
      <w:r>
        <w:t>1.1</w:t>
      </w:r>
      <w:r>
        <w:br/>
        <w:t>APOA - 350 E</w:t>
      </w:r>
      <w:bookmarkEnd w:id="58"/>
      <w:bookmarkEnd w:id="59"/>
    </w:p>
    <w:p>
      <w:r>
        <w:t>Hersteller:</w:t>
      </w:r>
      <w:r>
        <w:tab/>
        <w:t>Horiba Europe GmbH, Langenfeld</w:t>
      </w:r>
    </w:p>
    <w:p>
      <w:r>
        <w:t>Prüfbericht:</w:t>
      </w:r>
      <w:r>
        <w:tab/>
        <w:t>Technischer Überwachungs - Verein Rheinland e. V.</w:t>
      </w:r>
    </w:p>
    <w:p>
      <w:pPr>
        <w:rPr>
          <w:b/>
        </w:rPr>
      </w:pPr>
      <w:r>
        <w:tab/>
      </w:r>
      <w:r>
        <w:tab/>
      </w:r>
      <w:r>
        <w:tab/>
      </w:r>
      <w:r>
        <w:tab/>
        <w:t>Nr. 936 / 809006 vom 10.8.1990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07.11.1990 (GMBl. S. 860)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61.4-06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25078"/>
    <w:multiLevelType w:val="singleLevel"/>
    <w:tmpl w:val="8DF2FB5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F79A-AC90-49A7-88E9-CA4F6835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styleId="Index1">
    <w:name w:val="index 1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200" w:hanging="200"/>
      <w:jc w:val="left"/>
    </w:pPr>
    <w:rPr>
      <w:rFonts w:ascii="Times New Roman" w:hAnsi="Times New Roman"/>
    </w:rPr>
  </w:style>
  <w:style w:type="paragraph" w:styleId="Index2">
    <w:name w:val="index 2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400" w:hanging="200"/>
      <w:jc w:val="left"/>
    </w:pPr>
    <w:rPr>
      <w:rFonts w:ascii="Times New Roman" w:hAnsi="Times New Roman"/>
    </w:rPr>
  </w:style>
  <w:style w:type="paragraph" w:styleId="Index3">
    <w:name w:val="index 3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600" w:hanging="200"/>
      <w:jc w:val="left"/>
    </w:pPr>
    <w:rPr>
      <w:rFonts w:ascii="Times New Roman" w:hAnsi="Times New Roman"/>
    </w:rPr>
  </w:style>
  <w:style w:type="paragraph" w:styleId="Index4">
    <w:name w:val="index 4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800" w:hanging="200"/>
      <w:jc w:val="left"/>
    </w:pPr>
    <w:rPr>
      <w:rFonts w:ascii="Times New Roman" w:hAnsi="Times New Roman"/>
    </w:rPr>
  </w:style>
  <w:style w:type="paragraph" w:styleId="Index5">
    <w:name w:val="index 5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000" w:hanging="200"/>
      <w:jc w:val="left"/>
    </w:pPr>
    <w:rPr>
      <w:rFonts w:ascii="Times New Roman" w:hAnsi="Times New Roman"/>
    </w:rPr>
  </w:style>
  <w:style w:type="paragraph" w:styleId="Index6">
    <w:name w:val="index 6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200" w:hanging="200"/>
      <w:jc w:val="left"/>
    </w:pPr>
    <w:rPr>
      <w:rFonts w:ascii="Times New Roman" w:hAnsi="Times New Roman"/>
    </w:rPr>
  </w:style>
  <w:style w:type="paragraph" w:styleId="Index7">
    <w:name w:val="index 7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400" w:hanging="200"/>
      <w:jc w:val="left"/>
    </w:pPr>
    <w:rPr>
      <w:rFonts w:ascii="Times New Roman" w:hAnsi="Times New Roman"/>
    </w:rPr>
  </w:style>
  <w:style w:type="paragraph" w:styleId="Index8">
    <w:name w:val="index 8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600" w:hanging="200"/>
      <w:jc w:val="left"/>
    </w:pPr>
    <w:rPr>
      <w:rFonts w:ascii="Times New Roman" w:hAnsi="Times New Roman"/>
    </w:rPr>
  </w:style>
  <w:style w:type="paragraph" w:styleId="Index9">
    <w:name w:val="index 9"/>
    <w:basedOn w:val="Standard"/>
    <w:next w:val="Standard"/>
    <w:semiHidden/>
    <w:pPr>
      <w:tabs>
        <w:tab w:val="clear" w:pos="425"/>
        <w:tab w:val="right" w:leader="dot" w:pos="4458"/>
      </w:tabs>
      <w:spacing w:after="0"/>
      <w:ind w:left="1800" w:hanging="200"/>
      <w:jc w:val="left"/>
    </w:pPr>
    <w:rPr>
      <w:rFonts w:ascii="Times New Roman" w:hAnsi="Times New Roman"/>
    </w:rPr>
  </w:style>
  <w:style w:type="paragraph" w:styleId="Indexberschrift">
    <w:name w:val="index heading"/>
    <w:basedOn w:val="Standard"/>
    <w:next w:val="Index1"/>
    <w:semiHidden/>
    <w:pPr>
      <w:tabs>
        <w:tab w:val="clear" w:pos="425"/>
        <w:tab w:val="right" w:leader="dot" w:pos="4458"/>
      </w:tabs>
      <w:spacing w:before="120"/>
      <w:jc w:val="left"/>
    </w:pPr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4</Pages>
  <Words>977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Immissionen</vt:lpstr>
    </vt:vector>
  </TitlesOfParts>
  <Company>LANUV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Immissionen</dc:title>
  <dc:creator>LUA</dc:creator>
  <cp:lastModifiedBy>Rüter, Dr., Ingo</cp:lastModifiedBy>
  <cp:revision>4</cp:revision>
  <cp:lastPrinted>1899-12-31T23:00:00Z</cp:lastPrinted>
  <dcterms:created xsi:type="dcterms:W3CDTF">2014-09-23T11:42:00Z</dcterms:created>
  <dcterms:modified xsi:type="dcterms:W3CDTF">2024-04-10T09:05:00Z</dcterms:modified>
</cp:coreProperties>
</file>