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83"/>
        <w:gridCol w:w="4536"/>
      </w:tblGrid>
      <w:tr>
        <w:tc>
          <w:tcPr>
            <w:tcW w:w="4465" w:type="dxa"/>
          </w:tcPr>
          <w:p>
            <w:pPr>
              <w:spacing w:before="0"/>
              <w:jc w:val="left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 xml:space="preserve">Zuständige Dienststelle </w:t>
            </w:r>
            <w:r>
              <w:rPr>
                <w:sz w:val="16"/>
                <w:vertAlign w:val="superscript"/>
              </w:rPr>
              <w:t>1)</w:t>
            </w: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4536" w:type="dxa"/>
          </w:tcPr>
          <w:p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Absender</w:t>
            </w: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>
            <w:pPr>
              <w:spacing w:before="60"/>
              <w:jc w:val="left"/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>
      <w:pPr>
        <w:spacing w:before="0"/>
        <w:ind w:right="141"/>
        <w:jc w:val="right"/>
        <w:rPr>
          <w:sz w:val="18"/>
        </w:rPr>
      </w:pPr>
      <w:r>
        <w:rPr>
          <w:vanish/>
          <w:sz w:val="18"/>
        </w:rPr>
        <w:t>Stand 14.03.2024</w:t>
      </w:r>
    </w:p>
    <w:p>
      <w:pPr>
        <w:spacing w:after="120"/>
        <w:jc w:val="center"/>
        <w:rPr>
          <w:b/>
        </w:rPr>
      </w:pPr>
      <w:r>
        <w:rPr>
          <w:b/>
        </w:rPr>
        <w:t xml:space="preserve">Verbindliche Erklärung zum Reduzierungsplan - Vereinfachter Nachweis </w:t>
      </w:r>
    </w:p>
    <w:p>
      <w:pPr>
        <w:spacing w:after="240"/>
        <w:jc w:val="center"/>
        <w:rPr>
          <w:b/>
        </w:rPr>
      </w:pPr>
      <w:r>
        <w:rPr>
          <w:b/>
        </w:rPr>
        <w:t>nach Anhang IV C der 31. BImSchV - Lösungsmittelverordnung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>
        <w:trPr>
          <w:trHeight w:val="931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8"/>
              </w:rPr>
              <w:t>Name / Firmenbezeichnung / Anschrift:</w:t>
            </w:r>
          </w:p>
          <w:p>
            <w:pPr>
              <w:tabs>
                <w:tab w:val="left" w:pos="567"/>
              </w:tabs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extkrper"/>
              <w:spacing w:before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Betriebliche Kontaktperson</w:t>
            </w:r>
          </w:p>
          <w:p>
            <w:pPr>
              <w:pStyle w:val="Textkrper"/>
              <w:spacing w:before="0"/>
              <w:rPr>
                <w:sz w:val="16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extkrper"/>
              <w:spacing w:before="0"/>
              <w:rPr>
                <w:sz w:val="18"/>
                <w:lang w:val="it-IT"/>
              </w:rPr>
            </w:pPr>
            <w:r>
              <w:rPr>
                <w:sz w:val="18"/>
              </w:rPr>
              <w:t>Telefon</w:t>
            </w:r>
          </w:p>
          <w:p>
            <w:pPr>
              <w:pStyle w:val="Textkrper"/>
              <w:spacing w:before="0"/>
            </w:pPr>
            <w:r>
              <w:rPr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7"/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extkrper"/>
              <w:spacing w:before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E-Mail</w:t>
            </w:r>
            <w:r>
              <w:rPr>
                <w:sz w:val="18"/>
              </w:rPr>
              <w:t>-Adresse</w:t>
            </w:r>
          </w:p>
          <w:p>
            <w:pPr>
              <w:pStyle w:val="Textkrper"/>
              <w:spacing w:before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8"/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krper"/>
              <w:spacing w:before="0"/>
              <w:rPr>
                <w:sz w:val="8"/>
              </w:rPr>
            </w:pPr>
          </w:p>
        </w:tc>
      </w:tr>
      <w:tr>
        <w:trPr>
          <w:trHeight w:val="65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8"/>
              </w:rPr>
              <w:t>Bezeichnung und Anschrift des Betriebes, soweit mit Anschrift des Betreibers nicht identisch</w:t>
            </w:r>
          </w:p>
          <w:p>
            <w:pPr>
              <w:tabs>
                <w:tab w:val="left" w:pos="567"/>
              </w:tabs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Textkrper"/>
              <w:spacing w:before="0"/>
              <w:rPr>
                <w:sz w:val="8"/>
              </w:rPr>
            </w:pP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"/>
              <w:spacing w:before="0"/>
              <w:rPr>
                <w:sz w:val="18"/>
              </w:rPr>
            </w:pPr>
            <w:r>
              <w:rPr>
                <w:sz w:val="18"/>
              </w:rPr>
              <w:t>Bezeichnung der Anlage</w:t>
            </w:r>
          </w:p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8"/>
                <w:lang w:val="it-IT"/>
              </w:rPr>
              <w:t>(Nr.</w:t>
            </w:r>
            <w:r>
              <w:rPr>
                <w:sz w:val="18"/>
              </w:rPr>
              <w:t xml:space="preserve"> nach Anhang</w:t>
            </w:r>
            <w:r>
              <w:rPr>
                <w:sz w:val="18"/>
                <w:lang w:val="it-IT"/>
              </w:rPr>
              <w:t xml:space="preserve"> I</w:t>
            </w:r>
            <w:r>
              <w:rPr>
                <w:sz w:val="18"/>
              </w:rPr>
              <w:t xml:space="preserve"> der</w:t>
            </w:r>
            <w:r>
              <w:rPr>
                <w:sz w:val="18"/>
                <w:lang w:val="it-IT"/>
              </w:rPr>
              <w:t xml:space="preserve"> 31. BImSchV):</w:t>
            </w:r>
            <w:r>
              <w:rPr>
                <w:sz w:val="16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"/>
              <w:spacing w:before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Tätigkeit</w:t>
            </w:r>
          </w:p>
          <w:p>
            <w:pPr>
              <w:pStyle w:val="Textkrper"/>
              <w:spacing w:before="0"/>
            </w:pPr>
            <w:r>
              <w:rPr>
                <w:sz w:val="18"/>
                <w:lang w:val="it-IT"/>
              </w:rPr>
              <w:t xml:space="preserve">(Nr. nach Anhang II der 31. </w:t>
            </w:r>
            <w:r>
              <w:rPr>
                <w:sz w:val="18"/>
              </w:rPr>
              <w:t>BImSchV):</w:t>
            </w:r>
            <w:r>
              <w:rPr>
                <w:sz w:val="16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8"/>
              </w:rPr>
              <w:t>Innerbetriebliche (technische) Bezeichnung</w:t>
            </w:r>
          </w:p>
          <w:p>
            <w:pPr>
              <w:pStyle w:val="Textkrper"/>
              <w:spacing w:before="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>
      <w:pPr>
        <w:jc w:val="left"/>
      </w:pPr>
    </w:p>
    <w:p>
      <w:pPr>
        <w:pStyle w:val="berschrift2"/>
        <w:numPr>
          <w:ilvl w:val="0"/>
          <w:numId w:val="0"/>
        </w:numPr>
        <w:spacing w:before="0" w:after="240"/>
      </w:pPr>
      <w:r>
        <w:t>Einzuhaltende Anforderungen nach Anhang IV C der Lösungsmittelverordnung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851"/>
        <w:gridCol w:w="2977"/>
        <w:gridCol w:w="992"/>
        <w:gridCol w:w="992"/>
      </w:tblGrid>
      <w:tr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</w:pPr>
            <w:r>
              <w:t xml:space="preserve">Anlage / Tätigkeit </w:t>
            </w:r>
          </w:p>
          <w:p>
            <w:pPr>
              <w:pStyle w:val="Kopfzeile"/>
              <w:spacing w:after="60"/>
              <w:jc w:val="left"/>
            </w:pPr>
            <w:r>
              <w:t>nach Anhang I / II der 31. BImSchV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spacing w:after="120"/>
            </w:pPr>
            <w:r>
              <w:t>Anhang IV C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</w:pPr>
            <w:r>
              <w:t>Einsatzstoff / Anforderung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sz w:val="18"/>
              </w:rPr>
            </w:pPr>
            <w:r>
              <w:rPr>
                <w:sz w:val="18"/>
              </w:rPr>
              <w:t>bitte ankreuzen</w:t>
            </w:r>
          </w:p>
        </w:tc>
      </w:tr>
      <w:tr>
        <w:tc>
          <w:tcPr>
            <w:tcW w:w="3472" w:type="dxa"/>
            <w:tcBorders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Anlage nach Nr. 1.3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sonstige Drucktätigkeiten </w:t>
            </w:r>
          </w:p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1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tabs>
                <w:tab w:val="left" w:pos="355"/>
              </w:tabs>
              <w:jc w:val="left"/>
              <w:rPr>
                <w:b w:val="0"/>
              </w:rPr>
            </w:pPr>
            <w:r>
              <w:tab/>
            </w:r>
            <w:r>
              <w:rPr>
                <w:b w:val="0"/>
              </w:rPr>
              <w:t xml:space="preserve">Lösungsmittelgehalt in </w:t>
            </w:r>
            <w:r>
              <w:tab/>
            </w:r>
            <w:r>
              <w:rPr>
                <w:b w:val="0"/>
              </w:rPr>
              <w:t xml:space="preserve">Druckfarben, Klarlacken, </w:t>
            </w:r>
            <w:r>
              <w:tab/>
            </w:r>
            <w:r>
              <w:rPr>
                <w:b w:val="0"/>
              </w:rPr>
              <w:t>Klebstoffen und Hilfsstoffen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ind w:left="284" w:hanging="284"/>
              <w:rPr>
                <w:b w:val="0"/>
              </w:rPr>
            </w:pPr>
            <w:r>
              <w:rPr>
                <w:b w:val="0"/>
              </w:rPr>
              <w:t>&lt; 10 %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c>
          <w:tcPr>
            <w:tcW w:w="3472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c>
          <w:tcPr>
            <w:tcW w:w="3472" w:type="dxa"/>
            <w:tcBorders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Anlage nach Nr. 4.1, 4.2, 4.3, 4.4, 4.5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Beschichtung von Personenkraftwagen, Fahrerhäusern, Nutzfahrzeugen, Bussen, Schienenfahrzeugen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-nicht genehmigungsbedürftig-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numPr>
                <w:ilvl w:val="0"/>
                <w:numId w:val="15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VOC-Wert in                   Beschichtungsstoffen </w:t>
            </w:r>
            <w:r>
              <w:rPr>
                <w:b w:val="0"/>
                <w:u w:val="single"/>
              </w:rPr>
              <w:t>und</w:t>
            </w:r>
          </w:p>
          <w:p>
            <w:pPr>
              <w:pStyle w:val="Kopfzeile"/>
              <w:numPr>
                <w:ilvl w:val="0"/>
                <w:numId w:val="16"/>
              </w:numPr>
              <w:jc w:val="left"/>
              <w:rPr>
                <w:b w:val="0"/>
              </w:rPr>
            </w:pPr>
            <w:r>
              <w:rPr>
                <w:b w:val="0"/>
              </w:rPr>
              <w:t>VOC-Massegehalt in       Reinigungsmitteln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≤ 250 g/l</w:t>
            </w: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&lt; 20 %</w:t>
            </w:r>
          </w:p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c>
          <w:tcPr>
            <w:tcW w:w="3472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3472" w:type="dxa"/>
            <w:tcBorders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Anlage nach Nr. 5.1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Fahrzeugreparaturlackierung: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‚Anhängerlackierung‘ oder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zur ‚ursprünglichen Lackierung von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Kraftfahrzeugen außerhalb der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ursprünglichen Fertigungsstraße‘</w:t>
            </w:r>
          </w:p>
          <w:p>
            <w:pPr>
              <w:pStyle w:val="Kopfzeile"/>
              <w:tabs>
                <w:tab w:val="left" w:pos="0"/>
                <w:tab w:val="left" w:pos="7230"/>
              </w:tabs>
              <w:jc w:val="both"/>
              <w:rPr>
                <w:b w:val="0"/>
              </w:rPr>
            </w:pPr>
            <w:r>
              <w:rPr>
                <w:b w:val="0"/>
              </w:rPr>
              <w:t>-nicht genehmigungsbedürftig-</w:t>
            </w:r>
          </w:p>
          <w:p>
            <w:pPr>
              <w:pStyle w:val="Kopfzeile"/>
              <w:tabs>
                <w:tab w:val="left" w:pos="0"/>
                <w:tab w:val="left" w:pos="7230"/>
              </w:tabs>
              <w:jc w:val="both"/>
              <w:rPr>
                <w:b w:val="0"/>
              </w:rPr>
            </w:pPr>
          </w:p>
          <w:p>
            <w:pPr>
              <w:pStyle w:val="Kopfzeile"/>
              <w:spacing w:after="60"/>
              <w:jc w:val="both"/>
              <w:rPr>
                <w:b w:val="0"/>
              </w:rPr>
            </w:pPr>
            <w:r>
              <w:rPr>
                <w:b w:val="0"/>
              </w:rPr>
              <w:t xml:space="preserve">Anm.: Gemäß Nr. 5.1.3 Anhang III gilt: </w:t>
            </w:r>
          </w:p>
          <w:p>
            <w:pPr>
              <w:pStyle w:val="Kopfzeile"/>
              <w:jc w:val="both"/>
              <w:rPr>
                <w:b w:val="0"/>
              </w:rPr>
            </w:pPr>
            <w:r>
              <w:rPr>
                <w:b w:val="0"/>
              </w:rPr>
              <w:t>Werkzeugreinigung in geschlossenen oder mindestens halbgeschlossenen Geräten nach Stand der Technik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567" w:hanging="567"/>
              <w:jc w:val="center"/>
              <w:rPr>
                <w:sz w:val="20"/>
              </w:rPr>
            </w:pPr>
            <w:r>
              <w:rPr>
                <w:sz w:val="20"/>
              </w:rPr>
              <w:t>Nr. 4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VOC-Wert in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Werkzeugreinigern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Vorreinigungsmitteln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Spachteln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Waschprimern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Haftgrundierungen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Grundierfüllern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Schleiffüllern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Nass-in-Nassfüllern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Einschicht-Uni-Decklacken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Basislacken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Klarlacken</w:t>
            </w:r>
          </w:p>
          <w:p>
            <w:pPr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851"/>
              </w:tabs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Spezialprodukten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in g/l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850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200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250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780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540</w:t>
            </w:r>
            <w:r>
              <w:rPr>
                <w:sz w:val="20"/>
                <w:vertAlign w:val="superscript"/>
              </w:rPr>
              <w:t>(1)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540</w:t>
            </w:r>
            <w:r>
              <w:rPr>
                <w:sz w:val="20"/>
                <w:vertAlign w:val="superscript"/>
              </w:rPr>
              <w:t>(1)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540</w:t>
            </w:r>
            <w:r>
              <w:rPr>
                <w:sz w:val="20"/>
                <w:vertAlign w:val="superscript"/>
              </w:rPr>
              <w:t>(1)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540</w:t>
            </w:r>
            <w:r>
              <w:rPr>
                <w:sz w:val="20"/>
                <w:vertAlign w:val="superscript"/>
              </w:rPr>
              <w:t>(2)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420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420</w:t>
            </w:r>
          </w:p>
          <w:p>
            <w:pPr>
              <w:tabs>
                <w:tab w:val="left" w:pos="284"/>
                <w:tab w:val="left" w:pos="567"/>
                <w:tab w:val="left" w:pos="851"/>
              </w:tabs>
              <w:spacing w:before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≤ 420</w:t>
            </w:r>
            <w:r>
              <w:rPr>
                <w:sz w:val="20"/>
                <w:vertAlign w:val="superscript"/>
              </w:rPr>
              <w:t>(3)</w:t>
            </w:r>
          </w:p>
          <w:p>
            <w:pPr>
              <w:tabs>
                <w:tab w:val="left" w:pos="851"/>
              </w:tabs>
              <w:spacing w:before="0"/>
              <w:ind w:left="71"/>
              <w:jc w:val="left"/>
              <w:rPr>
                <w:sz w:val="20"/>
                <w:vertAlign w:val="superscript"/>
              </w:rPr>
            </w:pPr>
            <w:r>
              <w:rPr>
                <w:sz w:val="20"/>
              </w:rPr>
              <w:t>≤ 840</w:t>
            </w:r>
            <w:r>
              <w:rPr>
                <w:sz w:val="17"/>
                <w:szCs w:val="17"/>
                <w:vertAlign w:val="superscript"/>
              </w:rPr>
              <w:t>(3)(4)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rPr>
          <w:cantSplit/>
        </w:trPr>
        <w:tc>
          <w:tcPr>
            <w:tcW w:w="8292" w:type="dxa"/>
            <w:gridSpan w:val="4"/>
            <w:tcBorders>
              <w:top w:val="nil"/>
              <w:right w:val="single" w:sz="4" w:space="0" w:color="auto"/>
            </w:tcBorders>
          </w:tcPr>
          <w:p>
            <w:pPr>
              <w:pStyle w:val="Kopfzeile"/>
              <w:tabs>
                <w:tab w:val="left" w:pos="7230"/>
              </w:tabs>
              <w:spacing w:before="60"/>
              <w:ind w:left="227" w:hanging="227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vertAlign w:val="superscript"/>
              </w:rPr>
              <w:t>(1)</w:t>
            </w:r>
            <w:r>
              <w:rPr>
                <w:b w:val="0"/>
                <w:sz w:val="16"/>
                <w:szCs w:val="16"/>
              </w:rPr>
              <w:t xml:space="preserve"> Es gelten &lt; 250 g/l, soweit die Anwendung des Einsatzstoffes nach dem Stand der Technik möglich ist. </w:t>
            </w:r>
          </w:p>
          <w:p>
            <w:pPr>
              <w:pStyle w:val="Kopfzeile"/>
              <w:tabs>
                <w:tab w:val="left" w:pos="7230"/>
              </w:tabs>
              <w:ind w:left="224" w:hanging="224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vertAlign w:val="superscript"/>
              </w:rPr>
              <w:t>(2)</w:t>
            </w:r>
            <w:r>
              <w:rPr>
                <w:b w:val="0"/>
                <w:sz w:val="16"/>
                <w:szCs w:val="16"/>
              </w:rPr>
              <w:t xml:space="preserve"> Es gelten &lt; 420 g/l, soweit die Anwendung des Einsatzstoffes nach dem Stand der Technik möglich ist.</w:t>
            </w:r>
          </w:p>
          <w:p>
            <w:pPr>
              <w:pStyle w:val="Kopfzeile"/>
              <w:ind w:left="210" w:hanging="21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vertAlign w:val="superscript"/>
              </w:rPr>
              <w:t>(3)</w:t>
            </w:r>
            <w:r>
              <w:rPr>
                <w:b w:val="0"/>
                <w:sz w:val="16"/>
                <w:szCs w:val="16"/>
              </w:rPr>
              <w:t xml:space="preserve"> Anpassung an den Stand der Technik</w:t>
            </w:r>
          </w:p>
          <w:p>
            <w:pPr>
              <w:pStyle w:val="Textkrper2"/>
              <w:tabs>
                <w:tab w:val="left" w:pos="284"/>
                <w:tab w:val="left" w:pos="567"/>
                <w:tab w:val="left" w:pos="851"/>
              </w:tabs>
              <w:jc w:val="both"/>
              <w:rPr>
                <w:snapToGrid/>
              </w:rPr>
            </w:pPr>
            <w:r>
              <w:rPr>
                <w:snapToGrid/>
                <w:sz w:val="20"/>
                <w:vertAlign w:val="superscript"/>
              </w:rPr>
              <w:t>(4)</w:t>
            </w:r>
            <w:r>
              <w:rPr>
                <w:sz w:val="16"/>
                <w:szCs w:val="16"/>
              </w:rPr>
              <w:t xml:space="preserve"> Der Anteil der Spezialprodukte an den gesamten Beschichtungsstoffen darf 10 % nicht überschreiten.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</w:p>
        </w:tc>
      </w:tr>
    </w:tbl>
    <w:p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851"/>
        <w:gridCol w:w="2977"/>
        <w:gridCol w:w="992"/>
        <w:gridCol w:w="992"/>
      </w:tblGrid>
      <w:tr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</w:pPr>
            <w:r>
              <w:lastRenderedPageBreak/>
              <w:t xml:space="preserve">Anlage / Tätigkeit </w:t>
            </w:r>
          </w:p>
          <w:p>
            <w:pPr>
              <w:pStyle w:val="Kopfzeile"/>
              <w:spacing w:after="60"/>
              <w:jc w:val="left"/>
            </w:pPr>
            <w:r>
              <w:t>nach Anhang I / II der 31. BImSchV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spacing w:after="120"/>
            </w:pPr>
            <w:r>
              <w:t>Anhang IV C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</w:pPr>
            <w:r>
              <w:t>Einsatzstoff /Anforderung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sz w:val="18"/>
              </w:rPr>
            </w:pPr>
            <w:r>
              <w:rPr>
                <w:sz w:val="18"/>
              </w:rPr>
              <w:t>bitte ankreuzen</w:t>
            </w:r>
          </w:p>
        </w:tc>
      </w:tr>
      <w:tr>
        <w:tc>
          <w:tcPr>
            <w:tcW w:w="3472" w:type="dxa"/>
            <w:tcBorders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oder: Anlage nach Nr. 5.1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Fahrzeugreparaturlackierung: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‚Anhängerlackierung‘ oder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zur ‚ursprünglichen Lackierung von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Kraftfahrzeugen außerhalb der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ursprünglichen Fertigungsstraße‘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-nicht genehmigungsbedürftig-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numPr>
                <w:ilvl w:val="0"/>
                <w:numId w:val="15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VOC-Wert in                   Beschichtungsstoffen </w:t>
            </w:r>
            <w:r>
              <w:rPr>
                <w:b w:val="0"/>
                <w:u w:val="single"/>
              </w:rPr>
              <w:t>und</w:t>
            </w:r>
          </w:p>
          <w:p>
            <w:pPr>
              <w:pStyle w:val="Kopfzeile"/>
              <w:numPr>
                <w:ilvl w:val="0"/>
                <w:numId w:val="16"/>
              </w:numPr>
              <w:jc w:val="left"/>
              <w:rPr>
                <w:b w:val="0"/>
              </w:rPr>
            </w:pPr>
            <w:r>
              <w:rPr>
                <w:b w:val="0"/>
              </w:rPr>
              <w:t>VOC-Massegehalt in      Reinigungsmitteln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≤ 250 g/l</w:t>
            </w: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&lt; 20 %</w:t>
            </w:r>
          </w:p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c>
          <w:tcPr>
            <w:tcW w:w="3472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c>
          <w:tcPr>
            <w:tcW w:w="3472" w:type="dxa"/>
            <w:tcBorders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Anlage nach Nr. 8.1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Beschichten von sonstigen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Metall- oder Kunststoffoberflächen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-nicht genehmigungsbedürftig-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2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numPr>
                <w:ilvl w:val="0"/>
                <w:numId w:val="15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VOC-Wert in                    Beschichtungsstoffen </w:t>
            </w:r>
            <w:r>
              <w:rPr>
                <w:b w:val="0"/>
                <w:u w:val="single"/>
              </w:rPr>
              <w:t>und</w:t>
            </w:r>
          </w:p>
          <w:p>
            <w:pPr>
              <w:pStyle w:val="Kopfzeile"/>
              <w:numPr>
                <w:ilvl w:val="0"/>
                <w:numId w:val="16"/>
              </w:numPr>
              <w:jc w:val="left"/>
              <w:rPr>
                <w:b w:val="0"/>
              </w:rPr>
            </w:pPr>
            <w:r>
              <w:rPr>
                <w:b w:val="0"/>
              </w:rPr>
              <w:t>VOC-Massegehalt in     Reinigungsmitteln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≤ 250 g/l</w:t>
            </w: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&lt; 20 %</w:t>
            </w:r>
          </w:p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Anlage nach Nr. 9.1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Beschichten von Holz oder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Holzwerkstoffen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numPr>
                <w:ilvl w:val="0"/>
                <w:numId w:val="12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VOC-Wert bei                 Beschichtung ebener und planer Oberflächen </w:t>
            </w:r>
            <w:r>
              <w:rPr>
                <w:b w:val="0"/>
                <w:u w:val="single"/>
              </w:rPr>
              <w:t>und</w:t>
            </w:r>
          </w:p>
          <w:p>
            <w:pPr>
              <w:pStyle w:val="Kopfzeile"/>
              <w:numPr>
                <w:ilvl w:val="0"/>
                <w:numId w:val="13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VOC-Wert bei                 Beschichtung sonstiger Oberflächen </w:t>
            </w:r>
            <w:r>
              <w:rPr>
                <w:b w:val="0"/>
                <w:u w:val="single"/>
              </w:rPr>
              <w:t>und</w:t>
            </w:r>
          </w:p>
          <w:p>
            <w:pPr>
              <w:pStyle w:val="Kopfzeile"/>
              <w:numPr>
                <w:ilvl w:val="0"/>
                <w:numId w:val="14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VOC-Wert bei Einsatz   ausschl. wässriger Beizen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rFonts w:cs="Arial"/>
                <w:b w:val="0"/>
                <w:snapToGrid w:val="0"/>
              </w:rPr>
              <w:t xml:space="preserve">≤ </w:t>
            </w:r>
            <w:r>
              <w:rPr>
                <w:b w:val="0"/>
              </w:rPr>
              <w:t>250 g/l</w:t>
            </w: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  <w:r>
              <w:rPr>
                <w:rFonts w:cs="Arial"/>
                <w:b w:val="0"/>
                <w:snapToGrid w:val="0"/>
              </w:rPr>
              <w:t xml:space="preserve">≤ </w:t>
            </w:r>
            <w:r>
              <w:rPr>
                <w:b w:val="0"/>
              </w:rPr>
              <w:t>450 g/l</w:t>
            </w: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  <w:r>
              <w:rPr>
                <w:rFonts w:cs="Arial"/>
                <w:b w:val="0"/>
                <w:snapToGrid w:val="0"/>
              </w:rPr>
              <w:t xml:space="preserve">≤ </w:t>
            </w:r>
            <w:r>
              <w:rPr>
                <w:b w:val="0"/>
              </w:rPr>
              <w:t>300 g/l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c>
          <w:tcPr>
            <w:tcW w:w="3472" w:type="dxa"/>
            <w:tcBorders>
              <w:bottom w:val="single" w:sz="4" w:space="0" w:color="auto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Anlage Nr. 10.1 - nur bezogen auf die Teiltätigkeit: ‚Beschichten oder Bedrucken von Textilien‘ </w:t>
            </w:r>
          </w:p>
          <w:p>
            <w:pPr>
              <w:pStyle w:val="Kopfzeile"/>
              <w:jc w:val="both"/>
              <w:rPr>
                <w:b w:val="0"/>
              </w:rPr>
            </w:pPr>
            <w:r>
              <w:rPr>
                <w:b w:val="0"/>
              </w:rPr>
              <w:t>(nicht auf ‚Beschichten von Gewebe-, Folien- oder Papieroberflächen‘)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  <w:snapToGrid w:val="0"/>
              </w:rPr>
            </w:pPr>
            <w:r>
              <w:rPr>
                <w:b w:val="0"/>
              </w:rPr>
              <w:t>Nr. 5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numPr>
                <w:ilvl w:val="0"/>
                <w:numId w:val="10"/>
              </w:numPr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 xml:space="preserve">Beschichten, Bedrucken   je kg Textilien </w:t>
            </w:r>
            <w:r>
              <w:rPr>
                <w:b w:val="0"/>
                <w:snapToGrid w:val="0"/>
                <w:u w:val="single"/>
              </w:rPr>
              <w:t>und</w:t>
            </w:r>
          </w:p>
          <w:p>
            <w:pPr>
              <w:pStyle w:val="Kopfzeile"/>
              <w:numPr>
                <w:ilvl w:val="0"/>
                <w:numId w:val="11"/>
              </w:numPr>
              <w:jc w:val="left"/>
              <w:rPr>
                <w:b w:val="0"/>
              </w:rPr>
            </w:pPr>
            <w:r>
              <w:rPr>
                <w:b w:val="0"/>
                <w:snapToGrid w:val="0"/>
              </w:rPr>
              <w:t>Verschleppung und Restgehalt der Präparation       je kg Textilien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rFonts w:cs="Arial"/>
                <w:b w:val="0"/>
                <w:snapToGrid w:val="0"/>
              </w:rPr>
              <w:t xml:space="preserve">≤ </w:t>
            </w:r>
            <w:r>
              <w:rPr>
                <w:b w:val="0"/>
                <w:snapToGrid w:val="0"/>
              </w:rPr>
              <w:t>0,8 g C</w:t>
            </w:r>
          </w:p>
          <w:p>
            <w:pPr>
              <w:pStyle w:val="Kopfzeile"/>
              <w:rPr>
                <w:b w:val="0"/>
              </w:rPr>
            </w:pPr>
          </w:p>
          <w:p>
            <w:pPr>
              <w:pStyle w:val="Kopfzeile"/>
              <w:rPr>
                <w:b w:val="0"/>
              </w:rPr>
            </w:pPr>
            <w:r>
              <w:rPr>
                <w:rFonts w:cs="Arial"/>
                <w:b w:val="0"/>
                <w:snapToGrid w:val="0"/>
              </w:rPr>
              <w:t>≤</w:t>
            </w:r>
            <w:r>
              <w:rPr>
                <w:b w:val="0"/>
                <w:snapToGrid w:val="0"/>
              </w:rPr>
              <w:t xml:space="preserve"> 0,4 g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rPr>
          <w:cantSplit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3472" w:type="dxa"/>
            <w:tcBorders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Anlage nach Nr. 13.1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Laminierung von Holz oder Kunststoffen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-nicht genehmigungsbedürftig-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6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Kopfzeile"/>
              <w:tabs>
                <w:tab w:val="left" w:pos="355"/>
              </w:tabs>
              <w:jc w:val="left"/>
              <w:rPr>
                <w:b w:val="0"/>
              </w:rPr>
            </w:pPr>
            <w:r>
              <w:tab/>
            </w:r>
            <w:r>
              <w:rPr>
                <w:b w:val="0"/>
              </w:rPr>
              <w:t xml:space="preserve">Lösungsmittelgehalt in </w:t>
            </w:r>
            <w:r>
              <w:tab/>
            </w:r>
            <w:r>
              <w:rPr>
                <w:b w:val="0"/>
              </w:rPr>
              <w:t>Klebstoffen und Primern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&lt; 5 %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  <w:tr>
        <w:trPr>
          <w:cantSplit/>
        </w:trPr>
        <w:tc>
          <w:tcPr>
            <w:tcW w:w="3472" w:type="dxa"/>
            <w:tcBorders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</w:p>
        </w:tc>
      </w:tr>
      <w:tr>
        <w:trPr>
          <w:cantSplit/>
        </w:trPr>
        <w:tc>
          <w:tcPr>
            <w:tcW w:w="3472" w:type="dxa"/>
            <w:tcBorders>
              <w:right w:val="nil"/>
            </w:tcBorders>
          </w:tcPr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>Anlage nach Nr. 14.1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</w:rPr>
              <w:t xml:space="preserve">Klebebeschichtung </w:t>
            </w:r>
          </w:p>
          <w:p>
            <w:pPr>
              <w:pStyle w:val="Kopfzeile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-nicht genehmigungsbedürftig-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Nr. 6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Kopfzeile"/>
              <w:tabs>
                <w:tab w:val="left" w:pos="355"/>
              </w:tabs>
              <w:jc w:val="left"/>
              <w:rPr>
                <w:b w:val="0"/>
              </w:rPr>
            </w:pPr>
            <w:r>
              <w:tab/>
            </w:r>
            <w:r>
              <w:rPr>
                <w:b w:val="0"/>
              </w:rPr>
              <w:t xml:space="preserve">Lösungsmittelgehalt in </w:t>
            </w:r>
            <w:r>
              <w:tab/>
            </w:r>
            <w:r>
              <w:rPr>
                <w:b w:val="0"/>
              </w:rPr>
              <w:t>Klebstoffen und Primern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>
            <w:pPr>
              <w:pStyle w:val="Kopfzeile"/>
              <w:rPr>
                <w:b w:val="0"/>
              </w:rPr>
            </w:pPr>
            <w:r>
              <w:rPr>
                <w:b w:val="0"/>
              </w:rPr>
              <w:t>&lt; 5 %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2"/>
              <w:numPr>
                <w:ilvl w:val="0"/>
                <w:numId w:val="0"/>
              </w:numPr>
              <w:spacing w:before="60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40"/>
              </w:rPr>
              <w:instrText xml:space="preserve"> FORMCHECKBOX </w:instrText>
            </w:r>
            <w:r>
              <w:rPr>
                <w:b w:val="0"/>
                <w:sz w:val="40"/>
              </w:rPr>
            </w:r>
            <w:r>
              <w:rPr>
                <w:b w:val="0"/>
                <w:sz w:val="40"/>
              </w:rPr>
              <w:fldChar w:fldCharType="separate"/>
            </w:r>
            <w:r>
              <w:rPr>
                <w:b w:val="0"/>
                <w:sz w:val="40"/>
              </w:rPr>
              <w:fldChar w:fldCharType="end"/>
            </w:r>
          </w:p>
        </w:tc>
      </w:tr>
    </w:tbl>
    <w:p>
      <w:pPr>
        <w:tabs>
          <w:tab w:val="left" w:pos="5103"/>
        </w:tabs>
        <w:ind w:right="283"/>
        <w:rPr>
          <w:snapToGrid w:val="0"/>
        </w:rPr>
      </w:pPr>
    </w:p>
    <w:p>
      <w:pPr>
        <w:spacing w:line="360" w:lineRule="auto"/>
        <w:ind w:right="283"/>
        <w:jc w:val="left"/>
        <w:rPr>
          <w:snapToGrid w:val="0"/>
        </w:rPr>
      </w:pPr>
      <w:r>
        <w:rPr>
          <w:snapToGrid w:val="0"/>
        </w:rPr>
        <w:t xml:space="preserve">Die Anlage wurde mit Datum </w:t>
      </w:r>
      <w:r>
        <w:rPr>
          <w:snapToGrid w:val="0"/>
        </w:rPr>
        <w:fldChar w:fldCharType="begin">
          <w:ffData>
            <w:name w:val="Text3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0" w:name="Text39"/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  <w:bookmarkEnd w:id="10"/>
      <w:r>
        <w:rPr>
          <w:snapToGrid w:val="0"/>
        </w:rPr>
        <w:t xml:space="preserve"> </w:t>
      </w:r>
      <w:r>
        <w:t xml:space="preserve">nach § 5 Abs. 2 der Lösungsmittelverordnung </w:t>
      </w:r>
      <w:r>
        <w:rPr>
          <w:snapToGrid w:val="0"/>
        </w:rPr>
        <w:t xml:space="preserve">angezeigt. </w:t>
      </w:r>
    </w:p>
    <w:p>
      <w:pPr>
        <w:spacing w:before="0"/>
        <w:ind w:right="284"/>
        <w:jc w:val="left"/>
        <w:rPr>
          <w:snapToGrid w:val="0"/>
        </w:rPr>
      </w:pPr>
    </w:p>
    <w:p>
      <w:pPr>
        <w:pStyle w:val="Anschrift"/>
        <w:keepLines/>
        <w:spacing w:before="120" w:line="360" w:lineRule="auto"/>
        <w:ind w:right="283"/>
        <w:rPr>
          <w:snapToGrid w:val="0"/>
        </w:rPr>
      </w:pPr>
      <w:r>
        <w:rPr>
          <w:snapToGrid w:val="0"/>
        </w:rPr>
        <w:t xml:space="preserve">Als Betreiber der o.g. Anlage erkläre ich gem. § 5 Abs. 7 der 31. BImSchV verbindlich, ab dem </w:t>
      </w:r>
      <w:r>
        <w:rPr>
          <w:snapToGrid w:val="0"/>
        </w:rPr>
        <w:fldChar w:fldCharType="begin">
          <w:ffData>
            <w:name w:val="Text3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  <w:r>
        <w:rPr>
          <w:snapToGrid w:val="0"/>
        </w:rPr>
        <w:t xml:space="preserve"> nur noch Einsatzstoffe zu verwenden, die den Anforderungen des Anhangs IV C der 31. BImSchV entsprechen, so wie oben zusammengefasst und von mir gekennzeichnet.</w:t>
      </w:r>
    </w:p>
    <w:p>
      <w:pPr>
        <w:spacing w:before="0"/>
        <w:ind w:right="284"/>
        <w:jc w:val="left"/>
      </w:pPr>
    </w:p>
    <w:p>
      <w:pPr>
        <w:tabs>
          <w:tab w:val="left" w:pos="5103"/>
        </w:tabs>
        <w:ind w:right="283"/>
        <w:rPr>
          <w:snapToGrid w:val="0"/>
        </w:rPr>
      </w:pPr>
      <w:r>
        <w:rPr>
          <w:snapToGrid w:val="0"/>
        </w:rPr>
        <w:t xml:space="preserve">Mit freundlichen Grüßen </w:t>
      </w:r>
    </w:p>
    <w:p>
      <w:pPr>
        <w:pStyle w:val="Makrotext"/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  <w:tab w:val="clear" w:pos="3742"/>
          <w:tab w:val="left" w:pos="5103"/>
        </w:tabs>
        <w:ind w:right="283"/>
        <w:rPr>
          <w:snapToGrid w:val="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>
        <w:trPr>
          <w:cantSplit/>
          <w:trHeight w:val="3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8"/>
              </w:rPr>
              <w:t>Ort, Datum</w:t>
            </w:r>
          </w:p>
          <w:p>
            <w:pPr>
              <w:pStyle w:val="Textkrper"/>
              <w:spacing w:before="0"/>
              <w:rPr>
                <w:sz w:val="16"/>
              </w:rPr>
            </w:pPr>
          </w:p>
          <w:p>
            <w:pPr>
              <w:pStyle w:val="Textkrper"/>
              <w:spacing w:before="0"/>
              <w:rPr>
                <w:sz w:val="16"/>
              </w:rPr>
            </w:pPr>
          </w:p>
          <w:p>
            <w:pPr>
              <w:pStyle w:val="Textkrper"/>
              <w:spacing w:before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,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8"/>
              </w:rPr>
              <w:t>Unterschrift</w:t>
            </w:r>
          </w:p>
          <w:p>
            <w:pPr>
              <w:pStyle w:val="Textkrper"/>
              <w:spacing w:before="0"/>
              <w:rPr>
                <w:sz w:val="16"/>
              </w:rPr>
            </w:pPr>
          </w:p>
          <w:p>
            <w:pPr>
              <w:pStyle w:val="Textkrper"/>
              <w:spacing w:before="0"/>
              <w:rPr>
                <w:sz w:val="16"/>
              </w:rPr>
            </w:pPr>
          </w:p>
          <w:p>
            <w:pPr>
              <w:pStyle w:val="Textkrper"/>
              <w:spacing w:before="0"/>
              <w:rPr>
                <w:sz w:val="16"/>
              </w:rPr>
            </w:pPr>
          </w:p>
          <w:p>
            <w:pPr>
              <w:pStyle w:val="Textkrper"/>
              <w:spacing w:before="0"/>
              <w:rPr>
                <w:sz w:val="16"/>
              </w:rPr>
            </w:pPr>
            <w:r>
              <w:rPr>
                <w:sz w:val="16"/>
              </w:rPr>
              <w:t>_________________________________________</w:t>
            </w:r>
          </w:p>
        </w:tc>
      </w:tr>
    </w:tbl>
    <w:p>
      <w:pPr>
        <w:tabs>
          <w:tab w:val="left" w:pos="5103"/>
        </w:tabs>
        <w:spacing w:line="360" w:lineRule="auto"/>
        <w:ind w:right="283"/>
        <w:rPr>
          <w:u w:val="dotted"/>
        </w:rPr>
      </w:pPr>
      <w:r>
        <w:rPr>
          <w:u w:val="dotted"/>
        </w:rPr>
        <w:br w:type="page"/>
      </w:r>
    </w:p>
    <w:p>
      <w:pPr>
        <w:tabs>
          <w:tab w:val="left" w:pos="5103"/>
        </w:tabs>
        <w:spacing w:before="480" w:after="480" w:line="360" w:lineRule="auto"/>
        <w:ind w:right="284"/>
        <w:rPr>
          <w:b/>
          <w:szCs w:val="24"/>
        </w:rPr>
      </w:pPr>
      <w:r>
        <w:rPr>
          <w:b/>
          <w:szCs w:val="24"/>
        </w:rPr>
        <w:lastRenderedPageBreak/>
        <w:t>Erläuterungen</w:t>
      </w:r>
    </w:p>
    <w:p>
      <w:pPr>
        <w:pStyle w:val="berschrift2"/>
        <w:numPr>
          <w:ilvl w:val="0"/>
          <w:numId w:val="0"/>
        </w:numPr>
        <w:spacing w:before="0" w:after="12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zu </w:t>
      </w:r>
      <w:r>
        <w:rPr>
          <w:b w:val="0"/>
          <w:bCs/>
          <w:sz w:val="20"/>
          <w:vertAlign w:val="superscript"/>
        </w:rPr>
        <w:t xml:space="preserve">1)  </w:t>
      </w:r>
      <w:r>
        <w:rPr>
          <w:b w:val="0"/>
          <w:bCs/>
          <w:sz w:val="20"/>
        </w:rPr>
        <w:t>Richten Sie Ihre Anzeige an die für Sie zuständige Umweltverwaltung: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3706"/>
        <w:gridCol w:w="2410"/>
      </w:tblGrid>
      <w:tr>
        <w:tc>
          <w:tcPr>
            <w:tcW w:w="3349" w:type="dxa"/>
            <w:vAlign w:val="center"/>
          </w:tcPr>
          <w:p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Kreisgebiet</w:t>
            </w:r>
          </w:p>
        </w:tc>
        <w:tc>
          <w:tcPr>
            <w:tcW w:w="3706" w:type="dxa"/>
            <w:vAlign w:val="center"/>
          </w:tcPr>
          <w:p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kreisfreie Stadt</w:t>
            </w:r>
          </w:p>
        </w:tc>
        <w:tc>
          <w:tcPr>
            <w:tcW w:w="2410" w:type="dxa"/>
            <w:vAlign w:val="center"/>
          </w:tcPr>
          <w:p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Bezirksregierung</w:t>
            </w:r>
          </w:p>
          <w:p>
            <w:pPr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bei bestimmten Anlagen</w:t>
            </w:r>
          </w:p>
        </w:tc>
      </w:tr>
      <w:tr>
        <w:trPr>
          <w:trHeight w:val="932"/>
        </w:trPr>
        <w:tc>
          <w:tcPr>
            <w:tcW w:w="3349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Ennepe-Ruhr-Kreis, Hochsauerlandkreis, Märkischer Kreis, Olpe, Soest, Siegen-Wittgenstein, Unna</w:t>
            </w:r>
          </w:p>
        </w:tc>
        <w:tc>
          <w:tcPr>
            <w:tcW w:w="3706" w:type="dxa"/>
            <w:vAlign w:val="center"/>
          </w:tcPr>
          <w:p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Hamm, Herne,</w:t>
            </w:r>
          </w:p>
          <w:p>
            <w:pPr>
              <w:spacing w:before="0" w:after="60"/>
              <w:jc w:val="center"/>
              <w:rPr>
                <w:sz w:val="20"/>
              </w:rPr>
            </w:pPr>
            <w:r>
              <w:rPr>
                <w:sz w:val="20"/>
              </w:rPr>
              <w:t>für die Städte Bochum, Dortmund und Hagen: Gemeinsame Untere Umweltschutzbehörde (in Hagen, Hochstr. 74)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Arnsberg</w:t>
            </w:r>
          </w:p>
        </w:tc>
      </w:tr>
      <w:tr>
        <w:tc>
          <w:tcPr>
            <w:tcW w:w="3349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Gütersloh, Herford, Höxter, Lippe, Minden-Lübbecke, Paderborn</w:t>
            </w:r>
          </w:p>
        </w:tc>
        <w:tc>
          <w:tcPr>
            <w:tcW w:w="3706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Bielefeld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Detmold</w:t>
            </w:r>
          </w:p>
        </w:tc>
      </w:tr>
      <w:tr>
        <w:trPr>
          <w:trHeight w:val="709"/>
        </w:trPr>
        <w:tc>
          <w:tcPr>
            <w:tcW w:w="3349" w:type="dxa"/>
            <w:vAlign w:val="center"/>
          </w:tcPr>
          <w:p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Mettmann, Wesel, Kleve,</w:t>
            </w:r>
          </w:p>
          <w:p>
            <w:pPr>
              <w:spacing w:before="0" w:after="60"/>
              <w:jc w:val="center"/>
              <w:rPr>
                <w:sz w:val="20"/>
              </w:rPr>
            </w:pPr>
            <w:r>
              <w:rPr>
                <w:sz w:val="20"/>
              </w:rPr>
              <w:t>Neuss, Viersen</w:t>
            </w:r>
          </w:p>
        </w:tc>
        <w:tc>
          <w:tcPr>
            <w:tcW w:w="3706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Duisburg, Düsseldorf, Essen, Krefeld, Mönchengladbach, Mülheim, Oberhausen, Remscheid, Solingen, Wuppertal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Düsseldorf</w:t>
            </w:r>
          </w:p>
        </w:tc>
      </w:tr>
      <w:tr>
        <w:trPr>
          <w:trHeight w:val="918"/>
        </w:trPr>
        <w:tc>
          <w:tcPr>
            <w:tcW w:w="3349" w:type="dxa"/>
            <w:vAlign w:val="center"/>
          </w:tcPr>
          <w:p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Aachen (Städteregion), Düren, Rhein-Erft-Kreis, Euskirchen, Heinsberg, Oberbergischer Kreis, Rhein-Sieg-Kreis, </w:t>
            </w:r>
          </w:p>
          <w:p>
            <w:pPr>
              <w:spacing w:before="0" w:after="60"/>
              <w:jc w:val="center"/>
              <w:rPr>
                <w:sz w:val="20"/>
              </w:rPr>
            </w:pPr>
            <w:r>
              <w:rPr>
                <w:sz w:val="20"/>
              </w:rPr>
              <w:t>Rheinisch-Bergischer Kreis</w:t>
            </w:r>
          </w:p>
        </w:tc>
        <w:tc>
          <w:tcPr>
            <w:tcW w:w="3706" w:type="dxa"/>
            <w:vAlign w:val="center"/>
          </w:tcPr>
          <w:p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Aachen (Städteregion), Bonn, </w:t>
            </w:r>
          </w:p>
          <w:p>
            <w:pPr>
              <w:spacing w:before="0" w:after="60"/>
              <w:jc w:val="center"/>
              <w:rPr>
                <w:sz w:val="20"/>
              </w:rPr>
            </w:pPr>
            <w:r>
              <w:rPr>
                <w:sz w:val="20"/>
              </w:rPr>
              <w:t>Köln, Leverkusen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Köln</w:t>
            </w:r>
          </w:p>
        </w:tc>
      </w:tr>
      <w:tr>
        <w:trPr>
          <w:trHeight w:val="471"/>
        </w:trPr>
        <w:tc>
          <w:tcPr>
            <w:tcW w:w="3349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Borken, Coesfeld, Recklinghausen, Steinfurt, Warendorf</w:t>
            </w:r>
          </w:p>
        </w:tc>
        <w:tc>
          <w:tcPr>
            <w:tcW w:w="3706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Bottrop, Gelsenkirchen, Münster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Münster</w:t>
            </w:r>
          </w:p>
        </w:tc>
      </w:tr>
    </w:tbl>
    <w:p>
      <w:pPr>
        <w:pStyle w:val="Textkrper-Zeileneinzug"/>
        <w:ind w:left="0"/>
        <w:jc w:val="left"/>
        <w:rPr>
          <w:bCs/>
          <w:sz w:val="20"/>
        </w:rPr>
      </w:pPr>
      <w:r>
        <w:rPr>
          <w:bCs/>
          <w:sz w:val="20"/>
        </w:rPr>
        <w:t>Bei Fragen wenden Sie sich bitte an die Mitarbeitenden der für Sie zuständigen Dienststelle.</w:t>
      </w:r>
    </w:p>
    <w:sectPr>
      <w:pgSz w:w="11907" w:h="16840" w:code="9"/>
      <w:pgMar w:top="851" w:right="1134" w:bottom="851" w:left="1418" w:header="340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2A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berschrift2"/>
      <w:lvlText w:val="%2."/>
      <w:legacy w:legacy="1" w:legacySpace="142" w:legacyIndent="0"/>
      <w:lvlJc w:val="left"/>
    </w:lvl>
    <w:lvl w:ilvl="2">
      <w:start w:val="1"/>
      <w:numFmt w:val="upperLetter"/>
      <w:pStyle w:val="berschrift3"/>
      <w:lvlText w:val="%3."/>
      <w:legacy w:legacy="1" w:legacySpace="142" w:legacyIndent="0"/>
      <w:lvlJc w:val="left"/>
    </w:lvl>
    <w:lvl w:ilvl="3">
      <w:start w:val="1"/>
      <w:numFmt w:val="none"/>
      <w:pStyle w:val="berschrift4"/>
      <w:lvlText w:val=""/>
      <w:legacy w:legacy="1" w:legacySpace="142" w:legacyIndent="0"/>
      <w:lvlJc w:val="left"/>
      <w:rPr>
        <w:rFonts w:ascii="Symbol" w:hAnsi="Symbol" w:hint="default"/>
      </w:rPr>
    </w:lvl>
    <w:lvl w:ilvl="4">
      <w:start w:val="1"/>
      <w:numFmt w:val="none"/>
      <w:pStyle w:val="berschrift5"/>
      <w:lvlText w:val=""/>
      <w:legacy w:legacy="1" w:legacySpace="142" w:legacyIndent="0"/>
      <w:lvlJc w:val="left"/>
      <w:rPr>
        <w:rFonts w:ascii="Wingdings" w:hAnsi="Wingdings" w:hint="default"/>
      </w:rPr>
    </w:lvl>
    <w:lvl w:ilvl="5">
      <w:start w:val="1"/>
      <w:numFmt w:val="none"/>
      <w:pStyle w:val="berschrift6"/>
      <w:lvlText w:val=""/>
      <w:legacy w:legacy="1" w:legacySpace="142" w:legacyIndent="0"/>
      <w:lvlJc w:val="left"/>
      <w:rPr>
        <w:rFonts w:ascii="Symbol" w:hAnsi="Symbol" w:hint="default"/>
      </w:rPr>
    </w:lvl>
    <w:lvl w:ilvl="6">
      <w:start w:val="1"/>
      <w:numFmt w:val="none"/>
      <w:pStyle w:val="berschrift7"/>
      <w:lvlText w:val=""/>
      <w:legacy w:legacy="1" w:legacySpace="142" w:legacyIndent="0"/>
      <w:lvlJc w:val="left"/>
      <w:rPr>
        <w:rFonts w:ascii="Symbol" w:hAnsi="Symbol" w:hint="default"/>
      </w:rPr>
    </w:lvl>
    <w:lvl w:ilvl="7">
      <w:start w:val="1"/>
      <w:numFmt w:val="none"/>
      <w:pStyle w:val="berschrift8"/>
      <w:lvlText w:val=""/>
      <w:legacy w:legacy="1" w:legacySpace="142" w:legacyIndent="0"/>
      <w:lvlJc w:val="left"/>
      <w:rPr>
        <w:rFonts w:ascii="Symbol" w:hAnsi="Symbol" w:hint="default"/>
      </w:rPr>
    </w:lvl>
    <w:lvl w:ilvl="8">
      <w:start w:val="1"/>
      <w:numFmt w:val="none"/>
      <w:pStyle w:val="berschrift9"/>
      <w:lvlText w:val=""/>
      <w:legacy w:legacy="1" w:legacySpace="142" w:legacyIndent="0"/>
      <w:lvlJc w:val="left"/>
      <w:rPr>
        <w:rFonts w:ascii="Symbol" w:hAnsi="Symbol" w:hint="default"/>
      </w:rPr>
    </w:lvl>
  </w:abstractNum>
  <w:abstractNum w:abstractNumId="2" w15:restartNumberingAfterBreak="0">
    <w:nsid w:val="24E633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757DBB"/>
    <w:multiLevelType w:val="singleLevel"/>
    <w:tmpl w:val="DDB65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2A331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30864D21"/>
    <w:multiLevelType w:val="hybridMultilevel"/>
    <w:tmpl w:val="7F7671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1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46707FF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38967D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5A621AC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5EC27DBC"/>
    <w:multiLevelType w:val="hybridMultilevel"/>
    <w:tmpl w:val="E59E67B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11367"/>
    <w:multiLevelType w:val="hybridMultilevel"/>
    <w:tmpl w:val="638A3B98"/>
    <w:lvl w:ilvl="0" w:tplc="C48CA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F324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645614CF"/>
    <w:multiLevelType w:val="hybridMultilevel"/>
    <w:tmpl w:val="E59E67B4"/>
    <w:lvl w:ilvl="0" w:tplc="C48CA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B1AE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7F85B0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78F05C1C"/>
    <w:multiLevelType w:val="singleLevel"/>
    <w:tmpl w:val="F53A7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5"/>
  </w:num>
  <w:num w:numId="12">
    <w:abstractNumId w:val="9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vyhlFEdq/fKnocmnA4RMLzs0nwl7NwY5U1DfT0vKHCNqrzZusuJyrTVFwHLUuC0EfUFY0cD4fTkgdMdCmYaA==" w:salt="Dm06dsv/jQ+ZmEZrGttI9A=="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C517DE-B548-48C4-AFA0-A63B074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spacing w:before="120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Lines w:val="0"/>
      <w:numPr>
        <w:ilvl w:val="5"/>
        <w:numId w:val="1"/>
      </w:numPr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Lines w:val="0"/>
      <w:numPr>
        <w:ilvl w:val="6"/>
        <w:numId w:val="1"/>
      </w:numPr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Lines w:val="0"/>
      <w:numPr>
        <w:ilvl w:val="7"/>
        <w:numId w:val="1"/>
      </w:numPr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Lines w:val="0"/>
      <w:numPr>
        <w:ilvl w:val="8"/>
        <w:numId w:val="1"/>
      </w:numPr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pacing w:before="0"/>
      <w:jc w:val="center"/>
    </w:pPr>
    <w:rPr>
      <w:b/>
      <w:sz w:val="20"/>
    </w:rPr>
  </w:style>
  <w:style w:type="paragraph" w:styleId="Makrotext">
    <w:name w:val="macro"/>
    <w:basedOn w:val="Standard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Fuzeile">
    <w:name w:val="footer"/>
    <w:rPr>
      <w:rFonts w:ascii="Arial" w:hAnsi="Arial"/>
      <w:noProof/>
      <w:sz w:val="14"/>
    </w:rPr>
  </w:style>
  <w:style w:type="paragraph" w:styleId="Textkrper">
    <w:name w:val="Body Text"/>
    <w:basedOn w:val="Standard"/>
    <w:link w:val="TextkrperZchn"/>
    <w:pPr>
      <w:tabs>
        <w:tab w:val="left" w:pos="567"/>
      </w:tabs>
      <w:jc w:val="left"/>
    </w:pPr>
    <w:rPr>
      <w:sz w:val="22"/>
    </w:rPr>
  </w:style>
  <w:style w:type="paragraph" w:styleId="Verzeichnis1">
    <w:name w:val="toc 1"/>
    <w:basedOn w:val="Standard"/>
    <w:next w:val="Standard"/>
    <w:semiHidden/>
    <w:pPr>
      <w:tabs>
        <w:tab w:val="right" w:pos="8505"/>
      </w:tabs>
      <w:ind w:left="680" w:hanging="680"/>
      <w:jc w:val="left"/>
    </w:pPr>
    <w:rPr>
      <w:b/>
    </w:rPr>
  </w:style>
  <w:style w:type="paragraph" w:customStyle="1" w:styleId="Adresse">
    <w:name w:val="Adresse"/>
    <w:basedOn w:val="Standard"/>
    <w:pPr>
      <w:spacing w:before="0"/>
      <w:ind w:right="1418"/>
      <w:jc w:val="left"/>
    </w:pPr>
  </w:style>
  <w:style w:type="paragraph" w:styleId="Beschriftung">
    <w:name w:val="caption"/>
    <w:basedOn w:val="Standard"/>
    <w:next w:val="Standard"/>
    <w:qFormat/>
    <w:pPr>
      <w:ind w:left="142"/>
    </w:pPr>
    <w:rPr>
      <w:sz w:val="48"/>
    </w:rPr>
  </w:style>
  <w:style w:type="paragraph" w:styleId="Verzeichnis2">
    <w:name w:val="toc 2"/>
    <w:basedOn w:val="Standard"/>
    <w:next w:val="Standard"/>
    <w:semiHidden/>
    <w:pPr>
      <w:tabs>
        <w:tab w:val="right" w:pos="8505"/>
      </w:tabs>
      <w:ind w:left="907" w:hanging="680"/>
      <w:jc w:val="left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8505"/>
      </w:tabs>
      <w:ind w:left="1134" w:hanging="680"/>
      <w:jc w:val="left"/>
    </w:pPr>
    <w:rPr>
      <w:b/>
    </w:rPr>
  </w:style>
  <w:style w:type="paragraph" w:styleId="Verzeichnis4">
    <w:name w:val="toc 4"/>
    <w:basedOn w:val="Standard"/>
    <w:next w:val="Standard"/>
    <w:semiHidden/>
    <w:pPr>
      <w:tabs>
        <w:tab w:val="right" w:pos="8505"/>
      </w:tabs>
      <w:ind w:left="1360" w:hanging="680"/>
      <w:jc w:val="left"/>
    </w:pPr>
    <w:rPr>
      <w:b/>
    </w:rPr>
  </w:style>
  <w:style w:type="paragraph" w:styleId="Verzeichnis5">
    <w:name w:val="toc 5"/>
    <w:basedOn w:val="Standard"/>
    <w:next w:val="Standard"/>
    <w:semiHidden/>
    <w:pPr>
      <w:tabs>
        <w:tab w:val="right" w:pos="8505"/>
      </w:tabs>
      <w:ind w:left="1587" w:hanging="680"/>
      <w:jc w:val="left"/>
    </w:pPr>
    <w:rPr>
      <w:b/>
    </w:rPr>
  </w:style>
  <w:style w:type="paragraph" w:styleId="Verzeichnis6">
    <w:name w:val="toc 6"/>
    <w:basedOn w:val="Standard"/>
    <w:next w:val="Standard"/>
    <w:semiHidden/>
    <w:pPr>
      <w:tabs>
        <w:tab w:val="right" w:pos="8505"/>
      </w:tabs>
      <w:ind w:left="1814" w:hanging="680"/>
      <w:jc w:val="left"/>
    </w:pPr>
    <w:rPr>
      <w:b/>
    </w:rPr>
  </w:style>
  <w:style w:type="paragraph" w:styleId="Verzeichnis7">
    <w:name w:val="toc 7"/>
    <w:basedOn w:val="Standard"/>
    <w:next w:val="Standard"/>
    <w:semiHidden/>
    <w:pPr>
      <w:tabs>
        <w:tab w:val="right" w:pos="8505"/>
      </w:tabs>
      <w:ind w:left="2041" w:hanging="680"/>
      <w:jc w:val="left"/>
    </w:pPr>
    <w:rPr>
      <w:b/>
    </w:rPr>
  </w:style>
  <w:style w:type="paragraph" w:styleId="Verzeichnis8">
    <w:name w:val="toc 8"/>
    <w:basedOn w:val="Standard"/>
    <w:next w:val="Standard"/>
    <w:semiHidden/>
    <w:pPr>
      <w:tabs>
        <w:tab w:val="right" w:pos="8505"/>
      </w:tabs>
      <w:ind w:left="2268" w:hanging="680"/>
      <w:jc w:val="left"/>
    </w:pPr>
    <w:rPr>
      <w:b/>
    </w:rPr>
  </w:style>
  <w:style w:type="paragraph" w:styleId="Verzeichnis9">
    <w:name w:val="toc 9"/>
    <w:basedOn w:val="Standard"/>
    <w:next w:val="Standard"/>
    <w:semiHidden/>
    <w:pPr>
      <w:tabs>
        <w:tab w:val="right" w:pos="8505"/>
      </w:tabs>
      <w:ind w:left="2494" w:hanging="680"/>
      <w:jc w:val="left"/>
    </w:pPr>
    <w:rPr>
      <w:b/>
    </w:rPr>
  </w:style>
  <w:style w:type="paragraph" w:styleId="Textkrper-Zeileneinzug">
    <w:name w:val="Body Text Indent"/>
    <w:basedOn w:val="Standard"/>
    <w:link w:val="Textkrper-ZeileneinzugZchn"/>
    <w:pPr>
      <w:ind w:left="284"/>
    </w:pPr>
  </w:style>
  <w:style w:type="paragraph" w:customStyle="1" w:styleId="Anschrift">
    <w:name w:val="Anschrift"/>
    <w:basedOn w:val="Standard"/>
    <w:pPr>
      <w:keepLines w:val="0"/>
      <w:spacing w:before="0"/>
      <w:jc w:val="lef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link w:val="Textkrper2Zchn"/>
    <w:pPr>
      <w:spacing w:before="0"/>
      <w:jc w:val="center"/>
    </w:pPr>
    <w:rPr>
      <w:snapToGrid w:val="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bsatz2">
    <w:name w:val="absatz2"/>
    <w:basedOn w:val="Standard"/>
    <w:pPr>
      <w:keepLines w:val="0"/>
      <w:spacing w:before="0" w:line="240" w:lineRule="atLeast"/>
      <w:ind w:left="357" w:right="964"/>
      <w:jc w:val="left"/>
    </w:pPr>
    <w:rPr>
      <w:rFonts w:ascii="Times New Roman" w:hAnsi="Times New Roman"/>
      <w:u w:val="single"/>
    </w:rPr>
  </w:style>
  <w:style w:type="paragraph" w:customStyle="1" w:styleId="GesAbsatz">
    <w:name w:val="GesAbsatz"/>
    <w:basedOn w:val="Standard"/>
    <w:pPr>
      <w:keepLines w:val="0"/>
      <w:tabs>
        <w:tab w:val="left" w:pos="425"/>
      </w:tabs>
      <w:spacing w:before="60" w:after="60"/>
    </w:pPr>
    <w:rPr>
      <w:color w:val="000000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/>
      <w:b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b/>
    </w:rPr>
  </w:style>
  <w:style w:type="character" w:customStyle="1" w:styleId="Textkrper2Zchn">
    <w:name w:val="Textkörper 2 Zchn"/>
    <w:basedOn w:val="Absatz-Standardschriftart"/>
    <w:link w:val="Textkrper2"/>
    <w:rPr>
      <w:rFonts w:ascii="Arial" w:hAnsi="Arial"/>
      <w:snapToGrid w:val="0"/>
      <w:sz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BC3E-6E7C-4F5A-B2CE-75604B4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Anzeigeformular 31. BImSchV</vt:lpstr>
    </vt:vector>
  </TitlesOfParts>
  <Company>MUNLV NRW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Anzeigeformular 31. BImSchV</dc:title>
  <dc:creator>Esser V-6</dc:creator>
  <cp:lastModifiedBy>Rüter, Dr., Ingo</cp:lastModifiedBy>
  <cp:revision>2</cp:revision>
  <cp:lastPrinted>2013-07-08T14:35:00Z</cp:lastPrinted>
  <dcterms:created xsi:type="dcterms:W3CDTF">2024-03-19T12:34:00Z</dcterms:created>
  <dcterms:modified xsi:type="dcterms:W3CDTF">2024-03-19T12:34:00Z</dcterms:modified>
</cp:coreProperties>
</file>