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57672274"/>
      <w:r>
        <w:t>31. Verordnung</w:t>
      </w:r>
      <w:r>
        <w:br/>
        <w:t>zur Dur</w:t>
      </w:r>
      <w:bookmarkStart w:id="1" w:name="_GoBack"/>
      <w:bookmarkEnd w:id="1"/>
      <w:r>
        <w:t xml:space="preserve">chführung des Bundes-Immissionsschutzgesetzes - </w:t>
      </w:r>
      <w:r>
        <w:br/>
        <w:t>Verordnung zur Begrenzung der Emissionen flüchtiger organischer</w:t>
      </w:r>
      <w:r>
        <w:br/>
        <w:t>Verbindungen bei der Verwendung organischer</w:t>
      </w:r>
      <w:r>
        <w:br/>
        <w:t>Lösungsmittel in bestimmten Anlagen - 31. BImSchV</w:t>
      </w:r>
      <w:bookmarkEnd w:id="0"/>
    </w:p>
    <w:p>
      <w:pPr>
        <w:pStyle w:val="GesAbsatz"/>
        <w:jc w:val="center"/>
        <w:rPr>
          <w:rFonts w:cs="Arial"/>
        </w:rPr>
      </w:pPr>
      <w:r>
        <w:rPr>
          <w:rFonts w:cs="Arial"/>
        </w:rPr>
        <w:t>vom 10. Januar 2024</w:t>
      </w:r>
    </w:p>
    <w:p>
      <w:pPr>
        <w:pStyle w:val="GesAbsatz"/>
        <w:jc w:val="left"/>
        <w:rPr>
          <w:i/>
          <w:color w:val="000099"/>
        </w:rPr>
      </w:pPr>
      <w:r>
        <w:rPr>
          <w:i/>
          <w:color w:val="000099"/>
        </w:rPr>
        <w:t xml:space="preserve">Die Verordnung ist am 16.01.2024 in Kraft getreten. Aber: </w:t>
      </w:r>
      <w:r>
        <w:rPr>
          <w:i/>
          <w:color w:val="FF0000"/>
        </w:rPr>
        <w:t>Übergangsvorschrift in § 13</w:t>
      </w:r>
      <w:r>
        <w:rPr>
          <w:i/>
          <w:color w:val="000099"/>
        </w:rPr>
        <w:t>.</w:t>
      </w:r>
    </w:p>
    <w:p>
      <w:pPr>
        <w:pStyle w:val="GesAbsatz"/>
        <w:jc w:val="left"/>
        <w:rPr>
          <w:rStyle w:val="Hyperlink"/>
        </w:rPr>
      </w:pPr>
      <w:hyperlink w:anchor="Gesetzeshistorie" w:tooltip="LINK zur Gesetzeshistorie (Änderungen) am Ende des Dokumentes" w:history="1">
        <w:r>
          <w:rPr>
            <w:rStyle w:val="Hyperlink"/>
          </w:rPr>
          <w:t>Gesetzeshistorie</w:t>
        </w:r>
      </w:hyperlink>
    </w:p>
    <w:p>
      <w:pPr>
        <w:pStyle w:val="GesAbsatz"/>
        <w:jc w:val="center"/>
        <w:rPr>
          <w:rFonts w:cs="Arial"/>
          <w:b/>
          <w:bCs/>
          <w:sz w:val="22"/>
        </w:rPr>
      </w:pPr>
      <w:r>
        <w:rPr>
          <w:rFonts w:cs="Arial"/>
          <w:b/>
          <w:bCs/>
          <w:sz w:val="22"/>
        </w:rPr>
        <w:t>Inhalt:</w:t>
      </w:r>
    </w:p>
    <w:p>
      <w:pPr>
        <w:pStyle w:val="Verzeichnis1"/>
        <w:rPr>
          <w:rFonts w:asciiTheme="minorHAnsi" w:eastAsiaTheme="minorEastAsia" w:hAnsiTheme="minorHAnsi" w:cstheme="minorBidi"/>
          <w:b w:val="0"/>
          <w:caps w:val="0"/>
          <w:noProof/>
          <w:sz w:val="22"/>
          <w:szCs w:val="22"/>
        </w:rPr>
      </w:pPr>
      <w:r>
        <w:rPr>
          <w:rFonts w:cs="Arial"/>
          <w:b w:val="0"/>
          <w:bCs/>
          <w:sz w:val="22"/>
        </w:rPr>
        <w:fldChar w:fldCharType="begin"/>
      </w:r>
      <w:r>
        <w:rPr>
          <w:rFonts w:cs="Arial"/>
          <w:b w:val="0"/>
          <w:bCs/>
          <w:sz w:val="22"/>
        </w:rPr>
        <w:instrText xml:space="preserve"> TOC \o "1-3" \h \z \u </w:instrText>
      </w:r>
      <w:r>
        <w:rPr>
          <w:rFonts w:cs="Arial"/>
          <w:b w:val="0"/>
          <w:bCs/>
          <w:sz w:val="22"/>
        </w:rPr>
        <w:fldChar w:fldCharType="separate"/>
      </w:r>
      <w:hyperlink w:anchor="_Toc157672274" w:history="1">
        <w:r>
          <w:rPr>
            <w:rStyle w:val="Hyperlink"/>
            <w:noProof/>
          </w:rPr>
          <w:t>31. BImSchV</w:t>
        </w:r>
        <w:r>
          <w:rPr>
            <w:noProof/>
            <w:webHidden/>
          </w:rPr>
          <w:tab/>
        </w:r>
        <w:r>
          <w:rPr>
            <w:noProof/>
            <w:webHidden/>
          </w:rPr>
          <w:fldChar w:fldCharType="begin"/>
        </w:r>
        <w:r>
          <w:rPr>
            <w:noProof/>
            <w:webHidden/>
          </w:rPr>
          <w:instrText xml:space="preserve"> PAGEREF _Toc157672274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7672275" w:history="1">
        <w:r>
          <w:rPr>
            <w:rStyle w:val="Hyperlink"/>
            <w:noProof/>
          </w:rPr>
          <w:t>Teil 1 Anwendungsbereich, Begriffsbestimmungen</w:t>
        </w:r>
        <w:r>
          <w:rPr>
            <w:noProof/>
            <w:webHidden/>
          </w:rPr>
          <w:tab/>
        </w:r>
        <w:r>
          <w:rPr>
            <w:noProof/>
            <w:webHidden/>
          </w:rPr>
          <w:fldChar w:fldCharType="begin"/>
        </w:r>
        <w:r>
          <w:rPr>
            <w:noProof/>
            <w:webHidden/>
          </w:rPr>
          <w:instrText xml:space="preserve"> PAGEREF _Toc157672275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7672276" w:history="1">
        <w:r>
          <w:rPr>
            <w:rStyle w:val="Hyperlink"/>
            <w:noProof/>
          </w:rPr>
          <w:t>§ 1 Anwendungsbereich</w:t>
        </w:r>
        <w:r>
          <w:rPr>
            <w:noProof/>
            <w:webHidden/>
          </w:rPr>
          <w:tab/>
        </w:r>
        <w:r>
          <w:rPr>
            <w:noProof/>
            <w:webHidden/>
          </w:rPr>
          <w:fldChar w:fldCharType="begin"/>
        </w:r>
        <w:r>
          <w:rPr>
            <w:noProof/>
            <w:webHidden/>
          </w:rPr>
          <w:instrText xml:space="preserve"> PAGEREF _Toc157672276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7672277" w:history="1">
        <w:r>
          <w:rPr>
            <w:rStyle w:val="Hyperlink"/>
            <w:noProof/>
          </w:rPr>
          <w:t>§ 2 Begriffsbestimmungen</w:t>
        </w:r>
        <w:r>
          <w:rPr>
            <w:noProof/>
            <w:webHidden/>
          </w:rPr>
          <w:tab/>
        </w:r>
        <w:r>
          <w:rPr>
            <w:noProof/>
            <w:webHidden/>
          </w:rPr>
          <w:fldChar w:fldCharType="begin"/>
        </w:r>
        <w:r>
          <w:rPr>
            <w:noProof/>
            <w:webHidden/>
          </w:rPr>
          <w:instrText xml:space="preserve"> PAGEREF _Toc157672277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7672278" w:history="1">
        <w:r>
          <w:rPr>
            <w:rStyle w:val="Hyperlink"/>
            <w:noProof/>
          </w:rPr>
          <w:t>Teil 2 Begrenzung der Emissionen</w:t>
        </w:r>
        <w:r>
          <w:rPr>
            <w:noProof/>
            <w:webHidden/>
          </w:rPr>
          <w:tab/>
        </w:r>
        <w:r>
          <w:rPr>
            <w:noProof/>
            <w:webHidden/>
          </w:rPr>
          <w:fldChar w:fldCharType="begin"/>
        </w:r>
        <w:r>
          <w:rPr>
            <w:noProof/>
            <w:webHidden/>
          </w:rPr>
          <w:instrText xml:space="preserve"> PAGEREF _Toc157672278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7672279" w:history="1">
        <w:r>
          <w:rPr>
            <w:rStyle w:val="Hyperlink"/>
            <w:noProof/>
          </w:rPr>
          <w:t>§ 3 Allgemeine Anforderungen</w:t>
        </w:r>
        <w:r>
          <w:rPr>
            <w:noProof/>
            <w:webHidden/>
          </w:rPr>
          <w:tab/>
        </w:r>
        <w:r>
          <w:rPr>
            <w:noProof/>
            <w:webHidden/>
          </w:rPr>
          <w:fldChar w:fldCharType="begin"/>
        </w:r>
        <w:r>
          <w:rPr>
            <w:noProof/>
            <w:webHidden/>
          </w:rPr>
          <w:instrText xml:space="preserve"> PAGEREF _Toc157672279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7672280" w:history="1">
        <w:r>
          <w:rPr>
            <w:rStyle w:val="Hyperlink"/>
            <w:noProof/>
          </w:rPr>
          <w:t>§ 4 Besondere Anforderungen</w:t>
        </w:r>
        <w:r>
          <w:rPr>
            <w:noProof/>
            <w:webHidden/>
          </w:rPr>
          <w:tab/>
        </w:r>
        <w:r>
          <w:rPr>
            <w:noProof/>
            <w:webHidden/>
          </w:rPr>
          <w:fldChar w:fldCharType="begin"/>
        </w:r>
        <w:r>
          <w:rPr>
            <w:noProof/>
            <w:webHidden/>
          </w:rPr>
          <w:instrText xml:space="preserve"> PAGEREF _Toc157672280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7672281" w:history="1">
        <w:r>
          <w:rPr>
            <w:rStyle w:val="Hyperlink"/>
            <w:noProof/>
          </w:rPr>
          <w:t>Teil 3 Messungen und Überwachung</w:t>
        </w:r>
        <w:r>
          <w:rPr>
            <w:noProof/>
            <w:webHidden/>
          </w:rPr>
          <w:tab/>
        </w:r>
        <w:r>
          <w:rPr>
            <w:noProof/>
            <w:webHidden/>
          </w:rPr>
          <w:fldChar w:fldCharType="begin"/>
        </w:r>
        <w:r>
          <w:rPr>
            <w:noProof/>
            <w:webHidden/>
          </w:rPr>
          <w:instrText xml:space="preserve"> PAGEREF _Toc157672281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7672282" w:history="1">
        <w:r>
          <w:rPr>
            <w:rStyle w:val="Hyperlink"/>
            <w:noProof/>
          </w:rPr>
          <w:t>§ 5 Nicht genehmigungsbedürftige Anlagen</w:t>
        </w:r>
        <w:r>
          <w:rPr>
            <w:noProof/>
            <w:webHidden/>
          </w:rPr>
          <w:tab/>
        </w:r>
        <w:r>
          <w:rPr>
            <w:noProof/>
            <w:webHidden/>
          </w:rPr>
          <w:fldChar w:fldCharType="begin"/>
        </w:r>
        <w:r>
          <w:rPr>
            <w:noProof/>
            <w:webHidden/>
          </w:rPr>
          <w:instrText xml:space="preserve"> PAGEREF _Toc157672282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7672283" w:history="1">
        <w:r>
          <w:rPr>
            <w:rStyle w:val="Hyperlink"/>
            <w:noProof/>
          </w:rPr>
          <w:t>§ 6 Genehmigungsbedürftige Anlagen</w:t>
        </w:r>
        <w:r>
          <w:rPr>
            <w:noProof/>
            <w:webHidden/>
          </w:rPr>
          <w:tab/>
        </w:r>
        <w:r>
          <w:rPr>
            <w:noProof/>
            <w:webHidden/>
          </w:rPr>
          <w:fldChar w:fldCharType="begin"/>
        </w:r>
        <w:r>
          <w:rPr>
            <w:noProof/>
            <w:webHidden/>
          </w:rPr>
          <w:instrText xml:space="preserve"> PAGEREF _Toc157672283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7672284" w:history="1">
        <w:r>
          <w:rPr>
            <w:rStyle w:val="Hyperlink"/>
            <w:noProof/>
          </w:rPr>
          <w:t>Teil 4 Gemeinsame Vorschriften</w:t>
        </w:r>
        <w:r>
          <w:rPr>
            <w:noProof/>
            <w:webHidden/>
          </w:rPr>
          <w:tab/>
        </w:r>
        <w:r>
          <w:rPr>
            <w:noProof/>
            <w:webHidden/>
          </w:rPr>
          <w:fldChar w:fldCharType="begin"/>
        </w:r>
        <w:r>
          <w:rPr>
            <w:noProof/>
            <w:webHidden/>
          </w:rPr>
          <w:instrText xml:space="preserve"> PAGEREF _Toc157672284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7672285" w:history="1">
        <w:r>
          <w:rPr>
            <w:rStyle w:val="Hyperlink"/>
            <w:noProof/>
          </w:rPr>
          <w:t>§ 7 Ableitbedingungen für Abgase</w:t>
        </w:r>
        <w:r>
          <w:rPr>
            <w:noProof/>
            <w:webHidden/>
          </w:rPr>
          <w:tab/>
        </w:r>
        <w:r>
          <w:rPr>
            <w:noProof/>
            <w:webHidden/>
          </w:rPr>
          <w:fldChar w:fldCharType="begin"/>
        </w:r>
        <w:r>
          <w:rPr>
            <w:noProof/>
            <w:webHidden/>
          </w:rPr>
          <w:instrText xml:space="preserve"> PAGEREF _Toc157672285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7672286" w:history="1">
        <w:r>
          <w:rPr>
            <w:rStyle w:val="Hyperlink"/>
            <w:noProof/>
          </w:rPr>
          <w:t>§ 8 Berichterstattung an die Europäische Kommission</w:t>
        </w:r>
        <w:r>
          <w:rPr>
            <w:noProof/>
            <w:webHidden/>
          </w:rPr>
          <w:tab/>
        </w:r>
        <w:r>
          <w:rPr>
            <w:noProof/>
            <w:webHidden/>
          </w:rPr>
          <w:fldChar w:fldCharType="begin"/>
        </w:r>
        <w:r>
          <w:rPr>
            <w:noProof/>
            <w:webHidden/>
          </w:rPr>
          <w:instrText xml:space="preserve"> PAGEREF _Toc157672286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7672287" w:history="1">
        <w:r>
          <w:rPr>
            <w:rStyle w:val="Hyperlink"/>
            <w:noProof/>
          </w:rPr>
          <w:t>§ 9 Unterrichtung der Öffentlichkeit</w:t>
        </w:r>
        <w:r>
          <w:rPr>
            <w:noProof/>
            <w:webHidden/>
          </w:rPr>
          <w:tab/>
        </w:r>
        <w:r>
          <w:rPr>
            <w:noProof/>
            <w:webHidden/>
          </w:rPr>
          <w:fldChar w:fldCharType="begin"/>
        </w:r>
        <w:r>
          <w:rPr>
            <w:noProof/>
            <w:webHidden/>
          </w:rPr>
          <w:instrText xml:space="preserve"> PAGEREF _Toc157672287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7672288" w:history="1">
        <w:r>
          <w:rPr>
            <w:rStyle w:val="Hyperlink"/>
            <w:noProof/>
          </w:rPr>
          <w:t>§ 10 Andere oder weitergehende Anforderungen</w:t>
        </w:r>
        <w:r>
          <w:rPr>
            <w:noProof/>
            <w:webHidden/>
          </w:rPr>
          <w:tab/>
        </w:r>
        <w:r>
          <w:rPr>
            <w:noProof/>
            <w:webHidden/>
          </w:rPr>
          <w:fldChar w:fldCharType="begin"/>
        </w:r>
        <w:r>
          <w:rPr>
            <w:noProof/>
            <w:webHidden/>
          </w:rPr>
          <w:instrText xml:space="preserve"> PAGEREF _Toc157672288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7672289" w:history="1">
        <w:r>
          <w:rPr>
            <w:rStyle w:val="Hyperlink"/>
            <w:noProof/>
          </w:rPr>
          <w:t>§ 11 Zulassung von Ausnahmen</w:t>
        </w:r>
        <w:r>
          <w:rPr>
            <w:noProof/>
            <w:webHidden/>
          </w:rPr>
          <w:tab/>
        </w:r>
        <w:r>
          <w:rPr>
            <w:noProof/>
            <w:webHidden/>
          </w:rPr>
          <w:fldChar w:fldCharType="begin"/>
        </w:r>
        <w:r>
          <w:rPr>
            <w:noProof/>
            <w:webHidden/>
          </w:rPr>
          <w:instrText xml:space="preserve"> PAGEREF _Toc157672289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7672290" w:history="1">
        <w:r>
          <w:rPr>
            <w:rStyle w:val="Hyperlink"/>
            <w:noProof/>
          </w:rPr>
          <w:t>§ 12 Ordnungswidrigkeiten</w:t>
        </w:r>
        <w:r>
          <w:rPr>
            <w:noProof/>
            <w:webHidden/>
          </w:rPr>
          <w:tab/>
        </w:r>
        <w:r>
          <w:rPr>
            <w:noProof/>
            <w:webHidden/>
          </w:rPr>
          <w:fldChar w:fldCharType="begin"/>
        </w:r>
        <w:r>
          <w:rPr>
            <w:noProof/>
            <w:webHidden/>
          </w:rPr>
          <w:instrText xml:space="preserve"> PAGEREF _Toc157672290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7672291" w:history="1">
        <w:r>
          <w:rPr>
            <w:rStyle w:val="Hyperlink"/>
            <w:noProof/>
          </w:rPr>
          <w:t>Teil 5 Schlussvorschriften</w:t>
        </w:r>
        <w:r>
          <w:rPr>
            <w:noProof/>
            <w:webHidden/>
          </w:rPr>
          <w:tab/>
        </w:r>
        <w:r>
          <w:rPr>
            <w:noProof/>
            <w:webHidden/>
          </w:rPr>
          <w:fldChar w:fldCharType="begin"/>
        </w:r>
        <w:r>
          <w:rPr>
            <w:noProof/>
            <w:webHidden/>
          </w:rPr>
          <w:instrText xml:space="preserve"> PAGEREF _Toc157672291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7672292" w:history="1">
        <w:r>
          <w:rPr>
            <w:rStyle w:val="Hyperlink"/>
            <w:noProof/>
          </w:rPr>
          <w:t>§ 13 Übergangsvorschriften, Inkrafttreten, Außerkrafttreten</w:t>
        </w:r>
        <w:r>
          <w:rPr>
            <w:noProof/>
            <w:webHidden/>
          </w:rPr>
          <w:tab/>
        </w:r>
        <w:r>
          <w:rPr>
            <w:noProof/>
            <w:webHidden/>
          </w:rPr>
          <w:fldChar w:fldCharType="begin"/>
        </w:r>
        <w:r>
          <w:rPr>
            <w:noProof/>
            <w:webHidden/>
          </w:rPr>
          <w:instrText xml:space="preserve"> PAGEREF _Toc157672292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7672293" w:history="1">
        <w:r>
          <w:rPr>
            <w:rStyle w:val="Hyperlink"/>
            <w:noProof/>
          </w:rPr>
          <w:t>Anhang I (zu § 1)</w:t>
        </w:r>
        <w:r>
          <w:rPr>
            <w:noProof/>
            <w:webHidden/>
          </w:rPr>
          <w:tab/>
        </w:r>
        <w:r>
          <w:rPr>
            <w:noProof/>
            <w:webHidden/>
          </w:rPr>
          <w:fldChar w:fldCharType="begin"/>
        </w:r>
        <w:r>
          <w:rPr>
            <w:noProof/>
            <w:webHidden/>
          </w:rPr>
          <w:instrText xml:space="preserve"> PAGEREF _Toc157672293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7672294" w:history="1">
        <w:r>
          <w:rPr>
            <w:rStyle w:val="Hyperlink"/>
            <w:noProof/>
          </w:rPr>
          <w:t>Anhang II (zu § 1)</w:t>
        </w:r>
        <w:r>
          <w:rPr>
            <w:noProof/>
            <w:webHidden/>
          </w:rPr>
          <w:tab/>
        </w:r>
        <w:r>
          <w:rPr>
            <w:noProof/>
            <w:webHidden/>
          </w:rPr>
          <w:fldChar w:fldCharType="begin"/>
        </w:r>
        <w:r>
          <w:rPr>
            <w:noProof/>
            <w:webHidden/>
          </w:rPr>
          <w:instrText xml:space="preserve"> PAGEREF _Toc157672294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7672295" w:history="1">
        <w:r>
          <w:rPr>
            <w:rStyle w:val="Hyperlink"/>
            <w:noProof/>
          </w:rPr>
          <w:t>Anhang III (zu den §§ 3 und 4)</w:t>
        </w:r>
        <w:r>
          <w:rPr>
            <w:noProof/>
            <w:webHidden/>
          </w:rPr>
          <w:tab/>
        </w:r>
        <w:r>
          <w:rPr>
            <w:noProof/>
            <w:webHidden/>
          </w:rPr>
          <w:fldChar w:fldCharType="begin"/>
        </w:r>
        <w:r>
          <w:rPr>
            <w:noProof/>
            <w:webHidden/>
          </w:rPr>
          <w:instrText xml:space="preserve"> PAGEREF _Toc157672295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7672296" w:history="1">
        <w:r>
          <w:rPr>
            <w:rStyle w:val="Hyperlink"/>
            <w:noProof/>
          </w:rPr>
          <w:t>Anhang IV (zu § 4)</w:t>
        </w:r>
        <w:r>
          <w:rPr>
            <w:noProof/>
            <w:webHidden/>
          </w:rPr>
          <w:tab/>
        </w:r>
        <w:r>
          <w:rPr>
            <w:noProof/>
            <w:webHidden/>
          </w:rPr>
          <w:fldChar w:fldCharType="begin"/>
        </w:r>
        <w:r>
          <w:rPr>
            <w:noProof/>
            <w:webHidden/>
          </w:rPr>
          <w:instrText xml:space="preserve"> PAGEREF _Toc157672296 \h </w:instrText>
        </w:r>
        <w:r>
          <w:rPr>
            <w:noProof/>
            <w:webHidden/>
          </w:rPr>
        </w:r>
        <w:r>
          <w:rPr>
            <w:noProof/>
            <w:webHidden/>
          </w:rPr>
          <w:fldChar w:fldCharType="separate"/>
        </w:r>
        <w:r>
          <w:rPr>
            <w:noProof/>
            <w:webHidden/>
          </w:rPr>
          <w:t>31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7672297" w:history="1">
        <w:r>
          <w:rPr>
            <w:rStyle w:val="Hyperlink"/>
            <w:noProof/>
          </w:rPr>
          <w:t>Anhang V (zu den §§ 5 und 6)</w:t>
        </w:r>
        <w:r>
          <w:rPr>
            <w:noProof/>
            <w:webHidden/>
          </w:rPr>
          <w:tab/>
        </w:r>
        <w:r>
          <w:rPr>
            <w:noProof/>
            <w:webHidden/>
          </w:rPr>
          <w:fldChar w:fldCharType="begin"/>
        </w:r>
        <w:r>
          <w:rPr>
            <w:noProof/>
            <w:webHidden/>
          </w:rPr>
          <w:instrText xml:space="preserve"> PAGEREF _Toc157672297 \h </w:instrText>
        </w:r>
        <w:r>
          <w:rPr>
            <w:noProof/>
            <w:webHidden/>
          </w:rPr>
        </w:r>
        <w:r>
          <w:rPr>
            <w:noProof/>
            <w:webHidden/>
          </w:rPr>
          <w:fldChar w:fldCharType="separate"/>
        </w:r>
        <w:r>
          <w:rPr>
            <w:noProof/>
            <w:webHidden/>
          </w:rPr>
          <w:t>34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7672298" w:history="1">
        <w:r>
          <w:rPr>
            <w:rStyle w:val="Hyperlink"/>
            <w:noProof/>
            <w:lang w:val="sv-SE"/>
          </w:rPr>
          <w:t>Anhang VI (zu den §§ 5 und 6)</w:t>
        </w:r>
        <w:r>
          <w:rPr>
            <w:noProof/>
            <w:webHidden/>
          </w:rPr>
          <w:tab/>
        </w:r>
        <w:r>
          <w:rPr>
            <w:noProof/>
            <w:webHidden/>
          </w:rPr>
          <w:fldChar w:fldCharType="begin"/>
        </w:r>
        <w:r>
          <w:rPr>
            <w:noProof/>
            <w:webHidden/>
          </w:rPr>
          <w:instrText xml:space="preserve"> PAGEREF _Toc157672298 \h </w:instrText>
        </w:r>
        <w:r>
          <w:rPr>
            <w:noProof/>
            <w:webHidden/>
          </w:rPr>
        </w:r>
        <w:r>
          <w:rPr>
            <w:noProof/>
            <w:webHidden/>
          </w:rPr>
          <w:fldChar w:fldCharType="separate"/>
        </w:r>
        <w:r>
          <w:rPr>
            <w:noProof/>
            <w:webHidden/>
          </w:rPr>
          <w:t>37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7672299" w:history="1">
        <w:r>
          <w:rPr>
            <w:rStyle w:val="Hyperlink"/>
            <w:noProof/>
          </w:rPr>
          <w:t>Anhang VII (zu § 3)</w:t>
        </w:r>
        <w:r>
          <w:rPr>
            <w:noProof/>
            <w:webHidden/>
          </w:rPr>
          <w:tab/>
        </w:r>
        <w:r>
          <w:rPr>
            <w:noProof/>
            <w:webHidden/>
          </w:rPr>
          <w:fldChar w:fldCharType="begin"/>
        </w:r>
        <w:r>
          <w:rPr>
            <w:noProof/>
            <w:webHidden/>
          </w:rPr>
          <w:instrText xml:space="preserve"> PAGEREF _Toc157672299 \h </w:instrText>
        </w:r>
        <w:r>
          <w:rPr>
            <w:noProof/>
            <w:webHidden/>
          </w:rPr>
        </w:r>
        <w:r>
          <w:rPr>
            <w:noProof/>
            <w:webHidden/>
          </w:rPr>
          <w:fldChar w:fldCharType="separate"/>
        </w:r>
        <w:r>
          <w:rPr>
            <w:noProof/>
            <w:webHidden/>
          </w:rPr>
          <w:t>38</w:t>
        </w:r>
        <w:r>
          <w:rPr>
            <w:noProof/>
            <w:webHidden/>
          </w:rPr>
          <w:fldChar w:fldCharType="end"/>
        </w:r>
      </w:hyperlink>
    </w:p>
    <w:p>
      <w:pPr>
        <w:pStyle w:val="GesAbsatz"/>
      </w:pPr>
      <w:r>
        <w:fldChar w:fldCharType="end"/>
      </w:r>
      <w:bookmarkStart w:id="2" w:name="_Toc157672275"/>
    </w:p>
    <w:p>
      <w:pPr>
        <w:pStyle w:val="GesAbsatz"/>
      </w:pPr>
      <w:r>
        <w:t>Auf Grund</w:t>
      </w:r>
    </w:p>
    <w:p>
      <w:pPr>
        <w:pStyle w:val="GesAbsatz"/>
        <w:ind w:left="426" w:hanging="426"/>
      </w:pPr>
      <w:r>
        <w:t>–</w:t>
      </w:r>
      <w:r>
        <w:tab/>
        <w:t>des § 48a Absatz 1 und 1a in Verbindung mit § 48b Satz 1 des Bundes-Immissionsschutzgesetzes in der Fassung der Bekanntmachung vom 17. Mai 2013 (BGBl. I S. 1274) verordnet die Bundesregierung unter Berücksichtigung des Beschlusses des Bundestages vom 6. Juli 2023,</w:t>
      </w:r>
    </w:p>
    <w:p>
      <w:pPr>
        <w:pStyle w:val="GesAbsatz"/>
        <w:ind w:left="426" w:hanging="426"/>
      </w:pPr>
      <w:r>
        <w:t>–</w:t>
      </w:r>
      <w:r>
        <w:tab/>
        <w:t>des § 7 Absatz 1 Satz 1 Nummer 1, 3 und 4, Absatz 1a bis 3, des § 23 Absatz 1 Satz 1 Nummer 1, 3 und 4 des Bundes-Immissionsschutzgesetzes, von denen § 7 Absatz 1 Satz 1 Nummer 4 durch Artikel 10 Nummer 1 des Gesetzes vom 27. Juli 2021 (BGBl. I S. 3146), § 23 Absatz 1 Satz 1 durch Artikel 1 Nummer 9 des Gesetzes vom 30. November 2016 (BGBl. I S. 2749) geändert worden ist, verordnet die Bundesregierung nach Anhörung der beteiligten Kreise,</w:t>
      </w:r>
    </w:p>
    <w:p>
      <w:pPr>
        <w:pStyle w:val="GesAbsatz"/>
        <w:ind w:left="426" w:hanging="426"/>
      </w:pPr>
      <w:r>
        <w:t>–</w:t>
      </w:r>
      <w:r>
        <w:tab/>
        <w:t>des § 7 Absatz 1 Satz 1 Nummer 2 und des § 23 Absatz 1 Satz 1 Nummer 2 in Verbindung mit § 48b Satz 1 des Bundes-Immissionsschutzgesetzes, von denen § 23 Absatz 1 Satz 1 durch Artikel 1 Nummer 9 des Gesetzes vom 30. November 2016 (BGBl. I S. 2749) geändert worden ist, verordnet die Bundesregierung nach Anhörung der beteiligten Kreise und unter Berücksichtigung des Beschlusses des Bundestages vom 6. Juli 2023, sowie</w:t>
      </w:r>
    </w:p>
    <w:p>
      <w:pPr>
        <w:pStyle w:val="GesAbsatz"/>
        <w:ind w:left="426" w:hanging="426"/>
      </w:pPr>
      <w:r>
        <w:t>–</w:t>
      </w:r>
      <w:r>
        <w:tab/>
        <w:t>des § 7 Absatz 4 und 5, des § 27 Absatz 4 Satz 1 und 3, des § 37 Satz 1, des § 48a Absatz 3 und des § 58e des Bundes-Immissionsschutzgesetzes, von denen § 27 Absatz 4 Satz 3 zuletzt durch Artikel 103 der Verordnung vom 19. Juni 2020 (BGBl. I S. 1328) geändert worden ist, verordnet die Bundesregierung:</w:t>
      </w:r>
    </w:p>
    <w:p>
      <w:pPr>
        <w:pStyle w:val="GesAbsatz"/>
      </w:pPr>
    </w:p>
    <w:p>
      <w:pPr>
        <w:pStyle w:val="berschrift2"/>
      </w:pPr>
      <w:r>
        <w:lastRenderedPageBreak/>
        <w:t>Teil 1</w:t>
      </w:r>
      <w:r>
        <w:br/>
        <w:t>Anwendungsbereich, Begriffsbestimmungen</w:t>
      </w:r>
      <w:bookmarkEnd w:id="2"/>
    </w:p>
    <w:p>
      <w:pPr>
        <w:pStyle w:val="berschrift3"/>
      </w:pPr>
      <w:bookmarkStart w:id="3" w:name="_Toc157672276"/>
      <w:r>
        <w:t>§ 1</w:t>
      </w:r>
      <w:r>
        <w:br/>
        <w:t>Anwendungsbereich</w:t>
      </w:r>
      <w:bookmarkEnd w:id="3"/>
    </w:p>
    <w:p>
      <w:pPr>
        <w:pStyle w:val="GesAbsatz"/>
      </w:pPr>
      <w:r>
        <w:t>(1) Diese Verordnung gilt für die Errichtung und den Betrieb der in Anhang I genannten Anlagen, in denen unter Verwendung organischer Lösungsmittel Tätigkeiten nach Anhang II ausgeführt werden, sofern der Lösungsmittelverbrauch bei den jeweiligen Tätigkeiten die in Anhang I genannten Schwellenwerte überschreitet. Bei Anlagen, in denen eine bestimmte Tätigkeit in mehreren Teilanlagen, Verfahrensschritten oder Nebeneinrichtungen ausgeführt wird, ist für den Lösungsmittelverbrauch die Summe der jeweiligen Teillösungsmittelverbräuche maßgebend. Das Vorhandensein gemeinsamer, verbindender Betriebseinrichtungen zwischen den Teilanlagen ist nicht erforderlich.</w:t>
      </w:r>
    </w:p>
    <w:p>
      <w:pPr>
        <w:pStyle w:val="GesAbsatz"/>
      </w:pPr>
      <w:r>
        <w:t>(2) Diese Verordnung gilt nicht für Anlagen nach der Zweiten Verordnung zur Durchführung des Bundes-Immissionsschutzgesetzes, in denen organische Lösungsmittel verwendet werden, die leichtflüchtige halogenierte organische Verbindungen mit einem Siedepunkt bei 1013 Hektopascal bis zu 423 Kelvin enthalten.</w:t>
      </w:r>
    </w:p>
    <w:p>
      <w:pPr>
        <w:pStyle w:val="berschrift3"/>
      </w:pPr>
      <w:bookmarkStart w:id="4" w:name="_Toc157672277"/>
      <w:r>
        <w:t>§ 2</w:t>
      </w:r>
      <w:r>
        <w:br/>
        <w:t>Begriffsbestimmungen</w:t>
      </w:r>
      <w:bookmarkEnd w:id="4"/>
    </w:p>
    <w:p>
      <w:pPr>
        <w:pStyle w:val="GesAbsatz"/>
      </w:pPr>
      <w:r>
        <w:t>Im Sinne dieser Verordnung ist oder sind</w:t>
      </w:r>
    </w:p>
    <w:p>
      <w:pPr>
        <w:pStyle w:val="GesAbsatz"/>
        <w:rPr>
          <w:rFonts w:cs="Arial"/>
        </w:rPr>
      </w:pPr>
      <w:r>
        <w:rPr>
          <w:rFonts w:cs="Arial"/>
        </w:rPr>
        <w:t>1.</w:t>
      </w:r>
      <w:r>
        <w:rPr>
          <w:rFonts w:cs="Arial"/>
        </w:rPr>
        <w:tab/>
        <w:t>Abgase:</w:t>
      </w:r>
    </w:p>
    <w:p>
      <w:pPr>
        <w:pStyle w:val="GesAbsatz"/>
        <w:ind w:left="426"/>
        <w:rPr>
          <w:rFonts w:cs="Arial"/>
        </w:rPr>
      </w:pPr>
      <w:r>
        <w:rPr>
          <w:rFonts w:cs="Arial"/>
        </w:rPr>
        <w:t>die Trägergase mit den Emissionen;</w:t>
      </w:r>
    </w:p>
    <w:p>
      <w:pPr>
        <w:pStyle w:val="GesAbsatz"/>
        <w:ind w:left="420" w:hanging="420"/>
        <w:rPr>
          <w:rFonts w:cs="Arial"/>
        </w:rPr>
      </w:pPr>
      <w:r>
        <w:rPr>
          <w:rFonts w:cs="Arial"/>
        </w:rPr>
        <w:t>2.</w:t>
      </w:r>
      <w:r>
        <w:rPr>
          <w:rFonts w:cs="Arial"/>
        </w:rPr>
        <w:tab/>
        <w:t>Abgasreinigungseinrichtung:</w:t>
      </w:r>
      <w:r>
        <w:rPr>
          <w:rFonts w:cs="Arial"/>
        </w:rPr>
        <w:br/>
        <w:t>eine Einrichtung zur Entfernung von flüchtigen organischen Verbindungen aus den Abgasen einer Anlage;</w:t>
      </w:r>
    </w:p>
    <w:p>
      <w:pPr>
        <w:pStyle w:val="GesAbsatz"/>
        <w:ind w:left="420" w:hanging="420"/>
        <w:rPr>
          <w:rFonts w:cs="Arial"/>
        </w:rPr>
      </w:pPr>
      <w:r>
        <w:rPr>
          <w:rFonts w:cs="Arial"/>
        </w:rPr>
        <w:t>3.</w:t>
      </w:r>
      <w:r>
        <w:rPr>
          <w:rFonts w:cs="Arial"/>
        </w:rPr>
        <w:tab/>
        <w:t>bestehende Anlage:</w:t>
      </w:r>
    </w:p>
    <w:p>
      <w:pPr>
        <w:pStyle w:val="GesAbsatz"/>
        <w:tabs>
          <w:tab w:val="left" w:pos="851"/>
        </w:tabs>
        <w:ind w:left="426"/>
        <w:rPr>
          <w:rFonts w:cs="Arial"/>
        </w:rPr>
      </w:pPr>
      <w:r>
        <w:rPr>
          <w:rFonts w:cs="Arial"/>
        </w:rPr>
        <w:t>a)</w:t>
      </w:r>
      <w:r>
        <w:rPr>
          <w:rFonts w:cs="Arial"/>
        </w:rPr>
        <w:tab/>
        <w:t>eine genehmigungsbedürftige Anlage, für die am 16. Januar 2024</w:t>
      </w:r>
    </w:p>
    <w:p>
      <w:pPr>
        <w:pStyle w:val="GesAbsatz"/>
        <w:tabs>
          <w:tab w:val="left" w:pos="851"/>
        </w:tabs>
        <w:ind w:left="1276" w:hanging="425"/>
        <w:rPr>
          <w:rFonts w:cs="Arial"/>
        </w:rPr>
      </w:pPr>
      <w:proofErr w:type="spellStart"/>
      <w:r>
        <w:rPr>
          <w:rFonts w:cs="Arial"/>
        </w:rPr>
        <w:t>aa</w:t>
      </w:r>
      <w:proofErr w:type="spellEnd"/>
      <w:r>
        <w:rPr>
          <w:rFonts w:cs="Arial"/>
        </w:rPr>
        <w:t>)</w:t>
      </w:r>
      <w:r>
        <w:rPr>
          <w:rFonts w:cs="Arial"/>
        </w:rPr>
        <w:tab/>
        <w:t>eine Genehmigung zur Errichtung und zum Betrieb nach § 6 oder § 16 des Bundes-Immissionsschutzgesetzes in der Fassung der Bekanntmachung vom 17. Mai 2013 (BGBl. I S. 1274; 2021 I S. 123), das zuletzt durch Artikel 11 Absatz 3 des Gesetzes vom 26. Juli 2023 (BGBl. 2023 I Nr. 202) geändert worden ist, oder eine Zulassung vorzeitigen Beginns nach § 8a des Bundes-Immissionsschutzgesetzes erteilt ist und in dieser Zulassung Anforderungen nach § 5 Absatz 1 Nummer 2 des Bundes-Immissionsschutzgesetzes festgelegt sind,</w:t>
      </w:r>
    </w:p>
    <w:p>
      <w:pPr>
        <w:pStyle w:val="GesAbsatz"/>
        <w:tabs>
          <w:tab w:val="left" w:pos="851"/>
        </w:tabs>
        <w:ind w:left="1276" w:hanging="425"/>
        <w:rPr>
          <w:rFonts w:cs="Arial"/>
        </w:rPr>
      </w:pPr>
      <w:proofErr w:type="spellStart"/>
      <w:r>
        <w:rPr>
          <w:rFonts w:cs="Arial"/>
        </w:rPr>
        <w:t>bb</w:t>
      </w:r>
      <w:proofErr w:type="spellEnd"/>
      <w:r>
        <w:rPr>
          <w:rFonts w:cs="Arial"/>
        </w:rPr>
        <w:t>)</w:t>
      </w:r>
      <w:r>
        <w:rPr>
          <w:rFonts w:cs="Arial"/>
        </w:rPr>
        <w:tab/>
        <w:t>eine Teilgenehmigung nach § 8 des Bundes-Immissionsschutzgesetzes oder ein Vorbescheid nach § 9 des Bundes-Immissionsschutzgesetzes erteilt ist und in dieser Teilgenehmigung oder diesem Vorbescheid Anforderungen nach § 5 Absatz 1 Nummer 2 des Bundes-Immissionsschutzgesetzes festgelegt sind oder</w:t>
      </w:r>
    </w:p>
    <w:p>
      <w:pPr>
        <w:pStyle w:val="GesAbsatz"/>
        <w:tabs>
          <w:tab w:val="left" w:pos="851"/>
        </w:tabs>
        <w:ind w:left="1276" w:hanging="425"/>
        <w:rPr>
          <w:rFonts w:cs="Arial"/>
        </w:rPr>
      </w:pPr>
      <w:r>
        <w:rPr>
          <w:rFonts w:cs="Arial"/>
        </w:rPr>
        <w:t>cc)</w:t>
      </w:r>
      <w:r>
        <w:rPr>
          <w:rFonts w:cs="Arial"/>
        </w:rPr>
        <w:tab/>
        <w:t>ein vollständiger Antrag auf Genehmigung zur Errichtung und zum Betrieb nach § 6 oder § 16 des Bundes-Immissionsschutzgesetzes gestellt ist und die spätestens bis zum 16. August 2024 in Betrieb genommen wird,</w:t>
      </w:r>
    </w:p>
    <w:p>
      <w:pPr>
        <w:pStyle w:val="GesAbsatz"/>
        <w:tabs>
          <w:tab w:val="left" w:pos="851"/>
        </w:tabs>
        <w:ind w:left="851" w:hanging="425"/>
        <w:rPr>
          <w:rFonts w:cs="Arial"/>
        </w:rPr>
      </w:pPr>
      <w:r>
        <w:rPr>
          <w:rFonts w:cs="Arial"/>
        </w:rPr>
        <w:t>b)</w:t>
      </w:r>
      <w:r>
        <w:rPr>
          <w:rFonts w:cs="Arial"/>
        </w:rPr>
        <w:tab/>
        <w:t>eine Anlage, die nach § 67 Absatz 2 des Bundes-Immissionsschutzgesetzes anzuzeigen ist oder, die entweder nach § 67a Absatz 1 des Bundes-Immissionsschutzgesetzes oder vor Inkrafttreten des Bundes-Immissionsschutzgesetzes nach § 16 Absatz 4 der Gewerbeordnung anzuzeigen war oder</w:t>
      </w:r>
    </w:p>
    <w:p>
      <w:pPr>
        <w:pStyle w:val="GesAbsatz"/>
        <w:tabs>
          <w:tab w:val="left" w:pos="851"/>
        </w:tabs>
        <w:ind w:left="851" w:hanging="425"/>
        <w:rPr>
          <w:rFonts w:cs="Arial"/>
        </w:rPr>
      </w:pPr>
      <w:r>
        <w:rPr>
          <w:rFonts w:cs="Arial"/>
        </w:rPr>
        <w:t>c)</w:t>
      </w:r>
      <w:r>
        <w:rPr>
          <w:rFonts w:cs="Arial"/>
        </w:rPr>
        <w:tab/>
        <w:t>eine nicht genehmigungsbedürftige Anlage, deren Errichtung und Betrieb vor dem 16. Januar 2024 nach sonstigen Vorschriften des öffentlichen Rechts zugelassen worden ist oder, soweit eine solche Zulassung nicht erforderlich war, mit deren Errichtung begonnen worden ist,</w:t>
      </w:r>
    </w:p>
    <w:p>
      <w:pPr>
        <w:pStyle w:val="GesAbsatz"/>
        <w:tabs>
          <w:tab w:val="left" w:pos="851"/>
        </w:tabs>
        <w:ind w:left="851" w:hanging="425"/>
        <w:rPr>
          <w:rFonts w:cs="Arial"/>
        </w:rPr>
      </w:pPr>
      <w:r>
        <w:rPr>
          <w:rFonts w:cs="Arial"/>
        </w:rPr>
        <w:t>d)</w:t>
      </w:r>
      <w:r>
        <w:rPr>
          <w:rFonts w:cs="Arial"/>
        </w:rPr>
        <w:tab/>
        <w:t>Anlagen der Nummer 6.4 des Anhangs I der Richtlinie 2010/75/EU für die am 12. November 2019 oder Anlagen der Nummern 6.7 und 6.10 des Anhangs I, für die am 22. Juni 2020</w:t>
      </w:r>
    </w:p>
    <w:p>
      <w:pPr>
        <w:pStyle w:val="GesAbsatz"/>
        <w:tabs>
          <w:tab w:val="left" w:pos="851"/>
        </w:tabs>
        <w:ind w:left="1276" w:hanging="425"/>
        <w:rPr>
          <w:rFonts w:cs="Arial"/>
        </w:rPr>
      </w:pPr>
      <w:proofErr w:type="spellStart"/>
      <w:r>
        <w:rPr>
          <w:rFonts w:cs="Arial"/>
        </w:rPr>
        <w:t>aa</w:t>
      </w:r>
      <w:proofErr w:type="spellEnd"/>
      <w:r>
        <w:rPr>
          <w:rFonts w:cs="Arial"/>
        </w:rPr>
        <w:t>)</w:t>
      </w:r>
      <w:r>
        <w:rPr>
          <w:rFonts w:cs="Arial"/>
        </w:rPr>
        <w:tab/>
        <w:t>eine Genehmigung zur Errichtung und zum Betrieb nach § 6 oder § 16 des Bundes-Immissionsschutzgesetzes oder eine Zulassung vorzeitigen Beginns nach § 8a des Bundes-Immissionsschutzgesetzes erteilt war und in dieser Zulassung Anforderungen nach § 5 Absatz 1 Nummer 1 oder 2 des Bundes-Immissionsschutzgesetzes festgelegt sind oder</w:t>
      </w:r>
    </w:p>
    <w:p>
      <w:pPr>
        <w:pStyle w:val="GesAbsatz"/>
        <w:tabs>
          <w:tab w:val="left" w:pos="851"/>
        </w:tabs>
        <w:ind w:left="1276" w:hanging="425"/>
        <w:rPr>
          <w:rFonts w:cs="Arial"/>
        </w:rPr>
      </w:pPr>
      <w:proofErr w:type="spellStart"/>
      <w:r>
        <w:rPr>
          <w:rFonts w:cs="Arial"/>
        </w:rPr>
        <w:t>bb</w:t>
      </w:r>
      <w:proofErr w:type="spellEnd"/>
      <w:r>
        <w:rPr>
          <w:rFonts w:cs="Arial"/>
        </w:rPr>
        <w:t>)</w:t>
      </w:r>
      <w:r>
        <w:rPr>
          <w:rFonts w:cs="Arial"/>
        </w:rPr>
        <w:tab/>
        <w:t>eine Teilgenehmigung nach § 8 des Bundes-Immissionsschutzgesetzes oder ein Vorbescheid nach § 9 des Bundes-Immissionsschutzgesetzes erteilt war, soweit darin Anforderungen nach § 5 Absatz 1 Nummer 1 oder 2 des Bundes-Immissionsschutzgesetzes festgelegt sind;</w:t>
      </w:r>
    </w:p>
    <w:p>
      <w:pPr>
        <w:pStyle w:val="GesAbsatz"/>
        <w:ind w:left="420" w:hanging="420"/>
        <w:rPr>
          <w:rFonts w:cs="Arial"/>
        </w:rPr>
      </w:pPr>
      <w:r>
        <w:rPr>
          <w:rFonts w:cs="Arial"/>
        </w:rPr>
        <w:lastRenderedPageBreak/>
        <w:t>4.</w:t>
      </w:r>
      <w:r>
        <w:rPr>
          <w:rFonts w:cs="Arial"/>
        </w:rPr>
        <w:tab/>
        <w:t>An- und Abfahren:</w:t>
      </w:r>
    </w:p>
    <w:p>
      <w:pPr>
        <w:pStyle w:val="GesAbsatz"/>
        <w:ind w:left="426"/>
        <w:rPr>
          <w:rFonts w:cs="Arial"/>
        </w:rPr>
      </w:pPr>
      <w:r>
        <w:rPr>
          <w:rFonts w:cs="Arial"/>
        </w:rPr>
        <w:t>Vorgänge, mit denen der Betriebs- oder Bereitschaftszustand einer Anlage oder eines Anlagenteils hergestellt oder beendet wird; regelmäßig wiederkehrende Phasen der in der Anlage durchgeführten Tätigkeiten gelten nicht als An- oder Abfahren;</w:t>
      </w:r>
    </w:p>
    <w:p>
      <w:pPr>
        <w:pStyle w:val="GesAbsatz"/>
        <w:ind w:left="420" w:hanging="420"/>
        <w:rPr>
          <w:rFonts w:cs="Arial"/>
        </w:rPr>
      </w:pPr>
      <w:r>
        <w:rPr>
          <w:rFonts w:cs="Arial"/>
        </w:rPr>
        <w:t>5.</w:t>
      </w:r>
      <w:r>
        <w:rPr>
          <w:rFonts w:cs="Arial"/>
        </w:rPr>
        <w:tab/>
        <w:t>Beschichtungsstoff:</w:t>
      </w:r>
    </w:p>
    <w:p>
      <w:pPr>
        <w:pStyle w:val="GesAbsatz"/>
        <w:ind w:left="426"/>
        <w:rPr>
          <w:rFonts w:cs="Arial"/>
        </w:rPr>
      </w:pPr>
      <w:r>
        <w:rPr>
          <w:rFonts w:cs="Arial"/>
        </w:rPr>
        <w:t xml:space="preserve">flüssiges, </w:t>
      </w:r>
      <w:proofErr w:type="spellStart"/>
      <w:r>
        <w:rPr>
          <w:rFonts w:cs="Arial"/>
        </w:rPr>
        <w:t>pasten</w:t>
      </w:r>
      <w:proofErr w:type="spellEnd"/>
      <w:r>
        <w:rPr>
          <w:rFonts w:cs="Arial"/>
        </w:rPr>
        <w:t>- oder pulverförmiges Gemisch, einschließlich aller enthaltenen oder für seine Gebrauchstauglichkeit zugesetzten organischen Lösungsmittel, das dazu verwendet wird, auf einer Oberfläche eine dekorative, schützende oder anderweitig funktionale Wirkung zu erzielen;</w:t>
      </w:r>
    </w:p>
    <w:p>
      <w:pPr>
        <w:pStyle w:val="GesAbsatz"/>
        <w:ind w:left="420" w:hanging="420"/>
        <w:rPr>
          <w:rFonts w:cs="Arial"/>
        </w:rPr>
      </w:pPr>
      <w:r>
        <w:rPr>
          <w:rFonts w:cs="Arial"/>
        </w:rPr>
        <w:t>6.</w:t>
      </w:r>
      <w:r>
        <w:rPr>
          <w:rFonts w:cs="Arial"/>
        </w:rPr>
        <w:tab/>
        <w:t>diffuse Emissionen:</w:t>
      </w:r>
    </w:p>
    <w:p>
      <w:pPr>
        <w:pStyle w:val="GesAbsatz"/>
        <w:ind w:left="426"/>
        <w:rPr>
          <w:rFonts w:cs="Arial"/>
        </w:rPr>
      </w:pPr>
      <w:r>
        <w:rPr>
          <w:rFonts w:cs="Arial"/>
        </w:rPr>
        <w:t xml:space="preserve">alle nicht in gefassten Abgasen einer Anlage enthaltenen Emissionen flüchtiger organischer Verbindungen, einschließlich der Emissionen, die durch Fenster, Türen, Entlüftungsschächte und ähnliche Öffnungen in die Umwelt gelangen, sowie die flüchtigen organischen Verbindungen, die in einem von der Anlage hergestellten Produkt enthalten sind, soweit in Anhang III nichts </w:t>
      </w:r>
      <w:proofErr w:type="gramStart"/>
      <w:r>
        <w:rPr>
          <w:rFonts w:cs="Arial"/>
        </w:rPr>
        <w:t>anderes</w:t>
      </w:r>
      <w:proofErr w:type="gramEnd"/>
      <w:r>
        <w:rPr>
          <w:rFonts w:cs="Arial"/>
        </w:rPr>
        <w:t xml:space="preserve"> festgelegt ist;</w:t>
      </w:r>
    </w:p>
    <w:p>
      <w:pPr>
        <w:pStyle w:val="GesAbsatz"/>
        <w:ind w:left="420" w:hanging="420"/>
        <w:rPr>
          <w:rFonts w:cs="Arial"/>
        </w:rPr>
      </w:pPr>
      <w:r>
        <w:rPr>
          <w:rFonts w:cs="Arial"/>
        </w:rPr>
        <w:t>7.</w:t>
      </w:r>
      <w:r>
        <w:rPr>
          <w:rFonts w:cs="Arial"/>
        </w:rPr>
        <w:tab/>
        <w:t>Druckfarbe:</w:t>
      </w:r>
    </w:p>
    <w:p>
      <w:pPr>
        <w:pStyle w:val="GesAbsatz"/>
        <w:ind w:left="426"/>
        <w:rPr>
          <w:rFonts w:cs="Arial"/>
        </w:rPr>
      </w:pPr>
      <w:r>
        <w:rPr>
          <w:rFonts w:cs="Arial"/>
        </w:rPr>
        <w:t>ein Gemisch, einschließlich aller organischen Lösungsmittel oder anderer Gemische, denen für ihre Gebrauchstauglichkeit zusätzlich organische Lösungsmittel zugesetzt werden können, das in einem Druckverfahren für das Bedrucken einer Oberfläche mit Text oder Bildern verwendet wird;</w:t>
      </w:r>
    </w:p>
    <w:p>
      <w:pPr>
        <w:pStyle w:val="GesAbsatz"/>
        <w:ind w:left="420" w:hanging="420"/>
        <w:rPr>
          <w:rFonts w:cs="Arial"/>
        </w:rPr>
      </w:pPr>
      <w:r>
        <w:rPr>
          <w:rFonts w:cs="Arial"/>
        </w:rPr>
        <w:t>8.</w:t>
      </w:r>
      <w:r>
        <w:rPr>
          <w:rFonts w:cs="Arial"/>
        </w:rPr>
        <w:tab/>
        <w:t>eingesetzte Lösungsmittel:</w:t>
      </w:r>
    </w:p>
    <w:p>
      <w:pPr>
        <w:pStyle w:val="GesAbsatz"/>
        <w:ind w:left="426"/>
        <w:rPr>
          <w:rFonts w:cs="Arial"/>
        </w:rPr>
      </w:pPr>
      <w:r>
        <w:rPr>
          <w:rFonts w:cs="Arial"/>
        </w:rPr>
        <w:t>die Menge der organischen Lösungsmittel und ihre Menge in Gemischen, die bei der Durchführung einer Tätigkeit verwendet werden, einschließlich der innerhalb und außerhalb der Anlage zurückgewonnenen organischen Lösungsmittel, die zu berücksichtigen sind, wenn sie zur Durchführung der Tätigkeit verwendet werden;</w:t>
      </w:r>
    </w:p>
    <w:p>
      <w:pPr>
        <w:pStyle w:val="GesAbsatz"/>
        <w:ind w:left="420" w:hanging="420"/>
        <w:rPr>
          <w:rFonts w:cs="Arial"/>
        </w:rPr>
      </w:pPr>
      <w:r>
        <w:rPr>
          <w:rFonts w:cs="Arial"/>
        </w:rPr>
        <w:t>9.</w:t>
      </w:r>
      <w:r>
        <w:rPr>
          <w:rFonts w:cs="Arial"/>
        </w:rPr>
        <w:tab/>
        <w:t>Emissionen:</w:t>
      </w:r>
    </w:p>
    <w:p>
      <w:pPr>
        <w:pStyle w:val="GesAbsatz"/>
        <w:ind w:left="426"/>
        <w:rPr>
          <w:rFonts w:cs="Arial"/>
        </w:rPr>
      </w:pPr>
      <w:r>
        <w:rPr>
          <w:rFonts w:cs="Arial"/>
        </w:rPr>
        <w:t>die von einer Anlage ausgehenden Luftverunreinigungen an flüchtigen organischen Verbindungen; Emissionen, die als Massenkonzentration angegeben sind, beziehen sich auf die Masse der emittierten Stoffe oder Stoffgruppen bezogen auf das Abgasvolumen im Normzustand (273,15 Kelvin; 101,3 Kilopascal) nach Abzug des Feuchtegehaltes an Wasserdampf;</w:t>
      </w:r>
    </w:p>
    <w:p>
      <w:pPr>
        <w:pStyle w:val="GesAbsatz"/>
        <w:ind w:left="420" w:hanging="420"/>
        <w:rPr>
          <w:rFonts w:cs="Arial"/>
        </w:rPr>
      </w:pPr>
      <w:r>
        <w:rPr>
          <w:rFonts w:cs="Arial"/>
        </w:rPr>
        <w:t>10.</w:t>
      </w:r>
      <w:r>
        <w:rPr>
          <w:rFonts w:cs="Arial"/>
        </w:rPr>
        <w:tab/>
        <w:t>Emissionsgrenzwert:</w:t>
      </w:r>
    </w:p>
    <w:p>
      <w:pPr>
        <w:pStyle w:val="GesAbsatz"/>
        <w:ind w:left="426"/>
        <w:rPr>
          <w:rFonts w:cs="Arial"/>
        </w:rPr>
      </w:pPr>
      <w:r>
        <w:rPr>
          <w:rFonts w:cs="Arial"/>
        </w:rPr>
        <w:t>ein Wert für die im Verhältnis zu bestimmten spezifischen Parametern ausgedrückte Masse an Emissionen oder für die Konzentration, den Prozentsatz und/oder die Höhe einer Emission, bezogen auf Normbedingungen, der nicht überschritten werden darf;</w:t>
      </w:r>
    </w:p>
    <w:p>
      <w:pPr>
        <w:pStyle w:val="GesAbsatz"/>
        <w:ind w:left="420" w:hanging="420"/>
        <w:rPr>
          <w:rFonts w:cs="Arial"/>
        </w:rPr>
      </w:pPr>
      <w:r>
        <w:rPr>
          <w:rFonts w:cs="Arial"/>
        </w:rPr>
        <w:t>11.</w:t>
      </w:r>
      <w:r>
        <w:rPr>
          <w:rFonts w:cs="Arial"/>
        </w:rPr>
        <w:tab/>
        <w:t>flüchtige organische Verbindung:</w:t>
      </w:r>
    </w:p>
    <w:p>
      <w:pPr>
        <w:pStyle w:val="GesAbsatz"/>
        <w:ind w:left="426"/>
        <w:rPr>
          <w:rFonts w:cs="Arial"/>
        </w:rPr>
      </w:pPr>
      <w:r>
        <w:rPr>
          <w:rFonts w:cs="Arial"/>
        </w:rPr>
        <w:t>eine organische Verbindung, die bei 293,15 Kelvin einen Dampfdruck von 0,01 Kilopascal oder mehr hat oder unter den jeweiligen Verwendungsbedingungen eine entsprechende Flüchtigkeit aufweist; zusätzlich für Nummer 12.2 des Anhangs III dieser Verordnung der Kreosotanteil, der bei 293,15 Kelvin einen Dampfdruck von 0,01 Kilopascal oder mehr hat oder unter den jeweiligen Verwendungsbedingungen eine entsprechende Flüchtigkeit aufweist;</w:t>
      </w:r>
    </w:p>
    <w:p>
      <w:pPr>
        <w:pStyle w:val="GesAbsatz"/>
        <w:ind w:left="420" w:hanging="420"/>
        <w:rPr>
          <w:rFonts w:cs="Arial"/>
        </w:rPr>
      </w:pPr>
      <w:r>
        <w:rPr>
          <w:rFonts w:cs="Arial"/>
        </w:rPr>
        <w:t>12.</w:t>
      </w:r>
      <w:r>
        <w:rPr>
          <w:rFonts w:cs="Arial"/>
        </w:rPr>
        <w:tab/>
        <w:t>gefasste Abgase:</w:t>
      </w:r>
    </w:p>
    <w:p>
      <w:pPr>
        <w:pStyle w:val="GesAbsatz"/>
        <w:tabs>
          <w:tab w:val="left" w:pos="851"/>
        </w:tabs>
        <w:ind w:left="851" w:hanging="425"/>
        <w:rPr>
          <w:rFonts w:cs="Arial"/>
        </w:rPr>
      </w:pPr>
      <w:r>
        <w:rPr>
          <w:rFonts w:cs="Arial"/>
        </w:rPr>
        <w:t>a)</w:t>
      </w:r>
      <w:r>
        <w:rPr>
          <w:rFonts w:cs="Arial"/>
        </w:rPr>
        <w:tab/>
        <w:t>Abgase, die in einer Abgasreinigungseinrichtung behandelt wurden und nach dieser Behandlung endgültig in die Luft freigesetzt werden (gefasste behandelte Abgase), oder</w:t>
      </w:r>
    </w:p>
    <w:p>
      <w:pPr>
        <w:pStyle w:val="GesAbsatz"/>
        <w:tabs>
          <w:tab w:val="left" w:pos="851"/>
        </w:tabs>
        <w:ind w:left="851" w:hanging="425"/>
        <w:rPr>
          <w:rFonts w:cs="Arial"/>
        </w:rPr>
      </w:pPr>
      <w:r>
        <w:rPr>
          <w:rFonts w:cs="Arial"/>
        </w:rPr>
        <w:t>b)</w:t>
      </w:r>
      <w:r>
        <w:rPr>
          <w:rFonts w:cs="Arial"/>
        </w:rPr>
        <w:tab/>
        <w:t>Abgase, die ohne Behandlung in einer Abgasreinigungseinrichtung über einen Schornstein oder sonstige Abgasleitungen endgültig in die Luft freigesetzt werden (gefasste unbehandelte Abgase);</w:t>
      </w:r>
    </w:p>
    <w:p>
      <w:pPr>
        <w:pStyle w:val="GesAbsatz"/>
        <w:ind w:left="420" w:hanging="420"/>
        <w:rPr>
          <w:rFonts w:cs="Arial"/>
        </w:rPr>
      </w:pPr>
      <w:r>
        <w:rPr>
          <w:rFonts w:cs="Arial"/>
        </w:rPr>
        <w:t>13.</w:t>
      </w:r>
      <w:r>
        <w:rPr>
          <w:rFonts w:cs="Arial"/>
        </w:rPr>
        <w:tab/>
        <w:t>genehmigungsbedürftige Anlage:</w:t>
      </w:r>
    </w:p>
    <w:p>
      <w:pPr>
        <w:pStyle w:val="GesAbsatz"/>
        <w:ind w:left="426"/>
        <w:rPr>
          <w:rFonts w:cs="Arial"/>
        </w:rPr>
      </w:pPr>
      <w:r>
        <w:rPr>
          <w:rFonts w:cs="Arial"/>
        </w:rPr>
        <w:t>eine Anlage, die nach § 4 des Bundes-Immissionsschutzgesetzes einer Genehmigung bedarf;</w:t>
      </w:r>
    </w:p>
    <w:p>
      <w:pPr>
        <w:pStyle w:val="GesAbsatz"/>
        <w:ind w:left="420" w:hanging="420"/>
        <w:rPr>
          <w:rFonts w:cs="Arial"/>
        </w:rPr>
      </w:pPr>
      <w:r>
        <w:rPr>
          <w:rFonts w:cs="Arial"/>
        </w:rPr>
        <w:t>14.</w:t>
      </w:r>
      <w:r>
        <w:rPr>
          <w:rFonts w:cs="Arial"/>
        </w:rPr>
        <w:tab/>
        <w:t>Gesamtemissionen:</w:t>
      </w:r>
    </w:p>
    <w:p>
      <w:pPr>
        <w:pStyle w:val="GesAbsatz"/>
        <w:ind w:left="426"/>
        <w:rPr>
          <w:rFonts w:cs="Arial"/>
        </w:rPr>
      </w:pPr>
      <w:r>
        <w:rPr>
          <w:rFonts w:cs="Arial"/>
        </w:rPr>
        <w:t>die Summe der diffusen Emissionen an flüchtigen organischen Verbindungen und der Emissionen an flüchtigen organischen Verbindungen in gefassten Abgasen;</w:t>
      </w:r>
    </w:p>
    <w:p>
      <w:pPr>
        <w:pStyle w:val="GesAbsatz"/>
        <w:ind w:left="420" w:hanging="420"/>
        <w:rPr>
          <w:rFonts w:cs="Arial"/>
        </w:rPr>
      </w:pPr>
      <w:r>
        <w:rPr>
          <w:rFonts w:cs="Arial"/>
        </w:rPr>
        <w:t>15.</w:t>
      </w:r>
      <w:r>
        <w:rPr>
          <w:rFonts w:cs="Arial"/>
        </w:rPr>
        <w:tab/>
        <w:t>Grenzwert für diffuse Emissionen:</w:t>
      </w:r>
    </w:p>
    <w:p>
      <w:pPr>
        <w:pStyle w:val="GesAbsatz"/>
        <w:ind w:left="426"/>
        <w:rPr>
          <w:rFonts w:cs="Arial"/>
        </w:rPr>
      </w:pPr>
      <w:r>
        <w:rPr>
          <w:rFonts w:cs="Arial"/>
        </w:rPr>
        <w:t>die Menge der diffusen Emissionen als Prozentsatz der eingesetzten organischen Lösungsmittel;</w:t>
      </w:r>
    </w:p>
    <w:p>
      <w:pPr>
        <w:pStyle w:val="GesAbsatz"/>
        <w:ind w:left="420" w:hanging="420"/>
        <w:rPr>
          <w:rFonts w:cs="Arial"/>
        </w:rPr>
      </w:pPr>
      <w:r>
        <w:rPr>
          <w:rFonts w:cs="Arial"/>
        </w:rPr>
        <w:t>16.</w:t>
      </w:r>
      <w:r>
        <w:rPr>
          <w:rFonts w:cs="Arial"/>
        </w:rPr>
        <w:tab/>
        <w:t>halogeniertes organisches Lösungsmittel:</w:t>
      </w:r>
    </w:p>
    <w:p>
      <w:pPr>
        <w:pStyle w:val="GesAbsatz"/>
        <w:ind w:left="426"/>
        <w:rPr>
          <w:rFonts w:cs="Arial"/>
        </w:rPr>
      </w:pPr>
      <w:r>
        <w:rPr>
          <w:rFonts w:cs="Arial"/>
        </w:rPr>
        <w:t>ein organisches Lösungsmittel, das mindestens ein Brom-, Chlor-, Fluor- oder Jodatom je Molekül enthält;</w:t>
      </w:r>
    </w:p>
    <w:p>
      <w:pPr>
        <w:pStyle w:val="GesAbsatz"/>
        <w:ind w:left="420" w:hanging="420"/>
        <w:rPr>
          <w:rFonts w:cs="Arial"/>
        </w:rPr>
      </w:pPr>
      <w:r>
        <w:rPr>
          <w:rFonts w:cs="Arial"/>
        </w:rPr>
        <w:lastRenderedPageBreak/>
        <w:t>17.</w:t>
      </w:r>
      <w:r>
        <w:rPr>
          <w:rFonts w:cs="Arial"/>
        </w:rPr>
        <w:tab/>
        <w:t>Klarlack:</w:t>
      </w:r>
    </w:p>
    <w:p>
      <w:pPr>
        <w:pStyle w:val="GesAbsatz"/>
        <w:ind w:left="426"/>
        <w:rPr>
          <w:rFonts w:cs="Arial"/>
        </w:rPr>
      </w:pPr>
      <w:r>
        <w:rPr>
          <w:rFonts w:cs="Arial"/>
        </w:rPr>
        <w:t>ein durchsichtiger Beschichtungsstoff;</w:t>
      </w:r>
    </w:p>
    <w:p>
      <w:pPr>
        <w:pStyle w:val="GesAbsatz"/>
        <w:ind w:left="420" w:hanging="420"/>
        <w:rPr>
          <w:rFonts w:cs="Arial"/>
        </w:rPr>
      </w:pPr>
      <w:r>
        <w:rPr>
          <w:rFonts w:cs="Arial"/>
        </w:rPr>
        <w:t>18.</w:t>
      </w:r>
      <w:r>
        <w:rPr>
          <w:rFonts w:cs="Arial"/>
        </w:rPr>
        <w:tab/>
        <w:t>Klebstoff:</w:t>
      </w:r>
    </w:p>
    <w:p>
      <w:pPr>
        <w:pStyle w:val="GesAbsatz"/>
        <w:ind w:left="426"/>
        <w:rPr>
          <w:rFonts w:cs="Arial"/>
        </w:rPr>
      </w:pPr>
      <w:r>
        <w:rPr>
          <w:rFonts w:cs="Arial"/>
        </w:rPr>
        <w:t>ein Gemisch, einschließlich aller organischen Lösungsmittel oder anderer Gemische, denen für ihre Gebrauchstauglichkeit zusätzlich organische Lösungsmittel zugesetzt werden können, das dazu verwendet wird, Einzelteile eines Produkts zusammenzukleben;</w:t>
      </w:r>
    </w:p>
    <w:p>
      <w:pPr>
        <w:pStyle w:val="GesAbsatz"/>
        <w:ind w:left="420" w:hanging="420"/>
        <w:rPr>
          <w:rFonts w:cs="Arial"/>
        </w:rPr>
      </w:pPr>
      <w:r>
        <w:rPr>
          <w:rFonts w:cs="Arial"/>
        </w:rPr>
        <w:t>19.</w:t>
      </w:r>
      <w:r>
        <w:rPr>
          <w:rFonts w:cs="Arial"/>
        </w:rPr>
        <w:tab/>
        <w:t>Lösungsmittelverbrauch:</w:t>
      </w:r>
    </w:p>
    <w:p>
      <w:pPr>
        <w:pStyle w:val="GesAbsatz"/>
        <w:ind w:left="426"/>
        <w:rPr>
          <w:rFonts w:cs="Arial"/>
        </w:rPr>
      </w:pPr>
      <w:r>
        <w:rPr>
          <w:rFonts w:cs="Arial"/>
        </w:rPr>
        <w:t>die Gesamtmenge an organischen Lösungsmitteln, die in einer Anlage innerhalb eines definierten Zeitraums eingesetzt wird, abzüglich aller flüchtigen organischen Verbindungen, die zur Wiederverwendung zurückgewonnen werden;</w:t>
      </w:r>
    </w:p>
    <w:p>
      <w:pPr>
        <w:pStyle w:val="GesAbsatz"/>
        <w:ind w:left="420" w:hanging="420"/>
        <w:rPr>
          <w:rFonts w:cs="Arial"/>
        </w:rPr>
      </w:pPr>
      <w:r>
        <w:rPr>
          <w:rFonts w:cs="Arial"/>
        </w:rPr>
        <w:t>20.</w:t>
      </w:r>
      <w:r>
        <w:rPr>
          <w:rFonts w:cs="Arial"/>
        </w:rPr>
        <w:tab/>
        <w:t>Massenstrom:</w:t>
      </w:r>
    </w:p>
    <w:p>
      <w:pPr>
        <w:pStyle w:val="GesAbsatz"/>
        <w:ind w:left="426"/>
        <w:rPr>
          <w:rFonts w:cs="Arial"/>
        </w:rPr>
      </w:pPr>
      <w:r>
        <w:rPr>
          <w:rFonts w:cs="Arial"/>
        </w:rPr>
        <w:t>die auf eine Zeiteinheit bezogene Masse der emittierten flüchtigen organischen Verbindungen;</w:t>
      </w:r>
    </w:p>
    <w:p>
      <w:pPr>
        <w:pStyle w:val="GesAbsatz"/>
        <w:ind w:left="420" w:hanging="420"/>
        <w:rPr>
          <w:rFonts w:cs="Arial"/>
        </w:rPr>
      </w:pPr>
      <w:r>
        <w:rPr>
          <w:rFonts w:cs="Arial"/>
        </w:rPr>
        <w:t>21.</w:t>
      </w:r>
      <w:r>
        <w:rPr>
          <w:rFonts w:cs="Arial"/>
        </w:rPr>
        <w:tab/>
        <w:t>Metallverpackungen:</w:t>
      </w:r>
    </w:p>
    <w:p>
      <w:pPr>
        <w:pStyle w:val="GesAbsatz"/>
        <w:ind w:left="426"/>
        <w:rPr>
          <w:rFonts w:cs="Arial"/>
        </w:rPr>
      </w:pPr>
      <w:r>
        <w:rPr>
          <w:rFonts w:cs="Arial"/>
        </w:rPr>
        <w:t>aus Metallen hergestellte und gemeinhin als Dosen, Kanister und Fässer bezeichnete Verpackungen von Lebensmitteln und Getränken, die auch zur Verarbeitung, zum Schutz, zur Lagerung und zum Transport von Produkten verwendet werden;</w:t>
      </w:r>
    </w:p>
    <w:p>
      <w:pPr>
        <w:pStyle w:val="GesAbsatz"/>
        <w:ind w:left="420" w:hanging="420"/>
        <w:rPr>
          <w:rFonts w:cs="Arial"/>
        </w:rPr>
      </w:pPr>
      <w:r>
        <w:rPr>
          <w:rFonts w:cs="Arial"/>
        </w:rPr>
        <w:t>22.</w:t>
      </w:r>
      <w:r>
        <w:rPr>
          <w:rFonts w:cs="Arial"/>
        </w:rPr>
        <w:tab/>
        <w:t>Nennkapazität:</w:t>
      </w:r>
    </w:p>
    <w:p>
      <w:pPr>
        <w:pStyle w:val="GesAbsatz"/>
        <w:ind w:left="426"/>
        <w:rPr>
          <w:rFonts w:cs="Arial"/>
        </w:rPr>
      </w:pPr>
      <w:r>
        <w:rPr>
          <w:rFonts w:cs="Arial"/>
        </w:rPr>
        <w:t>die maximale Masse der in einer Anlage eingesetzten organischen Lösungsmittel, gemittelt über einen Tag, sofern die Anlage unter Bedingungen des Normalbetriebs entsprechend ihrer Auslegung betrieben wird;</w:t>
      </w:r>
    </w:p>
    <w:p>
      <w:pPr>
        <w:pStyle w:val="GesAbsatz"/>
        <w:ind w:left="420" w:hanging="420"/>
        <w:rPr>
          <w:rFonts w:cs="Arial"/>
        </w:rPr>
      </w:pPr>
      <w:r>
        <w:rPr>
          <w:rFonts w:cs="Arial"/>
        </w:rPr>
        <w:t>23.</w:t>
      </w:r>
      <w:r>
        <w:rPr>
          <w:rFonts w:cs="Arial"/>
        </w:rPr>
        <w:tab/>
        <w:t>nicht genehmigungsbedürftige Anlage:</w:t>
      </w:r>
    </w:p>
    <w:p>
      <w:pPr>
        <w:pStyle w:val="GesAbsatz"/>
        <w:ind w:left="426"/>
        <w:rPr>
          <w:rFonts w:cs="Arial"/>
        </w:rPr>
      </w:pPr>
      <w:r>
        <w:rPr>
          <w:rFonts w:cs="Arial"/>
        </w:rPr>
        <w:t>eine Anlage, die keiner Genehmigung nach dem Bundes-Immissionsschutzgesetz bedarf;</w:t>
      </w:r>
    </w:p>
    <w:p>
      <w:pPr>
        <w:pStyle w:val="GesAbsatz"/>
        <w:ind w:left="420" w:hanging="420"/>
        <w:rPr>
          <w:rFonts w:cs="Arial"/>
        </w:rPr>
      </w:pPr>
      <w:r>
        <w:rPr>
          <w:rFonts w:cs="Arial"/>
        </w:rPr>
        <w:t>24.</w:t>
      </w:r>
      <w:r>
        <w:rPr>
          <w:rFonts w:cs="Arial"/>
        </w:rPr>
        <w:tab/>
        <w:t>Normalbetrieb:</w:t>
      </w:r>
    </w:p>
    <w:p>
      <w:pPr>
        <w:pStyle w:val="GesAbsatz"/>
        <w:ind w:left="426"/>
        <w:rPr>
          <w:rFonts w:cs="Arial"/>
        </w:rPr>
      </w:pPr>
      <w:r>
        <w:rPr>
          <w:rFonts w:cs="Arial"/>
        </w:rPr>
        <w:t>Betrieb einer Anlage zur Durchführung einer Tätigkeit während aller Zeiträume mit Ausnahme der Zeiträume, in denen das An- und Abfahren und die Wartung erfolgen;</w:t>
      </w:r>
    </w:p>
    <w:p>
      <w:pPr>
        <w:pStyle w:val="GesAbsatz"/>
        <w:ind w:left="420" w:hanging="420"/>
        <w:rPr>
          <w:rFonts w:cs="Arial"/>
        </w:rPr>
      </w:pPr>
      <w:r>
        <w:rPr>
          <w:rFonts w:cs="Arial"/>
        </w:rPr>
        <w:t>25.</w:t>
      </w:r>
      <w:r>
        <w:rPr>
          <w:rFonts w:cs="Arial"/>
        </w:rPr>
        <w:tab/>
        <w:t>Normbedingungen:</w:t>
      </w:r>
    </w:p>
    <w:p>
      <w:pPr>
        <w:pStyle w:val="GesAbsatz"/>
        <w:ind w:left="426"/>
        <w:rPr>
          <w:rFonts w:cs="Arial"/>
        </w:rPr>
      </w:pPr>
      <w:r>
        <w:rPr>
          <w:rFonts w:cs="Arial"/>
        </w:rPr>
        <w:t>eine Temperatur von 273,15 Kelvin und einen Druck von 101,3 Kilopascal;</w:t>
      </w:r>
    </w:p>
    <w:p>
      <w:pPr>
        <w:pStyle w:val="GesAbsatz"/>
        <w:ind w:left="420" w:hanging="420"/>
        <w:rPr>
          <w:rFonts w:cs="Arial"/>
        </w:rPr>
      </w:pPr>
      <w:r>
        <w:rPr>
          <w:rFonts w:cs="Arial"/>
        </w:rPr>
        <w:t>26.</w:t>
      </w:r>
      <w:r>
        <w:rPr>
          <w:rFonts w:cs="Arial"/>
        </w:rPr>
        <w:tab/>
        <w:t>öffentlich bestellter und vereidigter Sachverständiger:</w:t>
      </w:r>
    </w:p>
    <w:p>
      <w:pPr>
        <w:pStyle w:val="GesAbsatz"/>
        <w:tabs>
          <w:tab w:val="left" w:pos="851"/>
        </w:tabs>
        <w:ind w:left="851" w:hanging="425"/>
        <w:rPr>
          <w:rFonts w:cs="Arial"/>
        </w:rPr>
      </w:pPr>
      <w:r>
        <w:rPr>
          <w:rFonts w:cs="Arial"/>
        </w:rPr>
        <w:t>a)</w:t>
      </w:r>
      <w:r>
        <w:rPr>
          <w:rFonts w:cs="Arial"/>
        </w:rPr>
        <w:tab/>
        <w:t>ein nach § 36 der Gewerbeordnung vom 22. Februar 1999 (BGBl. I S. 202), die zuletzt durch Artikel 21 des Gesetzes vom 19. Dezember 2022 (BGBl. I S. 2606) geändert worden ist, öffentlich bestellter und vereidigter Sachverständiger mit einschlägigen Fachkenntnissen auf dem Gebiet dieser Verordnung oder</w:t>
      </w:r>
    </w:p>
    <w:p>
      <w:pPr>
        <w:pStyle w:val="GesAbsatz"/>
        <w:tabs>
          <w:tab w:val="left" w:pos="851"/>
        </w:tabs>
        <w:ind w:left="851" w:hanging="425"/>
        <w:rPr>
          <w:rFonts w:cs="Arial"/>
        </w:rPr>
      </w:pPr>
      <w:r>
        <w:rPr>
          <w:rFonts w:cs="Arial"/>
        </w:rPr>
        <w:t>b)</w:t>
      </w:r>
      <w:r>
        <w:rPr>
          <w:rFonts w:cs="Arial"/>
        </w:rPr>
        <w:tab/>
        <w:t>eine nach § 29b des Bundes-Immissionsschutzgesetzes zugelassene Emissionsmessstelle mit Zulassung zur Messung organischer Stoffe mit einschlägigen Fachkenntnissen auf dem Gebiet dieser Verordnung;</w:t>
      </w:r>
    </w:p>
    <w:p>
      <w:pPr>
        <w:pStyle w:val="GesAbsatz"/>
        <w:ind w:left="420" w:hanging="420"/>
        <w:rPr>
          <w:rFonts w:cs="Arial"/>
        </w:rPr>
      </w:pPr>
      <w:r>
        <w:rPr>
          <w:rFonts w:cs="Arial"/>
        </w:rPr>
        <w:t>27.</w:t>
      </w:r>
      <w:r>
        <w:rPr>
          <w:rFonts w:cs="Arial"/>
        </w:rPr>
        <w:tab/>
        <w:t>organisches Lösungsmittel:</w:t>
      </w:r>
    </w:p>
    <w:p>
      <w:pPr>
        <w:pStyle w:val="GesAbsatz"/>
        <w:ind w:left="426"/>
        <w:rPr>
          <w:rFonts w:cs="Arial"/>
        </w:rPr>
      </w:pPr>
      <w:r>
        <w:rPr>
          <w:rFonts w:cs="Arial"/>
        </w:rPr>
        <w:t>eine flüchtige organische Verbindung, die, ohne sich chemisch zu verändern, allein oder in Kombination mit anderen Stoffen</w:t>
      </w:r>
    </w:p>
    <w:p>
      <w:pPr>
        <w:pStyle w:val="GesAbsatz"/>
        <w:tabs>
          <w:tab w:val="left" w:pos="851"/>
        </w:tabs>
        <w:ind w:left="851" w:hanging="425"/>
        <w:rPr>
          <w:rFonts w:cs="Arial"/>
        </w:rPr>
      </w:pPr>
      <w:r>
        <w:rPr>
          <w:rFonts w:cs="Arial"/>
        </w:rPr>
        <w:t>a)</w:t>
      </w:r>
      <w:r>
        <w:rPr>
          <w:rFonts w:cs="Arial"/>
        </w:rPr>
        <w:tab/>
        <w:t>Rohstoffe, Produkte oder Abfallstoffe auflöst oder</w:t>
      </w:r>
    </w:p>
    <w:p>
      <w:pPr>
        <w:pStyle w:val="GesAbsatz"/>
        <w:tabs>
          <w:tab w:val="left" w:pos="851"/>
        </w:tabs>
        <w:ind w:left="851" w:hanging="425"/>
        <w:rPr>
          <w:rFonts w:cs="Arial"/>
        </w:rPr>
      </w:pPr>
      <w:r>
        <w:rPr>
          <w:rFonts w:cs="Arial"/>
        </w:rPr>
        <w:t>b)</w:t>
      </w:r>
      <w:r>
        <w:rPr>
          <w:rFonts w:cs="Arial"/>
        </w:rPr>
        <w:tab/>
        <w:t>als Reinigungsmittel, Dispersionsmittel, Konservierungsmittel, Weichmacher oder als Mittel zur Einstellung der Viskosität oder der Oberflächenspannung verwendet wird;</w:t>
      </w:r>
    </w:p>
    <w:p>
      <w:pPr>
        <w:pStyle w:val="GesAbsatz"/>
        <w:ind w:left="420" w:hanging="420"/>
        <w:rPr>
          <w:rFonts w:cs="Arial"/>
        </w:rPr>
      </w:pPr>
      <w:r>
        <w:rPr>
          <w:rFonts w:cs="Arial"/>
        </w:rPr>
        <w:t>28.</w:t>
      </w:r>
      <w:r>
        <w:rPr>
          <w:rFonts w:cs="Arial"/>
        </w:rPr>
        <w:tab/>
        <w:t>organische Verbindung:</w:t>
      </w:r>
    </w:p>
    <w:p>
      <w:pPr>
        <w:pStyle w:val="GesAbsatz"/>
        <w:ind w:left="426"/>
        <w:rPr>
          <w:rFonts w:cs="Arial"/>
        </w:rPr>
      </w:pPr>
      <w:r>
        <w:rPr>
          <w:rFonts w:cs="Arial"/>
        </w:rPr>
        <w:t>eine Verbindung, die Kohlenstoff und mindestens eines der Elemente Wasserstoff, Halogene, Sauerstoff, Schwefel, Phosphor, Silizium oder Stickstoff enthält, ausgenommen Kohlenstoffoxide sowie anorganische Karbonate und Bikarbonate;</w:t>
      </w:r>
    </w:p>
    <w:p>
      <w:pPr>
        <w:pStyle w:val="GesAbsatz"/>
        <w:ind w:left="420" w:hanging="420"/>
        <w:rPr>
          <w:rFonts w:cs="Arial"/>
        </w:rPr>
      </w:pPr>
      <w:r>
        <w:rPr>
          <w:rFonts w:cs="Arial"/>
        </w:rPr>
        <w:t>29.</w:t>
      </w:r>
      <w:r>
        <w:rPr>
          <w:rFonts w:cs="Arial"/>
        </w:rPr>
        <w:tab/>
        <w:t>Stoffe:</w:t>
      </w:r>
    </w:p>
    <w:p>
      <w:pPr>
        <w:pStyle w:val="GesAbsatz"/>
        <w:ind w:left="426"/>
        <w:rPr>
          <w:rFonts w:cs="Arial"/>
        </w:rPr>
      </w:pPr>
      <w:r>
        <w:rPr>
          <w:rFonts w:cs="Arial"/>
        </w:rPr>
        <w:t>chemische Elemente und ihre Verbindungen, wie sie natürlich vorkommen oder hergestellt werden, unabhängig davon, ob sie fest, flüssig oder gasförmig vorliegen;</w:t>
      </w:r>
    </w:p>
    <w:p>
      <w:pPr>
        <w:pStyle w:val="GesAbsatz"/>
        <w:tabs>
          <w:tab w:val="left" w:pos="851"/>
        </w:tabs>
        <w:rPr>
          <w:rFonts w:cs="Arial"/>
        </w:rPr>
      </w:pPr>
      <w:r>
        <w:rPr>
          <w:rFonts w:cs="Arial"/>
        </w:rPr>
        <w:t>30.</w:t>
      </w:r>
      <w:r>
        <w:rPr>
          <w:rFonts w:cs="Arial"/>
        </w:rPr>
        <w:tab/>
        <w:t>wesentliche Änderung:</w:t>
      </w:r>
    </w:p>
    <w:p>
      <w:pPr>
        <w:pStyle w:val="GesAbsatz"/>
        <w:tabs>
          <w:tab w:val="left" w:pos="851"/>
        </w:tabs>
        <w:ind w:left="851" w:hanging="425"/>
        <w:rPr>
          <w:rFonts w:cs="Arial"/>
        </w:rPr>
      </w:pPr>
      <w:r>
        <w:rPr>
          <w:rFonts w:cs="Arial"/>
        </w:rPr>
        <w:lastRenderedPageBreak/>
        <w:t>a)</w:t>
      </w:r>
      <w:r>
        <w:rPr>
          <w:rFonts w:cs="Arial"/>
        </w:rPr>
        <w:tab/>
        <w:t>bei genehmigungsbedürftigen Anlagen eine Änderung im Sinne von § 16 Absatz 1 des Bundes-Immissionsschutzgesetzes;</w:t>
      </w:r>
    </w:p>
    <w:p>
      <w:pPr>
        <w:pStyle w:val="GesAbsatz"/>
        <w:tabs>
          <w:tab w:val="left" w:pos="851"/>
        </w:tabs>
        <w:ind w:left="851" w:hanging="425"/>
        <w:rPr>
          <w:rFonts w:cs="Arial"/>
        </w:rPr>
      </w:pPr>
      <w:r>
        <w:rPr>
          <w:rFonts w:cs="Arial"/>
        </w:rPr>
        <w:t>b)</w:t>
      </w:r>
      <w:r>
        <w:rPr>
          <w:rFonts w:cs="Arial"/>
        </w:rPr>
        <w:tab/>
        <w:t>bei nicht genehmigungsbedürftigen Anlagen</w:t>
      </w:r>
    </w:p>
    <w:p>
      <w:pPr>
        <w:pStyle w:val="GesAbsatz"/>
        <w:tabs>
          <w:tab w:val="left" w:pos="851"/>
        </w:tabs>
        <w:ind w:left="1276" w:hanging="425"/>
        <w:rPr>
          <w:rFonts w:cs="Arial"/>
        </w:rPr>
      </w:pPr>
      <w:proofErr w:type="spellStart"/>
      <w:r>
        <w:rPr>
          <w:rFonts w:cs="Arial"/>
        </w:rPr>
        <w:t>aa</w:t>
      </w:r>
      <w:proofErr w:type="spellEnd"/>
      <w:r>
        <w:rPr>
          <w:rFonts w:cs="Arial"/>
        </w:rPr>
        <w:t>)</w:t>
      </w:r>
      <w:r>
        <w:rPr>
          <w:rFonts w:cs="Arial"/>
        </w:rPr>
        <w:tab/>
        <w:t>eine Änderung, die nach der Beurteilung durch die zuständige Behörde erhebliche negative Auswirkungen auf die menschliche Gesundheit oder auf die Umwelt haben kann,</w:t>
      </w:r>
    </w:p>
    <w:p>
      <w:pPr>
        <w:pStyle w:val="GesAbsatz"/>
        <w:tabs>
          <w:tab w:val="left" w:pos="851"/>
        </w:tabs>
        <w:ind w:left="1276" w:hanging="425"/>
        <w:rPr>
          <w:rFonts w:cs="Arial"/>
        </w:rPr>
      </w:pPr>
      <w:proofErr w:type="spellStart"/>
      <w:r>
        <w:rPr>
          <w:rFonts w:cs="Arial"/>
        </w:rPr>
        <w:t>bb</w:t>
      </w:r>
      <w:proofErr w:type="spellEnd"/>
      <w:r>
        <w:rPr>
          <w:rFonts w:cs="Arial"/>
        </w:rPr>
        <w:t>)</w:t>
      </w:r>
      <w:r>
        <w:rPr>
          <w:rFonts w:cs="Arial"/>
        </w:rPr>
        <w:tab/>
        <w:t>eine Änderung der Nennkapazität, die zu einer Erhöhung der Emissionen flüchtiger organischer Verbindungen um mehr als 25 Prozent führt bei Anlagen</w:t>
      </w:r>
    </w:p>
    <w:p>
      <w:pPr>
        <w:pStyle w:val="GesAbsatz"/>
        <w:tabs>
          <w:tab w:val="left" w:pos="1276"/>
        </w:tabs>
        <w:ind w:left="1843" w:hanging="567"/>
        <w:rPr>
          <w:rFonts w:cs="Arial"/>
        </w:rPr>
      </w:pPr>
      <w:proofErr w:type="spellStart"/>
      <w:r>
        <w:rPr>
          <w:rFonts w:cs="Arial"/>
        </w:rPr>
        <w:t>aaa</w:t>
      </w:r>
      <w:proofErr w:type="spellEnd"/>
      <w:r>
        <w:rPr>
          <w:rFonts w:cs="Arial"/>
        </w:rPr>
        <w:t>)</w:t>
      </w:r>
      <w:r>
        <w:rPr>
          <w:rFonts w:cs="Arial"/>
        </w:rPr>
        <w:tab/>
        <w:t>der Nummern 1.1, 1.3, 9.2 oder 11.1 des Anhangs I mit einem Lösungsmittelverbrauch von 25 t/a oder weniger,</w:t>
      </w:r>
    </w:p>
    <w:p>
      <w:pPr>
        <w:pStyle w:val="GesAbsatz"/>
        <w:tabs>
          <w:tab w:val="left" w:pos="1276"/>
        </w:tabs>
        <w:ind w:left="1843" w:hanging="567"/>
        <w:rPr>
          <w:rFonts w:cs="Arial"/>
        </w:rPr>
      </w:pPr>
      <w:proofErr w:type="spellStart"/>
      <w:r>
        <w:rPr>
          <w:rFonts w:cs="Arial"/>
        </w:rPr>
        <w:t>bbb</w:t>
      </w:r>
      <w:proofErr w:type="spellEnd"/>
      <w:r>
        <w:rPr>
          <w:rFonts w:cs="Arial"/>
        </w:rPr>
        <w:t>)</w:t>
      </w:r>
      <w:r>
        <w:rPr>
          <w:rFonts w:cs="Arial"/>
        </w:rPr>
        <w:tab/>
        <w:t>der Nummern 4.1 bis 4.5, 8.1, 9.1, 10.1, 12.1 oder 14.1 des Anhangs I mit einem Lösungsmittelverbrauch von 15 t/a oder weniger,</w:t>
      </w:r>
    </w:p>
    <w:p>
      <w:pPr>
        <w:pStyle w:val="GesAbsatz"/>
        <w:tabs>
          <w:tab w:val="left" w:pos="1276"/>
        </w:tabs>
        <w:ind w:left="1843" w:hanging="567"/>
        <w:rPr>
          <w:rFonts w:cs="Arial"/>
        </w:rPr>
      </w:pPr>
      <w:r>
        <w:rPr>
          <w:rFonts w:cs="Arial"/>
        </w:rPr>
        <w:t>ccc)</w:t>
      </w:r>
      <w:r>
        <w:rPr>
          <w:rFonts w:cs="Arial"/>
        </w:rPr>
        <w:tab/>
        <w:t>der Nummern 2.1, 5.1, 7.2, 13.1 oder 15.1 des Anhangs I mit einem Lösungsmittelverbrauch von 10 t/a oder weniger,</w:t>
      </w:r>
    </w:p>
    <w:p>
      <w:pPr>
        <w:pStyle w:val="GesAbsatz"/>
        <w:tabs>
          <w:tab w:val="left" w:pos="1276"/>
        </w:tabs>
        <w:ind w:left="1843" w:hanging="567"/>
        <w:rPr>
          <w:rFonts w:cs="Arial"/>
        </w:rPr>
      </w:pPr>
      <w:proofErr w:type="spellStart"/>
      <w:r>
        <w:rPr>
          <w:rFonts w:cs="Arial"/>
        </w:rPr>
        <w:t>ddd</w:t>
      </w:r>
      <w:proofErr w:type="spellEnd"/>
      <w:r>
        <w:rPr>
          <w:rFonts w:cs="Arial"/>
        </w:rPr>
        <w:t>)</w:t>
      </w:r>
      <w:r>
        <w:rPr>
          <w:rFonts w:cs="Arial"/>
        </w:rPr>
        <w:tab/>
        <w:t>der Nummer 16.1 bis 16.4 des Anhangs I mit einem Lösungsmittelverbrauch von 500 t/a oder weniger oder</w:t>
      </w:r>
    </w:p>
    <w:p>
      <w:pPr>
        <w:pStyle w:val="GesAbsatz"/>
        <w:tabs>
          <w:tab w:val="left" w:pos="851"/>
        </w:tabs>
        <w:ind w:left="1276" w:hanging="425"/>
        <w:rPr>
          <w:rFonts w:cs="Arial"/>
        </w:rPr>
      </w:pPr>
      <w:r>
        <w:rPr>
          <w:rFonts w:cs="Arial"/>
        </w:rPr>
        <w:t>cc)</w:t>
      </w:r>
      <w:r>
        <w:rPr>
          <w:rFonts w:cs="Arial"/>
        </w:rPr>
        <w:tab/>
        <w:t xml:space="preserve">eine Änderung der Nennkapazität, die bei anderen als den in Doppelbuchstabe </w:t>
      </w:r>
      <w:proofErr w:type="spellStart"/>
      <w:r>
        <w:rPr>
          <w:rFonts w:cs="Arial"/>
        </w:rPr>
        <w:t>bb</w:t>
      </w:r>
      <w:proofErr w:type="spellEnd"/>
      <w:r>
        <w:rPr>
          <w:rFonts w:cs="Arial"/>
        </w:rPr>
        <w:t xml:space="preserve"> genannten nicht genehmigungsbedürftigen Anlagen zu einer Erhöhung der Emissionen flüchtiger organischer Verbindungen um mehr als 10 Prozent führt;</w:t>
      </w:r>
    </w:p>
    <w:p>
      <w:pPr>
        <w:pStyle w:val="GesAbsatz"/>
        <w:tabs>
          <w:tab w:val="left" w:pos="851"/>
        </w:tabs>
        <w:rPr>
          <w:rFonts w:cs="Arial"/>
        </w:rPr>
      </w:pPr>
      <w:r>
        <w:rPr>
          <w:rFonts w:cs="Arial"/>
        </w:rPr>
        <w:t>31.</w:t>
      </w:r>
      <w:r>
        <w:rPr>
          <w:rFonts w:cs="Arial"/>
        </w:rPr>
        <w:tab/>
        <w:t>Wiederverwendung organischer Lösungsmittel:</w:t>
      </w:r>
    </w:p>
    <w:p>
      <w:pPr>
        <w:pStyle w:val="GesAbsatz"/>
        <w:ind w:left="426"/>
        <w:rPr>
          <w:rFonts w:cs="Arial"/>
        </w:rPr>
      </w:pPr>
      <w:r>
        <w:rPr>
          <w:rFonts w:cs="Arial"/>
        </w:rPr>
        <w:t>die stoffliche Verwendung von organischen Lösungsmitteln, die für technische oder kommerzielle Zwecke zurückgewonnen worden sind, oder deren betriebsinterne energetische Nutzung als Brennstoff;</w:t>
      </w:r>
    </w:p>
    <w:p>
      <w:pPr>
        <w:pStyle w:val="GesAbsatz"/>
        <w:tabs>
          <w:tab w:val="left" w:pos="851"/>
        </w:tabs>
        <w:rPr>
          <w:rFonts w:cs="Arial"/>
        </w:rPr>
      </w:pPr>
      <w:r>
        <w:rPr>
          <w:rFonts w:cs="Arial"/>
        </w:rPr>
        <w:t>32.</w:t>
      </w:r>
      <w:r>
        <w:rPr>
          <w:rFonts w:cs="Arial"/>
        </w:rPr>
        <w:tab/>
        <w:t>Gemische:</w:t>
      </w:r>
    </w:p>
    <w:p>
      <w:pPr>
        <w:pStyle w:val="GesAbsatz"/>
        <w:ind w:left="426"/>
        <w:rPr>
          <w:rFonts w:cs="Arial"/>
        </w:rPr>
      </w:pPr>
      <w:r>
        <w:rPr>
          <w:rFonts w:cs="Arial"/>
        </w:rPr>
        <w:t>aus zwei oder mehreren Reinstoffen bestehende Gemenge, Substanzen oder Lösungen;</w:t>
      </w:r>
    </w:p>
    <w:p>
      <w:pPr>
        <w:pStyle w:val="GesAbsatz"/>
        <w:tabs>
          <w:tab w:val="left" w:pos="851"/>
        </w:tabs>
        <w:rPr>
          <w:rFonts w:cs="Arial"/>
        </w:rPr>
      </w:pPr>
      <w:r>
        <w:rPr>
          <w:rFonts w:cs="Arial"/>
        </w:rPr>
        <w:t>33.</w:t>
      </w:r>
      <w:r>
        <w:rPr>
          <w:rFonts w:cs="Arial"/>
        </w:rPr>
        <w:tab/>
        <w:t>zugelassene Überwachungsstelle:</w:t>
      </w:r>
    </w:p>
    <w:p>
      <w:pPr>
        <w:pStyle w:val="GesAbsatz"/>
        <w:ind w:left="426"/>
        <w:rPr>
          <w:rFonts w:cs="Arial"/>
        </w:rPr>
      </w:pPr>
      <w:r>
        <w:rPr>
          <w:rFonts w:cs="Arial"/>
        </w:rPr>
        <w:t>eine Stelle gemäß § 2 Nummer 4 des Gesetzes über überwachungsbedürftige Anlagen;</w:t>
      </w:r>
    </w:p>
    <w:p>
      <w:pPr>
        <w:pStyle w:val="GesAbsatz"/>
        <w:tabs>
          <w:tab w:val="left" w:pos="851"/>
        </w:tabs>
        <w:rPr>
          <w:rFonts w:cs="Arial"/>
        </w:rPr>
      </w:pPr>
      <w:r>
        <w:rPr>
          <w:rFonts w:cs="Arial"/>
        </w:rPr>
        <w:t>34.</w:t>
      </w:r>
      <w:r>
        <w:rPr>
          <w:rFonts w:cs="Arial"/>
        </w:rPr>
        <w:tab/>
        <w:t>Anlagen der Richtlinie 2010/75/EU:</w:t>
      </w:r>
    </w:p>
    <w:p>
      <w:pPr>
        <w:pStyle w:val="GesAbsatz"/>
        <w:ind w:left="426"/>
        <w:rPr>
          <w:rFonts w:cs="Arial"/>
        </w:rPr>
      </w:pPr>
      <w:r>
        <w:rPr>
          <w:rFonts w:cs="Arial"/>
        </w:rPr>
        <w:t>die dem Anhang I der Richtlinie 2010/75/EU des Europäischen Parlaments und des Rates vom 24. November 2010 über Industrieemissionen (integrierte Vermeidung und Verminderung der Umweltverschmutzung) (ABl. L 334 vom 17.12.2010, S. 17; L 158 vom 19.6.2012, S. 25) unterfallenden Anlagen.</w:t>
      </w:r>
    </w:p>
    <w:p>
      <w:pPr>
        <w:pStyle w:val="berschrift2"/>
      </w:pPr>
      <w:bookmarkStart w:id="5" w:name="_Toc157672278"/>
      <w:r>
        <w:t>Teil 2</w:t>
      </w:r>
      <w:r>
        <w:br/>
        <w:t>Begrenzung der Emissionen</w:t>
      </w:r>
      <w:bookmarkEnd w:id="5"/>
    </w:p>
    <w:p>
      <w:pPr>
        <w:pStyle w:val="berschrift3"/>
      </w:pPr>
      <w:bookmarkStart w:id="6" w:name="_Toc157672279"/>
      <w:r>
        <w:t>§ 3</w:t>
      </w:r>
      <w:r>
        <w:br/>
        <w:t>Allgemeine Anforderungen</w:t>
      </w:r>
      <w:bookmarkEnd w:id="6"/>
    </w:p>
    <w:p>
      <w:pPr>
        <w:pStyle w:val="GesAbsatz"/>
        <w:rPr>
          <w:rFonts w:cs="Arial"/>
        </w:rPr>
      </w:pPr>
      <w:r>
        <w:rPr>
          <w:rFonts w:cs="Arial"/>
        </w:rPr>
        <w:t>(1) Anlagen sind so zu errichten und zu betreiben, dass die Anforderungen nach</w:t>
      </w:r>
    </w:p>
    <w:p>
      <w:pPr>
        <w:pStyle w:val="GesAbsatz"/>
        <w:rPr>
          <w:rFonts w:cs="Arial"/>
        </w:rPr>
      </w:pPr>
      <w:r>
        <w:rPr>
          <w:rFonts w:cs="Arial"/>
        </w:rPr>
        <w:t>1.</w:t>
      </w:r>
      <w:r>
        <w:rPr>
          <w:rFonts w:cs="Arial"/>
        </w:rPr>
        <w:tab/>
        <w:t>Absatz 2 Satz 1 bis 3 und Absatz 3 Satz 2,</w:t>
      </w:r>
    </w:p>
    <w:p>
      <w:pPr>
        <w:pStyle w:val="GesAbsatz"/>
        <w:rPr>
          <w:rFonts w:cs="Arial"/>
        </w:rPr>
      </w:pPr>
      <w:r>
        <w:rPr>
          <w:rFonts w:cs="Arial"/>
        </w:rPr>
        <w:t>2.</w:t>
      </w:r>
      <w:r>
        <w:rPr>
          <w:rFonts w:cs="Arial"/>
        </w:rPr>
        <w:tab/>
        <w:t>Absatz 2 Satz 4 und 5, Absatz 3 Satz 1 und Absatz 4 und</w:t>
      </w:r>
    </w:p>
    <w:p>
      <w:pPr>
        <w:pStyle w:val="GesAbsatz"/>
        <w:rPr>
          <w:rFonts w:cs="Arial"/>
        </w:rPr>
      </w:pPr>
      <w:r>
        <w:rPr>
          <w:rFonts w:cs="Arial"/>
        </w:rPr>
        <w:t>3.</w:t>
      </w:r>
      <w:r>
        <w:rPr>
          <w:rFonts w:cs="Arial"/>
        </w:rPr>
        <w:tab/>
        <w:t>Absatz 5 und 6</w:t>
      </w:r>
    </w:p>
    <w:p>
      <w:pPr>
        <w:pStyle w:val="GesAbsatz"/>
        <w:rPr>
          <w:rFonts w:cs="Arial"/>
        </w:rPr>
      </w:pPr>
      <w:r>
        <w:rPr>
          <w:rFonts w:cs="Arial"/>
        </w:rPr>
        <w:t xml:space="preserve">eingehalten werden, soweit durch § 4 in Verbindung mit Anhang III nichts </w:t>
      </w:r>
      <w:proofErr w:type="gramStart"/>
      <w:r>
        <w:rPr>
          <w:rFonts w:cs="Arial"/>
        </w:rPr>
        <w:t>anderes</w:t>
      </w:r>
      <w:proofErr w:type="gramEnd"/>
      <w:r>
        <w:rPr>
          <w:rFonts w:cs="Arial"/>
        </w:rPr>
        <w:t xml:space="preserve"> bestimmt ist.</w:t>
      </w:r>
    </w:p>
    <w:p>
      <w:pPr>
        <w:pStyle w:val="GesAbsatz"/>
        <w:rPr>
          <w:rFonts w:cs="Arial"/>
        </w:rPr>
      </w:pPr>
      <w:r>
        <w:rPr>
          <w:rFonts w:cs="Arial"/>
        </w:rPr>
        <w:t xml:space="preserve">(2) Der Betreiber einer Anlage hat schädliche Stoffe oder Gemische, denen aufgrund ihres Gehaltes, an nach der Verordnung (EG) Nr. 1272/2008 des Europäischen Parlaments und des Rates vom 16. Dezember 2008 über die Einstufung, Kennzeichnung und Verpackung von Stoffen und Gemischen, zur Änderung und Aufhebung der Richtlinien 67/548/EWG und 1999/45/EG und zur Änderung der Verordnung (EG) Nr. 1907/2006 (ABl. L 353 vom 31.12.2008, S. 1), die zuletzt durch die Verordnung (EU) 2023/1434 (ABI. L 176 vom 11. Juli 2023, S. 3) geändert worden ist, als karzinogen, keimzellmutagen oder reproduktionstoxisch eingestuften flüchtigen organischen Verbindungen die Gefahrenhinweise H340, H350, H350i, H360D oder H360F zugeordnet sind oder die mit diesen Gefahrenhinweisen zu kennzeichnen sind, so weit wie möglich durch weniger schädliche Stoffe oder Gemische zu ersetzen. Das Ersetzen der schädlichen Stoffe oder Gemische hat unverzüglich zu erfolgen. Beim Ersetzen sind die Gebrauchstauglichkeit, die Verwendung und die Verhältnismäßigkeit zwischen Aufwand und Nutzen zu berücksichtigen. Die Emissionen an flüchtigen organischen Verbindungen, die als karzinogen, keimzellmutagen oder reproduktionstoxisch eingestuft sind, dürfen, auch wenn </w:t>
      </w:r>
      <w:r>
        <w:rPr>
          <w:rFonts w:cs="Arial"/>
        </w:rPr>
        <w:lastRenderedPageBreak/>
        <w:t>mehrere dieser Verbindungen vorhanden sind, einen Massenstrom von 2,5 Gramm je Stunde oder, im gefassten Abgas, eine Massenkonzentration von 1 Milligramm je Kubikmeter nicht überschreiten. Abweichend von Satz 4 dürfen die Emissionen an Formaldehyd einen Massenstrom von 10 Gramm je Stunde oder im gefassten Abgas eine Massenkonzentration von 2 Milligramm je Kubikmeter nicht überschreiten.</w:t>
      </w:r>
    </w:p>
    <w:p>
      <w:pPr>
        <w:pStyle w:val="GesAbsatz"/>
        <w:rPr>
          <w:rFonts w:cs="Arial"/>
        </w:rPr>
      </w:pPr>
      <w:r>
        <w:rPr>
          <w:rFonts w:cs="Arial"/>
        </w:rPr>
        <w:t>(3) Die Emissionen flüchtiger organischer Verbindungen aus einer Anlage, denen die Gefahrenhinweise H341 oder H351 zugeordnet sind, dürfen, auch wenn mehrere dieser Verbindungen vorhanden sind, folgende Werte nicht überschreiten:</w:t>
      </w:r>
    </w:p>
    <w:p>
      <w:pPr>
        <w:pStyle w:val="GesAbsatz"/>
        <w:rPr>
          <w:rFonts w:cs="Arial"/>
        </w:rPr>
      </w:pPr>
      <w:r>
        <w:rPr>
          <w:rFonts w:cs="Arial"/>
        </w:rPr>
        <w:t>1.</w:t>
      </w:r>
      <w:r>
        <w:rPr>
          <w:rFonts w:cs="Arial"/>
        </w:rPr>
        <w:tab/>
        <w:t>einen Massenstrom von 100 Gramm je Stunde oder</w:t>
      </w:r>
    </w:p>
    <w:p>
      <w:pPr>
        <w:pStyle w:val="GesAbsatz"/>
        <w:rPr>
          <w:rFonts w:cs="Arial"/>
        </w:rPr>
      </w:pPr>
      <w:r>
        <w:rPr>
          <w:rFonts w:cs="Arial"/>
        </w:rPr>
        <w:t>2.</w:t>
      </w:r>
      <w:r>
        <w:rPr>
          <w:rFonts w:cs="Arial"/>
        </w:rPr>
        <w:tab/>
        <w:t>in gefassten Abgasen eine Massenkonzentration von 20 Milligramm je Kubikmeter.</w:t>
      </w:r>
    </w:p>
    <w:p>
      <w:pPr>
        <w:pStyle w:val="GesAbsatz"/>
        <w:rPr>
          <w:rFonts w:cs="Arial"/>
        </w:rPr>
      </w:pPr>
      <w:r>
        <w:rPr>
          <w:rFonts w:cs="Arial"/>
        </w:rPr>
        <w:t>Satz 1 gilt auch für Stoffe, die den organischen Stoffen der Klasse I der Ersten Allgemeinen Verwaltungsvorschrift zum Bundes-Immissionsschutzgesetz (Technische Anleitung zur Reinhaltung der Luft – TA Luft) vom 18. August 2021 (GMBl., 2021, Nummer 48-54, 1050) in der jeweils geltenden Fassung zuzuordnen sind.</w:t>
      </w:r>
    </w:p>
    <w:p>
      <w:pPr>
        <w:pStyle w:val="GesAbsatz"/>
        <w:rPr>
          <w:rFonts w:cs="Arial"/>
        </w:rPr>
      </w:pPr>
      <w:r>
        <w:rPr>
          <w:rFonts w:cs="Arial"/>
        </w:rPr>
        <w:t>(4) Werden bei zwei oder mehr Tätigkeiten in einer Anlage die Schwellenwerte für den Lösungsmittelverbrauch nach Anhang I überschritten, so gilt, dass bei Überschreitung der Schwellenwerte</w:t>
      </w:r>
    </w:p>
    <w:p>
      <w:pPr>
        <w:pStyle w:val="GesAbsatz"/>
        <w:ind w:left="420" w:hanging="420"/>
        <w:rPr>
          <w:rFonts w:cs="Arial"/>
        </w:rPr>
      </w:pPr>
      <w:r>
        <w:rPr>
          <w:rFonts w:cs="Arial"/>
        </w:rPr>
        <w:t>1.</w:t>
      </w:r>
      <w:r>
        <w:rPr>
          <w:rFonts w:cs="Arial"/>
        </w:rPr>
        <w:tab/>
        <w:t>der in Absatz 2 oder 3 genannten Stoffe die dort festgelegten Anforderungen für jede Tätigkeit einzeln einzuhalten sind,</w:t>
      </w:r>
    </w:p>
    <w:p>
      <w:pPr>
        <w:pStyle w:val="GesAbsatz"/>
        <w:rPr>
          <w:rFonts w:cs="Arial"/>
        </w:rPr>
      </w:pPr>
      <w:r>
        <w:rPr>
          <w:rFonts w:cs="Arial"/>
        </w:rPr>
        <w:t>2.</w:t>
      </w:r>
      <w:r>
        <w:rPr>
          <w:rFonts w:cs="Arial"/>
        </w:rPr>
        <w:tab/>
        <w:t>aller anderen Stoffe</w:t>
      </w:r>
    </w:p>
    <w:p>
      <w:pPr>
        <w:pStyle w:val="GesAbsatz"/>
        <w:tabs>
          <w:tab w:val="left" w:pos="851"/>
        </w:tabs>
        <w:ind w:left="851" w:hanging="425"/>
        <w:rPr>
          <w:rFonts w:cs="Arial"/>
        </w:rPr>
      </w:pPr>
      <w:r>
        <w:rPr>
          <w:rFonts w:cs="Arial"/>
        </w:rPr>
        <w:t>a)</w:t>
      </w:r>
      <w:r>
        <w:rPr>
          <w:rFonts w:cs="Arial"/>
        </w:rPr>
        <w:tab/>
        <w:t>die Anforderungen nach Anhang III für jede Tätigkeit einzeln einzuhalten sind oder</w:t>
      </w:r>
    </w:p>
    <w:p>
      <w:pPr>
        <w:pStyle w:val="GesAbsatz"/>
        <w:tabs>
          <w:tab w:val="left" w:pos="851"/>
        </w:tabs>
        <w:ind w:left="851" w:hanging="425"/>
        <w:rPr>
          <w:rFonts w:cs="Arial"/>
        </w:rPr>
      </w:pPr>
      <w:r>
        <w:rPr>
          <w:rFonts w:cs="Arial"/>
        </w:rPr>
        <w:t>b)</w:t>
      </w:r>
      <w:r>
        <w:rPr>
          <w:rFonts w:cs="Arial"/>
        </w:rPr>
        <w:tab/>
        <w:t>die Gesamtemissionen nicht die Werte überschreiten dürfen, die bei Anwendung von Buchstabe a erreicht worden wären.</w:t>
      </w:r>
    </w:p>
    <w:p>
      <w:pPr>
        <w:pStyle w:val="GesAbsatz"/>
        <w:rPr>
          <w:rFonts w:cs="Arial"/>
        </w:rPr>
      </w:pPr>
      <w:r>
        <w:rPr>
          <w:rFonts w:cs="Arial"/>
        </w:rPr>
        <w:t>(5) Der Betreiber einer Anlage hat alle geeigneten Maßnahmen zu treffen, um die Emissionen während des An- und Abfahrens so gering wie möglich zu halten.</w:t>
      </w:r>
    </w:p>
    <w:p>
      <w:pPr>
        <w:pStyle w:val="GesAbsatz"/>
        <w:rPr>
          <w:rFonts w:cs="Arial"/>
        </w:rPr>
      </w:pPr>
      <w:r>
        <w:rPr>
          <w:rFonts w:cs="Arial"/>
        </w:rPr>
        <w:t>(6) Beim Umfüllen von organischen Lösungsmitteln mit einem Siedepunkt bei 1013 Hektopascal bis zu 423 Kelvin sind besondere technische Maßnahmen zur Emissionsminderung zu treffen, wenn jährlich 100 Tonnen oder mehr solcher Lösungsmittel umgefüllt werden. Auf genehmigungsbedürftige Anlagen sind darüber hinaus die Anforderungen der Technischen Anleitung zur Reinhaltung der Luft zum Verarbeiten, Fördern, Umfüllen oder Lagern von flüssigen organischen Stoffen anzuwenden.</w:t>
      </w:r>
    </w:p>
    <w:p>
      <w:pPr>
        <w:pStyle w:val="GesAbsatz"/>
        <w:rPr>
          <w:rFonts w:cs="Arial"/>
        </w:rPr>
      </w:pPr>
      <w:r>
        <w:rPr>
          <w:rFonts w:cs="Arial"/>
        </w:rPr>
        <w:t>(7) Auf genehmigungsbedürftige Anlagen wird stets der Stand der Technik nach § 5 Absatz 1 Nummer 2 des Bundes-Immissionsschutzgesetzes angewendet. Hieraus können sich Anforderungen ergeben, die über die Absätze 2 bis 4 hinausgehen.</w:t>
      </w:r>
    </w:p>
    <w:p>
      <w:pPr>
        <w:pStyle w:val="GesAbsatz"/>
        <w:rPr>
          <w:rFonts w:cs="Arial"/>
        </w:rPr>
      </w:pPr>
      <w:r>
        <w:rPr>
          <w:rFonts w:cs="Arial"/>
        </w:rPr>
        <w:t>(8) Zur Reduzierung des Rohstoff- und Lösungsmittelverbrauchs sowie der Emissionen und sonstigen Umweltauswirkungen sollen für Anlagen der Richtlinie 2010/75/EU fortschrittliche Verfahren zur Bereitstellung und Verwendung der Einsatzstoffe sowie zum Aufbringen von Beschichtungen angewendet werden. Auf die beispielhafte Auflistung solcher Techniken in Anhang VII wird verwiesen.</w:t>
      </w:r>
    </w:p>
    <w:p>
      <w:pPr>
        <w:pStyle w:val="GesAbsatz"/>
        <w:rPr>
          <w:rFonts w:cs="Arial"/>
        </w:rPr>
      </w:pPr>
      <w:r>
        <w:rPr>
          <w:rFonts w:cs="Arial"/>
        </w:rPr>
        <w:t>(9) Zur Reduzierung des Energieverbrauchs sowie sonstiger Umweltauswirkungen sollen für genehmigungsbedürftige Anlagen bei Beschichtungsprozessen fortschrittliche Trocknungs-/Aushärteverfahren angewendet werden. Auf die beispielhafte Auflistung solcher Techniken in Anhang VII wird verwiesen.</w:t>
      </w:r>
    </w:p>
    <w:p>
      <w:pPr>
        <w:pStyle w:val="berschrift3"/>
      </w:pPr>
      <w:bookmarkStart w:id="7" w:name="_Toc157672280"/>
      <w:r>
        <w:t>§ 4</w:t>
      </w:r>
      <w:r>
        <w:br/>
        <w:t>Besondere Anforderungen</w:t>
      </w:r>
      <w:bookmarkEnd w:id="7"/>
    </w:p>
    <w:p>
      <w:pPr>
        <w:pStyle w:val="GesAbsatz"/>
        <w:rPr>
          <w:rFonts w:cs="Arial"/>
        </w:rPr>
      </w:pPr>
      <w:r>
        <w:rPr>
          <w:rFonts w:cs="Arial"/>
        </w:rPr>
        <w:t>(1) Der Betreiber hat eine Anlage so zu errichten und zu betreiben, dass</w:t>
      </w:r>
    </w:p>
    <w:p>
      <w:pPr>
        <w:pStyle w:val="GesAbsatz"/>
        <w:rPr>
          <w:rFonts w:cs="Arial"/>
        </w:rPr>
      </w:pPr>
      <w:r>
        <w:rPr>
          <w:rFonts w:cs="Arial"/>
        </w:rPr>
        <w:t>1.</w:t>
      </w:r>
      <w:r>
        <w:rPr>
          <w:rFonts w:cs="Arial"/>
        </w:rPr>
        <w:tab/>
        <w:t>die in Anhang III für die Anlage festgelegten</w:t>
      </w:r>
    </w:p>
    <w:p>
      <w:pPr>
        <w:pStyle w:val="GesAbsatz"/>
        <w:tabs>
          <w:tab w:val="left" w:pos="851"/>
        </w:tabs>
        <w:ind w:left="851" w:hanging="425"/>
        <w:rPr>
          <w:rFonts w:cs="Arial"/>
        </w:rPr>
      </w:pPr>
      <w:r>
        <w:rPr>
          <w:rFonts w:cs="Arial"/>
        </w:rPr>
        <w:t>a)</w:t>
      </w:r>
      <w:r>
        <w:rPr>
          <w:rFonts w:cs="Arial"/>
        </w:rPr>
        <w:tab/>
        <w:t>Emissionsgrenzwerte für gefasste Abgase,</w:t>
      </w:r>
    </w:p>
    <w:p>
      <w:pPr>
        <w:pStyle w:val="GesAbsatz"/>
        <w:tabs>
          <w:tab w:val="left" w:pos="851"/>
        </w:tabs>
        <w:ind w:left="851" w:hanging="425"/>
        <w:rPr>
          <w:rFonts w:cs="Arial"/>
        </w:rPr>
      </w:pPr>
      <w:r>
        <w:rPr>
          <w:rFonts w:cs="Arial"/>
        </w:rPr>
        <w:t>b)</w:t>
      </w:r>
      <w:r>
        <w:rPr>
          <w:rFonts w:cs="Arial"/>
        </w:rPr>
        <w:tab/>
        <w:t>Grenzwerte für diffuse Emissionen und</w:t>
      </w:r>
    </w:p>
    <w:p>
      <w:pPr>
        <w:pStyle w:val="GesAbsatz"/>
        <w:tabs>
          <w:tab w:val="left" w:pos="851"/>
        </w:tabs>
        <w:ind w:left="851" w:hanging="425"/>
        <w:rPr>
          <w:rFonts w:cs="Arial"/>
        </w:rPr>
      </w:pPr>
      <w:r>
        <w:rPr>
          <w:rFonts w:cs="Arial"/>
        </w:rPr>
        <w:t>c)</w:t>
      </w:r>
      <w:r>
        <w:rPr>
          <w:rFonts w:cs="Arial"/>
        </w:rPr>
        <w:tab/>
        <w:t>Grenzwerte für die Gesamtemissionen und</w:t>
      </w:r>
    </w:p>
    <w:p>
      <w:pPr>
        <w:pStyle w:val="GesAbsatz"/>
        <w:rPr>
          <w:rFonts w:cs="Arial"/>
        </w:rPr>
      </w:pPr>
      <w:r>
        <w:rPr>
          <w:rFonts w:cs="Arial"/>
        </w:rPr>
        <w:t>2.</w:t>
      </w:r>
      <w:r>
        <w:rPr>
          <w:rFonts w:cs="Arial"/>
        </w:rPr>
        <w:tab/>
        <w:t>die in Anhang III für die Anlage festgelegten besonderen Anforderungen eingehalten werden.</w:t>
      </w:r>
    </w:p>
    <w:p>
      <w:pPr>
        <w:pStyle w:val="GesAbsatz"/>
        <w:rPr>
          <w:rFonts w:cs="Arial"/>
        </w:rPr>
      </w:pPr>
      <w:r>
        <w:rPr>
          <w:rFonts w:cs="Arial"/>
        </w:rPr>
        <w:t>(2) An Stelle der Einhaltung der Grenzwerte nach Absatz 1 Nummer 1 kann ein Plan zur Reduzierung von Emissionen (Reduzierungsplan) nach Anhang IV eingesetzt werden, mit dem sich der Betreiber verpflichtet, eine Emissionsminderung in mindestens der gleichen Höhe wie bei Einhaltung der Grenzwerte nach Absatz 1 Nummer 1 sicherzustellen. Der Reduzierungsplan muss von realistischen technischen Voraussetzungen ausgehen, insbesondere muss die Verfügbarkeit von Ersatzstoffen zum jeweiligen Zeitpunkt gewährleistet sein.</w:t>
      </w:r>
    </w:p>
    <w:p>
      <w:pPr>
        <w:pStyle w:val="GesAbsatz"/>
        <w:rPr>
          <w:rFonts w:cs="Arial"/>
        </w:rPr>
      </w:pPr>
      <w:r>
        <w:rPr>
          <w:rFonts w:cs="Arial"/>
        </w:rPr>
        <w:lastRenderedPageBreak/>
        <w:t>(3) Auf genehmigungsbedürftige Anlagen wird stets der Stand der Technik nach § 5 Absatz 1 Nummer 2 des Bundes-Immissionsschutzgesetzes angewendet. Hieraus können sich Anforderungen ergeben, die über Absatz 1 und Absatz 2 Satz 1 hinausgehen.</w:t>
      </w:r>
    </w:p>
    <w:p>
      <w:pPr>
        <w:pStyle w:val="berschrift2"/>
      </w:pPr>
      <w:bookmarkStart w:id="8" w:name="_Toc157672281"/>
      <w:r>
        <w:t>Teil 3</w:t>
      </w:r>
      <w:r>
        <w:br/>
        <w:t>Messungen und Überwachung</w:t>
      </w:r>
      <w:bookmarkEnd w:id="8"/>
    </w:p>
    <w:p>
      <w:pPr>
        <w:pStyle w:val="berschrift3"/>
      </w:pPr>
      <w:bookmarkStart w:id="9" w:name="_Toc157672282"/>
      <w:r>
        <w:t>§ 5</w:t>
      </w:r>
      <w:r>
        <w:br/>
        <w:t>Nicht genehmigungsbedürftige Anlagen</w:t>
      </w:r>
      <w:bookmarkEnd w:id="9"/>
    </w:p>
    <w:p>
      <w:pPr>
        <w:pStyle w:val="GesAbsatz"/>
        <w:rPr>
          <w:rFonts w:cs="Arial"/>
        </w:rPr>
      </w:pPr>
      <w:r>
        <w:rPr>
          <w:rFonts w:cs="Arial"/>
        </w:rPr>
        <w:t xml:space="preserve">(1) Die Anforderungen nach den Absätzen 4 bis 9 gelten, soweit in Anhang III für die jeweilige nicht genehmigungsbedürftige Anlage nichts </w:t>
      </w:r>
      <w:proofErr w:type="gramStart"/>
      <w:r>
        <w:rPr>
          <w:rFonts w:cs="Arial"/>
        </w:rPr>
        <w:t>anderes</w:t>
      </w:r>
      <w:proofErr w:type="gramEnd"/>
      <w:r>
        <w:rPr>
          <w:rFonts w:cs="Arial"/>
        </w:rPr>
        <w:t xml:space="preserve"> bestimmt ist.</w:t>
      </w:r>
    </w:p>
    <w:p>
      <w:pPr>
        <w:pStyle w:val="GesAbsatz"/>
        <w:rPr>
          <w:rFonts w:cs="Arial"/>
        </w:rPr>
      </w:pPr>
      <w:r>
        <w:rPr>
          <w:rFonts w:cs="Arial"/>
        </w:rPr>
        <w:t>(2) Der Betreiber einer nicht genehmigungsbedürftigen Anlage, in der bei einer Tätigkeit der Schwellenwert für den Lösungsmittelverbrauch nach Anhang I überschritten wird, hat diese Anlage der zuständigen Behörde vor der Inbetriebnahme anzuzeigen. Nicht genehmigungsbedürftige Anlagen, in denen zum Zeitpunkt des Inkrafttretens der Verordnung die in Anhang I genannten Schwellenwerte nicht überschritten werden, sind bei erstmaliger Überschreitung der Schwellenwerte innerhalb von sechs Monaten anzuzeigen. Der Betreiber hat ferner eine wesentliche Änderung einer nicht genehmigungsbedürftigen Anlage der zuständigen Behörde vorher anzuzeigen. Die Anzeige hat die für die Anlage maßgebenden Daten zu enthalten.</w:t>
      </w:r>
    </w:p>
    <w:p>
      <w:pPr>
        <w:pStyle w:val="GesAbsatz"/>
        <w:rPr>
          <w:rFonts w:cs="Arial"/>
        </w:rPr>
      </w:pPr>
      <w:r>
        <w:rPr>
          <w:rFonts w:cs="Arial"/>
        </w:rPr>
        <w:t>(3) Soweit zur Kontrolle der Einhaltung der Anforderungen nach den §§ 3 und 4 Messungen erforderlich sind, hat der Betreiber einer nicht genehmigungsbedürftigen Anlage geeignete Messöffnungen und Messplätze einzurichten.</w:t>
      </w:r>
    </w:p>
    <w:p>
      <w:pPr>
        <w:pStyle w:val="GesAbsatz"/>
        <w:rPr>
          <w:rFonts w:cs="Arial"/>
        </w:rPr>
      </w:pPr>
      <w:r>
        <w:rPr>
          <w:rFonts w:cs="Arial"/>
        </w:rPr>
        <w:t>(4) Der Betreiber einer nicht genehmigungsbedürftigen Anlage, für die in § 3 Absatz 2 Satz 4 oder Absatz 3 Satz 1 oder in § 4 Absatz 1 Nummer 1 Buchstabe a Anforderungen festgelegt sind, hat die Einhaltung der jeweiligen Anforderungen feststellen zu lassen</w:t>
      </w:r>
    </w:p>
    <w:p>
      <w:pPr>
        <w:pStyle w:val="GesAbsatz"/>
        <w:ind w:left="420" w:hanging="420"/>
        <w:rPr>
          <w:rFonts w:cs="Arial"/>
        </w:rPr>
      </w:pPr>
      <w:r>
        <w:rPr>
          <w:rFonts w:cs="Arial"/>
        </w:rPr>
        <w:t>1.</w:t>
      </w:r>
      <w:r>
        <w:rPr>
          <w:rFonts w:cs="Arial"/>
        </w:rPr>
        <w:tab/>
        <w:t>erstmals bei Neuanlagen und wesentlich geänderten Anlagen frühestens drei Monate und spätestens sechs Monate nach der Inbetriebnahme und sodann</w:t>
      </w:r>
    </w:p>
    <w:p>
      <w:pPr>
        <w:pStyle w:val="GesAbsatz"/>
        <w:ind w:left="420" w:hanging="420"/>
        <w:rPr>
          <w:rFonts w:cs="Arial"/>
        </w:rPr>
      </w:pPr>
      <w:r>
        <w:rPr>
          <w:rFonts w:cs="Arial"/>
        </w:rPr>
        <w:t>2.</w:t>
      </w:r>
      <w:r>
        <w:rPr>
          <w:rFonts w:cs="Arial"/>
        </w:rPr>
        <w:tab/>
        <w:t>wiederkehrend in jedem dritten Kalenderjahr.</w:t>
      </w:r>
    </w:p>
    <w:p>
      <w:pPr>
        <w:pStyle w:val="GesAbsatz"/>
        <w:rPr>
          <w:rFonts w:cs="Arial"/>
        </w:rPr>
      </w:pPr>
      <w:r>
        <w:rPr>
          <w:rFonts w:cs="Arial"/>
        </w:rPr>
        <w:t>Die Feststellung nach Satz 1 erfolgt durch Messungen nach Anhang VI Nummer 1. Sie ist von Stellen durchzuführen, die über eine Bekanntgabe für den Tätigkeitsbereich der Gruppe I Nummer 1 und den Stoffbereich G gemäß der Anlage 1 der Bekanntgabeverordnung (41. BImSchV) verfügen. Satz 1 gilt nicht, wenn die Überwachung der Emissionen durch eine kontinuierlich aufzeichnende Messeinrichtung nach Absatz 5 Satz 1 erfolgt. Luftmengen, die einer Anlage zugeführt werden, um die gefassten Abgase zu verdünnen oder zu kühlen, bleiben bei der Bestimmung der Massenkonzentration im gefassten Abgas unberücksichtigt. Messungen nach Satz 2 zur Feststellung der Einhaltung der Emissionsgrenzwerte für gefasste Abgase können entfallen, soweit nach dem Stand der Technik zur Einhaltung dieser Grenzwerte eine Abgasreinigungseinrichtung nicht erforderlich ist.</w:t>
      </w:r>
    </w:p>
    <w:p>
      <w:pPr>
        <w:pStyle w:val="GesAbsatz"/>
        <w:rPr>
          <w:rFonts w:cs="Arial"/>
        </w:rPr>
      </w:pPr>
      <w:r>
        <w:rPr>
          <w:rFonts w:cs="Arial"/>
        </w:rPr>
        <w:t>(5) Der Betreiber einer nicht genehmigungsbedürftigen Anlage, bei der der Massenstrom an flüchtigen organischen Verbindungen im gefassten Abgas 10 Kilogramm Gesamtkohlenstoff je Stunde überschreitet, hat die Anlage vor der Inbetriebnahme mit einer geeigneten Messeinrichtung auszustatten, die nach Anhang VI Nummer 2 den Gesamtkohlenstoffgehalt und die zur Auswertung und Beurteilung der Messergebnisse erforderlichen Betriebsparameter kontinuierlich ermittelt. Eine kontinuierliche Messung nach Satz 1 kann entfallen, wenn durch eine andere kontinuierliche Überwachung sichergestellt werden kann, dass die Emissionsgrenzwerte für gefasste Abgase eingehalten werden.</w:t>
      </w:r>
    </w:p>
    <w:p>
      <w:pPr>
        <w:pStyle w:val="GesAbsatz"/>
        <w:rPr>
          <w:rFonts w:cs="Arial"/>
        </w:rPr>
      </w:pPr>
      <w:r>
        <w:rPr>
          <w:rFonts w:cs="Arial"/>
        </w:rPr>
        <w:t>(6) Der Betreiber einer nicht genehmigungsbedürftigen Anlage hat mindestens einmal in einem Kalenderjahr die Einhaltung der für die Anlage maßgeblichen</w:t>
      </w:r>
    </w:p>
    <w:p>
      <w:pPr>
        <w:pStyle w:val="GesAbsatz"/>
        <w:rPr>
          <w:rFonts w:cs="Arial"/>
        </w:rPr>
      </w:pPr>
      <w:r>
        <w:rPr>
          <w:rFonts w:cs="Arial"/>
        </w:rPr>
        <w:t>1.</w:t>
      </w:r>
      <w:r>
        <w:rPr>
          <w:rFonts w:cs="Arial"/>
        </w:rPr>
        <w:tab/>
        <w:t>Grenzwerte für diffuse Emissionen nach § 4 Absatz 1 Nummer 1 Buchstabe b,</w:t>
      </w:r>
    </w:p>
    <w:p>
      <w:pPr>
        <w:pStyle w:val="GesAbsatz"/>
        <w:rPr>
          <w:rFonts w:cs="Arial"/>
        </w:rPr>
      </w:pPr>
      <w:r>
        <w:rPr>
          <w:rFonts w:cs="Arial"/>
        </w:rPr>
        <w:t>2.</w:t>
      </w:r>
      <w:r>
        <w:rPr>
          <w:rFonts w:cs="Arial"/>
        </w:rPr>
        <w:tab/>
        <w:t>Grenzwerte für die Gesamtemissionen nach § 4 Absatz 1 Nummer 1 Buchstabe c oder</w:t>
      </w:r>
    </w:p>
    <w:p>
      <w:pPr>
        <w:pStyle w:val="GesAbsatz"/>
        <w:ind w:left="420" w:hanging="420"/>
        <w:rPr>
          <w:rFonts w:cs="Arial"/>
        </w:rPr>
      </w:pPr>
      <w:r>
        <w:rPr>
          <w:rFonts w:cs="Arial"/>
        </w:rPr>
        <w:t>3.</w:t>
      </w:r>
      <w:r>
        <w:rPr>
          <w:rFonts w:cs="Arial"/>
        </w:rPr>
        <w:tab/>
        <w:t>Emissionsminderung, die im Reduzierungsplan nach § 4 Absatz 2 Satz 1 festgelegt ist,</w:t>
      </w:r>
    </w:p>
    <w:p>
      <w:pPr>
        <w:pStyle w:val="GesAbsatz"/>
        <w:rPr>
          <w:rFonts w:cs="Arial"/>
        </w:rPr>
      </w:pPr>
      <w:r>
        <w:rPr>
          <w:rFonts w:cs="Arial"/>
        </w:rPr>
        <w:t xml:space="preserve">feststellen zu lassen. Die Feststellung hat durch eine Lösungsmittelbilanz nach den Anforderungen des Anhangs V zu erfolgen. Zur Ermittlung der Ein- und Austragsmengen einer Anlage an flüchtigen organischen Verbindungen kann auf verbindliche Angaben der Hersteller zum Lösungsmittelgehalt der Einsatzstoffe oder auf andere gleichwertige Informationsquellen zurückgegriffen werden. Weist die Lösungsmittelbilanz offensichtlich schwerwiegende Mängel auf und behebt der Betreiber diese Mängel nicht in angemessener Frist, so kann die zuständige Behörde den Betreiber anweisen, eine Lösungsmittelbilanz nach den Anforderungen des Anhangs V von einer zugelassenen Überwachungsstelle oder einem öffentlich bestellten und vereidigten Sachverständigen aufstellen zu lassen. Satz 4 gilt nicht für Anlagen des Anhangs I Nummer 3.1. Abweichend </w:t>
      </w:r>
      <w:r>
        <w:rPr>
          <w:rFonts w:cs="Arial"/>
        </w:rPr>
        <w:lastRenderedPageBreak/>
        <w:t>von Satz 1 ist bei Anlagen des Anhangs I Nummer 9.1 die Einhaltung der Anforderungen mindestens alle drei Jahre festzustellen.</w:t>
      </w:r>
    </w:p>
    <w:p>
      <w:pPr>
        <w:pStyle w:val="GesAbsatz"/>
        <w:rPr>
          <w:rFonts w:cs="Arial"/>
        </w:rPr>
      </w:pPr>
      <w:r>
        <w:rPr>
          <w:rFonts w:cs="Arial"/>
        </w:rPr>
        <w:t>(7) Entscheidet sich der Betreiber einer nicht genehmigungsbedürftigen Anlage für einen Reduzierungsplan nach § 4 Absatz 2 Satz 1, so muss er diesen der zuständigen Behörde rechtzeitig vor Inbetriebnahme der Anlage vorlegen. Die verbindliche Erklärung bedarf der Annahme der zuständigen Behörde. Eine Ausfertigung des Reduzierungsplans hat der Betreiber am Betriebsort der Anlage aufzubewahren, solange der Reduzierungsplan angewendet wird.</w:t>
      </w:r>
    </w:p>
    <w:p>
      <w:pPr>
        <w:pStyle w:val="GesAbsatz"/>
        <w:rPr>
          <w:rFonts w:cs="Arial"/>
        </w:rPr>
      </w:pPr>
      <w:r>
        <w:rPr>
          <w:rFonts w:cs="Arial"/>
        </w:rPr>
        <w:t>(8) Der Betreiber einer Anlage hat über die Ergebnisse der Messungen nach Absatz 4 oder 5 sowie über die Ergebnisse der Lösungsmittelbilanz für die maßgeblichen Anforderungen nach Absatz 6 Satz 1 jeweils unverzüglich einen Bericht zu erstellen oder erstellen zu lassen. Der Betreiber hat den Bericht am Betriebsort fünf Jahre ab der Erstellung aufzubewahren und der zuständigen Behörde auf Verlangen vorzulegen.</w:t>
      </w:r>
    </w:p>
    <w:p>
      <w:pPr>
        <w:pStyle w:val="GesAbsatz"/>
        <w:rPr>
          <w:rFonts w:cs="Arial"/>
        </w:rPr>
      </w:pPr>
      <w:r>
        <w:rPr>
          <w:rFonts w:cs="Arial"/>
        </w:rPr>
        <w:t>(9) Wird bei einer nicht genehmigungsbedürftigen Anlage festgestellt, dass die Anforderungen nach § 3 oder § 4 Absatz 1 nicht eingehalten werden, so hat der Betreiber dies der zuständigen Behörde unverzüglich mitzuteilen. Der Betreiber hat unverzüglich die erforderlichen Maßnahmen zu treffen, um den ordnungsgemäßen Betrieb der Anlage sicherzustellen.</w:t>
      </w:r>
    </w:p>
    <w:p>
      <w:pPr>
        <w:pStyle w:val="berschrift3"/>
      </w:pPr>
      <w:bookmarkStart w:id="10" w:name="_Toc157672283"/>
      <w:r>
        <w:t>§ 6</w:t>
      </w:r>
      <w:r>
        <w:br/>
        <w:t>Genehmigungsbedürftige Anlagen</w:t>
      </w:r>
      <w:bookmarkEnd w:id="10"/>
    </w:p>
    <w:p>
      <w:pPr>
        <w:pStyle w:val="GesAbsatz"/>
        <w:rPr>
          <w:rFonts w:cs="Arial"/>
        </w:rPr>
      </w:pPr>
      <w:r>
        <w:rPr>
          <w:rFonts w:cs="Arial"/>
        </w:rPr>
        <w:t>(1) Für die Messung und Überwachung der Emissionen von genehmigungsbedürftigen Anlagen finden die Anforderungen der Nummer 5.3 der Technischen Anleitung zur Reinhaltung der Luft in der Fassung vom 18. August 2021 (GMBl., 2021, Nummer 48-54, 1050) Anwendung. Dabei gelten mindestens die Anforderungen nach § 5 Absatz 3 bis 5. § 5 Absatz 6 bis 9 gilt entsprechend.</w:t>
      </w:r>
    </w:p>
    <w:p>
      <w:pPr>
        <w:pStyle w:val="GesAbsatz"/>
        <w:rPr>
          <w:rFonts w:cs="Arial"/>
        </w:rPr>
      </w:pPr>
      <w:r>
        <w:rPr>
          <w:rFonts w:cs="Arial"/>
        </w:rPr>
        <w:t>(2) Der Betreiber einer Anlage, in der Tätigkeiten nach den Nummern 6.7 oder 6.10 des Anhangs I der Richtlinie 2010/75/EU durchgeführt werden, hat die Emissionen an organischen Stoffen im gefassten Abgas jährlich gemäß Nummer 5.3 der Technischen Anleitung zur Reinhaltung der Luft in der Fassung vom 18. August 2021 (GMBl., 2021, Nummer 48-54, 1050) zu ermitteln. Bei Emissionsquellen nach einer Abgasreinigung für organische Stoffe mit einem Emissionsmassenstrom der jeweiligen Emissionsquelle von weniger als 0,1 Kilogramm Gesamtkohlenstoff pro Stunde oder bei Emissionsquellen mit unbehandelten Abgasen mit einem Emissionsmassenstrom der jeweiligen Emissionsquelle von weniger als 0,3 Kilogramm Gesamtkohlenstoff pro Stunde kann die Messung alle drei Jahre erfolgen oder die Messung kann durch Berechnung ersetzt werden, entsprechend § 5 der Verordnung über Emissionserklärungen (11. BImSchV). Bei der Anwendung von thermisch-oxidativen Abgasbehandlungsverfahren hat der Betreiber die Brennkammertemperatur zur Kontrolle der bestimmungsgemäßen Funktion kontinuierlich zu erfassen und aufzuzeichnen. Der Betreiber hat sicherzustellen, dass das Unterschreiten der festgelegten Brennkammertemperatur in einem Anlagenüberwachungs- und Steuerungssystem mit akustischer oder optischer Anzeige oder direkt durch ein akustisches und optisches Signal angezeigt wird.</w:t>
      </w:r>
    </w:p>
    <w:p>
      <w:pPr>
        <w:pStyle w:val="GesAbsatz"/>
        <w:rPr>
          <w:rFonts w:cs="Arial"/>
        </w:rPr>
      </w:pPr>
      <w:r>
        <w:rPr>
          <w:rFonts w:cs="Arial"/>
        </w:rPr>
        <w:t>(3) Absatz 2 gilt nicht für</w:t>
      </w:r>
    </w:p>
    <w:p>
      <w:pPr>
        <w:pStyle w:val="GesAbsatz"/>
        <w:ind w:left="420" w:hanging="420"/>
        <w:rPr>
          <w:rFonts w:cs="Arial"/>
        </w:rPr>
      </w:pPr>
      <w:r>
        <w:rPr>
          <w:rFonts w:cs="Arial"/>
        </w:rPr>
        <w:t>1.</w:t>
      </w:r>
      <w:r>
        <w:rPr>
          <w:rFonts w:cs="Arial"/>
        </w:rPr>
        <w:tab/>
        <w:t>Anlagen des Anhangs I Nummer 10.1, sofern Textilien bedruckt, geklebt oder getränkt oder auf andere Weise als durch die Verwendung eines lösungsmittelbasierten zusammenhängenden Films imprägniert werden,</w:t>
      </w:r>
    </w:p>
    <w:p>
      <w:pPr>
        <w:pStyle w:val="GesAbsatz"/>
        <w:rPr>
          <w:rFonts w:cs="Arial"/>
        </w:rPr>
      </w:pPr>
      <w:r>
        <w:rPr>
          <w:rFonts w:cs="Arial"/>
        </w:rPr>
        <w:t>2.</w:t>
      </w:r>
      <w:r>
        <w:rPr>
          <w:rFonts w:cs="Arial"/>
        </w:rPr>
        <w:tab/>
        <w:t>Anlagen des Anhangs I Nummer 13, sofern Platten auf Holzbasis laminiert werden, und</w:t>
      </w:r>
    </w:p>
    <w:p>
      <w:pPr>
        <w:pStyle w:val="GesAbsatz"/>
        <w:rPr>
          <w:rFonts w:cs="Arial"/>
        </w:rPr>
      </w:pPr>
      <w:r>
        <w:rPr>
          <w:rFonts w:cs="Arial"/>
        </w:rPr>
        <w:t>3.</w:t>
      </w:r>
      <w:r>
        <w:rPr>
          <w:rFonts w:cs="Arial"/>
        </w:rPr>
        <w:tab/>
        <w:t>Anlagen des Anhangs I Nummer 16 und Nummer 17.</w:t>
      </w:r>
    </w:p>
    <w:p>
      <w:pPr>
        <w:pStyle w:val="GesAbsatz"/>
        <w:rPr>
          <w:rFonts w:cs="Arial"/>
        </w:rPr>
      </w:pPr>
      <w:r>
        <w:rPr>
          <w:rFonts w:cs="Arial"/>
        </w:rPr>
        <w:t xml:space="preserve">(4) Der Betreiber einer Anlage, in der Tätigkeiten nach Nummer 6.7 des Anhangs I der Richtlinie 2010/75/EU durchgeführt werden und in der im Beschichtungsprozess von Textilien, Folien und Papier </w:t>
      </w:r>
      <w:proofErr w:type="gramStart"/>
      <w:r>
        <w:rPr>
          <w:rFonts w:cs="Arial"/>
        </w:rPr>
        <w:t>N,N</w:t>
      </w:r>
      <w:proofErr w:type="gramEnd"/>
      <w:r>
        <w:rPr>
          <w:rFonts w:cs="Arial"/>
        </w:rPr>
        <w:t>-Dimethylformamid (DMF) verwendet wird, hat die Emission dieses Stoffes wiederkehrend alle drei Monate im Abgas zu messen. Bis zum Erlass einer einschlägigen DIN EN-Norm schließt die Messung das in der kondensierten Phase enthaltene DMF ein.</w:t>
      </w:r>
    </w:p>
    <w:p>
      <w:pPr>
        <w:pStyle w:val="GesAbsatz"/>
        <w:rPr>
          <w:rFonts w:cs="Arial"/>
        </w:rPr>
      </w:pPr>
      <w:r>
        <w:rPr>
          <w:rFonts w:cs="Arial"/>
        </w:rPr>
        <w:t>(5) Abweichend von § 5 Absatz 6 Satz 4 gilt, dass die Richtigkeit der Lösungsmittelbilanzen von einer zugelassenen Überwachungsstelle oder einem öffentlich bestellten und vereidigten Sachverständigen feststellen zu lassen ist, und zwar zu folgenden Zeitpunkten:</w:t>
      </w:r>
    </w:p>
    <w:p>
      <w:pPr>
        <w:pStyle w:val="GesAbsatz"/>
        <w:ind w:left="420" w:hanging="420"/>
        <w:rPr>
          <w:rFonts w:cs="Arial"/>
        </w:rPr>
      </w:pPr>
      <w:r>
        <w:rPr>
          <w:rFonts w:cs="Arial"/>
        </w:rPr>
        <w:t>1.</w:t>
      </w:r>
      <w:r>
        <w:rPr>
          <w:rFonts w:cs="Arial"/>
        </w:rPr>
        <w:tab/>
        <w:t>bei Neuanlagen und wesentlich geänderten Anlagen erstmals zwölf Monate nach der Inbetriebnahme und danach in jedem dritten Kalenderjahr und</w:t>
      </w:r>
    </w:p>
    <w:p>
      <w:pPr>
        <w:pStyle w:val="GesAbsatz"/>
        <w:ind w:left="420" w:hanging="420"/>
        <w:rPr>
          <w:rFonts w:cs="Arial"/>
        </w:rPr>
      </w:pPr>
      <w:r>
        <w:rPr>
          <w:rFonts w:cs="Arial"/>
        </w:rPr>
        <w:t>2.</w:t>
      </w:r>
      <w:r>
        <w:rPr>
          <w:rFonts w:cs="Arial"/>
        </w:rPr>
        <w:tab/>
        <w:t>bei bestehenden Anlagen erstmals drei Jahre nach dem 16. Januar 2024 und danach in jedem dritten Kalenderjahr.</w:t>
      </w:r>
    </w:p>
    <w:p>
      <w:pPr>
        <w:pStyle w:val="GesAbsatz"/>
        <w:rPr>
          <w:rFonts w:cs="Arial"/>
        </w:rPr>
      </w:pPr>
      <w:r>
        <w:rPr>
          <w:rFonts w:cs="Arial"/>
        </w:rPr>
        <w:t xml:space="preserve">(6) Für Anlagen nach Anhang I Nummer 18.1, in denen Pflanzenöle extrahiert oder raffiniert werden, hat der Betreiber die Messung der gefassten Emissionen flüchtiger organischer Verbindungen einmal im Jahr über </w:t>
      </w:r>
      <w:r>
        <w:rPr>
          <w:rFonts w:cs="Arial"/>
        </w:rPr>
        <w:lastRenderedPageBreak/>
        <w:t>den Zeitraum von zwei Tagen durchzuführen, soweit keine kontinuierlichen Emissionsmessungen gemäß Nummer 5.3.3 der Technischen Anleitung zur Reinhaltung der Luft in der Fassung 18. August 2021 (GMBl., 2021, Nummer 48-54, 1050) erforderlich sind.</w:t>
      </w:r>
    </w:p>
    <w:p>
      <w:pPr>
        <w:pStyle w:val="berschrift2"/>
      </w:pPr>
      <w:bookmarkStart w:id="11" w:name="_Toc157672284"/>
      <w:r>
        <w:t>Teil 4</w:t>
      </w:r>
      <w:r>
        <w:br/>
        <w:t>Gemeinsame Vorschriften</w:t>
      </w:r>
      <w:bookmarkEnd w:id="11"/>
    </w:p>
    <w:p>
      <w:pPr>
        <w:pStyle w:val="berschrift3"/>
      </w:pPr>
      <w:bookmarkStart w:id="12" w:name="_Toc157672285"/>
      <w:r>
        <w:t>§ 7</w:t>
      </w:r>
      <w:r>
        <w:br/>
        <w:t>Ableitbedingungen für Abgase</w:t>
      </w:r>
      <w:bookmarkEnd w:id="12"/>
    </w:p>
    <w:p>
      <w:pPr>
        <w:pStyle w:val="GesAbsatz"/>
        <w:rPr>
          <w:rFonts w:cs="Arial"/>
        </w:rPr>
      </w:pPr>
      <w:r>
        <w:rPr>
          <w:rFonts w:cs="Arial"/>
        </w:rPr>
        <w:t>(1) Der Betreiber einer nicht genehmigungsbedürftigen Anlage hat die gefassten Abgase der Anlage so abzuleiten, dass ein ungestörter Abtransport mit der freien Luftströmung und eine ausreichende Verdünnung nach dem Stand der Technik gewährleistet sind.</w:t>
      </w:r>
    </w:p>
    <w:p>
      <w:pPr>
        <w:pStyle w:val="GesAbsatz"/>
        <w:rPr>
          <w:rFonts w:cs="Arial"/>
        </w:rPr>
      </w:pPr>
      <w:r>
        <w:rPr>
          <w:rFonts w:cs="Arial"/>
        </w:rPr>
        <w:t>(2) Der Betreiber einer genehmigungsbedürftigen Anlage hat die gefassten Abgase der Anlage nach den Anforderungen an die Ableitung von Abgasen gemäß der Technischen Anleitung zur Reinhaltung der Luft vom 18. August 2021 (GMBl., 2021, Nummer 48-54, 1050) abzuleiten.</w:t>
      </w:r>
    </w:p>
    <w:p>
      <w:pPr>
        <w:pStyle w:val="berschrift3"/>
      </w:pPr>
      <w:bookmarkStart w:id="13" w:name="_Toc157672286"/>
      <w:r>
        <w:t>§ 8</w:t>
      </w:r>
      <w:r>
        <w:br/>
        <w:t>Berichterstattung an die Europäische Kommission</w:t>
      </w:r>
      <w:bookmarkEnd w:id="13"/>
    </w:p>
    <w:p>
      <w:pPr>
        <w:pStyle w:val="GesAbsatz"/>
        <w:rPr>
          <w:rFonts w:cs="Arial"/>
        </w:rPr>
      </w:pPr>
      <w:r>
        <w:rPr>
          <w:rFonts w:cs="Arial"/>
        </w:rPr>
        <w:t>(1) Der Betreiber einer Anlage hat die für die Berichterstattung an die Europäische Kommission nach Absatz 2 benötigten Informationen der zuständigen Behörde mitzuteilen. Das Bundesministerium für Umwelt, Naturschutz, nukleare Sicherheit und Verbraucherschutz gibt die zur Erfüllung dieser Verpflichtung erforderlichen Informationen bekannt. Die Informationen schließen die Erfahrungen aus der Anwendung von Reduzierungsplänen ein.</w:t>
      </w:r>
    </w:p>
    <w:p>
      <w:pPr>
        <w:pStyle w:val="GesAbsatz"/>
        <w:rPr>
          <w:rFonts w:cs="Arial"/>
        </w:rPr>
      </w:pPr>
      <w:r>
        <w:rPr>
          <w:rFonts w:cs="Arial"/>
        </w:rPr>
        <w:t>(2) Das Bundesministerium für Umwelt, Naturschutz, nukleare Sicherheit und Verbraucherschutz oder die von ihm beauftragte Stelle übermitteln auf der Grundlage der Stellungnahmen der Länder entsprechend den Anforderungen des Artikels 72 Absatz 1 und 2 der Richtlinie 2010/75/EU einen Bericht über die Durchführung dieser Verordnung.</w:t>
      </w:r>
    </w:p>
    <w:p>
      <w:pPr>
        <w:pStyle w:val="berschrift3"/>
      </w:pPr>
      <w:bookmarkStart w:id="14" w:name="_Toc157672287"/>
      <w:r>
        <w:t>§ 9</w:t>
      </w:r>
      <w:r>
        <w:br/>
        <w:t>Unterrichtung der Öffentlichkeit</w:t>
      </w:r>
      <w:bookmarkEnd w:id="14"/>
    </w:p>
    <w:p>
      <w:pPr>
        <w:pStyle w:val="GesAbsatz"/>
        <w:rPr>
          <w:rFonts w:cs="Arial"/>
        </w:rPr>
      </w:pPr>
      <w:r>
        <w:rPr>
          <w:rFonts w:cs="Arial"/>
        </w:rPr>
        <w:t>Die zuständige Behörde hat der Öffentlichkeit Folgendes zugänglich zu machen:</w:t>
      </w:r>
    </w:p>
    <w:p>
      <w:pPr>
        <w:pStyle w:val="GesAbsatz"/>
        <w:ind w:left="420" w:hanging="420"/>
        <w:rPr>
          <w:rFonts w:cs="Arial"/>
        </w:rPr>
      </w:pPr>
      <w:r>
        <w:rPr>
          <w:rFonts w:cs="Arial"/>
        </w:rPr>
        <w:t>1.</w:t>
      </w:r>
      <w:r>
        <w:rPr>
          <w:rFonts w:cs="Arial"/>
        </w:rPr>
        <w:tab/>
        <w:t>die für Anlagen geltenden allgemein verbindlichen Regeln und die Verzeichnisse der angezeigten und genehmigten Tätigkeiten sowie</w:t>
      </w:r>
    </w:p>
    <w:p>
      <w:pPr>
        <w:pStyle w:val="GesAbsatz"/>
        <w:ind w:left="420" w:hanging="420"/>
        <w:rPr>
          <w:rFonts w:cs="Arial"/>
        </w:rPr>
      </w:pPr>
      <w:r>
        <w:rPr>
          <w:rFonts w:cs="Arial"/>
        </w:rPr>
        <w:t>2.</w:t>
      </w:r>
      <w:r>
        <w:rPr>
          <w:rFonts w:cs="Arial"/>
        </w:rPr>
        <w:tab/>
        <w:t>die ihr vorliegenden Ergebnisse der nach § 5 oder § 6 durchzuführenden Überwachung der Emissionen.</w:t>
      </w:r>
    </w:p>
    <w:p>
      <w:pPr>
        <w:pStyle w:val="GesAbsatz"/>
        <w:rPr>
          <w:rFonts w:cs="Arial"/>
        </w:rPr>
      </w:pPr>
      <w:r>
        <w:rPr>
          <w:rFonts w:cs="Arial"/>
        </w:rPr>
        <w:t>Satz 1 gilt nicht für solche Angaben, aus denen Rückschlüsse auf Betriebs- oder Geschäftsgeheimnisse gezogen werden können.</w:t>
      </w:r>
    </w:p>
    <w:p>
      <w:pPr>
        <w:pStyle w:val="berschrift3"/>
      </w:pPr>
      <w:bookmarkStart w:id="15" w:name="_Toc157672288"/>
      <w:r>
        <w:t>§ 10</w:t>
      </w:r>
      <w:r>
        <w:br/>
        <w:t>Andere oder weitergehende Anforderungen</w:t>
      </w:r>
      <w:bookmarkEnd w:id="15"/>
    </w:p>
    <w:p>
      <w:pPr>
        <w:pStyle w:val="GesAbsatz"/>
        <w:rPr>
          <w:rFonts w:cs="Arial"/>
        </w:rPr>
      </w:pPr>
      <w:r>
        <w:rPr>
          <w:rFonts w:cs="Arial"/>
        </w:rPr>
        <w:t>Die Befugnis der zuständigen Behörde, auf Grund des Bundes-Immissionsschutzgesetzes andere oder weitergehende Anordnungen zu treffen, bleibt unberührt, soweit die Anforderungen der Richtlinie 2010/75/EU nicht entgegenstehen.</w:t>
      </w:r>
    </w:p>
    <w:p>
      <w:pPr>
        <w:pStyle w:val="berschrift3"/>
      </w:pPr>
      <w:bookmarkStart w:id="16" w:name="_Toc157672289"/>
      <w:r>
        <w:t>§ 11</w:t>
      </w:r>
      <w:r>
        <w:br/>
        <w:t>Zulassung von Ausnahmen</w:t>
      </w:r>
      <w:bookmarkEnd w:id="16"/>
    </w:p>
    <w:p>
      <w:pPr>
        <w:pStyle w:val="GesAbsatz"/>
        <w:rPr>
          <w:rFonts w:cs="Arial"/>
        </w:rPr>
      </w:pPr>
      <w:r>
        <w:rPr>
          <w:rFonts w:cs="Arial"/>
        </w:rPr>
        <w:t>Die zuständige Behörde kann auf Antrag des Betreibers Ausnahmen von den Anforderungen dieser Verordnung zulassen, soweit unter Berücksichtigung der besonderen Umstände des Einzelfalls</w:t>
      </w:r>
    </w:p>
    <w:p>
      <w:pPr>
        <w:pStyle w:val="GesAbsatz"/>
        <w:ind w:left="420" w:hanging="420"/>
        <w:rPr>
          <w:rFonts w:cs="Arial"/>
        </w:rPr>
      </w:pPr>
      <w:r>
        <w:rPr>
          <w:rFonts w:cs="Arial"/>
        </w:rPr>
        <w:t>1.</w:t>
      </w:r>
      <w:r>
        <w:rPr>
          <w:rFonts w:cs="Arial"/>
        </w:rPr>
        <w:tab/>
        <w:t>einzelne Anforderungen der Verordnung nicht oder nur mit unverhältnismäßig hohem Aufwand erfüllt werden können,</w:t>
      </w:r>
    </w:p>
    <w:p>
      <w:pPr>
        <w:pStyle w:val="GesAbsatz"/>
        <w:rPr>
          <w:rFonts w:cs="Arial"/>
        </w:rPr>
      </w:pPr>
      <w:r>
        <w:rPr>
          <w:rFonts w:cs="Arial"/>
        </w:rPr>
        <w:t>2.</w:t>
      </w:r>
      <w:r>
        <w:rPr>
          <w:rFonts w:cs="Arial"/>
        </w:rPr>
        <w:tab/>
        <w:t>keine schädlichen Umwelteinwirkungen zu erwarten sind und</w:t>
      </w:r>
    </w:p>
    <w:p>
      <w:pPr>
        <w:pStyle w:val="GesAbsatz"/>
        <w:rPr>
          <w:rFonts w:cs="Arial"/>
        </w:rPr>
      </w:pPr>
      <w:r>
        <w:rPr>
          <w:rFonts w:cs="Arial"/>
        </w:rPr>
        <w:t>3.</w:t>
      </w:r>
      <w:r>
        <w:rPr>
          <w:rFonts w:cs="Arial"/>
        </w:rPr>
        <w:tab/>
        <w:t>die Anforderungen der Richtlinie 2010/75/EU nicht entgegenstehen.</w:t>
      </w:r>
    </w:p>
    <w:p>
      <w:pPr>
        <w:pStyle w:val="berschrift3"/>
      </w:pPr>
      <w:bookmarkStart w:id="17" w:name="_Toc157672290"/>
      <w:r>
        <w:lastRenderedPageBreak/>
        <w:t>§ 12</w:t>
      </w:r>
      <w:r>
        <w:br/>
        <w:t>Ordnungswidrigkeiten</w:t>
      </w:r>
      <w:bookmarkEnd w:id="17"/>
    </w:p>
    <w:p>
      <w:pPr>
        <w:pStyle w:val="GesAbsatz"/>
        <w:rPr>
          <w:rFonts w:cs="Arial"/>
        </w:rPr>
      </w:pPr>
      <w:r>
        <w:rPr>
          <w:rFonts w:cs="Arial"/>
        </w:rPr>
        <w:t>(1) Ordnungswidrig im Sinne des § 62 Absatz 1 Nummer 2 des Bundes-Immissionsschutzgesetzes handelt, wer vorsätzlich oder fahrlässig</w:t>
      </w:r>
    </w:p>
    <w:p>
      <w:pPr>
        <w:pStyle w:val="GesAbsatz"/>
        <w:ind w:left="420" w:hanging="420"/>
        <w:rPr>
          <w:rFonts w:cs="Arial"/>
        </w:rPr>
      </w:pPr>
      <w:r>
        <w:rPr>
          <w:rFonts w:cs="Arial"/>
        </w:rPr>
        <w:t>1.</w:t>
      </w:r>
      <w:r>
        <w:rPr>
          <w:rFonts w:cs="Arial"/>
        </w:rPr>
        <w:tab/>
        <w:t>entgegen § 3 Absatz 1 Nummer 2 oder § 4 Absatz 1 eine genehmigungsbedürftige Anlage nicht richtig errichtet oder nicht richtig betreibt,</w:t>
      </w:r>
    </w:p>
    <w:p>
      <w:pPr>
        <w:pStyle w:val="GesAbsatz"/>
        <w:ind w:left="420" w:hanging="420"/>
        <w:rPr>
          <w:rFonts w:cs="Arial"/>
        </w:rPr>
      </w:pPr>
      <w:r>
        <w:rPr>
          <w:rFonts w:cs="Arial"/>
        </w:rPr>
        <w:t>2.</w:t>
      </w:r>
      <w:r>
        <w:rPr>
          <w:rFonts w:cs="Arial"/>
        </w:rPr>
        <w:tab/>
        <w:t>entgegen § 6 Absatz 1 Satz 3 eine in Absatz 2 Nummer 2 Buchstabe b, Nummer 4 bis 6 bezeichnete Handlung in Bezug auf eine genehmigungsbedürftige Anlage begeht,</w:t>
      </w:r>
    </w:p>
    <w:p>
      <w:pPr>
        <w:pStyle w:val="GesAbsatz"/>
        <w:rPr>
          <w:rFonts w:cs="Arial"/>
        </w:rPr>
      </w:pPr>
      <w:r>
        <w:rPr>
          <w:rFonts w:cs="Arial"/>
        </w:rPr>
        <w:t>3.</w:t>
      </w:r>
      <w:r>
        <w:rPr>
          <w:rFonts w:cs="Arial"/>
        </w:rPr>
        <w:tab/>
        <w:t>entgegen § 6 Absatz 2 Satz 1 dort genannte Emissionen nicht, nicht richtig oder nicht rechtzeitig ermittelt,</w:t>
      </w:r>
    </w:p>
    <w:p>
      <w:pPr>
        <w:pStyle w:val="GesAbsatz"/>
        <w:ind w:left="420" w:hanging="420"/>
        <w:rPr>
          <w:rFonts w:cs="Arial"/>
        </w:rPr>
      </w:pPr>
      <w:r>
        <w:rPr>
          <w:rFonts w:cs="Arial"/>
        </w:rPr>
        <w:t>4.</w:t>
      </w:r>
      <w:r>
        <w:rPr>
          <w:rFonts w:cs="Arial"/>
        </w:rPr>
        <w:tab/>
        <w:t>entgegen § 6 Absatz 2 Satz 3 die Brennkammertemperatur nicht, nicht richtig oder nicht vollständig erfasst oder nicht, nicht richtig oder nicht vollständig aufzeichnet,</w:t>
      </w:r>
    </w:p>
    <w:p>
      <w:pPr>
        <w:pStyle w:val="GesAbsatz"/>
        <w:ind w:left="420" w:hanging="420"/>
        <w:rPr>
          <w:rFonts w:cs="Arial"/>
        </w:rPr>
      </w:pPr>
      <w:r>
        <w:rPr>
          <w:rFonts w:cs="Arial"/>
        </w:rPr>
        <w:t>5.</w:t>
      </w:r>
      <w:r>
        <w:rPr>
          <w:rFonts w:cs="Arial"/>
        </w:rPr>
        <w:tab/>
        <w:t>Entgegen § 6 Absatz 2 Satz 4 nicht sicherstellt, dass das Unterschreiten der festgelegten Brennkammertemperatur angezeigt wird,</w:t>
      </w:r>
    </w:p>
    <w:p>
      <w:pPr>
        <w:pStyle w:val="GesAbsatz"/>
        <w:ind w:left="420" w:hanging="420"/>
        <w:rPr>
          <w:rFonts w:cs="Arial"/>
        </w:rPr>
      </w:pPr>
      <w:r>
        <w:rPr>
          <w:rFonts w:cs="Arial"/>
        </w:rPr>
        <w:t>6.</w:t>
      </w:r>
      <w:r>
        <w:rPr>
          <w:rFonts w:cs="Arial"/>
        </w:rPr>
        <w:tab/>
        <w:t>entgegen § 6 Absatz 4 Satz 1 oder Absatz 6 eine Messung nicht, nicht richtig oder nicht rechtzeitig durchführt oder</w:t>
      </w:r>
    </w:p>
    <w:p>
      <w:pPr>
        <w:pStyle w:val="GesAbsatz"/>
        <w:rPr>
          <w:rFonts w:cs="Arial"/>
        </w:rPr>
      </w:pPr>
      <w:r>
        <w:rPr>
          <w:rFonts w:cs="Arial"/>
        </w:rPr>
        <w:t>7.</w:t>
      </w:r>
      <w:r>
        <w:rPr>
          <w:rFonts w:cs="Arial"/>
        </w:rPr>
        <w:tab/>
        <w:t>entgegen § 7 Absatz 2 Abgase nicht oder nicht richtig ableitet.</w:t>
      </w:r>
    </w:p>
    <w:p>
      <w:pPr>
        <w:pStyle w:val="GesAbsatz"/>
        <w:rPr>
          <w:rFonts w:cs="Arial"/>
        </w:rPr>
      </w:pPr>
      <w:r>
        <w:rPr>
          <w:rFonts w:cs="Arial"/>
        </w:rPr>
        <w:t>(2) Ordnungswidrig im Sinne des § 62 Absatz 1 Nummer 7 des Bundes-Immissionsschutzgesetzes handelt, wer vorsätzlich oder fahrlässig</w:t>
      </w:r>
    </w:p>
    <w:p>
      <w:pPr>
        <w:pStyle w:val="GesAbsatz"/>
        <w:rPr>
          <w:rFonts w:cs="Arial"/>
        </w:rPr>
      </w:pPr>
      <w:r>
        <w:rPr>
          <w:rFonts w:cs="Arial"/>
        </w:rPr>
        <w:t>1.</w:t>
      </w:r>
      <w:r>
        <w:rPr>
          <w:rFonts w:cs="Arial"/>
        </w:rPr>
        <w:tab/>
        <w:t>entgegen § 5 Absatz 2 Satz 1, 2 oder 3 eine Anzeige nicht, nicht richtig oder nicht rechtzeitig erstattet,</w:t>
      </w:r>
    </w:p>
    <w:p>
      <w:pPr>
        <w:pStyle w:val="GesAbsatz"/>
        <w:rPr>
          <w:rFonts w:cs="Arial"/>
        </w:rPr>
      </w:pPr>
      <w:r>
        <w:rPr>
          <w:rFonts w:cs="Arial"/>
        </w:rPr>
        <w:t>2.</w:t>
      </w:r>
      <w:r>
        <w:rPr>
          <w:rFonts w:cs="Arial"/>
        </w:rPr>
        <w:tab/>
        <w:t>entgegen § 5</w:t>
      </w:r>
    </w:p>
    <w:p>
      <w:pPr>
        <w:pStyle w:val="GesAbsatz"/>
        <w:tabs>
          <w:tab w:val="left" w:pos="851"/>
        </w:tabs>
        <w:ind w:left="851" w:hanging="425"/>
        <w:rPr>
          <w:rFonts w:cs="Arial"/>
        </w:rPr>
      </w:pPr>
      <w:r>
        <w:rPr>
          <w:rFonts w:cs="Arial"/>
        </w:rPr>
        <w:t>a)</w:t>
      </w:r>
      <w:r>
        <w:rPr>
          <w:rFonts w:cs="Arial"/>
        </w:rPr>
        <w:tab/>
        <w:t>Absatz 4 Satz 1 oder</w:t>
      </w:r>
    </w:p>
    <w:p>
      <w:pPr>
        <w:pStyle w:val="GesAbsatz"/>
        <w:tabs>
          <w:tab w:val="left" w:pos="851"/>
        </w:tabs>
        <w:ind w:left="851" w:hanging="425"/>
        <w:rPr>
          <w:rFonts w:cs="Arial"/>
        </w:rPr>
      </w:pPr>
      <w:r>
        <w:rPr>
          <w:rFonts w:cs="Arial"/>
        </w:rPr>
        <w:t>b)</w:t>
      </w:r>
      <w:r>
        <w:rPr>
          <w:rFonts w:cs="Arial"/>
        </w:rPr>
        <w:tab/>
        <w:t>Absatz 6 Satz 1 Nummer 1 oder 2, jeweils auch in Verbindung mit Satz 6,</w:t>
      </w:r>
    </w:p>
    <w:p>
      <w:pPr>
        <w:pStyle w:val="GesAbsatz"/>
        <w:tabs>
          <w:tab w:val="left" w:pos="851"/>
        </w:tabs>
        <w:ind w:left="851" w:hanging="425"/>
        <w:rPr>
          <w:rFonts w:cs="Arial"/>
        </w:rPr>
      </w:pPr>
      <w:r>
        <w:rPr>
          <w:rFonts w:cs="Arial"/>
        </w:rPr>
        <w:t>die Einhaltung einer dort genannten Anforderung nicht, nicht richtig oder nicht rechtzeitig feststellen lässt,</w:t>
      </w:r>
    </w:p>
    <w:p>
      <w:pPr>
        <w:pStyle w:val="GesAbsatz"/>
        <w:rPr>
          <w:rFonts w:cs="Arial"/>
        </w:rPr>
      </w:pPr>
      <w:r>
        <w:rPr>
          <w:rFonts w:cs="Arial"/>
        </w:rPr>
        <w:t>3.</w:t>
      </w:r>
      <w:r>
        <w:rPr>
          <w:rFonts w:cs="Arial"/>
        </w:rPr>
        <w:tab/>
        <w:t>entgegen § 5 Absatz 5 Satz 1 eine Anlage nicht oder nicht rechtzeitig ausstattet,</w:t>
      </w:r>
    </w:p>
    <w:p>
      <w:pPr>
        <w:pStyle w:val="GesAbsatz"/>
        <w:ind w:left="420" w:hanging="420"/>
        <w:rPr>
          <w:rFonts w:cs="Arial"/>
        </w:rPr>
      </w:pPr>
      <w:r>
        <w:rPr>
          <w:rFonts w:cs="Arial"/>
        </w:rPr>
        <w:t>4.</w:t>
      </w:r>
      <w:r>
        <w:rPr>
          <w:rFonts w:cs="Arial"/>
        </w:rPr>
        <w:tab/>
        <w:t>entgegen § 5 Absatz 7 Satz 3 oder Absatz 8 Nummer 1 eine Ausfertigung des Reduzierungsplans oder einen dort genannten Bericht nicht oder nicht für die vorgeschriebene Dauer aufbewahrt,</w:t>
      </w:r>
    </w:p>
    <w:p>
      <w:pPr>
        <w:pStyle w:val="GesAbsatz"/>
        <w:ind w:left="420" w:hanging="420"/>
        <w:rPr>
          <w:rFonts w:cs="Arial"/>
        </w:rPr>
      </w:pPr>
      <w:r>
        <w:rPr>
          <w:rFonts w:cs="Arial"/>
        </w:rPr>
        <w:t>5.</w:t>
      </w:r>
      <w:r>
        <w:rPr>
          <w:rFonts w:cs="Arial"/>
        </w:rPr>
        <w:tab/>
        <w:t>entgegen § 5 Absatz 8 einen Bericht nicht, nicht richtig, nicht vollständig oder nicht rechtzeitig erstellt und nicht, nicht richtig, nicht vollständig oder nicht rechtzeitig erstellen lässt oder einen Bericht nicht oder nicht rechtzeitig vorlegt,</w:t>
      </w:r>
    </w:p>
    <w:p>
      <w:pPr>
        <w:pStyle w:val="GesAbsatz"/>
        <w:rPr>
          <w:rFonts w:cs="Arial"/>
        </w:rPr>
      </w:pPr>
      <w:r>
        <w:rPr>
          <w:rFonts w:cs="Arial"/>
        </w:rPr>
        <w:t>6.</w:t>
      </w:r>
      <w:r>
        <w:rPr>
          <w:rFonts w:cs="Arial"/>
        </w:rPr>
        <w:tab/>
        <w:t>entgegen § 5 Absatz 9 Satz 2 eine Maßnahme nicht, nicht richtig oder nicht rechtzeitig trifft,</w:t>
      </w:r>
    </w:p>
    <w:p>
      <w:pPr>
        <w:pStyle w:val="GesAbsatz"/>
        <w:rPr>
          <w:rFonts w:cs="Arial"/>
        </w:rPr>
      </w:pPr>
      <w:r>
        <w:rPr>
          <w:rFonts w:cs="Arial"/>
        </w:rPr>
        <w:t>7.</w:t>
      </w:r>
      <w:r>
        <w:rPr>
          <w:rFonts w:cs="Arial"/>
        </w:rPr>
        <w:tab/>
        <w:t>entgegen § 7 Absatz 1 Abgase nicht oder nicht richtig ableitet oder</w:t>
      </w:r>
    </w:p>
    <w:p>
      <w:pPr>
        <w:pStyle w:val="GesAbsatz"/>
        <w:ind w:left="420" w:hanging="420"/>
        <w:rPr>
          <w:rFonts w:cs="Arial"/>
        </w:rPr>
      </w:pPr>
      <w:r>
        <w:rPr>
          <w:rFonts w:cs="Arial"/>
        </w:rPr>
        <w:t>8.</w:t>
      </w:r>
      <w:r>
        <w:rPr>
          <w:rFonts w:cs="Arial"/>
        </w:rPr>
        <w:tab/>
        <w:t>eine in Absatz 1 Nummer 1 bezeichnete Handlung in Bezug auf eine nicht genehmigungsbedürftige Anlage begeht.</w:t>
      </w:r>
    </w:p>
    <w:p>
      <w:pPr>
        <w:pStyle w:val="berschrift2"/>
      </w:pPr>
      <w:bookmarkStart w:id="18" w:name="_Toc157672291"/>
      <w:r>
        <w:t>Teil 5</w:t>
      </w:r>
      <w:r>
        <w:br/>
        <w:t>Schlussvorschriften</w:t>
      </w:r>
      <w:bookmarkEnd w:id="18"/>
    </w:p>
    <w:p>
      <w:pPr>
        <w:pStyle w:val="berschrift3"/>
      </w:pPr>
      <w:bookmarkStart w:id="19" w:name="_Toc157672292"/>
      <w:r>
        <w:t>§ 13</w:t>
      </w:r>
      <w:r>
        <w:br/>
        <w:t>Übergangsvorschriften, Inkrafttreten, Außerkrafttreten</w:t>
      </w:r>
      <w:bookmarkEnd w:id="19"/>
    </w:p>
    <w:p>
      <w:pPr>
        <w:pStyle w:val="GesAbsatz"/>
        <w:ind w:left="420" w:hanging="420"/>
        <w:rPr>
          <w:rFonts w:cs="Arial"/>
        </w:rPr>
      </w:pPr>
      <w:r>
        <w:rPr>
          <w:rFonts w:cs="Arial"/>
        </w:rPr>
        <w:t>(1) Die Vorschriften gelten</w:t>
      </w:r>
    </w:p>
    <w:p>
      <w:pPr>
        <w:pStyle w:val="GesAbsatz"/>
        <w:ind w:left="420" w:hanging="420"/>
        <w:rPr>
          <w:rFonts w:cs="Arial"/>
        </w:rPr>
      </w:pPr>
      <w:r>
        <w:rPr>
          <w:rFonts w:cs="Arial"/>
        </w:rPr>
        <w:t>1.</w:t>
      </w:r>
      <w:r>
        <w:rPr>
          <w:rFonts w:cs="Arial"/>
        </w:rPr>
        <w:tab/>
        <w:t>für bestehende Anlagen der Nummer 6.4 des Anhangs I der Richtlinie 2010/75/EU ab dem 4. Dezember 2023 und</w:t>
      </w:r>
    </w:p>
    <w:p>
      <w:pPr>
        <w:pStyle w:val="GesAbsatz"/>
        <w:ind w:left="420" w:hanging="420"/>
        <w:rPr>
          <w:rFonts w:cs="Arial"/>
        </w:rPr>
      </w:pPr>
      <w:r>
        <w:rPr>
          <w:rFonts w:cs="Arial"/>
        </w:rPr>
        <w:t>2.</w:t>
      </w:r>
      <w:r>
        <w:rPr>
          <w:rFonts w:cs="Arial"/>
        </w:rPr>
        <w:tab/>
        <w:t>für bestehende Anlagen der Nummern 6.7 und 6.10 des Anhangs I der Richtlinie 2010/75/EU ab dem 9. Dezember 2024.</w:t>
      </w:r>
    </w:p>
    <w:p>
      <w:pPr>
        <w:pStyle w:val="GesAbsatz"/>
        <w:rPr>
          <w:rFonts w:cs="Arial"/>
        </w:rPr>
      </w:pPr>
      <w:r>
        <w:rPr>
          <w:rFonts w:cs="Arial"/>
        </w:rPr>
        <w:t>Bis zu den in Satz 1 genannten Zeitpunkten sind jeweils die Vorschriften der Verordnung zur Begrenzung der Emissionen flüchtiger organischer Verbindungen bei der Verwendung organischer Lösemittel in bestimmten Anlagen vom 21. August 2001 (BGBl. I S. 2180), in ihrer bis zum 16. Januar 2024 geltenden Fassung weiter anzuwenden.</w:t>
      </w:r>
    </w:p>
    <w:p>
      <w:pPr>
        <w:pStyle w:val="GesAbsatz"/>
        <w:rPr>
          <w:rFonts w:cs="Arial"/>
        </w:rPr>
      </w:pPr>
      <w:r>
        <w:rPr>
          <w:rFonts w:cs="Arial"/>
        </w:rPr>
        <w:t xml:space="preserve">(2) Die Vorschriften gelten für alle bestehenden Anlagen, die nicht in den Anwendungsbereich des Absatzes 1 fallen, ab dem 16. Januar 2029. Bis zu dem in Satz 1 genannten Zeitpunkt sind jeweils die Vorschriften der </w:t>
      </w:r>
      <w:r>
        <w:rPr>
          <w:rFonts w:cs="Arial"/>
        </w:rPr>
        <w:lastRenderedPageBreak/>
        <w:t>Verordnung zur Begrenzung der Emissionen flüchtiger organischer Verbindungen bei der Verwendung organischer Lösemittel in bestimmten Anlagen vom 21. August 2001 (BGBl. I S. 2180), in ihrer bis zum 16. Januar 2024 geltenden Fassung weiter anzuwenden. § 6 Absatz 5 Nummer 2 geht der Regelung in Satz 1 vor.</w:t>
      </w:r>
    </w:p>
    <w:p>
      <w:pPr>
        <w:pStyle w:val="GesAbsatz"/>
        <w:rPr>
          <w:rFonts w:cs="Arial"/>
        </w:rPr>
      </w:pPr>
      <w:r>
        <w:rPr>
          <w:rFonts w:cs="Arial"/>
        </w:rPr>
        <w:t>(3) Diese Verordnung tritt am Tag nach der Verkündung in Kraft. Gleichzeitig tritt die Verordnung zur Begrenzung der Emissionen flüchtiger organischer Verbindungen bei der Verwendung organischer Lösemittel in bestimmten Anlagen vom 21. August 2001 (BGBl. I S. 2180), die zuletzt durch Artikel 13 des Gesetzes vom 27. Juli 2021 (BGBl. I S. 3146) geändert worden ist, außer Kraft.</w:t>
      </w:r>
    </w:p>
    <w:p>
      <w:pPr>
        <w:pStyle w:val="GesAbsatz"/>
        <w:rPr>
          <w:rFonts w:cs="Arial"/>
        </w:rPr>
      </w:pPr>
    </w:p>
    <w:p>
      <w:pPr>
        <w:pStyle w:val="berschrift2"/>
        <w:jc w:val="left"/>
      </w:pPr>
      <w:r>
        <w:br w:type="page"/>
      </w:r>
      <w:bookmarkStart w:id="20" w:name="_Toc157672293"/>
      <w:r>
        <w:lastRenderedPageBreak/>
        <w:t>Anhang I (zu § 1)</w:t>
      </w:r>
      <w:bookmarkEnd w:id="20"/>
    </w:p>
    <w:p>
      <w:pPr>
        <w:pStyle w:val="GesAbsatz"/>
        <w:jc w:val="center"/>
        <w:rPr>
          <w:rFonts w:cs="Arial"/>
          <w:b/>
          <w:bCs/>
        </w:rPr>
      </w:pPr>
      <w:r>
        <w:rPr>
          <w:rFonts w:cs="Arial"/>
          <w:b/>
          <w:bCs/>
        </w:rPr>
        <w:t>Liste der Anlagen</w:t>
      </w:r>
    </w:p>
    <w:tbl>
      <w:tblPr>
        <w:tblW w:w="9998" w:type="dxa"/>
        <w:tblLayout w:type="fixed"/>
        <w:tblLook w:val="0000" w:firstRow="0" w:lastRow="0" w:firstColumn="0" w:lastColumn="0" w:noHBand="0" w:noVBand="0"/>
      </w:tblPr>
      <w:tblGrid>
        <w:gridCol w:w="616"/>
        <w:gridCol w:w="93"/>
        <w:gridCol w:w="5103"/>
        <w:gridCol w:w="2072"/>
        <w:gridCol w:w="2114"/>
      </w:tblGrid>
      <w:tr>
        <w:trPr>
          <w:trHeight w:val="795"/>
          <w:tblHeader/>
        </w:trPr>
        <w:tc>
          <w:tcPr>
            <w:tcW w:w="5812" w:type="dxa"/>
            <w:gridSpan w:val="3"/>
            <w:tcBorders>
              <w:top w:val="single" w:sz="6" w:space="0" w:color="000000"/>
              <w:bottom w:val="single" w:sz="6" w:space="0" w:color="000000"/>
              <w:right w:val="single" w:sz="6" w:space="0" w:color="000000"/>
            </w:tcBorders>
            <w:vAlign w:val="center"/>
          </w:tcPr>
          <w:p>
            <w:pPr>
              <w:pStyle w:val="GesAbsatz"/>
              <w:jc w:val="center"/>
              <w:rPr>
                <w:rFonts w:cs="Arial"/>
              </w:rPr>
            </w:pPr>
            <w:r>
              <w:rPr>
                <w:rFonts w:cs="Arial"/>
              </w:rPr>
              <w:t>Bezeichnung der Anlage</w:t>
            </w:r>
          </w:p>
        </w:tc>
        <w:tc>
          <w:tcPr>
            <w:tcW w:w="2072" w:type="dxa"/>
            <w:tcBorders>
              <w:top w:val="single" w:sz="6" w:space="0" w:color="000000"/>
              <w:left w:val="single" w:sz="6" w:space="0" w:color="000000"/>
              <w:bottom w:val="single" w:sz="6" w:space="0" w:color="000000"/>
              <w:right w:val="single" w:sz="6" w:space="0" w:color="000000"/>
            </w:tcBorders>
            <w:vAlign w:val="center"/>
          </w:tcPr>
          <w:p>
            <w:pPr>
              <w:pStyle w:val="GesAbsatz"/>
              <w:jc w:val="center"/>
              <w:rPr>
                <w:rFonts w:cs="Arial"/>
              </w:rPr>
            </w:pPr>
            <w:r>
              <w:rPr>
                <w:rFonts w:cs="Arial"/>
              </w:rPr>
              <w:t>Schwellenwert für den Lösungsmittelverbrauch (t/a)</w:t>
            </w:r>
          </w:p>
        </w:tc>
        <w:tc>
          <w:tcPr>
            <w:tcW w:w="2114" w:type="dxa"/>
            <w:tcBorders>
              <w:top w:val="single" w:sz="6" w:space="0" w:color="000000"/>
              <w:left w:val="single" w:sz="6" w:space="0" w:color="000000"/>
              <w:bottom w:val="single" w:sz="6" w:space="0" w:color="000000"/>
            </w:tcBorders>
            <w:vAlign w:val="center"/>
          </w:tcPr>
          <w:p>
            <w:pPr>
              <w:pStyle w:val="GesAbsatz"/>
              <w:jc w:val="center"/>
              <w:rPr>
                <w:rFonts w:cs="Arial"/>
              </w:rPr>
            </w:pPr>
            <w:r>
              <w:rPr>
                <w:rFonts w:cs="Arial"/>
              </w:rPr>
              <w:t>Nummer der zugeordneten Tätigkeit im Anhang II</w:t>
            </w:r>
          </w:p>
        </w:tc>
      </w:tr>
      <w:tr>
        <w:trPr>
          <w:trHeight w:val="338"/>
        </w:trPr>
        <w:tc>
          <w:tcPr>
            <w:tcW w:w="709" w:type="dxa"/>
            <w:gridSpan w:val="2"/>
            <w:tcBorders>
              <w:top w:val="single" w:sz="6" w:space="0" w:color="000000"/>
            </w:tcBorders>
          </w:tcPr>
          <w:p>
            <w:pPr>
              <w:pStyle w:val="GesAbsatz"/>
              <w:jc w:val="left"/>
              <w:rPr>
                <w:rFonts w:cs="Arial"/>
                <w:b/>
              </w:rPr>
            </w:pPr>
            <w:r>
              <w:rPr>
                <w:rFonts w:cs="Arial"/>
                <w:b/>
              </w:rPr>
              <w:t xml:space="preserve">1. </w:t>
            </w:r>
          </w:p>
        </w:tc>
        <w:tc>
          <w:tcPr>
            <w:tcW w:w="5103" w:type="dxa"/>
            <w:tcBorders>
              <w:top w:val="single" w:sz="6" w:space="0" w:color="000000"/>
              <w:right w:val="single" w:sz="6" w:space="0" w:color="000000"/>
            </w:tcBorders>
          </w:tcPr>
          <w:p>
            <w:pPr>
              <w:pStyle w:val="GesAbsatz"/>
              <w:jc w:val="left"/>
              <w:rPr>
                <w:rFonts w:cs="Arial"/>
                <w:b/>
              </w:rPr>
            </w:pPr>
            <w:r>
              <w:rPr>
                <w:rFonts w:cs="Arial"/>
                <w:b/>
              </w:rPr>
              <w:t>Reproduktion von Text oder von Bildern</w:t>
            </w:r>
          </w:p>
        </w:tc>
        <w:tc>
          <w:tcPr>
            <w:tcW w:w="2072" w:type="dxa"/>
            <w:tcBorders>
              <w:top w:val="single" w:sz="6" w:space="0" w:color="000000"/>
              <w:left w:val="single" w:sz="6" w:space="0" w:color="000000"/>
              <w:right w:val="single" w:sz="6" w:space="0" w:color="000000"/>
            </w:tcBorders>
          </w:tcPr>
          <w:p>
            <w:pPr>
              <w:pStyle w:val="GesAbsatz"/>
              <w:jc w:val="center"/>
              <w:rPr>
                <w:rFonts w:cs="Arial"/>
                <w:color w:val="auto"/>
              </w:rPr>
            </w:pPr>
          </w:p>
        </w:tc>
        <w:tc>
          <w:tcPr>
            <w:tcW w:w="2114" w:type="dxa"/>
            <w:tcBorders>
              <w:top w:val="single" w:sz="6" w:space="0" w:color="000000"/>
              <w:left w:val="single" w:sz="6" w:space="0" w:color="000000"/>
            </w:tcBorders>
          </w:tcPr>
          <w:p>
            <w:pPr>
              <w:pStyle w:val="GesAbsatz"/>
              <w:jc w:val="center"/>
              <w:rPr>
                <w:rFonts w:cs="Arial"/>
                <w:color w:val="auto"/>
              </w:rPr>
            </w:pPr>
          </w:p>
        </w:tc>
      </w:tr>
      <w:tr>
        <w:trPr>
          <w:trHeight w:val="305"/>
        </w:trPr>
        <w:tc>
          <w:tcPr>
            <w:tcW w:w="709" w:type="dxa"/>
            <w:gridSpan w:val="2"/>
          </w:tcPr>
          <w:p>
            <w:pPr>
              <w:pStyle w:val="GesAbsatz"/>
              <w:jc w:val="left"/>
              <w:rPr>
                <w:rFonts w:cs="Arial"/>
              </w:rPr>
            </w:pPr>
            <w:r>
              <w:rPr>
                <w:rFonts w:cs="Arial"/>
              </w:rPr>
              <w:t xml:space="preserve">1.1 </w:t>
            </w:r>
          </w:p>
        </w:tc>
        <w:tc>
          <w:tcPr>
            <w:tcW w:w="5103" w:type="dxa"/>
            <w:tcBorders>
              <w:right w:val="single" w:sz="6" w:space="0" w:color="000000"/>
            </w:tcBorders>
          </w:tcPr>
          <w:p>
            <w:pPr>
              <w:pStyle w:val="GesAbsatz"/>
              <w:jc w:val="left"/>
              <w:rPr>
                <w:rFonts w:cs="Arial"/>
              </w:rPr>
            </w:pPr>
            <w:r>
              <w:rPr>
                <w:rFonts w:cs="Arial"/>
              </w:rPr>
              <w:t>Anlagen mit dem Heatset-Rollenoffset-Druckverfahren</w:t>
            </w:r>
          </w:p>
        </w:tc>
        <w:tc>
          <w:tcPr>
            <w:tcW w:w="2072" w:type="dxa"/>
            <w:tcBorders>
              <w:left w:val="single" w:sz="6" w:space="0" w:color="000000"/>
              <w:right w:val="single" w:sz="6" w:space="0" w:color="000000"/>
            </w:tcBorders>
          </w:tcPr>
          <w:p>
            <w:pPr>
              <w:pStyle w:val="GesAbsatz"/>
              <w:jc w:val="center"/>
              <w:rPr>
                <w:rFonts w:cs="Arial"/>
              </w:rPr>
            </w:pPr>
            <w:r>
              <w:rPr>
                <w:rFonts w:cs="Arial"/>
              </w:rPr>
              <w:t>15</w:t>
            </w:r>
          </w:p>
        </w:tc>
        <w:tc>
          <w:tcPr>
            <w:tcW w:w="2114" w:type="dxa"/>
            <w:tcBorders>
              <w:left w:val="single" w:sz="6" w:space="0" w:color="000000"/>
            </w:tcBorders>
          </w:tcPr>
          <w:p>
            <w:pPr>
              <w:pStyle w:val="GesAbsatz"/>
              <w:jc w:val="center"/>
              <w:rPr>
                <w:rFonts w:cs="Arial"/>
              </w:rPr>
            </w:pPr>
            <w:r>
              <w:rPr>
                <w:rFonts w:cs="Arial"/>
              </w:rPr>
              <w:t>1.1</w:t>
            </w:r>
          </w:p>
        </w:tc>
      </w:tr>
      <w:tr>
        <w:trPr>
          <w:trHeight w:val="310"/>
        </w:trPr>
        <w:tc>
          <w:tcPr>
            <w:tcW w:w="709" w:type="dxa"/>
            <w:gridSpan w:val="2"/>
          </w:tcPr>
          <w:p>
            <w:pPr>
              <w:pStyle w:val="GesAbsatz"/>
              <w:jc w:val="left"/>
              <w:rPr>
                <w:rFonts w:cs="Arial"/>
              </w:rPr>
            </w:pPr>
            <w:r>
              <w:rPr>
                <w:rFonts w:cs="Arial"/>
              </w:rPr>
              <w:t xml:space="preserve">1.2 </w:t>
            </w:r>
          </w:p>
        </w:tc>
        <w:tc>
          <w:tcPr>
            <w:tcW w:w="5103" w:type="dxa"/>
            <w:tcBorders>
              <w:right w:val="single" w:sz="6" w:space="0" w:color="000000"/>
            </w:tcBorders>
          </w:tcPr>
          <w:p>
            <w:pPr>
              <w:pStyle w:val="GesAbsatz"/>
              <w:jc w:val="left"/>
              <w:rPr>
                <w:rFonts w:cs="Arial"/>
              </w:rPr>
            </w:pPr>
            <w:r>
              <w:rPr>
                <w:rFonts w:cs="Arial"/>
              </w:rPr>
              <w:t>Anlagen mit dem Illustrationstiefdruckverfahren</w:t>
            </w:r>
          </w:p>
        </w:tc>
        <w:tc>
          <w:tcPr>
            <w:tcW w:w="2072" w:type="dxa"/>
            <w:tcBorders>
              <w:left w:val="single" w:sz="6" w:space="0" w:color="000000"/>
              <w:right w:val="single" w:sz="6" w:space="0" w:color="000000"/>
            </w:tcBorders>
          </w:tcPr>
          <w:p>
            <w:pPr>
              <w:pStyle w:val="GesAbsatz"/>
              <w:jc w:val="center"/>
              <w:rPr>
                <w:rFonts w:cs="Arial"/>
              </w:rPr>
            </w:pPr>
            <w:r>
              <w:rPr>
                <w:rFonts w:cs="Arial"/>
              </w:rPr>
              <w:t>25</w:t>
            </w:r>
          </w:p>
        </w:tc>
        <w:tc>
          <w:tcPr>
            <w:tcW w:w="2114" w:type="dxa"/>
            <w:tcBorders>
              <w:left w:val="single" w:sz="6" w:space="0" w:color="000000"/>
            </w:tcBorders>
          </w:tcPr>
          <w:p>
            <w:pPr>
              <w:pStyle w:val="GesAbsatz"/>
              <w:jc w:val="center"/>
              <w:rPr>
                <w:rFonts w:cs="Arial"/>
              </w:rPr>
            </w:pPr>
            <w:r>
              <w:rPr>
                <w:rFonts w:cs="Arial"/>
              </w:rPr>
              <w:t>1.2</w:t>
            </w:r>
          </w:p>
        </w:tc>
      </w:tr>
      <w:tr>
        <w:trPr>
          <w:trHeight w:val="313"/>
        </w:trPr>
        <w:tc>
          <w:tcPr>
            <w:tcW w:w="709" w:type="dxa"/>
            <w:gridSpan w:val="2"/>
          </w:tcPr>
          <w:p>
            <w:pPr>
              <w:pStyle w:val="GesAbsatz"/>
              <w:jc w:val="left"/>
              <w:rPr>
                <w:rFonts w:cs="Arial"/>
              </w:rPr>
            </w:pPr>
            <w:r>
              <w:rPr>
                <w:rFonts w:cs="Arial"/>
              </w:rPr>
              <w:t xml:space="preserve">1.3 </w:t>
            </w:r>
          </w:p>
        </w:tc>
        <w:tc>
          <w:tcPr>
            <w:tcW w:w="5103" w:type="dxa"/>
            <w:tcBorders>
              <w:right w:val="single" w:sz="6" w:space="0" w:color="000000"/>
            </w:tcBorders>
          </w:tcPr>
          <w:p>
            <w:pPr>
              <w:pStyle w:val="GesAbsatz"/>
              <w:jc w:val="left"/>
              <w:rPr>
                <w:rFonts w:cs="Arial"/>
              </w:rPr>
            </w:pPr>
            <w:r>
              <w:rPr>
                <w:rFonts w:cs="Arial"/>
              </w:rPr>
              <w:t>Anlagen für sonstige Drucktätigkeiten</w:t>
            </w:r>
          </w:p>
        </w:tc>
        <w:tc>
          <w:tcPr>
            <w:tcW w:w="2072" w:type="dxa"/>
            <w:tcBorders>
              <w:left w:val="single" w:sz="6" w:space="0" w:color="000000"/>
              <w:right w:val="single" w:sz="6" w:space="0" w:color="000000"/>
            </w:tcBorders>
          </w:tcPr>
          <w:p>
            <w:pPr>
              <w:pStyle w:val="GesAbsatz"/>
              <w:jc w:val="center"/>
              <w:rPr>
                <w:rFonts w:cs="Arial"/>
              </w:rPr>
            </w:pPr>
            <w:r>
              <w:rPr>
                <w:rFonts w:cs="Arial"/>
              </w:rPr>
              <w:t>15</w:t>
            </w:r>
          </w:p>
        </w:tc>
        <w:tc>
          <w:tcPr>
            <w:tcW w:w="2114" w:type="dxa"/>
            <w:tcBorders>
              <w:left w:val="single" w:sz="6" w:space="0" w:color="000000"/>
            </w:tcBorders>
          </w:tcPr>
          <w:p>
            <w:pPr>
              <w:pStyle w:val="GesAbsatz"/>
              <w:jc w:val="center"/>
              <w:rPr>
                <w:rFonts w:cs="Arial"/>
              </w:rPr>
            </w:pPr>
            <w:r>
              <w:rPr>
                <w:rFonts w:cs="Arial"/>
              </w:rPr>
              <w:t>1.3</w:t>
            </w:r>
          </w:p>
        </w:tc>
      </w:tr>
      <w:tr>
        <w:trPr>
          <w:trHeight w:val="513"/>
        </w:trPr>
        <w:tc>
          <w:tcPr>
            <w:tcW w:w="709" w:type="dxa"/>
            <w:gridSpan w:val="2"/>
          </w:tcPr>
          <w:p>
            <w:pPr>
              <w:pStyle w:val="GesAbsatz"/>
              <w:jc w:val="left"/>
              <w:rPr>
                <w:rFonts w:cs="Arial"/>
                <w:b/>
              </w:rPr>
            </w:pPr>
            <w:r>
              <w:rPr>
                <w:rFonts w:cs="Arial"/>
                <w:b/>
              </w:rPr>
              <w:t xml:space="preserve">2. </w:t>
            </w:r>
          </w:p>
        </w:tc>
        <w:tc>
          <w:tcPr>
            <w:tcW w:w="5103" w:type="dxa"/>
            <w:tcBorders>
              <w:right w:val="single" w:sz="6" w:space="0" w:color="000000"/>
            </w:tcBorders>
          </w:tcPr>
          <w:p>
            <w:pPr>
              <w:pStyle w:val="GesAbsatz"/>
              <w:jc w:val="left"/>
              <w:rPr>
                <w:rFonts w:cs="Arial"/>
                <w:b/>
              </w:rPr>
            </w:pPr>
            <w:r>
              <w:rPr>
                <w:rFonts w:cs="Arial"/>
                <w:b/>
              </w:rPr>
              <w:t>Reinigung der Oberflächen von Materialien oder Produkten</w:t>
            </w:r>
          </w:p>
        </w:tc>
        <w:tc>
          <w:tcPr>
            <w:tcW w:w="2072" w:type="dxa"/>
            <w:tcBorders>
              <w:left w:val="single" w:sz="6" w:space="0" w:color="000000"/>
              <w:right w:val="single" w:sz="6" w:space="0" w:color="000000"/>
            </w:tcBorders>
          </w:tcPr>
          <w:p>
            <w:pPr>
              <w:pStyle w:val="GesAbsatz"/>
              <w:jc w:val="center"/>
              <w:rPr>
                <w:rFonts w:cs="Arial"/>
                <w:color w:val="auto"/>
              </w:rPr>
            </w:pPr>
          </w:p>
        </w:tc>
        <w:tc>
          <w:tcPr>
            <w:tcW w:w="2114" w:type="dxa"/>
            <w:tcBorders>
              <w:left w:val="single" w:sz="6" w:space="0" w:color="000000"/>
            </w:tcBorders>
          </w:tcPr>
          <w:p>
            <w:pPr>
              <w:pStyle w:val="GesAbsatz"/>
              <w:jc w:val="center"/>
              <w:rPr>
                <w:rFonts w:cs="Arial"/>
                <w:color w:val="auto"/>
              </w:rPr>
            </w:pPr>
          </w:p>
        </w:tc>
      </w:tr>
      <w:tr>
        <w:trPr>
          <w:trHeight w:val="343"/>
        </w:trPr>
        <w:tc>
          <w:tcPr>
            <w:tcW w:w="709" w:type="dxa"/>
            <w:gridSpan w:val="2"/>
          </w:tcPr>
          <w:p>
            <w:pPr>
              <w:pStyle w:val="GesAbsatz"/>
              <w:jc w:val="left"/>
              <w:rPr>
                <w:rFonts w:cs="Arial"/>
              </w:rPr>
            </w:pPr>
            <w:r>
              <w:rPr>
                <w:rFonts w:cs="Arial"/>
              </w:rPr>
              <w:t xml:space="preserve">2.1 </w:t>
            </w:r>
          </w:p>
        </w:tc>
        <w:tc>
          <w:tcPr>
            <w:tcW w:w="5103" w:type="dxa"/>
            <w:tcBorders>
              <w:right w:val="single" w:sz="6" w:space="0" w:color="000000"/>
            </w:tcBorders>
          </w:tcPr>
          <w:p>
            <w:pPr>
              <w:pStyle w:val="GesAbsatz"/>
              <w:jc w:val="left"/>
              <w:rPr>
                <w:rFonts w:cs="Arial"/>
              </w:rPr>
            </w:pPr>
            <w:r>
              <w:rPr>
                <w:rFonts w:cs="Arial"/>
              </w:rPr>
              <w:t>Anlagen zur Oberflächenreinigung</w:t>
            </w:r>
          </w:p>
        </w:tc>
        <w:tc>
          <w:tcPr>
            <w:tcW w:w="2072" w:type="dxa"/>
            <w:tcBorders>
              <w:left w:val="single" w:sz="6" w:space="0" w:color="000000"/>
              <w:right w:val="single" w:sz="6" w:space="0" w:color="000000"/>
            </w:tcBorders>
          </w:tcPr>
          <w:p>
            <w:pPr>
              <w:pStyle w:val="GesAbsatz"/>
              <w:jc w:val="center"/>
              <w:rPr>
                <w:rFonts w:cs="Arial"/>
              </w:rPr>
            </w:pPr>
            <w:r>
              <w:rPr>
                <w:rFonts w:cs="Arial"/>
              </w:rPr>
              <w:t>1</w:t>
            </w:r>
          </w:p>
        </w:tc>
        <w:tc>
          <w:tcPr>
            <w:tcW w:w="2114" w:type="dxa"/>
            <w:tcBorders>
              <w:left w:val="single" w:sz="6" w:space="0" w:color="000000"/>
            </w:tcBorders>
          </w:tcPr>
          <w:p>
            <w:pPr>
              <w:pStyle w:val="GesAbsatz"/>
              <w:jc w:val="center"/>
              <w:rPr>
                <w:rFonts w:cs="Arial"/>
              </w:rPr>
            </w:pPr>
            <w:r>
              <w:rPr>
                <w:rFonts w:cs="Arial"/>
              </w:rPr>
              <w:t>2</w:t>
            </w:r>
          </w:p>
        </w:tc>
      </w:tr>
      <w:tr>
        <w:trPr>
          <w:trHeight w:val="318"/>
        </w:trPr>
        <w:tc>
          <w:tcPr>
            <w:tcW w:w="709" w:type="dxa"/>
            <w:gridSpan w:val="2"/>
          </w:tcPr>
          <w:p>
            <w:pPr>
              <w:pStyle w:val="GesAbsatz"/>
              <w:jc w:val="left"/>
              <w:rPr>
                <w:rFonts w:cs="Arial"/>
                <w:b/>
              </w:rPr>
            </w:pPr>
            <w:r>
              <w:rPr>
                <w:rFonts w:cs="Arial"/>
                <w:b/>
              </w:rPr>
              <w:t xml:space="preserve">3. </w:t>
            </w:r>
          </w:p>
        </w:tc>
        <w:tc>
          <w:tcPr>
            <w:tcW w:w="5103" w:type="dxa"/>
            <w:tcBorders>
              <w:right w:val="single" w:sz="6" w:space="0" w:color="000000"/>
            </w:tcBorders>
          </w:tcPr>
          <w:p>
            <w:pPr>
              <w:pStyle w:val="GesAbsatz"/>
              <w:jc w:val="left"/>
              <w:rPr>
                <w:rFonts w:cs="Arial"/>
                <w:b/>
              </w:rPr>
            </w:pPr>
            <w:r>
              <w:rPr>
                <w:rFonts w:cs="Arial"/>
                <w:b/>
              </w:rPr>
              <w:t>Textilreinigung</w:t>
            </w:r>
          </w:p>
        </w:tc>
        <w:tc>
          <w:tcPr>
            <w:tcW w:w="2072" w:type="dxa"/>
            <w:tcBorders>
              <w:left w:val="single" w:sz="6" w:space="0" w:color="000000"/>
              <w:right w:val="single" w:sz="6" w:space="0" w:color="000000"/>
            </w:tcBorders>
          </w:tcPr>
          <w:p>
            <w:pPr>
              <w:pStyle w:val="GesAbsatz"/>
              <w:jc w:val="center"/>
              <w:rPr>
                <w:rFonts w:cs="Arial"/>
                <w:color w:val="auto"/>
              </w:rPr>
            </w:pPr>
          </w:p>
        </w:tc>
        <w:tc>
          <w:tcPr>
            <w:tcW w:w="2114" w:type="dxa"/>
            <w:tcBorders>
              <w:left w:val="single" w:sz="6" w:space="0" w:color="000000"/>
            </w:tcBorders>
          </w:tcPr>
          <w:p>
            <w:pPr>
              <w:pStyle w:val="GesAbsatz"/>
              <w:jc w:val="center"/>
              <w:rPr>
                <w:rFonts w:cs="Arial"/>
                <w:color w:val="auto"/>
              </w:rPr>
            </w:pPr>
          </w:p>
        </w:tc>
      </w:tr>
      <w:tr>
        <w:trPr>
          <w:trHeight w:val="535"/>
        </w:trPr>
        <w:tc>
          <w:tcPr>
            <w:tcW w:w="709" w:type="dxa"/>
            <w:gridSpan w:val="2"/>
          </w:tcPr>
          <w:p>
            <w:pPr>
              <w:pStyle w:val="GesAbsatz"/>
              <w:jc w:val="left"/>
              <w:rPr>
                <w:rFonts w:cs="Arial"/>
              </w:rPr>
            </w:pPr>
            <w:r>
              <w:rPr>
                <w:rFonts w:cs="Arial"/>
              </w:rPr>
              <w:t xml:space="preserve">3.1 </w:t>
            </w:r>
          </w:p>
        </w:tc>
        <w:tc>
          <w:tcPr>
            <w:tcW w:w="5103" w:type="dxa"/>
            <w:tcBorders>
              <w:right w:val="single" w:sz="6" w:space="0" w:color="000000"/>
            </w:tcBorders>
          </w:tcPr>
          <w:p>
            <w:pPr>
              <w:pStyle w:val="GesAbsatz"/>
              <w:jc w:val="left"/>
              <w:rPr>
                <w:rFonts w:cs="Arial"/>
              </w:rPr>
            </w:pPr>
            <w:r>
              <w:rPr>
                <w:rFonts w:cs="Arial"/>
              </w:rPr>
              <w:t>Anlagen zur Textilreinigung</w:t>
            </w:r>
            <w:r>
              <w:rPr>
                <w:rFonts w:cs="Arial"/>
              </w:rPr>
              <w:br/>
              <w:t xml:space="preserve">(Chemischreinigungsanlagen) </w:t>
            </w:r>
          </w:p>
        </w:tc>
        <w:tc>
          <w:tcPr>
            <w:tcW w:w="2072" w:type="dxa"/>
            <w:tcBorders>
              <w:left w:val="single" w:sz="6" w:space="0" w:color="000000"/>
              <w:right w:val="single" w:sz="6" w:space="0" w:color="000000"/>
            </w:tcBorders>
          </w:tcPr>
          <w:p>
            <w:pPr>
              <w:pStyle w:val="GesAbsatz"/>
              <w:jc w:val="center"/>
              <w:rPr>
                <w:rFonts w:cs="Arial"/>
              </w:rPr>
            </w:pPr>
            <w:r>
              <w:rPr>
                <w:rFonts w:cs="Arial"/>
              </w:rPr>
              <w:t>0</w:t>
            </w:r>
          </w:p>
        </w:tc>
        <w:tc>
          <w:tcPr>
            <w:tcW w:w="2114" w:type="dxa"/>
            <w:tcBorders>
              <w:left w:val="single" w:sz="6" w:space="0" w:color="000000"/>
            </w:tcBorders>
          </w:tcPr>
          <w:p>
            <w:pPr>
              <w:pStyle w:val="GesAbsatz"/>
              <w:jc w:val="center"/>
              <w:rPr>
                <w:rFonts w:cs="Arial"/>
              </w:rPr>
            </w:pPr>
            <w:r>
              <w:rPr>
                <w:rFonts w:cs="Arial"/>
              </w:rPr>
              <w:t>3</w:t>
            </w:r>
          </w:p>
        </w:tc>
      </w:tr>
      <w:tr>
        <w:trPr>
          <w:trHeight w:val="788"/>
        </w:trPr>
        <w:tc>
          <w:tcPr>
            <w:tcW w:w="709" w:type="dxa"/>
            <w:gridSpan w:val="2"/>
          </w:tcPr>
          <w:p>
            <w:pPr>
              <w:pStyle w:val="GesAbsatz"/>
              <w:jc w:val="left"/>
              <w:rPr>
                <w:rFonts w:cs="Arial"/>
                <w:b/>
              </w:rPr>
            </w:pPr>
            <w:r>
              <w:rPr>
                <w:rFonts w:cs="Arial"/>
                <w:b/>
              </w:rPr>
              <w:t xml:space="preserve">4. </w:t>
            </w:r>
          </w:p>
        </w:tc>
        <w:tc>
          <w:tcPr>
            <w:tcW w:w="5103" w:type="dxa"/>
            <w:tcBorders>
              <w:right w:val="single" w:sz="6" w:space="0" w:color="000000"/>
            </w:tcBorders>
          </w:tcPr>
          <w:p>
            <w:pPr>
              <w:pStyle w:val="GesAbsatz"/>
              <w:jc w:val="left"/>
              <w:rPr>
                <w:rFonts w:cs="Arial"/>
                <w:b/>
              </w:rPr>
            </w:pPr>
            <w:r>
              <w:rPr>
                <w:rFonts w:cs="Arial"/>
                <w:b/>
              </w:rPr>
              <w:t>Beschichtung von Kraftfahrzeugen oder</w:t>
            </w:r>
            <w:r>
              <w:rPr>
                <w:rFonts w:cs="Arial"/>
                <w:b/>
              </w:rPr>
              <w:br/>
              <w:t>Schienenfahrzeugen</w:t>
            </w:r>
          </w:p>
        </w:tc>
        <w:tc>
          <w:tcPr>
            <w:tcW w:w="2072" w:type="dxa"/>
            <w:tcBorders>
              <w:left w:val="single" w:sz="6" w:space="0" w:color="000000"/>
              <w:right w:val="single" w:sz="6" w:space="0" w:color="000000"/>
            </w:tcBorders>
          </w:tcPr>
          <w:p>
            <w:pPr>
              <w:pStyle w:val="GesAbsatz"/>
              <w:jc w:val="center"/>
              <w:rPr>
                <w:rFonts w:cs="Arial"/>
                <w:color w:val="auto"/>
              </w:rPr>
            </w:pPr>
          </w:p>
        </w:tc>
        <w:tc>
          <w:tcPr>
            <w:tcW w:w="2114" w:type="dxa"/>
            <w:tcBorders>
              <w:left w:val="single" w:sz="6" w:space="0" w:color="000000"/>
            </w:tcBorders>
          </w:tcPr>
          <w:p>
            <w:pPr>
              <w:pStyle w:val="GesAbsatz"/>
              <w:jc w:val="center"/>
              <w:rPr>
                <w:rFonts w:cs="Arial"/>
                <w:color w:val="auto"/>
              </w:rPr>
            </w:pPr>
          </w:p>
        </w:tc>
      </w:tr>
      <w:tr>
        <w:trPr>
          <w:trHeight w:val="303"/>
        </w:trPr>
        <w:tc>
          <w:tcPr>
            <w:tcW w:w="709" w:type="dxa"/>
            <w:gridSpan w:val="2"/>
          </w:tcPr>
          <w:p>
            <w:pPr>
              <w:pStyle w:val="GesAbsatz"/>
              <w:jc w:val="left"/>
              <w:rPr>
                <w:rFonts w:cs="Arial"/>
              </w:rPr>
            </w:pPr>
            <w:r>
              <w:rPr>
                <w:rFonts w:cs="Arial"/>
              </w:rPr>
              <w:t xml:space="preserve">4.1 </w:t>
            </w:r>
          </w:p>
        </w:tc>
        <w:tc>
          <w:tcPr>
            <w:tcW w:w="5103" w:type="dxa"/>
            <w:tcBorders>
              <w:right w:val="single" w:sz="6" w:space="0" w:color="000000"/>
            </w:tcBorders>
          </w:tcPr>
          <w:p>
            <w:pPr>
              <w:pStyle w:val="GesAbsatz"/>
              <w:jc w:val="left"/>
              <w:rPr>
                <w:rFonts w:cs="Arial"/>
                <w:sz w:val="18"/>
                <w:szCs w:val="18"/>
              </w:rPr>
            </w:pPr>
            <w:r>
              <w:rPr>
                <w:rFonts w:cs="Arial"/>
                <w:sz w:val="18"/>
                <w:szCs w:val="18"/>
              </w:rPr>
              <w:t>Anlagen zur Serienbeschichtung von Personenkraftwagen</w:t>
            </w:r>
          </w:p>
        </w:tc>
        <w:tc>
          <w:tcPr>
            <w:tcW w:w="2072" w:type="dxa"/>
            <w:tcBorders>
              <w:left w:val="single" w:sz="6" w:space="0" w:color="000000"/>
              <w:right w:val="single" w:sz="6" w:space="0" w:color="000000"/>
            </w:tcBorders>
          </w:tcPr>
          <w:p>
            <w:pPr>
              <w:pStyle w:val="GesAbsatz"/>
              <w:jc w:val="center"/>
              <w:rPr>
                <w:rFonts w:cs="Arial"/>
              </w:rPr>
            </w:pPr>
            <w:r>
              <w:rPr>
                <w:rFonts w:cs="Arial"/>
              </w:rPr>
              <w:t>0</w:t>
            </w:r>
          </w:p>
        </w:tc>
        <w:tc>
          <w:tcPr>
            <w:tcW w:w="2114" w:type="dxa"/>
            <w:tcBorders>
              <w:left w:val="single" w:sz="6" w:space="0" w:color="000000"/>
            </w:tcBorders>
          </w:tcPr>
          <w:p>
            <w:pPr>
              <w:pStyle w:val="GesAbsatz"/>
              <w:jc w:val="center"/>
              <w:rPr>
                <w:rFonts w:cs="Arial"/>
              </w:rPr>
            </w:pPr>
            <w:r>
              <w:rPr>
                <w:rFonts w:cs="Arial"/>
              </w:rPr>
              <w:t>4.1</w:t>
            </w:r>
          </w:p>
        </w:tc>
      </w:tr>
      <w:tr>
        <w:trPr>
          <w:trHeight w:val="310"/>
        </w:trPr>
        <w:tc>
          <w:tcPr>
            <w:tcW w:w="709" w:type="dxa"/>
            <w:gridSpan w:val="2"/>
          </w:tcPr>
          <w:p>
            <w:pPr>
              <w:pStyle w:val="GesAbsatz"/>
              <w:jc w:val="left"/>
              <w:rPr>
                <w:rFonts w:cs="Arial"/>
              </w:rPr>
            </w:pPr>
            <w:r>
              <w:rPr>
                <w:rFonts w:cs="Arial"/>
              </w:rPr>
              <w:t xml:space="preserve">4.2 </w:t>
            </w:r>
          </w:p>
        </w:tc>
        <w:tc>
          <w:tcPr>
            <w:tcW w:w="5103" w:type="dxa"/>
            <w:tcBorders>
              <w:right w:val="single" w:sz="6" w:space="0" w:color="000000"/>
            </w:tcBorders>
          </w:tcPr>
          <w:p>
            <w:pPr>
              <w:pStyle w:val="GesAbsatz"/>
              <w:jc w:val="left"/>
              <w:rPr>
                <w:rFonts w:cs="Arial"/>
              </w:rPr>
            </w:pPr>
            <w:r>
              <w:rPr>
                <w:rFonts w:cs="Arial"/>
              </w:rPr>
              <w:t xml:space="preserve">Anlagen zur Serienbeschichtung von Fahrerhäusern </w:t>
            </w:r>
          </w:p>
        </w:tc>
        <w:tc>
          <w:tcPr>
            <w:tcW w:w="2072" w:type="dxa"/>
            <w:tcBorders>
              <w:left w:val="single" w:sz="6" w:space="0" w:color="000000"/>
              <w:right w:val="single" w:sz="6" w:space="0" w:color="000000"/>
            </w:tcBorders>
          </w:tcPr>
          <w:p>
            <w:pPr>
              <w:pStyle w:val="GesAbsatz"/>
              <w:jc w:val="center"/>
              <w:rPr>
                <w:rFonts w:cs="Arial"/>
              </w:rPr>
            </w:pPr>
            <w:r>
              <w:rPr>
                <w:rFonts w:cs="Arial"/>
              </w:rPr>
              <w:t>0</w:t>
            </w:r>
          </w:p>
        </w:tc>
        <w:tc>
          <w:tcPr>
            <w:tcW w:w="2114" w:type="dxa"/>
            <w:tcBorders>
              <w:left w:val="single" w:sz="6" w:space="0" w:color="000000"/>
            </w:tcBorders>
          </w:tcPr>
          <w:p>
            <w:pPr>
              <w:pStyle w:val="GesAbsatz"/>
              <w:jc w:val="center"/>
              <w:rPr>
                <w:rFonts w:cs="Arial"/>
              </w:rPr>
            </w:pPr>
            <w:r>
              <w:rPr>
                <w:rFonts w:cs="Arial"/>
              </w:rPr>
              <w:t>4.2</w:t>
            </w:r>
          </w:p>
        </w:tc>
      </w:tr>
      <w:tr>
        <w:trPr>
          <w:trHeight w:val="310"/>
        </w:trPr>
        <w:tc>
          <w:tcPr>
            <w:tcW w:w="709" w:type="dxa"/>
            <w:gridSpan w:val="2"/>
          </w:tcPr>
          <w:p>
            <w:pPr>
              <w:pStyle w:val="GesAbsatz"/>
              <w:jc w:val="left"/>
              <w:rPr>
                <w:rFonts w:cs="Arial"/>
              </w:rPr>
            </w:pPr>
            <w:r>
              <w:rPr>
                <w:rFonts w:cs="Arial"/>
              </w:rPr>
              <w:t xml:space="preserve">4.3 </w:t>
            </w:r>
          </w:p>
        </w:tc>
        <w:tc>
          <w:tcPr>
            <w:tcW w:w="5103" w:type="dxa"/>
            <w:tcBorders>
              <w:right w:val="single" w:sz="6" w:space="0" w:color="000000"/>
            </w:tcBorders>
          </w:tcPr>
          <w:p>
            <w:pPr>
              <w:pStyle w:val="GesAbsatz"/>
              <w:jc w:val="left"/>
              <w:rPr>
                <w:rFonts w:cs="Arial"/>
              </w:rPr>
            </w:pPr>
            <w:r>
              <w:rPr>
                <w:rFonts w:cs="Arial"/>
              </w:rPr>
              <w:t xml:space="preserve">Anlagen zum Beschichten von Nutzfahrzeugen </w:t>
            </w:r>
          </w:p>
        </w:tc>
        <w:tc>
          <w:tcPr>
            <w:tcW w:w="2072" w:type="dxa"/>
            <w:tcBorders>
              <w:left w:val="single" w:sz="6" w:space="0" w:color="000000"/>
              <w:right w:val="single" w:sz="6" w:space="0" w:color="000000"/>
            </w:tcBorders>
          </w:tcPr>
          <w:p>
            <w:pPr>
              <w:pStyle w:val="GesAbsatz"/>
              <w:jc w:val="center"/>
              <w:rPr>
                <w:rFonts w:cs="Arial"/>
              </w:rPr>
            </w:pPr>
            <w:r>
              <w:rPr>
                <w:rFonts w:cs="Arial"/>
              </w:rPr>
              <w:t>0</w:t>
            </w:r>
          </w:p>
        </w:tc>
        <w:tc>
          <w:tcPr>
            <w:tcW w:w="2114" w:type="dxa"/>
            <w:tcBorders>
              <w:left w:val="single" w:sz="6" w:space="0" w:color="000000"/>
            </w:tcBorders>
          </w:tcPr>
          <w:p>
            <w:pPr>
              <w:pStyle w:val="GesAbsatz"/>
              <w:jc w:val="center"/>
              <w:rPr>
                <w:rFonts w:cs="Arial"/>
              </w:rPr>
            </w:pPr>
            <w:r>
              <w:rPr>
                <w:rFonts w:cs="Arial"/>
              </w:rPr>
              <w:t>4.3</w:t>
            </w:r>
          </w:p>
        </w:tc>
      </w:tr>
      <w:tr>
        <w:trPr>
          <w:trHeight w:val="310"/>
        </w:trPr>
        <w:tc>
          <w:tcPr>
            <w:tcW w:w="709" w:type="dxa"/>
            <w:gridSpan w:val="2"/>
          </w:tcPr>
          <w:p>
            <w:pPr>
              <w:pStyle w:val="GesAbsatz"/>
              <w:jc w:val="left"/>
              <w:rPr>
                <w:rFonts w:cs="Arial"/>
              </w:rPr>
            </w:pPr>
            <w:r>
              <w:rPr>
                <w:rFonts w:cs="Arial"/>
              </w:rPr>
              <w:t>4.3.1</w:t>
            </w:r>
          </w:p>
        </w:tc>
        <w:tc>
          <w:tcPr>
            <w:tcW w:w="5103" w:type="dxa"/>
            <w:tcBorders>
              <w:right w:val="single" w:sz="6" w:space="0" w:color="000000"/>
            </w:tcBorders>
          </w:tcPr>
          <w:p>
            <w:pPr>
              <w:pStyle w:val="GesAbsatz"/>
              <w:jc w:val="left"/>
              <w:rPr>
                <w:rFonts w:cs="Arial"/>
              </w:rPr>
            </w:pPr>
            <w:r>
              <w:rPr>
                <w:rFonts w:cs="Arial"/>
              </w:rPr>
              <w:t>Anlagen zum Beschichten von Lieferwagen</w:t>
            </w:r>
          </w:p>
        </w:tc>
        <w:tc>
          <w:tcPr>
            <w:tcW w:w="2072" w:type="dxa"/>
            <w:tcBorders>
              <w:left w:val="single" w:sz="6" w:space="0" w:color="000000"/>
              <w:right w:val="single" w:sz="6" w:space="0" w:color="000000"/>
            </w:tcBorders>
          </w:tcPr>
          <w:p>
            <w:pPr>
              <w:pStyle w:val="GesAbsatz"/>
              <w:jc w:val="center"/>
              <w:rPr>
                <w:rFonts w:cs="Arial"/>
              </w:rPr>
            </w:pPr>
            <w:r>
              <w:rPr>
                <w:rFonts w:cs="Arial"/>
              </w:rPr>
              <w:t>0</w:t>
            </w:r>
          </w:p>
        </w:tc>
        <w:tc>
          <w:tcPr>
            <w:tcW w:w="2114" w:type="dxa"/>
            <w:tcBorders>
              <w:left w:val="single" w:sz="6" w:space="0" w:color="000000"/>
            </w:tcBorders>
          </w:tcPr>
          <w:p>
            <w:pPr>
              <w:pStyle w:val="GesAbsatz"/>
              <w:jc w:val="center"/>
              <w:rPr>
                <w:rFonts w:cs="Arial"/>
              </w:rPr>
            </w:pPr>
            <w:r>
              <w:rPr>
                <w:rFonts w:cs="Arial"/>
              </w:rPr>
              <w:t>4.3.1</w:t>
            </w:r>
          </w:p>
        </w:tc>
      </w:tr>
      <w:tr>
        <w:trPr>
          <w:trHeight w:val="310"/>
        </w:trPr>
        <w:tc>
          <w:tcPr>
            <w:tcW w:w="709" w:type="dxa"/>
            <w:gridSpan w:val="2"/>
          </w:tcPr>
          <w:p>
            <w:pPr>
              <w:pStyle w:val="GesAbsatz"/>
              <w:jc w:val="left"/>
              <w:rPr>
                <w:rFonts w:cs="Arial"/>
              </w:rPr>
            </w:pPr>
            <w:r>
              <w:rPr>
                <w:rFonts w:cs="Arial"/>
              </w:rPr>
              <w:t>4.3.2</w:t>
            </w:r>
          </w:p>
        </w:tc>
        <w:tc>
          <w:tcPr>
            <w:tcW w:w="5103" w:type="dxa"/>
            <w:tcBorders>
              <w:right w:val="single" w:sz="6" w:space="0" w:color="000000"/>
            </w:tcBorders>
          </w:tcPr>
          <w:p>
            <w:pPr>
              <w:pStyle w:val="GesAbsatz"/>
              <w:jc w:val="left"/>
              <w:rPr>
                <w:rFonts w:cs="Arial"/>
              </w:rPr>
            </w:pPr>
            <w:r>
              <w:rPr>
                <w:rFonts w:cs="Arial"/>
              </w:rPr>
              <w:t>Anlagen zum Beschichten von Lastkraftwagen</w:t>
            </w:r>
          </w:p>
        </w:tc>
        <w:tc>
          <w:tcPr>
            <w:tcW w:w="2072" w:type="dxa"/>
            <w:tcBorders>
              <w:left w:val="single" w:sz="6" w:space="0" w:color="000000"/>
              <w:right w:val="single" w:sz="6" w:space="0" w:color="000000"/>
            </w:tcBorders>
          </w:tcPr>
          <w:p>
            <w:pPr>
              <w:pStyle w:val="GesAbsatz"/>
              <w:jc w:val="center"/>
              <w:rPr>
                <w:rFonts w:cs="Arial"/>
              </w:rPr>
            </w:pPr>
            <w:r>
              <w:rPr>
                <w:rFonts w:cs="Arial"/>
              </w:rPr>
              <w:t>0</w:t>
            </w:r>
          </w:p>
        </w:tc>
        <w:tc>
          <w:tcPr>
            <w:tcW w:w="2114" w:type="dxa"/>
            <w:tcBorders>
              <w:left w:val="single" w:sz="6" w:space="0" w:color="000000"/>
            </w:tcBorders>
          </w:tcPr>
          <w:p>
            <w:pPr>
              <w:pStyle w:val="GesAbsatz"/>
              <w:jc w:val="center"/>
              <w:rPr>
                <w:rFonts w:cs="Arial"/>
              </w:rPr>
            </w:pPr>
            <w:r>
              <w:rPr>
                <w:rFonts w:cs="Arial"/>
              </w:rPr>
              <w:t>4.3.2</w:t>
            </w:r>
          </w:p>
        </w:tc>
      </w:tr>
      <w:tr>
        <w:trPr>
          <w:trHeight w:val="310"/>
        </w:trPr>
        <w:tc>
          <w:tcPr>
            <w:tcW w:w="709" w:type="dxa"/>
            <w:gridSpan w:val="2"/>
          </w:tcPr>
          <w:p>
            <w:pPr>
              <w:pStyle w:val="GesAbsatz"/>
              <w:jc w:val="left"/>
              <w:rPr>
                <w:rFonts w:cs="Arial"/>
              </w:rPr>
            </w:pPr>
            <w:r>
              <w:rPr>
                <w:rFonts w:cs="Arial"/>
              </w:rPr>
              <w:t xml:space="preserve">4.4 </w:t>
            </w:r>
          </w:p>
        </w:tc>
        <w:tc>
          <w:tcPr>
            <w:tcW w:w="5103" w:type="dxa"/>
            <w:tcBorders>
              <w:right w:val="single" w:sz="6" w:space="0" w:color="000000"/>
            </w:tcBorders>
          </w:tcPr>
          <w:p>
            <w:pPr>
              <w:pStyle w:val="GesAbsatz"/>
              <w:jc w:val="left"/>
              <w:rPr>
                <w:rFonts w:cs="Arial"/>
              </w:rPr>
            </w:pPr>
            <w:r>
              <w:rPr>
                <w:rFonts w:cs="Arial"/>
              </w:rPr>
              <w:t xml:space="preserve">Anlagen zum Beschichten von Bussen </w:t>
            </w:r>
          </w:p>
        </w:tc>
        <w:tc>
          <w:tcPr>
            <w:tcW w:w="2072" w:type="dxa"/>
            <w:tcBorders>
              <w:left w:val="single" w:sz="6" w:space="0" w:color="000000"/>
              <w:right w:val="single" w:sz="6" w:space="0" w:color="000000"/>
            </w:tcBorders>
          </w:tcPr>
          <w:p>
            <w:pPr>
              <w:pStyle w:val="GesAbsatz"/>
              <w:jc w:val="center"/>
              <w:rPr>
                <w:rFonts w:cs="Arial"/>
              </w:rPr>
            </w:pPr>
            <w:r>
              <w:rPr>
                <w:rFonts w:cs="Arial"/>
              </w:rPr>
              <w:t>0</w:t>
            </w:r>
          </w:p>
        </w:tc>
        <w:tc>
          <w:tcPr>
            <w:tcW w:w="2114" w:type="dxa"/>
            <w:tcBorders>
              <w:left w:val="single" w:sz="6" w:space="0" w:color="000000"/>
            </w:tcBorders>
          </w:tcPr>
          <w:p>
            <w:pPr>
              <w:pStyle w:val="GesAbsatz"/>
              <w:jc w:val="center"/>
              <w:rPr>
                <w:rFonts w:cs="Arial"/>
              </w:rPr>
            </w:pPr>
            <w:r>
              <w:rPr>
                <w:rFonts w:cs="Arial"/>
              </w:rPr>
              <w:t>4.4</w:t>
            </w:r>
          </w:p>
        </w:tc>
      </w:tr>
      <w:tr>
        <w:trPr>
          <w:trHeight w:val="313"/>
        </w:trPr>
        <w:tc>
          <w:tcPr>
            <w:tcW w:w="709" w:type="dxa"/>
            <w:gridSpan w:val="2"/>
          </w:tcPr>
          <w:p>
            <w:pPr>
              <w:pStyle w:val="GesAbsatz"/>
              <w:jc w:val="left"/>
              <w:rPr>
                <w:rFonts w:cs="Arial"/>
              </w:rPr>
            </w:pPr>
            <w:r>
              <w:rPr>
                <w:rFonts w:cs="Arial"/>
              </w:rPr>
              <w:t xml:space="preserve">4.5 </w:t>
            </w:r>
          </w:p>
        </w:tc>
        <w:tc>
          <w:tcPr>
            <w:tcW w:w="5103" w:type="dxa"/>
            <w:tcBorders>
              <w:right w:val="single" w:sz="6" w:space="0" w:color="000000"/>
            </w:tcBorders>
          </w:tcPr>
          <w:p>
            <w:pPr>
              <w:pStyle w:val="GesAbsatz"/>
              <w:jc w:val="left"/>
              <w:rPr>
                <w:rFonts w:cs="Arial"/>
              </w:rPr>
            </w:pPr>
            <w:r>
              <w:rPr>
                <w:rFonts w:cs="Arial"/>
              </w:rPr>
              <w:t xml:space="preserve">Anlagen zum Beschichten von Schienenfahrzeugen </w:t>
            </w:r>
          </w:p>
        </w:tc>
        <w:tc>
          <w:tcPr>
            <w:tcW w:w="2072" w:type="dxa"/>
            <w:tcBorders>
              <w:left w:val="single" w:sz="6" w:space="0" w:color="000000"/>
              <w:right w:val="single" w:sz="6" w:space="0" w:color="000000"/>
            </w:tcBorders>
          </w:tcPr>
          <w:p>
            <w:pPr>
              <w:pStyle w:val="GesAbsatz"/>
              <w:jc w:val="center"/>
              <w:rPr>
                <w:rFonts w:cs="Arial"/>
              </w:rPr>
            </w:pPr>
            <w:r>
              <w:rPr>
                <w:rFonts w:cs="Arial"/>
              </w:rPr>
              <w:t>5</w:t>
            </w:r>
          </w:p>
        </w:tc>
        <w:tc>
          <w:tcPr>
            <w:tcW w:w="2114" w:type="dxa"/>
            <w:tcBorders>
              <w:left w:val="single" w:sz="6" w:space="0" w:color="000000"/>
            </w:tcBorders>
          </w:tcPr>
          <w:p>
            <w:pPr>
              <w:pStyle w:val="GesAbsatz"/>
              <w:jc w:val="center"/>
              <w:rPr>
                <w:rFonts w:cs="Arial"/>
              </w:rPr>
            </w:pPr>
            <w:r>
              <w:rPr>
                <w:rFonts w:cs="Arial"/>
              </w:rPr>
              <w:t>4.5</w:t>
            </w:r>
          </w:p>
        </w:tc>
      </w:tr>
      <w:tr>
        <w:trPr>
          <w:trHeight w:val="318"/>
        </w:trPr>
        <w:tc>
          <w:tcPr>
            <w:tcW w:w="709" w:type="dxa"/>
            <w:gridSpan w:val="2"/>
          </w:tcPr>
          <w:p>
            <w:pPr>
              <w:pStyle w:val="GesAbsatz"/>
              <w:jc w:val="left"/>
              <w:rPr>
                <w:rFonts w:cs="Arial"/>
                <w:b/>
              </w:rPr>
            </w:pPr>
            <w:r>
              <w:rPr>
                <w:rFonts w:cs="Arial"/>
                <w:b/>
              </w:rPr>
              <w:t xml:space="preserve">5. </w:t>
            </w:r>
          </w:p>
        </w:tc>
        <w:tc>
          <w:tcPr>
            <w:tcW w:w="5103" w:type="dxa"/>
            <w:tcBorders>
              <w:right w:val="single" w:sz="6" w:space="0" w:color="000000"/>
            </w:tcBorders>
          </w:tcPr>
          <w:p>
            <w:pPr>
              <w:pStyle w:val="GesAbsatz"/>
              <w:jc w:val="left"/>
              <w:rPr>
                <w:rFonts w:cs="Arial"/>
                <w:b/>
              </w:rPr>
            </w:pPr>
            <w:r>
              <w:rPr>
                <w:rFonts w:cs="Arial"/>
                <w:b/>
              </w:rPr>
              <w:t xml:space="preserve">Fahrzeugreparaturlackierung </w:t>
            </w:r>
          </w:p>
        </w:tc>
        <w:tc>
          <w:tcPr>
            <w:tcW w:w="2072" w:type="dxa"/>
            <w:tcBorders>
              <w:left w:val="single" w:sz="6" w:space="0" w:color="000000"/>
              <w:right w:val="single" w:sz="6" w:space="0" w:color="000000"/>
            </w:tcBorders>
          </w:tcPr>
          <w:p>
            <w:pPr>
              <w:pStyle w:val="GesAbsatz"/>
              <w:jc w:val="center"/>
              <w:rPr>
                <w:rFonts w:cs="Arial"/>
                <w:color w:val="auto"/>
              </w:rPr>
            </w:pPr>
          </w:p>
        </w:tc>
        <w:tc>
          <w:tcPr>
            <w:tcW w:w="2114" w:type="dxa"/>
            <w:tcBorders>
              <w:left w:val="single" w:sz="6" w:space="0" w:color="000000"/>
            </w:tcBorders>
          </w:tcPr>
          <w:p>
            <w:pPr>
              <w:pStyle w:val="GesAbsatz"/>
              <w:jc w:val="center"/>
              <w:rPr>
                <w:rFonts w:cs="Arial"/>
                <w:color w:val="auto"/>
              </w:rPr>
            </w:pPr>
          </w:p>
        </w:tc>
      </w:tr>
      <w:tr>
        <w:trPr>
          <w:trHeight w:val="305"/>
        </w:trPr>
        <w:tc>
          <w:tcPr>
            <w:tcW w:w="709" w:type="dxa"/>
            <w:gridSpan w:val="2"/>
          </w:tcPr>
          <w:p>
            <w:pPr>
              <w:pStyle w:val="GesAbsatz"/>
              <w:jc w:val="left"/>
              <w:rPr>
                <w:rFonts w:cs="Arial"/>
              </w:rPr>
            </w:pPr>
            <w:r>
              <w:rPr>
                <w:rFonts w:cs="Arial"/>
              </w:rPr>
              <w:t xml:space="preserve">5.1 </w:t>
            </w:r>
          </w:p>
        </w:tc>
        <w:tc>
          <w:tcPr>
            <w:tcW w:w="5103" w:type="dxa"/>
            <w:tcBorders>
              <w:right w:val="single" w:sz="6" w:space="0" w:color="000000"/>
            </w:tcBorders>
          </w:tcPr>
          <w:p>
            <w:pPr>
              <w:pStyle w:val="GesAbsatz"/>
              <w:jc w:val="left"/>
              <w:rPr>
                <w:rFonts w:cs="Arial"/>
              </w:rPr>
            </w:pPr>
            <w:r>
              <w:rPr>
                <w:rFonts w:cs="Arial"/>
              </w:rPr>
              <w:t xml:space="preserve">Anlagen zur ursprünglichen Lackierung von Kraftfahrzeugen außerhalb der ursprünglichen Fertigungsstraße oder zur Lackierung von Anhängern  </w:t>
            </w:r>
          </w:p>
        </w:tc>
        <w:tc>
          <w:tcPr>
            <w:tcW w:w="2072" w:type="dxa"/>
            <w:tcBorders>
              <w:left w:val="single" w:sz="6" w:space="0" w:color="000000"/>
              <w:right w:val="single" w:sz="6" w:space="0" w:color="000000"/>
            </w:tcBorders>
          </w:tcPr>
          <w:p>
            <w:pPr>
              <w:pStyle w:val="GesAbsatz"/>
              <w:jc w:val="center"/>
              <w:rPr>
                <w:rFonts w:cs="Arial"/>
              </w:rPr>
            </w:pPr>
            <w:r>
              <w:rPr>
                <w:rFonts w:cs="Arial"/>
              </w:rPr>
              <w:t>0</w:t>
            </w:r>
          </w:p>
        </w:tc>
        <w:tc>
          <w:tcPr>
            <w:tcW w:w="2114" w:type="dxa"/>
            <w:tcBorders>
              <w:left w:val="single" w:sz="6" w:space="0" w:color="000000"/>
            </w:tcBorders>
          </w:tcPr>
          <w:p>
            <w:pPr>
              <w:pStyle w:val="GesAbsatz"/>
              <w:jc w:val="center"/>
              <w:rPr>
                <w:rFonts w:cs="Arial"/>
              </w:rPr>
            </w:pPr>
            <w:r>
              <w:rPr>
                <w:rFonts w:cs="Arial"/>
              </w:rPr>
              <w:t>5</w:t>
            </w:r>
          </w:p>
        </w:tc>
      </w:tr>
      <w:tr>
        <w:trPr>
          <w:trHeight w:val="280"/>
        </w:trPr>
        <w:tc>
          <w:tcPr>
            <w:tcW w:w="709" w:type="dxa"/>
            <w:gridSpan w:val="2"/>
          </w:tcPr>
          <w:p>
            <w:pPr>
              <w:pStyle w:val="GesAbsatz"/>
              <w:jc w:val="left"/>
              <w:rPr>
                <w:rFonts w:cs="Arial"/>
                <w:b/>
              </w:rPr>
            </w:pPr>
            <w:r>
              <w:rPr>
                <w:rFonts w:cs="Arial"/>
                <w:b/>
              </w:rPr>
              <w:t xml:space="preserve">6. </w:t>
            </w:r>
          </w:p>
        </w:tc>
        <w:tc>
          <w:tcPr>
            <w:tcW w:w="5103" w:type="dxa"/>
            <w:tcBorders>
              <w:right w:val="single" w:sz="6" w:space="0" w:color="000000"/>
            </w:tcBorders>
          </w:tcPr>
          <w:p>
            <w:pPr>
              <w:pStyle w:val="GesAbsatz"/>
              <w:jc w:val="left"/>
              <w:rPr>
                <w:rFonts w:cs="Arial"/>
                <w:b/>
              </w:rPr>
            </w:pPr>
            <w:r>
              <w:rPr>
                <w:rFonts w:cs="Arial"/>
                <w:b/>
              </w:rPr>
              <w:t xml:space="preserve">Beschichten von Bandblech </w:t>
            </w:r>
          </w:p>
        </w:tc>
        <w:tc>
          <w:tcPr>
            <w:tcW w:w="2072" w:type="dxa"/>
            <w:tcBorders>
              <w:left w:val="single" w:sz="6" w:space="0" w:color="000000"/>
              <w:right w:val="single" w:sz="6" w:space="0" w:color="000000"/>
            </w:tcBorders>
          </w:tcPr>
          <w:p>
            <w:pPr>
              <w:pStyle w:val="GesAbsatz"/>
              <w:jc w:val="center"/>
              <w:rPr>
                <w:rFonts w:cs="Arial"/>
                <w:color w:val="auto"/>
              </w:rPr>
            </w:pPr>
          </w:p>
        </w:tc>
        <w:tc>
          <w:tcPr>
            <w:tcW w:w="2114" w:type="dxa"/>
            <w:tcBorders>
              <w:left w:val="single" w:sz="6" w:space="0" w:color="000000"/>
            </w:tcBorders>
          </w:tcPr>
          <w:p>
            <w:pPr>
              <w:pStyle w:val="GesAbsatz"/>
              <w:jc w:val="center"/>
              <w:rPr>
                <w:rFonts w:cs="Arial"/>
                <w:color w:val="auto"/>
              </w:rPr>
            </w:pPr>
          </w:p>
        </w:tc>
      </w:tr>
      <w:tr>
        <w:trPr>
          <w:trHeight w:val="343"/>
        </w:trPr>
        <w:tc>
          <w:tcPr>
            <w:tcW w:w="709" w:type="dxa"/>
            <w:gridSpan w:val="2"/>
          </w:tcPr>
          <w:p>
            <w:pPr>
              <w:pStyle w:val="GesAbsatz"/>
              <w:jc w:val="left"/>
              <w:rPr>
                <w:rFonts w:cs="Arial"/>
              </w:rPr>
            </w:pPr>
            <w:r>
              <w:rPr>
                <w:rFonts w:cs="Arial"/>
              </w:rPr>
              <w:t xml:space="preserve">6.1 </w:t>
            </w:r>
          </w:p>
        </w:tc>
        <w:tc>
          <w:tcPr>
            <w:tcW w:w="5103" w:type="dxa"/>
            <w:tcBorders>
              <w:right w:val="single" w:sz="6" w:space="0" w:color="000000"/>
            </w:tcBorders>
          </w:tcPr>
          <w:p>
            <w:pPr>
              <w:pStyle w:val="GesAbsatz"/>
              <w:jc w:val="left"/>
              <w:rPr>
                <w:rFonts w:cs="Arial"/>
              </w:rPr>
            </w:pPr>
            <w:r>
              <w:rPr>
                <w:rFonts w:cs="Arial"/>
              </w:rPr>
              <w:t xml:space="preserve">Anlagen zum Beschichten von Bandblech </w:t>
            </w:r>
          </w:p>
        </w:tc>
        <w:tc>
          <w:tcPr>
            <w:tcW w:w="2072" w:type="dxa"/>
            <w:tcBorders>
              <w:left w:val="single" w:sz="6" w:space="0" w:color="000000"/>
              <w:right w:val="single" w:sz="6" w:space="0" w:color="000000"/>
            </w:tcBorders>
          </w:tcPr>
          <w:p>
            <w:pPr>
              <w:pStyle w:val="GesAbsatz"/>
              <w:jc w:val="center"/>
              <w:rPr>
                <w:rFonts w:cs="Arial"/>
              </w:rPr>
            </w:pPr>
            <w:r>
              <w:rPr>
                <w:rFonts w:cs="Arial"/>
              </w:rPr>
              <w:t>10</w:t>
            </w:r>
          </w:p>
        </w:tc>
        <w:tc>
          <w:tcPr>
            <w:tcW w:w="2114" w:type="dxa"/>
            <w:tcBorders>
              <w:left w:val="single" w:sz="6" w:space="0" w:color="000000"/>
            </w:tcBorders>
          </w:tcPr>
          <w:p>
            <w:pPr>
              <w:pStyle w:val="GesAbsatz"/>
              <w:jc w:val="center"/>
              <w:rPr>
                <w:rFonts w:cs="Arial"/>
              </w:rPr>
            </w:pPr>
            <w:r>
              <w:rPr>
                <w:rFonts w:cs="Arial"/>
              </w:rPr>
              <w:t>6</w:t>
            </w:r>
          </w:p>
        </w:tc>
      </w:tr>
      <w:tr>
        <w:trPr>
          <w:trHeight w:val="280"/>
        </w:trPr>
        <w:tc>
          <w:tcPr>
            <w:tcW w:w="709" w:type="dxa"/>
            <w:gridSpan w:val="2"/>
          </w:tcPr>
          <w:p>
            <w:pPr>
              <w:pStyle w:val="GesAbsatz"/>
              <w:jc w:val="left"/>
              <w:rPr>
                <w:rFonts w:cs="Arial"/>
                <w:b/>
              </w:rPr>
            </w:pPr>
            <w:r>
              <w:rPr>
                <w:rFonts w:cs="Arial"/>
                <w:b/>
              </w:rPr>
              <w:t xml:space="preserve">7. </w:t>
            </w:r>
          </w:p>
        </w:tc>
        <w:tc>
          <w:tcPr>
            <w:tcW w:w="5103" w:type="dxa"/>
            <w:tcBorders>
              <w:right w:val="single" w:sz="6" w:space="0" w:color="000000"/>
            </w:tcBorders>
          </w:tcPr>
          <w:p>
            <w:pPr>
              <w:pStyle w:val="GesAbsatz"/>
              <w:jc w:val="left"/>
              <w:rPr>
                <w:rFonts w:cs="Arial"/>
                <w:b/>
              </w:rPr>
            </w:pPr>
            <w:r>
              <w:rPr>
                <w:rFonts w:cs="Arial"/>
                <w:b/>
              </w:rPr>
              <w:t xml:space="preserve">Beschichten von Wickeldraht </w:t>
            </w:r>
          </w:p>
        </w:tc>
        <w:tc>
          <w:tcPr>
            <w:tcW w:w="2072" w:type="dxa"/>
            <w:tcBorders>
              <w:left w:val="single" w:sz="6" w:space="0" w:color="000000"/>
              <w:right w:val="single" w:sz="6" w:space="0" w:color="000000"/>
            </w:tcBorders>
          </w:tcPr>
          <w:p>
            <w:pPr>
              <w:pStyle w:val="GesAbsatz"/>
              <w:jc w:val="center"/>
              <w:rPr>
                <w:rFonts w:cs="Arial"/>
                <w:color w:val="auto"/>
              </w:rPr>
            </w:pPr>
          </w:p>
        </w:tc>
        <w:tc>
          <w:tcPr>
            <w:tcW w:w="2114" w:type="dxa"/>
            <w:tcBorders>
              <w:left w:val="single" w:sz="6" w:space="0" w:color="000000"/>
            </w:tcBorders>
          </w:tcPr>
          <w:p>
            <w:pPr>
              <w:pStyle w:val="GesAbsatz"/>
              <w:jc w:val="center"/>
              <w:rPr>
                <w:rFonts w:cs="Arial"/>
                <w:color w:val="auto"/>
              </w:rPr>
            </w:pPr>
          </w:p>
        </w:tc>
      </w:tr>
      <w:tr>
        <w:trPr>
          <w:trHeight w:val="570"/>
        </w:trPr>
        <w:tc>
          <w:tcPr>
            <w:tcW w:w="709" w:type="dxa"/>
            <w:gridSpan w:val="2"/>
          </w:tcPr>
          <w:p>
            <w:pPr>
              <w:pStyle w:val="GesAbsatz"/>
              <w:jc w:val="left"/>
              <w:rPr>
                <w:rFonts w:cs="Arial"/>
              </w:rPr>
            </w:pPr>
            <w:r>
              <w:rPr>
                <w:rFonts w:cs="Arial"/>
              </w:rPr>
              <w:t xml:space="preserve">7.1 </w:t>
            </w:r>
          </w:p>
        </w:tc>
        <w:tc>
          <w:tcPr>
            <w:tcW w:w="5103" w:type="dxa"/>
            <w:tcBorders>
              <w:right w:val="single" w:sz="6" w:space="0" w:color="000000"/>
            </w:tcBorders>
          </w:tcPr>
          <w:p>
            <w:pPr>
              <w:pStyle w:val="GesAbsatz"/>
              <w:jc w:val="left"/>
              <w:rPr>
                <w:rFonts w:cs="Arial"/>
              </w:rPr>
            </w:pPr>
            <w:r>
              <w:rPr>
                <w:rFonts w:cs="Arial"/>
              </w:rPr>
              <w:t xml:space="preserve">Anlagen zum Beschichten von Wickeldraht mit </w:t>
            </w:r>
            <w:proofErr w:type="spellStart"/>
            <w:r>
              <w:rPr>
                <w:rFonts w:cs="Arial"/>
              </w:rPr>
              <w:t>phenol</w:t>
            </w:r>
            <w:proofErr w:type="spellEnd"/>
            <w:r>
              <w:rPr>
                <w:rFonts w:cs="Arial"/>
              </w:rPr>
              <w:noBreakHyphen/>
              <w:t>, kresol- oder xylenolhaltigen Beschichtungsstoffen</w:t>
            </w:r>
          </w:p>
        </w:tc>
        <w:tc>
          <w:tcPr>
            <w:tcW w:w="2072" w:type="dxa"/>
            <w:tcBorders>
              <w:left w:val="single" w:sz="6" w:space="0" w:color="000000"/>
              <w:right w:val="single" w:sz="6" w:space="0" w:color="000000"/>
            </w:tcBorders>
          </w:tcPr>
          <w:p>
            <w:pPr>
              <w:pStyle w:val="GesAbsatz"/>
              <w:jc w:val="center"/>
              <w:rPr>
                <w:rFonts w:cs="Arial"/>
              </w:rPr>
            </w:pPr>
            <w:r>
              <w:rPr>
                <w:rFonts w:cs="Arial"/>
              </w:rPr>
              <w:t>0</w:t>
            </w:r>
          </w:p>
        </w:tc>
        <w:tc>
          <w:tcPr>
            <w:tcW w:w="2114" w:type="dxa"/>
            <w:tcBorders>
              <w:left w:val="single" w:sz="6" w:space="0" w:color="000000"/>
            </w:tcBorders>
          </w:tcPr>
          <w:p>
            <w:pPr>
              <w:pStyle w:val="GesAbsatz"/>
              <w:jc w:val="center"/>
              <w:rPr>
                <w:rFonts w:cs="Arial"/>
              </w:rPr>
            </w:pPr>
            <w:r>
              <w:rPr>
                <w:rFonts w:cs="Arial"/>
              </w:rPr>
              <w:t>7</w:t>
            </w:r>
          </w:p>
        </w:tc>
      </w:tr>
      <w:tr>
        <w:trPr>
          <w:trHeight w:val="543"/>
        </w:trPr>
        <w:tc>
          <w:tcPr>
            <w:tcW w:w="709" w:type="dxa"/>
            <w:gridSpan w:val="2"/>
          </w:tcPr>
          <w:p>
            <w:pPr>
              <w:pStyle w:val="GesAbsatz"/>
              <w:jc w:val="left"/>
              <w:rPr>
                <w:rFonts w:cs="Arial"/>
              </w:rPr>
            </w:pPr>
            <w:r>
              <w:rPr>
                <w:rFonts w:cs="Arial"/>
              </w:rPr>
              <w:t xml:space="preserve">7.2 </w:t>
            </w:r>
          </w:p>
        </w:tc>
        <w:tc>
          <w:tcPr>
            <w:tcW w:w="5103" w:type="dxa"/>
            <w:tcBorders>
              <w:right w:val="single" w:sz="6" w:space="0" w:color="000000"/>
            </w:tcBorders>
          </w:tcPr>
          <w:p>
            <w:pPr>
              <w:pStyle w:val="GesAbsatz"/>
              <w:jc w:val="left"/>
              <w:rPr>
                <w:rFonts w:cs="Arial"/>
              </w:rPr>
            </w:pPr>
            <w:r>
              <w:rPr>
                <w:rFonts w:cs="Arial"/>
              </w:rPr>
              <w:t xml:space="preserve">Anlagen zum Beschichten von Wickeldraht mit sonstigen Beschichtungsstoffen </w:t>
            </w:r>
          </w:p>
        </w:tc>
        <w:tc>
          <w:tcPr>
            <w:tcW w:w="2072" w:type="dxa"/>
            <w:tcBorders>
              <w:left w:val="single" w:sz="6" w:space="0" w:color="000000"/>
              <w:right w:val="single" w:sz="6" w:space="0" w:color="000000"/>
            </w:tcBorders>
          </w:tcPr>
          <w:p>
            <w:pPr>
              <w:pStyle w:val="GesAbsatz"/>
              <w:jc w:val="center"/>
              <w:rPr>
                <w:rFonts w:cs="Arial"/>
              </w:rPr>
            </w:pPr>
            <w:r>
              <w:rPr>
                <w:rFonts w:cs="Arial"/>
              </w:rPr>
              <w:t>5</w:t>
            </w:r>
          </w:p>
        </w:tc>
        <w:tc>
          <w:tcPr>
            <w:tcW w:w="2114" w:type="dxa"/>
            <w:tcBorders>
              <w:left w:val="single" w:sz="6" w:space="0" w:color="000000"/>
            </w:tcBorders>
          </w:tcPr>
          <w:p>
            <w:pPr>
              <w:pStyle w:val="GesAbsatz"/>
              <w:jc w:val="center"/>
              <w:rPr>
                <w:rFonts w:cs="Arial"/>
              </w:rPr>
            </w:pPr>
            <w:r>
              <w:rPr>
                <w:rFonts w:cs="Arial"/>
              </w:rPr>
              <w:t>7</w:t>
            </w:r>
          </w:p>
        </w:tc>
      </w:tr>
      <w:tr>
        <w:trPr>
          <w:trHeight w:val="515"/>
        </w:trPr>
        <w:tc>
          <w:tcPr>
            <w:tcW w:w="709" w:type="dxa"/>
            <w:gridSpan w:val="2"/>
          </w:tcPr>
          <w:p>
            <w:pPr>
              <w:pStyle w:val="GesAbsatz"/>
              <w:jc w:val="left"/>
              <w:rPr>
                <w:rFonts w:cs="Arial"/>
                <w:b/>
              </w:rPr>
            </w:pPr>
            <w:r>
              <w:rPr>
                <w:rFonts w:cs="Arial"/>
                <w:b/>
              </w:rPr>
              <w:t xml:space="preserve">8. </w:t>
            </w:r>
          </w:p>
        </w:tc>
        <w:tc>
          <w:tcPr>
            <w:tcW w:w="5103" w:type="dxa"/>
            <w:tcBorders>
              <w:right w:val="single" w:sz="6" w:space="0" w:color="000000"/>
            </w:tcBorders>
          </w:tcPr>
          <w:p>
            <w:pPr>
              <w:pStyle w:val="GesAbsatz"/>
              <w:jc w:val="left"/>
              <w:rPr>
                <w:rFonts w:cs="Arial"/>
                <w:b/>
              </w:rPr>
            </w:pPr>
            <w:r>
              <w:rPr>
                <w:rFonts w:cs="Arial"/>
                <w:b/>
              </w:rPr>
              <w:t xml:space="preserve">Beschichten von sonstigen Metall- oder Kunststoffoberflächen </w:t>
            </w:r>
          </w:p>
        </w:tc>
        <w:tc>
          <w:tcPr>
            <w:tcW w:w="2072" w:type="dxa"/>
            <w:tcBorders>
              <w:left w:val="single" w:sz="6" w:space="0" w:color="000000"/>
              <w:right w:val="single" w:sz="6" w:space="0" w:color="000000"/>
            </w:tcBorders>
          </w:tcPr>
          <w:p>
            <w:pPr>
              <w:pStyle w:val="GesAbsatz"/>
              <w:jc w:val="center"/>
              <w:rPr>
                <w:rFonts w:cs="Arial"/>
                <w:color w:val="auto"/>
              </w:rPr>
            </w:pPr>
          </w:p>
        </w:tc>
        <w:tc>
          <w:tcPr>
            <w:tcW w:w="2114" w:type="dxa"/>
            <w:tcBorders>
              <w:left w:val="single" w:sz="6" w:space="0" w:color="000000"/>
            </w:tcBorders>
          </w:tcPr>
          <w:p>
            <w:pPr>
              <w:pStyle w:val="GesAbsatz"/>
              <w:jc w:val="center"/>
              <w:rPr>
                <w:rFonts w:cs="Arial"/>
                <w:color w:val="auto"/>
              </w:rPr>
            </w:pPr>
          </w:p>
        </w:tc>
      </w:tr>
      <w:tr>
        <w:trPr>
          <w:trHeight w:val="540"/>
        </w:trPr>
        <w:tc>
          <w:tcPr>
            <w:tcW w:w="709" w:type="dxa"/>
            <w:gridSpan w:val="2"/>
          </w:tcPr>
          <w:p>
            <w:pPr>
              <w:pStyle w:val="GesAbsatz"/>
              <w:jc w:val="left"/>
              <w:rPr>
                <w:rFonts w:cs="Arial"/>
              </w:rPr>
            </w:pPr>
            <w:r>
              <w:rPr>
                <w:rFonts w:cs="Arial"/>
              </w:rPr>
              <w:t xml:space="preserve">8.1 </w:t>
            </w:r>
          </w:p>
        </w:tc>
        <w:tc>
          <w:tcPr>
            <w:tcW w:w="5103" w:type="dxa"/>
            <w:tcBorders>
              <w:right w:val="single" w:sz="6" w:space="0" w:color="000000"/>
            </w:tcBorders>
          </w:tcPr>
          <w:p>
            <w:pPr>
              <w:pStyle w:val="GesAbsatz"/>
              <w:jc w:val="left"/>
              <w:rPr>
                <w:rFonts w:cs="Arial"/>
              </w:rPr>
            </w:pPr>
            <w:r>
              <w:rPr>
                <w:rFonts w:cs="Arial"/>
              </w:rPr>
              <w:t xml:space="preserve">Anlagen zum Beschichten von sonstigen Metall- oder Kunststoffoberflächen sowie zum Beschichten und Bedrucken von Metallverpackungen </w:t>
            </w:r>
          </w:p>
        </w:tc>
        <w:tc>
          <w:tcPr>
            <w:tcW w:w="2072" w:type="dxa"/>
            <w:tcBorders>
              <w:left w:val="single" w:sz="6" w:space="0" w:color="000000"/>
              <w:right w:val="single" w:sz="6" w:space="0" w:color="000000"/>
            </w:tcBorders>
          </w:tcPr>
          <w:p>
            <w:pPr>
              <w:pStyle w:val="GesAbsatz"/>
              <w:jc w:val="center"/>
              <w:rPr>
                <w:rFonts w:cs="Arial"/>
              </w:rPr>
            </w:pPr>
            <w:r>
              <w:rPr>
                <w:rFonts w:cs="Arial"/>
              </w:rPr>
              <w:t>5</w:t>
            </w:r>
          </w:p>
        </w:tc>
        <w:tc>
          <w:tcPr>
            <w:tcW w:w="2114" w:type="dxa"/>
            <w:tcBorders>
              <w:left w:val="single" w:sz="6" w:space="0" w:color="000000"/>
            </w:tcBorders>
          </w:tcPr>
          <w:p>
            <w:pPr>
              <w:pStyle w:val="GesAbsatz"/>
              <w:jc w:val="center"/>
              <w:rPr>
                <w:rFonts w:cs="Arial"/>
              </w:rPr>
            </w:pPr>
            <w:r>
              <w:rPr>
                <w:rFonts w:cs="Arial"/>
              </w:rPr>
              <w:t>8</w:t>
            </w:r>
          </w:p>
        </w:tc>
      </w:tr>
      <w:tr>
        <w:trPr>
          <w:trHeight w:val="313"/>
        </w:trPr>
        <w:tc>
          <w:tcPr>
            <w:tcW w:w="709" w:type="dxa"/>
            <w:gridSpan w:val="2"/>
          </w:tcPr>
          <w:p>
            <w:pPr>
              <w:pStyle w:val="GesAbsatz"/>
              <w:jc w:val="left"/>
              <w:rPr>
                <w:rFonts w:cs="Arial"/>
                <w:b/>
              </w:rPr>
            </w:pPr>
            <w:r>
              <w:rPr>
                <w:rFonts w:cs="Arial"/>
                <w:b/>
              </w:rPr>
              <w:t xml:space="preserve">9. </w:t>
            </w:r>
          </w:p>
        </w:tc>
        <w:tc>
          <w:tcPr>
            <w:tcW w:w="5103" w:type="dxa"/>
            <w:tcBorders>
              <w:right w:val="single" w:sz="6" w:space="0" w:color="000000"/>
            </w:tcBorders>
          </w:tcPr>
          <w:p>
            <w:pPr>
              <w:pStyle w:val="GesAbsatz"/>
              <w:jc w:val="left"/>
              <w:rPr>
                <w:rFonts w:cs="Arial"/>
                <w:b/>
              </w:rPr>
            </w:pPr>
            <w:r>
              <w:rPr>
                <w:rFonts w:cs="Arial"/>
                <w:b/>
              </w:rPr>
              <w:t xml:space="preserve">Beschichten von Holz oder Holzwerkstoffen </w:t>
            </w:r>
          </w:p>
        </w:tc>
        <w:tc>
          <w:tcPr>
            <w:tcW w:w="2072" w:type="dxa"/>
            <w:tcBorders>
              <w:left w:val="single" w:sz="6" w:space="0" w:color="000000"/>
              <w:right w:val="single" w:sz="6" w:space="0" w:color="000000"/>
            </w:tcBorders>
          </w:tcPr>
          <w:p>
            <w:pPr>
              <w:pStyle w:val="GesAbsatz"/>
              <w:jc w:val="center"/>
              <w:rPr>
                <w:rFonts w:cs="Arial"/>
                <w:color w:val="auto"/>
              </w:rPr>
            </w:pPr>
          </w:p>
        </w:tc>
        <w:tc>
          <w:tcPr>
            <w:tcW w:w="2114" w:type="dxa"/>
            <w:tcBorders>
              <w:left w:val="single" w:sz="6" w:space="0" w:color="000000"/>
            </w:tcBorders>
          </w:tcPr>
          <w:p>
            <w:pPr>
              <w:pStyle w:val="GesAbsatz"/>
              <w:jc w:val="center"/>
              <w:rPr>
                <w:rFonts w:cs="Arial"/>
                <w:color w:val="auto"/>
              </w:rPr>
            </w:pPr>
          </w:p>
        </w:tc>
      </w:tr>
      <w:tr>
        <w:trPr>
          <w:trHeight w:val="770"/>
        </w:trPr>
        <w:tc>
          <w:tcPr>
            <w:tcW w:w="709" w:type="dxa"/>
            <w:gridSpan w:val="2"/>
          </w:tcPr>
          <w:p>
            <w:pPr>
              <w:pStyle w:val="GesAbsatz"/>
              <w:jc w:val="left"/>
              <w:rPr>
                <w:rFonts w:cs="Arial"/>
              </w:rPr>
            </w:pPr>
            <w:r>
              <w:rPr>
                <w:rFonts w:cs="Arial"/>
              </w:rPr>
              <w:lastRenderedPageBreak/>
              <w:t xml:space="preserve">9.1 </w:t>
            </w:r>
          </w:p>
        </w:tc>
        <w:tc>
          <w:tcPr>
            <w:tcW w:w="5103" w:type="dxa"/>
            <w:tcBorders>
              <w:right w:val="single" w:sz="6" w:space="0" w:color="000000"/>
            </w:tcBorders>
          </w:tcPr>
          <w:p>
            <w:pPr>
              <w:pStyle w:val="GesAbsatz"/>
              <w:jc w:val="left"/>
              <w:rPr>
                <w:rFonts w:cs="Arial"/>
              </w:rPr>
            </w:pPr>
            <w:r>
              <w:rPr>
                <w:rFonts w:cs="Arial"/>
              </w:rPr>
              <w:t xml:space="preserve">Anlagen zum Beschichten von Holz oder Holzwerkstoffen mit einem jährlichen Lösungsmittelverbrauch bis zu 15 Tonnen </w:t>
            </w:r>
          </w:p>
        </w:tc>
        <w:tc>
          <w:tcPr>
            <w:tcW w:w="2072" w:type="dxa"/>
            <w:tcBorders>
              <w:left w:val="single" w:sz="6" w:space="0" w:color="000000"/>
              <w:right w:val="single" w:sz="6" w:space="0" w:color="000000"/>
            </w:tcBorders>
          </w:tcPr>
          <w:p>
            <w:pPr>
              <w:pStyle w:val="GesAbsatz"/>
              <w:jc w:val="center"/>
              <w:rPr>
                <w:rFonts w:cs="Arial"/>
              </w:rPr>
            </w:pPr>
            <w:r>
              <w:rPr>
                <w:rFonts w:cs="Arial"/>
              </w:rPr>
              <w:t>5</w:t>
            </w:r>
          </w:p>
        </w:tc>
        <w:tc>
          <w:tcPr>
            <w:tcW w:w="2114" w:type="dxa"/>
            <w:tcBorders>
              <w:left w:val="single" w:sz="6" w:space="0" w:color="000000"/>
            </w:tcBorders>
          </w:tcPr>
          <w:p>
            <w:pPr>
              <w:pStyle w:val="GesAbsatz"/>
              <w:jc w:val="center"/>
              <w:rPr>
                <w:rFonts w:cs="Arial"/>
              </w:rPr>
            </w:pPr>
            <w:r>
              <w:rPr>
                <w:rFonts w:cs="Arial"/>
              </w:rPr>
              <w:t>9</w:t>
            </w:r>
          </w:p>
        </w:tc>
      </w:tr>
      <w:tr>
        <w:trPr>
          <w:trHeight w:val="793"/>
        </w:trPr>
        <w:tc>
          <w:tcPr>
            <w:tcW w:w="709" w:type="dxa"/>
            <w:gridSpan w:val="2"/>
          </w:tcPr>
          <w:p>
            <w:pPr>
              <w:pStyle w:val="GesAbsatz"/>
              <w:jc w:val="left"/>
              <w:rPr>
                <w:rFonts w:cs="Arial"/>
              </w:rPr>
            </w:pPr>
            <w:r>
              <w:rPr>
                <w:rFonts w:cs="Arial"/>
              </w:rPr>
              <w:t xml:space="preserve">9.2 </w:t>
            </w:r>
          </w:p>
        </w:tc>
        <w:tc>
          <w:tcPr>
            <w:tcW w:w="5103" w:type="dxa"/>
            <w:tcBorders>
              <w:right w:val="single" w:sz="6" w:space="0" w:color="000000"/>
            </w:tcBorders>
          </w:tcPr>
          <w:p>
            <w:pPr>
              <w:pStyle w:val="GesAbsatz"/>
              <w:jc w:val="left"/>
              <w:rPr>
                <w:rFonts w:cs="Arial"/>
              </w:rPr>
            </w:pPr>
            <w:r>
              <w:rPr>
                <w:rFonts w:cs="Arial"/>
              </w:rPr>
              <w:t xml:space="preserve">Anlagen zum Beschichten von Holz oder Holzwerkstoffen mit einem jährlichen Lösungsmittelverbrauch von mehr als 15 Tonnen </w:t>
            </w:r>
          </w:p>
        </w:tc>
        <w:tc>
          <w:tcPr>
            <w:tcW w:w="2072" w:type="dxa"/>
            <w:tcBorders>
              <w:left w:val="single" w:sz="6" w:space="0" w:color="000000"/>
              <w:right w:val="single" w:sz="6" w:space="0" w:color="000000"/>
            </w:tcBorders>
          </w:tcPr>
          <w:p>
            <w:pPr>
              <w:pStyle w:val="GesAbsatz"/>
              <w:jc w:val="center"/>
              <w:rPr>
                <w:rFonts w:cs="Arial"/>
              </w:rPr>
            </w:pPr>
            <w:r>
              <w:rPr>
                <w:rFonts w:cs="Arial"/>
              </w:rPr>
              <w:t>15</w:t>
            </w:r>
          </w:p>
        </w:tc>
        <w:tc>
          <w:tcPr>
            <w:tcW w:w="2114" w:type="dxa"/>
            <w:tcBorders>
              <w:left w:val="single" w:sz="6" w:space="0" w:color="000000"/>
            </w:tcBorders>
          </w:tcPr>
          <w:p>
            <w:pPr>
              <w:pStyle w:val="GesAbsatz"/>
              <w:jc w:val="center"/>
              <w:rPr>
                <w:rFonts w:cs="Arial"/>
              </w:rPr>
            </w:pPr>
            <w:r>
              <w:rPr>
                <w:rFonts w:cs="Arial"/>
              </w:rPr>
              <w:t>9</w:t>
            </w:r>
          </w:p>
        </w:tc>
      </w:tr>
      <w:tr>
        <w:trPr>
          <w:trHeight w:val="573"/>
        </w:trPr>
        <w:tc>
          <w:tcPr>
            <w:tcW w:w="616" w:type="dxa"/>
          </w:tcPr>
          <w:p>
            <w:pPr>
              <w:pStyle w:val="GesAbsatz"/>
              <w:jc w:val="left"/>
              <w:rPr>
                <w:rFonts w:cs="Arial"/>
                <w:b/>
              </w:rPr>
            </w:pPr>
            <w:r>
              <w:rPr>
                <w:rFonts w:cs="Arial"/>
                <w:b/>
              </w:rPr>
              <w:t xml:space="preserve">10. </w:t>
            </w:r>
          </w:p>
        </w:tc>
        <w:tc>
          <w:tcPr>
            <w:tcW w:w="5196" w:type="dxa"/>
            <w:gridSpan w:val="2"/>
            <w:tcBorders>
              <w:right w:val="single" w:sz="6" w:space="0" w:color="000000"/>
            </w:tcBorders>
          </w:tcPr>
          <w:p>
            <w:pPr>
              <w:pStyle w:val="GesAbsatz"/>
              <w:jc w:val="left"/>
              <w:rPr>
                <w:rFonts w:cs="Arial"/>
                <w:b/>
              </w:rPr>
            </w:pPr>
            <w:r>
              <w:rPr>
                <w:rFonts w:cs="Arial"/>
                <w:b/>
              </w:rPr>
              <w:t xml:space="preserve">Beschichten von Textil-, Gewebe-, Folien- oder Papieroberflächen </w:t>
            </w:r>
          </w:p>
        </w:tc>
        <w:tc>
          <w:tcPr>
            <w:tcW w:w="2072" w:type="dxa"/>
            <w:tcBorders>
              <w:left w:val="single" w:sz="6" w:space="0" w:color="000000"/>
              <w:right w:val="single" w:sz="6" w:space="0" w:color="000000"/>
            </w:tcBorders>
          </w:tcPr>
          <w:p>
            <w:pPr>
              <w:pStyle w:val="GesAbsatz"/>
              <w:jc w:val="center"/>
              <w:rPr>
                <w:rFonts w:cs="Arial"/>
                <w:color w:val="auto"/>
              </w:rPr>
            </w:pPr>
          </w:p>
        </w:tc>
        <w:tc>
          <w:tcPr>
            <w:tcW w:w="2114" w:type="dxa"/>
            <w:tcBorders>
              <w:left w:val="single" w:sz="6" w:space="0" w:color="000000"/>
            </w:tcBorders>
          </w:tcPr>
          <w:p>
            <w:pPr>
              <w:pStyle w:val="GesAbsatz"/>
              <w:jc w:val="center"/>
              <w:rPr>
                <w:rFonts w:cs="Arial"/>
                <w:color w:val="auto"/>
              </w:rPr>
            </w:pPr>
          </w:p>
        </w:tc>
      </w:tr>
      <w:tr>
        <w:trPr>
          <w:trHeight w:val="503"/>
        </w:trPr>
        <w:tc>
          <w:tcPr>
            <w:tcW w:w="616" w:type="dxa"/>
          </w:tcPr>
          <w:p>
            <w:pPr>
              <w:pStyle w:val="GesAbsatz"/>
              <w:jc w:val="left"/>
              <w:rPr>
                <w:rFonts w:cs="Arial"/>
              </w:rPr>
            </w:pPr>
            <w:r>
              <w:rPr>
                <w:rFonts w:cs="Arial"/>
              </w:rPr>
              <w:t xml:space="preserve">10.1 </w:t>
            </w:r>
          </w:p>
        </w:tc>
        <w:tc>
          <w:tcPr>
            <w:tcW w:w="5196" w:type="dxa"/>
            <w:gridSpan w:val="2"/>
            <w:tcBorders>
              <w:right w:val="single" w:sz="6" w:space="0" w:color="000000"/>
            </w:tcBorders>
          </w:tcPr>
          <w:p>
            <w:pPr>
              <w:pStyle w:val="GesAbsatz"/>
              <w:jc w:val="left"/>
              <w:rPr>
                <w:rFonts w:cs="Arial"/>
              </w:rPr>
            </w:pPr>
            <w:r>
              <w:rPr>
                <w:rFonts w:cs="Arial"/>
              </w:rPr>
              <w:t xml:space="preserve">Anlagen zum Beschichten oder Bedrucken von Textilien und Geweben sowie zum Beschichten von Folien oder Papieroberflächen </w:t>
            </w:r>
          </w:p>
        </w:tc>
        <w:tc>
          <w:tcPr>
            <w:tcW w:w="2072" w:type="dxa"/>
            <w:tcBorders>
              <w:left w:val="single" w:sz="6" w:space="0" w:color="000000"/>
              <w:right w:val="single" w:sz="6" w:space="0" w:color="000000"/>
            </w:tcBorders>
          </w:tcPr>
          <w:p>
            <w:pPr>
              <w:pStyle w:val="GesAbsatz"/>
              <w:jc w:val="center"/>
              <w:rPr>
                <w:rFonts w:cs="Arial"/>
              </w:rPr>
            </w:pPr>
            <w:r>
              <w:rPr>
                <w:rFonts w:cs="Arial"/>
              </w:rPr>
              <w:t>5</w:t>
            </w:r>
          </w:p>
        </w:tc>
        <w:tc>
          <w:tcPr>
            <w:tcW w:w="2114" w:type="dxa"/>
            <w:tcBorders>
              <w:left w:val="single" w:sz="6" w:space="0" w:color="000000"/>
            </w:tcBorders>
          </w:tcPr>
          <w:p>
            <w:pPr>
              <w:pStyle w:val="GesAbsatz"/>
              <w:jc w:val="center"/>
              <w:rPr>
                <w:rFonts w:cs="Arial"/>
              </w:rPr>
            </w:pPr>
            <w:r>
              <w:rPr>
                <w:rFonts w:cs="Arial"/>
              </w:rPr>
              <w:t>10.1</w:t>
            </w:r>
          </w:p>
        </w:tc>
      </w:tr>
      <w:tr>
        <w:trPr>
          <w:trHeight w:val="313"/>
        </w:trPr>
        <w:tc>
          <w:tcPr>
            <w:tcW w:w="616" w:type="dxa"/>
          </w:tcPr>
          <w:p>
            <w:pPr>
              <w:pStyle w:val="GesAbsatz"/>
              <w:jc w:val="left"/>
              <w:rPr>
                <w:rFonts w:cs="Arial"/>
                <w:b/>
              </w:rPr>
            </w:pPr>
            <w:r>
              <w:rPr>
                <w:rFonts w:cs="Arial"/>
                <w:b/>
              </w:rPr>
              <w:t xml:space="preserve">11. </w:t>
            </w:r>
          </w:p>
        </w:tc>
        <w:tc>
          <w:tcPr>
            <w:tcW w:w="5196" w:type="dxa"/>
            <w:gridSpan w:val="2"/>
            <w:tcBorders>
              <w:right w:val="single" w:sz="6" w:space="0" w:color="000000"/>
            </w:tcBorders>
          </w:tcPr>
          <w:p>
            <w:pPr>
              <w:pStyle w:val="GesAbsatz"/>
              <w:jc w:val="left"/>
              <w:rPr>
                <w:rFonts w:cs="Arial"/>
                <w:b/>
              </w:rPr>
            </w:pPr>
            <w:r>
              <w:rPr>
                <w:rFonts w:cs="Arial"/>
                <w:b/>
              </w:rPr>
              <w:t xml:space="preserve">Beschichten von Leder </w:t>
            </w:r>
          </w:p>
        </w:tc>
        <w:tc>
          <w:tcPr>
            <w:tcW w:w="2072" w:type="dxa"/>
            <w:tcBorders>
              <w:left w:val="single" w:sz="6" w:space="0" w:color="000000"/>
              <w:right w:val="single" w:sz="6" w:space="0" w:color="000000"/>
            </w:tcBorders>
          </w:tcPr>
          <w:p>
            <w:pPr>
              <w:pStyle w:val="GesAbsatz"/>
              <w:jc w:val="center"/>
              <w:rPr>
                <w:rFonts w:cs="Arial"/>
                <w:color w:val="auto"/>
              </w:rPr>
            </w:pPr>
          </w:p>
        </w:tc>
        <w:tc>
          <w:tcPr>
            <w:tcW w:w="2114" w:type="dxa"/>
            <w:tcBorders>
              <w:left w:val="single" w:sz="6" w:space="0" w:color="000000"/>
            </w:tcBorders>
          </w:tcPr>
          <w:p>
            <w:pPr>
              <w:pStyle w:val="GesAbsatz"/>
              <w:jc w:val="center"/>
              <w:rPr>
                <w:rFonts w:cs="Arial"/>
                <w:color w:val="auto"/>
              </w:rPr>
            </w:pPr>
          </w:p>
        </w:tc>
      </w:tr>
      <w:tr>
        <w:trPr>
          <w:trHeight w:val="343"/>
        </w:trPr>
        <w:tc>
          <w:tcPr>
            <w:tcW w:w="616" w:type="dxa"/>
          </w:tcPr>
          <w:p>
            <w:pPr>
              <w:pStyle w:val="GesAbsatz"/>
              <w:jc w:val="left"/>
              <w:rPr>
                <w:rFonts w:cs="Arial"/>
              </w:rPr>
            </w:pPr>
            <w:r>
              <w:rPr>
                <w:rFonts w:cs="Arial"/>
              </w:rPr>
              <w:t xml:space="preserve">11.1 </w:t>
            </w:r>
          </w:p>
        </w:tc>
        <w:tc>
          <w:tcPr>
            <w:tcW w:w="5196" w:type="dxa"/>
            <w:gridSpan w:val="2"/>
            <w:tcBorders>
              <w:right w:val="single" w:sz="6" w:space="0" w:color="000000"/>
            </w:tcBorders>
          </w:tcPr>
          <w:p>
            <w:pPr>
              <w:pStyle w:val="GesAbsatz"/>
              <w:jc w:val="left"/>
              <w:rPr>
                <w:rFonts w:cs="Arial"/>
              </w:rPr>
            </w:pPr>
            <w:r>
              <w:rPr>
                <w:rFonts w:cs="Arial"/>
              </w:rPr>
              <w:t xml:space="preserve">Anlagen zum Beschichten von Leder </w:t>
            </w:r>
          </w:p>
        </w:tc>
        <w:tc>
          <w:tcPr>
            <w:tcW w:w="2072" w:type="dxa"/>
            <w:tcBorders>
              <w:left w:val="single" w:sz="6" w:space="0" w:color="000000"/>
              <w:right w:val="single" w:sz="6" w:space="0" w:color="000000"/>
            </w:tcBorders>
          </w:tcPr>
          <w:p>
            <w:pPr>
              <w:pStyle w:val="GesAbsatz"/>
              <w:jc w:val="center"/>
              <w:rPr>
                <w:rFonts w:cs="Arial"/>
              </w:rPr>
            </w:pPr>
            <w:r>
              <w:rPr>
                <w:rFonts w:cs="Arial"/>
              </w:rPr>
              <w:t>10</w:t>
            </w:r>
          </w:p>
        </w:tc>
        <w:tc>
          <w:tcPr>
            <w:tcW w:w="2114" w:type="dxa"/>
            <w:tcBorders>
              <w:left w:val="single" w:sz="6" w:space="0" w:color="000000"/>
            </w:tcBorders>
          </w:tcPr>
          <w:p>
            <w:pPr>
              <w:pStyle w:val="GesAbsatz"/>
              <w:jc w:val="center"/>
              <w:rPr>
                <w:rFonts w:cs="Arial"/>
              </w:rPr>
            </w:pPr>
            <w:r>
              <w:rPr>
                <w:rFonts w:cs="Arial"/>
              </w:rPr>
              <w:t>11</w:t>
            </w:r>
          </w:p>
        </w:tc>
      </w:tr>
      <w:tr>
        <w:trPr>
          <w:trHeight w:val="318"/>
        </w:trPr>
        <w:tc>
          <w:tcPr>
            <w:tcW w:w="616" w:type="dxa"/>
          </w:tcPr>
          <w:p>
            <w:pPr>
              <w:pStyle w:val="GesAbsatz"/>
              <w:jc w:val="left"/>
              <w:rPr>
                <w:rFonts w:cs="Arial"/>
                <w:b/>
              </w:rPr>
            </w:pPr>
            <w:r>
              <w:rPr>
                <w:rFonts w:cs="Arial"/>
                <w:b/>
              </w:rPr>
              <w:t xml:space="preserve">12. </w:t>
            </w:r>
          </w:p>
        </w:tc>
        <w:tc>
          <w:tcPr>
            <w:tcW w:w="5196" w:type="dxa"/>
            <w:gridSpan w:val="2"/>
            <w:tcBorders>
              <w:right w:val="single" w:sz="6" w:space="0" w:color="000000"/>
            </w:tcBorders>
          </w:tcPr>
          <w:p>
            <w:pPr>
              <w:pStyle w:val="GesAbsatz"/>
              <w:jc w:val="left"/>
              <w:rPr>
                <w:rFonts w:cs="Arial"/>
                <w:b/>
              </w:rPr>
            </w:pPr>
            <w:r>
              <w:rPr>
                <w:rFonts w:cs="Arial"/>
                <w:b/>
              </w:rPr>
              <w:t xml:space="preserve">Holzimprägnierung </w:t>
            </w:r>
          </w:p>
        </w:tc>
        <w:tc>
          <w:tcPr>
            <w:tcW w:w="2072" w:type="dxa"/>
            <w:tcBorders>
              <w:left w:val="single" w:sz="6" w:space="0" w:color="000000"/>
              <w:right w:val="single" w:sz="6" w:space="0" w:color="000000"/>
            </w:tcBorders>
          </w:tcPr>
          <w:p>
            <w:pPr>
              <w:pStyle w:val="GesAbsatz"/>
              <w:jc w:val="center"/>
              <w:rPr>
                <w:rFonts w:cs="Arial"/>
                <w:color w:val="auto"/>
              </w:rPr>
            </w:pPr>
          </w:p>
        </w:tc>
        <w:tc>
          <w:tcPr>
            <w:tcW w:w="2114" w:type="dxa"/>
            <w:tcBorders>
              <w:left w:val="single" w:sz="6" w:space="0" w:color="000000"/>
            </w:tcBorders>
          </w:tcPr>
          <w:p>
            <w:pPr>
              <w:pStyle w:val="GesAbsatz"/>
              <w:jc w:val="center"/>
              <w:rPr>
                <w:rFonts w:cs="Arial"/>
                <w:color w:val="auto"/>
              </w:rPr>
            </w:pPr>
          </w:p>
        </w:tc>
      </w:tr>
      <w:tr>
        <w:trPr>
          <w:trHeight w:val="533"/>
        </w:trPr>
        <w:tc>
          <w:tcPr>
            <w:tcW w:w="616" w:type="dxa"/>
          </w:tcPr>
          <w:p>
            <w:pPr>
              <w:pStyle w:val="GesAbsatz"/>
              <w:jc w:val="left"/>
              <w:rPr>
                <w:rFonts w:cs="Arial"/>
              </w:rPr>
            </w:pPr>
            <w:r>
              <w:rPr>
                <w:rFonts w:cs="Arial"/>
              </w:rPr>
              <w:t xml:space="preserve">12.1 </w:t>
            </w:r>
          </w:p>
        </w:tc>
        <w:tc>
          <w:tcPr>
            <w:tcW w:w="5196" w:type="dxa"/>
            <w:gridSpan w:val="2"/>
            <w:tcBorders>
              <w:right w:val="single" w:sz="6" w:space="0" w:color="000000"/>
            </w:tcBorders>
          </w:tcPr>
          <w:p>
            <w:pPr>
              <w:pStyle w:val="GesAbsatz"/>
              <w:jc w:val="left"/>
              <w:rPr>
                <w:rFonts w:cs="Arial"/>
              </w:rPr>
            </w:pPr>
            <w:r>
              <w:rPr>
                <w:rFonts w:cs="Arial"/>
              </w:rPr>
              <w:t xml:space="preserve">Anlagen zum Imprägnieren von Holz unter Verwendung von lösungsmittelhaltigen Holzschutzmitteln </w:t>
            </w:r>
          </w:p>
        </w:tc>
        <w:tc>
          <w:tcPr>
            <w:tcW w:w="2072" w:type="dxa"/>
            <w:tcBorders>
              <w:left w:val="single" w:sz="6" w:space="0" w:color="000000"/>
              <w:right w:val="single" w:sz="6" w:space="0" w:color="000000"/>
            </w:tcBorders>
          </w:tcPr>
          <w:p>
            <w:pPr>
              <w:pStyle w:val="GesAbsatz"/>
              <w:jc w:val="center"/>
              <w:rPr>
                <w:rFonts w:cs="Arial"/>
              </w:rPr>
            </w:pPr>
            <w:r>
              <w:rPr>
                <w:rFonts w:cs="Arial"/>
              </w:rPr>
              <w:t>10</w:t>
            </w:r>
          </w:p>
        </w:tc>
        <w:tc>
          <w:tcPr>
            <w:tcW w:w="2114" w:type="dxa"/>
            <w:tcBorders>
              <w:left w:val="single" w:sz="6" w:space="0" w:color="000000"/>
            </w:tcBorders>
          </w:tcPr>
          <w:p>
            <w:pPr>
              <w:pStyle w:val="GesAbsatz"/>
              <w:jc w:val="center"/>
              <w:rPr>
                <w:rFonts w:cs="Arial"/>
              </w:rPr>
            </w:pPr>
            <w:r>
              <w:rPr>
                <w:rFonts w:cs="Arial"/>
              </w:rPr>
              <w:t>12</w:t>
            </w:r>
          </w:p>
        </w:tc>
      </w:tr>
      <w:tr>
        <w:trPr>
          <w:trHeight w:val="543"/>
        </w:trPr>
        <w:tc>
          <w:tcPr>
            <w:tcW w:w="616" w:type="dxa"/>
          </w:tcPr>
          <w:p>
            <w:pPr>
              <w:pStyle w:val="GesAbsatz"/>
              <w:jc w:val="left"/>
              <w:rPr>
                <w:rFonts w:cs="Arial"/>
              </w:rPr>
            </w:pPr>
            <w:r>
              <w:rPr>
                <w:rFonts w:cs="Arial"/>
              </w:rPr>
              <w:t xml:space="preserve">12.2 </w:t>
            </w:r>
          </w:p>
        </w:tc>
        <w:tc>
          <w:tcPr>
            <w:tcW w:w="5196" w:type="dxa"/>
            <w:gridSpan w:val="2"/>
            <w:tcBorders>
              <w:right w:val="single" w:sz="6" w:space="0" w:color="000000"/>
            </w:tcBorders>
          </w:tcPr>
          <w:p>
            <w:pPr>
              <w:pStyle w:val="GesAbsatz"/>
              <w:jc w:val="left"/>
              <w:rPr>
                <w:rFonts w:cs="Arial"/>
              </w:rPr>
            </w:pPr>
            <w:r>
              <w:rPr>
                <w:rFonts w:cs="Arial"/>
              </w:rPr>
              <w:t xml:space="preserve">Anlagen zum </w:t>
            </w:r>
            <w:proofErr w:type="spellStart"/>
            <w:r>
              <w:rPr>
                <w:rFonts w:cs="Arial"/>
              </w:rPr>
              <w:t>imprägnieren</w:t>
            </w:r>
            <w:proofErr w:type="spellEnd"/>
            <w:r>
              <w:rPr>
                <w:rFonts w:cs="Arial"/>
              </w:rPr>
              <w:t xml:space="preserve"> von Holz unter Verwendung von Teerölen (Kreosote) </w:t>
            </w:r>
          </w:p>
        </w:tc>
        <w:tc>
          <w:tcPr>
            <w:tcW w:w="2072" w:type="dxa"/>
            <w:tcBorders>
              <w:left w:val="single" w:sz="6" w:space="0" w:color="000000"/>
              <w:right w:val="single" w:sz="6" w:space="0" w:color="000000"/>
            </w:tcBorders>
          </w:tcPr>
          <w:p>
            <w:pPr>
              <w:pStyle w:val="GesAbsatz"/>
              <w:jc w:val="center"/>
              <w:rPr>
                <w:rFonts w:cs="Arial"/>
              </w:rPr>
            </w:pPr>
            <w:r>
              <w:rPr>
                <w:rFonts w:cs="Arial"/>
              </w:rPr>
              <w:t>0</w:t>
            </w:r>
          </w:p>
        </w:tc>
        <w:tc>
          <w:tcPr>
            <w:tcW w:w="2114" w:type="dxa"/>
            <w:tcBorders>
              <w:left w:val="single" w:sz="6" w:space="0" w:color="000000"/>
            </w:tcBorders>
          </w:tcPr>
          <w:p>
            <w:pPr>
              <w:pStyle w:val="GesAbsatz"/>
              <w:jc w:val="center"/>
              <w:rPr>
                <w:rFonts w:cs="Arial"/>
              </w:rPr>
            </w:pPr>
            <w:r>
              <w:rPr>
                <w:rFonts w:cs="Arial"/>
              </w:rPr>
              <w:t>12</w:t>
            </w:r>
          </w:p>
        </w:tc>
      </w:tr>
      <w:tr>
        <w:trPr>
          <w:trHeight w:val="318"/>
        </w:trPr>
        <w:tc>
          <w:tcPr>
            <w:tcW w:w="616" w:type="dxa"/>
          </w:tcPr>
          <w:p>
            <w:pPr>
              <w:pStyle w:val="GesAbsatz"/>
              <w:jc w:val="left"/>
              <w:rPr>
                <w:rFonts w:cs="Arial"/>
                <w:b/>
              </w:rPr>
            </w:pPr>
            <w:r>
              <w:rPr>
                <w:rFonts w:cs="Arial"/>
                <w:b/>
              </w:rPr>
              <w:t xml:space="preserve">13. </w:t>
            </w:r>
          </w:p>
        </w:tc>
        <w:tc>
          <w:tcPr>
            <w:tcW w:w="5196" w:type="dxa"/>
            <w:gridSpan w:val="2"/>
            <w:tcBorders>
              <w:right w:val="single" w:sz="6" w:space="0" w:color="000000"/>
            </w:tcBorders>
          </w:tcPr>
          <w:p>
            <w:pPr>
              <w:pStyle w:val="GesAbsatz"/>
              <w:jc w:val="left"/>
              <w:rPr>
                <w:rFonts w:cs="Arial"/>
                <w:b/>
              </w:rPr>
            </w:pPr>
            <w:r>
              <w:rPr>
                <w:rFonts w:cs="Arial"/>
                <w:b/>
              </w:rPr>
              <w:t xml:space="preserve">Laminierung von Holz oder Kunststoffen </w:t>
            </w:r>
          </w:p>
        </w:tc>
        <w:tc>
          <w:tcPr>
            <w:tcW w:w="2072" w:type="dxa"/>
            <w:tcBorders>
              <w:left w:val="single" w:sz="6" w:space="0" w:color="000000"/>
              <w:right w:val="single" w:sz="6" w:space="0" w:color="000000"/>
            </w:tcBorders>
          </w:tcPr>
          <w:p>
            <w:pPr>
              <w:pStyle w:val="GesAbsatz"/>
              <w:jc w:val="center"/>
              <w:rPr>
                <w:rFonts w:cs="Arial"/>
                <w:color w:val="auto"/>
              </w:rPr>
            </w:pPr>
          </w:p>
        </w:tc>
        <w:tc>
          <w:tcPr>
            <w:tcW w:w="2114" w:type="dxa"/>
            <w:tcBorders>
              <w:left w:val="single" w:sz="6" w:space="0" w:color="000000"/>
            </w:tcBorders>
          </w:tcPr>
          <w:p>
            <w:pPr>
              <w:pStyle w:val="GesAbsatz"/>
              <w:jc w:val="center"/>
              <w:rPr>
                <w:rFonts w:cs="Arial"/>
                <w:color w:val="auto"/>
              </w:rPr>
            </w:pPr>
          </w:p>
        </w:tc>
      </w:tr>
      <w:tr>
        <w:trPr>
          <w:trHeight w:val="308"/>
        </w:trPr>
        <w:tc>
          <w:tcPr>
            <w:tcW w:w="616" w:type="dxa"/>
          </w:tcPr>
          <w:p>
            <w:pPr>
              <w:pStyle w:val="GesAbsatz"/>
              <w:jc w:val="left"/>
              <w:rPr>
                <w:rFonts w:cs="Arial"/>
              </w:rPr>
            </w:pPr>
            <w:r>
              <w:rPr>
                <w:rFonts w:cs="Arial"/>
              </w:rPr>
              <w:t xml:space="preserve">13.1 </w:t>
            </w:r>
          </w:p>
        </w:tc>
        <w:tc>
          <w:tcPr>
            <w:tcW w:w="5196" w:type="dxa"/>
            <w:gridSpan w:val="2"/>
            <w:tcBorders>
              <w:right w:val="single" w:sz="6" w:space="0" w:color="000000"/>
            </w:tcBorders>
          </w:tcPr>
          <w:p>
            <w:pPr>
              <w:pStyle w:val="GesAbsatz"/>
              <w:jc w:val="left"/>
              <w:rPr>
                <w:rFonts w:cs="Arial"/>
              </w:rPr>
            </w:pPr>
            <w:r>
              <w:rPr>
                <w:rFonts w:cs="Arial"/>
              </w:rPr>
              <w:t xml:space="preserve">Anlagen zur Laminierung von Holz oder Kunststoffen </w:t>
            </w:r>
          </w:p>
        </w:tc>
        <w:tc>
          <w:tcPr>
            <w:tcW w:w="2072" w:type="dxa"/>
            <w:tcBorders>
              <w:left w:val="single" w:sz="6" w:space="0" w:color="000000"/>
              <w:right w:val="single" w:sz="6" w:space="0" w:color="000000"/>
            </w:tcBorders>
          </w:tcPr>
          <w:p>
            <w:pPr>
              <w:pStyle w:val="GesAbsatz"/>
              <w:jc w:val="center"/>
              <w:rPr>
                <w:rFonts w:cs="Arial"/>
              </w:rPr>
            </w:pPr>
            <w:r>
              <w:rPr>
                <w:rFonts w:cs="Arial"/>
              </w:rPr>
              <w:t>5</w:t>
            </w:r>
          </w:p>
        </w:tc>
        <w:tc>
          <w:tcPr>
            <w:tcW w:w="2114" w:type="dxa"/>
            <w:tcBorders>
              <w:left w:val="single" w:sz="6" w:space="0" w:color="000000"/>
            </w:tcBorders>
          </w:tcPr>
          <w:p>
            <w:pPr>
              <w:pStyle w:val="GesAbsatz"/>
              <w:jc w:val="center"/>
              <w:rPr>
                <w:rFonts w:cs="Arial"/>
              </w:rPr>
            </w:pPr>
            <w:r>
              <w:rPr>
                <w:rFonts w:cs="Arial"/>
              </w:rPr>
              <w:t>13</w:t>
            </w:r>
          </w:p>
        </w:tc>
      </w:tr>
      <w:tr>
        <w:trPr>
          <w:trHeight w:val="318"/>
        </w:trPr>
        <w:tc>
          <w:tcPr>
            <w:tcW w:w="616" w:type="dxa"/>
          </w:tcPr>
          <w:p>
            <w:pPr>
              <w:pStyle w:val="GesAbsatz"/>
              <w:jc w:val="left"/>
              <w:rPr>
                <w:rFonts w:cs="Arial"/>
                <w:b/>
              </w:rPr>
            </w:pPr>
            <w:r>
              <w:rPr>
                <w:rFonts w:cs="Arial"/>
                <w:b/>
              </w:rPr>
              <w:t xml:space="preserve">14. </w:t>
            </w:r>
          </w:p>
        </w:tc>
        <w:tc>
          <w:tcPr>
            <w:tcW w:w="5196" w:type="dxa"/>
            <w:gridSpan w:val="2"/>
            <w:tcBorders>
              <w:right w:val="single" w:sz="6" w:space="0" w:color="000000"/>
            </w:tcBorders>
          </w:tcPr>
          <w:p>
            <w:pPr>
              <w:pStyle w:val="GesAbsatz"/>
              <w:jc w:val="left"/>
              <w:rPr>
                <w:rFonts w:cs="Arial"/>
                <w:b/>
              </w:rPr>
            </w:pPr>
            <w:r>
              <w:rPr>
                <w:rFonts w:cs="Arial"/>
                <w:b/>
              </w:rPr>
              <w:t xml:space="preserve">Klebebeschichtung </w:t>
            </w:r>
          </w:p>
        </w:tc>
        <w:tc>
          <w:tcPr>
            <w:tcW w:w="2072" w:type="dxa"/>
            <w:tcBorders>
              <w:left w:val="single" w:sz="6" w:space="0" w:color="000000"/>
              <w:right w:val="single" w:sz="6" w:space="0" w:color="000000"/>
            </w:tcBorders>
          </w:tcPr>
          <w:p>
            <w:pPr>
              <w:pStyle w:val="GesAbsatz"/>
              <w:jc w:val="center"/>
              <w:rPr>
                <w:rFonts w:cs="Arial"/>
                <w:color w:val="auto"/>
              </w:rPr>
            </w:pPr>
          </w:p>
        </w:tc>
        <w:tc>
          <w:tcPr>
            <w:tcW w:w="2114" w:type="dxa"/>
            <w:tcBorders>
              <w:left w:val="single" w:sz="6" w:space="0" w:color="000000"/>
            </w:tcBorders>
          </w:tcPr>
          <w:p>
            <w:pPr>
              <w:pStyle w:val="GesAbsatz"/>
              <w:jc w:val="center"/>
              <w:rPr>
                <w:rFonts w:cs="Arial"/>
                <w:color w:val="auto"/>
              </w:rPr>
            </w:pPr>
          </w:p>
        </w:tc>
      </w:tr>
      <w:tr>
        <w:trPr>
          <w:trHeight w:val="305"/>
        </w:trPr>
        <w:tc>
          <w:tcPr>
            <w:tcW w:w="616" w:type="dxa"/>
          </w:tcPr>
          <w:p>
            <w:pPr>
              <w:pStyle w:val="GesAbsatz"/>
              <w:jc w:val="left"/>
              <w:rPr>
                <w:rFonts w:cs="Arial"/>
              </w:rPr>
            </w:pPr>
            <w:r>
              <w:rPr>
                <w:rFonts w:cs="Arial"/>
              </w:rPr>
              <w:t xml:space="preserve">14.1 </w:t>
            </w:r>
          </w:p>
        </w:tc>
        <w:tc>
          <w:tcPr>
            <w:tcW w:w="5196" w:type="dxa"/>
            <w:gridSpan w:val="2"/>
            <w:tcBorders>
              <w:right w:val="single" w:sz="6" w:space="0" w:color="000000"/>
            </w:tcBorders>
          </w:tcPr>
          <w:p>
            <w:pPr>
              <w:pStyle w:val="GesAbsatz"/>
              <w:jc w:val="left"/>
              <w:rPr>
                <w:rFonts w:cs="Arial"/>
              </w:rPr>
            </w:pPr>
            <w:r>
              <w:rPr>
                <w:rFonts w:cs="Arial"/>
              </w:rPr>
              <w:t xml:space="preserve">Anlagen zur Klebebeschichtung </w:t>
            </w:r>
          </w:p>
        </w:tc>
        <w:tc>
          <w:tcPr>
            <w:tcW w:w="2072" w:type="dxa"/>
            <w:tcBorders>
              <w:left w:val="single" w:sz="6" w:space="0" w:color="000000"/>
              <w:right w:val="single" w:sz="6" w:space="0" w:color="000000"/>
            </w:tcBorders>
          </w:tcPr>
          <w:p>
            <w:pPr>
              <w:pStyle w:val="GesAbsatz"/>
              <w:jc w:val="center"/>
              <w:rPr>
                <w:rFonts w:cs="Arial"/>
              </w:rPr>
            </w:pPr>
            <w:r>
              <w:rPr>
                <w:rFonts w:cs="Arial"/>
              </w:rPr>
              <w:t>5</w:t>
            </w:r>
          </w:p>
        </w:tc>
        <w:tc>
          <w:tcPr>
            <w:tcW w:w="2114" w:type="dxa"/>
            <w:tcBorders>
              <w:left w:val="single" w:sz="6" w:space="0" w:color="000000"/>
            </w:tcBorders>
          </w:tcPr>
          <w:p>
            <w:pPr>
              <w:pStyle w:val="GesAbsatz"/>
              <w:jc w:val="center"/>
              <w:rPr>
                <w:rFonts w:cs="Arial"/>
              </w:rPr>
            </w:pPr>
            <w:r>
              <w:rPr>
                <w:rFonts w:cs="Arial"/>
              </w:rPr>
              <w:t>14</w:t>
            </w:r>
          </w:p>
        </w:tc>
      </w:tr>
      <w:tr>
        <w:trPr>
          <w:trHeight w:val="318"/>
        </w:trPr>
        <w:tc>
          <w:tcPr>
            <w:tcW w:w="616" w:type="dxa"/>
          </w:tcPr>
          <w:p>
            <w:pPr>
              <w:pStyle w:val="GesAbsatz"/>
              <w:jc w:val="left"/>
              <w:rPr>
                <w:rFonts w:cs="Arial"/>
                <w:b/>
              </w:rPr>
            </w:pPr>
            <w:r>
              <w:rPr>
                <w:rFonts w:cs="Arial"/>
                <w:b/>
              </w:rPr>
              <w:t xml:space="preserve">15. </w:t>
            </w:r>
          </w:p>
        </w:tc>
        <w:tc>
          <w:tcPr>
            <w:tcW w:w="5196" w:type="dxa"/>
            <w:gridSpan w:val="2"/>
            <w:tcBorders>
              <w:right w:val="single" w:sz="6" w:space="0" w:color="000000"/>
            </w:tcBorders>
          </w:tcPr>
          <w:p>
            <w:pPr>
              <w:pStyle w:val="GesAbsatz"/>
              <w:jc w:val="left"/>
              <w:rPr>
                <w:rFonts w:cs="Arial"/>
                <w:b/>
              </w:rPr>
            </w:pPr>
            <w:r>
              <w:rPr>
                <w:rFonts w:cs="Arial"/>
                <w:b/>
              </w:rPr>
              <w:t xml:space="preserve">Herstellung von Schuhen </w:t>
            </w:r>
          </w:p>
        </w:tc>
        <w:tc>
          <w:tcPr>
            <w:tcW w:w="2072" w:type="dxa"/>
            <w:tcBorders>
              <w:left w:val="single" w:sz="6" w:space="0" w:color="000000"/>
              <w:right w:val="single" w:sz="6" w:space="0" w:color="000000"/>
            </w:tcBorders>
          </w:tcPr>
          <w:p>
            <w:pPr>
              <w:pStyle w:val="GesAbsatz"/>
              <w:jc w:val="center"/>
              <w:rPr>
                <w:rFonts w:cs="Arial"/>
                <w:color w:val="auto"/>
              </w:rPr>
            </w:pPr>
          </w:p>
        </w:tc>
        <w:tc>
          <w:tcPr>
            <w:tcW w:w="2114" w:type="dxa"/>
            <w:tcBorders>
              <w:left w:val="single" w:sz="6" w:space="0" w:color="000000"/>
            </w:tcBorders>
          </w:tcPr>
          <w:p>
            <w:pPr>
              <w:pStyle w:val="GesAbsatz"/>
              <w:jc w:val="center"/>
              <w:rPr>
                <w:rFonts w:cs="Arial"/>
                <w:color w:val="auto"/>
              </w:rPr>
            </w:pPr>
          </w:p>
        </w:tc>
      </w:tr>
      <w:tr>
        <w:trPr>
          <w:trHeight w:val="308"/>
        </w:trPr>
        <w:tc>
          <w:tcPr>
            <w:tcW w:w="616" w:type="dxa"/>
          </w:tcPr>
          <w:p>
            <w:pPr>
              <w:pStyle w:val="GesAbsatz"/>
              <w:jc w:val="left"/>
              <w:rPr>
                <w:rFonts w:cs="Arial"/>
              </w:rPr>
            </w:pPr>
            <w:r>
              <w:rPr>
                <w:rFonts w:cs="Arial"/>
              </w:rPr>
              <w:t xml:space="preserve">15.1 </w:t>
            </w:r>
          </w:p>
        </w:tc>
        <w:tc>
          <w:tcPr>
            <w:tcW w:w="5196" w:type="dxa"/>
            <w:gridSpan w:val="2"/>
            <w:tcBorders>
              <w:right w:val="single" w:sz="6" w:space="0" w:color="000000"/>
            </w:tcBorders>
          </w:tcPr>
          <w:p>
            <w:pPr>
              <w:pStyle w:val="GesAbsatz"/>
              <w:jc w:val="left"/>
              <w:rPr>
                <w:rFonts w:cs="Arial"/>
              </w:rPr>
            </w:pPr>
            <w:r>
              <w:rPr>
                <w:rFonts w:cs="Arial"/>
              </w:rPr>
              <w:t xml:space="preserve">Anlagen zur Herstellung von Schuhen </w:t>
            </w:r>
          </w:p>
        </w:tc>
        <w:tc>
          <w:tcPr>
            <w:tcW w:w="2072" w:type="dxa"/>
            <w:tcBorders>
              <w:left w:val="single" w:sz="6" w:space="0" w:color="000000"/>
              <w:right w:val="single" w:sz="6" w:space="0" w:color="000000"/>
            </w:tcBorders>
          </w:tcPr>
          <w:p>
            <w:pPr>
              <w:pStyle w:val="GesAbsatz"/>
              <w:jc w:val="center"/>
              <w:rPr>
                <w:rFonts w:cs="Arial"/>
              </w:rPr>
            </w:pPr>
            <w:r>
              <w:rPr>
                <w:rFonts w:cs="Arial"/>
              </w:rPr>
              <w:t>5</w:t>
            </w:r>
          </w:p>
        </w:tc>
        <w:tc>
          <w:tcPr>
            <w:tcW w:w="2114" w:type="dxa"/>
            <w:tcBorders>
              <w:left w:val="single" w:sz="6" w:space="0" w:color="000000"/>
            </w:tcBorders>
          </w:tcPr>
          <w:p>
            <w:pPr>
              <w:pStyle w:val="GesAbsatz"/>
              <w:jc w:val="center"/>
              <w:rPr>
                <w:rFonts w:cs="Arial"/>
              </w:rPr>
            </w:pPr>
            <w:r>
              <w:rPr>
                <w:rFonts w:cs="Arial"/>
              </w:rPr>
              <w:t>15</w:t>
            </w:r>
          </w:p>
        </w:tc>
      </w:tr>
      <w:tr>
        <w:trPr>
          <w:trHeight w:val="773"/>
        </w:trPr>
        <w:tc>
          <w:tcPr>
            <w:tcW w:w="616" w:type="dxa"/>
          </w:tcPr>
          <w:p>
            <w:pPr>
              <w:pStyle w:val="GesAbsatz"/>
              <w:jc w:val="left"/>
              <w:rPr>
                <w:rFonts w:cs="Arial"/>
                <w:b/>
              </w:rPr>
            </w:pPr>
            <w:r>
              <w:rPr>
                <w:rFonts w:cs="Arial"/>
                <w:b/>
              </w:rPr>
              <w:t xml:space="preserve">16. </w:t>
            </w:r>
          </w:p>
        </w:tc>
        <w:tc>
          <w:tcPr>
            <w:tcW w:w="5196" w:type="dxa"/>
            <w:gridSpan w:val="2"/>
            <w:tcBorders>
              <w:right w:val="single" w:sz="6" w:space="0" w:color="000000"/>
            </w:tcBorders>
          </w:tcPr>
          <w:p>
            <w:pPr>
              <w:pStyle w:val="GesAbsatz"/>
              <w:jc w:val="left"/>
              <w:rPr>
                <w:rFonts w:cs="Arial"/>
                <w:b/>
              </w:rPr>
            </w:pPr>
            <w:r>
              <w:rPr>
                <w:rFonts w:cs="Arial"/>
                <w:b/>
              </w:rPr>
              <w:t xml:space="preserve">Herstellung von Anstrich- oder Beschichtungsstoffen sowie Herstellung von Bautenschutz- oder Holzschutzmitteln, Klebstoffen oder Druckfarben </w:t>
            </w:r>
          </w:p>
        </w:tc>
        <w:tc>
          <w:tcPr>
            <w:tcW w:w="2072" w:type="dxa"/>
            <w:tcBorders>
              <w:left w:val="single" w:sz="6" w:space="0" w:color="000000"/>
              <w:right w:val="single" w:sz="6" w:space="0" w:color="000000"/>
            </w:tcBorders>
          </w:tcPr>
          <w:p>
            <w:pPr>
              <w:pStyle w:val="GesAbsatz"/>
              <w:jc w:val="center"/>
              <w:rPr>
                <w:rFonts w:cs="Arial"/>
                <w:color w:val="auto"/>
              </w:rPr>
            </w:pPr>
          </w:p>
        </w:tc>
        <w:tc>
          <w:tcPr>
            <w:tcW w:w="2114" w:type="dxa"/>
            <w:tcBorders>
              <w:left w:val="single" w:sz="6" w:space="0" w:color="000000"/>
            </w:tcBorders>
          </w:tcPr>
          <w:p>
            <w:pPr>
              <w:pStyle w:val="GesAbsatz"/>
              <w:jc w:val="center"/>
              <w:rPr>
                <w:rFonts w:cs="Arial"/>
                <w:color w:val="auto"/>
              </w:rPr>
            </w:pPr>
          </w:p>
        </w:tc>
      </w:tr>
      <w:tr>
        <w:trPr>
          <w:trHeight w:val="545"/>
        </w:trPr>
        <w:tc>
          <w:tcPr>
            <w:tcW w:w="616" w:type="dxa"/>
          </w:tcPr>
          <w:p>
            <w:pPr>
              <w:pStyle w:val="GesAbsatz"/>
              <w:jc w:val="left"/>
              <w:rPr>
                <w:rFonts w:cs="Arial"/>
              </w:rPr>
            </w:pPr>
            <w:r>
              <w:rPr>
                <w:rFonts w:cs="Arial"/>
              </w:rPr>
              <w:t xml:space="preserve">16.1 </w:t>
            </w:r>
          </w:p>
        </w:tc>
        <w:tc>
          <w:tcPr>
            <w:tcW w:w="5196" w:type="dxa"/>
            <w:gridSpan w:val="2"/>
            <w:tcBorders>
              <w:right w:val="single" w:sz="6" w:space="0" w:color="000000"/>
            </w:tcBorders>
          </w:tcPr>
          <w:p>
            <w:pPr>
              <w:pStyle w:val="GesAbsatz"/>
              <w:jc w:val="left"/>
              <w:rPr>
                <w:rFonts w:cs="Arial"/>
              </w:rPr>
            </w:pPr>
            <w:r>
              <w:rPr>
                <w:rFonts w:cs="Arial"/>
              </w:rPr>
              <w:t xml:space="preserve">Anlagen zur Herstellung von Anstrich- oder Beschichtungsstoffen </w:t>
            </w:r>
          </w:p>
        </w:tc>
        <w:tc>
          <w:tcPr>
            <w:tcW w:w="2072" w:type="dxa"/>
            <w:tcBorders>
              <w:left w:val="single" w:sz="6" w:space="0" w:color="000000"/>
              <w:right w:val="single" w:sz="6" w:space="0" w:color="000000"/>
            </w:tcBorders>
          </w:tcPr>
          <w:p>
            <w:pPr>
              <w:pStyle w:val="GesAbsatz"/>
              <w:jc w:val="center"/>
              <w:rPr>
                <w:rFonts w:cs="Arial"/>
              </w:rPr>
            </w:pPr>
            <w:r>
              <w:rPr>
                <w:rFonts w:cs="Arial"/>
              </w:rPr>
              <w:t>100</w:t>
            </w:r>
          </w:p>
        </w:tc>
        <w:tc>
          <w:tcPr>
            <w:tcW w:w="2114" w:type="dxa"/>
            <w:tcBorders>
              <w:left w:val="single" w:sz="6" w:space="0" w:color="000000"/>
            </w:tcBorders>
          </w:tcPr>
          <w:p>
            <w:pPr>
              <w:pStyle w:val="GesAbsatz"/>
              <w:jc w:val="center"/>
              <w:rPr>
                <w:rFonts w:cs="Arial"/>
              </w:rPr>
            </w:pPr>
            <w:r>
              <w:rPr>
                <w:rFonts w:cs="Arial"/>
              </w:rPr>
              <w:t>16</w:t>
            </w:r>
          </w:p>
        </w:tc>
      </w:tr>
      <w:tr>
        <w:trPr>
          <w:trHeight w:val="510"/>
        </w:trPr>
        <w:tc>
          <w:tcPr>
            <w:tcW w:w="616" w:type="dxa"/>
          </w:tcPr>
          <w:p>
            <w:pPr>
              <w:pStyle w:val="GesAbsatz"/>
              <w:jc w:val="left"/>
              <w:rPr>
                <w:rFonts w:cs="Arial"/>
              </w:rPr>
            </w:pPr>
            <w:r>
              <w:rPr>
                <w:rFonts w:cs="Arial"/>
              </w:rPr>
              <w:t xml:space="preserve">16.2 </w:t>
            </w:r>
          </w:p>
        </w:tc>
        <w:tc>
          <w:tcPr>
            <w:tcW w:w="5196" w:type="dxa"/>
            <w:gridSpan w:val="2"/>
            <w:tcBorders>
              <w:right w:val="single" w:sz="6" w:space="0" w:color="000000"/>
            </w:tcBorders>
          </w:tcPr>
          <w:p>
            <w:pPr>
              <w:pStyle w:val="GesAbsatz"/>
              <w:jc w:val="left"/>
              <w:rPr>
                <w:rFonts w:cs="Arial"/>
              </w:rPr>
            </w:pPr>
            <w:r>
              <w:rPr>
                <w:rFonts w:cs="Arial"/>
              </w:rPr>
              <w:t xml:space="preserve">Anlagen zur Herstellung von Bautenschutz- oder Holzschutzmitteln </w:t>
            </w:r>
          </w:p>
        </w:tc>
        <w:tc>
          <w:tcPr>
            <w:tcW w:w="2072" w:type="dxa"/>
            <w:tcBorders>
              <w:left w:val="single" w:sz="6" w:space="0" w:color="000000"/>
              <w:right w:val="single" w:sz="6" w:space="0" w:color="000000"/>
            </w:tcBorders>
          </w:tcPr>
          <w:p>
            <w:pPr>
              <w:pStyle w:val="GesAbsatz"/>
              <w:jc w:val="center"/>
              <w:rPr>
                <w:rFonts w:cs="Arial"/>
              </w:rPr>
            </w:pPr>
            <w:r>
              <w:rPr>
                <w:rFonts w:cs="Arial"/>
              </w:rPr>
              <w:t>100</w:t>
            </w:r>
          </w:p>
        </w:tc>
        <w:tc>
          <w:tcPr>
            <w:tcW w:w="2114" w:type="dxa"/>
            <w:tcBorders>
              <w:left w:val="single" w:sz="6" w:space="0" w:color="000000"/>
            </w:tcBorders>
          </w:tcPr>
          <w:p>
            <w:pPr>
              <w:pStyle w:val="GesAbsatz"/>
              <w:jc w:val="center"/>
              <w:rPr>
                <w:rFonts w:cs="Arial"/>
              </w:rPr>
            </w:pPr>
            <w:r>
              <w:rPr>
                <w:rFonts w:cs="Arial"/>
              </w:rPr>
              <w:t>16</w:t>
            </w:r>
          </w:p>
        </w:tc>
      </w:tr>
      <w:tr>
        <w:trPr>
          <w:trHeight w:val="340"/>
        </w:trPr>
        <w:tc>
          <w:tcPr>
            <w:tcW w:w="616" w:type="dxa"/>
          </w:tcPr>
          <w:p>
            <w:pPr>
              <w:pStyle w:val="GesAbsatz"/>
              <w:jc w:val="left"/>
              <w:rPr>
                <w:rFonts w:cs="Arial"/>
              </w:rPr>
            </w:pPr>
            <w:r>
              <w:rPr>
                <w:rFonts w:cs="Arial"/>
              </w:rPr>
              <w:t xml:space="preserve">16.3 </w:t>
            </w:r>
          </w:p>
        </w:tc>
        <w:tc>
          <w:tcPr>
            <w:tcW w:w="5196" w:type="dxa"/>
            <w:gridSpan w:val="2"/>
            <w:tcBorders>
              <w:right w:val="single" w:sz="6" w:space="0" w:color="000000"/>
            </w:tcBorders>
          </w:tcPr>
          <w:p>
            <w:pPr>
              <w:pStyle w:val="GesAbsatz"/>
              <w:jc w:val="left"/>
              <w:rPr>
                <w:rFonts w:cs="Arial"/>
              </w:rPr>
            </w:pPr>
            <w:r>
              <w:rPr>
                <w:rFonts w:cs="Arial"/>
              </w:rPr>
              <w:t xml:space="preserve">Anlagen zur Herstellung von Klebstoffen </w:t>
            </w:r>
          </w:p>
        </w:tc>
        <w:tc>
          <w:tcPr>
            <w:tcW w:w="2072" w:type="dxa"/>
            <w:tcBorders>
              <w:left w:val="single" w:sz="6" w:space="0" w:color="000000"/>
              <w:right w:val="single" w:sz="6" w:space="0" w:color="000000"/>
            </w:tcBorders>
          </w:tcPr>
          <w:p>
            <w:pPr>
              <w:pStyle w:val="GesAbsatz"/>
              <w:jc w:val="center"/>
              <w:rPr>
                <w:rFonts w:cs="Arial"/>
              </w:rPr>
            </w:pPr>
            <w:r>
              <w:rPr>
                <w:rFonts w:cs="Arial"/>
              </w:rPr>
              <w:t>100</w:t>
            </w:r>
          </w:p>
        </w:tc>
        <w:tc>
          <w:tcPr>
            <w:tcW w:w="2114" w:type="dxa"/>
            <w:tcBorders>
              <w:left w:val="single" w:sz="6" w:space="0" w:color="000000"/>
            </w:tcBorders>
          </w:tcPr>
          <w:p>
            <w:pPr>
              <w:pStyle w:val="GesAbsatz"/>
              <w:jc w:val="center"/>
              <w:rPr>
                <w:rFonts w:cs="Arial"/>
              </w:rPr>
            </w:pPr>
            <w:r>
              <w:rPr>
                <w:rFonts w:cs="Arial"/>
              </w:rPr>
              <w:t>16</w:t>
            </w:r>
          </w:p>
        </w:tc>
      </w:tr>
      <w:tr>
        <w:trPr>
          <w:trHeight w:val="313"/>
        </w:trPr>
        <w:tc>
          <w:tcPr>
            <w:tcW w:w="616" w:type="dxa"/>
          </w:tcPr>
          <w:p>
            <w:pPr>
              <w:pStyle w:val="GesAbsatz"/>
              <w:jc w:val="left"/>
              <w:rPr>
                <w:rFonts w:cs="Arial"/>
              </w:rPr>
            </w:pPr>
            <w:r>
              <w:rPr>
                <w:rFonts w:cs="Arial"/>
              </w:rPr>
              <w:t xml:space="preserve">16.4 </w:t>
            </w:r>
          </w:p>
        </w:tc>
        <w:tc>
          <w:tcPr>
            <w:tcW w:w="5196" w:type="dxa"/>
            <w:gridSpan w:val="2"/>
            <w:tcBorders>
              <w:right w:val="single" w:sz="6" w:space="0" w:color="000000"/>
            </w:tcBorders>
          </w:tcPr>
          <w:p>
            <w:pPr>
              <w:pStyle w:val="GesAbsatz"/>
              <w:jc w:val="left"/>
              <w:rPr>
                <w:rFonts w:cs="Arial"/>
              </w:rPr>
            </w:pPr>
            <w:r>
              <w:rPr>
                <w:rFonts w:cs="Arial"/>
              </w:rPr>
              <w:t xml:space="preserve">Anlagen zur Herstellung von Druckfarben </w:t>
            </w:r>
          </w:p>
        </w:tc>
        <w:tc>
          <w:tcPr>
            <w:tcW w:w="2072" w:type="dxa"/>
            <w:tcBorders>
              <w:left w:val="single" w:sz="6" w:space="0" w:color="000000"/>
              <w:right w:val="single" w:sz="6" w:space="0" w:color="000000"/>
            </w:tcBorders>
          </w:tcPr>
          <w:p>
            <w:pPr>
              <w:pStyle w:val="GesAbsatz"/>
              <w:jc w:val="center"/>
              <w:rPr>
                <w:rFonts w:cs="Arial"/>
              </w:rPr>
            </w:pPr>
            <w:r>
              <w:rPr>
                <w:rFonts w:cs="Arial"/>
              </w:rPr>
              <w:t>100</w:t>
            </w:r>
          </w:p>
        </w:tc>
        <w:tc>
          <w:tcPr>
            <w:tcW w:w="2114" w:type="dxa"/>
            <w:tcBorders>
              <w:left w:val="single" w:sz="6" w:space="0" w:color="000000"/>
            </w:tcBorders>
          </w:tcPr>
          <w:p>
            <w:pPr>
              <w:pStyle w:val="GesAbsatz"/>
              <w:jc w:val="center"/>
              <w:rPr>
                <w:rFonts w:cs="Arial"/>
              </w:rPr>
            </w:pPr>
            <w:r>
              <w:rPr>
                <w:rFonts w:cs="Arial"/>
              </w:rPr>
              <w:t>16</w:t>
            </w:r>
          </w:p>
        </w:tc>
      </w:tr>
      <w:tr>
        <w:trPr>
          <w:trHeight w:val="318"/>
        </w:trPr>
        <w:tc>
          <w:tcPr>
            <w:tcW w:w="616" w:type="dxa"/>
          </w:tcPr>
          <w:p>
            <w:pPr>
              <w:pStyle w:val="GesAbsatz"/>
              <w:jc w:val="left"/>
              <w:rPr>
                <w:rFonts w:cs="Arial"/>
                <w:b/>
              </w:rPr>
            </w:pPr>
            <w:r>
              <w:rPr>
                <w:rFonts w:cs="Arial"/>
                <w:b/>
              </w:rPr>
              <w:t xml:space="preserve">17. </w:t>
            </w:r>
          </w:p>
        </w:tc>
        <w:tc>
          <w:tcPr>
            <w:tcW w:w="5196" w:type="dxa"/>
            <w:gridSpan w:val="2"/>
            <w:tcBorders>
              <w:right w:val="single" w:sz="6" w:space="0" w:color="000000"/>
            </w:tcBorders>
          </w:tcPr>
          <w:p>
            <w:pPr>
              <w:pStyle w:val="GesAbsatz"/>
              <w:jc w:val="left"/>
              <w:rPr>
                <w:rFonts w:cs="Arial"/>
                <w:b/>
              </w:rPr>
            </w:pPr>
            <w:r>
              <w:rPr>
                <w:rFonts w:cs="Arial"/>
                <w:b/>
              </w:rPr>
              <w:t xml:space="preserve">Umwandlung von Kautschuk </w:t>
            </w:r>
          </w:p>
        </w:tc>
        <w:tc>
          <w:tcPr>
            <w:tcW w:w="2072" w:type="dxa"/>
            <w:tcBorders>
              <w:left w:val="single" w:sz="6" w:space="0" w:color="000000"/>
              <w:right w:val="single" w:sz="6" w:space="0" w:color="000000"/>
            </w:tcBorders>
          </w:tcPr>
          <w:p>
            <w:pPr>
              <w:pStyle w:val="GesAbsatz"/>
              <w:jc w:val="center"/>
              <w:rPr>
                <w:rFonts w:cs="Arial"/>
                <w:color w:val="auto"/>
              </w:rPr>
            </w:pPr>
          </w:p>
        </w:tc>
        <w:tc>
          <w:tcPr>
            <w:tcW w:w="2114" w:type="dxa"/>
            <w:tcBorders>
              <w:left w:val="single" w:sz="6" w:space="0" w:color="000000"/>
            </w:tcBorders>
          </w:tcPr>
          <w:p>
            <w:pPr>
              <w:pStyle w:val="GesAbsatz"/>
              <w:jc w:val="center"/>
              <w:rPr>
                <w:rFonts w:cs="Arial"/>
                <w:color w:val="auto"/>
              </w:rPr>
            </w:pPr>
          </w:p>
        </w:tc>
      </w:tr>
      <w:tr>
        <w:trPr>
          <w:trHeight w:val="308"/>
        </w:trPr>
        <w:tc>
          <w:tcPr>
            <w:tcW w:w="616" w:type="dxa"/>
          </w:tcPr>
          <w:p>
            <w:pPr>
              <w:pStyle w:val="GesAbsatz"/>
              <w:jc w:val="left"/>
              <w:rPr>
                <w:rFonts w:cs="Arial"/>
              </w:rPr>
            </w:pPr>
            <w:r>
              <w:rPr>
                <w:rFonts w:cs="Arial"/>
              </w:rPr>
              <w:t xml:space="preserve">17.1 </w:t>
            </w:r>
          </w:p>
        </w:tc>
        <w:tc>
          <w:tcPr>
            <w:tcW w:w="5196" w:type="dxa"/>
            <w:gridSpan w:val="2"/>
            <w:tcBorders>
              <w:right w:val="single" w:sz="6" w:space="0" w:color="000000"/>
            </w:tcBorders>
          </w:tcPr>
          <w:p>
            <w:pPr>
              <w:pStyle w:val="GesAbsatz"/>
              <w:jc w:val="left"/>
              <w:rPr>
                <w:rFonts w:cs="Arial"/>
              </w:rPr>
            </w:pPr>
            <w:r>
              <w:rPr>
                <w:rFonts w:cs="Arial"/>
              </w:rPr>
              <w:t xml:space="preserve">Anlagen zur Umwandlung von Kautschuk </w:t>
            </w:r>
          </w:p>
        </w:tc>
        <w:tc>
          <w:tcPr>
            <w:tcW w:w="2072" w:type="dxa"/>
            <w:tcBorders>
              <w:left w:val="single" w:sz="6" w:space="0" w:color="000000"/>
              <w:right w:val="single" w:sz="6" w:space="0" w:color="000000"/>
            </w:tcBorders>
          </w:tcPr>
          <w:p>
            <w:pPr>
              <w:pStyle w:val="GesAbsatz"/>
              <w:jc w:val="center"/>
              <w:rPr>
                <w:rFonts w:cs="Arial"/>
              </w:rPr>
            </w:pPr>
            <w:r>
              <w:rPr>
                <w:rFonts w:cs="Arial"/>
              </w:rPr>
              <w:t>10</w:t>
            </w:r>
          </w:p>
        </w:tc>
        <w:tc>
          <w:tcPr>
            <w:tcW w:w="2114" w:type="dxa"/>
            <w:tcBorders>
              <w:left w:val="single" w:sz="6" w:space="0" w:color="000000"/>
            </w:tcBorders>
          </w:tcPr>
          <w:p>
            <w:pPr>
              <w:pStyle w:val="GesAbsatz"/>
              <w:jc w:val="center"/>
              <w:rPr>
                <w:rFonts w:cs="Arial"/>
              </w:rPr>
            </w:pPr>
            <w:r>
              <w:rPr>
                <w:rFonts w:cs="Arial"/>
              </w:rPr>
              <w:t>17</w:t>
            </w:r>
          </w:p>
        </w:tc>
      </w:tr>
      <w:tr>
        <w:trPr>
          <w:trHeight w:val="243"/>
        </w:trPr>
        <w:tc>
          <w:tcPr>
            <w:tcW w:w="616" w:type="dxa"/>
          </w:tcPr>
          <w:p>
            <w:pPr>
              <w:pStyle w:val="GesAbsatz"/>
              <w:jc w:val="left"/>
              <w:rPr>
                <w:rFonts w:cs="Arial"/>
                <w:b/>
              </w:rPr>
            </w:pPr>
            <w:r>
              <w:rPr>
                <w:rFonts w:cs="Arial"/>
                <w:b/>
              </w:rPr>
              <w:t xml:space="preserve">18. </w:t>
            </w:r>
          </w:p>
        </w:tc>
        <w:tc>
          <w:tcPr>
            <w:tcW w:w="5196" w:type="dxa"/>
            <w:gridSpan w:val="2"/>
            <w:tcBorders>
              <w:right w:val="single" w:sz="6" w:space="0" w:color="000000"/>
            </w:tcBorders>
          </w:tcPr>
          <w:p>
            <w:pPr>
              <w:pStyle w:val="GesAbsatz"/>
              <w:jc w:val="left"/>
              <w:rPr>
                <w:rFonts w:cs="Arial"/>
                <w:b/>
              </w:rPr>
            </w:pPr>
            <w:r>
              <w:rPr>
                <w:rFonts w:cs="Arial"/>
                <w:b/>
              </w:rPr>
              <w:t>Extraktion von Pflanzenöl oder tierischem Fett sowie Raffination von Pflanzenöl</w:t>
            </w:r>
          </w:p>
        </w:tc>
        <w:tc>
          <w:tcPr>
            <w:tcW w:w="2072" w:type="dxa"/>
            <w:tcBorders>
              <w:left w:val="single" w:sz="6" w:space="0" w:color="000000"/>
              <w:right w:val="single" w:sz="6" w:space="0" w:color="000000"/>
            </w:tcBorders>
          </w:tcPr>
          <w:p>
            <w:pPr>
              <w:pStyle w:val="GesAbsatz"/>
              <w:jc w:val="center"/>
              <w:rPr>
                <w:rFonts w:cs="Arial"/>
                <w:color w:val="auto"/>
              </w:rPr>
            </w:pPr>
          </w:p>
        </w:tc>
        <w:tc>
          <w:tcPr>
            <w:tcW w:w="2114" w:type="dxa"/>
            <w:tcBorders>
              <w:left w:val="single" w:sz="6" w:space="0" w:color="000000"/>
            </w:tcBorders>
          </w:tcPr>
          <w:p>
            <w:pPr>
              <w:pStyle w:val="GesAbsatz"/>
              <w:jc w:val="center"/>
              <w:rPr>
                <w:rFonts w:cs="Arial"/>
                <w:color w:val="auto"/>
              </w:rPr>
            </w:pPr>
          </w:p>
        </w:tc>
      </w:tr>
      <w:tr>
        <w:trPr>
          <w:trHeight w:val="543"/>
        </w:trPr>
        <w:tc>
          <w:tcPr>
            <w:tcW w:w="616" w:type="dxa"/>
          </w:tcPr>
          <w:p>
            <w:pPr>
              <w:pStyle w:val="GesAbsatz"/>
              <w:jc w:val="left"/>
              <w:rPr>
                <w:rFonts w:cs="Arial"/>
              </w:rPr>
            </w:pPr>
            <w:r>
              <w:rPr>
                <w:rFonts w:cs="Arial"/>
              </w:rPr>
              <w:t xml:space="preserve">18.1 </w:t>
            </w:r>
          </w:p>
        </w:tc>
        <w:tc>
          <w:tcPr>
            <w:tcW w:w="5196" w:type="dxa"/>
            <w:gridSpan w:val="2"/>
            <w:tcBorders>
              <w:right w:val="single" w:sz="6" w:space="0" w:color="000000"/>
            </w:tcBorders>
          </w:tcPr>
          <w:p>
            <w:pPr>
              <w:pStyle w:val="GesAbsatz"/>
              <w:jc w:val="left"/>
              <w:rPr>
                <w:rFonts w:cs="Arial"/>
              </w:rPr>
            </w:pPr>
            <w:r>
              <w:rPr>
                <w:rFonts w:cs="Arial"/>
              </w:rPr>
              <w:t xml:space="preserve">Anlagen zur Extraktion von Pflanzenöl oder tierischem Fett sowie Raffination von Pflanzenöl </w:t>
            </w:r>
          </w:p>
        </w:tc>
        <w:tc>
          <w:tcPr>
            <w:tcW w:w="2072" w:type="dxa"/>
            <w:tcBorders>
              <w:left w:val="single" w:sz="6" w:space="0" w:color="000000"/>
              <w:right w:val="single" w:sz="6" w:space="0" w:color="000000"/>
            </w:tcBorders>
          </w:tcPr>
          <w:p>
            <w:pPr>
              <w:pStyle w:val="GesAbsatz"/>
              <w:jc w:val="center"/>
              <w:rPr>
                <w:rFonts w:cs="Arial"/>
              </w:rPr>
            </w:pPr>
            <w:r>
              <w:rPr>
                <w:rFonts w:cs="Arial"/>
              </w:rPr>
              <w:t>10</w:t>
            </w:r>
          </w:p>
        </w:tc>
        <w:tc>
          <w:tcPr>
            <w:tcW w:w="2114" w:type="dxa"/>
            <w:tcBorders>
              <w:left w:val="single" w:sz="6" w:space="0" w:color="000000"/>
            </w:tcBorders>
          </w:tcPr>
          <w:p>
            <w:pPr>
              <w:pStyle w:val="GesAbsatz"/>
              <w:jc w:val="center"/>
              <w:rPr>
                <w:rFonts w:cs="Arial"/>
              </w:rPr>
            </w:pPr>
            <w:r>
              <w:rPr>
                <w:rFonts w:cs="Arial"/>
              </w:rPr>
              <w:t>18</w:t>
            </w:r>
          </w:p>
        </w:tc>
      </w:tr>
      <w:tr>
        <w:trPr>
          <w:trHeight w:val="348"/>
        </w:trPr>
        <w:tc>
          <w:tcPr>
            <w:tcW w:w="616" w:type="dxa"/>
          </w:tcPr>
          <w:p>
            <w:pPr>
              <w:pStyle w:val="GesAbsatz"/>
              <w:jc w:val="left"/>
              <w:rPr>
                <w:rFonts w:cs="Arial"/>
                <w:b/>
              </w:rPr>
            </w:pPr>
            <w:r>
              <w:rPr>
                <w:rFonts w:cs="Arial"/>
                <w:b/>
              </w:rPr>
              <w:t xml:space="preserve">19. </w:t>
            </w:r>
          </w:p>
        </w:tc>
        <w:tc>
          <w:tcPr>
            <w:tcW w:w="5196" w:type="dxa"/>
            <w:gridSpan w:val="2"/>
            <w:tcBorders>
              <w:right w:val="single" w:sz="6" w:space="0" w:color="000000"/>
            </w:tcBorders>
          </w:tcPr>
          <w:p>
            <w:pPr>
              <w:pStyle w:val="GesAbsatz"/>
              <w:jc w:val="left"/>
              <w:rPr>
                <w:rFonts w:cs="Arial"/>
                <w:b/>
              </w:rPr>
            </w:pPr>
            <w:r>
              <w:rPr>
                <w:rFonts w:cs="Arial"/>
                <w:b/>
              </w:rPr>
              <w:t xml:space="preserve">Herstellung von Arzneimitteln </w:t>
            </w:r>
          </w:p>
        </w:tc>
        <w:tc>
          <w:tcPr>
            <w:tcW w:w="2072" w:type="dxa"/>
            <w:tcBorders>
              <w:left w:val="single" w:sz="6" w:space="0" w:color="000000"/>
              <w:right w:val="single" w:sz="6" w:space="0" w:color="000000"/>
            </w:tcBorders>
          </w:tcPr>
          <w:p>
            <w:pPr>
              <w:pStyle w:val="GesAbsatz"/>
              <w:jc w:val="center"/>
              <w:rPr>
                <w:rFonts w:cs="Arial"/>
                <w:color w:val="auto"/>
              </w:rPr>
            </w:pPr>
          </w:p>
        </w:tc>
        <w:tc>
          <w:tcPr>
            <w:tcW w:w="2114" w:type="dxa"/>
            <w:tcBorders>
              <w:left w:val="single" w:sz="6" w:space="0" w:color="000000"/>
            </w:tcBorders>
          </w:tcPr>
          <w:p>
            <w:pPr>
              <w:pStyle w:val="GesAbsatz"/>
              <w:jc w:val="center"/>
              <w:rPr>
                <w:rFonts w:cs="Arial"/>
                <w:color w:val="auto"/>
              </w:rPr>
            </w:pPr>
          </w:p>
        </w:tc>
      </w:tr>
      <w:tr>
        <w:trPr>
          <w:trHeight w:val="293"/>
        </w:trPr>
        <w:tc>
          <w:tcPr>
            <w:tcW w:w="616" w:type="dxa"/>
            <w:tcBorders>
              <w:bottom w:val="single" w:sz="6" w:space="0" w:color="000000"/>
            </w:tcBorders>
          </w:tcPr>
          <w:p>
            <w:pPr>
              <w:pStyle w:val="GesAbsatz"/>
              <w:jc w:val="left"/>
              <w:rPr>
                <w:rFonts w:cs="Arial"/>
              </w:rPr>
            </w:pPr>
            <w:r>
              <w:rPr>
                <w:rFonts w:cs="Arial"/>
              </w:rPr>
              <w:t xml:space="preserve">19.1 </w:t>
            </w:r>
          </w:p>
        </w:tc>
        <w:tc>
          <w:tcPr>
            <w:tcW w:w="5196" w:type="dxa"/>
            <w:gridSpan w:val="2"/>
            <w:tcBorders>
              <w:bottom w:val="single" w:sz="6" w:space="0" w:color="000000"/>
              <w:right w:val="single" w:sz="6" w:space="0" w:color="000000"/>
            </w:tcBorders>
          </w:tcPr>
          <w:p>
            <w:pPr>
              <w:pStyle w:val="GesAbsatz"/>
              <w:jc w:val="left"/>
              <w:rPr>
                <w:rFonts w:cs="Arial"/>
              </w:rPr>
            </w:pPr>
            <w:r>
              <w:rPr>
                <w:rFonts w:cs="Arial"/>
              </w:rPr>
              <w:t xml:space="preserve">Anlagen zur Herstellung von Arzneimitteln </w:t>
            </w:r>
          </w:p>
        </w:tc>
        <w:tc>
          <w:tcPr>
            <w:tcW w:w="2072" w:type="dxa"/>
            <w:tcBorders>
              <w:left w:val="single" w:sz="6" w:space="0" w:color="000000"/>
              <w:bottom w:val="single" w:sz="6" w:space="0" w:color="000000"/>
              <w:right w:val="single" w:sz="6" w:space="0" w:color="000000"/>
            </w:tcBorders>
          </w:tcPr>
          <w:p>
            <w:pPr>
              <w:pStyle w:val="GesAbsatz"/>
              <w:jc w:val="center"/>
              <w:rPr>
                <w:rFonts w:cs="Arial"/>
              </w:rPr>
            </w:pPr>
            <w:r>
              <w:rPr>
                <w:rFonts w:cs="Arial"/>
              </w:rPr>
              <w:t>50</w:t>
            </w:r>
          </w:p>
        </w:tc>
        <w:tc>
          <w:tcPr>
            <w:tcW w:w="2114" w:type="dxa"/>
            <w:tcBorders>
              <w:left w:val="single" w:sz="6" w:space="0" w:color="000000"/>
              <w:bottom w:val="single" w:sz="6" w:space="0" w:color="000000"/>
            </w:tcBorders>
          </w:tcPr>
          <w:p>
            <w:pPr>
              <w:pStyle w:val="GesAbsatz"/>
              <w:jc w:val="center"/>
              <w:rPr>
                <w:rFonts w:cs="Arial"/>
              </w:rPr>
            </w:pPr>
            <w:r>
              <w:rPr>
                <w:rFonts w:cs="Arial"/>
              </w:rPr>
              <w:t>19</w:t>
            </w:r>
          </w:p>
        </w:tc>
      </w:tr>
    </w:tbl>
    <w:p>
      <w:pPr>
        <w:pStyle w:val="berschrift2"/>
        <w:jc w:val="left"/>
      </w:pPr>
      <w:bookmarkStart w:id="21" w:name="_Toc157672294"/>
      <w:r>
        <w:lastRenderedPageBreak/>
        <w:t>Anhang II</w:t>
      </w:r>
      <w:r>
        <w:br/>
        <w:t>(zu § 1)</w:t>
      </w:r>
      <w:bookmarkEnd w:id="21"/>
    </w:p>
    <w:p>
      <w:pPr>
        <w:pStyle w:val="GesAbsatz"/>
        <w:jc w:val="center"/>
        <w:rPr>
          <w:rFonts w:cs="Arial"/>
          <w:b/>
          <w:bCs/>
        </w:rPr>
      </w:pPr>
      <w:r>
        <w:rPr>
          <w:rFonts w:cs="Arial"/>
          <w:b/>
          <w:bCs/>
        </w:rPr>
        <w:t>Liste der Tätigkeiten</w:t>
      </w:r>
    </w:p>
    <w:p>
      <w:pPr>
        <w:pStyle w:val="GesAbsatz"/>
        <w:tabs>
          <w:tab w:val="clear" w:pos="425"/>
        </w:tabs>
        <w:ind w:left="567" w:hanging="567"/>
        <w:rPr>
          <w:rFonts w:cs="Arial"/>
          <w:b/>
        </w:rPr>
      </w:pPr>
      <w:r>
        <w:rPr>
          <w:rFonts w:cs="Arial"/>
          <w:b/>
        </w:rPr>
        <w:t>0.</w:t>
      </w:r>
      <w:r>
        <w:rPr>
          <w:rFonts w:cs="Arial"/>
          <w:b/>
        </w:rPr>
        <w:tab/>
        <w:t>Allgemeines</w:t>
      </w:r>
    </w:p>
    <w:p>
      <w:pPr>
        <w:pStyle w:val="GesAbsatz"/>
        <w:tabs>
          <w:tab w:val="clear" w:pos="425"/>
        </w:tabs>
        <w:ind w:left="567" w:hanging="567"/>
        <w:rPr>
          <w:rFonts w:cs="Arial"/>
        </w:rPr>
      </w:pPr>
      <w:r>
        <w:rPr>
          <w:rFonts w:cs="Arial"/>
        </w:rPr>
        <w:t>0.1</w:t>
      </w:r>
      <w:r>
        <w:rPr>
          <w:rFonts w:cs="Arial"/>
        </w:rPr>
        <w:tab/>
        <w:t>Zu der jeweiligen</w:t>
      </w:r>
      <w:r>
        <w:rPr>
          <w:rFonts w:cs="Arial"/>
        </w:rPr>
        <w:tab/>
        <w:t xml:space="preserve"> Tätigkeit gehört auch die Reinigung der eingesetzten Geräte und Aggregate, jedoch nicht die Reinigung des Produkts und die Instandhaltung der Anlage des Anhangs I, der die Tätigkeit zugeordnet ist, soweit nichts </w:t>
      </w:r>
      <w:proofErr w:type="gramStart"/>
      <w:r>
        <w:rPr>
          <w:rFonts w:cs="Arial"/>
        </w:rPr>
        <w:t>anderes</w:t>
      </w:r>
      <w:proofErr w:type="gramEnd"/>
      <w:r>
        <w:rPr>
          <w:rFonts w:cs="Arial"/>
        </w:rPr>
        <w:t xml:space="preserve"> bestimmt ist.</w:t>
      </w:r>
    </w:p>
    <w:p>
      <w:pPr>
        <w:pStyle w:val="GesAbsatz"/>
        <w:tabs>
          <w:tab w:val="clear" w:pos="425"/>
        </w:tabs>
        <w:ind w:left="567" w:hanging="567"/>
        <w:rPr>
          <w:rFonts w:cs="Arial"/>
        </w:rPr>
      </w:pPr>
      <w:r>
        <w:rPr>
          <w:rFonts w:cs="Arial"/>
        </w:rPr>
        <w:t>0.2</w:t>
      </w:r>
      <w:r>
        <w:rPr>
          <w:rFonts w:cs="Arial"/>
        </w:rPr>
        <w:tab/>
        <w:t>Beschichten ist jede Tätigkeit, bei der durch einfachen oder mehrfachen Auftrag eine oder mehrere Schichten eines Beschichtungsstoffes auf eine Oberfläche aufgebracht werden. Hierzu zählt nicht die Beschichtung von Trägerstoffen mit Metallen durch elektrophoretische und chemische Verfahren.</w:t>
      </w:r>
    </w:p>
    <w:p>
      <w:pPr>
        <w:pStyle w:val="GesAbsatz"/>
        <w:tabs>
          <w:tab w:val="clear" w:pos="425"/>
        </w:tabs>
        <w:ind w:left="567" w:hanging="567"/>
        <w:rPr>
          <w:rFonts w:cs="Arial"/>
          <w:b/>
        </w:rPr>
      </w:pPr>
      <w:r>
        <w:rPr>
          <w:rFonts w:cs="Arial"/>
          <w:b/>
        </w:rPr>
        <w:t>1.</w:t>
      </w:r>
      <w:r>
        <w:rPr>
          <w:rFonts w:cs="Arial"/>
          <w:b/>
        </w:rPr>
        <w:tab/>
        <w:t>Reproduktion von Text oder von Bildern</w:t>
      </w:r>
    </w:p>
    <w:p>
      <w:pPr>
        <w:pStyle w:val="GesAbsatz"/>
        <w:tabs>
          <w:tab w:val="clear" w:pos="425"/>
        </w:tabs>
        <w:ind w:left="567"/>
        <w:rPr>
          <w:rFonts w:cs="Arial"/>
        </w:rPr>
      </w:pPr>
      <w:r>
        <w:rPr>
          <w:rFonts w:cs="Arial"/>
        </w:rPr>
        <w:t>Jede Tätigkeit zur Reproduktion von Text oder Bildern, bei der mit Hilfe von Bildträgern Farbe auf beliebige Oberflächen aufgebracht wird. Hierzu gehören auch die Aufbringung von Klarlacken und Beschichtungsstoffen innerhalb einer Druckmaschine sowie die Laminierung.</w:t>
      </w:r>
    </w:p>
    <w:p>
      <w:pPr>
        <w:pStyle w:val="GesAbsatz"/>
        <w:tabs>
          <w:tab w:val="clear" w:pos="425"/>
        </w:tabs>
        <w:ind w:left="567" w:hanging="567"/>
        <w:rPr>
          <w:rFonts w:cs="Arial"/>
          <w:b/>
        </w:rPr>
      </w:pPr>
      <w:r>
        <w:rPr>
          <w:rFonts w:cs="Arial"/>
          <w:b/>
        </w:rPr>
        <w:t>1.1</w:t>
      </w:r>
      <w:r>
        <w:rPr>
          <w:rFonts w:cs="Arial"/>
          <w:b/>
        </w:rPr>
        <w:tab/>
      </w:r>
      <w:proofErr w:type="spellStart"/>
      <w:r>
        <w:rPr>
          <w:rFonts w:cs="Arial"/>
          <w:b/>
        </w:rPr>
        <w:t>Heatset</w:t>
      </w:r>
      <w:proofErr w:type="spellEnd"/>
      <w:r>
        <w:rPr>
          <w:rFonts w:cs="Arial"/>
          <w:b/>
        </w:rPr>
        <w:t>-Rollenoffsetdruck</w:t>
      </w:r>
    </w:p>
    <w:p>
      <w:pPr>
        <w:pStyle w:val="GesAbsatz"/>
        <w:tabs>
          <w:tab w:val="clear" w:pos="425"/>
        </w:tabs>
        <w:ind w:left="567"/>
        <w:rPr>
          <w:rFonts w:cs="Arial"/>
        </w:rPr>
      </w:pPr>
      <w:r>
        <w:rPr>
          <w:rFonts w:cs="Arial"/>
        </w:rPr>
        <w:t>Eine Rollendrucktätigkeit, bei der die druckenden und nichtdruckenden Bereiche der Druckplatte auf einer Ebene liegen. Unter Rollendruck ist zu verstehen, dass der Bedruckstoff der Maschine von einer Rolle und nicht in einzelnen Bogen zugeführt wird. Der nichtdruckende Bereich ist wasserannahmefähig und damit farbabweisend, während der druckende Bereich farbannahmefähig ist und damit Druckfarbe an die zu bedruckende Oberfläche abgibt. Das bedruckte Material wird in einem Heißtrockenofen getrocknet.</w:t>
      </w:r>
    </w:p>
    <w:p>
      <w:pPr>
        <w:pStyle w:val="GesAbsatz"/>
        <w:tabs>
          <w:tab w:val="clear" w:pos="425"/>
        </w:tabs>
        <w:ind w:left="567" w:hanging="567"/>
        <w:rPr>
          <w:rFonts w:cs="Arial"/>
          <w:b/>
        </w:rPr>
      </w:pPr>
      <w:r>
        <w:rPr>
          <w:rFonts w:cs="Arial"/>
          <w:b/>
        </w:rPr>
        <w:t>1.2</w:t>
      </w:r>
      <w:r>
        <w:rPr>
          <w:rFonts w:cs="Arial"/>
          <w:b/>
        </w:rPr>
        <w:tab/>
        <w:t>lllustrationstiefdruck</w:t>
      </w:r>
    </w:p>
    <w:p>
      <w:pPr>
        <w:pStyle w:val="GesAbsatz"/>
        <w:tabs>
          <w:tab w:val="clear" w:pos="425"/>
        </w:tabs>
        <w:ind w:left="567"/>
        <w:rPr>
          <w:rFonts w:cs="Arial"/>
        </w:rPr>
      </w:pPr>
      <w:r>
        <w:rPr>
          <w:rFonts w:cs="Arial"/>
        </w:rPr>
        <w:t>Rotationstiefdruck für den Druck von Magazinen, Broschüren, Katalogen oder ähnlichen Produkten, bei denen Druckfarben auf Toluolbasis verwendet werden.</w:t>
      </w:r>
    </w:p>
    <w:p>
      <w:pPr>
        <w:pStyle w:val="GesAbsatz"/>
        <w:tabs>
          <w:tab w:val="clear" w:pos="425"/>
        </w:tabs>
        <w:ind w:left="567" w:hanging="567"/>
        <w:rPr>
          <w:rFonts w:cs="Arial"/>
          <w:b/>
        </w:rPr>
      </w:pPr>
      <w:r>
        <w:rPr>
          <w:rFonts w:cs="Arial"/>
          <w:b/>
        </w:rPr>
        <w:t>1.3</w:t>
      </w:r>
      <w:r>
        <w:rPr>
          <w:rFonts w:cs="Arial"/>
          <w:b/>
        </w:rPr>
        <w:tab/>
        <w:t>Sonstige Drucktätigkeiten</w:t>
      </w:r>
    </w:p>
    <w:p>
      <w:pPr>
        <w:pStyle w:val="GesAbsatz"/>
        <w:tabs>
          <w:tab w:val="clear" w:pos="425"/>
        </w:tabs>
        <w:ind w:left="567" w:hanging="567"/>
        <w:rPr>
          <w:rFonts w:cs="Arial"/>
        </w:rPr>
      </w:pPr>
      <w:r>
        <w:rPr>
          <w:rFonts w:cs="Arial"/>
        </w:rPr>
        <w:t>1.3.1</w:t>
      </w:r>
      <w:r>
        <w:rPr>
          <w:rFonts w:cs="Arial"/>
        </w:rPr>
        <w:tab/>
        <w:t xml:space="preserve">Rotationstiefdruck </w:t>
      </w:r>
    </w:p>
    <w:p>
      <w:pPr>
        <w:pStyle w:val="GesAbsatz"/>
        <w:tabs>
          <w:tab w:val="clear" w:pos="425"/>
        </w:tabs>
        <w:ind w:left="567"/>
        <w:rPr>
          <w:rFonts w:cs="Arial"/>
        </w:rPr>
      </w:pPr>
      <w:r>
        <w:rPr>
          <w:rFonts w:cs="Arial"/>
        </w:rPr>
        <w:t xml:space="preserve">Eine Drucktätigkeit, bei der ein rotierender Zylinder eingesetzt wird, dessen druckende Bereiche vertieft sind, und bei </w:t>
      </w:r>
      <w:proofErr w:type="gramStart"/>
      <w:r>
        <w:rPr>
          <w:rFonts w:cs="Arial"/>
        </w:rPr>
        <w:t>der flüssige Druckfarben</w:t>
      </w:r>
      <w:proofErr w:type="gramEnd"/>
      <w:r>
        <w:rPr>
          <w:rFonts w:cs="Arial"/>
        </w:rPr>
        <w:t xml:space="preserve"> verwendet werden, die durch Verdunstung des Lösungsmittels trocknen. Die Vertiefungen füllen sich mit Druckfarbe. Bevor der Bedruckstoff mit dem Zylinder in Kontakt kommt und die Druckfarbe aus den Vertiefungen abgegeben wird, wird die überschüssige Druckfarbe von den nichtdruckenden Bereichen abgestrichen.</w:t>
      </w:r>
    </w:p>
    <w:p>
      <w:pPr>
        <w:pStyle w:val="GesAbsatz"/>
        <w:tabs>
          <w:tab w:val="clear" w:pos="425"/>
        </w:tabs>
        <w:ind w:left="567" w:hanging="567"/>
        <w:rPr>
          <w:rFonts w:cs="Arial"/>
        </w:rPr>
      </w:pPr>
      <w:r>
        <w:rPr>
          <w:rFonts w:cs="Arial"/>
        </w:rPr>
        <w:t>1.3.2</w:t>
      </w:r>
      <w:r>
        <w:rPr>
          <w:rFonts w:cs="Arial"/>
        </w:rPr>
        <w:tab/>
        <w:t>Rotationssiebdruck</w:t>
      </w:r>
    </w:p>
    <w:p>
      <w:pPr>
        <w:pStyle w:val="GesAbsatz"/>
        <w:tabs>
          <w:tab w:val="clear" w:pos="425"/>
        </w:tabs>
        <w:ind w:left="567"/>
        <w:rPr>
          <w:rFonts w:cs="Arial"/>
        </w:rPr>
      </w:pPr>
      <w:r>
        <w:rPr>
          <w:rFonts w:cs="Arial"/>
        </w:rPr>
        <w:t>Eine Rollendrucktätigkeit, bei der die Druckfarbe mittels Pressen durch eine poröse Druckform, bei der die druckenden Bereiche offen und die nichtdruckenden Bereiche abgedeckt sind, auf die zu bedruckende Oberfläche übertragen wird. Hierbei werden nur flüssige Druckfarben verwendet, die durch Verdunstung des Lösungsmittels trocknen. Unter Rollendruck ist zu verstehen, dass der Bedruckstoff der Maschine von einer Rolle und nicht in einzelnen Bogen zugeführt wird.</w:t>
      </w:r>
    </w:p>
    <w:p>
      <w:pPr>
        <w:pStyle w:val="GesAbsatz"/>
        <w:tabs>
          <w:tab w:val="clear" w:pos="425"/>
        </w:tabs>
        <w:ind w:left="567" w:hanging="567"/>
        <w:rPr>
          <w:rFonts w:cs="Arial"/>
        </w:rPr>
      </w:pPr>
      <w:r>
        <w:rPr>
          <w:rFonts w:cs="Arial"/>
        </w:rPr>
        <w:t>1.3.3</w:t>
      </w:r>
      <w:r>
        <w:rPr>
          <w:rFonts w:cs="Arial"/>
        </w:rPr>
        <w:tab/>
        <w:t>Flexodruck</w:t>
      </w:r>
    </w:p>
    <w:p>
      <w:pPr>
        <w:pStyle w:val="GesAbsatz"/>
        <w:tabs>
          <w:tab w:val="clear" w:pos="425"/>
        </w:tabs>
        <w:ind w:left="567"/>
        <w:rPr>
          <w:rFonts w:cs="Arial"/>
        </w:rPr>
      </w:pPr>
      <w:r>
        <w:rPr>
          <w:rFonts w:cs="Arial"/>
        </w:rPr>
        <w:t xml:space="preserve">Ein Druckverfahren, bei </w:t>
      </w:r>
      <w:proofErr w:type="gramStart"/>
      <w:r>
        <w:rPr>
          <w:rFonts w:cs="Arial"/>
        </w:rPr>
        <w:t>dem Druckplatten</w:t>
      </w:r>
      <w:proofErr w:type="gramEnd"/>
      <w:r>
        <w:rPr>
          <w:rFonts w:cs="Arial"/>
        </w:rPr>
        <w:t xml:space="preserve"> aus Gummi oder elastischen Photopolymeren, deren druckende Teile erhaben sind, sowie flüssige Druckfarben eingesetzt werden, die durch Verdunstung des Lösungsmittels trocknen.</w:t>
      </w:r>
    </w:p>
    <w:p>
      <w:pPr>
        <w:pStyle w:val="GesAbsatz"/>
        <w:tabs>
          <w:tab w:val="clear" w:pos="425"/>
        </w:tabs>
        <w:ind w:left="567" w:hanging="567"/>
        <w:rPr>
          <w:rFonts w:cs="Arial"/>
        </w:rPr>
      </w:pPr>
      <w:r>
        <w:rPr>
          <w:rFonts w:cs="Arial"/>
        </w:rPr>
        <w:t>1.3.4</w:t>
      </w:r>
      <w:r>
        <w:rPr>
          <w:rFonts w:cs="Arial"/>
        </w:rPr>
        <w:tab/>
        <w:t>Klarlackauftrag</w:t>
      </w:r>
    </w:p>
    <w:p>
      <w:pPr>
        <w:pStyle w:val="GesAbsatz"/>
        <w:tabs>
          <w:tab w:val="clear" w:pos="425"/>
        </w:tabs>
        <w:ind w:left="567"/>
        <w:rPr>
          <w:rFonts w:cs="Arial"/>
        </w:rPr>
      </w:pPr>
      <w:r>
        <w:rPr>
          <w:rFonts w:cs="Arial"/>
        </w:rPr>
        <w:t>Eine Tätigkeit, bei der auf einen flexiblen Bedruckstoff ein Klarlack oder eine Klebeschicht zum späteren Verschließen des Verpackungsmaterials aufgebracht wird.</w:t>
      </w:r>
    </w:p>
    <w:p>
      <w:pPr>
        <w:pStyle w:val="GesAbsatz"/>
        <w:tabs>
          <w:tab w:val="clear" w:pos="425"/>
        </w:tabs>
        <w:ind w:left="567" w:hanging="567"/>
        <w:rPr>
          <w:rFonts w:cs="Arial"/>
        </w:rPr>
      </w:pPr>
      <w:r>
        <w:rPr>
          <w:rFonts w:cs="Arial"/>
        </w:rPr>
        <w:t>1.3.5</w:t>
      </w:r>
      <w:r>
        <w:rPr>
          <w:rFonts w:cs="Arial"/>
        </w:rPr>
        <w:tab/>
        <w:t>Laminierung im Zuge einer Drucktätigkeit</w:t>
      </w:r>
    </w:p>
    <w:p>
      <w:pPr>
        <w:pStyle w:val="GesAbsatz"/>
        <w:tabs>
          <w:tab w:val="clear" w:pos="425"/>
        </w:tabs>
        <w:ind w:left="567"/>
        <w:rPr>
          <w:rFonts w:cs="Arial"/>
        </w:rPr>
      </w:pPr>
      <w:r>
        <w:rPr>
          <w:rFonts w:cs="Arial"/>
        </w:rPr>
        <w:t>Das Zusammenkleben von zwei oder mehr flexiblen Materialien zur Herstellung von Laminaten.</w:t>
      </w:r>
    </w:p>
    <w:p>
      <w:pPr>
        <w:pStyle w:val="GesAbsatz"/>
        <w:tabs>
          <w:tab w:val="clear" w:pos="425"/>
        </w:tabs>
        <w:ind w:left="567" w:hanging="567"/>
        <w:rPr>
          <w:rFonts w:cs="Arial"/>
          <w:b/>
        </w:rPr>
      </w:pPr>
      <w:r>
        <w:rPr>
          <w:rFonts w:cs="Arial"/>
          <w:b/>
        </w:rPr>
        <w:t>2.</w:t>
      </w:r>
      <w:r>
        <w:rPr>
          <w:rFonts w:cs="Arial"/>
          <w:b/>
        </w:rPr>
        <w:tab/>
        <w:t>Reinigung der Oberflächen von Materialien oder Produkten</w:t>
      </w:r>
    </w:p>
    <w:p>
      <w:pPr>
        <w:pStyle w:val="GesAbsatz"/>
        <w:tabs>
          <w:tab w:val="clear" w:pos="425"/>
        </w:tabs>
        <w:ind w:left="567"/>
        <w:rPr>
          <w:rFonts w:cs="Arial"/>
        </w:rPr>
      </w:pPr>
      <w:r>
        <w:rPr>
          <w:rFonts w:cs="Arial"/>
        </w:rPr>
        <w:t>Jede Tätigkeit, mit Ausnahme der Textilreinigung, bei der mit Hilfe von organischen Lösungsmitteln Oberflächenverschmutzungen von Materialien entfernt werden, einschließlich durch Entfetten oder Entlacken. Hierzu zählt auch die Reinigung von Fässern und Behältern. Eine Tätigkeit, die mehrere Reini</w:t>
      </w:r>
      <w:r>
        <w:rPr>
          <w:rFonts w:cs="Arial"/>
        </w:rPr>
        <w:lastRenderedPageBreak/>
        <w:t>gungsschritte vor oder nach einer anderen Tätigkeit umfasst, gilt als eine Oberflächenreinigungstätigkeit. Die Tätigkeit bezieht sich nicht auf die Reinigung der Geräte, sondern auf die Reinigung der Oberfläche der Produkte.</w:t>
      </w:r>
    </w:p>
    <w:p>
      <w:pPr>
        <w:pStyle w:val="GesAbsatz"/>
        <w:tabs>
          <w:tab w:val="clear" w:pos="425"/>
        </w:tabs>
        <w:ind w:left="567" w:hanging="567"/>
        <w:rPr>
          <w:rFonts w:cs="Arial"/>
          <w:b/>
        </w:rPr>
      </w:pPr>
      <w:r>
        <w:rPr>
          <w:rFonts w:cs="Arial"/>
          <w:b/>
        </w:rPr>
        <w:t>3.</w:t>
      </w:r>
      <w:r>
        <w:rPr>
          <w:rFonts w:cs="Arial"/>
          <w:b/>
        </w:rPr>
        <w:tab/>
        <w:t>Textilreinigung</w:t>
      </w:r>
    </w:p>
    <w:p>
      <w:pPr>
        <w:pStyle w:val="GesAbsatz"/>
        <w:tabs>
          <w:tab w:val="clear" w:pos="425"/>
        </w:tabs>
        <w:ind w:left="567"/>
        <w:rPr>
          <w:rFonts w:cs="Arial"/>
        </w:rPr>
      </w:pPr>
      <w:r>
        <w:rPr>
          <w:rFonts w:cs="Arial"/>
        </w:rPr>
        <w:t>Jede industrielle oder gewerbliche Tätigkeit, bei der organische Lösungsmittel in einer Anlage zur Reinigung von Kleidung, Heimtextilien und ähnlichen Verbrauchsgütern eingesetzt werden, mit Ausnahme der manuellen Entfernung von Flecken in der Textil- und Bekleidungsindustrie.</w:t>
      </w:r>
    </w:p>
    <w:p>
      <w:pPr>
        <w:pStyle w:val="GesAbsatz"/>
        <w:tabs>
          <w:tab w:val="clear" w:pos="425"/>
        </w:tabs>
        <w:ind w:left="567" w:hanging="567"/>
        <w:rPr>
          <w:rFonts w:cs="Arial"/>
        </w:rPr>
      </w:pPr>
      <w:r>
        <w:rPr>
          <w:rFonts w:cs="Arial"/>
          <w:b/>
        </w:rPr>
        <w:t>4.</w:t>
      </w:r>
      <w:r>
        <w:rPr>
          <w:rFonts w:cs="Arial"/>
          <w:b/>
        </w:rPr>
        <w:tab/>
        <w:t>Beschichtung von Kraftfahrzeugen oder Schienenfahrzeugen</w:t>
      </w:r>
    </w:p>
    <w:p>
      <w:pPr>
        <w:pStyle w:val="GesAbsatz"/>
        <w:tabs>
          <w:tab w:val="clear" w:pos="425"/>
        </w:tabs>
        <w:ind w:left="567" w:hanging="567"/>
        <w:rPr>
          <w:rFonts w:cs="Arial"/>
        </w:rPr>
      </w:pPr>
      <w:r>
        <w:rPr>
          <w:rFonts w:cs="Arial"/>
          <w:b/>
        </w:rPr>
        <w:t>4.1</w:t>
      </w:r>
      <w:r>
        <w:rPr>
          <w:rFonts w:cs="Arial"/>
        </w:rPr>
        <w:tab/>
        <w:t xml:space="preserve">Serienbeschichtung von Personenkraftwagen </w:t>
      </w:r>
    </w:p>
    <w:p>
      <w:pPr>
        <w:pStyle w:val="GesAbsatz"/>
        <w:tabs>
          <w:tab w:val="clear" w:pos="425"/>
        </w:tabs>
        <w:ind w:left="567"/>
        <w:rPr>
          <w:rFonts w:cs="Arial"/>
        </w:rPr>
      </w:pPr>
      <w:r>
        <w:rPr>
          <w:rFonts w:cs="Arial"/>
        </w:rPr>
        <w:t>Eine Tätigkeit zum Serienbeschichten von Fahrzeugen der Klasse M1 gemäß der Verordnung (EU) 2018/858 des Europäischen Parlamentes und des Rates vom 30. Mai 2018 über die Genehmigung und die Marktüberwachung von Kraftfahrzeugen und Kraftfahrzeuganhängern sowie von Systemen, Bauteilen und selbstständigen technischen Einheiten für diese Fahrzeuge, zur Änderung der Verordnungen (EG) Nr. 715/2007 und (EG) Nr. 595/2009 und zur Aufhebung der Richtlinie 2007/46/EG (Abl. L151 vom 14. Juni 2018 S. 1) sowie der Klasse N1 gemäß der Verordnung (EU) 2018/858, sofern sie in der gleichen Anlage wie Fahrzeuge der Klasse M1 lackiert werden.</w:t>
      </w:r>
    </w:p>
    <w:p>
      <w:pPr>
        <w:pStyle w:val="GesAbsatz"/>
        <w:tabs>
          <w:tab w:val="clear" w:pos="425"/>
        </w:tabs>
        <w:ind w:left="567" w:hanging="567"/>
        <w:rPr>
          <w:rFonts w:cs="Arial"/>
          <w:b/>
        </w:rPr>
      </w:pPr>
      <w:r>
        <w:rPr>
          <w:rFonts w:cs="Arial"/>
          <w:b/>
        </w:rPr>
        <w:t>4.2</w:t>
      </w:r>
      <w:r>
        <w:rPr>
          <w:rFonts w:cs="Arial"/>
          <w:b/>
        </w:rPr>
        <w:tab/>
        <w:t>Serienbeschichtung von Fahrerhäusern</w:t>
      </w:r>
    </w:p>
    <w:p>
      <w:pPr>
        <w:pStyle w:val="GesAbsatz"/>
        <w:tabs>
          <w:tab w:val="clear" w:pos="425"/>
        </w:tabs>
        <w:ind w:left="567"/>
        <w:rPr>
          <w:rFonts w:cs="Arial"/>
        </w:rPr>
      </w:pPr>
      <w:r>
        <w:rPr>
          <w:rFonts w:cs="Arial"/>
        </w:rPr>
        <w:t>Eine Tätigkeit zum Serienbeschichten von Fahrerhäusern sowie aller integrierten Abdeckungen für die technische Ausrüstung von Fahrzeugen der Klassen N2 und N3 gemäß der Verordnung (EU) Nr. 2018/858.</w:t>
      </w:r>
    </w:p>
    <w:p>
      <w:pPr>
        <w:pStyle w:val="GesAbsatz"/>
        <w:tabs>
          <w:tab w:val="clear" w:pos="425"/>
        </w:tabs>
        <w:ind w:left="567" w:hanging="567"/>
        <w:rPr>
          <w:rFonts w:cs="Arial"/>
          <w:b/>
        </w:rPr>
      </w:pPr>
      <w:r>
        <w:rPr>
          <w:rFonts w:cs="Arial"/>
          <w:b/>
        </w:rPr>
        <w:t>4.3</w:t>
      </w:r>
      <w:r>
        <w:rPr>
          <w:rFonts w:cs="Arial"/>
          <w:b/>
        </w:rPr>
        <w:tab/>
        <w:t>Beschichten von Nutzfahrzeugen</w:t>
      </w:r>
    </w:p>
    <w:p>
      <w:pPr>
        <w:pStyle w:val="GesAbsatz"/>
        <w:tabs>
          <w:tab w:val="clear" w:pos="425"/>
        </w:tabs>
        <w:ind w:left="567" w:hanging="567"/>
        <w:rPr>
          <w:rFonts w:cs="Arial"/>
        </w:rPr>
      </w:pPr>
      <w:r>
        <w:rPr>
          <w:rFonts w:cs="Arial"/>
        </w:rPr>
        <w:t>4.3.1</w:t>
      </w:r>
      <w:r>
        <w:rPr>
          <w:rFonts w:cs="Arial"/>
        </w:rPr>
        <w:tab/>
        <w:t>Beschichten von Lieferwagen</w:t>
      </w:r>
    </w:p>
    <w:p>
      <w:pPr>
        <w:pStyle w:val="GesAbsatz"/>
        <w:tabs>
          <w:tab w:val="clear" w:pos="425"/>
        </w:tabs>
        <w:ind w:left="567"/>
        <w:rPr>
          <w:rFonts w:cs="Arial"/>
        </w:rPr>
      </w:pPr>
      <w:r>
        <w:rPr>
          <w:rFonts w:cs="Arial"/>
        </w:rPr>
        <w:t>Eine Tätigkeit zum Beschichten von Kraftfahrzeugen der Klassen M1 und N gemäß der Verordnung (EU) Nr. 2018/858, sofern die Kraftfahrzeuge den Aufbautypen AF, AG, BB oder BE zugeordnet werden.</w:t>
      </w:r>
    </w:p>
    <w:p>
      <w:pPr>
        <w:pStyle w:val="GesAbsatz"/>
        <w:tabs>
          <w:tab w:val="clear" w:pos="425"/>
        </w:tabs>
        <w:ind w:left="567" w:hanging="567"/>
        <w:rPr>
          <w:rFonts w:cs="Arial"/>
        </w:rPr>
      </w:pPr>
      <w:r>
        <w:rPr>
          <w:rFonts w:cs="Arial"/>
        </w:rPr>
        <w:t>4.3.2</w:t>
      </w:r>
      <w:r>
        <w:rPr>
          <w:rFonts w:cs="Arial"/>
        </w:rPr>
        <w:tab/>
        <w:t>Beschichten von Lastkraftwagen</w:t>
      </w:r>
    </w:p>
    <w:p>
      <w:pPr>
        <w:pStyle w:val="GesAbsatz"/>
        <w:tabs>
          <w:tab w:val="clear" w:pos="425"/>
        </w:tabs>
        <w:ind w:left="567"/>
        <w:rPr>
          <w:rFonts w:cs="Arial"/>
        </w:rPr>
      </w:pPr>
      <w:r>
        <w:rPr>
          <w:rFonts w:cs="Arial"/>
        </w:rPr>
        <w:t>Eine Tätigkeit zum Beschichten von Nutzfahrzeugen der Klassen N2 und N3 gemäß der Verordnung (EU) Nr. 2018/858, jedoch ohne Fahrerhäuser (siehe Nummer 4.2), sowie zum Beschichten aller sonstigen in der Nummer 4.3.1 nicht genannten Nutzfahrzeuge der Klasse N gemäß der Verordnung (EU) Nr. 2018/858.</w:t>
      </w:r>
    </w:p>
    <w:p>
      <w:pPr>
        <w:pStyle w:val="GesAbsatz"/>
        <w:tabs>
          <w:tab w:val="clear" w:pos="425"/>
        </w:tabs>
        <w:ind w:left="567" w:hanging="567"/>
        <w:rPr>
          <w:rFonts w:cs="Arial"/>
          <w:b/>
        </w:rPr>
      </w:pPr>
      <w:r>
        <w:rPr>
          <w:rFonts w:cs="Arial"/>
          <w:b/>
        </w:rPr>
        <w:t>4.4</w:t>
      </w:r>
      <w:r>
        <w:rPr>
          <w:rFonts w:cs="Arial"/>
          <w:b/>
        </w:rPr>
        <w:tab/>
        <w:t>Beschichten von Bussen</w:t>
      </w:r>
    </w:p>
    <w:p>
      <w:pPr>
        <w:pStyle w:val="GesAbsatz"/>
        <w:tabs>
          <w:tab w:val="clear" w:pos="425"/>
        </w:tabs>
        <w:ind w:left="567"/>
        <w:rPr>
          <w:rFonts w:cs="Arial"/>
        </w:rPr>
      </w:pPr>
      <w:r>
        <w:rPr>
          <w:rFonts w:cs="Arial"/>
        </w:rPr>
        <w:t>Eine Tätigkeit zum Beschichten von Bussen der Klassen M2 und M3 gemäß der Verordnung (EU) Nr. 2018/858.</w:t>
      </w:r>
    </w:p>
    <w:p>
      <w:pPr>
        <w:pStyle w:val="GesAbsatz"/>
        <w:tabs>
          <w:tab w:val="clear" w:pos="425"/>
        </w:tabs>
        <w:ind w:left="567" w:hanging="567"/>
        <w:rPr>
          <w:rFonts w:cs="Arial"/>
          <w:b/>
        </w:rPr>
      </w:pPr>
      <w:r>
        <w:rPr>
          <w:rFonts w:cs="Arial"/>
          <w:b/>
        </w:rPr>
        <w:t>4.5</w:t>
      </w:r>
      <w:r>
        <w:rPr>
          <w:rFonts w:cs="Arial"/>
          <w:b/>
        </w:rPr>
        <w:tab/>
        <w:t xml:space="preserve">Beschichten von Schienenfahrzeugen </w:t>
      </w:r>
    </w:p>
    <w:p>
      <w:pPr>
        <w:pStyle w:val="GesAbsatz"/>
        <w:tabs>
          <w:tab w:val="clear" w:pos="425"/>
        </w:tabs>
        <w:ind w:left="567"/>
        <w:rPr>
          <w:rFonts w:cs="Arial"/>
        </w:rPr>
      </w:pPr>
      <w:r>
        <w:rPr>
          <w:rFonts w:cs="Arial"/>
        </w:rPr>
        <w:t>Jede Tätigkeit zum Beschichten von Schienenfahrzeugen.</w:t>
      </w:r>
    </w:p>
    <w:p>
      <w:pPr>
        <w:pStyle w:val="GesAbsatz"/>
        <w:tabs>
          <w:tab w:val="clear" w:pos="425"/>
        </w:tabs>
        <w:ind w:left="567" w:hanging="567"/>
        <w:rPr>
          <w:rFonts w:cs="Arial"/>
          <w:b/>
        </w:rPr>
      </w:pPr>
      <w:r>
        <w:rPr>
          <w:rFonts w:cs="Arial"/>
          <w:b/>
        </w:rPr>
        <w:t>5.</w:t>
      </w:r>
      <w:r>
        <w:rPr>
          <w:rFonts w:cs="Arial"/>
          <w:b/>
        </w:rPr>
        <w:tab/>
        <w:t>Fahrzeugreparaturlackierung</w:t>
      </w:r>
    </w:p>
    <w:p>
      <w:pPr>
        <w:pStyle w:val="GesAbsatz"/>
        <w:tabs>
          <w:tab w:val="clear" w:pos="425"/>
        </w:tabs>
        <w:ind w:left="567" w:hanging="567"/>
        <w:rPr>
          <w:rFonts w:cs="Arial"/>
          <w:b/>
        </w:rPr>
      </w:pPr>
      <w:r>
        <w:rPr>
          <w:rFonts w:cs="Arial"/>
          <w:b/>
        </w:rPr>
        <w:t>5.1</w:t>
      </w:r>
      <w:r>
        <w:rPr>
          <w:rFonts w:cs="Arial"/>
          <w:b/>
        </w:rPr>
        <w:tab/>
        <w:t>Anlagen zur ursprünglichen Lackierung von Kraftfahrzeugen außerhalb der ursprünglichen Fertigungsstraße oder zur Lackierung von Anhängern</w:t>
      </w:r>
    </w:p>
    <w:p>
      <w:pPr>
        <w:pStyle w:val="GesAbsatz"/>
        <w:tabs>
          <w:tab w:val="clear" w:pos="425"/>
        </w:tabs>
        <w:ind w:left="567"/>
        <w:rPr>
          <w:rFonts w:cs="Arial"/>
        </w:rPr>
      </w:pPr>
      <w:r>
        <w:rPr>
          <w:rFonts w:cs="Arial"/>
        </w:rPr>
        <w:t>Jede industrielle oder gewerbliche Tätigkeit einschließlich der damit verbundenen Reinigungs- und Entfettungstätigkeiten</w:t>
      </w:r>
    </w:p>
    <w:p>
      <w:pPr>
        <w:pStyle w:val="GesAbsatz"/>
        <w:tabs>
          <w:tab w:val="clear" w:pos="425"/>
          <w:tab w:val="left" w:pos="1134"/>
        </w:tabs>
        <w:ind w:left="993" w:hanging="426"/>
        <w:rPr>
          <w:rFonts w:cs="Arial"/>
        </w:rPr>
      </w:pPr>
      <w:r>
        <w:rPr>
          <w:rFonts w:cs="Arial"/>
        </w:rPr>
        <w:t>a)</w:t>
      </w:r>
      <w:r>
        <w:rPr>
          <w:rFonts w:cs="Arial"/>
        </w:rPr>
        <w:tab/>
        <w:t>zur ursprünglichen Lackierung von Kraftfahrzeugen gemäß der Verordnung (EU) Nr. 2018/858 oder eines Teils dieser Kraftfahrzeuge mit Hilfe von Produkten zur Reparaturlackierung, sofern dies außerhalb der ursprünglichen Fertigungsstraße geschieht, oder</w:t>
      </w:r>
    </w:p>
    <w:p>
      <w:pPr>
        <w:pStyle w:val="GesAbsatz"/>
        <w:tabs>
          <w:tab w:val="clear" w:pos="425"/>
          <w:tab w:val="left" w:pos="1134"/>
        </w:tabs>
        <w:ind w:left="993" w:hanging="426"/>
        <w:rPr>
          <w:rFonts w:cs="Arial"/>
        </w:rPr>
      </w:pPr>
      <w:r>
        <w:rPr>
          <w:rFonts w:cs="Arial"/>
        </w:rPr>
        <w:t>b)</w:t>
      </w:r>
      <w:r>
        <w:rPr>
          <w:rFonts w:cs="Arial"/>
        </w:rPr>
        <w:tab/>
        <w:t>zur Lackierung von Anhängern (einschließlich Sattelanhängern) der Klasse O gemäß der Verordnung (EU) Nr. 2018/858.</w:t>
      </w:r>
    </w:p>
    <w:p>
      <w:pPr>
        <w:pStyle w:val="GesAbsatz"/>
        <w:tabs>
          <w:tab w:val="clear" w:pos="425"/>
        </w:tabs>
        <w:ind w:left="567" w:hanging="567"/>
        <w:rPr>
          <w:rFonts w:cs="Arial"/>
          <w:b/>
        </w:rPr>
      </w:pPr>
      <w:r>
        <w:rPr>
          <w:rFonts w:cs="Arial"/>
          <w:b/>
        </w:rPr>
        <w:t>6.</w:t>
      </w:r>
      <w:r>
        <w:rPr>
          <w:rFonts w:cs="Arial"/>
          <w:b/>
        </w:rPr>
        <w:tab/>
        <w:t>Beschichten von Bandblech</w:t>
      </w:r>
    </w:p>
    <w:p>
      <w:pPr>
        <w:pStyle w:val="GesAbsatz"/>
        <w:tabs>
          <w:tab w:val="clear" w:pos="425"/>
        </w:tabs>
        <w:ind w:left="567"/>
        <w:rPr>
          <w:rFonts w:cs="Arial"/>
        </w:rPr>
      </w:pPr>
      <w:r>
        <w:rPr>
          <w:rFonts w:cs="Arial"/>
        </w:rPr>
        <w:t>Jede Tätigkeit, bei der Bandstahl, rostfreier Stahl, beschichteter Stahl, Kupferlegierungen oder Aluminiumbänder in einem Endlosverfahren entweder mit einer filmbildenden Schicht oder einem Laminat überzogen werden.</w:t>
      </w:r>
    </w:p>
    <w:p>
      <w:pPr>
        <w:pStyle w:val="GesAbsatz"/>
        <w:tabs>
          <w:tab w:val="clear" w:pos="425"/>
          <w:tab w:val="left" w:pos="567"/>
        </w:tabs>
        <w:rPr>
          <w:rFonts w:cs="Arial"/>
          <w:b/>
        </w:rPr>
      </w:pPr>
      <w:r>
        <w:rPr>
          <w:rFonts w:cs="Arial"/>
          <w:b/>
        </w:rPr>
        <w:t>7.</w:t>
      </w:r>
      <w:r>
        <w:rPr>
          <w:rFonts w:cs="Arial"/>
          <w:b/>
        </w:rPr>
        <w:tab/>
        <w:t>Beschichten von Wickeldraht</w:t>
      </w:r>
    </w:p>
    <w:p>
      <w:pPr>
        <w:pStyle w:val="GesAbsatz"/>
        <w:tabs>
          <w:tab w:val="clear" w:pos="425"/>
        </w:tabs>
        <w:ind w:left="567"/>
        <w:rPr>
          <w:rFonts w:cs="Arial"/>
        </w:rPr>
      </w:pPr>
      <w:r>
        <w:rPr>
          <w:rFonts w:cs="Arial"/>
        </w:rPr>
        <w:t>Jede Tätigkeit zur Beschichtung von metallischen Leitern, die zum Wickeln von Spulen verwendet werden.</w:t>
      </w:r>
    </w:p>
    <w:p>
      <w:pPr>
        <w:pStyle w:val="GesAbsatz"/>
        <w:tabs>
          <w:tab w:val="clear" w:pos="425"/>
          <w:tab w:val="left" w:pos="567"/>
        </w:tabs>
        <w:rPr>
          <w:rFonts w:cs="Arial"/>
          <w:b/>
        </w:rPr>
      </w:pPr>
      <w:r>
        <w:rPr>
          <w:rFonts w:cs="Arial"/>
          <w:b/>
        </w:rPr>
        <w:t>8.</w:t>
      </w:r>
      <w:r>
        <w:rPr>
          <w:rFonts w:cs="Arial"/>
          <w:b/>
        </w:rPr>
        <w:tab/>
        <w:t>Beschichten von sonstigen Metall- oder Kunststoffoberflächen</w:t>
      </w:r>
    </w:p>
    <w:p>
      <w:pPr>
        <w:pStyle w:val="GesAbsatz"/>
        <w:tabs>
          <w:tab w:val="clear" w:pos="425"/>
        </w:tabs>
        <w:ind w:left="567" w:hanging="567"/>
        <w:rPr>
          <w:rFonts w:cs="Arial"/>
        </w:rPr>
      </w:pPr>
      <w:r>
        <w:rPr>
          <w:rFonts w:cs="Arial"/>
          <w:b/>
        </w:rPr>
        <w:lastRenderedPageBreak/>
        <w:t>8.1</w:t>
      </w:r>
      <w:r>
        <w:rPr>
          <w:rFonts w:cs="Arial"/>
          <w:b/>
        </w:rPr>
        <w:tab/>
        <w:t>Anlagen zum Beschichten von sonstigen Metall- oder Kunststoffoberflächen sowie zum Beschichten und Bedrucken von Metallverpackungen</w:t>
      </w:r>
    </w:p>
    <w:p>
      <w:pPr>
        <w:pStyle w:val="GesAbsatz"/>
        <w:tabs>
          <w:tab w:val="clear" w:pos="425"/>
        </w:tabs>
        <w:ind w:left="567"/>
        <w:rPr>
          <w:rFonts w:cs="Arial"/>
        </w:rPr>
      </w:pPr>
      <w:r>
        <w:rPr>
          <w:rFonts w:cs="Arial"/>
        </w:rPr>
        <w:t>Jede Tätigkeit, bei der Metall- oder Kunststoffoberflächen, auch von sperrigen Gütern wie Schiffen oder Luftfahrzeugen, beschichtet werden, einschließlich der Aufbringung von Trennmitteln oder von Gummierungen. Hierzu zählt auch jede Tätigkeit zum Beschichten und Bedrucken von Metallverpackungen.</w:t>
      </w:r>
    </w:p>
    <w:p>
      <w:pPr>
        <w:pStyle w:val="GesAbsatz"/>
        <w:tabs>
          <w:tab w:val="clear" w:pos="425"/>
        </w:tabs>
        <w:ind w:left="567" w:hanging="567"/>
        <w:rPr>
          <w:rFonts w:cs="Arial"/>
          <w:b/>
        </w:rPr>
      </w:pPr>
      <w:r>
        <w:rPr>
          <w:rFonts w:cs="Arial"/>
          <w:b/>
        </w:rPr>
        <w:t>9.</w:t>
      </w:r>
      <w:r>
        <w:rPr>
          <w:rFonts w:cs="Arial"/>
          <w:b/>
        </w:rPr>
        <w:tab/>
        <w:t>Beschichten von Holz oder Holzwerkstoffen</w:t>
      </w:r>
    </w:p>
    <w:p>
      <w:pPr>
        <w:pStyle w:val="GesAbsatz"/>
        <w:tabs>
          <w:tab w:val="clear" w:pos="425"/>
        </w:tabs>
        <w:ind w:left="567"/>
        <w:rPr>
          <w:rFonts w:cs="Arial"/>
        </w:rPr>
      </w:pPr>
      <w:r>
        <w:rPr>
          <w:rFonts w:cs="Arial"/>
        </w:rPr>
        <w:t>Jede Tätigkeit, bei der durch einfachen oder mehrfachen Auftrag eine Schicht auf Oberflächen von Holz oder Holzwerkstoffen aufgebracht wird.</w:t>
      </w:r>
    </w:p>
    <w:p>
      <w:pPr>
        <w:pStyle w:val="GesAbsatz"/>
        <w:tabs>
          <w:tab w:val="clear" w:pos="425"/>
        </w:tabs>
        <w:ind w:left="567" w:hanging="567"/>
        <w:rPr>
          <w:rFonts w:cs="Arial"/>
          <w:b/>
        </w:rPr>
      </w:pPr>
      <w:r>
        <w:rPr>
          <w:rFonts w:cs="Arial"/>
          <w:b/>
        </w:rPr>
        <w:t>10.</w:t>
      </w:r>
      <w:r>
        <w:rPr>
          <w:rFonts w:cs="Arial"/>
          <w:b/>
        </w:rPr>
        <w:tab/>
        <w:t>Beschichten von Textil-, Gewebe-, Folien- oder Papieroberflächen</w:t>
      </w:r>
    </w:p>
    <w:p>
      <w:pPr>
        <w:pStyle w:val="GesAbsatz"/>
        <w:tabs>
          <w:tab w:val="clear" w:pos="425"/>
        </w:tabs>
        <w:ind w:left="567"/>
        <w:rPr>
          <w:rFonts w:cs="Arial"/>
        </w:rPr>
      </w:pPr>
      <w:r>
        <w:rPr>
          <w:rFonts w:cs="Arial"/>
        </w:rPr>
        <w:t>Jede Tätigkeit zur Veredelung von Textilien und Geweben durch Beschichten oder Bedrucken und von Folien- oder Papieroberflächen durch Beschichten, Imprägnieren oder Appretieren.</w:t>
      </w:r>
    </w:p>
    <w:p>
      <w:pPr>
        <w:pStyle w:val="GesAbsatz"/>
        <w:tabs>
          <w:tab w:val="clear" w:pos="425"/>
        </w:tabs>
        <w:ind w:left="567" w:hanging="567"/>
        <w:rPr>
          <w:rFonts w:cs="Arial"/>
          <w:b/>
        </w:rPr>
      </w:pPr>
      <w:r>
        <w:rPr>
          <w:rFonts w:cs="Arial"/>
          <w:b/>
        </w:rPr>
        <w:t>11.</w:t>
      </w:r>
      <w:r>
        <w:rPr>
          <w:rFonts w:cs="Arial"/>
          <w:b/>
        </w:rPr>
        <w:tab/>
        <w:t>Beschichten von Leder</w:t>
      </w:r>
    </w:p>
    <w:p>
      <w:pPr>
        <w:pStyle w:val="GesAbsatz"/>
        <w:tabs>
          <w:tab w:val="clear" w:pos="425"/>
        </w:tabs>
        <w:ind w:left="567"/>
        <w:rPr>
          <w:rFonts w:cs="Arial"/>
        </w:rPr>
      </w:pPr>
      <w:r>
        <w:rPr>
          <w:rFonts w:cs="Arial"/>
        </w:rPr>
        <w:t>Jede Tätigkeit zur Beschichtung von Leder.</w:t>
      </w:r>
    </w:p>
    <w:p>
      <w:pPr>
        <w:pStyle w:val="GesAbsatz"/>
        <w:tabs>
          <w:tab w:val="clear" w:pos="425"/>
        </w:tabs>
        <w:ind w:left="567" w:hanging="567"/>
        <w:rPr>
          <w:rFonts w:cs="Arial"/>
          <w:b/>
        </w:rPr>
      </w:pPr>
      <w:r>
        <w:rPr>
          <w:rFonts w:cs="Arial"/>
          <w:b/>
        </w:rPr>
        <w:t>12.</w:t>
      </w:r>
      <w:r>
        <w:rPr>
          <w:rFonts w:cs="Arial"/>
          <w:b/>
        </w:rPr>
        <w:tab/>
        <w:t>Holzimprägnierung</w:t>
      </w:r>
    </w:p>
    <w:p>
      <w:pPr>
        <w:pStyle w:val="GesAbsatz"/>
        <w:tabs>
          <w:tab w:val="clear" w:pos="425"/>
        </w:tabs>
        <w:ind w:left="567"/>
        <w:rPr>
          <w:rFonts w:cs="Arial"/>
        </w:rPr>
      </w:pPr>
      <w:r>
        <w:rPr>
          <w:rFonts w:cs="Arial"/>
        </w:rPr>
        <w:t>Jede Tätigkeit, mit der Holz und Holzerzeugnisse mit Chemikalien konserviert oder imprägniert werden.</w:t>
      </w:r>
    </w:p>
    <w:p>
      <w:pPr>
        <w:pStyle w:val="GesAbsatz"/>
        <w:tabs>
          <w:tab w:val="clear" w:pos="425"/>
        </w:tabs>
        <w:ind w:left="567" w:hanging="567"/>
        <w:rPr>
          <w:rFonts w:cs="Arial"/>
          <w:b/>
        </w:rPr>
      </w:pPr>
      <w:r>
        <w:rPr>
          <w:rFonts w:cs="Arial"/>
          <w:b/>
        </w:rPr>
        <w:t>13.</w:t>
      </w:r>
      <w:r>
        <w:rPr>
          <w:rFonts w:cs="Arial"/>
          <w:b/>
        </w:rPr>
        <w:tab/>
        <w:t>Laminierung von Holz oder Kunststoffen</w:t>
      </w:r>
    </w:p>
    <w:p>
      <w:pPr>
        <w:pStyle w:val="GesAbsatz"/>
        <w:tabs>
          <w:tab w:val="clear" w:pos="425"/>
        </w:tabs>
        <w:ind w:left="567"/>
        <w:rPr>
          <w:rFonts w:cs="Arial"/>
        </w:rPr>
      </w:pPr>
      <w:r>
        <w:rPr>
          <w:rFonts w:cs="Arial"/>
        </w:rPr>
        <w:t>Jede Tätigkeit des Zusammenklebens von Holz oder Kunststoff zur Herstellung von Laminaten.</w:t>
      </w:r>
    </w:p>
    <w:p>
      <w:pPr>
        <w:pStyle w:val="GesAbsatz"/>
        <w:tabs>
          <w:tab w:val="clear" w:pos="425"/>
        </w:tabs>
        <w:ind w:left="567" w:hanging="567"/>
        <w:rPr>
          <w:rFonts w:cs="Arial"/>
          <w:b/>
        </w:rPr>
      </w:pPr>
      <w:r>
        <w:rPr>
          <w:rFonts w:cs="Arial"/>
          <w:b/>
        </w:rPr>
        <w:t>14.</w:t>
      </w:r>
      <w:r>
        <w:rPr>
          <w:rFonts w:cs="Arial"/>
          <w:b/>
        </w:rPr>
        <w:tab/>
        <w:t>Klebebeschichtung</w:t>
      </w:r>
    </w:p>
    <w:p>
      <w:pPr>
        <w:pStyle w:val="GesAbsatz"/>
        <w:tabs>
          <w:tab w:val="clear" w:pos="425"/>
        </w:tabs>
        <w:ind w:left="567"/>
        <w:rPr>
          <w:rFonts w:cs="Arial"/>
        </w:rPr>
      </w:pPr>
      <w:r>
        <w:rPr>
          <w:rFonts w:cs="Arial"/>
        </w:rPr>
        <w:t>Jede Tätigkeit, bei der ein Klebstoff auf eine Oberfläche aufgebracht wird. Davon ausgenommen sind das Aufbringen von Klebeschichten oder Laminaten im Zusammenhang mit Druckverfahren und die unter Nummer 13 genannten Tätigkeiten.</w:t>
      </w:r>
    </w:p>
    <w:p>
      <w:pPr>
        <w:pStyle w:val="GesAbsatz"/>
        <w:tabs>
          <w:tab w:val="clear" w:pos="425"/>
        </w:tabs>
        <w:ind w:left="567" w:hanging="567"/>
        <w:rPr>
          <w:rFonts w:cs="Arial"/>
          <w:b/>
        </w:rPr>
      </w:pPr>
      <w:r>
        <w:rPr>
          <w:rFonts w:cs="Arial"/>
          <w:b/>
        </w:rPr>
        <w:t>15.</w:t>
      </w:r>
      <w:r>
        <w:rPr>
          <w:rFonts w:cs="Arial"/>
          <w:b/>
        </w:rPr>
        <w:tab/>
        <w:t>Herstellung von Schuhen</w:t>
      </w:r>
    </w:p>
    <w:p>
      <w:pPr>
        <w:pStyle w:val="GesAbsatz"/>
        <w:tabs>
          <w:tab w:val="clear" w:pos="425"/>
        </w:tabs>
        <w:ind w:left="567"/>
        <w:rPr>
          <w:rFonts w:cs="Arial"/>
        </w:rPr>
      </w:pPr>
      <w:r>
        <w:rPr>
          <w:rFonts w:cs="Arial"/>
        </w:rPr>
        <w:t>Jede Tätigkeit zur Herstellung vollständiger Schuhe oder von Schuhteilen.</w:t>
      </w:r>
    </w:p>
    <w:p>
      <w:pPr>
        <w:pStyle w:val="GesAbsatz"/>
        <w:tabs>
          <w:tab w:val="clear" w:pos="425"/>
        </w:tabs>
        <w:ind w:left="567" w:hanging="567"/>
        <w:rPr>
          <w:rFonts w:cs="Arial"/>
          <w:b/>
        </w:rPr>
      </w:pPr>
      <w:r>
        <w:rPr>
          <w:rFonts w:cs="Arial"/>
          <w:b/>
        </w:rPr>
        <w:t>16.</w:t>
      </w:r>
      <w:r>
        <w:rPr>
          <w:rFonts w:cs="Arial"/>
          <w:b/>
        </w:rPr>
        <w:tab/>
        <w:t>Herstellung von Anstrich- oder Beschichtungsstoffen sowie Herstellung von Bautenschutz- oder Holzschutzmitteln, Klebstoffen oder Druckfarben</w:t>
      </w:r>
    </w:p>
    <w:p>
      <w:pPr>
        <w:pStyle w:val="GesAbsatz"/>
        <w:tabs>
          <w:tab w:val="clear" w:pos="425"/>
        </w:tabs>
        <w:ind w:left="567"/>
        <w:rPr>
          <w:rFonts w:cs="Arial"/>
        </w:rPr>
      </w:pPr>
      <w:r>
        <w:rPr>
          <w:rFonts w:cs="Arial"/>
        </w:rPr>
        <w:t>Die Herstellung der oben genannten End- und Zwischenprodukte, soweit diese in derselben Anlage hergestellt werden, durch Mischen von Pigmenten, Harzen und Klebstoffen mit organischen Lösungsmitteln oder anderen Trägerstoffen. Hierunter fallen auch das Dispergieren und das Prädispergieren, die Einstellung der Viskosität und der Tönung sowie die Abfüllung des Endprodukts in Behälter.</w:t>
      </w:r>
    </w:p>
    <w:p>
      <w:pPr>
        <w:pStyle w:val="GesAbsatz"/>
        <w:tabs>
          <w:tab w:val="clear" w:pos="425"/>
        </w:tabs>
        <w:ind w:left="567" w:hanging="567"/>
        <w:rPr>
          <w:rFonts w:cs="Arial"/>
          <w:b/>
        </w:rPr>
      </w:pPr>
      <w:r>
        <w:rPr>
          <w:rFonts w:cs="Arial"/>
          <w:b/>
        </w:rPr>
        <w:t>17.</w:t>
      </w:r>
      <w:r>
        <w:rPr>
          <w:rFonts w:cs="Arial"/>
          <w:b/>
        </w:rPr>
        <w:tab/>
        <w:t>Umwandlung von Kautschuk</w:t>
      </w:r>
    </w:p>
    <w:p>
      <w:pPr>
        <w:pStyle w:val="GesAbsatz"/>
        <w:tabs>
          <w:tab w:val="clear" w:pos="425"/>
        </w:tabs>
        <w:ind w:left="567"/>
        <w:rPr>
          <w:rFonts w:cs="Arial"/>
        </w:rPr>
      </w:pPr>
      <w:r>
        <w:rPr>
          <w:rFonts w:cs="Arial"/>
        </w:rPr>
        <w:t>Jede Tätigkeit des Mischens, Zerkleinerns, Kalandrierens, Extrudierens und Vulkanisierens natürlichen oder synthetischen Kautschuks und Hilfsverfahren zur Umwandlung von natürlichem oder synthetischem Kautschuk in ein Endprodukt.</w:t>
      </w:r>
    </w:p>
    <w:p>
      <w:pPr>
        <w:pStyle w:val="GesAbsatz"/>
        <w:tabs>
          <w:tab w:val="clear" w:pos="425"/>
        </w:tabs>
        <w:ind w:left="567" w:hanging="567"/>
        <w:rPr>
          <w:rFonts w:cs="Arial"/>
          <w:b/>
        </w:rPr>
      </w:pPr>
      <w:r>
        <w:rPr>
          <w:rFonts w:cs="Arial"/>
          <w:b/>
        </w:rPr>
        <w:t>18.</w:t>
      </w:r>
      <w:r>
        <w:rPr>
          <w:rFonts w:cs="Arial"/>
          <w:b/>
        </w:rPr>
        <w:tab/>
        <w:t>Extraktion von Pflanzenöl oder tierischem Fett sowie Raffination von Pflanzenöl</w:t>
      </w:r>
    </w:p>
    <w:p>
      <w:pPr>
        <w:pStyle w:val="GesAbsatz"/>
        <w:tabs>
          <w:tab w:val="clear" w:pos="425"/>
        </w:tabs>
        <w:ind w:left="567"/>
        <w:rPr>
          <w:rFonts w:cs="Arial"/>
        </w:rPr>
      </w:pPr>
      <w:r>
        <w:rPr>
          <w:rFonts w:cs="Arial"/>
        </w:rPr>
        <w:t>Jede Tätigkeit zur Extraktion von Pflanzenöl aus Samen oder sonstigen pflanzlichen Stoffen, die Verarbeitung von trockenen Rückständen zur Herstellung von Tierfutter, die Klärung von Fetten und Pflanzenölen, die aus Samen, pflanzlichem und/oder tierischem Material gewonnen wurden.</w:t>
      </w:r>
    </w:p>
    <w:p>
      <w:pPr>
        <w:pStyle w:val="GesAbsatz"/>
        <w:tabs>
          <w:tab w:val="clear" w:pos="425"/>
        </w:tabs>
        <w:ind w:left="567" w:hanging="567"/>
        <w:rPr>
          <w:rFonts w:cs="Arial"/>
          <w:b/>
        </w:rPr>
      </w:pPr>
      <w:r>
        <w:rPr>
          <w:rFonts w:cs="Arial"/>
          <w:b/>
        </w:rPr>
        <w:t>19.</w:t>
      </w:r>
      <w:r>
        <w:rPr>
          <w:rFonts w:cs="Arial"/>
          <w:b/>
        </w:rPr>
        <w:tab/>
        <w:t>Herstellung von Arzneimitteln</w:t>
      </w:r>
    </w:p>
    <w:p>
      <w:pPr>
        <w:pStyle w:val="GesAbsatz"/>
        <w:tabs>
          <w:tab w:val="clear" w:pos="425"/>
        </w:tabs>
        <w:ind w:left="567"/>
        <w:rPr>
          <w:rFonts w:cs="Arial"/>
        </w:rPr>
      </w:pPr>
      <w:r>
        <w:rPr>
          <w:rFonts w:cs="Arial"/>
        </w:rPr>
        <w:t>Die chemische Synthese, Fermentierung und Extraktion sowie die Formulierung und die Endfertigung von Arzneimitteln und, sofern an demselben Standort hergestellt, von Zwischenprodukten.</w:t>
      </w:r>
    </w:p>
    <w:p>
      <w:pPr>
        <w:pStyle w:val="GesAbsatz"/>
      </w:pPr>
    </w:p>
    <w:p>
      <w:pPr>
        <w:pStyle w:val="berschrift2"/>
        <w:jc w:val="left"/>
      </w:pPr>
      <w:bookmarkStart w:id="22" w:name="_Toc157672295"/>
      <w:r>
        <w:t>Anhang III</w:t>
      </w:r>
      <w:r>
        <w:br/>
        <w:t>(zu den §§ 3 und 4)</w:t>
      </w:r>
      <w:bookmarkEnd w:id="22"/>
    </w:p>
    <w:p>
      <w:pPr>
        <w:pStyle w:val="GesAbsatz"/>
        <w:tabs>
          <w:tab w:val="clear" w:pos="425"/>
          <w:tab w:val="left" w:pos="1134"/>
        </w:tabs>
        <w:ind w:left="1134" w:hanging="1134"/>
        <w:jc w:val="center"/>
        <w:rPr>
          <w:rFonts w:cs="Arial"/>
          <w:b/>
          <w:bCs/>
        </w:rPr>
      </w:pPr>
      <w:r>
        <w:rPr>
          <w:rFonts w:cs="Arial"/>
          <w:b/>
          <w:bCs/>
        </w:rPr>
        <w:t>Besondere Anforderungen</w:t>
      </w:r>
    </w:p>
    <w:p>
      <w:pPr>
        <w:pStyle w:val="GesAbsatz"/>
        <w:tabs>
          <w:tab w:val="clear" w:pos="425"/>
        </w:tabs>
        <w:ind w:left="709" w:hanging="709"/>
        <w:rPr>
          <w:rFonts w:cs="Arial"/>
          <w:b/>
        </w:rPr>
      </w:pPr>
      <w:r>
        <w:rPr>
          <w:rFonts w:cs="Arial"/>
          <w:b/>
        </w:rPr>
        <w:t>1</w:t>
      </w:r>
      <w:r>
        <w:rPr>
          <w:rFonts w:cs="Arial"/>
          <w:b/>
        </w:rPr>
        <w:tab/>
        <w:t>Reproduktion von Text oder von Bildern</w:t>
      </w:r>
    </w:p>
    <w:p>
      <w:pPr>
        <w:pStyle w:val="GesAbsatz"/>
        <w:tabs>
          <w:tab w:val="clear" w:pos="425"/>
        </w:tabs>
        <w:ind w:left="709" w:hanging="709"/>
        <w:rPr>
          <w:rFonts w:cs="Arial"/>
          <w:b/>
        </w:rPr>
      </w:pPr>
      <w:r>
        <w:rPr>
          <w:rFonts w:cs="Arial"/>
          <w:b/>
        </w:rPr>
        <w:t>1.1</w:t>
      </w:r>
      <w:r>
        <w:rPr>
          <w:rFonts w:cs="Arial"/>
          <w:b/>
        </w:rPr>
        <w:tab/>
        <w:t>Anlagen mit dem Heatset-Rollenoffset-Druckverfahren</w:t>
      </w:r>
    </w:p>
    <w:p>
      <w:pPr>
        <w:pStyle w:val="GesAbsatz"/>
        <w:tabs>
          <w:tab w:val="clear" w:pos="425"/>
        </w:tabs>
        <w:ind w:left="709" w:hanging="709"/>
        <w:rPr>
          <w:rFonts w:cs="Arial"/>
        </w:rPr>
      </w:pPr>
      <w:r>
        <w:rPr>
          <w:rFonts w:cs="Arial"/>
        </w:rPr>
        <w:t>1.1.1</w:t>
      </w:r>
      <w:r>
        <w:rPr>
          <w:rFonts w:cs="Arial"/>
        </w:rPr>
        <w:tab/>
        <w:t>Emissionsgrenzwerte für gefasste behandelte Abgase</w:t>
      </w:r>
    </w:p>
    <w:tbl>
      <w:tblPr>
        <w:tblW w:w="9747" w:type="dxa"/>
        <w:tblLayout w:type="fixed"/>
        <w:tblLook w:val="0000" w:firstRow="0" w:lastRow="0" w:firstColumn="0" w:lastColumn="0" w:noHBand="0" w:noVBand="0"/>
      </w:tblPr>
      <w:tblGrid>
        <w:gridCol w:w="1526"/>
        <w:gridCol w:w="1309"/>
        <w:gridCol w:w="250"/>
        <w:gridCol w:w="176"/>
        <w:gridCol w:w="6486"/>
      </w:tblGrid>
      <w:tr>
        <w:trPr>
          <w:cantSplit/>
          <w:trHeight w:val="446"/>
        </w:trPr>
        <w:tc>
          <w:tcPr>
            <w:tcW w:w="3085" w:type="dxa"/>
            <w:gridSpan w:val="3"/>
            <w:tcBorders>
              <w:top w:val="single" w:sz="6" w:space="0" w:color="000000"/>
            </w:tcBorders>
          </w:tcPr>
          <w:p>
            <w:pPr>
              <w:pStyle w:val="GesAbsatz"/>
              <w:tabs>
                <w:tab w:val="clear" w:pos="425"/>
              </w:tabs>
              <w:jc w:val="center"/>
              <w:rPr>
                <w:rFonts w:cs="Arial"/>
                <w:sz w:val="18"/>
                <w:szCs w:val="18"/>
              </w:rPr>
            </w:pPr>
            <w:r>
              <w:rPr>
                <w:rFonts w:cs="Arial"/>
                <w:sz w:val="18"/>
                <w:szCs w:val="18"/>
              </w:rPr>
              <w:lastRenderedPageBreak/>
              <w:t>Emissionsgrenzwert (mg C/m</w:t>
            </w:r>
            <w:r>
              <w:rPr>
                <w:rFonts w:cs="Arial"/>
                <w:sz w:val="18"/>
                <w:szCs w:val="18"/>
                <w:vertAlign w:val="superscript"/>
              </w:rPr>
              <w:t>3</w:t>
            </w:r>
            <w:r>
              <w:rPr>
                <w:rFonts w:cs="Arial"/>
                <w:sz w:val="18"/>
                <w:szCs w:val="18"/>
              </w:rPr>
              <w:t>)</w:t>
            </w:r>
            <w:r>
              <w:rPr>
                <w:rFonts w:cs="Arial"/>
                <w:sz w:val="18"/>
                <w:szCs w:val="18"/>
              </w:rPr>
              <w:br/>
              <w:t>Lösungsmittelverbrauch (t/a)</w:t>
            </w:r>
          </w:p>
        </w:tc>
        <w:tc>
          <w:tcPr>
            <w:tcW w:w="6662" w:type="dxa"/>
            <w:gridSpan w:val="2"/>
            <w:vMerge w:val="restart"/>
            <w:tcBorders>
              <w:top w:val="single" w:sz="6" w:space="0" w:color="000000"/>
            </w:tcBorders>
            <w:vAlign w:val="center"/>
          </w:tcPr>
          <w:p>
            <w:pPr>
              <w:pStyle w:val="GesAbsatz"/>
              <w:tabs>
                <w:tab w:val="clear" w:pos="425"/>
                <w:tab w:val="left" w:pos="1134"/>
              </w:tabs>
              <w:ind w:left="1134" w:hanging="1134"/>
              <w:jc w:val="center"/>
              <w:rPr>
                <w:rFonts w:cs="Arial"/>
                <w:sz w:val="18"/>
                <w:szCs w:val="18"/>
              </w:rPr>
            </w:pPr>
            <w:r>
              <w:rPr>
                <w:rFonts w:cs="Arial"/>
                <w:sz w:val="18"/>
                <w:szCs w:val="18"/>
              </w:rPr>
              <w:t>Bemerkungen</w:t>
            </w:r>
          </w:p>
        </w:tc>
      </w:tr>
      <w:tr>
        <w:trPr>
          <w:cantSplit/>
          <w:trHeight w:val="143"/>
        </w:trPr>
        <w:tc>
          <w:tcPr>
            <w:tcW w:w="1526" w:type="dxa"/>
            <w:tcBorders>
              <w:bottom w:val="single" w:sz="4" w:space="0" w:color="auto"/>
            </w:tcBorders>
          </w:tcPr>
          <w:p>
            <w:pPr>
              <w:pStyle w:val="GesAbsatz"/>
              <w:tabs>
                <w:tab w:val="clear" w:pos="425"/>
                <w:tab w:val="left" w:pos="1134"/>
              </w:tabs>
              <w:ind w:left="1134" w:hanging="1134"/>
              <w:jc w:val="center"/>
              <w:rPr>
                <w:rFonts w:cs="Arial"/>
                <w:sz w:val="18"/>
                <w:szCs w:val="18"/>
              </w:rPr>
            </w:pPr>
            <w:r>
              <w:rPr>
                <w:rFonts w:cs="Arial"/>
                <w:sz w:val="18"/>
                <w:szCs w:val="18"/>
              </w:rPr>
              <w:t>&gt; 15 - 25</w:t>
            </w:r>
          </w:p>
        </w:tc>
        <w:tc>
          <w:tcPr>
            <w:tcW w:w="1559" w:type="dxa"/>
            <w:gridSpan w:val="2"/>
            <w:tcBorders>
              <w:bottom w:val="single" w:sz="4" w:space="0" w:color="auto"/>
            </w:tcBorders>
          </w:tcPr>
          <w:p>
            <w:pPr>
              <w:pStyle w:val="GesAbsatz"/>
              <w:tabs>
                <w:tab w:val="clear" w:pos="425"/>
                <w:tab w:val="left" w:pos="1134"/>
              </w:tabs>
              <w:ind w:left="1134" w:hanging="1134"/>
              <w:jc w:val="center"/>
              <w:rPr>
                <w:rFonts w:cs="Arial"/>
                <w:sz w:val="18"/>
                <w:szCs w:val="18"/>
              </w:rPr>
            </w:pPr>
            <w:r>
              <w:rPr>
                <w:rFonts w:cs="Arial"/>
                <w:sz w:val="18"/>
                <w:szCs w:val="18"/>
              </w:rPr>
              <w:t>&gt; 25</w:t>
            </w:r>
          </w:p>
        </w:tc>
        <w:tc>
          <w:tcPr>
            <w:tcW w:w="6662" w:type="dxa"/>
            <w:gridSpan w:val="2"/>
            <w:vMerge/>
            <w:tcBorders>
              <w:bottom w:val="single" w:sz="4" w:space="0" w:color="auto"/>
            </w:tcBorders>
          </w:tcPr>
          <w:p>
            <w:pPr>
              <w:pStyle w:val="GesAbsatz"/>
              <w:tabs>
                <w:tab w:val="clear" w:pos="425"/>
                <w:tab w:val="left" w:pos="1134"/>
              </w:tabs>
              <w:ind w:left="1134" w:hanging="1134"/>
              <w:jc w:val="left"/>
              <w:rPr>
                <w:rFonts w:cs="Arial"/>
                <w:color w:val="auto"/>
                <w:sz w:val="18"/>
                <w:szCs w:val="18"/>
              </w:rPr>
            </w:pPr>
          </w:p>
        </w:tc>
      </w:tr>
      <w:tr>
        <w:trPr>
          <w:trHeight w:val="346"/>
        </w:trPr>
        <w:tc>
          <w:tcPr>
            <w:tcW w:w="1526" w:type="dxa"/>
            <w:vMerge w:val="restart"/>
            <w:tcBorders>
              <w:top w:val="single" w:sz="4" w:space="0" w:color="auto"/>
            </w:tcBorders>
          </w:tcPr>
          <w:p>
            <w:pPr>
              <w:pStyle w:val="GesAbsatz"/>
              <w:tabs>
                <w:tab w:val="clear" w:pos="425"/>
              </w:tabs>
              <w:jc w:val="center"/>
              <w:rPr>
                <w:rFonts w:cs="Arial"/>
                <w:sz w:val="18"/>
                <w:szCs w:val="18"/>
              </w:rPr>
            </w:pPr>
            <w:r>
              <w:rPr>
                <w:rFonts w:cs="Arial"/>
                <w:sz w:val="18"/>
                <w:szCs w:val="18"/>
              </w:rPr>
              <w:t>50</w:t>
            </w:r>
            <w:r>
              <w:rPr>
                <w:rFonts w:cs="Arial"/>
                <w:sz w:val="18"/>
                <w:szCs w:val="18"/>
              </w:rPr>
              <w:br/>
              <w:t>20</w:t>
            </w:r>
            <w:r>
              <w:rPr>
                <w:rFonts w:cs="Arial"/>
                <w:sz w:val="18"/>
                <w:szCs w:val="18"/>
                <w:vertAlign w:val="superscript"/>
              </w:rPr>
              <w:t>1</w:t>
            </w:r>
          </w:p>
        </w:tc>
        <w:tc>
          <w:tcPr>
            <w:tcW w:w="1309" w:type="dxa"/>
            <w:vMerge w:val="restart"/>
            <w:tcBorders>
              <w:top w:val="single" w:sz="4" w:space="0" w:color="auto"/>
            </w:tcBorders>
          </w:tcPr>
          <w:p>
            <w:pPr>
              <w:pStyle w:val="GesAbsatz"/>
              <w:tabs>
                <w:tab w:val="clear" w:pos="425"/>
              </w:tabs>
              <w:jc w:val="center"/>
              <w:rPr>
                <w:rFonts w:cs="Arial"/>
                <w:sz w:val="18"/>
                <w:szCs w:val="18"/>
              </w:rPr>
            </w:pPr>
            <w:r>
              <w:rPr>
                <w:rFonts w:cs="Arial"/>
                <w:sz w:val="18"/>
                <w:szCs w:val="18"/>
              </w:rPr>
              <w:t>20</w:t>
            </w:r>
            <w:r>
              <w:rPr>
                <w:rFonts w:cs="Arial"/>
                <w:sz w:val="18"/>
                <w:szCs w:val="18"/>
              </w:rPr>
              <w:br/>
              <w:t>15</w:t>
            </w:r>
            <w:r>
              <w:rPr>
                <w:rFonts w:cs="Arial"/>
                <w:sz w:val="18"/>
                <w:szCs w:val="18"/>
                <w:vertAlign w:val="superscript"/>
              </w:rPr>
              <w:t>2</w:t>
            </w:r>
          </w:p>
        </w:tc>
        <w:tc>
          <w:tcPr>
            <w:tcW w:w="426" w:type="dxa"/>
            <w:gridSpan w:val="2"/>
            <w:tcBorders>
              <w:top w:val="single" w:sz="4" w:space="0" w:color="auto"/>
            </w:tcBorders>
          </w:tcPr>
          <w:p>
            <w:pPr>
              <w:pStyle w:val="GesAbsatz"/>
              <w:jc w:val="right"/>
              <w:rPr>
                <w:rFonts w:cs="Arial"/>
                <w:sz w:val="18"/>
                <w:szCs w:val="18"/>
                <w:vertAlign w:val="superscript"/>
              </w:rPr>
            </w:pPr>
            <w:r>
              <w:rPr>
                <w:rFonts w:cs="Arial"/>
                <w:sz w:val="18"/>
                <w:szCs w:val="18"/>
                <w:vertAlign w:val="superscript"/>
              </w:rPr>
              <w:t>1</w:t>
            </w:r>
          </w:p>
        </w:tc>
        <w:tc>
          <w:tcPr>
            <w:tcW w:w="6486" w:type="dxa"/>
            <w:tcBorders>
              <w:top w:val="single" w:sz="4" w:space="0" w:color="auto"/>
            </w:tcBorders>
          </w:tcPr>
          <w:p>
            <w:pPr>
              <w:pStyle w:val="GesAbsatz"/>
              <w:tabs>
                <w:tab w:val="clear" w:pos="425"/>
              </w:tabs>
              <w:ind w:left="13" w:hanging="13"/>
              <w:jc w:val="left"/>
              <w:rPr>
                <w:rFonts w:cs="Arial"/>
                <w:sz w:val="16"/>
                <w:szCs w:val="16"/>
              </w:rPr>
            </w:pPr>
            <w:r>
              <w:rPr>
                <w:rFonts w:cs="Arial"/>
                <w:sz w:val="16"/>
                <w:szCs w:val="16"/>
              </w:rPr>
              <w:t>Bei Anwendung von Abgasreinigungseinrichtungen mit thermischer Nachverbrennung.</w:t>
            </w:r>
          </w:p>
        </w:tc>
      </w:tr>
      <w:tr>
        <w:trPr>
          <w:trHeight w:val="346"/>
        </w:trPr>
        <w:tc>
          <w:tcPr>
            <w:tcW w:w="1526" w:type="dxa"/>
            <w:vMerge/>
          </w:tcPr>
          <w:p>
            <w:pPr>
              <w:pStyle w:val="GesAbsatz"/>
              <w:tabs>
                <w:tab w:val="clear" w:pos="425"/>
              </w:tabs>
              <w:jc w:val="center"/>
              <w:rPr>
                <w:rFonts w:cs="Arial"/>
                <w:sz w:val="18"/>
                <w:szCs w:val="18"/>
              </w:rPr>
            </w:pPr>
          </w:p>
        </w:tc>
        <w:tc>
          <w:tcPr>
            <w:tcW w:w="1309" w:type="dxa"/>
            <w:vMerge/>
          </w:tcPr>
          <w:p>
            <w:pPr>
              <w:pStyle w:val="GesAbsatz"/>
              <w:tabs>
                <w:tab w:val="clear" w:pos="425"/>
              </w:tabs>
              <w:jc w:val="center"/>
              <w:rPr>
                <w:rFonts w:cs="Arial"/>
                <w:sz w:val="18"/>
                <w:szCs w:val="18"/>
              </w:rPr>
            </w:pPr>
          </w:p>
        </w:tc>
        <w:tc>
          <w:tcPr>
            <w:tcW w:w="426" w:type="dxa"/>
            <w:gridSpan w:val="2"/>
          </w:tcPr>
          <w:p>
            <w:pPr>
              <w:pStyle w:val="GesAbsatz"/>
              <w:jc w:val="right"/>
              <w:rPr>
                <w:rFonts w:cs="Arial"/>
                <w:sz w:val="18"/>
                <w:szCs w:val="18"/>
                <w:vertAlign w:val="superscript"/>
              </w:rPr>
            </w:pPr>
            <w:r>
              <w:rPr>
                <w:rFonts w:cs="Arial"/>
                <w:sz w:val="18"/>
                <w:szCs w:val="18"/>
                <w:vertAlign w:val="superscript"/>
              </w:rPr>
              <w:t>2</w:t>
            </w:r>
          </w:p>
        </w:tc>
        <w:tc>
          <w:tcPr>
            <w:tcW w:w="6486" w:type="dxa"/>
          </w:tcPr>
          <w:p>
            <w:pPr>
              <w:pStyle w:val="GesAbsatz"/>
              <w:tabs>
                <w:tab w:val="clear" w:pos="425"/>
              </w:tabs>
              <w:ind w:left="13" w:hanging="13"/>
              <w:jc w:val="left"/>
              <w:rPr>
                <w:rFonts w:cs="Arial"/>
                <w:sz w:val="16"/>
                <w:szCs w:val="16"/>
              </w:rPr>
            </w:pPr>
            <w:r>
              <w:rPr>
                <w:rFonts w:cs="Arial"/>
                <w:sz w:val="16"/>
                <w:szCs w:val="16"/>
              </w:rPr>
              <w:t>Bei Anlagen der Richtlinie 2010/75/EU.</w:t>
            </w:r>
          </w:p>
        </w:tc>
      </w:tr>
    </w:tbl>
    <w:p>
      <w:pPr>
        <w:pStyle w:val="GesAbsatz"/>
        <w:tabs>
          <w:tab w:val="clear" w:pos="425"/>
        </w:tabs>
        <w:ind w:left="709" w:hanging="709"/>
        <w:rPr>
          <w:rFonts w:cs="Arial"/>
        </w:rPr>
      </w:pPr>
      <w:r>
        <w:rPr>
          <w:rFonts w:cs="Arial"/>
        </w:rPr>
        <w:t>1.1.2</w:t>
      </w:r>
      <w:r>
        <w:rPr>
          <w:rFonts w:cs="Arial"/>
        </w:rPr>
        <w:tab/>
        <w:t>Grenzwert für diffuse Emissionen</w:t>
      </w:r>
    </w:p>
    <w:p>
      <w:pPr>
        <w:pStyle w:val="GesAbsatz"/>
        <w:tabs>
          <w:tab w:val="clear" w:pos="425"/>
        </w:tabs>
        <w:ind w:left="709"/>
        <w:rPr>
          <w:rFonts w:cs="Arial"/>
        </w:rPr>
      </w:pPr>
      <w:r>
        <w:rPr>
          <w:rFonts w:cs="Arial"/>
        </w:rPr>
        <w:t>Der Grenzwert für diffuse Emissionen beträgt 30 Prozent der eingesetzten Lösungsmittel. Bei Anlagen der Richtlinie 2010/75/EU beträgt der Grenzwert 10 Prozent der eingesetzten Lösungsmittel.</w:t>
      </w:r>
    </w:p>
    <w:p>
      <w:pPr>
        <w:pStyle w:val="GesAbsatz"/>
        <w:tabs>
          <w:tab w:val="clear" w:pos="425"/>
        </w:tabs>
        <w:ind w:left="709"/>
        <w:rPr>
          <w:rFonts w:cs="Arial"/>
        </w:rPr>
      </w:pPr>
      <w:r>
        <w:rPr>
          <w:rFonts w:cs="Arial"/>
        </w:rPr>
        <w:t>Flüchtige organische Verbindungen, die in gefassten unbehandelten Abgasen enthalten sind, zählen zu den diffusen Emissionen. Der Lösungsmittelrückstand im Endprodukt gilt nicht als Teil der diffusen Emissionen.</w:t>
      </w:r>
    </w:p>
    <w:p>
      <w:pPr>
        <w:pStyle w:val="GesAbsatz"/>
        <w:tabs>
          <w:tab w:val="clear" w:pos="425"/>
        </w:tabs>
        <w:ind w:left="709" w:hanging="709"/>
        <w:rPr>
          <w:rFonts w:cs="Arial"/>
        </w:rPr>
      </w:pPr>
      <w:r>
        <w:rPr>
          <w:rFonts w:cs="Arial"/>
        </w:rPr>
        <w:t>1.1.3</w:t>
      </w:r>
      <w:r>
        <w:rPr>
          <w:rFonts w:cs="Arial"/>
        </w:rPr>
        <w:tab/>
        <w:t>Besondere Anforderungen</w:t>
      </w:r>
    </w:p>
    <w:p>
      <w:pPr>
        <w:pStyle w:val="GesAbsatz"/>
        <w:tabs>
          <w:tab w:val="clear" w:pos="425"/>
        </w:tabs>
        <w:ind w:left="709"/>
        <w:rPr>
          <w:rFonts w:cs="Arial"/>
        </w:rPr>
      </w:pPr>
      <w:r>
        <w:rPr>
          <w:rFonts w:cs="Arial"/>
        </w:rPr>
        <w:t>Der im Feuchtmittel enthaltene Massengehalt an Isopropanol darf 5 Prozent nicht überschreiten. Die Möglichkeiten, den Massengehalt an Isopropanol nach dem Stand der Technik unter 5 Prozent zu senken, sind auszuschöpfen.</w:t>
      </w:r>
    </w:p>
    <w:p>
      <w:pPr>
        <w:pStyle w:val="GesAbsatz"/>
        <w:tabs>
          <w:tab w:val="clear" w:pos="425"/>
        </w:tabs>
        <w:ind w:left="709" w:hanging="709"/>
        <w:rPr>
          <w:rFonts w:cs="Arial"/>
        </w:rPr>
      </w:pPr>
      <w:r>
        <w:rPr>
          <w:rFonts w:cs="Arial"/>
        </w:rPr>
        <w:t>1.1.4</w:t>
      </w:r>
      <w:r>
        <w:rPr>
          <w:rFonts w:cs="Arial"/>
        </w:rPr>
        <w:tab/>
        <w:t>Zusätzlich gilt für Anlagen der Richtlinie 2010/75/EU ein Gesamtemissionsgrenzwert von 0,04 kg VOC/kg eingesetzter Druckfarbe.</w:t>
      </w:r>
    </w:p>
    <w:p>
      <w:pPr>
        <w:pStyle w:val="GesAbsatz"/>
        <w:tabs>
          <w:tab w:val="clear" w:pos="425"/>
        </w:tabs>
        <w:ind w:left="709" w:hanging="709"/>
        <w:rPr>
          <w:rFonts w:cs="Arial"/>
          <w:b/>
        </w:rPr>
      </w:pPr>
      <w:r>
        <w:rPr>
          <w:rFonts w:cs="Arial"/>
          <w:b/>
        </w:rPr>
        <w:t>1.2</w:t>
      </w:r>
      <w:r>
        <w:rPr>
          <w:rFonts w:cs="Arial"/>
          <w:b/>
        </w:rPr>
        <w:tab/>
        <w:t>Anlagen mit dem Illustrationstiefdruckverfahren</w:t>
      </w:r>
    </w:p>
    <w:p>
      <w:pPr>
        <w:pStyle w:val="GesAbsatz"/>
        <w:tabs>
          <w:tab w:val="clear" w:pos="425"/>
        </w:tabs>
        <w:ind w:left="709"/>
        <w:rPr>
          <w:rFonts w:cs="Arial"/>
        </w:rPr>
      </w:pPr>
      <w:r>
        <w:rPr>
          <w:rFonts w:cs="Arial"/>
        </w:rPr>
        <w:t>Zur Verringerung der VOC-Emissionen aus dem Illustrationstiefdruck können ein Toluol- Rückgewinnungssystem auf der Grundlage der Adsorption und weitere geeignete Verfahren eingesetzt werden.</w:t>
      </w:r>
    </w:p>
    <w:p>
      <w:pPr>
        <w:pStyle w:val="GesAbsatz"/>
        <w:tabs>
          <w:tab w:val="clear" w:pos="425"/>
        </w:tabs>
        <w:ind w:left="709" w:hanging="709"/>
        <w:rPr>
          <w:rFonts w:cs="Arial"/>
        </w:rPr>
      </w:pPr>
      <w:r>
        <w:rPr>
          <w:rFonts w:cs="Arial"/>
        </w:rPr>
        <w:t>1.2.1</w:t>
      </w:r>
      <w:r>
        <w:rPr>
          <w:rFonts w:cs="Arial"/>
        </w:rPr>
        <w:tab/>
        <w:t>Emissionsgrenzwert für gefasste Abgase</w:t>
      </w:r>
    </w:p>
    <w:p>
      <w:pPr>
        <w:pStyle w:val="GesAbsatz"/>
        <w:tabs>
          <w:tab w:val="clear" w:pos="425"/>
        </w:tabs>
        <w:ind w:left="709"/>
        <w:rPr>
          <w:rFonts w:cs="Arial"/>
        </w:rPr>
      </w:pPr>
      <w:r>
        <w:rPr>
          <w:rFonts w:cs="Arial"/>
        </w:rPr>
        <w:t>Der Emissionsgrenzwert für gefasste Abgase beträgt 20 mg C/m</w:t>
      </w:r>
      <w:r>
        <w:rPr>
          <w:rFonts w:cs="Arial"/>
          <w:vertAlign w:val="superscript"/>
        </w:rPr>
        <w:t>3</w:t>
      </w:r>
      <w:r>
        <w:rPr>
          <w:rFonts w:cs="Arial"/>
        </w:rPr>
        <w:t>.</w:t>
      </w:r>
    </w:p>
    <w:p>
      <w:pPr>
        <w:pStyle w:val="GesAbsatz"/>
        <w:tabs>
          <w:tab w:val="clear" w:pos="425"/>
        </w:tabs>
        <w:ind w:left="709" w:hanging="709"/>
        <w:rPr>
          <w:rFonts w:cs="Arial"/>
        </w:rPr>
      </w:pPr>
      <w:r>
        <w:rPr>
          <w:rFonts w:cs="Arial"/>
        </w:rPr>
        <w:t>1.2.2</w:t>
      </w:r>
      <w:r>
        <w:rPr>
          <w:rFonts w:cs="Arial"/>
        </w:rPr>
        <w:tab/>
        <w:t>Grenzwert für die Gesamtemissionen</w:t>
      </w:r>
    </w:p>
    <w:p>
      <w:pPr>
        <w:pStyle w:val="GesAbsatz"/>
        <w:tabs>
          <w:tab w:val="clear" w:pos="425"/>
        </w:tabs>
        <w:ind w:left="709"/>
        <w:rPr>
          <w:rFonts w:cs="Arial"/>
        </w:rPr>
      </w:pPr>
      <w:r>
        <w:rPr>
          <w:rFonts w:cs="Arial"/>
        </w:rPr>
        <w:t>Der Grenzwert für die Gesamtemissionen beträgt 5 Gewichtsprozente vom eingesetzten Lösungsmittel.</w:t>
      </w:r>
    </w:p>
    <w:p>
      <w:pPr>
        <w:pStyle w:val="GesAbsatz"/>
        <w:tabs>
          <w:tab w:val="clear" w:pos="425"/>
        </w:tabs>
        <w:ind w:left="709" w:hanging="709"/>
        <w:rPr>
          <w:rFonts w:cs="Arial"/>
        </w:rPr>
      </w:pPr>
      <w:r>
        <w:rPr>
          <w:rFonts w:cs="Arial"/>
        </w:rPr>
        <w:t>1.2.3</w:t>
      </w:r>
      <w:r>
        <w:rPr>
          <w:rFonts w:cs="Arial"/>
        </w:rPr>
        <w:tab/>
        <w:t>Grenzwert für diffuse Emissionen</w:t>
      </w:r>
    </w:p>
    <w:p>
      <w:pPr>
        <w:pStyle w:val="GesAbsatz"/>
        <w:tabs>
          <w:tab w:val="clear" w:pos="425"/>
        </w:tabs>
        <w:ind w:left="709"/>
        <w:rPr>
          <w:rFonts w:cs="Arial"/>
        </w:rPr>
      </w:pPr>
      <w:r>
        <w:rPr>
          <w:rFonts w:cs="Arial"/>
        </w:rPr>
        <w:t>Für Anlagen der Richtlinie 2010/75/EU beträgt der Grenzwert für diffuse Emissionen &lt; 2,5 Prozent der eingesetzten Lösungsmittel.</w:t>
      </w:r>
    </w:p>
    <w:p>
      <w:pPr>
        <w:pStyle w:val="GesAbsatz"/>
        <w:tabs>
          <w:tab w:val="clear" w:pos="425"/>
        </w:tabs>
        <w:ind w:left="709" w:hanging="709"/>
        <w:rPr>
          <w:rFonts w:cs="Arial"/>
          <w:b/>
        </w:rPr>
      </w:pPr>
      <w:r>
        <w:rPr>
          <w:rFonts w:cs="Arial"/>
          <w:b/>
        </w:rPr>
        <w:t>1.3</w:t>
      </w:r>
      <w:r>
        <w:rPr>
          <w:rFonts w:cs="Arial"/>
          <w:b/>
        </w:rPr>
        <w:tab/>
        <w:t>Anlagen für sonstige Drucktätigkeiten</w:t>
      </w:r>
    </w:p>
    <w:p>
      <w:pPr>
        <w:pStyle w:val="GesAbsatz"/>
        <w:tabs>
          <w:tab w:val="clear" w:pos="425"/>
        </w:tabs>
        <w:ind w:left="709" w:hanging="709"/>
        <w:rPr>
          <w:rFonts w:cs="Arial"/>
        </w:rPr>
      </w:pPr>
      <w:r>
        <w:rPr>
          <w:rFonts w:cs="Arial"/>
        </w:rPr>
        <w:t>1.3.1</w:t>
      </w:r>
      <w:r>
        <w:rPr>
          <w:rFonts w:cs="Arial"/>
        </w:rPr>
        <w:tab/>
        <w:t>Emissionsgrenzwerte für gefasste behandelte Abgase</w:t>
      </w:r>
    </w:p>
    <w:tbl>
      <w:tblPr>
        <w:tblW w:w="9747" w:type="dxa"/>
        <w:tblLayout w:type="fixed"/>
        <w:tblLook w:val="0000" w:firstRow="0" w:lastRow="0" w:firstColumn="0" w:lastColumn="0" w:noHBand="0" w:noVBand="0"/>
      </w:tblPr>
      <w:tblGrid>
        <w:gridCol w:w="2835"/>
        <w:gridCol w:w="250"/>
        <w:gridCol w:w="176"/>
        <w:gridCol w:w="6486"/>
      </w:tblGrid>
      <w:tr>
        <w:trPr>
          <w:trHeight w:val="378"/>
        </w:trPr>
        <w:tc>
          <w:tcPr>
            <w:tcW w:w="3085" w:type="dxa"/>
            <w:gridSpan w:val="2"/>
            <w:tcBorders>
              <w:top w:val="single" w:sz="6" w:space="0" w:color="000000"/>
              <w:bottom w:val="single" w:sz="4" w:space="0" w:color="auto"/>
            </w:tcBorders>
          </w:tcPr>
          <w:p>
            <w:pPr>
              <w:pStyle w:val="GesAbsatz"/>
              <w:jc w:val="center"/>
              <w:rPr>
                <w:rFonts w:cs="Arial"/>
                <w:sz w:val="18"/>
                <w:szCs w:val="18"/>
              </w:rPr>
            </w:pPr>
            <w:r>
              <w:rPr>
                <w:rFonts w:cs="Arial"/>
                <w:sz w:val="18"/>
                <w:szCs w:val="18"/>
              </w:rPr>
              <w:t>Emissionsgrenzwert (mg C/m</w:t>
            </w:r>
            <w:r>
              <w:rPr>
                <w:rFonts w:cs="Arial"/>
                <w:sz w:val="18"/>
                <w:szCs w:val="18"/>
                <w:vertAlign w:val="superscript"/>
              </w:rPr>
              <w:t>3</w:t>
            </w:r>
            <w:r>
              <w:rPr>
                <w:rFonts w:cs="Arial"/>
                <w:sz w:val="18"/>
                <w:szCs w:val="18"/>
              </w:rPr>
              <w:t>)</w:t>
            </w:r>
          </w:p>
        </w:tc>
        <w:tc>
          <w:tcPr>
            <w:tcW w:w="6662" w:type="dxa"/>
            <w:gridSpan w:val="2"/>
            <w:tcBorders>
              <w:top w:val="single" w:sz="6" w:space="0" w:color="000000"/>
              <w:bottom w:val="single" w:sz="4" w:space="0" w:color="auto"/>
            </w:tcBorders>
          </w:tcPr>
          <w:p>
            <w:pPr>
              <w:pStyle w:val="GesAbsatz"/>
              <w:jc w:val="center"/>
              <w:rPr>
                <w:rFonts w:cs="Arial"/>
                <w:sz w:val="18"/>
                <w:szCs w:val="18"/>
              </w:rPr>
            </w:pPr>
            <w:r>
              <w:rPr>
                <w:rFonts w:cs="Arial"/>
                <w:sz w:val="18"/>
                <w:szCs w:val="18"/>
              </w:rPr>
              <w:t>Bemerkungen</w:t>
            </w:r>
          </w:p>
        </w:tc>
      </w:tr>
      <w:tr>
        <w:trPr>
          <w:cantSplit/>
          <w:trHeight w:val="1003"/>
        </w:trPr>
        <w:tc>
          <w:tcPr>
            <w:tcW w:w="2835" w:type="dxa"/>
            <w:vMerge w:val="restart"/>
            <w:tcBorders>
              <w:top w:val="single" w:sz="4" w:space="0" w:color="auto"/>
            </w:tcBorders>
          </w:tcPr>
          <w:p>
            <w:pPr>
              <w:pStyle w:val="GesAbsatz"/>
              <w:jc w:val="center"/>
              <w:rPr>
                <w:rFonts w:cs="Arial"/>
                <w:sz w:val="18"/>
                <w:szCs w:val="18"/>
              </w:rPr>
            </w:pPr>
            <w:r>
              <w:rPr>
                <w:rFonts w:cs="Arial"/>
                <w:sz w:val="18"/>
                <w:szCs w:val="18"/>
              </w:rPr>
              <w:t>50</w:t>
            </w:r>
            <w:r>
              <w:rPr>
                <w:rFonts w:cs="Arial"/>
                <w:sz w:val="18"/>
                <w:szCs w:val="18"/>
              </w:rPr>
              <w:br/>
              <w:t>20</w:t>
            </w:r>
            <w:r>
              <w:rPr>
                <w:rFonts w:cs="Arial"/>
                <w:sz w:val="18"/>
                <w:szCs w:val="18"/>
                <w:vertAlign w:val="superscript"/>
              </w:rPr>
              <w:t>1</w:t>
            </w:r>
            <w:r>
              <w:rPr>
                <w:rFonts w:cs="Arial"/>
                <w:sz w:val="18"/>
                <w:szCs w:val="18"/>
                <w:vertAlign w:val="superscript"/>
              </w:rPr>
              <w:br/>
            </w:r>
            <w:r>
              <w:rPr>
                <w:rFonts w:cs="Arial"/>
                <w:sz w:val="18"/>
                <w:szCs w:val="18"/>
              </w:rPr>
              <w:t>50</w:t>
            </w:r>
            <w:r>
              <w:rPr>
                <w:rFonts w:cs="Arial"/>
                <w:sz w:val="18"/>
                <w:szCs w:val="18"/>
                <w:vertAlign w:val="superscript"/>
              </w:rPr>
              <w:t>2, 3</w:t>
            </w:r>
            <w:r>
              <w:rPr>
                <w:rFonts w:cs="Arial"/>
                <w:sz w:val="18"/>
                <w:szCs w:val="18"/>
                <w:vertAlign w:val="superscript"/>
              </w:rPr>
              <w:br/>
            </w:r>
            <w:r>
              <w:rPr>
                <w:rFonts w:cs="Arial"/>
                <w:sz w:val="18"/>
                <w:szCs w:val="18"/>
              </w:rPr>
              <w:t>90</w:t>
            </w:r>
            <w:r>
              <w:rPr>
                <w:rFonts w:cs="Arial"/>
                <w:sz w:val="18"/>
                <w:szCs w:val="18"/>
                <w:vertAlign w:val="superscript"/>
              </w:rPr>
              <w:t>4</w:t>
            </w:r>
          </w:p>
        </w:tc>
        <w:tc>
          <w:tcPr>
            <w:tcW w:w="426" w:type="dxa"/>
            <w:gridSpan w:val="2"/>
            <w:tcBorders>
              <w:top w:val="single" w:sz="4" w:space="0" w:color="auto"/>
            </w:tcBorders>
          </w:tcPr>
          <w:p>
            <w:pPr>
              <w:pStyle w:val="GesAbsatz"/>
              <w:jc w:val="right"/>
              <w:rPr>
                <w:rFonts w:cs="Arial"/>
                <w:sz w:val="18"/>
                <w:szCs w:val="18"/>
                <w:vertAlign w:val="superscript"/>
              </w:rPr>
            </w:pPr>
            <w:r>
              <w:rPr>
                <w:rFonts w:cs="Arial"/>
                <w:sz w:val="18"/>
                <w:szCs w:val="18"/>
                <w:vertAlign w:val="superscript"/>
              </w:rPr>
              <w:t>1</w:t>
            </w:r>
          </w:p>
        </w:tc>
        <w:tc>
          <w:tcPr>
            <w:tcW w:w="6486" w:type="dxa"/>
            <w:tcBorders>
              <w:top w:val="single" w:sz="4" w:space="0" w:color="auto"/>
            </w:tcBorders>
          </w:tcPr>
          <w:p>
            <w:pPr>
              <w:pStyle w:val="GesAbsatz"/>
              <w:tabs>
                <w:tab w:val="clear" w:pos="425"/>
                <w:tab w:val="left" w:pos="208"/>
              </w:tabs>
              <w:jc w:val="left"/>
              <w:rPr>
                <w:rFonts w:cs="Arial"/>
                <w:sz w:val="18"/>
                <w:szCs w:val="18"/>
              </w:rPr>
            </w:pPr>
            <w:r>
              <w:rPr>
                <w:rFonts w:cs="Arial"/>
                <w:sz w:val="18"/>
                <w:szCs w:val="18"/>
              </w:rPr>
              <w:t>Bei Anlagen der Richtlinie 2010/75/EU; bei anderen Anlagen bei Anwendung von Abgasreinigungseinrichtungen mit thermischer Nachverbrennung.2) Bei Anwendung von Abgasreinigungseinrichtungen, die auf der Basis biologischer Prozesse arbeiten</w:t>
            </w:r>
          </w:p>
        </w:tc>
      </w:tr>
      <w:tr>
        <w:trPr>
          <w:cantSplit/>
          <w:trHeight w:val="271"/>
        </w:trPr>
        <w:tc>
          <w:tcPr>
            <w:tcW w:w="2835" w:type="dxa"/>
            <w:vMerge/>
          </w:tcPr>
          <w:p>
            <w:pPr>
              <w:pStyle w:val="GesAbsatz"/>
              <w:jc w:val="center"/>
              <w:rPr>
                <w:rFonts w:cs="Arial"/>
                <w:sz w:val="18"/>
                <w:szCs w:val="18"/>
              </w:rPr>
            </w:pPr>
          </w:p>
        </w:tc>
        <w:tc>
          <w:tcPr>
            <w:tcW w:w="426" w:type="dxa"/>
            <w:gridSpan w:val="2"/>
          </w:tcPr>
          <w:p>
            <w:pPr>
              <w:pStyle w:val="GesAbsatz"/>
              <w:jc w:val="right"/>
              <w:rPr>
                <w:rFonts w:cs="Arial"/>
                <w:sz w:val="18"/>
                <w:szCs w:val="18"/>
                <w:vertAlign w:val="superscript"/>
              </w:rPr>
            </w:pPr>
            <w:r>
              <w:rPr>
                <w:rFonts w:cs="Arial"/>
                <w:sz w:val="18"/>
                <w:szCs w:val="18"/>
                <w:vertAlign w:val="superscript"/>
              </w:rPr>
              <w:t>2</w:t>
            </w:r>
          </w:p>
        </w:tc>
        <w:tc>
          <w:tcPr>
            <w:tcW w:w="6486" w:type="dxa"/>
          </w:tcPr>
          <w:p>
            <w:pPr>
              <w:pStyle w:val="GesAbsatz"/>
              <w:jc w:val="left"/>
              <w:rPr>
                <w:rFonts w:cs="Arial"/>
                <w:sz w:val="18"/>
                <w:szCs w:val="18"/>
              </w:rPr>
            </w:pPr>
            <w:r>
              <w:rPr>
                <w:rFonts w:cs="Arial"/>
                <w:sz w:val="18"/>
                <w:szCs w:val="18"/>
              </w:rPr>
              <w:t>Bei Anlagen der Richtlinie 2010/75/EU: Bei Anwendung von Techniken, die die Wiederverwendung/das Recycling des zurückgewonnenen Lösungsmittels ermöglichen.</w:t>
            </w:r>
          </w:p>
        </w:tc>
      </w:tr>
      <w:tr>
        <w:trPr>
          <w:cantSplit/>
          <w:trHeight w:val="271"/>
        </w:trPr>
        <w:tc>
          <w:tcPr>
            <w:tcW w:w="2835" w:type="dxa"/>
            <w:vMerge/>
          </w:tcPr>
          <w:p>
            <w:pPr>
              <w:pStyle w:val="GesAbsatz"/>
              <w:jc w:val="center"/>
              <w:rPr>
                <w:rFonts w:cs="Arial"/>
                <w:sz w:val="18"/>
                <w:szCs w:val="18"/>
              </w:rPr>
            </w:pPr>
          </w:p>
        </w:tc>
        <w:tc>
          <w:tcPr>
            <w:tcW w:w="426" w:type="dxa"/>
            <w:gridSpan w:val="2"/>
          </w:tcPr>
          <w:p>
            <w:pPr>
              <w:pStyle w:val="GesAbsatz"/>
              <w:jc w:val="right"/>
              <w:rPr>
                <w:rFonts w:cs="Arial"/>
                <w:sz w:val="18"/>
                <w:szCs w:val="18"/>
                <w:vertAlign w:val="superscript"/>
              </w:rPr>
            </w:pPr>
            <w:r>
              <w:rPr>
                <w:rFonts w:cs="Arial"/>
                <w:sz w:val="18"/>
                <w:szCs w:val="18"/>
                <w:vertAlign w:val="superscript"/>
              </w:rPr>
              <w:t>3</w:t>
            </w:r>
          </w:p>
        </w:tc>
        <w:tc>
          <w:tcPr>
            <w:tcW w:w="6486" w:type="dxa"/>
          </w:tcPr>
          <w:p>
            <w:pPr>
              <w:pStyle w:val="GesAbsatz"/>
              <w:jc w:val="left"/>
              <w:rPr>
                <w:rFonts w:cs="Arial"/>
                <w:sz w:val="18"/>
                <w:szCs w:val="18"/>
              </w:rPr>
            </w:pPr>
            <w:r>
              <w:rPr>
                <w:rFonts w:cs="Arial"/>
                <w:sz w:val="18"/>
                <w:szCs w:val="18"/>
              </w:rPr>
              <w:t>Bei Anlagen der Richtlinie 2010/75/EU: Gilt für das Abgas des Konzentrators bei Verwendung einer Technik zur externen Konzentrierung von Lösungsmitteln in den Abgasen durch Adsorption in Kombination mit einer Abgasreinigungseinrichtung.</w:t>
            </w:r>
          </w:p>
        </w:tc>
      </w:tr>
      <w:tr>
        <w:trPr>
          <w:cantSplit/>
          <w:trHeight w:val="271"/>
        </w:trPr>
        <w:tc>
          <w:tcPr>
            <w:tcW w:w="2835" w:type="dxa"/>
            <w:vMerge/>
          </w:tcPr>
          <w:p>
            <w:pPr>
              <w:pStyle w:val="GesAbsatz"/>
              <w:jc w:val="center"/>
              <w:rPr>
                <w:rFonts w:cs="Arial"/>
                <w:sz w:val="18"/>
                <w:szCs w:val="18"/>
              </w:rPr>
            </w:pPr>
          </w:p>
        </w:tc>
        <w:tc>
          <w:tcPr>
            <w:tcW w:w="426" w:type="dxa"/>
            <w:gridSpan w:val="2"/>
          </w:tcPr>
          <w:p>
            <w:pPr>
              <w:pStyle w:val="GesAbsatz"/>
              <w:jc w:val="right"/>
              <w:rPr>
                <w:rFonts w:cs="Arial"/>
                <w:sz w:val="18"/>
                <w:szCs w:val="18"/>
                <w:vertAlign w:val="superscript"/>
              </w:rPr>
            </w:pPr>
            <w:r>
              <w:rPr>
                <w:rFonts w:cs="Arial"/>
                <w:sz w:val="18"/>
                <w:szCs w:val="18"/>
                <w:vertAlign w:val="superscript"/>
              </w:rPr>
              <w:t>4</w:t>
            </w:r>
          </w:p>
        </w:tc>
        <w:tc>
          <w:tcPr>
            <w:tcW w:w="6486" w:type="dxa"/>
          </w:tcPr>
          <w:p>
            <w:pPr>
              <w:pStyle w:val="GesAbsatz"/>
              <w:jc w:val="left"/>
              <w:rPr>
                <w:rFonts w:cs="Arial"/>
                <w:sz w:val="18"/>
                <w:szCs w:val="18"/>
              </w:rPr>
            </w:pPr>
            <w:r>
              <w:rPr>
                <w:rFonts w:cs="Arial"/>
                <w:sz w:val="18"/>
                <w:szCs w:val="18"/>
              </w:rPr>
              <w:t>Bei Anwendung von Abgasreinigungseinrichtungen, die auf der Basis biologischer Prozesse arbeiten (jedoch nicht bei Anlagen der Richtlinie 2010/75/EU).</w:t>
            </w:r>
          </w:p>
        </w:tc>
      </w:tr>
    </w:tbl>
    <w:p>
      <w:pPr>
        <w:pStyle w:val="GesAbsatz"/>
        <w:tabs>
          <w:tab w:val="clear" w:pos="425"/>
          <w:tab w:val="left" w:pos="709"/>
        </w:tabs>
        <w:rPr>
          <w:rFonts w:cs="Arial"/>
        </w:rPr>
      </w:pPr>
      <w:r>
        <w:rPr>
          <w:rFonts w:cs="Arial"/>
        </w:rPr>
        <w:t>1.3.2</w:t>
      </w:r>
      <w:r>
        <w:rPr>
          <w:rFonts w:cs="Arial"/>
        </w:rPr>
        <w:tab/>
        <w:t>Grenzwerte für diffuse Emissionen</w:t>
      </w:r>
    </w:p>
    <w:tbl>
      <w:tblPr>
        <w:tblW w:w="9747" w:type="dxa"/>
        <w:tblLayout w:type="fixed"/>
        <w:tblLook w:val="0000" w:firstRow="0" w:lastRow="0" w:firstColumn="0" w:lastColumn="0" w:noHBand="0" w:noVBand="0"/>
      </w:tblPr>
      <w:tblGrid>
        <w:gridCol w:w="1418"/>
        <w:gridCol w:w="1417"/>
        <w:gridCol w:w="426"/>
        <w:gridCol w:w="6486"/>
      </w:tblGrid>
      <w:tr>
        <w:trPr>
          <w:cantSplit/>
          <w:trHeight w:val="642"/>
        </w:trPr>
        <w:tc>
          <w:tcPr>
            <w:tcW w:w="2835" w:type="dxa"/>
            <w:gridSpan w:val="2"/>
            <w:tcBorders>
              <w:top w:val="single" w:sz="6" w:space="0" w:color="000000"/>
              <w:bottom w:val="nil"/>
            </w:tcBorders>
          </w:tcPr>
          <w:p>
            <w:pPr>
              <w:pStyle w:val="GesAbsatz"/>
              <w:jc w:val="center"/>
              <w:rPr>
                <w:rFonts w:cs="Arial"/>
                <w:sz w:val="18"/>
                <w:szCs w:val="18"/>
              </w:rPr>
            </w:pPr>
            <w:r>
              <w:rPr>
                <w:rFonts w:cs="Arial"/>
                <w:sz w:val="18"/>
                <w:szCs w:val="18"/>
              </w:rPr>
              <w:t>Grenzwert</w:t>
            </w:r>
            <w:r>
              <w:rPr>
                <w:rFonts w:cs="Arial"/>
                <w:sz w:val="18"/>
                <w:szCs w:val="18"/>
                <w:vertAlign w:val="superscript"/>
              </w:rPr>
              <w:t>1</w:t>
            </w:r>
            <w:r>
              <w:rPr>
                <w:rFonts w:cs="Arial"/>
                <w:sz w:val="18"/>
                <w:szCs w:val="18"/>
              </w:rPr>
              <w:br/>
              <w:t>(% der eingesetzten</w:t>
            </w:r>
            <w:r>
              <w:rPr>
                <w:rFonts w:cs="Arial"/>
                <w:sz w:val="18"/>
                <w:szCs w:val="18"/>
              </w:rPr>
              <w:br/>
              <w:t>Lösungsmittel)</w:t>
            </w:r>
            <w:r>
              <w:rPr>
                <w:rFonts w:cs="Arial"/>
                <w:sz w:val="18"/>
                <w:szCs w:val="18"/>
              </w:rPr>
              <w:br/>
              <w:t>Lösungsmittelverbrauch (t/a)</w:t>
            </w:r>
          </w:p>
        </w:tc>
        <w:tc>
          <w:tcPr>
            <w:tcW w:w="6912" w:type="dxa"/>
            <w:gridSpan w:val="2"/>
            <w:vMerge w:val="restart"/>
            <w:tcBorders>
              <w:top w:val="single" w:sz="6" w:space="0" w:color="000000"/>
            </w:tcBorders>
            <w:vAlign w:val="center"/>
          </w:tcPr>
          <w:p>
            <w:pPr>
              <w:pStyle w:val="GesAbsatz"/>
              <w:jc w:val="center"/>
              <w:rPr>
                <w:rFonts w:cs="Arial"/>
                <w:color w:val="auto"/>
                <w:sz w:val="18"/>
                <w:szCs w:val="18"/>
              </w:rPr>
            </w:pPr>
            <w:r>
              <w:rPr>
                <w:rFonts w:cs="Arial"/>
                <w:sz w:val="18"/>
                <w:szCs w:val="18"/>
              </w:rPr>
              <w:t>Bemerkungen</w:t>
            </w:r>
          </w:p>
        </w:tc>
      </w:tr>
      <w:tr>
        <w:trPr>
          <w:cantSplit/>
          <w:trHeight w:val="300"/>
        </w:trPr>
        <w:tc>
          <w:tcPr>
            <w:tcW w:w="1418" w:type="dxa"/>
            <w:tcBorders>
              <w:bottom w:val="single" w:sz="4" w:space="0" w:color="auto"/>
            </w:tcBorders>
          </w:tcPr>
          <w:p>
            <w:pPr>
              <w:pStyle w:val="GesAbsatz"/>
              <w:jc w:val="center"/>
              <w:rPr>
                <w:rFonts w:cs="Arial"/>
                <w:sz w:val="18"/>
                <w:szCs w:val="18"/>
              </w:rPr>
            </w:pPr>
            <w:r>
              <w:rPr>
                <w:rFonts w:cs="Arial"/>
                <w:sz w:val="18"/>
                <w:szCs w:val="18"/>
              </w:rPr>
              <w:lastRenderedPageBreak/>
              <w:t>&gt; 15 - 25</w:t>
            </w:r>
          </w:p>
        </w:tc>
        <w:tc>
          <w:tcPr>
            <w:tcW w:w="1417" w:type="dxa"/>
            <w:tcBorders>
              <w:bottom w:val="single" w:sz="4" w:space="0" w:color="auto"/>
            </w:tcBorders>
          </w:tcPr>
          <w:p>
            <w:pPr>
              <w:pStyle w:val="GesAbsatz"/>
              <w:jc w:val="center"/>
              <w:rPr>
                <w:rFonts w:cs="Arial"/>
                <w:sz w:val="18"/>
                <w:szCs w:val="18"/>
              </w:rPr>
            </w:pPr>
            <w:r>
              <w:rPr>
                <w:rFonts w:cs="Arial"/>
                <w:sz w:val="18"/>
                <w:szCs w:val="18"/>
              </w:rPr>
              <w:t>&gt; 25</w:t>
            </w:r>
          </w:p>
        </w:tc>
        <w:tc>
          <w:tcPr>
            <w:tcW w:w="6912" w:type="dxa"/>
            <w:gridSpan w:val="2"/>
            <w:vMerge/>
            <w:tcBorders>
              <w:bottom w:val="single" w:sz="4" w:space="0" w:color="auto"/>
            </w:tcBorders>
          </w:tcPr>
          <w:p>
            <w:pPr>
              <w:pStyle w:val="GesAbsatz"/>
              <w:jc w:val="left"/>
              <w:rPr>
                <w:rFonts w:cs="Arial"/>
                <w:color w:val="auto"/>
                <w:sz w:val="18"/>
                <w:szCs w:val="18"/>
              </w:rPr>
            </w:pPr>
          </w:p>
        </w:tc>
      </w:tr>
      <w:tr>
        <w:trPr>
          <w:trHeight w:val="536"/>
        </w:trPr>
        <w:tc>
          <w:tcPr>
            <w:tcW w:w="1418" w:type="dxa"/>
            <w:vMerge w:val="restart"/>
            <w:tcBorders>
              <w:top w:val="single" w:sz="4" w:space="0" w:color="auto"/>
            </w:tcBorders>
          </w:tcPr>
          <w:p>
            <w:pPr>
              <w:pStyle w:val="GesAbsatz"/>
              <w:jc w:val="center"/>
              <w:rPr>
                <w:rFonts w:cs="Arial"/>
                <w:sz w:val="18"/>
                <w:szCs w:val="18"/>
              </w:rPr>
            </w:pPr>
            <w:r>
              <w:rPr>
                <w:rFonts w:cs="Arial"/>
                <w:sz w:val="18"/>
                <w:szCs w:val="18"/>
              </w:rPr>
              <w:t>25</w:t>
            </w:r>
          </w:p>
        </w:tc>
        <w:tc>
          <w:tcPr>
            <w:tcW w:w="1417" w:type="dxa"/>
            <w:vMerge w:val="restart"/>
            <w:tcBorders>
              <w:top w:val="single" w:sz="4" w:space="0" w:color="auto"/>
            </w:tcBorders>
          </w:tcPr>
          <w:p>
            <w:pPr>
              <w:pStyle w:val="GesAbsatz"/>
              <w:jc w:val="center"/>
              <w:rPr>
                <w:rFonts w:cs="Arial"/>
                <w:sz w:val="18"/>
                <w:szCs w:val="18"/>
              </w:rPr>
            </w:pPr>
            <w:r>
              <w:rPr>
                <w:rFonts w:cs="Arial"/>
                <w:sz w:val="18"/>
                <w:szCs w:val="18"/>
              </w:rPr>
              <w:t>20</w:t>
            </w:r>
            <w:r>
              <w:rPr>
                <w:rFonts w:cs="Arial"/>
                <w:sz w:val="18"/>
                <w:szCs w:val="18"/>
              </w:rPr>
              <w:br/>
              <w:t>12</w:t>
            </w:r>
            <w:r>
              <w:rPr>
                <w:rFonts w:cs="Arial"/>
                <w:sz w:val="18"/>
                <w:szCs w:val="18"/>
                <w:vertAlign w:val="superscript"/>
              </w:rPr>
              <w:t>2</w:t>
            </w:r>
          </w:p>
        </w:tc>
        <w:tc>
          <w:tcPr>
            <w:tcW w:w="426" w:type="dxa"/>
            <w:tcBorders>
              <w:top w:val="single" w:sz="4" w:space="0" w:color="auto"/>
            </w:tcBorders>
          </w:tcPr>
          <w:p>
            <w:pPr>
              <w:pStyle w:val="GesAbsatz"/>
              <w:jc w:val="right"/>
              <w:rPr>
                <w:rFonts w:cs="Arial"/>
                <w:sz w:val="18"/>
                <w:szCs w:val="18"/>
                <w:vertAlign w:val="superscript"/>
              </w:rPr>
            </w:pPr>
            <w:r>
              <w:rPr>
                <w:rFonts w:cs="Arial"/>
                <w:sz w:val="18"/>
                <w:szCs w:val="18"/>
                <w:vertAlign w:val="superscript"/>
              </w:rPr>
              <w:t>1</w:t>
            </w:r>
          </w:p>
        </w:tc>
        <w:tc>
          <w:tcPr>
            <w:tcW w:w="6486" w:type="dxa"/>
            <w:tcBorders>
              <w:top w:val="single" w:sz="4" w:space="0" w:color="auto"/>
            </w:tcBorders>
          </w:tcPr>
          <w:p>
            <w:pPr>
              <w:pStyle w:val="GesAbsatz"/>
              <w:jc w:val="left"/>
              <w:rPr>
                <w:rFonts w:cs="Arial"/>
                <w:sz w:val="18"/>
                <w:szCs w:val="18"/>
              </w:rPr>
            </w:pPr>
            <w:r>
              <w:rPr>
                <w:rFonts w:cs="Arial"/>
                <w:sz w:val="18"/>
                <w:szCs w:val="18"/>
              </w:rPr>
              <w:t>Flüchtige organische Verbindungen, die in gefassten unbehandelten Abgasen enthalten sind, zählen zu den diffusen Emissionen.</w:t>
            </w:r>
          </w:p>
        </w:tc>
      </w:tr>
      <w:tr>
        <w:trPr>
          <w:trHeight w:val="536"/>
        </w:trPr>
        <w:tc>
          <w:tcPr>
            <w:tcW w:w="1418" w:type="dxa"/>
            <w:vMerge/>
          </w:tcPr>
          <w:p>
            <w:pPr>
              <w:pStyle w:val="GesAbsatz"/>
              <w:jc w:val="center"/>
              <w:rPr>
                <w:rFonts w:cs="Arial"/>
                <w:sz w:val="18"/>
                <w:szCs w:val="18"/>
              </w:rPr>
            </w:pPr>
          </w:p>
        </w:tc>
        <w:tc>
          <w:tcPr>
            <w:tcW w:w="1417" w:type="dxa"/>
            <w:vMerge/>
          </w:tcPr>
          <w:p>
            <w:pPr>
              <w:pStyle w:val="GesAbsatz"/>
              <w:jc w:val="center"/>
              <w:rPr>
                <w:rFonts w:cs="Arial"/>
                <w:sz w:val="18"/>
                <w:szCs w:val="18"/>
              </w:rPr>
            </w:pPr>
          </w:p>
        </w:tc>
        <w:tc>
          <w:tcPr>
            <w:tcW w:w="426" w:type="dxa"/>
          </w:tcPr>
          <w:p>
            <w:pPr>
              <w:pStyle w:val="GesAbsatz"/>
              <w:jc w:val="right"/>
              <w:rPr>
                <w:rFonts w:cs="Arial"/>
                <w:sz w:val="18"/>
                <w:szCs w:val="18"/>
                <w:vertAlign w:val="superscript"/>
              </w:rPr>
            </w:pPr>
            <w:r>
              <w:rPr>
                <w:rFonts w:cs="Arial"/>
                <w:sz w:val="18"/>
                <w:szCs w:val="18"/>
                <w:vertAlign w:val="superscript"/>
              </w:rPr>
              <w:t>2</w:t>
            </w:r>
          </w:p>
        </w:tc>
        <w:tc>
          <w:tcPr>
            <w:tcW w:w="6486" w:type="dxa"/>
          </w:tcPr>
          <w:p>
            <w:pPr>
              <w:pStyle w:val="GesAbsatz"/>
              <w:jc w:val="left"/>
              <w:rPr>
                <w:rFonts w:cs="Arial"/>
                <w:sz w:val="18"/>
                <w:szCs w:val="18"/>
              </w:rPr>
            </w:pPr>
            <w:r>
              <w:rPr>
                <w:rFonts w:cs="Arial"/>
                <w:sz w:val="18"/>
                <w:szCs w:val="18"/>
              </w:rPr>
              <w:t>Bei Anlagen der Richtlinie 2010/75/EU.</w:t>
            </w:r>
          </w:p>
        </w:tc>
      </w:tr>
    </w:tbl>
    <w:p>
      <w:pPr>
        <w:pStyle w:val="GesAbsatz"/>
        <w:tabs>
          <w:tab w:val="clear" w:pos="425"/>
          <w:tab w:val="left" w:pos="709"/>
        </w:tabs>
        <w:rPr>
          <w:rFonts w:cs="Arial"/>
          <w:bCs/>
        </w:rPr>
      </w:pPr>
      <w:r>
        <w:rPr>
          <w:rFonts w:cs="Arial"/>
          <w:bCs/>
        </w:rPr>
        <w:t>1.3.3</w:t>
      </w:r>
      <w:r>
        <w:rPr>
          <w:rFonts w:cs="Arial"/>
          <w:bCs/>
        </w:rPr>
        <w:tab/>
        <w:t>Grenzwert für Gesamtemissionen</w:t>
      </w:r>
    </w:p>
    <w:p>
      <w:pPr>
        <w:pStyle w:val="GesAbsatz"/>
        <w:tabs>
          <w:tab w:val="clear" w:pos="425"/>
          <w:tab w:val="left" w:pos="709"/>
        </w:tabs>
        <w:ind w:left="709"/>
        <w:rPr>
          <w:rFonts w:cs="Arial"/>
          <w:bCs/>
        </w:rPr>
      </w:pPr>
      <w:r>
        <w:rPr>
          <w:rFonts w:cs="Arial"/>
          <w:bCs/>
        </w:rPr>
        <w:t>Für Anlagen der Richtlinie 2010/75/EU gilt zusätzlich zu Nummer 1.3.1: Der Grenzwert für die Gesamtemissionen beträgt 0,3 kg VOC/kg Feststoffzufuhr. Alternativ zum Grenzwert für Gesamtemissionen kann der Emissionsgrenzwert für gefasstes behandeltes Abgas der Nummer 1.3.1 in Verbindung mit dem Grenzwert für diffuse Emissionen der Nummer 1.3.2 angewendet werden.</w:t>
      </w:r>
    </w:p>
    <w:p>
      <w:pPr>
        <w:pStyle w:val="GesAbsatz"/>
        <w:tabs>
          <w:tab w:val="clear" w:pos="425"/>
          <w:tab w:val="left" w:pos="709"/>
        </w:tabs>
        <w:rPr>
          <w:rFonts w:cs="Arial"/>
          <w:b/>
          <w:bCs/>
        </w:rPr>
      </w:pPr>
      <w:r>
        <w:rPr>
          <w:rFonts w:cs="Arial"/>
          <w:b/>
          <w:bCs/>
        </w:rPr>
        <w:t>2.</w:t>
      </w:r>
      <w:r>
        <w:rPr>
          <w:rFonts w:cs="Arial"/>
          <w:b/>
          <w:bCs/>
        </w:rPr>
        <w:tab/>
        <w:t>Reinigung der Oberflächen von Materialien oder Produkten</w:t>
      </w:r>
    </w:p>
    <w:p>
      <w:pPr>
        <w:pStyle w:val="GesAbsatz"/>
        <w:tabs>
          <w:tab w:val="clear" w:pos="425"/>
          <w:tab w:val="left" w:pos="709"/>
        </w:tabs>
        <w:rPr>
          <w:rFonts w:cs="Arial"/>
          <w:b/>
          <w:bCs/>
        </w:rPr>
      </w:pPr>
      <w:r>
        <w:rPr>
          <w:rFonts w:cs="Arial"/>
          <w:b/>
          <w:bCs/>
        </w:rPr>
        <w:t>2.1</w:t>
      </w:r>
      <w:r>
        <w:rPr>
          <w:rFonts w:cs="Arial"/>
          <w:b/>
          <w:bCs/>
        </w:rPr>
        <w:tab/>
        <w:t>Anlagen zur Oberflächenreinigung</w:t>
      </w:r>
    </w:p>
    <w:p>
      <w:pPr>
        <w:pStyle w:val="GesAbsatz"/>
        <w:tabs>
          <w:tab w:val="clear" w:pos="425"/>
          <w:tab w:val="left" w:pos="709"/>
        </w:tabs>
        <w:rPr>
          <w:rFonts w:cs="Arial"/>
        </w:rPr>
      </w:pPr>
      <w:r>
        <w:rPr>
          <w:rFonts w:cs="Arial"/>
        </w:rPr>
        <w:t>2.1.1</w:t>
      </w:r>
      <w:r>
        <w:rPr>
          <w:rFonts w:cs="Arial"/>
        </w:rPr>
        <w:tab/>
        <w:t>Emissionsgrenzwert für gefasste Abgase</w:t>
      </w:r>
    </w:p>
    <w:tbl>
      <w:tblPr>
        <w:tblW w:w="9747" w:type="dxa"/>
        <w:tblLayout w:type="fixed"/>
        <w:tblLook w:val="0000" w:firstRow="0" w:lastRow="0" w:firstColumn="0" w:lastColumn="0" w:noHBand="0" w:noVBand="0"/>
      </w:tblPr>
      <w:tblGrid>
        <w:gridCol w:w="2835"/>
        <w:gridCol w:w="426"/>
        <w:gridCol w:w="6486"/>
      </w:tblGrid>
      <w:tr>
        <w:trPr>
          <w:trHeight w:val="364"/>
        </w:trPr>
        <w:tc>
          <w:tcPr>
            <w:tcW w:w="2835" w:type="dxa"/>
            <w:tcBorders>
              <w:top w:val="single" w:sz="6" w:space="0" w:color="000000"/>
              <w:bottom w:val="single" w:sz="4" w:space="0" w:color="auto"/>
            </w:tcBorders>
          </w:tcPr>
          <w:p>
            <w:pPr>
              <w:pStyle w:val="GesAbsatz"/>
              <w:jc w:val="center"/>
              <w:rPr>
                <w:rFonts w:cs="Arial"/>
                <w:sz w:val="18"/>
                <w:szCs w:val="18"/>
              </w:rPr>
            </w:pPr>
            <w:r>
              <w:rPr>
                <w:rFonts w:cs="Arial"/>
                <w:sz w:val="18"/>
                <w:szCs w:val="18"/>
              </w:rPr>
              <w:t>Emissionsgrenzwert (mg C/m</w:t>
            </w:r>
            <w:r>
              <w:rPr>
                <w:rFonts w:cs="Arial"/>
                <w:sz w:val="18"/>
                <w:szCs w:val="18"/>
                <w:vertAlign w:val="superscript"/>
              </w:rPr>
              <w:t>3</w:t>
            </w:r>
            <w:r>
              <w:rPr>
                <w:rFonts w:cs="Arial"/>
                <w:sz w:val="18"/>
                <w:szCs w:val="18"/>
              </w:rPr>
              <w:t>)</w:t>
            </w:r>
          </w:p>
        </w:tc>
        <w:tc>
          <w:tcPr>
            <w:tcW w:w="6912" w:type="dxa"/>
            <w:gridSpan w:val="2"/>
            <w:tcBorders>
              <w:top w:val="single" w:sz="6" w:space="0" w:color="000000"/>
              <w:bottom w:val="single" w:sz="4" w:space="0" w:color="auto"/>
            </w:tcBorders>
          </w:tcPr>
          <w:p>
            <w:pPr>
              <w:pStyle w:val="GesAbsatz"/>
              <w:jc w:val="center"/>
              <w:rPr>
                <w:rFonts w:cs="Arial"/>
                <w:sz w:val="18"/>
                <w:szCs w:val="18"/>
              </w:rPr>
            </w:pPr>
            <w:r>
              <w:rPr>
                <w:rFonts w:cs="Arial"/>
                <w:sz w:val="18"/>
                <w:szCs w:val="18"/>
              </w:rPr>
              <w:t>Bemerkungen</w:t>
            </w:r>
          </w:p>
        </w:tc>
      </w:tr>
      <w:tr>
        <w:trPr>
          <w:cantSplit/>
          <w:trHeight w:val="665"/>
        </w:trPr>
        <w:tc>
          <w:tcPr>
            <w:tcW w:w="2835" w:type="dxa"/>
            <w:tcBorders>
              <w:top w:val="single" w:sz="4" w:space="0" w:color="auto"/>
            </w:tcBorders>
          </w:tcPr>
          <w:p>
            <w:pPr>
              <w:pStyle w:val="GesAbsatz"/>
              <w:jc w:val="center"/>
              <w:rPr>
                <w:rFonts w:cs="Arial"/>
                <w:sz w:val="18"/>
                <w:szCs w:val="18"/>
              </w:rPr>
            </w:pPr>
            <w:r>
              <w:rPr>
                <w:rFonts w:cs="Arial"/>
                <w:sz w:val="18"/>
                <w:szCs w:val="18"/>
              </w:rPr>
              <w:t>75</w:t>
            </w:r>
            <w:r>
              <w:rPr>
                <w:rFonts w:cs="Arial"/>
                <w:sz w:val="18"/>
                <w:szCs w:val="18"/>
                <w:vertAlign w:val="superscript"/>
              </w:rPr>
              <w:t>1</w:t>
            </w:r>
          </w:p>
        </w:tc>
        <w:tc>
          <w:tcPr>
            <w:tcW w:w="426" w:type="dxa"/>
            <w:tcBorders>
              <w:top w:val="single" w:sz="4" w:space="0" w:color="auto"/>
            </w:tcBorders>
          </w:tcPr>
          <w:p>
            <w:pPr>
              <w:pStyle w:val="GesAbsatz"/>
              <w:jc w:val="right"/>
              <w:rPr>
                <w:rFonts w:cs="Arial"/>
                <w:sz w:val="18"/>
                <w:szCs w:val="18"/>
                <w:vertAlign w:val="superscript"/>
              </w:rPr>
            </w:pPr>
            <w:r>
              <w:rPr>
                <w:rFonts w:cs="Arial"/>
                <w:sz w:val="18"/>
                <w:szCs w:val="18"/>
                <w:vertAlign w:val="superscript"/>
              </w:rPr>
              <w:t>1</w:t>
            </w:r>
          </w:p>
        </w:tc>
        <w:tc>
          <w:tcPr>
            <w:tcW w:w="6486" w:type="dxa"/>
            <w:tcBorders>
              <w:top w:val="single" w:sz="4" w:space="0" w:color="auto"/>
            </w:tcBorders>
          </w:tcPr>
          <w:p>
            <w:pPr>
              <w:pStyle w:val="GesAbsatz"/>
              <w:jc w:val="left"/>
              <w:rPr>
                <w:rFonts w:cs="Arial"/>
                <w:sz w:val="18"/>
                <w:szCs w:val="18"/>
              </w:rPr>
            </w:pPr>
            <w:r>
              <w:rPr>
                <w:rFonts w:cs="Arial"/>
                <w:sz w:val="18"/>
                <w:szCs w:val="18"/>
              </w:rPr>
              <w:t>Gilt nicht für Reinigungsmittel mit einem Gehalt an organischen Lösungsmitteln von weniger als 20 Prozent, bezogen auf das jeweils gebrauchsfertige Reinigungsmittel, sofern die Reinigungsmittel keine flüchtigen organischen Verbindungen nach § 3 Abs. 2 oder 3 enthalten.</w:t>
            </w:r>
          </w:p>
        </w:tc>
      </w:tr>
    </w:tbl>
    <w:p>
      <w:pPr>
        <w:pStyle w:val="GesAbsatz"/>
        <w:tabs>
          <w:tab w:val="clear" w:pos="425"/>
          <w:tab w:val="left" w:pos="709"/>
        </w:tabs>
        <w:rPr>
          <w:rFonts w:cs="Arial"/>
        </w:rPr>
      </w:pPr>
      <w:r>
        <w:rPr>
          <w:rFonts w:cs="Arial"/>
        </w:rPr>
        <w:t>2.1.2</w:t>
      </w:r>
      <w:r>
        <w:rPr>
          <w:rFonts w:cs="Arial"/>
        </w:rPr>
        <w:tab/>
        <w:t>Grenzwerte für diffuse Emissionen</w:t>
      </w:r>
    </w:p>
    <w:tbl>
      <w:tblPr>
        <w:tblW w:w="9747" w:type="dxa"/>
        <w:tblLayout w:type="fixed"/>
        <w:tblLook w:val="0000" w:firstRow="0" w:lastRow="0" w:firstColumn="0" w:lastColumn="0" w:noHBand="0" w:noVBand="0"/>
      </w:tblPr>
      <w:tblGrid>
        <w:gridCol w:w="1418"/>
        <w:gridCol w:w="1417"/>
        <w:gridCol w:w="426"/>
        <w:gridCol w:w="6486"/>
      </w:tblGrid>
      <w:tr>
        <w:trPr>
          <w:cantSplit/>
          <w:trHeight w:val="639"/>
        </w:trPr>
        <w:tc>
          <w:tcPr>
            <w:tcW w:w="2835" w:type="dxa"/>
            <w:gridSpan w:val="2"/>
            <w:tcBorders>
              <w:top w:val="single" w:sz="6" w:space="0" w:color="000000"/>
              <w:bottom w:val="nil"/>
            </w:tcBorders>
          </w:tcPr>
          <w:p>
            <w:pPr>
              <w:pStyle w:val="GesAbsatz"/>
              <w:jc w:val="center"/>
              <w:rPr>
                <w:rFonts w:cs="Arial"/>
                <w:sz w:val="18"/>
                <w:szCs w:val="18"/>
              </w:rPr>
            </w:pPr>
            <w:r>
              <w:rPr>
                <w:rFonts w:cs="Arial"/>
                <w:sz w:val="18"/>
                <w:szCs w:val="18"/>
              </w:rPr>
              <w:t xml:space="preserve">Grenzwert </w:t>
            </w:r>
            <w:r>
              <w:rPr>
                <w:rFonts w:cs="Arial"/>
                <w:sz w:val="18"/>
                <w:szCs w:val="18"/>
              </w:rPr>
              <w:br/>
              <w:t>(% der eingesetzten</w:t>
            </w:r>
            <w:r>
              <w:rPr>
                <w:rFonts w:cs="Arial"/>
                <w:sz w:val="18"/>
                <w:szCs w:val="18"/>
              </w:rPr>
              <w:br/>
              <w:t xml:space="preserve">Lösungsmittel) </w:t>
            </w:r>
            <w:r>
              <w:rPr>
                <w:rFonts w:cs="Arial"/>
                <w:sz w:val="18"/>
                <w:szCs w:val="18"/>
              </w:rPr>
              <w:br/>
              <w:t>Lösungsmittelverbrauch (t/a)</w:t>
            </w:r>
          </w:p>
        </w:tc>
        <w:tc>
          <w:tcPr>
            <w:tcW w:w="6912" w:type="dxa"/>
            <w:gridSpan w:val="2"/>
            <w:vMerge w:val="restart"/>
            <w:tcBorders>
              <w:top w:val="single" w:sz="6" w:space="0" w:color="000000"/>
            </w:tcBorders>
            <w:vAlign w:val="center"/>
          </w:tcPr>
          <w:p>
            <w:pPr>
              <w:pStyle w:val="GesAbsatz"/>
              <w:jc w:val="center"/>
              <w:rPr>
                <w:rFonts w:cs="Arial"/>
                <w:color w:val="auto"/>
                <w:sz w:val="18"/>
                <w:szCs w:val="18"/>
              </w:rPr>
            </w:pPr>
            <w:r>
              <w:rPr>
                <w:rFonts w:cs="Arial"/>
                <w:sz w:val="18"/>
                <w:szCs w:val="18"/>
              </w:rPr>
              <w:t>Bemerkungen</w:t>
            </w:r>
          </w:p>
        </w:tc>
      </w:tr>
      <w:tr>
        <w:trPr>
          <w:cantSplit/>
          <w:trHeight w:val="300"/>
        </w:trPr>
        <w:tc>
          <w:tcPr>
            <w:tcW w:w="1418" w:type="dxa"/>
            <w:tcBorders>
              <w:bottom w:val="single" w:sz="4" w:space="0" w:color="auto"/>
            </w:tcBorders>
          </w:tcPr>
          <w:p>
            <w:pPr>
              <w:pStyle w:val="GesAbsatz"/>
              <w:jc w:val="center"/>
              <w:rPr>
                <w:rFonts w:cs="Arial"/>
                <w:sz w:val="18"/>
                <w:szCs w:val="18"/>
              </w:rPr>
            </w:pPr>
            <w:r>
              <w:rPr>
                <w:rFonts w:cs="Arial"/>
                <w:sz w:val="18"/>
                <w:szCs w:val="18"/>
              </w:rPr>
              <w:t>&gt; 1 - 10</w:t>
            </w:r>
          </w:p>
        </w:tc>
        <w:tc>
          <w:tcPr>
            <w:tcW w:w="1417" w:type="dxa"/>
            <w:tcBorders>
              <w:bottom w:val="single" w:sz="4" w:space="0" w:color="auto"/>
            </w:tcBorders>
          </w:tcPr>
          <w:p>
            <w:pPr>
              <w:pStyle w:val="GesAbsatz"/>
              <w:jc w:val="center"/>
              <w:rPr>
                <w:rFonts w:cs="Arial"/>
                <w:sz w:val="18"/>
                <w:szCs w:val="18"/>
              </w:rPr>
            </w:pPr>
            <w:r>
              <w:rPr>
                <w:rFonts w:cs="Arial"/>
                <w:sz w:val="18"/>
                <w:szCs w:val="18"/>
              </w:rPr>
              <w:t>&gt; 10</w:t>
            </w:r>
          </w:p>
        </w:tc>
        <w:tc>
          <w:tcPr>
            <w:tcW w:w="6912" w:type="dxa"/>
            <w:gridSpan w:val="2"/>
            <w:vMerge/>
            <w:tcBorders>
              <w:bottom w:val="single" w:sz="4" w:space="0" w:color="auto"/>
            </w:tcBorders>
          </w:tcPr>
          <w:p>
            <w:pPr>
              <w:pStyle w:val="GesAbsatz"/>
              <w:rPr>
                <w:rFonts w:cs="Arial"/>
                <w:color w:val="auto"/>
                <w:sz w:val="18"/>
                <w:szCs w:val="18"/>
              </w:rPr>
            </w:pPr>
          </w:p>
        </w:tc>
      </w:tr>
      <w:tr>
        <w:trPr>
          <w:cantSplit/>
          <w:trHeight w:val="921"/>
        </w:trPr>
        <w:tc>
          <w:tcPr>
            <w:tcW w:w="1418" w:type="dxa"/>
            <w:vMerge w:val="restart"/>
            <w:tcBorders>
              <w:top w:val="single" w:sz="4" w:space="0" w:color="auto"/>
            </w:tcBorders>
          </w:tcPr>
          <w:p>
            <w:pPr>
              <w:pStyle w:val="GesAbsatz"/>
              <w:jc w:val="center"/>
              <w:rPr>
                <w:rFonts w:cs="Arial"/>
                <w:sz w:val="18"/>
                <w:szCs w:val="18"/>
              </w:rPr>
            </w:pPr>
            <w:r>
              <w:rPr>
                <w:rFonts w:cs="Arial"/>
                <w:sz w:val="18"/>
                <w:szCs w:val="18"/>
              </w:rPr>
              <w:t>20</w:t>
            </w:r>
            <w:r>
              <w:rPr>
                <w:rFonts w:cs="Arial"/>
                <w:sz w:val="18"/>
                <w:szCs w:val="18"/>
                <w:vertAlign w:val="superscript"/>
              </w:rPr>
              <w:t>1,2</w:t>
            </w:r>
          </w:p>
        </w:tc>
        <w:tc>
          <w:tcPr>
            <w:tcW w:w="1417" w:type="dxa"/>
            <w:vMerge w:val="restart"/>
            <w:tcBorders>
              <w:top w:val="single" w:sz="4" w:space="0" w:color="auto"/>
            </w:tcBorders>
          </w:tcPr>
          <w:p>
            <w:pPr>
              <w:pStyle w:val="GesAbsatz"/>
              <w:jc w:val="center"/>
              <w:rPr>
                <w:rFonts w:cs="Arial"/>
                <w:sz w:val="18"/>
                <w:szCs w:val="18"/>
              </w:rPr>
            </w:pPr>
            <w:r>
              <w:rPr>
                <w:rFonts w:cs="Arial"/>
                <w:sz w:val="18"/>
                <w:szCs w:val="18"/>
              </w:rPr>
              <w:t>15</w:t>
            </w:r>
            <w:r>
              <w:rPr>
                <w:rFonts w:cs="Arial"/>
                <w:sz w:val="18"/>
                <w:szCs w:val="18"/>
                <w:vertAlign w:val="superscript"/>
              </w:rPr>
              <w:t>1,2</w:t>
            </w:r>
          </w:p>
        </w:tc>
        <w:tc>
          <w:tcPr>
            <w:tcW w:w="426" w:type="dxa"/>
            <w:tcBorders>
              <w:top w:val="single" w:sz="4" w:space="0" w:color="auto"/>
            </w:tcBorders>
          </w:tcPr>
          <w:p>
            <w:pPr>
              <w:pStyle w:val="GesAbsatz"/>
              <w:jc w:val="right"/>
              <w:rPr>
                <w:rFonts w:cs="Arial"/>
                <w:sz w:val="18"/>
                <w:szCs w:val="18"/>
                <w:vertAlign w:val="superscript"/>
              </w:rPr>
            </w:pPr>
            <w:r>
              <w:rPr>
                <w:rFonts w:cs="Arial"/>
                <w:sz w:val="18"/>
                <w:szCs w:val="18"/>
                <w:vertAlign w:val="superscript"/>
              </w:rPr>
              <w:t>1</w:t>
            </w:r>
          </w:p>
        </w:tc>
        <w:tc>
          <w:tcPr>
            <w:tcW w:w="6486" w:type="dxa"/>
            <w:tcBorders>
              <w:top w:val="single" w:sz="4" w:space="0" w:color="auto"/>
            </w:tcBorders>
          </w:tcPr>
          <w:p>
            <w:pPr>
              <w:pStyle w:val="GesAbsatz"/>
              <w:rPr>
                <w:rFonts w:cs="Arial"/>
                <w:sz w:val="18"/>
                <w:szCs w:val="18"/>
              </w:rPr>
            </w:pPr>
            <w:r>
              <w:rPr>
                <w:rFonts w:cs="Arial"/>
                <w:sz w:val="18"/>
                <w:szCs w:val="18"/>
              </w:rPr>
              <w:t>Abweichend gilt für flüchtige organische Verbindungen nach § 3 Abs. 2 und 3 ein Grenzwert von 10 Prozent; für Verbindungen nach § 3 Abs. 2 jedoch nur, solange diese Verbindungen nicht durch weniger schädliche Stoffe oder Gemische ersetzt werden können.</w:t>
            </w:r>
          </w:p>
        </w:tc>
      </w:tr>
      <w:tr>
        <w:trPr>
          <w:cantSplit/>
          <w:trHeight w:val="1019"/>
        </w:trPr>
        <w:tc>
          <w:tcPr>
            <w:tcW w:w="1418" w:type="dxa"/>
            <w:vMerge/>
          </w:tcPr>
          <w:p>
            <w:pPr>
              <w:pStyle w:val="GesAbsatz"/>
              <w:jc w:val="center"/>
              <w:rPr>
                <w:rFonts w:cs="Arial"/>
                <w:sz w:val="18"/>
                <w:szCs w:val="18"/>
              </w:rPr>
            </w:pPr>
          </w:p>
        </w:tc>
        <w:tc>
          <w:tcPr>
            <w:tcW w:w="1417" w:type="dxa"/>
            <w:vMerge/>
          </w:tcPr>
          <w:p>
            <w:pPr>
              <w:pStyle w:val="GesAbsatz"/>
              <w:jc w:val="center"/>
              <w:rPr>
                <w:rFonts w:cs="Arial"/>
                <w:sz w:val="18"/>
                <w:szCs w:val="18"/>
              </w:rPr>
            </w:pPr>
          </w:p>
        </w:tc>
        <w:tc>
          <w:tcPr>
            <w:tcW w:w="426" w:type="dxa"/>
          </w:tcPr>
          <w:p>
            <w:pPr>
              <w:pStyle w:val="GesAbsatz"/>
              <w:jc w:val="right"/>
              <w:rPr>
                <w:rFonts w:cs="Arial"/>
                <w:sz w:val="18"/>
                <w:szCs w:val="18"/>
                <w:vertAlign w:val="superscript"/>
              </w:rPr>
            </w:pPr>
            <w:r>
              <w:rPr>
                <w:rFonts w:cs="Arial"/>
                <w:sz w:val="18"/>
                <w:szCs w:val="18"/>
                <w:vertAlign w:val="superscript"/>
              </w:rPr>
              <w:t>2</w:t>
            </w:r>
          </w:p>
        </w:tc>
        <w:tc>
          <w:tcPr>
            <w:tcW w:w="6486" w:type="dxa"/>
          </w:tcPr>
          <w:p>
            <w:pPr>
              <w:pStyle w:val="GesAbsatz"/>
              <w:rPr>
                <w:rFonts w:cs="Arial"/>
                <w:sz w:val="18"/>
                <w:szCs w:val="18"/>
              </w:rPr>
            </w:pPr>
            <w:r>
              <w:rPr>
                <w:rFonts w:cs="Arial"/>
                <w:sz w:val="18"/>
                <w:szCs w:val="18"/>
              </w:rPr>
              <w:t>Die Grenzwerte gelten nicht für Reinigungsmittel mit einem Gehalt an organischen Lösungsmitteln von weniger als 20 Prozent, bezogen auf das jeweils gebrauchsfertige Reinigungsmittel, sofern die Reinigungsmittel keine flüchtigen organischen Verbindungen nach § 3 Abs. 2 oder 3 enthalten.</w:t>
            </w:r>
          </w:p>
        </w:tc>
      </w:tr>
    </w:tbl>
    <w:p>
      <w:pPr>
        <w:pStyle w:val="GesAbsatz"/>
        <w:tabs>
          <w:tab w:val="clear" w:pos="425"/>
          <w:tab w:val="left" w:pos="709"/>
        </w:tabs>
      </w:pPr>
      <w:r>
        <w:rPr>
          <w:rFonts w:cs="Arial"/>
        </w:rPr>
        <w:t>2.1.3</w:t>
      </w:r>
      <w:r>
        <w:rPr>
          <w:rFonts w:cs="Arial"/>
        </w:rPr>
        <w:tab/>
        <w:t>Besondere Anforderungen</w:t>
      </w:r>
    </w:p>
    <w:p>
      <w:pPr>
        <w:pStyle w:val="GesAbsatz"/>
        <w:tabs>
          <w:tab w:val="clear" w:pos="425"/>
          <w:tab w:val="left" w:pos="709"/>
        </w:tabs>
        <w:ind w:left="709"/>
        <w:rPr>
          <w:rFonts w:cs="Arial"/>
        </w:rPr>
      </w:pPr>
      <w:r>
        <w:rPr>
          <w:rFonts w:cs="Arial"/>
        </w:rPr>
        <w:t>Die Oberflächenreinigung ist nach dem Stand der Technik in weitestgehend geschlossenen Anlagen durchzuführen.</w:t>
      </w:r>
    </w:p>
    <w:p>
      <w:pPr>
        <w:pStyle w:val="GesAbsatz"/>
        <w:tabs>
          <w:tab w:val="clear" w:pos="425"/>
          <w:tab w:val="left" w:pos="709"/>
        </w:tabs>
        <w:ind w:left="1134" w:hanging="1134"/>
        <w:rPr>
          <w:rFonts w:cs="Arial"/>
          <w:b/>
        </w:rPr>
      </w:pPr>
      <w:r>
        <w:rPr>
          <w:rFonts w:cs="Arial"/>
          <w:b/>
        </w:rPr>
        <w:t>3.</w:t>
      </w:r>
      <w:r>
        <w:rPr>
          <w:rFonts w:cs="Arial"/>
          <w:b/>
        </w:rPr>
        <w:tab/>
        <w:t>Textilreinigung</w:t>
      </w:r>
    </w:p>
    <w:p>
      <w:pPr>
        <w:pStyle w:val="GesAbsatz"/>
        <w:tabs>
          <w:tab w:val="clear" w:pos="425"/>
          <w:tab w:val="left" w:pos="709"/>
        </w:tabs>
        <w:ind w:left="1134" w:hanging="1134"/>
        <w:rPr>
          <w:b/>
        </w:rPr>
      </w:pPr>
      <w:r>
        <w:rPr>
          <w:rFonts w:cs="Arial"/>
          <w:b/>
        </w:rPr>
        <w:t>3.1</w:t>
      </w:r>
      <w:r>
        <w:rPr>
          <w:rFonts w:cs="Arial"/>
          <w:b/>
        </w:rPr>
        <w:tab/>
        <w:t>Chemischreinigungsanlagen</w:t>
      </w:r>
    </w:p>
    <w:p>
      <w:pPr>
        <w:pStyle w:val="GesAbsatz"/>
        <w:tabs>
          <w:tab w:val="clear" w:pos="425"/>
          <w:tab w:val="left" w:pos="709"/>
        </w:tabs>
        <w:ind w:left="1134" w:hanging="1134"/>
      </w:pPr>
      <w:r>
        <w:rPr>
          <w:rFonts w:cs="Arial"/>
        </w:rPr>
        <w:t>3.1.1</w:t>
      </w:r>
      <w:r>
        <w:rPr>
          <w:rFonts w:cs="Arial"/>
        </w:rPr>
        <w:tab/>
        <w:t>Grenzwert für die Gesamtemissionen</w:t>
      </w:r>
    </w:p>
    <w:tbl>
      <w:tblPr>
        <w:tblW w:w="9747" w:type="dxa"/>
        <w:tblLayout w:type="fixed"/>
        <w:tblLook w:val="0000" w:firstRow="0" w:lastRow="0" w:firstColumn="0" w:lastColumn="0" w:noHBand="0" w:noVBand="0"/>
      </w:tblPr>
      <w:tblGrid>
        <w:gridCol w:w="2835"/>
        <w:gridCol w:w="426"/>
        <w:gridCol w:w="6486"/>
      </w:tblGrid>
      <w:tr>
        <w:trPr>
          <w:trHeight w:val="366"/>
        </w:trPr>
        <w:tc>
          <w:tcPr>
            <w:tcW w:w="2835" w:type="dxa"/>
            <w:tcBorders>
              <w:top w:val="single" w:sz="6" w:space="0" w:color="000000"/>
              <w:bottom w:val="single" w:sz="4" w:space="0" w:color="auto"/>
            </w:tcBorders>
          </w:tcPr>
          <w:p>
            <w:pPr>
              <w:pStyle w:val="GesAbsatz"/>
              <w:jc w:val="center"/>
              <w:rPr>
                <w:rFonts w:cs="Arial"/>
                <w:sz w:val="18"/>
                <w:szCs w:val="18"/>
              </w:rPr>
            </w:pPr>
            <w:r>
              <w:rPr>
                <w:rFonts w:cs="Arial"/>
                <w:sz w:val="18"/>
                <w:szCs w:val="18"/>
              </w:rPr>
              <w:t>Gesamtemissionsgrenzwert</w:t>
            </w:r>
            <w:r>
              <w:rPr>
                <w:rFonts w:cs="Arial"/>
                <w:sz w:val="18"/>
                <w:szCs w:val="18"/>
              </w:rPr>
              <w:br/>
              <w:t>(g/kg)</w:t>
            </w:r>
            <w:r>
              <w:rPr>
                <w:rFonts w:cs="Arial"/>
                <w:sz w:val="18"/>
                <w:szCs w:val="18"/>
                <w:vertAlign w:val="superscript"/>
              </w:rPr>
              <w:t>1</w:t>
            </w:r>
          </w:p>
        </w:tc>
        <w:tc>
          <w:tcPr>
            <w:tcW w:w="6912" w:type="dxa"/>
            <w:gridSpan w:val="2"/>
            <w:tcBorders>
              <w:top w:val="single" w:sz="6" w:space="0" w:color="000000"/>
              <w:bottom w:val="single" w:sz="4" w:space="0" w:color="auto"/>
            </w:tcBorders>
          </w:tcPr>
          <w:p>
            <w:pPr>
              <w:pStyle w:val="GesAbsatz"/>
              <w:jc w:val="center"/>
              <w:rPr>
                <w:rFonts w:cs="Arial"/>
                <w:sz w:val="18"/>
                <w:szCs w:val="18"/>
              </w:rPr>
            </w:pPr>
            <w:r>
              <w:rPr>
                <w:rFonts w:cs="Arial"/>
                <w:sz w:val="18"/>
                <w:szCs w:val="18"/>
              </w:rPr>
              <w:t>Bemerkungen</w:t>
            </w:r>
          </w:p>
        </w:tc>
      </w:tr>
      <w:tr>
        <w:trPr>
          <w:trHeight w:val="584"/>
        </w:trPr>
        <w:tc>
          <w:tcPr>
            <w:tcW w:w="2835" w:type="dxa"/>
            <w:tcBorders>
              <w:top w:val="single" w:sz="4" w:space="0" w:color="auto"/>
            </w:tcBorders>
          </w:tcPr>
          <w:p>
            <w:pPr>
              <w:pStyle w:val="GesAbsatz"/>
              <w:jc w:val="center"/>
              <w:rPr>
                <w:rFonts w:cs="Arial"/>
                <w:sz w:val="18"/>
                <w:szCs w:val="18"/>
              </w:rPr>
            </w:pPr>
            <w:r>
              <w:rPr>
                <w:rFonts w:cs="Arial"/>
                <w:sz w:val="18"/>
                <w:szCs w:val="18"/>
              </w:rPr>
              <w:t>20</w:t>
            </w:r>
          </w:p>
        </w:tc>
        <w:tc>
          <w:tcPr>
            <w:tcW w:w="426" w:type="dxa"/>
            <w:tcBorders>
              <w:top w:val="single" w:sz="4" w:space="0" w:color="auto"/>
            </w:tcBorders>
          </w:tcPr>
          <w:p>
            <w:pPr>
              <w:pStyle w:val="GesAbsatz"/>
              <w:jc w:val="right"/>
              <w:rPr>
                <w:rFonts w:cs="Arial"/>
                <w:sz w:val="18"/>
                <w:szCs w:val="18"/>
              </w:rPr>
            </w:pPr>
            <w:r>
              <w:rPr>
                <w:rFonts w:cs="Arial"/>
                <w:sz w:val="18"/>
                <w:szCs w:val="18"/>
                <w:vertAlign w:val="superscript"/>
              </w:rPr>
              <w:t>1</w:t>
            </w:r>
          </w:p>
        </w:tc>
        <w:tc>
          <w:tcPr>
            <w:tcW w:w="6486" w:type="dxa"/>
            <w:tcBorders>
              <w:top w:val="single" w:sz="4" w:space="0" w:color="auto"/>
            </w:tcBorders>
          </w:tcPr>
          <w:p>
            <w:pPr>
              <w:pStyle w:val="GesAbsatz"/>
              <w:jc w:val="left"/>
              <w:rPr>
                <w:rFonts w:cs="Arial"/>
                <w:sz w:val="18"/>
                <w:szCs w:val="18"/>
              </w:rPr>
            </w:pPr>
            <w:r>
              <w:rPr>
                <w:rFonts w:cs="Arial"/>
                <w:sz w:val="18"/>
                <w:szCs w:val="18"/>
              </w:rPr>
              <w:t>Angegeben als Verhältnis der Masse der emittierten flüchtigen organischen Verbindungen in Gramm zu der Masse der gereinigten und getrockneten Ware in Kilogramm.</w:t>
            </w:r>
          </w:p>
        </w:tc>
      </w:tr>
    </w:tbl>
    <w:p>
      <w:pPr>
        <w:pStyle w:val="GesAbsatz"/>
        <w:tabs>
          <w:tab w:val="clear" w:pos="425"/>
          <w:tab w:val="left" w:pos="1134"/>
        </w:tabs>
        <w:ind w:left="709" w:hanging="709"/>
        <w:rPr>
          <w:rFonts w:cs="Arial"/>
        </w:rPr>
      </w:pPr>
      <w:r>
        <w:rPr>
          <w:rFonts w:cs="Arial"/>
        </w:rPr>
        <w:t>3.1.2</w:t>
      </w:r>
      <w:r>
        <w:rPr>
          <w:rFonts w:cs="Arial"/>
        </w:rPr>
        <w:tab/>
        <w:t>Besondere Anforderungen</w:t>
      </w:r>
    </w:p>
    <w:p>
      <w:pPr>
        <w:pStyle w:val="GesAbsatz"/>
        <w:tabs>
          <w:tab w:val="clear" w:pos="425"/>
          <w:tab w:val="left" w:pos="1134"/>
        </w:tabs>
        <w:ind w:left="709"/>
        <w:rPr>
          <w:rFonts w:cs="Arial"/>
        </w:rPr>
      </w:pPr>
      <w:r>
        <w:rPr>
          <w:rFonts w:cs="Arial"/>
        </w:rPr>
        <w:t>Anlagen, die mit organischen Lösungsmitteln einschließlich Kohlenwasserstofflösungsmitteln (KWL) betrieben werden, sind so zu errichten und zu betreiben, dass</w:t>
      </w:r>
    </w:p>
    <w:p>
      <w:pPr>
        <w:pStyle w:val="GesAbsatz"/>
        <w:tabs>
          <w:tab w:val="clear" w:pos="425"/>
          <w:tab w:val="left" w:pos="1134"/>
        </w:tabs>
        <w:ind w:left="1134" w:hanging="425"/>
        <w:rPr>
          <w:rFonts w:cs="Arial"/>
        </w:rPr>
      </w:pPr>
      <w:r>
        <w:rPr>
          <w:rFonts w:cs="Arial"/>
        </w:rPr>
        <w:t>a)</w:t>
      </w:r>
      <w:r>
        <w:rPr>
          <w:rFonts w:cs="Arial"/>
        </w:rPr>
        <w:tab/>
        <w:t>die Reinigung und Trocknung des Reinigungsgutes im geschlossenen System nach dem Stand der Technik erfolgt,</w:t>
      </w:r>
    </w:p>
    <w:p>
      <w:pPr>
        <w:pStyle w:val="GesAbsatz"/>
        <w:tabs>
          <w:tab w:val="clear" w:pos="425"/>
          <w:tab w:val="left" w:pos="1134"/>
        </w:tabs>
        <w:ind w:left="1134" w:hanging="425"/>
        <w:rPr>
          <w:rFonts w:cs="Arial"/>
        </w:rPr>
      </w:pPr>
      <w:r>
        <w:rPr>
          <w:rFonts w:cs="Arial"/>
        </w:rPr>
        <w:lastRenderedPageBreak/>
        <w:t>b)</w:t>
      </w:r>
      <w:r>
        <w:rPr>
          <w:rFonts w:cs="Arial"/>
        </w:rPr>
        <w:tab/>
        <w:t>eine selbsttätige Verriegelung sicherstellt, dass die Beladetür erst nach Abschluss des Trocknungsvorgangs geöffnet werden kann, wenn die Massenkonzentration an organischen Lösungsmitteln einschließlich KWL in der Trommel nach dem Ergebnis einer laufenden messtechnischen Überprüfung einen Wert von 5 Gramm je Kubikmeter nicht mehr überschreitet,</w:t>
      </w:r>
    </w:p>
    <w:p>
      <w:pPr>
        <w:pStyle w:val="GesAbsatz"/>
        <w:tabs>
          <w:tab w:val="clear" w:pos="425"/>
          <w:tab w:val="left" w:pos="1134"/>
        </w:tabs>
        <w:ind w:left="1134" w:hanging="425"/>
        <w:rPr>
          <w:rFonts w:cs="Arial"/>
        </w:rPr>
      </w:pPr>
      <w:r>
        <w:rPr>
          <w:rFonts w:cs="Arial"/>
        </w:rPr>
        <w:t>c)</w:t>
      </w:r>
      <w:r>
        <w:rPr>
          <w:rFonts w:cs="Arial"/>
        </w:rPr>
        <w:tab/>
        <w:t>nur organische Lösungsmittel einschließlich KWL eingesetzt werden,</w:t>
      </w:r>
    </w:p>
    <w:p>
      <w:pPr>
        <w:pStyle w:val="GesAbsatz"/>
        <w:tabs>
          <w:tab w:val="clear" w:pos="425"/>
          <w:tab w:val="left" w:pos="1134"/>
          <w:tab w:val="left" w:pos="1560"/>
        </w:tabs>
        <w:ind w:left="1560" w:hanging="426"/>
        <w:rPr>
          <w:rFonts w:cs="Arial"/>
        </w:rPr>
      </w:pPr>
      <w:r>
        <w:rPr>
          <w:rFonts w:cs="Arial"/>
        </w:rPr>
        <w:t>–</w:t>
      </w:r>
      <w:r>
        <w:rPr>
          <w:rFonts w:cs="Arial"/>
        </w:rPr>
        <w:tab/>
        <w:t>deren Gesamtaromatengehalt 1 Gewichtsprozent nicht überschreitet,</w:t>
      </w:r>
    </w:p>
    <w:p>
      <w:pPr>
        <w:pStyle w:val="GesAbsatz"/>
        <w:tabs>
          <w:tab w:val="clear" w:pos="425"/>
          <w:tab w:val="left" w:pos="1134"/>
          <w:tab w:val="left" w:pos="1560"/>
        </w:tabs>
        <w:ind w:left="1560" w:hanging="426"/>
        <w:rPr>
          <w:rFonts w:cs="Arial"/>
        </w:rPr>
      </w:pPr>
      <w:r>
        <w:rPr>
          <w:rFonts w:cs="Arial"/>
        </w:rPr>
        <w:t>–</w:t>
      </w:r>
      <w:r>
        <w:rPr>
          <w:rFonts w:cs="Arial"/>
        </w:rPr>
        <w:tab/>
        <w:t>deren Gehalt an Benzol und an polycyclischen Aromaten 0,01 Gewichtsprozent nicht überschreitet,</w:t>
      </w:r>
    </w:p>
    <w:p>
      <w:pPr>
        <w:pStyle w:val="GesAbsatz"/>
        <w:tabs>
          <w:tab w:val="clear" w:pos="425"/>
          <w:tab w:val="left" w:pos="1134"/>
          <w:tab w:val="left" w:pos="1560"/>
        </w:tabs>
        <w:ind w:left="1560" w:hanging="426"/>
        <w:rPr>
          <w:rFonts w:cs="Arial"/>
        </w:rPr>
      </w:pPr>
      <w:r>
        <w:rPr>
          <w:rFonts w:cs="Arial"/>
        </w:rPr>
        <w:t>–</w:t>
      </w:r>
      <w:r>
        <w:rPr>
          <w:rFonts w:cs="Arial"/>
        </w:rPr>
        <w:tab/>
        <w:t>deren Halogengehalt 0,01 Gewichtsprozent nicht überschreitet,</w:t>
      </w:r>
    </w:p>
    <w:p>
      <w:pPr>
        <w:pStyle w:val="GesAbsatz"/>
        <w:tabs>
          <w:tab w:val="clear" w:pos="425"/>
          <w:tab w:val="left" w:pos="1134"/>
          <w:tab w:val="left" w:pos="1560"/>
        </w:tabs>
        <w:ind w:left="1560" w:hanging="426"/>
        <w:rPr>
          <w:rFonts w:cs="Arial"/>
        </w:rPr>
      </w:pPr>
      <w:r>
        <w:rPr>
          <w:rFonts w:cs="Arial"/>
        </w:rPr>
        <w:t>–</w:t>
      </w:r>
      <w:r>
        <w:rPr>
          <w:rFonts w:cs="Arial"/>
        </w:rPr>
        <w:tab/>
        <w:t>deren Flammpunkt über 55 °C liegt,</w:t>
      </w:r>
    </w:p>
    <w:p>
      <w:pPr>
        <w:pStyle w:val="GesAbsatz"/>
        <w:tabs>
          <w:tab w:val="clear" w:pos="425"/>
          <w:tab w:val="left" w:pos="1134"/>
          <w:tab w:val="left" w:pos="1560"/>
        </w:tabs>
        <w:ind w:left="1560" w:hanging="426"/>
        <w:rPr>
          <w:rFonts w:cs="Arial"/>
        </w:rPr>
      </w:pPr>
      <w:r>
        <w:rPr>
          <w:rFonts w:cs="Arial"/>
        </w:rPr>
        <w:t>–</w:t>
      </w:r>
      <w:r>
        <w:rPr>
          <w:rFonts w:cs="Arial"/>
        </w:rPr>
        <w:tab/>
        <w:t>die unter Betriebsbedingungen thermisch stabil sind,</w:t>
      </w:r>
    </w:p>
    <w:p>
      <w:pPr>
        <w:pStyle w:val="GesAbsatz"/>
        <w:tabs>
          <w:tab w:val="clear" w:pos="425"/>
          <w:tab w:val="left" w:pos="1134"/>
          <w:tab w:val="left" w:pos="1560"/>
        </w:tabs>
        <w:ind w:left="1560" w:hanging="426"/>
        <w:rPr>
          <w:rFonts w:cs="Arial"/>
        </w:rPr>
      </w:pPr>
      <w:r>
        <w:rPr>
          <w:rFonts w:cs="Arial"/>
        </w:rPr>
        <w:t>–</w:t>
      </w:r>
      <w:r>
        <w:rPr>
          <w:rFonts w:cs="Arial"/>
        </w:rPr>
        <w:tab/>
        <w:t>deren Siedebereiche bei 1013 Hektopascal zwischen 180 °C und 210 °C liegen,</w:t>
      </w:r>
    </w:p>
    <w:p>
      <w:pPr>
        <w:pStyle w:val="GesAbsatz"/>
        <w:tabs>
          <w:tab w:val="clear" w:pos="425"/>
          <w:tab w:val="left" w:pos="1134"/>
        </w:tabs>
        <w:ind w:left="1134" w:hanging="425"/>
        <w:rPr>
          <w:rFonts w:cs="Arial"/>
        </w:rPr>
      </w:pPr>
      <w:r>
        <w:rPr>
          <w:rFonts w:cs="Arial"/>
        </w:rPr>
        <w:t>d)</w:t>
      </w:r>
      <w:r>
        <w:rPr>
          <w:rFonts w:cs="Arial"/>
        </w:rPr>
        <w:tab/>
        <w:t>nur halogenfreie Hilfs- und Zusatzstoffe mit einem Flammpunkt über 55 °C eingesetzt werden, die unter Betriebsbedingungen thermisch stabil und frei von Stoffen nach § 3 Abs. 2 oder 3 sind,</w:t>
      </w:r>
    </w:p>
    <w:p>
      <w:pPr>
        <w:pStyle w:val="GesAbsatz"/>
        <w:tabs>
          <w:tab w:val="clear" w:pos="425"/>
          <w:tab w:val="left" w:pos="1134"/>
        </w:tabs>
        <w:ind w:left="1134" w:hanging="425"/>
        <w:rPr>
          <w:rFonts w:cs="Arial"/>
        </w:rPr>
      </w:pPr>
      <w:r>
        <w:rPr>
          <w:rFonts w:cs="Arial"/>
        </w:rPr>
        <w:t>e)</w:t>
      </w:r>
      <w:r>
        <w:rPr>
          <w:rFonts w:cs="Arial"/>
        </w:rPr>
        <w:tab/>
        <w:t>die Massenkonzentration an flüchtigen organischen Verbindungen im abgesaugten, unverdünnten Abgas ab einem Massenstrom von mehr als 0,2 kg/h, gemittelt über die Trocknungs- oder Ausblasphase, 0,15 g/m</w:t>
      </w:r>
      <w:r>
        <w:rPr>
          <w:rFonts w:cs="Arial"/>
          <w:vertAlign w:val="superscript"/>
        </w:rPr>
        <w:t>3</w:t>
      </w:r>
      <w:r>
        <w:rPr>
          <w:rFonts w:cs="Arial"/>
        </w:rPr>
        <w:t xml:space="preserve"> nicht überschreitet.</w:t>
      </w:r>
    </w:p>
    <w:p>
      <w:pPr>
        <w:pStyle w:val="GesAbsatz"/>
        <w:tabs>
          <w:tab w:val="clear" w:pos="425"/>
        </w:tabs>
        <w:ind w:left="709" w:hanging="709"/>
        <w:rPr>
          <w:rFonts w:cs="Arial"/>
          <w:b/>
        </w:rPr>
      </w:pPr>
      <w:r>
        <w:rPr>
          <w:rFonts w:cs="Arial"/>
          <w:b/>
        </w:rPr>
        <w:t>4.</w:t>
      </w:r>
      <w:r>
        <w:rPr>
          <w:rFonts w:cs="Arial"/>
          <w:b/>
        </w:rPr>
        <w:tab/>
        <w:t>Beschichtung von Kraftfahrzeugen oder Schienenfahrzeugen</w:t>
      </w:r>
    </w:p>
    <w:p>
      <w:pPr>
        <w:pStyle w:val="GesAbsatz"/>
        <w:tabs>
          <w:tab w:val="clear" w:pos="425"/>
        </w:tabs>
        <w:ind w:left="709" w:hanging="709"/>
        <w:rPr>
          <w:rFonts w:cs="Arial"/>
          <w:b/>
        </w:rPr>
      </w:pPr>
      <w:r>
        <w:rPr>
          <w:rFonts w:cs="Arial"/>
          <w:b/>
        </w:rPr>
        <w:t>4.0</w:t>
      </w:r>
      <w:r>
        <w:rPr>
          <w:rFonts w:cs="Arial"/>
          <w:b/>
        </w:rPr>
        <w:tab/>
        <w:t>Allgemeines</w:t>
      </w:r>
    </w:p>
    <w:p>
      <w:pPr>
        <w:pStyle w:val="GesAbsatz"/>
        <w:tabs>
          <w:tab w:val="clear" w:pos="425"/>
        </w:tabs>
        <w:ind w:left="709"/>
        <w:rPr>
          <w:rFonts w:cs="Arial"/>
        </w:rPr>
      </w:pPr>
      <w:r>
        <w:rPr>
          <w:rFonts w:cs="Arial"/>
        </w:rPr>
        <w:t>Der Grenzwert für die Gesamtemissionen bezieht sich auf alle Phasen eines Verfahrens, die in derselben Anlage durchgeführt werden. Dies umfasst die Elektrophorese oder ein anderes Beschichtungsverfahren einschließlich der Transport-, Motorwachs- und Unterbodenkonservierung, die abschließende Wachs- und Polierschicht sowie Lösungsmittel für die Reinigung der Geräte einschließlich Spritzkabinen und sonstige ortsfeste Ausrüstung sowohl während als auch außerhalb der Fertigungszeiten. Der Grenzwert für die Gesamtemissionen ist als jährliche Gesamtmasse der flüchtigen organischen Verbindungen je Quadratmeter der jährlichen Gesamtoberfläche des beschichteten Produkts angegeben.</w:t>
      </w:r>
    </w:p>
    <w:p>
      <w:pPr>
        <w:pStyle w:val="GesAbsatz"/>
        <w:tabs>
          <w:tab w:val="clear" w:pos="425"/>
        </w:tabs>
        <w:ind w:left="709" w:hanging="709"/>
        <w:rPr>
          <w:rFonts w:cs="Arial"/>
          <w:b/>
        </w:rPr>
      </w:pPr>
      <w:r>
        <w:rPr>
          <w:rFonts w:cs="Arial"/>
          <w:b/>
        </w:rPr>
        <w:t>4.1</w:t>
      </w:r>
      <w:r>
        <w:rPr>
          <w:rFonts w:cs="Arial"/>
          <w:b/>
        </w:rPr>
        <w:tab/>
        <w:t>Anlagen zur Serienbeschichtung von Personenkraftwagen</w:t>
      </w:r>
    </w:p>
    <w:p>
      <w:pPr>
        <w:pStyle w:val="GesAbsatz"/>
        <w:tabs>
          <w:tab w:val="clear" w:pos="425"/>
        </w:tabs>
        <w:ind w:left="709" w:hanging="709"/>
        <w:rPr>
          <w:rFonts w:cs="Arial"/>
        </w:rPr>
      </w:pPr>
      <w:r>
        <w:rPr>
          <w:rFonts w:cs="Arial"/>
        </w:rPr>
        <w:t>4.1.1</w:t>
      </w:r>
      <w:r>
        <w:rPr>
          <w:rFonts w:cs="Arial"/>
        </w:rPr>
        <w:tab/>
        <w:t>Grenzwerte für die Gesamtemissionen</w:t>
      </w:r>
    </w:p>
    <w:tbl>
      <w:tblPr>
        <w:tblW w:w="9747" w:type="dxa"/>
        <w:tblLayout w:type="fixed"/>
        <w:tblLook w:val="0000" w:firstRow="0" w:lastRow="0" w:firstColumn="0" w:lastColumn="0" w:noHBand="0" w:noVBand="0"/>
      </w:tblPr>
      <w:tblGrid>
        <w:gridCol w:w="2835"/>
        <w:gridCol w:w="426"/>
        <w:gridCol w:w="6486"/>
      </w:tblGrid>
      <w:tr>
        <w:trPr>
          <w:cantSplit/>
          <w:trHeight w:val="362"/>
        </w:trPr>
        <w:tc>
          <w:tcPr>
            <w:tcW w:w="2835" w:type="dxa"/>
            <w:tcBorders>
              <w:top w:val="single" w:sz="6" w:space="0" w:color="000000"/>
              <w:bottom w:val="single" w:sz="6" w:space="0" w:color="000000"/>
            </w:tcBorders>
          </w:tcPr>
          <w:p>
            <w:pPr>
              <w:pStyle w:val="GesAbsatz"/>
              <w:jc w:val="center"/>
              <w:rPr>
                <w:rFonts w:cs="Arial"/>
                <w:sz w:val="18"/>
                <w:szCs w:val="18"/>
              </w:rPr>
            </w:pPr>
            <w:r>
              <w:rPr>
                <w:rFonts w:cs="Arial"/>
                <w:sz w:val="18"/>
                <w:szCs w:val="18"/>
              </w:rPr>
              <w:t>Gesamtemissionsgrenzwert</w:t>
            </w:r>
            <w:r>
              <w:rPr>
                <w:rFonts w:cs="Arial"/>
                <w:sz w:val="18"/>
                <w:szCs w:val="18"/>
              </w:rPr>
              <w:br/>
              <w:t>(g/m²)</w:t>
            </w:r>
          </w:p>
        </w:tc>
        <w:tc>
          <w:tcPr>
            <w:tcW w:w="6912" w:type="dxa"/>
            <w:gridSpan w:val="2"/>
            <w:tcBorders>
              <w:top w:val="single" w:sz="6" w:space="0" w:color="000000"/>
              <w:bottom w:val="single" w:sz="6" w:space="0" w:color="000000"/>
            </w:tcBorders>
            <w:vAlign w:val="center"/>
          </w:tcPr>
          <w:p>
            <w:pPr>
              <w:pStyle w:val="GesAbsatz"/>
              <w:jc w:val="center"/>
              <w:rPr>
                <w:rFonts w:cs="Arial"/>
                <w:sz w:val="18"/>
                <w:szCs w:val="18"/>
              </w:rPr>
            </w:pPr>
            <w:r>
              <w:rPr>
                <w:rFonts w:cs="Arial"/>
                <w:sz w:val="18"/>
                <w:szCs w:val="18"/>
              </w:rPr>
              <w:t>Bemerkungen</w:t>
            </w:r>
          </w:p>
        </w:tc>
      </w:tr>
      <w:tr>
        <w:trPr>
          <w:cantSplit/>
          <w:trHeight w:val="300"/>
        </w:trPr>
        <w:tc>
          <w:tcPr>
            <w:tcW w:w="2835" w:type="dxa"/>
            <w:vMerge w:val="restart"/>
            <w:tcBorders>
              <w:top w:val="single" w:sz="6" w:space="0" w:color="000000"/>
            </w:tcBorders>
          </w:tcPr>
          <w:p>
            <w:pPr>
              <w:pStyle w:val="GesAbsatz"/>
              <w:jc w:val="center"/>
              <w:rPr>
                <w:rFonts w:cs="Arial"/>
                <w:sz w:val="18"/>
                <w:szCs w:val="18"/>
                <w:vertAlign w:val="superscript"/>
              </w:rPr>
            </w:pPr>
            <w:r>
              <w:rPr>
                <w:rFonts w:cs="Arial"/>
                <w:sz w:val="18"/>
                <w:szCs w:val="18"/>
              </w:rPr>
              <w:t>15</w:t>
            </w:r>
            <w:r>
              <w:rPr>
                <w:rFonts w:cs="Arial"/>
                <w:sz w:val="18"/>
                <w:szCs w:val="18"/>
                <w:vertAlign w:val="superscript"/>
              </w:rPr>
              <w:t>1</w:t>
            </w:r>
            <w:r>
              <w:rPr>
                <w:rFonts w:cs="Arial"/>
                <w:sz w:val="18"/>
                <w:szCs w:val="18"/>
                <w:vertAlign w:val="superscript"/>
              </w:rPr>
              <w:br/>
            </w:r>
            <w:r>
              <w:rPr>
                <w:rFonts w:cs="Arial"/>
                <w:sz w:val="18"/>
                <w:szCs w:val="18"/>
              </w:rPr>
              <w:t>30</w:t>
            </w:r>
            <w:r>
              <w:rPr>
                <w:rFonts w:cs="Arial"/>
                <w:sz w:val="18"/>
                <w:szCs w:val="18"/>
                <w:vertAlign w:val="superscript"/>
              </w:rPr>
              <w:t>2</w:t>
            </w:r>
          </w:p>
        </w:tc>
        <w:tc>
          <w:tcPr>
            <w:tcW w:w="426" w:type="dxa"/>
            <w:tcBorders>
              <w:top w:val="single" w:sz="6" w:space="0" w:color="000000"/>
            </w:tcBorders>
          </w:tcPr>
          <w:p>
            <w:pPr>
              <w:pStyle w:val="GesAbsatz"/>
              <w:jc w:val="right"/>
              <w:rPr>
                <w:rFonts w:cs="Arial"/>
                <w:sz w:val="18"/>
                <w:szCs w:val="18"/>
                <w:vertAlign w:val="superscript"/>
              </w:rPr>
            </w:pPr>
            <w:r>
              <w:rPr>
                <w:rFonts w:cs="Arial"/>
                <w:sz w:val="18"/>
                <w:szCs w:val="18"/>
                <w:vertAlign w:val="superscript"/>
              </w:rPr>
              <w:t>1</w:t>
            </w:r>
          </w:p>
        </w:tc>
        <w:tc>
          <w:tcPr>
            <w:tcW w:w="6486" w:type="dxa"/>
            <w:tcBorders>
              <w:top w:val="single" w:sz="6" w:space="0" w:color="000000"/>
            </w:tcBorders>
          </w:tcPr>
          <w:p>
            <w:pPr>
              <w:pStyle w:val="GesAbsatz"/>
              <w:jc w:val="left"/>
              <w:rPr>
                <w:rFonts w:cs="Arial"/>
                <w:color w:val="auto"/>
                <w:sz w:val="18"/>
                <w:szCs w:val="18"/>
              </w:rPr>
            </w:pPr>
            <w:r>
              <w:rPr>
                <w:rFonts w:cs="Arial"/>
                <w:color w:val="auto"/>
                <w:sz w:val="18"/>
                <w:szCs w:val="18"/>
              </w:rPr>
              <w:t>Gilt für Neuanlagen.</w:t>
            </w:r>
          </w:p>
        </w:tc>
      </w:tr>
      <w:tr>
        <w:trPr>
          <w:cantSplit/>
          <w:trHeight w:val="300"/>
        </w:trPr>
        <w:tc>
          <w:tcPr>
            <w:tcW w:w="2835" w:type="dxa"/>
            <w:vMerge/>
          </w:tcPr>
          <w:p>
            <w:pPr>
              <w:pStyle w:val="GesAbsatz"/>
              <w:jc w:val="center"/>
              <w:rPr>
                <w:rFonts w:cs="Arial"/>
                <w:sz w:val="18"/>
                <w:szCs w:val="18"/>
              </w:rPr>
            </w:pPr>
          </w:p>
        </w:tc>
        <w:tc>
          <w:tcPr>
            <w:tcW w:w="426" w:type="dxa"/>
          </w:tcPr>
          <w:p>
            <w:pPr>
              <w:pStyle w:val="GesAbsatz"/>
              <w:jc w:val="right"/>
              <w:rPr>
                <w:rFonts w:cs="Arial"/>
                <w:sz w:val="18"/>
                <w:szCs w:val="18"/>
                <w:vertAlign w:val="superscript"/>
              </w:rPr>
            </w:pPr>
            <w:r>
              <w:rPr>
                <w:rFonts w:cs="Arial"/>
                <w:sz w:val="18"/>
                <w:szCs w:val="18"/>
                <w:vertAlign w:val="superscript"/>
              </w:rPr>
              <w:t>2</w:t>
            </w:r>
          </w:p>
        </w:tc>
        <w:tc>
          <w:tcPr>
            <w:tcW w:w="6486" w:type="dxa"/>
          </w:tcPr>
          <w:p>
            <w:pPr>
              <w:pStyle w:val="GesAbsatz"/>
              <w:jc w:val="left"/>
              <w:rPr>
                <w:rFonts w:cs="Arial"/>
                <w:color w:val="auto"/>
                <w:sz w:val="18"/>
                <w:szCs w:val="18"/>
              </w:rPr>
            </w:pPr>
            <w:r>
              <w:rPr>
                <w:rFonts w:cs="Arial"/>
                <w:color w:val="auto"/>
                <w:sz w:val="18"/>
                <w:szCs w:val="18"/>
              </w:rPr>
              <w:t>Gilt für bestehende Anlagen.</w:t>
            </w:r>
          </w:p>
        </w:tc>
      </w:tr>
    </w:tbl>
    <w:p>
      <w:pPr>
        <w:pStyle w:val="GesAbsatz"/>
        <w:tabs>
          <w:tab w:val="clear" w:pos="425"/>
          <w:tab w:val="left" w:pos="709"/>
        </w:tabs>
        <w:rPr>
          <w:rFonts w:cs="Arial"/>
        </w:rPr>
      </w:pPr>
      <w:r>
        <w:rPr>
          <w:rFonts w:cs="Arial"/>
        </w:rPr>
        <w:t>4.1.2</w:t>
      </w:r>
      <w:r>
        <w:rPr>
          <w:rFonts w:cs="Arial"/>
        </w:rPr>
        <w:tab/>
        <w:t>Emissionsgrenzwerte für gefasste Abgase nach dem Trockner</w:t>
      </w:r>
    </w:p>
    <w:tbl>
      <w:tblPr>
        <w:tblW w:w="9747" w:type="dxa"/>
        <w:tblLayout w:type="fixed"/>
        <w:tblLook w:val="0000" w:firstRow="0" w:lastRow="0" w:firstColumn="0" w:lastColumn="0" w:noHBand="0" w:noVBand="0"/>
      </w:tblPr>
      <w:tblGrid>
        <w:gridCol w:w="2835"/>
        <w:gridCol w:w="426"/>
        <w:gridCol w:w="6486"/>
      </w:tblGrid>
      <w:tr>
        <w:trPr>
          <w:cantSplit/>
          <w:trHeight w:val="284"/>
        </w:trPr>
        <w:tc>
          <w:tcPr>
            <w:tcW w:w="2835" w:type="dxa"/>
            <w:tcBorders>
              <w:top w:val="single" w:sz="6" w:space="0" w:color="000000"/>
              <w:bottom w:val="single" w:sz="4" w:space="0" w:color="auto"/>
            </w:tcBorders>
          </w:tcPr>
          <w:p>
            <w:pPr>
              <w:pStyle w:val="GesAbsatz"/>
              <w:jc w:val="center"/>
              <w:rPr>
                <w:rFonts w:cs="Arial"/>
                <w:sz w:val="18"/>
                <w:szCs w:val="18"/>
              </w:rPr>
            </w:pPr>
            <w:r>
              <w:rPr>
                <w:rFonts w:cs="Arial"/>
                <w:sz w:val="18"/>
                <w:szCs w:val="18"/>
              </w:rPr>
              <w:t>Emissionsgrenzwert</w:t>
            </w:r>
            <w:r>
              <w:rPr>
                <w:rFonts w:cs="Arial"/>
                <w:sz w:val="18"/>
                <w:szCs w:val="18"/>
              </w:rPr>
              <w:br/>
              <w:t>(mg C/m³)</w:t>
            </w:r>
          </w:p>
        </w:tc>
        <w:tc>
          <w:tcPr>
            <w:tcW w:w="6912" w:type="dxa"/>
            <w:gridSpan w:val="2"/>
            <w:tcBorders>
              <w:top w:val="single" w:sz="6" w:space="0" w:color="000000"/>
              <w:bottom w:val="single" w:sz="4" w:space="0" w:color="auto"/>
            </w:tcBorders>
            <w:vAlign w:val="center"/>
          </w:tcPr>
          <w:p>
            <w:pPr>
              <w:pStyle w:val="GesAbsatz"/>
              <w:jc w:val="center"/>
              <w:rPr>
                <w:rFonts w:cs="Arial"/>
                <w:sz w:val="18"/>
                <w:szCs w:val="18"/>
              </w:rPr>
            </w:pPr>
            <w:r>
              <w:rPr>
                <w:rFonts w:cs="Arial"/>
                <w:sz w:val="18"/>
                <w:szCs w:val="18"/>
              </w:rPr>
              <w:t>Bemerkungen</w:t>
            </w:r>
          </w:p>
        </w:tc>
      </w:tr>
      <w:tr>
        <w:trPr>
          <w:cantSplit/>
          <w:trHeight w:val="220"/>
        </w:trPr>
        <w:tc>
          <w:tcPr>
            <w:tcW w:w="2835" w:type="dxa"/>
            <w:tcBorders>
              <w:top w:val="single" w:sz="4" w:space="0" w:color="auto"/>
            </w:tcBorders>
          </w:tcPr>
          <w:p>
            <w:pPr>
              <w:pStyle w:val="GesAbsatz"/>
              <w:jc w:val="center"/>
              <w:rPr>
                <w:rFonts w:cs="Arial"/>
                <w:sz w:val="18"/>
                <w:szCs w:val="18"/>
                <w:vertAlign w:val="superscript"/>
              </w:rPr>
            </w:pPr>
            <w:r>
              <w:rPr>
                <w:rFonts w:cs="Arial"/>
                <w:sz w:val="18"/>
                <w:szCs w:val="18"/>
              </w:rPr>
              <w:t>50</w:t>
            </w:r>
            <w:r>
              <w:rPr>
                <w:rFonts w:cs="Arial"/>
                <w:sz w:val="18"/>
                <w:szCs w:val="18"/>
              </w:rPr>
              <w:br/>
              <w:t>20</w:t>
            </w:r>
            <w:r>
              <w:rPr>
                <w:rFonts w:cs="Arial"/>
                <w:sz w:val="18"/>
                <w:szCs w:val="18"/>
                <w:vertAlign w:val="superscript"/>
              </w:rPr>
              <w:t>1</w:t>
            </w:r>
          </w:p>
        </w:tc>
        <w:tc>
          <w:tcPr>
            <w:tcW w:w="426" w:type="dxa"/>
            <w:tcBorders>
              <w:top w:val="single" w:sz="4" w:space="0" w:color="auto"/>
            </w:tcBorders>
          </w:tcPr>
          <w:p>
            <w:pPr>
              <w:pStyle w:val="GesAbsatz"/>
              <w:jc w:val="right"/>
              <w:rPr>
                <w:rFonts w:cs="Arial"/>
                <w:color w:val="auto"/>
                <w:sz w:val="18"/>
                <w:szCs w:val="18"/>
                <w:vertAlign w:val="superscript"/>
              </w:rPr>
            </w:pPr>
            <w:r>
              <w:rPr>
                <w:rFonts w:cs="Arial"/>
                <w:color w:val="auto"/>
                <w:sz w:val="18"/>
                <w:szCs w:val="18"/>
                <w:vertAlign w:val="superscript"/>
              </w:rPr>
              <w:t>1</w:t>
            </w:r>
          </w:p>
        </w:tc>
        <w:tc>
          <w:tcPr>
            <w:tcW w:w="6486" w:type="dxa"/>
            <w:tcBorders>
              <w:top w:val="single" w:sz="4" w:space="0" w:color="auto"/>
            </w:tcBorders>
          </w:tcPr>
          <w:p>
            <w:pPr>
              <w:pStyle w:val="GesAbsatz"/>
              <w:jc w:val="left"/>
              <w:rPr>
                <w:rFonts w:cs="Arial"/>
                <w:color w:val="auto"/>
                <w:sz w:val="18"/>
                <w:szCs w:val="18"/>
              </w:rPr>
            </w:pPr>
            <w:r>
              <w:rPr>
                <w:rFonts w:cs="Arial"/>
                <w:color w:val="auto"/>
                <w:sz w:val="18"/>
                <w:szCs w:val="18"/>
              </w:rPr>
              <w:t>Bei Anwendung von Abgasreinigungseinrichtungen mit thermischer Nachverbrennung.</w:t>
            </w:r>
          </w:p>
        </w:tc>
      </w:tr>
    </w:tbl>
    <w:p>
      <w:pPr>
        <w:pStyle w:val="GesAbsatz"/>
        <w:tabs>
          <w:tab w:val="clear" w:pos="425"/>
        </w:tabs>
        <w:ind w:left="709" w:hanging="709"/>
        <w:rPr>
          <w:rFonts w:cs="Arial"/>
        </w:rPr>
      </w:pPr>
      <w:r>
        <w:rPr>
          <w:rFonts w:cs="Arial"/>
        </w:rPr>
        <w:t>4.1.3</w:t>
      </w:r>
      <w:r>
        <w:rPr>
          <w:rFonts w:cs="Arial"/>
        </w:rPr>
        <w:tab/>
        <w:t>Besondere Anforderungen</w:t>
      </w:r>
    </w:p>
    <w:p>
      <w:pPr>
        <w:pStyle w:val="GesAbsatz"/>
        <w:tabs>
          <w:tab w:val="clear" w:pos="425"/>
        </w:tabs>
        <w:ind w:left="709"/>
        <w:rPr>
          <w:rFonts w:cs="Arial"/>
        </w:rPr>
      </w:pPr>
      <w:r>
        <w:rPr>
          <w:rFonts w:cs="Arial"/>
        </w:rPr>
        <w:t>Abweichend von den Nummern 4.1.1 und 4.1.2 gelten für Anlagen mit einem Lösungsmittelverbrauch von 15 Tonnen pro Jahr oder weniger die Anforderungen nach Nummer 5.1.</w:t>
      </w:r>
    </w:p>
    <w:p>
      <w:pPr>
        <w:pStyle w:val="GesAbsatz"/>
        <w:tabs>
          <w:tab w:val="clear" w:pos="425"/>
        </w:tabs>
        <w:ind w:left="709" w:hanging="709"/>
        <w:rPr>
          <w:rFonts w:cs="Arial"/>
          <w:b/>
        </w:rPr>
      </w:pPr>
      <w:r>
        <w:rPr>
          <w:rFonts w:cs="Arial"/>
          <w:b/>
        </w:rPr>
        <w:t>4.2</w:t>
      </w:r>
      <w:r>
        <w:rPr>
          <w:rFonts w:cs="Arial"/>
          <w:b/>
        </w:rPr>
        <w:tab/>
        <w:t>Anlagen zur Serienbeschichtung von Fahrerhäusern</w:t>
      </w:r>
    </w:p>
    <w:p>
      <w:pPr>
        <w:pStyle w:val="GesAbsatz"/>
        <w:tabs>
          <w:tab w:val="clear" w:pos="425"/>
          <w:tab w:val="left" w:pos="709"/>
        </w:tabs>
        <w:ind w:left="1134" w:hanging="1134"/>
        <w:rPr>
          <w:rFonts w:cs="Arial"/>
        </w:rPr>
      </w:pPr>
      <w:r>
        <w:rPr>
          <w:rFonts w:cs="Arial"/>
        </w:rPr>
        <w:t>4.2.1</w:t>
      </w:r>
      <w:r>
        <w:rPr>
          <w:rFonts w:cs="Arial"/>
        </w:rPr>
        <w:tab/>
        <w:t>Grenzwerte für Gesamtemissionen</w:t>
      </w:r>
    </w:p>
    <w:tbl>
      <w:tblPr>
        <w:tblW w:w="9747" w:type="dxa"/>
        <w:tblLayout w:type="fixed"/>
        <w:tblLook w:val="0000" w:firstRow="0" w:lastRow="0" w:firstColumn="0" w:lastColumn="0" w:noHBand="0" w:noVBand="0"/>
      </w:tblPr>
      <w:tblGrid>
        <w:gridCol w:w="2835"/>
        <w:gridCol w:w="426"/>
        <w:gridCol w:w="6486"/>
      </w:tblGrid>
      <w:tr>
        <w:trPr>
          <w:cantSplit/>
          <w:trHeight w:val="198"/>
        </w:trPr>
        <w:tc>
          <w:tcPr>
            <w:tcW w:w="2835" w:type="dxa"/>
            <w:tcBorders>
              <w:top w:val="single" w:sz="6" w:space="0" w:color="000000"/>
              <w:bottom w:val="single" w:sz="4" w:space="0" w:color="auto"/>
            </w:tcBorders>
          </w:tcPr>
          <w:p>
            <w:pPr>
              <w:pStyle w:val="GesAbsatz"/>
              <w:jc w:val="center"/>
              <w:rPr>
                <w:rFonts w:cs="Arial"/>
                <w:sz w:val="18"/>
                <w:szCs w:val="18"/>
              </w:rPr>
            </w:pPr>
            <w:r>
              <w:rPr>
                <w:rFonts w:cs="Arial"/>
                <w:sz w:val="18"/>
                <w:szCs w:val="18"/>
              </w:rPr>
              <w:t>Gesamtemissionsgrenzwert</w:t>
            </w:r>
            <w:r>
              <w:rPr>
                <w:rFonts w:cs="Arial"/>
                <w:sz w:val="18"/>
                <w:szCs w:val="18"/>
              </w:rPr>
              <w:br/>
              <w:t>(g/m²)</w:t>
            </w:r>
          </w:p>
        </w:tc>
        <w:tc>
          <w:tcPr>
            <w:tcW w:w="6912" w:type="dxa"/>
            <w:gridSpan w:val="2"/>
            <w:tcBorders>
              <w:top w:val="single" w:sz="6" w:space="0" w:color="000000"/>
              <w:bottom w:val="single" w:sz="4" w:space="0" w:color="auto"/>
            </w:tcBorders>
            <w:vAlign w:val="center"/>
          </w:tcPr>
          <w:p>
            <w:pPr>
              <w:pStyle w:val="GesAbsatz"/>
              <w:jc w:val="center"/>
              <w:rPr>
                <w:rFonts w:cs="Arial"/>
                <w:sz w:val="18"/>
                <w:szCs w:val="18"/>
              </w:rPr>
            </w:pPr>
            <w:r>
              <w:rPr>
                <w:rFonts w:cs="Arial"/>
                <w:sz w:val="18"/>
                <w:szCs w:val="18"/>
              </w:rPr>
              <w:t>Bemerkungen</w:t>
            </w:r>
          </w:p>
        </w:tc>
      </w:tr>
      <w:tr>
        <w:trPr>
          <w:cantSplit/>
          <w:trHeight w:val="298"/>
        </w:trPr>
        <w:tc>
          <w:tcPr>
            <w:tcW w:w="2835" w:type="dxa"/>
            <w:tcBorders>
              <w:top w:val="single" w:sz="4" w:space="0" w:color="auto"/>
            </w:tcBorders>
          </w:tcPr>
          <w:p>
            <w:pPr>
              <w:pStyle w:val="GesAbsatz"/>
              <w:jc w:val="center"/>
              <w:rPr>
                <w:rFonts w:cs="Arial"/>
                <w:sz w:val="18"/>
                <w:szCs w:val="18"/>
                <w:vertAlign w:val="superscript"/>
              </w:rPr>
            </w:pPr>
            <w:r>
              <w:rPr>
                <w:rFonts w:cs="Arial"/>
                <w:sz w:val="18"/>
                <w:szCs w:val="18"/>
              </w:rPr>
              <w:t>20</w:t>
            </w:r>
            <w:r>
              <w:rPr>
                <w:rFonts w:cs="Arial"/>
                <w:sz w:val="18"/>
                <w:szCs w:val="18"/>
                <w:vertAlign w:val="superscript"/>
              </w:rPr>
              <w:t>1</w:t>
            </w:r>
          </w:p>
        </w:tc>
        <w:tc>
          <w:tcPr>
            <w:tcW w:w="426" w:type="dxa"/>
            <w:tcBorders>
              <w:top w:val="single" w:sz="4" w:space="0" w:color="auto"/>
            </w:tcBorders>
          </w:tcPr>
          <w:p>
            <w:pPr>
              <w:pStyle w:val="GesAbsatz"/>
              <w:jc w:val="right"/>
              <w:rPr>
                <w:rFonts w:cs="Arial"/>
                <w:sz w:val="18"/>
                <w:szCs w:val="18"/>
                <w:vertAlign w:val="superscript"/>
              </w:rPr>
            </w:pPr>
            <w:r>
              <w:rPr>
                <w:rFonts w:cs="Arial"/>
                <w:sz w:val="18"/>
                <w:szCs w:val="18"/>
                <w:vertAlign w:val="superscript"/>
              </w:rPr>
              <w:t>1</w:t>
            </w:r>
          </w:p>
        </w:tc>
        <w:tc>
          <w:tcPr>
            <w:tcW w:w="6486" w:type="dxa"/>
            <w:tcBorders>
              <w:top w:val="single" w:sz="4" w:space="0" w:color="auto"/>
            </w:tcBorders>
          </w:tcPr>
          <w:p>
            <w:pPr>
              <w:pStyle w:val="GesAbsatz"/>
              <w:jc w:val="left"/>
              <w:rPr>
                <w:rFonts w:cs="Arial"/>
                <w:sz w:val="18"/>
                <w:szCs w:val="18"/>
              </w:rPr>
            </w:pPr>
            <w:r>
              <w:rPr>
                <w:rFonts w:cs="Arial"/>
                <w:sz w:val="18"/>
                <w:szCs w:val="18"/>
              </w:rPr>
              <w:t>Gilt für Neuanlagen.</w:t>
            </w:r>
          </w:p>
        </w:tc>
      </w:tr>
      <w:tr>
        <w:trPr>
          <w:cantSplit/>
          <w:trHeight w:val="298"/>
        </w:trPr>
        <w:tc>
          <w:tcPr>
            <w:tcW w:w="2835" w:type="dxa"/>
          </w:tcPr>
          <w:p>
            <w:pPr>
              <w:pStyle w:val="GesAbsatz"/>
              <w:jc w:val="center"/>
              <w:rPr>
                <w:rFonts w:cs="Arial"/>
                <w:sz w:val="18"/>
                <w:szCs w:val="18"/>
                <w:vertAlign w:val="superscript"/>
              </w:rPr>
            </w:pPr>
            <w:r>
              <w:rPr>
                <w:rFonts w:cs="Arial"/>
                <w:sz w:val="18"/>
                <w:szCs w:val="18"/>
              </w:rPr>
              <w:t>40</w:t>
            </w:r>
            <w:r>
              <w:rPr>
                <w:rFonts w:cs="Arial"/>
                <w:sz w:val="18"/>
                <w:szCs w:val="18"/>
                <w:vertAlign w:val="superscript"/>
              </w:rPr>
              <w:t>2</w:t>
            </w:r>
          </w:p>
        </w:tc>
        <w:tc>
          <w:tcPr>
            <w:tcW w:w="426" w:type="dxa"/>
          </w:tcPr>
          <w:p>
            <w:pPr>
              <w:pStyle w:val="GesAbsatz"/>
              <w:jc w:val="right"/>
              <w:rPr>
                <w:rFonts w:cs="Arial"/>
                <w:sz w:val="18"/>
                <w:szCs w:val="18"/>
                <w:vertAlign w:val="superscript"/>
              </w:rPr>
            </w:pPr>
            <w:r>
              <w:rPr>
                <w:rFonts w:cs="Arial"/>
                <w:sz w:val="18"/>
                <w:szCs w:val="18"/>
                <w:vertAlign w:val="superscript"/>
              </w:rPr>
              <w:t>2</w:t>
            </w:r>
          </w:p>
        </w:tc>
        <w:tc>
          <w:tcPr>
            <w:tcW w:w="6486" w:type="dxa"/>
          </w:tcPr>
          <w:p>
            <w:pPr>
              <w:pStyle w:val="GesAbsatz"/>
              <w:jc w:val="left"/>
              <w:rPr>
                <w:rFonts w:cs="Arial"/>
                <w:sz w:val="18"/>
                <w:szCs w:val="18"/>
              </w:rPr>
            </w:pPr>
            <w:r>
              <w:rPr>
                <w:rFonts w:cs="Arial"/>
                <w:sz w:val="18"/>
                <w:szCs w:val="18"/>
              </w:rPr>
              <w:t>Gilt für bestehende Anlagen.</w:t>
            </w:r>
          </w:p>
        </w:tc>
      </w:tr>
    </w:tbl>
    <w:p>
      <w:pPr>
        <w:pStyle w:val="GesAbsatz"/>
        <w:tabs>
          <w:tab w:val="clear" w:pos="425"/>
          <w:tab w:val="left" w:pos="709"/>
        </w:tabs>
      </w:pPr>
      <w:r>
        <w:rPr>
          <w:rFonts w:cs="Arial"/>
        </w:rPr>
        <w:t>4.2.2</w:t>
      </w:r>
      <w:r>
        <w:rPr>
          <w:rFonts w:cs="Arial"/>
        </w:rPr>
        <w:tab/>
        <w:t>Emissionsgrenzwerte für gefasste Abgase nach dem Trockner</w:t>
      </w:r>
    </w:p>
    <w:tbl>
      <w:tblPr>
        <w:tblW w:w="9747" w:type="dxa"/>
        <w:tblLook w:val="0000" w:firstRow="0" w:lastRow="0" w:firstColumn="0" w:lastColumn="0" w:noHBand="0" w:noVBand="0"/>
      </w:tblPr>
      <w:tblGrid>
        <w:gridCol w:w="2835"/>
        <w:gridCol w:w="426"/>
        <w:gridCol w:w="6486"/>
      </w:tblGrid>
      <w:tr>
        <w:trPr>
          <w:cantSplit/>
          <w:trHeight w:val="387"/>
        </w:trPr>
        <w:tc>
          <w:tcPr>
            <w:tcW w:w="2835" w:type="dxa"/>
            <w:tcBorders>
              <w:top w:val="single" w:sz="4" w:space="0" w:color="auto"/>
              <w:bottom w:val="single" w:sz="4" w:space="0" w:color="auto"/>
            </w:tcBorders>
            <w:vAlign w:val="center"/>
          </w:tcPr>
          <w:p>
            <w:pPr>
              <w:pStyle w:val="GesAbsatz"/>
              <w:jc w:val="center"/>
              <w:rPr>
                <w:rFonts w:cs="Arial"/>
                <w:sz w:val="18"/>
                <w:szCs w:val="18"/>
              </w:rPr>
            </w:pPr>
            <w:r>
              <w:rPr>
                <w:rFonts w:cs="Arial"/>
                <w:sz w:val="18"/>
                <w:szCs w:val="18"/>
              </w:rPr>
              <w:lastRenderedPageBreak/>
              <w:t>Emissionsgrenzwert</w:t>
            </w:r>
            <w:r>
              <w:rPr>
                <w:rFonts w:cs="Arial"/>
                <w:sz w:val="18"/>
                <w:szCs w:val="18"/>
              </w:rPr>
              <w:br/>
              <w:t>(mg C/m³)</w:t>
            </w:r>
          </w:p>
        </w:tc>
        <w:tc>
          <w:tcPr>
            <w:tcW w:w="6912" w:type="dxa"/>
            <w:gridSpan w:val="2"/>
            <w:tcBorders>
              <w:top w:val="single" w:sz="4" w:space="0" w:color="auto"/>
              <w:bottom w:val="single" w:sz="4" w:space="0" w:color="auto"/>
            </w:tcBorders>
            <w:vAlign w:val="center"/>
          </w:tcPr>
          <w:p>
            <w:pPr>
              <w:pStyle w:val="GesAbsatz"/>
              <w:jc w:val="center"/>
              <w:rPr>
                <w:rFonts w:cs="Arial"/>
                <w:sz w:val="18"/>
                <w:szCs w:val="18"/>
              </w:rPr>
            </w:pPr>
            <w:r>
              <w:rPr>
                <w:rFonts w:cs="Arial"/>
                <w:sz w:val="18"/>
                <w:szCs w:val="18"/>
              </w:rPr>
              <w:t>Bemerkungen</w:t>
            </w:r>
          </w:p>
        </w:tc>
      </w:tr>
      <w:tr>
        <w:trPr>
          <w:cantSplit/>
          <w:trHeight w:val="298"/>
        </w:trPr>
        <w:tc>
          <w:tcPr>
            <w:tcW w:w="2835" w:type="dxa"/>
            <w:tcBorders>
              <w:top w:val="single" w:sz="4" w:space="0" w:color="auto"/>
            </w:tcBorders>
            <w:vAlign w:val="center"/>
          </w:tcPr>
          <w:p>
            <w:pPr>
              <w:pStyle w:val="GesAbsatz"/>
              <w:jc w:val="center"/>
              <w:rPr>
                <w:rFonts w:cs="Arial"/>
                <w:sz w:val="18"/>
                <w:szCs w:val="18"/>
                <w:vertAlign w:val="superscript"/>
              </w:rPr>
            </w:pPr>
            <w:r>
              <w:rPr>
                <w:rFonts w:cs="Arial"/>
                <w:sz w:val="18"/>
                <w:szCs w:val="18"/>
              </w:rPr>
              <w:t>50</w:t>
            </w:r>
            <w:r>
              <w:rPr>
                <w:rFonts w:cs="Arial"/>
                <w:sz w:val="18"/>
                <w:szCs w:val="18"/>
              </w:rPr>
              <w:br/>
              <w:t>20</w:t>
            </w:r>
            <w:r>
              <w:rPr>
                <w:rFonts w:cs="Arial"/>
                <w:sz w:val="18"/>
                <w:szCs w:val="18"/>
                <w:vertAlign w:val="superscript"/>
              </w:rPr>
              <w:t>1</w:t>
            </w:r>
          </w:p>
        </w:tc>
        <w:tc>
          <w:tcPr>
            <w:tcW w:w="426" w:type="dxa"/>
            <w:tcBorders>
              <w:top w:val="single" w:sz="4" w:space="0" w:color="auto"/>
            </w:tcBorders>
          </w:tcPr>
          <w:p>
            <w:pPr>
              <w:pStyle w:val="GesAbsatz"/>
              <w:jc w:val="right"/>
              <w:rPr>
                <w:rFonts w:cs="Arial"/>
                <w:sz w:val="18"/>
                <w:szCs w:val="18"/>
                <w:vertAlign w:val="superscript"/>
              </w:rPr>
            </w:pPr>
            <w:r>
              <w:rPr>
                <w:rFonts w:cs="Arial"/>
                <w:sz w:val="18"/>
                <w:szCs w:val="18"/>
                <w:vertAlign w:val="superscript"/>
              </w:rPr>
              <w:t>1</w:t>
            </w:r>
          </w:p>
        </w:tc>
        <w:tc>
          <w:tcPr>
            <w:tcW w:w="6486" w:type="dxa"/>
            <w:tcBorders>
              <w:top w:val="single" w:sz="4" w:space="0" w:color="auto"/>
            </w:tcBorders>
            <w:vAlign w:val="center"/>
          </w:tcPr>
          <w:p>
            <w:pPr>
              <w:pStyle w:val="GesAbsatz"/>
              <w:rPr>
                <w:rFonts w:cs="Arial"/>
                <w:sz w:val="18"/>
                <w:szCs w:val="18"/>
              </w:rPr>
            </w:pPr>
            <w:r>
              <w:rPr>
                <w:rFonts w:cs="Arial"/>
                <w:sz w:val="18"/>
                <w:szCs w:val="18"/>
              </w:rPr>
              <w:t>Bei Anwendung von Abgasreinigungseinrichtungen mit thermischer Nachverbrennung.</w:t>
            </w:r>
          </w:p>
        </w:tc>
      </w:tr>
    </w:tbl>
    <w:p>
      <w:pPr>
        <w:pStyle w:val="GesAbsatz"/>
        <w:tabs>
          <w:tab w:val="clear" w:pos="425"/>
        </w:tabs>
        <w:ind w:left="709" w:hanging="709"/>
        <w:rPr>
          <w:rFonts w:cs="Arial"/>
        </w:rPr>
      </w:pPr>
      <w:r>
        <w:rPr>
          <w:rFonts w:cs="Arial"/>
        </w:rPr>
        <w:t>4.2.3</w:t>
      </w:r>
      <w:r>
        <w:rPr>
          <w:rFonts w:cs="Arial"/>
        </w:rPr>
        <w:tab/>
        <w:t>Besondere Anforderungen</w:t>
      </w:r>
    </w:p>
    <w:p>
      <w:pPr>
        <w:pStyle w:val="GesAbsatz"/>
        <w:tabs>
          <w:tab w:val="clear" w:pos="425"/>
        </w:tabs>
        <w:ind w:left="709"/>
      </w:pPr>
      <w:r>
        <w:rPr>
          <w:rFonts w:cs="Arial"/>
        </w:rPr>
        <w:t>Abweichend von den Nummern 4.2.1 und 4.2.2 gelten für Anlagen mit einem Lösungsmittelverbrauch von 15 Tonnen pro Jahr oder weniger die Anforderungen nach Nummer 5.1.</w:t>
      </w:r>
    </w:p>
    <w:p>
      <w:pPr>
        <w:pStyle w:val="GesAbsatz"/>
        <w:tabs>
          <w:tab w:val="clear" w:pos="425"/>
        </w:tabs>
        <w:ind w:left="709" w:hanging="709"/>
        <w:rPr>
          <w:b/>
          <w:bCs/>
        </w:rPr>
      </w:pPr>
      <w:r>
        <w:rPr>
          <w:rFonts w:cs="Arial"/>
          <w:b/>
          <w:bCs/>
        </w:rPr>
        <w:t>4.3</w:t>
      </w:r>
      <w:r>
        <w:rPr>
          <w:rFonts w:cs="Arial"/>
          <w:b/>
          <w:bCs/>
        </w:rPr>
        <w:tab/>
        <w:t>Anlagen zum Beschichten von Nutzfahrzeugen</w:t>
      </w:r>
    </w:p>
    <w:p>
      <w:pPr>
        <w:pStyle w:val="GesAbsatz"/>
        <w:tabs>
          <w:tab w:val="clear" w:pos="425"/>
        </w:tabs>
        <w:ind w:left="709" w:hanging="709"/>
        <w:rPr>
          <w:rFonts w:cs="Arial"/>
        </w:rPr>
      </w:pPr>
      <w:r>
        <w:rPr>
          <w:rFonts w:cs="Arial"/>
        </w:rPr>
        <w:t>4.3.1.</w:t>
      </w:r>
      <w:r>
        <w:rPr>
          <w:rFonts w:cs="Arial"/>
        </w:rPr>
        <w:tab/>
        <w:t>Anlagen zum Beschichten von Lieferwagen</w:t>
      </w:r>
    </w:p>
    <w:p>
      <w:pPr>
        <w:pStyle w:val="GesAbsatz"/>
        <w:tabs>
          <w:tab w:val="clear" w:pos="425"/>
        </w:tabs>
        <w:ind w:left="709" w:hanging="709"/>
      </w:pPr>
      <w:r>
        <w:rPr>
          <w:rFonts w:cs="Arial"/>
        </w:rPr>
        <w:t>4.3.1.1</w:t>
      </w:r>
      <w:r>
        <w:rPr>
          <w:rFonts w:cs="Arial"/>
        </w:rPr>
        <w:tab/>
        <w:t>Grenzwerte für die Gesamtemissionen</w:t>
      </w:r>
    </w:p>
    <w:tbl>
      <w:tblPr>
        <w:tblW w:w="9747" w:type="dxa"/>
        <w:tblLayout w:type="fixed"/>
        <w:tblLook w:val="0000" w:firstRow="0" w:lastRow="0" w:firstColumn="0" w:lastColumn="0" w:noHBand="0" w:noVBand="0"/>
      </w:tblPr>
      <w:tblGrid>
        <w:gridCol w:w="2835"/>
        <w:gridCol w:w="426"/>
        <w:gridCol w:w="6486"/>
      </w:tblGrid>
      <w:tr>
        <w:trPr>
          <w:cantSplit/>
          <w:trHeight w:val="347"/>
        </w:trPr>
        <w:tc>
          <w:tcPr>
            <w:tcW w:w="2835" w:type="dxa"/>
            <w:tcBorders>
              <w:top w:val="single" w:sz="6" w:space="0" w:color="000000"/>
              <w:bottom w:val="single" w:sz="4" w:space="0" w:color="auto"/>
            </w:tcBorders>
          </w:tcPr>
          <w:p>
            <w:pPr>
              <w:pStyle w:val="GesAbsatz"/>
              <w:jc w:val="center"/>
              <w:rPr>
                <w:rFonts w:cs="Arial"/>
                <w:sz w:val="18"/>
                <w:szCs w:val="18"/>
              </w:rPr>
            </w:pPr>
            <w:r>
              <w:rPr>
                <w:rFonts w:cs="Arial"/>
                <w:sz w:val="18"/>
                <w:szCs w:val="18"/>
              </w:rPr>
              <w:t>Gesamtemissionsgrenzwert</w:t>
            </w:r>
            <w:r>
              <w:rPr>
                <w:rFonts w:cs="Arial"/>
                <w:sz w:val="18"/>
                <w:szCs w:val="18"/>
              </w:rPr>
              <w:br/>
              <w:t>(g/m²)</w:t>
            </w:r>
          </w:p>
        </w:tc>
        <w:tc>
          <w:tcPr>
            <w:tcW w:w="6912" w:type="dxa"/>
            <w:gridSpan w:val="2"/>
            <w:tcBorders>
              <w:top w:val="single" w:sz="6" w:space="0" w:color="000000"/>
              <w:bottom w:val="single" w:sz="4" w:space="0" w:color="auto"/>
            </w:tcBorders>
            <w:vAlign w:val="center"/>
          </w:tcPr>
          <w:p>
            <w:pPr>
              <w:pStyle w:val="GesAbsatz"/>
              <w:jc w:val="center"/>
              <w:rPr>
                <w:rFonts w:cs="Arial"/>
                <w:sz w:val="18"/>
                <w:szCs w:val="18"/>
              </w:rPr>
            </w:pPr>
            <w:r>
              <w:rPr>
                <w:rFonts w:cs="Arial"/>
                <w:sz w:val="18"/>
                <w:szCs w:val="18"/>
              </w:rPr>
              <w:t>Bemerkungen</w:t>
            </w:r>
          </w:p>
        </w:tc>
      </w:tr>
      <w:tr>
        <w:trPr>
          <w:cantSplit/>
          <w:trHeight w:val="300"/>
        </w:trPr>
        <w:tc>
          <w:tcPr>
            <w:tcW w:w="2835" w:type="dxa"/>
            <w:vMerge w:val="restart"/>
            <w:tcBorders>
              <w:top w:val="single" w:sz="4" w:space="0" w:color="auto"/>
            </w:tcBorders>
          </w:tcPr>
          <w:p>
            <w:pPr>
              <w:pStyle w:val="GesAbsatz"/>
              <w:jc w:val="center"/>
              <w:rPr>
                <w:rFonts w:cs="Arial"/>
                <w:sz w:val="18"/>
                <w:szCs w:val="18"/>
                <w:vertAlign w:val="superscript"/>
              </w:rPr>
            </w:pPr>
            <w:r>
              <w:rPr>
                <w:rFonts w:cs="Arial"/>
                <w:sz w:val="18"/>
                <w:szCs w:val="18"/>
              </w:rPr>
              <w:t>70</w:t>
            </w:r>
            <w:r>
              <w:rPr>
                <w:rFonts w:cs="Arial"/>
                <w:sz w:val="18"/>
                <w:szCs w:val="18"/>
              </w:rPr>
              <w:br/>
              <w:t>20</w:t>
            </w:r>
            <w:r>
              <w:rPr>
                <w:rFonts w:cs="Arial"/>
                <w:sz w:val="18"/>
                <w:szCs w:val="18"/>
                <w:vertAlign w:val="superscript"/>
              </w:rPr>
              <w:t>1</w:t>
            </w:r>
            <w:r>
              <w:rPr>
                <w:rFonts w:cs="Arial"/>
                <w:sz w:val="18"/>
                <w:szCs w:val="18"/>
                <w:vertAlign w:val="superscript"/>
              </w:rPr>
              <w:br/>
            </w:r>
            <w:r>
              <w:rPr>
                <w:rFonts w:cs="Arial"/>
                <w:sz w:val="18"/>
                <w:szCs w:val="18"/>
              </w:rPr>
              <w:t>40</w:t>
            </w:r>
            <w:r>
              <w:rPr>
                <w:rFonts w:cs="Arial"/>
                <w:sz w:val="18"/>
                <w:szCs w:val="18"/>
                <w:vertAlign w:val="superscript"/>
              </w:rPr>
              <w:t>2</w:t>
            </w:r>
          </w:p>
        </w:tc>
        <w:tc>
          <w:tcPr>
            <w:tcW w:w="426" w:type="dxa"/>
            <w:tcBorders>
              <w:top w:val="single" w:sz="4" w:space="0" w:color="auto"/>
            </w:tcBorders>
          </w:tcPr>
          <w:p>
            <w:pPr>
              <w:pStyle w:val="GesAbsatz"/>
              <w:jc w:val="right"/>
              <w:rPr>
                <w:rFonts w:cs="Arial"/>
                <w:sz w:val="18"/>
                <w:szCs w:val="18"/>
                <w:vertAlign w:val="superscript"/>
              </w:rPr>
            </w:pPr>
            <w:r>
              <w:rPr>
                <w:rFonts w:cs="Arial"/>
                <w:sz w:val="18"/>
                <w:szCs w:val="18"/>
                <w:vertAlign w:val="superscript"/>
              </w:rPr>
              <w:t>1</w:t>
            </w:r>
          </w:p>
        </w:tc>
        <w:tc>
          <w:tcPr>
            <w:tcW w:w="6486" w:type="dxa"/>
            <w:tcBorders>
              <w:top w:val="single" w:sz="4" w:space="0" w:color="auto"/>
            </w:tcBorders>
          </w:tcPr>
          <w:p>
            <w:pPr>
              <w:pStyle w:val="GesAbsatz"/>
              <w:rPr>
                <w:rFonts w:cs="Arial"/>
                <w:sz w:val="18"/>
                <w:szCs w:val="18"/>
              </w:rPr>
            </w:pPr>
            <w:r>
              <w:rPr>
                <w:rFonts w:cs="Arial"/>
                <w:sz w:val="18"/>
                <w:szCs w:val="18"/>
              </w:rPr>
              <w:t>Gilt für neue Anlagen der Richtlinie 2010/75/EU.</w:t>
            </w:r>
          </w:p>
        </w:tc>
      </w:tr>
      <w:tr>
        <w:trPr>
          <w:cantSplit/>
          <w:trHeight w:val="300"/>
        </w:trPr>
        <w:tc>
          <w:tcPr>
            <w:tcW w:w="2835" w:type="dxa"/>
            <w:vMerge/>
          </w:tcPr>
          <w:p>
            <w:pPr>
              <w:pStyle w:val="GesAbsatz"/>
              <w:jc w:val="center"/>
              <w:rPr>
                <w:rFonts w:cs="Arial"/>
                <w:sz w:val="18"/>
                <w:szCs w:val="18"/>
              </w:rPr>
            </w:pPr>
          </w:p>
        </w:tc>
        <w:tc>
          <w:tcPr>
            <w:tcW w:w="426" w:type="dxa"/>
          </w:tcPr>
          <w:p>
            <w:pPr>
              <w:pStyle w:val="GesAbsatz"/>
              <w:jc w:val="right"/>
              <w:rPr>
                <w:rFonts w:cs="Arial"/>
                <w:sz w:val="18"/>
                <w:szCs w:val="18"/>
                <w:vertAlign w:val="superscript"/>
              </w:rPr>
            </w:pPr>
            <w:r>
              <w:rPr>
                <w:rFonts w:cs="Arial"/>
                <w:sz w:val="18"/>
                <w:szCs w:val="18"/>
                <w:vertAlign w:val="superscript"/>
              </w:rPr>
              <w:t>2</w:t>
            </w:r>
          </w:p>
        </w:tc>
        <w:tc>
          <w:tcPr>
            <w:tcW w:w="6486" w:type="dxa"/>
          </w:tcPr>
          <w:p>
            <w:pPr>
              <w:pStyle w:val="GesAbsatz"/>
              <w:rPr>
                <w:rFonts w:cs="Arial"/>
                <w:sz w:val="18"/>
                <w:szCs w:val="18"/>
              </w:rPr>
            </w:pPr>
            <w:r>
              <w:rPr>
                <w:rFonts w:cs="Arial"/>
                <w:sz w:val="18"/>
                <w:szCs w:val="18"/>
              </w:rPr>
              <w:t>Gilt für bestehende Anlagen der Richtlinie 2010/75/EU (Sonderregelung).</w:t>
            </w:r>
          </w:p>
        </w:tc>
      </w:tr>
    </w:tbl>
    <w:p>
      <w:pPr>
        <w:pStyle w:val="GesAbsatz"/>
        <w:tabs>
          <w:tab w:val="clear" w:pos="425"/>
        </w:tabs>
        <w:ind w:left="709" w:hanging="709"/>
      </w:pPr>
      <w:r>
        <w:rPr>
          <w:rFonts w:cs="Arial"/>
        </w:rPr>
        <w:t>4.3.1.2</w:t>
      </w:r>
      <w:r>
        <w:rPr>
          <w:rFonts w:cs="Arial"/>
        </w:rPr>
        <w:tab/>
        <w:t>Emissionsgrenzwerte für gefasste Abgase nach dem Trockner</w:t>
      </w:r>
    </w:p>
    <w:tbl>
      <w:tblPr>
        <w:tblW w:w="9747" w:type="dxa"/>
        <w:tblLayout w:type="fixed"/>
        <w:tblLook w:val="0000" w:firstRow="0" w:lastRow="0" w:firstColumn="0" w:lastColumn="0" w:noHBand="0" w:noVBand="0"/>
      </w:tblPr>
      <w:tblGrid>
        <w:gridCol w:w="2835"/>
        <w:gridCol w:w="426"/>
        <w:gridCol w:w="6486"/>
      </w:tblGrid>
      <w:tr>
        <w:trPr>
          <w:cantSplit/>
          <w:trHeight w:val="550"/>
        </w:trPr>
        <w:tc>
          <w:tcPr>
            <w:tcW w:w="2835" w:type="dxa"/>
            <w:tcBorders>
              <w:top w:val="single" w:sz="6" w:space="0" w:color="000000"/>
              <w:bottom w:val="single" w:sz="4" w:space="0" w:color="auto"/>
            </w:tcBorders>
          </w:tcPr>
          <w:p>
            <w:pPr>
              <w:pStyle w:val="GesAbsatz"/>
              <w:jc w:val="center"/>
              <w:rPr>
                <w:rFonts w:cs="Arial"/>
                <w:sz w:val="18"/>
                <w:szCs w:val="18"/>
              </w:rPr>
            </w:pPr>
            <w:r>
              <w:rPr>
                <w:rFonts w:cs="Arial"/>
                <w:sz w:val="18"/>
                <w:szCs w:val="18"/>
              </w:rPr>
              <w:t>Emissionsgrenzwert</w:t>
            </w:r>
            <w:r>
              <w:rPr>
                <w:rFonts w:cs="Arial"/>
                <w:sz w:val="18"/>
                <w:szCs w:val="18"/>
              </w:rPr>
              <w:br/>
              <w:t>(mg C/m³)</w:t>
            </w:r>
          </w:p>
        </w:tc>
        <w:tc>
          <w:tcPr>
            <w:tcW w:w="6912" w:type="dxa"/>
            <w:gridSpan w:val="2"/>
            <w:tcBorders>
              <w:top w:val="single" w:sz="6" w:space="0" w:color="000000"/>
              <w:bottom w:val="single" w:sz="4" w:space="0" w:color="auto"/>
            </w:tcBorders>
            <w:vAlign w:val="center"/>
          </w:tcPr>
          <w:p>
            <w:pPr>
              <w:pStyle w:val="GesAbsatz"/>
              <w:jc w:val="center"/>
              <w:rPr>
                <w:rFonts w:cs="Arial"/>
                <w:sz w:val="18"/>
                <w:szCs w:val="18"/>
              </w:rPr>
            </w:pPr>
            <w:r>
              <w:rPr>
                <w:rFonts w:cs="Arial"/>
                <w:sz w:val="18"/>
                <w:szCs w:val="18"/>
              </w:rPr>
              <w:t>Bemerkungen</w:t>
            </w:r>
          </w:p>
        </w:tc>
      </w:tr>
      <w:tr>
        <w:trPr>
          <w:cantSplit/>
          <w:trHeight w:val="300"/>
        </w:trPr>
        <w:tc>
          <w:tcPr>
            <w:tcW w:w="2835" w:type="dxa"/>
            <w:tcBorders>
              <w:top w:val="single" w:sz="4" w:space="0" w:color="auto"/>
            </w:tcBorders>
          </w:tcPr>
          <w:p>
            <w:pPr>
              <w:pStyle w:val="GesAbsatz"/>
              <w:jc w:val="center"/>
              <w:rPr>
                <w:rFonts w:cs="Arial"/>
                <w:sz w:val="18"/>
                <w:szCs w:val="18"/>
                <w:vertAlign w:val="superscript"/>
              </w:rPr>
            </w:pPr>
            <w:r>
              <w:rPr>
                <w:rFonts w:cs="Arial"/>
                <w:sz w:val="18"/>
                <w:szCs w:val="18"/>
              </w:rPr>
              <w:t>50</w:t>
            </w:r>
            <w:r>
              <w:rPr>
                <w:rFonts w:cs="Arial"/>
                <w:sz w:val="18"/>
                <w:szCs w:val="18"/>
              </w:rPr>
              <w:br/>
              <w:t>20</w:t>
            </w:r>
            <w:r>
              <w:rPr>
                <w:rFonts w:cs="Arial"/>
                <w:sz w:val="18"/>
                <w:szCs w:val="18"/>
                <w:vertAlign w:val="superscript"/>
              </w:rPr>
              <w:t>1</w:t>
            </w:r>
          </w:p>
        </w:tc>
        <w:tc>
          <w:tcPr>
            <w:tcW w:w="426" w:type="dxa"/>
            <w:tcBorders>
              <w:top w:val="single" w:sz="4" w:space="0" w:color="auto"/>
            </w:tcBorders>
          </w:tcPr>
          <w:p>
            <w:pPr>
              <w:pStyle w:val="GesAbsatz"/>
              <w:jc w:val="right"/>
              <w:rPr>
                <w:rFonts w:cs="Arial"/>
                <w:sz w:val="18"/>
                <w:szCs w:val="18"/>
                <w:vertAlign w:val="superscript"/>
              </w:rPr>
            </w:pPr>
            <w:r>
              <w:rPr>
                <w:rFonts w:cs="Arial"/>
                <w:sz w:val="18"/>
                <w:szCs w:val="18"/>
                <w:vertAlign w:val="superscript"/>
              </w:rPr>
              <w:t>1</w:t>
            </w:r>
          </w:p>
        </w:tc>
        <w:tc>
          <w:tcPr>
            <w:tcW w:w="6486" w:type="dxa"/>
            <w:tcBorders>
              <w:top w:val="single" w:sz="4" w:space="0" w:color="auto"/>
            </w:tcBorders>
          </w:tcPr>
          <w:p>
            <w:pPr>
              <w:pStyle w:val="GesAbsatz"/>
              <w:jc w:val="left"/>
              <w:rPr>
                <w:rFonts w:cs="Arial"/>
                <w:sz w:val="18"/>
                <w:szCs w:val="18"/>
              </w:rPr>
            </w:pPr>
            <w:r>
              <w:rPr>
                <w:rFonts w:cs="Arial"/>
                <w:sz w:val="18"/>
                <w:szCs w:val="18"/>
              </w:rPr>
              <w:t>Bei Anwendung von Abgasreinigungseinrichtungen mit thermischer Nachverbrennung.</w:t>
            </w:r>
          </w:p>
        </w:tc>
      </w:tr>
    </w:tbl>
    <w:p>
      <w:pPr>
        <w:pStyle w:val="GesAbsatz"/>
        <w:tabs>
          <w:tab w:val="clear" w:pos="425"/>
          <w:tab w:val="left" w:pos="709"/>
        </w:tabs>
        <w:ind w:left="709" w:hanging="709"/>
      </w:pPr>
      <w:r>
        <w:t>4.3.1.3</w:t>
      </w:r>
      <w:r>
        <w:tab/>
        <w:t>Besondere Anforderungen</w:t>
      </w:r>
    </w:p>
    <w:p>
      <w:pPr>
        <w:pStyle w:val="GesAbsatz"/>
        <w:tabs>
          <w:tab w:val="clear" w:pos="425"/>
          <w:tab w:val="left" w:pos="709"/>
        </w:tabs>
        <w:ind w:left="709"/>
      </w:pPr>
      <w:r>
        <w:t>Abweichend von den Nummern 4.3.1.1 und 4.3.1.2 gelten für Anlagen mit einem Lösungsmittelverbrauch von 15 Tonnen pro Jahr oder weniger die Anforderungen nach Nummer 5.1.</w:t>
      </w:r>
    </w:p>
    <w:p>
      <w:pPr>
        <w:pStyle w:val="GesAbsatz"/>
        <w:tabs>
          <w:tab w:val="clear" w:pos="425"/>
          <w:tab w:val="left" w:pos="709"/>
        </w:tabs>
        <w:ind w:left="709" w:hanging="709"/>
      </w:pPr>
      <w:r>
        <w:t>4.3.2</w:t>
      </w:r>
      <w:r>
        <w:tab/>
        <w:t>Anlagen zum Beschichten von Lastkraftwagen</w:t>
      </w:r>
    </w:p>
    <w:p>
      <w:pPr>
        <w:pStyle w:val="GesAbsatz"/>
        <w:tabs>
          <w:tab w:val="clear" w:pos="425"/>
          <w:tab w:val="left" w:pos="709"/>
        </w:tabs>
        <w:ind w:left="709" w:hanging="709"/>
      </w:pPr>
      <w:r>
        <w:t>4.3.2.1</w:t>
      </w:r>
      <w:r>
        <w:tab/>
        <w:t>Grenzwerte für Gesamtemissionen</w:t>
      </w:r>
    </w:p>
    <w:tbl>
      <w:tblPr>
        <w:tblW w:w="9747" w:type="dxa"/>
        <w:tblLayout w:type="fixed"/>
        <w:tblLook w:val="0000" w:firstRow="0" w:lastRow="0" w:firstColumn="0" w:lastColumn="0" w:noHBand="0" w:noVBand="0"/>
      </w:tblPr>
      <w:tblGrid>
        <w:gridCol w:w="2835"/>
        <w:gridCol w:w="426"/>
        <w:gridCol w:w="6486"/>
      </w:tblGrid>
      <w:tr>
        <w:trPr>
          <w:cantSplit/>
          <w:trHeight w:val="550"/>
        </w:trPr>
        <w:tc>
          <w:tcPr>
            <w:tcW w:w="2835" w:type="dxa"/>
            <w:tcBorders>
              <w:top w:val="single" w:sz="6" w:space="0" w:color="000000"/>
              <w:bottom w:val="single" w:sz="4" w:space="0" w:color="auto"/>
            </w:tcBorders>
          </w:tcPr>
          <w:p>
            <w:pPr>
              <w:pStyle w:val="GesAbsatz"/>
              <w:tabs>
                <w:tab w:val="clear" w:pos="425"/>
                <w:tab w:val="left" w:pos="709"/>
              </w:tabs>
              <w:ind w:left="709" w:hanging="709"/>
              <w:jc w:val="center"/>
              <w:rPr>
                <w:sz w:val="18"/>
                <w:szCs w:val="18"/>
              </w:rPr>
            </w:pPr>
            <w:r>
              <w:rPr>
                <w:sz w:val="18"/>
                <w:szCs w:val="18"/>
              </w:rPr>
              <w:t>Emissionsgrenzwert</w:t>
            </w:r>
            <w:r>
              <w:rPr>
                <w:sz w:val="18"/>
                <w:szCs w:val="18"/>
              </w:rPr>
              <w:br/>
              <w:t>(mg C/m³)</w:t>
            </w:r>
          </w:p>
        </w:tc>
        <w:tc>
          <w:tcPr>
            <w:tcW w:w="6912" w:type="dxa"/>
            <w:gridSpan w:val="2"/>
            <w:tcBorders>
              <w:top w:val="single" w:sz="6" w:space="0" w:color="000000"/>
              <w:bottom w:val="single" w:sz="4" w:space="0" w:color="auto"/>
            </w:tcBorders>
            <w:vAlign w:val="center"/>
          </w:tcPr>
          <w:p>
            <w:pPr>
              <w:pStyle w:val="GesAbsatz"/>
              <w:tabs>
                <w:tab w:val="clear" w:pos="425"/>
                <w:tab w:val="left" w:pos="709"/>
              </w:tabs>
              <w:ind w:left="709" w:hanging="709"/>
              <w:jc w:val="center"/>
              <w:rPr>
                <w:sz w:val="18"/>
                <w:szCs w:val="18"/>
              </w:rPr>
            </w:pPr>
            <w:r>
              <w:rPr>
                <w:sz w:val="18"/>
                <w:szCs w:val="18"/>
              </w:rPr>
              <w:t>Bemerkungen</w:t>
            </w:r>
          </w:p>
        </w:tc>
      </w:tr>
      <w:tr>
        <w:trPr>
          <w:cantSplit/>
          <w:trHeight w:val="300"/>
        </w:trPr>
        <w:tc>
          <w:tcPr>
            <w:tcW w:w="2835" w:type="dxa"/>
            <w:tcBorders>
              <w:top w:val="single" w:sz="4" w:space="0" w:color="auto"/>
            </w:tcBorders>
          </w:tcPr>
          <w:p>
            <w:pPr>
              <w:pStyle w:val="GesAbsatz"/>
              <w:jc w:val="center"/>
              <w:rPr>
                <w:sz w:val="18"/>
                <w:szCs w:val="18"/>
                <w:vertAlign w:val="superscript"/>
              </w:rPr>
            </w:pPr>
            <w:r>
              <w:rPr>
                <w:sz w:val="18"/>
                <w:szCs w:val="18"/>
              </w:rPr>
              <w:t>70</w:t>
            </w:r>
            <w:r>
              <w:rPr>
                <w:sz w:val="18"/>
                <w:szCs w:val="18"/>
              </w:rPr>
              <w:br/>
              <w:t>40</w:t>
            </w:r>
            <w:r>
              <w:rPr>
                <w:sz w:val="18"/>
                <w:szCs w:val="18"/>
                <w:vertAlign w:val="superscript"/>
              </w:rPr>
              <w:t>1</w:t>
            </w:r>
            <w:r>
              <w:rPr>
                <w:sz w:val="18"/>
                <w:szCs w:val="18"/>
                <w:vertAlign w:val="superscript"/>
              </w:rPr>
              <w:br/>
            </w:r>
            <w:r>
              <w:rPr>
                <w:sz w:val="18"/>
                <w:szCs w:val="18"/>
              </w:rPr>
              <w:t>50</w:t>
            </w:r>
            <w:r>
              <w:rPr>
                <w:sz w:val="18"/>
                <w:szCs w:val="18"/>
                <w:vertAlign w:val="superscript"/>
              </w:rPr>
              <w:t>2</w:t>
            </w:r>
          </w:p>
        </w:tc>
        <w:tc>
          <w:tcPr>
            <w:tcW w:w="426" w:type="dxa"/>
            <w:tcBorders>
              <w:top w:val="single" w:sz="4" w:space="0" w:color="auto"/>
            </w:tcBorders>
          </w:tcPr>
          <w:p>
            <w:pPr>
              <w:pStyle w:val="GesAbsatz"/>
              <w:jc w:val="right"/>
              <w:rPr>
                <w:rFonts w:cs="Arial"/>
                <w:sz w:val="18"/>
                <w:szCs w:val="18"/>
                <w:vertAlign w:val="superscript"/>
              </w:rPr>
            </w:pPr>
            <w:r>
              <w:rPr>
                <w:rFonts w:cs="Arial"/>
                <w:sz w:val="18"/>
                <w:szCs w:val="18"/>
                <w:vertAlign w:val="superscript"/>
              </w:rPr>
              <w:t>1</w:t>
            </w:r>
          </w:p>
          <w:p>
            <w:pPr>
              <w:pStyle w:val="GesAbsatz"/>
              <w:jc w:val="right"/>
              <w:rPr>
                <w:sz w:val="18"/>
                <w:szCs w:val="18"/>
                <w:vertAlign w:val="superscript"/>
              </w:rPr>
            </w:pPr>
            <w:r>
              <w:rPr>
                <w:rFonts w:cs="Arial"/>
                <w:sz w:val="18"/>
                <w:szCs w:val="18"/>
                <w:vertAlign w:val="superscript"/>
              </w:rPr>
              <w:t>2</w:t>
            </w:r>
          </w:p>
        </w:tc>
        <w:tc>
          <w:tcPr>
            <w:tcW w:w="6486" w:type="dxa"/>
            <w:tcBorders>
              <w:top w:val="single" w:sz="4" w:space="0" w:color="auto"/>
            </w:tcBorders>
          </w:tcPr>
          <w:p>
            <w:pPr>
              <w:pStyle w:val="GesAbsatz"/>
              <w:tabs>
                <w:tab w:val="clear" w:pos="425"/>
                <w:tab w:val="left" w:pos="709"/>
              </w:tabs>
              <w:ind w:left="709" w:hanging="709"/>
              <w:rPr>
                <w:sz w:val="18"/>
                <w:szCs w:val="18"/>
              </w:rPr>
            </w:pPr>
            <w:r>
              <w:rPr>
                <w:sz w:val="18"/>
                <w:szCs w:val="18"/>
              </w:rPr>
              <w:t>Gilt für neue Anlagen der Richtlinie 2010/75/EU.</w:t>
            </w:r>
          </w:p>
          <w:p>
            <w:pPr>
              <w:pStyle w:val="GesAbsatz"/>
              <w:tabs>
                <w:tab w:val="clear" w:pos="425"/>
                <w:tab w:val="left" w:pos="709"/>
              </w:tabs>
              <w:ind w:left="709" w:hanging="709"/>
              <w:rPr>
                <w:sz w:val="18"/>
                <w:szCs w:val="18"/>
              </w:rPr>
            </w:pPr>
            <w:r>
              <w:rPr>
                <w:sz w:val="18"/>
                <w:szCs w:val="18"/>
              </w:rPr>
              <w:t>Gilt für bestehende Anlagen der Richtlinie 2010/75/EU (Sonderregelung).</w:t>
            </w:r>
          </w:p>
        </w:tc>
      </w:tr>
    </w:tbl>
    <w:p>
      <w:pPr>
        <w:pStyle w:val="GesAbsatz"/>
        <w:tabs>
          <w:tab w:val="clear" w:pos="425"/>
          <w:tab w:val="left" w:pos="709"/>
        </w:tabs>
        <w:ind w:left="709" w:hanging="709"/>
      </w:pPr>
      <w:r>
        <w:t>4.3.2.2</w:t>
      </w:r>
      <w:r>
        <w:tab/>
        <w:t>Emissionsgrenzwerte für gefasste Abgase nach dem Trockner</w:t>
      </w:r>
    </w:p>
    <w:tbl>
      <w:tblPr>
        <w:tblW w:w="9747" w:type="dxa"/>
        <w:tblLayout w:type="fixed"/>
        <w:tblLook w:val="0000" w:firstRow="0" w:lastRow="0" w:firstColumn="0" w:lastColumn="0" w:noHBand="0" w:noVBand="0"/>
      </w:tblPr>
      <w:tblGrid>
        <w:gridCol w:w="2835"/>
        <w:gridCol w:w="426"/>
        <w:gridCol w:w="6486"/>
      </w:tblGrid>
      <w:tr>
        <w:trPr>
          <w:cantSplit/>
          <w:trHeight w:val="550"/>
        </w:trPr>
        <w:tc>
          <w:tcPr>
            <w:tcW w:w="2835" w:type="dxa"/>
            <w:tcBorders>
              <w:top w:val="single" w:sz="6" w:space="0" w:color="000000"/>
              <w:bottom w:val="single" w:sz="4" w:space="0" w:color="auto"/>
            </w:tcBorders>
          </w:tcPr>
          <w:p>
            <w:pPr>
              <w:pStyle w:val="GesAbsatz"/>
              <w:rPr>
                <w:sz w:val="18"/>
                <w:szCs w:val="18"/>
              </w:rPr>
            </w:pPr>
            <w:r>
              <w:rPr>
                <w:sz w:val="18"/>
                <w:szCs w:val="18"/>
              </w:rPr>
              <w:t>Emissionsgrenzwert</w:t>
            </w:r>
            <w:r>
              <w:rPr>
                <w:sz w:val="18"/>
                <w:szCs w:val="18"/>
              </w:rPr>
              <w:br/>
              <w:t>(mg C/m³)</w:t>
            </w:r>
          </w:p>
        </w:tc>
        <w:tc>
          <w:tcPr>
            <w:tcW w:w="6912" w:type="dxa"/>
            <w:gridSpan w:val="2"/>
            <w:tcBorders>
              <w:top w:val="single" w:sz="6" w:space="0" w:color="000000"/>
              <w:bottom w:val="single" w:sz="4" w:space="0" w:color="auto"/>
            </w:tcBorders>
            <w:vAlign w:val="center"/>
          </w:tcPr>
          <w:p>
            <w:pPr>
              <w:pStyle w:val="GesAbsatz"/>
              <w:rPr>
                <w:sz w:val="18"/>
                <w:szCs w:val="18"/>
              </w:rPr>
            </w:pPr>
            <w:r>
              <w:rPr>
                <w:sz w:val="18"/>
                <w:szCs w:val="18"/>
              </w:rPr>
              <w:t>Bemerkungen</w:t>
            </w:r>
          </w:p>
        </w:tc>
      </w:tr>
      <w:tr>
        <w:trPr>
          <w:cantSplit/>
          <w:trHeight w:val="300"/>
        </w:trPr>
        <w:tc>
          <w:tcPr>
            <w:tcW w:w="2835" w:type="dxa"/>
            <w:tcBorders>
              <w:top w:val="single" w:sz="4" w:space="0" w:color="auto"/>
            </w:tcBorders>
          </w:tcPr>
          <w:p>
            <w:pPr>
              <w:pStyle w:val="GesAbsatz"/>
              <w:jc w:val="center"/>
              <w:rPr>
                <w:sz w:val="18"/>
                <w:szCs w:val="18"/>
                <w:vertAlign w:val="superscript"/>
              </w:rPr>
            </w:pPr>
            <w:r>
              <w:rPr>
                <w:sz w:val="18"/>
                <w:szCs w:val="18"/>
              </w:rPr>
              <w:t>50</w:t>
            </w:r>
            <w:r>
              <w:rPr>
                <w:sz w:val="18"/>
                <w:szCs w:val="18"/>
              </w:rPr>
              <w:br/>
              <w:t>20</w:t>
            </w:r>
            <w:r>
              <w:rPr>
                <w:sz w:val="18"/>
                <w:szCs w:val="18"/>
                <w:vertAlign w:val="superscript"/>
              </w:rPr>
              <w:t>1</w:t>
            </w:r>
          </w:p>
        </w:tc>
        <w:tc>
          <w:tcPr>
            <w:tcW w:w="426" w:type="dxa"/>
            <w:tcBorders>
              <w:top w:val="single" w:sz="4" w:space="0" w:color="auto"/>
            </w:tcBorders>
          </w:tcPr>
          <w:p>
            <w:pPr>
              <w:pStyle w:val="GesAbsatz"/>
              <w:jc w:val="right"/>
              <w:rPr>
                <w:sz w:val="18"/>
                <w:szCs w:val="18"/>
                <w:vertAlign w:val="superscript"/>
              </w:rPr>
            </w:pPr>
            <w:r>
              <w:rPr>
                <w:sz w:val="18"/>
                <w:szCs w:val="18"/>
                <w:vertAlign w:val="superscript"/>
              </w:rPr>
              <w:t>1</w:t>
            </w:r>
          </w:p>
        </w:tc>
        <w:tc>
          <w:tcPr>
            <w:tcW w:w="6486" w:type="dxa"/>
            <w:tcBorders>
              <w:top w:val="single" w:sz="4" w:space="0" w:color="auto"/>
            </w:tcBorders>
          </w:tcPr>
          <w:p>
            <w:pPr>
              <w:pStyle w:val="GesAbsatz"/>
              <w:rPr>
                <w:sz w:val="18"/>
                <w:szCs w:val="18"/>
              </w:rPr>
            </w:pPr>
            <w:r>
              <w:rPr>
                <w:sz w:val="18"/>
                <w:szCs w:val="18"/>
              </w:rPr>
              <w:t>Bei Anwendung von Abgasreinigungseinrichtungen mit thermischer Nachverbrennung.</w:t>
            </w:r>
          </w:p>
        </w:tc>
      </w:tr>
    </w:tbl>
    <w:p>
      <w:pPr>
        <w:pStyle w:val="GesAbsatz"/>
        <w:tabs>
          <w:tab w:val="clear" w:pos="425"/>
          <w:tab w:val="left" w:pos="709"/>
        </w:tabs>
        <w:ind w:left="709" w:hanging="709"/>
      </w:pPr>
      <w:r>
        <w:t>4.3.2.3</w:t>
      </w:r>
      <w:r>
        <w:tab/>
        <w:t>Besondere Anforderungen Abweichend von den Nummern 4.3.2.1 und 4.3.2.2 gelten für Anlagen mit einem Lösungsmittelverbrauch von 15 Tonnen pro Jahr oder weniger die Anforderungen nach Nummer 5.1.</w:t>
      </w:r>
    </w:p>
    <w:p>
      <w:pPr>
        <w:pStyle w:val="GesAbsatz"/>
        <w:tabs>
          <w:tab w:val="clear" w:pos="425"/>
          <w:tab w:val="left" w:pos="709"/>
        </w:tabs>
        <w:ind w:left="709" w:hanging="709"/>
        <w:rPr>
          <w:b/>
          <w:bCs/>
        </w:rPr>
      </w:pPr>
      <w:r>
        <w:rPr>
          <w:rFonts w:cs="Arial"/>
          <w:b/>
          <w:bCs/>
        </w:rPr>
        <w:t>4.4</w:t>
      </w:r>
      <w:r>
        <w:rPr>
          <w:rFonts w:cs="Arial"/>
          <w:b/>
          <w:bCs/>
        </w:rPr>
        <w:tab/>
        <w:t>Anlagen zum Beschichten von Bussen</w:t>
      </w:r>
    </w:p>
    <w:p>
      <w:pPr>
        <w:pStyle w:val="GesAbsatz"/>
        <w:tabs>
          <w:tab w:val="clear" w:pos="425"/>
          <w:tab w:val="left" w:pos="709"/>
        </w:tabs>
        <w:ind w:left="709" w:hanging="709"/>
      </w:pPr>
      <w:r>
        <w:rPr>
          <w:rFonts w:cs="Arial"/>
        </w:rPr>
        <w:t>4.4.1</w:t>
      </w:r>
      <w:r>
        <w:rPr>
          <w:rFonts w:cs="Arial"/>
        </w:rPr>
        <w:tab/>
        <w:t>Grenzwerte für die Gesamtemissionen</w:t>
      </w:r>
    </w:p>
    <w:tbl>
      <w:tblPr>
        <w:tblW w:w="9747" w:type="dxa"/>
        <w:tblLayout w:type="fixed"/>
        <w:tblLook w:val="0000" w:firstRow="0" w:lastRow="0" w:firstColumn="0" w:lastColumn="0" w:noHBand="0" w:noVBand="0"/>
      </w:tblPr>
      <w:tblGrid>
        <w:gridCol w:w="2835"/>
        <w:gridCol w:w="426"/>
        <w:gridCol w:w="6486"/>
      </w:tblGrid>
      <w:tr>
        <w:trPr>
          <w:cantSplit/>
          <w:trHeight w:val="553"/>
        </w:trPr>
        <w:tc>
          <w:tcPr>
            <w:tcW w:w="2835" w:type="dxa"/>
            <w:tcBorders>
              <w:top w:val="single" w:sz="6" w:space="0" w:color="000000"/>
              <w:bottom w:val="single" w:sz="4" w:space="0" w:color="auto"/>
            </w:tcBorders>
          </w:tcPr>
          <w:p>
            <w:pPr>
              <w:pStyle w:val="GesAbsatz"/>
              <w:jc w:val="center"/>
              <w:rPr>
                <w:rFonts w:cs="Arial"/>
                <w:sz w:val="18"/>
                <w:szCs w:val="18"/>
              </w:rPr>
            </w:pPr>
            <w:r>
              <w:rPr>
                <w:rFonts w:cs="Arial"/>
                <w:sz w:val="18"/>
                <w:szCs w:val="18"/>
              </w:rPr>
              <w:t>Gesamtemissionsgrenzwert</w:t>
            </w:r>
            <w:r>
              <w:rPr>
                <w:rFonts w:cs="Arial"/>
                <w:sz w:val="18"/>
                <w:szCs w:val="18"/>
              </w:rPr>
              <w:br/>
              <w:t>(g/m²)</w:t>
            </w:r>
          </w:p>
        </w:tc>
        <w:tc>
          <w:tcPr>
            <w:tcW w:w="6912" w:type="dxa"/>
            <w:gridSpan w:val="2"/>
            <w:tcBorders>
              <w:top w:val="single" w:sz="6" w:space="0" w:color="000000"/>
              <w:bottom w:val="single" w:sz="4" w:space="0" w:color="auto"/>
            </w:tcBorders>
            <w:vAlign w:val="center"/>
          </w:tcPr>
          <w:p>
            <w:pPr>
              <w:pStyle w:val="GesAbsatz"/>
              <w:jc w:val="center"/>
              <w:rPr>
                <w:rFonts w:cs="Arial"/>
                <w:sz w:val="18"/>
                <w:szCs w:val="18"/>
              </w:rPr>
            </w:pPr>
            <w:r>
              <w:rPr>
                <w:rFonts w:cs="Arial"/>
                <w:sz w:val="18"/>
                <w:szCs w:val="18"/>
              </w:rPr>
              <w:t>Bemerkungen</w:t>
            </w:r>
          </w:p>
        </w:tc>
      </w:tr>
      <w:tr>
        <w:trPr>
          <w:cantSplit/>
          <w:trHeight w:val="298"/>
        </w:trPr>
        <w:tc>
          <w:tcPr>
            <w:tcW w:w="2835" w:type="dxa"/>
            <w:tcBorders>
              <w:top w:val="single" w:sz="4" w:space="0" w:color="auto"/>
            </w:tcBorders>
          </w:tcPr>
          <w:p>
            <w:pPr>
              <w:pStyle w:val="GesAbsatz"/>
              <w:jc w:val="center"/>
              <w:rPr>
                <w:rFonts w:cs="Arial"/>
                <w:sz w:val="18"/>
                <w:szCs w:val="18"/>
                <w:vertAlign w:val="superscript"/>
              </w:rPr>
            </w:pPr>
            <w:r>
              <w:rPr>
                <w:rFonts w:cs="Arial"/>
                <w:sz w:val="18"/>
                <w:szCs w:val="18"/>
              </w:rPr>
              <w:t>&lt; 100</w:t>
            </w:r>
            <w:r>
              <w:rPr>
                <w:rFonts w:cs="Arial"/>
                <w:sz w:val="18"/>
                <w:szCs w:val="18"/>
                <w:vertAlign w:val="superscript"/>
              </w:rPr>
              <w:t>1</w:t>
            </w:r>
            <w:r>
              <w:rPr>
                <w:rFonts w:cs="Arial"/>
                <w:sz w:val="18"/>
                <w:szCs w:val="18"/>
                <w:vertAlign w:val="superscript"/>
              </w:rPr>
              <w:br/>
            </w:r>
            <w:r>
              <w:rPr>
                <w:rFonts w:cs="Arial"/>
                <w:sz w:val="18"/>
                <w:szCs w:val="18"/>
              </w:rPr>
              <w:t>150</w:t>
            </w:r>
            <w:r>
              <w:rPr>
                <w:rFonts w:cs="Arial"/>
                <w:sz w:val="18"/>
                <w:szCs w:val="18"/>
                <w:vertAlign w:val="superscript"/>
              </w:rPr>
              <w:t>2</w:t>
            </w:r>
          </w:p>
        </w:tc>
        <w:tc>
          <w:tcPr>
            <w:tcW w:w="426" w:type="dxa"/>
            <w:tcBorders>
              <w:top w:val="single" w:sz="4" w:space="0" w:color="auto"/>
            </w:tcBorders>
          </w:tcPr>
          <w:p>
            <w:pPr>
              <w:pStyle w:val="GesAbsatz"/>
              <w:jc w:val="right"/>
              <w:rPr>
                <w:rFonts w:cs="Arial"/>
                <w:sz w:val="18"/>
                <w:szCs w:val="18"/>
                <w:vertAlign w:val="superscript"/>
              </w:rPr>
            </w:pPr>
            <w:r>
              <w:rPr>
                <w:rFonts w:cs="Arial"/>
                <w:sz w:val="18"/>
                <w:szCs w:val="18"/>
                <w:vertAlign w:val="superscript"/>
              </w:rPr>
              <w:t>1</w:t>
            </w:r>
          </w:p>
          <w:p>
            <w:pPr>
              <w:pStyle w:val="GesAbsatz"/>
              <w:jc w:val="right"/>
              <w:rPr>
                <w:rFonts w:cs="Arial"/>
                <w:sz w:val="18"/>
                <w:szCs w:val="18"/>
                <w:vertAlign w:val="superscript"/>
              </w:rPr>
            </w:pPr>
            <w:r>
              <w:rPr>
                <w:rFonts w:cs="Arial"/>
                <w:sz w:val="18"/>
                <w:szCs w:val="18"/>
                <w:vertAlign w:val="superscript"/>
              </w:rPr>
              <w:t>2</w:t>
            </w:r>
          </w:p>
        </w:tc>
        <w:tc>
          <w:tcPr>
            <w:tcW w:w="6486" w:type="dxa"/>
            <w:tcBorders>
              <w:top w:val="single" w:sz="4" w:space="0" w:color="auto"/>
            </w:tcBorders>
          </w:tcPr>
          <w:p>
            <w:pPr>
              <w:pStyle w:val="GesAbsatz"/>
              <w:rPr>
                <w:rFonts w:cs="Arial"/>
                <w:sz w:val="18"/>
                <w:szCs w:val="18"/>
              </w:rPr>
            </w:pPr>
            <w:r>
              <w:rPr>
                <w:rFonts w:cs="Arial"/>
                <w:sz w:val="18"/>
                <w:szCs w:val="18"/>
              </w:rPr>
              <w:t>Gilt für Neuanlagen.</w:t>
            </w:r>
          </w:p>
          <w:p>
            <w:pPr>
              <w:pStyle w:val="GesAbsatz"/>
              <w:rPr>
                <w:rFonts w:cs="Arial"/>
                <w:sz w:val="18"/>
                <w:szCs w:val="18"/>
              </w:rPr>
            </w:pPr>
            <w:r>
              <w:rPr>
                <w:rFonts w:cs="Arial"/>
                <w:sz w:val="18"/>
                <w:szCs w:val="18"/>
              </w:rPr>
              <w:t>Gilt für bestehende Anlagen.</w:t>
            </w:r>
          </w:p>
        </w:tc>
      </w:tr>
    </w:tbl>
    <w:p>
      <w:pPr>
        <w:pStyle w:val="GesAbsatz"/>
        <w:tabs>
          <w:tab w:val="clear" w:pos="425"/>
        </w:tabs>
        <w:ind w:left="709" w:hanging="709"/>
      </w:pPr>
      <w:r>
        <w:rPr>
          <w:rFonts w:cs="Arial"/>
        </w:rPr>
        <w:t>4.4.2</w:t>
      </w:r>
      <w:r>
        <w:rPr>
          <w:rFonts w:cs="Arial"/>
        </w:rPr>
        <w:tab/>
        <w:t>Emissionsgrenzwerte für gefasste Abgase nach dem Trockner</w:t>
      </w:r>
    </w:p>
    <w:tbl>
      <w:tblPr>
        <w:tblW w:w="9747" w:type="dxa"/>
        <w:tblLook w:val="0000" w:firstRow="0" w:lastRow="0" w:firstColumn="0" w:lastColumn="0" w:noHBand="0" w:noVBand="0"/>
      </w:tblPr>
      <w:tblGrid>
        <w:gridCol w:w="2835"/>
        <w:gridCol w:w="426"/>
        <w:gridCol w:w="6486"/>
      </w:tblGrid>
      <w:tr>
        <w:trPr>
          <w:cantSplit/>
          <w:trHeight w:val="553"/>
        </w:trPr>
        <w:tc>
          <w:tcPr>
            <w:tcW w:w="2835" w:type="dxa"/>
            <w:tcBorders>
              <w:top w:val="single" w:sz="6" w:space="0" w:color="000000"/>
              <w:bottom w:val="single" w:sz="4" w:space="0" w:color="auto"/>
            </w:tcBorders>
            <w:vAlign w:val="center"/>
          </w:tcPr>
          <w:p>
            <w:pPr>
              <w:pStyle w:val="GesAbsatz"/>
              <w:jc w:val="center"/>
              <w:rPr>
                <w:rFonts w:cs="Arial"/>
                <w:sz w:val="18"/>
                <w:szCs w:val="18"/>
              </w:rPr>
            </w:pPr>
            <w:r>
              <w:rPr>
                <w:rFonts w:cs="Arial"/>
                <w:sz w:val="18"/>
                <w:szCs w:val="18"/>
              </w:rPr>
              <w:t>Emissionsgrenzwert</w:t>
            </w:r>
            <w:r>
              <w:rPr>
                <w:rFonts w:cs="Arial"/>
                <w:sz w:val="18"/>
                <w:szCs w:val="18"/>
              </w:rPr>
              <w:br/>
              <w:t>(mg C/m³)</w:t>
            </w:r>
          </w:p>
        </w:tc>
        <w:tc>
          <w:tcPr>
            <w:tcW w:w="6912" w:type="dxa"/>
            <w:gridSpan w:val="2"/>
            <w:tcBorders>
              <w:top w:val="single" w:sz="6" w:space="0" w:color="000000"/>
              <w:bottom w:val="single" w:sz="4" w:space="0" w:color="auto"/>
            </w:tcBorders>
            <w:vAlign w:val="center"/>
          </w:tcPr>
          <w:p>
            <w:pPr>
              <w:pStyle w:val="GesAbsatz"/>
              <w:jc w:val="center"/>
              <w:rPr>
                <w:rFonts w:cs="Arial"/>
                <w:sz w:val="18"/>
                <w:szCs w:val="18"/>
              </w:rPr>
            </w:pPr>
            <w:r>
              <w:rPr>
                <w:rFonts w:cs="Arial"/>
                <w:sz w:val="18"/>
                <w:szCs w:val="18"/>
              </w:rPr>
              <w:t>Bemerkungen</w:t>
            </w:r>
          </w:p>
        </w:tc>
      </w:tr>
      <w:tr>
        <w:trPr>
          <w:cantSplit/>
          <w:trHeight w:val="298"/>
        </w:trPr>
        <w:tc>
          <w:tcPr>
            <w:tcW w:w="2835" w:type="dxa"/>
            <w:tcBorders>
              <w:top w:val="single" w:sz="4" w:space="0" w:color="auto"/>
            </w:tcBorders>
            <w:vAlign w:val="center"/>
          </w:tcPr>
          <w:p>
            <w:pPr>
              <w:pStyle w:val="GesAbsatz"/>
              <w:jc w:val="center"/>
              <w:rPr>
                <w:rFonts w:cs="Arial"/>
                <w:sz w:val="18"/>
                <w:szCs w:val="18"/>
                <w:vertAlign w:val="superscript"/>
              </w:rPr>
            </w:pPr>
            <w:r>
              <w:rPr>
                <w:rFonts w:cs="Arial"/>
                <w:sz w:val="18"/>
                <w:szCs w:val="18"/>
              </w:rPr>
              <w:lastRenderedPageBreak/>
              <w:t>50</w:t>
            </w:r>
            <w:r>
              <w:rPr>
                <w:rFonts w:cs="Arial"/>
                <w:sz w:val="18"/>
                <w:szCs w:val="18"/>
              </w:rPr>
              <w:br/>
              <w:t>20</w:t>
            </w:r>
            <w:r>
              <w:rPr>
                <w:rFonts w:cs="Arial"/>
                <w:sz w:val="18"/>
                <w:szCs w:val="18"/>
                <w:vertAlign w:val="superscript"/>
              </w:rPr>
              <w:t>1</w:t>
            </w:r>
          </w:p>
        </w:tc>
        <w:tc>
          <w:tcPr>
            <w:tcW w:w="426" w:type="dxa"/>
            <w:tcBorders>
              <w:top w:val="single" w:sz="4" w:space="0" w:color="auto"/>
            </w:tcBorders>
          </w:tcPr>
          <w:p>
            <w:pPr>
              <w:pStyle w:val="GesAbsatz"/>
              <w:jc w:val="right"/>
              <w:rPr>
                <w:rFonts w:cs="Arial"/>
                <w:sz w:val="18"/>
                <w:szCs w:val="18"/>
                <w:vertAlign w:val="superscript"/>
              </w:rPr>
            </w:pPr>
            <w:r>
              <w:rPr>
                <w:rFonts w:cs="Arial"/>
                <w:sz w:val="18"/>
                <w:szCs w:val="18"/>
                <w:vertAlign w:val="superscript"/>
              </w:rPr>
              <w:t>1</w:t>
            </w:r>
          </w:p>
        </w:tc>
        <w:tc>
          <w:tcPr>
            <w:tcW w:w="6486" w:type="dxa"/>
            <w:tcBorders>
              <w:top w:val="single" w:sz="4" w:space="0" w:color="auto"/>
            </w:tcBorders>
            <w:vAlign w:val="center"/>
          </w:tcPr>
          <w:p>
            <w:pPr>
              <w:pStyle w:val="GesAbsatz"/>
              <w:rPr>
                <w:rFonts w:cs="Arial"/>
                <w:sz w:val="18"/>
                <w:szCs w:val="18"/>
              </w:rPr>
            </w:pPr>
            <w:r>
              <w:rPr>
                <w:rFonts w:cs="Arial"/>
                <w:sz w:val="18"/>
                <w:szCs w:val="18"/>
              </w:rPr>
              <w:t>Bei Anwendung von Abgasreinigungseinrichtungen mit thermischer Nachverbrennung.</w:t>
            </w:r>
          </w:p>
        </w:tc>
      </w:tr>
    </w:tbl>
    <w:p>
      <w:pPr>
        <w:pStyle w:val="GesAbsatz"/>
        <w:tabs>
          <w:tab w:val="clear" w:pos="425"/>
          <w:tab w:val="left" w:pos="709"/>
        </w:tabs>
        <w:ind w:left="709" w:hanging="709"/>
        <w:rPr>
          <w:rFonts w:cs="Arial"/>
        </w:rPr>
      </w:pPr>
      <w:r>
        <w:rPr>
          <w:rFonts w:cs="Arial"/>
        </w:rPr>
        <w:t>4.4.3</w:t>
      </w:r>
      <w:r>
        <w:rPr>
          <w:rFonts w:cs="Arial"/>
        </w:rPr>
        <w:tab/>
        <w:t>Besondere Anforderungen</w:t>
      </w:r>
    </w:p>
    <w:p>
      <w:pPr>
        <w:pStyle w:val="GesAbsatz"/>
        <w:tabs>
          <w:tab w:val="clear" w:pos="425"/>
          <w:tab w:val="left" w:pos="709"/>
        </w:tabs>
        <w:ind w:left="709"/>
      </w:pPr>
      <w:r>
        <w:rPr>
          <w:rFonts w:cs="Arial"/>
        </w:rPr>
        <w:t>Abweichend von den Nummern 4.4.1 und 4.4.2 gelten für Anlagen mit einem Lösungsmittelverbrauch von 15 Tonnen pro Jahr oder weniger die Anforderungen nach Nummer 5.1.</w:t>
      </w:r>
    </w:p>
    <w:p>
      <w:pPr>
        <w:pStyle w:val="GesAbsatz"/>
        <w:tabs>
          <w:tab w:val="clear" w:pos="425"/>
          <w:tab w:val="left" w:pos="709"/>
        </w:tabs>
        <w:ind w:left="709" w:hanging="709"/>
        <w:rPr>
          <w:b/>
          <w:bCs/>
        </w:rPr>
      </w:pPr>
      <w:r>
        <w:rPr>
          <w:rFonts w:cs="Arial"/>
          <w:b/>
          <w:bCs/>
        </w:rPr>
        <w:t>4.5</w:t>
      </w:r>
      <w:r>
        <w:rPr>
          <w:rFonts w:cs="Arial"/>
          <w:b/>
          <w:bCs/>
        </w:rPr>
        <w:tab/>
        <w:t>Anlagen zum Beschichten von Schienenfahrzeugen</w:t>
      </w:r>
    </w:p>
    <w:p>
      <w:pPr>
        <w:pStyle w:val="GesAbsatz"/>
        <w:tabs>
          <w:tab w:val="clear" w:pos="425"/>
          <w:tab w:val="left" w:pos="709"/>
        </w:tabs>
        <w:ind w:left="1134" w:hanging="1134"/>
      </w:pPr>
      <w:r>
        <w:rPr>
          <w:rFonts w:cs="Arial"/>
        </w:rPr>
        <w:t>4.5.1</w:t>
      </w:r>
      <w:r>
        <w:rPr>
          <w:rFonts w:cs="Arial"/>
        </w:rPr>
        <w:tab/>
        <w:t>Grenzwert für die Gesamtemissionen</w:t>
      </w:r>
    </w:p>
    <w:tbl>
      <w:tblPr>
        <w:tblW w:w="9747" w:type="dxa"/>
        <w:tblLayout w:type="fixed"/>
        <w:tblLook w:val="0000" w:firstRow="0" w:lastRow="0" w:firstColumn="0" w:lastColumn="0" w:noHBand="0" w:noVBand="0"/>
      </w:tblPr>
      <w:tblGrid>
        <w:gridCol w:w="2835"/>
        <w:gridCol w:w="426"/>
        <w:gridCol w:w="6486"/>
      </w:tblGrid>
      <w:tr>
        <w:trPr>
          <w:cantSplit/>
          <w:trHeight w:val="426"/>
        </w:trPr>
        <w:tc>
          <w:tcPr>
            <w:tcW w:w="2835" w:type="dxa"/>
            <w:tcBorders>
              <w:top w:val="single" w:sz="6" w:space="0" w:color="000000"/>
              <w:bottom w:val="single" w:sz="4" w:space="0" w:color="auto"/>
            </w:tcBorders>
          </w:tcPr>
          <w:p>
            <w:pPr>
              <w:pStyle w:val="GesAbsatz"/>
              <w:jc w:val="center"/>
              <w:rPr>
                <w:rFonts w:cs="Arial"/>
                <w:sz w:val="18"/>
                <w:szCs w:val="18"/>
              </w:rPr>
            </w:pPr>
            <w:r>
              <w:rPr>
                <w:rFonts w:cs="Arial"/>
                <w:sz w:val="18"/>
                <w:szCs w:val="18"/>
              </w:rPr>
              <w:t>Gesamtemissionsgrenzwert</w:t>
            </w:r>
            <w:r>
              <w:rPr>
                <w:rFonts w:cs="Arial"/>
                <w:sz w:val="18"/>
                <w:szCs w:val="18"/>
              </w:rPr>
              <w:br/>
              <w:t>(g/m²)</w:t>
            </w:r>
          </w:p>
        </w:tc>
        <w:tc>
          <w:tcPr>
            <w:tcW w:w="6912" w:type="dxa"/>
            <w:gridSpan w:val="2"/>
            <w:tcBorders>
              <w:top w:val="single" w:sz="6" w:space="0" w:color="000000"/>
              <w:bottom w:val="single" w:sz="4" w:space="0" w:color="auto"/>
            </w:tcBorders>
            <w:vAlign w:val="center"/>
          </w:tcPr>
          <w:p>
            <w:pPr>
              <w:pStyle w:val="GesAbsatz"/>
              <w:jc w:val="center"/>
              <w:rPr>
                <w:rFonts w:cs="Arial"/>
                <w:sz w:val="18"/>
                <w:szCs w:val="18"/>
              </w:rPr>
            </w:pPr>
            <w:r>
              <w:rPr>
                <w:rFonts w:cs="Arial"/>
                <w:sz w:val="18"/>
                <w:szCs w:val="18"/>
              </w:rPr>
              <w:t>Bemerkungen</w:t>
            </w:r>
          </w:p>
        </w:tc>
      </w:tr>
      <w:tr>
        <w:trPr>
          <w:cantSplit/>
          <w:trHeight w:val="154"/>
        </w:trPr>
        <w:tc>
          <w:tcPr>
            <w:tcW w:w="2835" w:type="dxa"/>
            <w:tcBorders>
              <w:top w:val="single" w:sz="4" w:space="0" w:color="auto"/>
            </w:tcBorders>
          </w:tcPr>
          <w:p>
            <w:pPr>
              <w:pStyle w:val="GesAbsatz"/>
              <w:jc w:val="center"/>
              <w:rPr>
                <w:rFonts w:cs="Arial"/>
                <w:sz w:val="18"/>
                <w:szCs w:val="18"/>
              </w:rPr>
            </w:pPr>
            <w:r>
              <w:rPr>
                <w:rFonts w:cs="Arial"/>
                <w:sz w:val="18"/>
                <w:szCs w:val="18"/>
              </w:rPr>
              <w:t>110</w:t>
            </w:r>
          </w:p>
        </w:tc>
        <w:tc>
          <w:tcPr>
            <w:tcW w:w="426" w:type="dxa"/>
            <w:tcBorders>
              <w:top w:val="single" w:sz="4" w:space="0" w:color="auto"/>
            </w:tcBorders>
          </w:tcPr>
          <w:p>
            <w:pPr>
              <w:pStyle w:val="GesAbsatz"/>
              <w:jc w:val="left"/>
              <w:rPr>
                <w:rFonts w:cs="Arial"/>
                <w:sz w:val="18"/>
                <w:szCs w:val="18"/>
              </w:rPr>
            </w:pPr>
          </w:p>
        </w:tc>
        <w:tc>
          <w:tcPr>
            <w:tcW w:w="6486" w:type="dxa"/>
            <w:tcBorders>
              <w:top w:val="single" w:sz="4" w:space="0" w:color="auto"/>
            </w:tcBorders>
          </w:tcPr>
          <w:p>
            <w:pPr>
              <w:pStyle w:val="GesAbsatz"/>
              <w:jc w:val="left"/>
              <w:rPr>
                <w:rFonts w:cs="Arial"/>
                <w:sz w:val="18"/>
                <w:szCs w:val="18"/>
              </w:rPr>
            </w:pPr>
          </w:p>
        </w:tc>
      </w:tr>
    </w:tbl>
    <w:p>
      <w:pPr>
        <w:pStyle w:val="GesAbsatz"/>
        <w:tabs>
          <w:tab w:val="clear" w:pos="425"/>
          <w:tab w:val="left" w:pos="709"/>
        </w:tabs>
        <w:ind w:left="1134" w:hanging="1134"/>
        <w:rPr>
          <w:rFonts w:cs="Arial"/>
        </w:rPr>
      </w:pPr>
      <w:r>
        <w:rPr>
          <w:rFonts w:cs="Arial"/>
        </w:rPr>
        <w:t>4.5.2</w:t>
      </w:r>
      <w:r>
        <w:rPr>
          <w:rFonts w:cs="Arial"/>
        </w:rPr>
        <w:tab/>
        <w:t>Emissionsgrenzwerte für gefasste Abgase nach dem Trockner</w:t>
      </w:r>
    </w:p>
    <w:tbl>
      <w:tblPr>
        <w:tblW w:w="9747" w:type="dxa"/>
        <w:tblLook w:val="0000" w:firstRow="0" w:lastRow="0" w:firstColumn="0" w:lastColumn="0" w:noHBand="0" w:noVBand="0"/>
      </w:tblPr>
      <w:tblGrid>
        <w:gridCol w:w="2835"/>
        <w:gridCol w:w="426"/>
        <w:gridCol w:w="6486"/>
      </w:tblGrid>
      <w:tr>
        <w:trPr>
          <w:cantSplit/>
          <w:trHeight w:val="550"/>
        </w:trPr>
        <w:tc>
          <w:tcPr>
            <w:tcW w:w="2835" w:type="dxa"/>
            <w:tcBorders>
              <w:top w:val="single" w:sz="6" w:space="0" w:color="000000"/>
              <w:bottom w:val="single" w:sz="4" w:space="0" w:color="auto"/>
            </w:tcBorders>
            <w:vAlign w:val="center"/>
          </w:tcPr>
          <w:p>
            <w:pPr>
              <w:pStyle w:val="GesAbsatz"/>
              <w:jc w:val="center"/>
              <w:rPr>
                <w:rFonts w:cs="Arial"/>
                <w:sz w:val="18"/>
                <w:szCs w:val="18"/>
              </w:rPr>
            </w:pPr>
            <w:r>
              <w:rPr>
                <w:rFonts w:cs="Arial"/>
                <w:sz w:val="18"/>
                <w:szCs w:val="18"/>
              </w:rPr>
              <w:t>Emissionsgrenzwert</w:t>
            </w:r>
            <w:r>
              <w:rPr>
                <w:rFonts w:cs="Arial"/>
                <w:sz w:val="18"/>
                <w:szCs w:val="18"/>
              </w:rPr>
              <w:br/>
              <w:t>(mg C/m³)</w:t>
            </w:r>
          </w:p>
        </w:tc>
        <w:tc>
          <w:tcPr>
            <w:tcW w:w="6912" w:type="dxa"/>
            <w:gridSpan w:val="2"/>
            <w:tcBorders>
              <w:top w:val="single" w:sz="6" w:space="0" w:color="000000"/>
              <w:bottom w:val="single" w:sz="4" w:space="0" w:color="auto"/>
            </w:tcBorders>
            <w:vAlign w:val="center"/>
          </w:tcPr>
          <w:p>
            <w:pPr>
              <w:pStyle w:val="GesAbsatz"/>
              <w:jc w:val="center"/>
              <w:rPr>
                <w:rFonts w:cs="Arial"/>
                <w:sz w:val="18"/>
                <w:szCs w:val="18"/>
              </w:rPr>
            </w:pPr>
            <w:r>
              <w:rPr>
                <w:rFonts w:cs="Arial"/>
                <w:sz w:val="18"/>
                <w:szCs w:val="18"/>
              </w:rPr>
              <w:t>Bemerkungen</w:t>
            </w:r>
          </w:p>
        </w:tc>
      </w:tr>
      <w:tr>
        <w:trPr>
          <w:cantSplit/>
          <w:trHeight w:val="220"/>
        </w:trPr>
        <w:tc>
          <w:tcPr>
            <w:tcW w:w="2835" w:type="dxa"/>
            <w:tcBorders>
              <w:top w:val="single" w:sz="4" w:space="0" w:color="auto"/>
            </w:tcBorders>
            <w:vAlign w:val="bottom"/>
          </w:tcPr>
          <w:p>
            <w:pPr>
              <w:pStyle w:val="GesAbsatz"/>
              <w:jc w:val="center"/>
              <w:rPr>
                <w:rFonts w:cs="Arial"/>
                <w:sz w:val="18"/>
                <w:szCs w:val="18"/>
                <w:vertAlign w:val="superscript"/>
              </w:rPr>
            </w:pPr>
            <w:r>
              <w:rPr>
                <w:rFonts w:cs="Arial"/>
                <w:sz w:val="18"/>
                <w:szCs w:val="18"/>
              </w:rPr>
              <w:t>50</w:t>
            </w:r>
            <w:r>
              <w:rPr>
                <w:rFonts w:cs="Arial"/>
                <w:sz w:val="18"/>
                <w:szCs w:val="18"/>
              </w:rPr>
              <w:br/>
              <w:t>20</w:t>
            </w:r>
            <w:r>
              <w:rPr>
                <w:rFonts w:cs="Arial"/>
                <w:sz w:val="18"/>
                <w:szCs w:val="18"/>
                <w:vertAlign w:val="superscript"/>
              </w:rPr>
              <w:t>1</w:t>
            </w:r>
          </w:p>
        </w:tc>
        <w:tc>
          <w:tcPr>
            <w:tcW w:w="426" w:type="dxa"/>
            <w:tcBorders>
              <w:top w:val="single" w:sz="4" w:space="0" w:color="auto"/>
            </w:tcBorders>
          </w:tcPr>
          <w:p>
            <w:pPr>
              <w:pStyle w:val="GesAbsatz"/>
              <w:jc w:val="right"/>
              <w:rPr>
                <w:rFonts w:cs="Arial"/>
                <w:color w:val="auto"/>
                <w:sz w:val="18"/>
                <w:szCs w:val="18"/>
                <w:vertAlign w:val="superscript"/>
              </w:rPr>
            </w:pPr>
            <w:r>
              <w:rPr>
                <w:rFonts w:cs="Arial"/>
                <w:color w:val="auto"/>
                <w:sz w:val="18"/>
                <w:szCs w:val="18"/>
                <w:vertAlign w:val="superscript"/>
              </w:rPr>
              <w:t>1</w:t>
            </w:r>
          </w:p>
        </w:tc>
        <w:tc>
          <w:tcPr>
            <w:tcW w:w="6486" w:type="dxa"/>
            <w:tcBorders>
              <w:top w:val="single" w:sz="4" w:space="0" w:color="auto"/>
            </w:tcBorders>
          </w:tcPr>
          <w:p>
            <w:pPr>
              <w:pStyle w:val="GesAbsatz"/>
              <w:rPr>
                <w:rFonts w:cs="Arial"/>
                <w:color w:val="auto"/>
                <w:sz w:val="18"/>
                <w:szCs w:val="18"/>
              </w:rPr>
            </w:pPr>
            <w:r>
              <w:rPr>
                <w:rFonts w:cs="Arial"/>
                <w:color w:val="auto"/>
                <w:sz w:val="18"/>
                <w:szCs w:val="18"/>
              </w:rPr>
              <w:t>Bei Anwendung von Abgasreinigungseinrichtungen mit thermischer Nachverbrennung.</w:t>
            </w:r>
          </w:p>
        </w:tc>
      </w:tr>
    </w:tbl>
    <w:p>
      <w:pPr>
        <w:pStyle w:val="GesAbsatz"/>
        <w:tabs>
          <w:tab w:val="clear" w:pos="425"/>
          <w:tab w:val="left" w:pos="709"/>
        </w:tabs>
        <w:ind w:left="709" w:hanging="709"/>
        <w:rPr>
          <w:rFonts w:cs="Arial"/>
        </w:rPr>
      </w:pPr>
      <w:r>
        <w:rPr>
          <w:rFonts w:cs="Arial"/>
        </w:rPr>
        <w:t>4.5.3</w:t>
      </w:r>
      <w:r>
        <w:rPr>
          <w:rFonts w:cs="Arial"/>
        </w:rPr>
        <w:tab/>
        <w:t>Sonstige Bestimmungen</w:t>
      </w:r>
    </w:p>
    <w:p>
      <w:pPr>
        <w:pStyle w:val="GesAbsatz"/>
        <w:tabs>
          <w:tab w:val="clear" w:pos="425"/>
        </w:tabs>
        <w:ind w:left="709"/>
        <w:rPr>
          <w:rFonts w:cs="Arial"/>
        </w:rPr>
      </w:pPr>
      <w:r>
        <w:rPr>
          <w:rFonts w:cs="Arial"/>
        </w:rPr>
        <w:t>Bei Anlagen der Richtlinie 2010/75/EU gelten die Anforderungen unter Nummer 8.</w:t>
      </w:r>
    </w:p>
    <w:p>
      <w:pPr>
        <w:pStyle w:val="GesAbsatz"/>
        <w:tabs>
          <w:tab w:val="clear" w:pos="425"/>
        </w:tabs>
        <w:ind w:left="709" w:hanging="709"/>
        <w:rPr>
          <w:rFonts w:cs="Arial"/>
          <w:b/>
        </w:rPr>
      </w:pPr>
      <w:r>
        <w:rPr>
          <w:rFonts w:cs="Arial"/>
          <w:b/>
        </w:rPr>
        <w:t>5.</w:t>
      </w:r>
      <w:r>
        <w:rPr>
          <w:rFonts w:cs="Arial"/>
          <w:b/>
        </w:rPr>
        <w:tab/>
        <w:t>Fahrzeugreparaturlackierung</w:t>
      </w:r>
    </w:p>
    <w:p>
      <w:pPr>
        <w:pStyle w:val="GesAbsatz"/>
        <w:tabs>
          <w:tab w:val="clear" w:pos="425"/>
        </w:tabs>
        <w:ind w:left="709" w:hanging="709"/>
        <w:rPr>
          <w:rFonts w:cs="Arial"/>
          <w:b/>
        </w:rPr>
      </w:pPr>
      <w:r>
        <w:rPr>
          <w:rFonts w:cs="Arial"/>
          <w:b/>
        </w:rPr>
        <w:t>5.1</w:t>
      </w:r>
      <w:r>
        <w:rPr>
          <w:rFonts w:cs="Arial"/>
          <w:b/>
        </w:rPr>
        <w:tab/>
        <w:t>Anlagen zur ursprünglichen Lackierung von Kraftfahrzeugen außerhalb der ursprünglichen Fertigungsstraße oder zur Lackierung von Anhängern</w:t>
      </w:r>
    </w:p>
    <w:p>
      <w:pPr>
        <w:pStyle w:val="GesAbsatz"/>
        <w:tabs>
          <w:tab w:val="clear" w:pos="425"/>
        </w:tabs>
        <w:ind w:left="709" w:hanging="709"/>
        <w:rPr>
          <w:rFonts w:cs="Arial"/>
        </w:rPr>
      </w:pPr>
      <w:r>
        <w:rPr>
          <w:rFonts w:cs="Arial"/>
        </w:rPr>
        <w:t>5.1.1</w:t>
      </w:r>
      <w:r>
        <w:rPr>
          <w:rFonts w:cs="Arial"/>
        </w:rPr>
        <w:tab/>
        <w:t>Emissionsgrenzwerte für gefasste behandelte Abgase</w:t>
      </w:r>
    </w:p>
    <w:tbl>
      <w:tblPr>
        <w:tblW w:w="9747" w:type="dxa"/>
        <w:tblLook w:val="0000" w:firstRow="0" w:lastRow="0" w:firstColumn="0" w:lastColumn="0" w:noHBand="0" w:noVBand="0"/>
      </w:tblPr>
      <w:tblGrid>
        <w:gridCol w:w="2835"/>
        <w:gridCol w:w="426"/>
        <w:gridCol w:w="6486"/>
      </w:tblGrid>
      <w:tr>
        <w:trPr>
          <w:cantSplit/>
          <w:trHeight w:val="501"/>
        </w:trPr>
        <w:tc>
          <w:tcPr>
            <w:tcW w:w="2835" w:type="dxa"/>
            <w:tcBorders>
              <w:top w:val="single" w:sz="4" w:space="0" w:color="auto"/>
              <w:bottom w:val="single" w:sz="4" w:space="0" w:color="auto"/>
            </w:tcBorders>
          </w:tcPr>
          <w:p>
            <w:pPr>
              <w:pStyle w:val="GesAbsatz"/>
              <w:jc w:val="center"/>
              <w:rPr>
                <w:rFonts w:cs="Arial"/>
                <w:color w:val="auto"/>
                <w:sz w:val="18"/>
                <w:szCs w:val="18"/>
              </w:rPr>
            </w:pPr>
            <w:r>
              <w:rPr>
                <w:rFonts w:cs="Arial"/>
                <w:sz w:val="18"/>
                <w:szCs w:val="18"/>
              </w:rPr>
              <w:t>Emissionsgrenzwert</w:t>
            </w:r>
            <w:r>
              <w:rPr>
                <w:rFonts w:cs="Arial"/>
                <w:sz w:val="18"/>
                <w:szCs w:val="18"/>
              </w:rPr>
              <w:br/>
              <w:t>(mg C/m³)</w:t>
            </w:r>
          </w:p>
        </w:tc>
        <w:tc>
          <w:tcPr>
            <w:tcW w:w="6912" w:type="dxa"/>
            <w:gridSpan w:val="2"/>
            <w:tcBorders>
              <w:top w:val="single" w:sz="6" w:space="0" w:color="000000"/>
              <w:bottom w:val="single" w:sz="4" w:space="0" w:color="auto"/>
            </w:tcBorders>
            <w:vAlign w:val="center"/>
          </w:tcPr>
          <w:p>
            <w:pPr>
              <w:pStyle w:val="GesAbsatz"/>
              <w:jc w:val="center"/>
              <w:rPr>
                <w:rFonts w:cs="Arial"/>
                <w:sz w:val="18"/>
                <w:szCs w:val="18"/>
              </w:rPr>
            </w:pPr>
            <w:r>
              <w:rPr>
                <w:rFonts w:cs="Arial"/>
                <w:sz w:val="18"/>
                <w:szCs w:val="18"/>
              </w:rPr>
              <w:t>Bemerkungen</w:t>
            </w:r>
          </w:p>
        </w:tc>
      </w:tr>
      <w:tr>
        <w:trPr>
          <w:trHeight w:val="243"/>
        </w:trPr>
        <w:tc>
          <w:tcPr>
            <w:tcW w:w="2835" w:type="dxa"/>
            <w:tcBorders>
              <w:top w:val="single" w:sz="4" w:space="0" w:color="auto"/>
            </w:tcBorders>
          </w:tcPr>
          <w:p>
            <w:pPr>
              <w:pStyle w:val="GesAbsatz"/>
              <w:jc w:val="center"/>
              <w:rPr>
                <w:rFonts w:cs="Arial"/>
                <w:color w:val="auto"/>
                <w:sz w:val="18"/>
                <w:szCs w:val="18"/>
              </w:rPr>
            </w:pPr>
            <w:r>
              <w:rPr>
                <w:rFonts w:cs="Arial"/>
                <w:sz w:val="18"/>
                <w:szCs w:val="18"/>
              </w:rPr>
              <w:t>50</w:t>
            </w:r>
            <w:r>
              <w:rPr>
                <w:rFonts w:cs="Arial"/>
                <w:sz w:val="18"/>
                <w:szCs w:val="18"/>
                <w:vertAlign w:val="superscript"/>
              </w:rPr>
              <w:t>1</w:t>
            </w:r>
          </w:p>
        </w:tc>
        <w:tc>
          <w:tcPr>
            <w:tcW w:w="426" w:type="dxa"/>
            <w:tcBorders>
              <w:top w:val="single" w:sz="4" w:space="0" w:color="auto"/>
            </w:tcBorders>
          </w:tcPr>
          <w:p>
            <w:pPr>
              <w:pStyle w:val="GesAbsatz"/>
              <w:jc w:val="right"/>
              <w:rPr>
                <w:rFonts w:cs="Arial"/>
                <w:sz w:val="18"/>
                <w:szCs w:val="18"/>
              </w:rPr>
            </w:pPr>
            <w:r>
              <w:rPr>
                <w:rFonts w:cs="Arial"/>
                <w:sz w:val="18"/>
                <w:szCs w:val="18"/>
                <w:vertAlign w:val="superscript"/>
              </w:rPr>
              <w:t>1</w:t>
            </w:r>
          </w:p>
        </w:tc>
        <w:tc>
          <w:tcPr>
            <w:tcW w:w="6486" w:type="dxa"/>
            <w:tcBorders>
              <w:top w:val="single" w:sz="4" w:space="0" w:color="auto"/>
            </w:tcBorders>
          </w:tcPr>
          <w:p>
            <w:pPr>
              <w:pStyle w:val="GesAbsatz"/>
              <w:rPr>
                <w:rFonts w:cs="Arial"/>
                <w:sz w:val="18"/>
                <w:szCs w:val="18"/>
              </w:rPr>
            </w:pPr>
            <w:r>
              <w:rPr>
                <w:rFonts w:cs="Arial"/>
                <w:sz w:val="18"/>
                <w:szCs w:val="18"/>
              </w:rPr>
              <w:t>Nachweis durch 15-minütige Durchschnittsmessungen</w:t>
            </w:r>
          </w:p>
        </w:tc>
      </w:tr>
    </w:tbl>
    <w:p>
      <w:pPr>
        <w:pStyle w:val="GesAbsatz"/>
        <w:tabs>
          <w:tab w:val="clear" w:pos="425"/>
        </w:tabs>
        <w:ind w:left="709" w:hanging="709"/>
      </w:pPr>
      <w:r>
        <w:rPr>
          <w:rFonts w:cs="Arial"/>
        </w:rPr>
        <w:t>5.1.2</w:t>
      </w:r>
      <w:r>
        <w:rPr>
          <w:rFonts w:cs="Arial"/>
        </w:rPr>
        <w:tab/>
        <w:t>Grenzwert für diffuse Emissionen</w:t>
      </w:r>
    </w:p>
    <w:p>
      <w:pPr>
        <w:pStyle w:val="GesAbsatz"/>
        <w:tabs>
          <w:tab w:val="clear" w:pos="425"/>
        </w:tabs>
        <w:ind w:left="709"/>
        <w:rPr>
          <w:rFonts w:cs="Arial"/>
        </w:rPr>
      </w:pPr>
      <w:r>
        <w:rPr>
          <w:rFonts w:cs="Arial"/>
        </w:rPr>
        <w:t>Der Grenzwert für diffuse Emissionen beträgt 25 Prozent der eingesetzten Lösungsmittel. Flüchtige organische Verbindungen, die in gefassten unbehandelten Abgasen enthalten sind, zählen zu den diffusen Emissionen.</w:t>
      </w:r>
    </w:p>
    <w:p>
      <w:pPr>
        <w:pStyle w:val="GesAbsatz"/>
        <w:tabs>
          <w:tab w:val="clear" w:pos="425"/>
        </w:tabs>
        <w:ind w:left="709" w:hanging="709"/>
      </w:pPr>
      <w:r>
        <w:t>5.1.3</w:t>
      </w:r>
      <w:r>
        <w:tab/>
        <w:t>Zur Reinigung der Werkzeuge, die bei der Verarbeitung von Beschichtungsstoffen in Betriebsstätten und ortsfesten Einrichtungen eingesetzt werden, sind geschlossene oder mindestens halbgeschlossene Reinigungsgeräte nach dem Stand der Technik zu verwenden.</w:t>
      </w:r>
    </w:p>
    <w:p>
      <w:pPr>
        <w:pStyle w:val="GesAbsatz"/>
        <w:tabs>
          <w:tab w:val="clear" w:pos="425"/>
        </w:tabs>
        <w:ind w:left="709" w:hanging="709"/>
        <w:rPr>
          <w:b/>
          <w:bCs/>
        </w:rPr>
      </w:pPr>
      <w:r>
        <w:rPr>
          <w:rFonts w:cs="Arial"/>
          <w:b/>
          <w:bCs/>
        </w:rPr>
        <w:t>6.</w:t>
      </w:r>
      <w:r>
        <w:rPr>
          <w:rFonts w:cs="Arial"/>
          <w:b/>
          <w:bCs/>
        </w:rPr>
        <w:tab/>
        <w:t>Beschichten von Bandblech</w:t>
      </w:r>
    </w:p>
    <w:p>
      <w:pPr>
        <w:pStyle w:val="GesAbsatz"/>
        <w:tabs>
          <w:tab w:val="clear" w:pos="425"/>
        </w:tabs>
        <w:ind w:left="709" w:hanging="709"/>
        <w:rPr>
          <w:b/>
          <w:bCs/>
        </w:rPr>
      </w:pPr>
      <w:r>
        <w:rPr>
          <w:rFonts w:cs="Arial"/>
          <w:b/>
          <w:bCs/>
        </w:rPr>
        <w:t>6.1</w:t>
      </w:r>
      <w:r>
        <w:rPr>
          <w:rFonts w:cs="Arial"/>
          <w:b/>
          <w:bCs/>
        </w:rPr>
        <w:tab/>
        <w:t>Anlagen zum Beschichten von Bandblech</w:t>
      </w:r>
    </w:p>
    <w:p>
      <w:pPr>
        <w:pStyle w:val="GesAbsatz"/>
        <w:tabs>
          <w:tab w:val="clear" w:pos="425"/>
        </w:tabs>
        <w:ind w:left="709" w:hanging="709"/>
      </w:pPr>
      <w:r>
        <w:rPr>
          <w:rFonts w:cs="Arial"/>
        </w:rPr>
        <w:t>6.1.1</w:t>
      </w:r>
      <w:r>
        <w:rPr>
          <w:rFonts w:cs="Arial"/>
        </w:rPr>
        <w:tab/>
        <w:t>Emissionsgrenzwerte für gefasste behandelte Abgase</w:t>
      </w:r>
    </w:p>
    <w:tbl>
      <w:tblPr>
        <w:tblW w:w="9747" w:type="dxa"/>
        <w:tblLook w:val="0000" w:firstRow="0" w:lastRow="0" w:firstColumn="0" w:lastColumn="0" w:noHBand="0" w:noVBand="0"/>
      </w:tblPr>
      <w:tblGrid>
        <w:gridCol w:w="2835"/>
        <w:gridCol w:w="426"/>
        <w:gridCol w:w="425"/>
        <w:gridCol w:w="6061"/>
      </w:tblGrid>
      <w:tr>
        <w:trPr>
          <w:cantSplit/>
          <w:trHeight w:val="328"/>
        </w:trPr>
        <w:tc>
          <w:tcPr>
            <w:tcW w:w="2835" w:type="dxa"/>
            <w:tcBorders>
              <w:top w:val="single" w:sz="6" w:space="0" w:color="000000"/>
              <w:bottom w:val="single" w:sz="4" w:space="0" w:color="auto"/>
            </w:tcBorders>
            <w:vAlign w:val="center"/>
          </w:tcPr>
          <w:p>
            <w:pPr>
              <w:pStyle w:val="GesAbsatz"/>
              <w:jc w:val="center"/>
              <w:rPr>
                <w:rFonts w:cs="Arial"/>
                <w:sz w:val="18"/>
                <w:szCs w:val="18"/>
              </w:rPr>
            </w:pPr>
            <w:r>
              <w:rPr>
                <w:rFonts w:cs="Arial"/>
                <w:sz w:val="18"/>
                <w:szCs w:val="18"/>
              </w:rPr>
              <w:t>Emissionsgrenzwert (mg C/m³)</w:t>
            </w:r>
          </w:p>
        </w:tc>
        <w:tc>
          <w:tcPr>
            <w:tcW w:w="6912" w:type="dxa"/>
            <w:gridSpan w:val="3"/>
            <w:tcBorders>
              <w:top w:val="single" w:sz="6" w:space="0" w:color="000000"/>
              <w:bottom w:val="single" w:sz="4" w:space="0" w:color="auto"/>
            </w:tcBorders>
            <w:vAlign w:val="center"/>
          </w:tcPr>
          <w:p>
            <w:pPr>
              <w:pStyle w:val="GesAbsatz"/>
              <w:jc w:val="center"/>
              <w:rPr>
                <w:rFonts w:cs="Arial"/>
                <w:sz w:val="18"/>
                <w:szCs w:val="18"/>
              </w:rPr>
            </w:pPr>
            <w:r>
              <w:rPr>
                <w:rFonts w:cs="Arial"/>
                <w:sz w:val="18"/>
                <w:szCs w:val="18"/>
              </w:rPr>
              <w:t>Bemerkungen</w:t>
            </w:r>
          </w:p>
        </w:tc>
      </w:tr>
      <w:tr>
        <w:trPr>
          <w:cantSplit/>
          <w:trHeight w:val="328"/>
        </w:trPr>
        <w:tc>
          <w:tcPr>
            <w:tcW w:w="2835" w:type="dxa"/>
            <w:vMerge w:val="restart"/>
            <w:tcBorders>
              <w:top w:val="single" w:sz="4" w:space="0" w:color="auto"/>
            </w:tcBorders>
          </w:tcPr>
          <w:p>
            <w:pPr>
              <w:pStyle w:val="GesAbsatz"/>
              <w:jc w:val="center"/>
              <w:rPr>
                <w:rFonts w:cs="Arial"/>
                <w:sz w:val="18"/>
                <w:szCs w:val="18"/>
              </w:rPr>
            </w:pPr>
            <w:r>
              <w:rPr>
                <w:rFonts w:cs="Arial"/>
                <w:sz w:val="18"/>
                <w:szCs w:val="18"/>
              </w:rPr>
              <w:t>20</w:t>
            </w:r>
            <w:r>
              <w:rPr>
                <w:rFonts w:cs="Arial"/>
                <w:sz w:val="18"/>
                <w:szCs w:val="18"/>
                <w:vertAlign w:val="superscript"/>
              </w:rPr>
              <w:t>1</w:t>
            </w:r>
            <w:r>
              <w:rPr>
                <w:rFonts w:cs="Arial"/>
                <w:sz w:val="18"/>
                <w:szCs w:val="18"/>
                <w:vertAlign w:val="superscript"/>
              </w:rPr>
              <w:br/>
            </w:r>
            <w:r>
              <w:rPr>
                <w:rFonts w:cs="Arial"/>
                <w:sz w:val="18"/>
                <w:szCs w:val="18"/>
              </w:rPr>
              <w:t>50</w:t>
            </w:r>
            <w:r>
              <w:rPr>
                <w:rFonts w:cs="Arial"/>
                <w:sz w:val="18"/>
                <w:szCs w:val="18"/>
              </w:rPr>
              <w:br/>
              <w:t>50</w:t>
            </w:r>
            <w:r>
              <w:rPr>
                <w:rFonts w:cs="Arial"/>
                <w:sz w:val="18"/>
                <w:szCs w:val="18"/>
                <w:vertAlign w:val="superscript"/>
              </w:rPr>
              <w:t>2</w:t>
            </w:r>
            <w:r>
              <w:rPr>
                <w:rFonts w:cs="Arial"/>
                <w:sz w:val="18"/>
                <w:szCs w:val="18"/>
                <w:vertAlign w:val="superscript"/>
              </w:rPr>
              <w:br/>
            </w:r>
            <w:r>
              <w:rPr>
                <w:rFonts w:cs="Arial"/>
                <w:sz w:val="18"/>
                <w:szCs w:val="18"/>
              </w:rPr>
              <w:t>75</w:t>
            </w:r>
            <w:r>
              <w:rPr>
                <w:rFonts w:cs="Arial"/>
                <w:sz w:val="18"/>
                <w:szCs w:val="18"/>
                <w:vertAlign w:val="superscript"/>
              </w:rPr>
              <w:t>3</w:t>
            </w:r>
          </w:p>
        </w:tc>
        <w:tc>
          <w:tcPr>
            <w:tcW w:w="426" w:type="dxa"/>
            <w:tcBorders>
              <w:top w:val="single" w:sz="4" w:space="0" w:color="auto"/>
            </w:tcBorders>
          </w:tcPr>
          <w:p>
            <w:pPr>
              <w:pStyle w:val="GesAbsatz"/>
              <w:jc w:val="right"/>
              <w:rPr>
                <w:rFonts w:cs="Arial"/>
                <w:sz w:val="18"/>
                <w:szCs w:val="18"/>
                <w:vertAlign w:val="superscript"/>
              </w:rPr>
            </w:pPr>
            <w:r>
              <w:rPr>
                <w:rFonts w:cs="Arial"/>
                <w:sz w:val="18"/>
                <w:szCs w:val="18"/>
                <w:vertAlign w:val="superscript"/>
              </w:rPr>
              <w:t>1</w:t>
            </w:r>
          </w:p>
        </w:tc>
        <w:tc>
          <w:tcPr>
            <w:tcW w:w="6486" w:type="dxa"/>
            <w:gridSpan w:val="2"/>
            <w:tcBorders>
              <w:top w:val="single" w:sz="4" w:space="0" w:color="auto"/>
            </w:tcBorders>
          </w:tcPr>
          <w:p>
            <w:pPr>
              <w:pStyle w:val="GesAbsatz"/>
              <w:jc w:val="left"/>
              <w:rPr>
                <w:rFonts w:cs="Arial"/>
                <w:sz w:val="18"/>
                <w:szCs w:val="18"/>
              </w:rPr>
            </w:pPr>
            <w:r>
              <w:rPr>
                <w:rFonts w:cs="Arial"/>
                <w:sz w:val="18"/>
                <w:szCs w:val="18"/>
              </w:rPr>
              <w:t>Gilt für Anlagen der Richtlinie 2010/75/EU; bei anderen Anlagen: bei Anwendung von Abgasreinigungseinrichtungen mit thermischer Nachverbrennung.</w:t>
            </w:r>
          </w:p>
        </w:tc>
      </w:tr>
      <w:tr>
        <w:trPr>
          <w:cantSplit/>
          <w:trHeight w:val="328"/>
        </w:trPr>
        <w:tc>
          <w:tcPr>
            <w:tcW w:w="2835" w:type="dxa"/>
            <w:vMerge/>
          </w:tcPr>
          <w:p>
            <w:pPr>
              <w:pStyle w:val="GesAbsatz"/>
              <w:jc w:val="center"/>
              <w:rPr>
                <w:rFonts w:cs="Arial"/>
                <w:sz w:val="18"/>
                <w:szCs w:val="18"/>
              </w:rPr>
            </w:pPr>
          </w:p>
        </w:tc>
        <w:tc>
          <w:tcPr>
            <w:tcW w:w="426" w:type="dxa"/>
          </w:tcPr>
          <w:p>
            <w:pPr>
              <w:pStyle w:val="GesAbsatz"/>
              <w:jc w:val="right"/>
              <w:rPr>
                <w:rFonts w:cs="Arial"/>
                <w:sz w:val="18"/>
                <w:szCs w:val="18"/>
                <w:vertAlign w:val="superscript"/>
              </w:rPr>
            </w:pPr>
            <w:r>
              <w:rPr>
                <w:rFonts w:cs="Arial"/>
                <w:sz w:val="18"/>
                <w:szCs w:val="18"/>
                <w:vertAlign w:val="superscript"/>
              </w:rPr>
              <w:t>2</w:t>
            </w:r>
          </w:p>
        </w:tc>
        <w:tc>
          <w:tcPr>
            <w:tcW w:w="6486" w:type="dxa"/>
            <w:gridSpan w:val="2"/>
          </w:tcPr>
          <w:p>
            <w:pPr>
              <w:pStyle w:val="GesAbsatz"/>
              <w:jc w:val="left"/>
              <w:rPr>
                <w:rFonts w:cs="Arial"/>
                <w:sz w:val="18"/>
                <w:szCs w:val="18"/>
              </w:rPr>
            </w:pPr>
            <w:r>
              <w:rPr>
                <w:rFonts w:cs="Arial"/>
                <w:sz w:val="18"/>
                <w:szCs w:val="18"/>
              </w:rPr>
              <w:t>Gilt für Anlagen der Richtlinie 2010/75/EU</w:t>
            </w:r>
          </w:p>
        </w:tc>
      </w:tr>
      <w:tr>
        <w:trPr>
          <w:cantSplit/>
          <w:trHeight w:val="328"/>
        </w:trPr>
        <w:tc>
          <w:tcPr>
            <w:tcW w:w="2835" w:type="dxa"/>
            <w:vMerge/>
          </w:tcPr>
          <w:p>
            <w:pPr>
              <w:pStyle w:val="GesAbsatz"/>
              <w:jc w:val="center"/>
              <w:rPr>
                <w:rFonts w:cs="Arial"/>
                <w:sz w:val="18"/>
                <w:szCs w:val="18"/>
              </w:rPr>
            </w:pPr>
          </w:p>
        </w:tc>
        <w:tc>
          <w:tcPr>
            <w:tcW w:w="426" w:type="dxa"/>
          </w:tcPr>
          <w:p>
            <w:pPr>
              <w:pStyle w:val="GesAbsatz"/>
              <w:jc w:val="right"/>
              <w:rPr>
                <w:rFonts w:cs="Arial"/>
                <w:sz w:val="18"/>
                <w:szCs w:val="18"/>
                <w:vertAlign w:val="superscript"/>
              </w:rPr>
            </w:pPr>
          </w:p>
        </w:tc>
        <w:tc>
          <w:tcPr>
            <w:tcW w:w="425" w:type="dxa"/>
          </w:tcPr>
          <w:p>
            <w:pPr>
              <w:pStyle w:val="GesAbsatz"/>
              <w:jc w:val="left"/>
              <w:rPr>
                <w:rFonts w:cs="Arial"/>
                <w:sz w:val="18"/>
                <w:szCs w:val="18"/>
              </w:rPr>
            </w:pPr>
            <w:r>
              <w:rPr>
                <w:rFonts w:cs="Arial"/>
                <w:sz w:val="18"/>
                <w:szCs w:val="18"/>
              </w:rPr>
              <w:t>a)</w:t>
            </w:r>
          </w:p>
        </w:tc>
        <w:tc>
          <w:tcPr>
            <w:tcW w:w="6061" w:type="dxa"/>
            <w:tcBorders>
              <w:left w:val="nil"/>
            </w:tcBorders>
          </w:tcPr>
          <w:p>
            <w:pPr>
              <w:pStyle w:val="GesAbsatz"/>
              <w:jc w:val="left"/>
              <w:rPr>
                <w:rFonts w:cs="Arial"/>
                <w:sz w:val="18"/>
                <w:szCs w:val="18"/>
              </w:rPr>
            </w:pPr>
            <w:r>
              <w:rPr>
                <w:rFonts w:cs="Arial"/>
                <w:sz w:val="18"/>
                <w:szCs w:val="18"/>
              </w:rPr>
              <w:t>bei Verwendung von Techniken, die die Wiederverwendung/das Recycling des zurückgewonnenen Lösungsmittels ermöglichen,</w:t>
            </w:r>
          </w:p>
        </w:tc>
      </w:tr>
      <w:tr>
        <w:trPr>
          <w:cantSplit/>
          <w:trHeight w:val="328"/>
        </w:trPr>
        <w:tc>
          <w:tcPr>
            <w:tcW w:w="2835" w:type="dxa"/>
            <w:vMerge/>
          </w:tcPr>
          <w:p>
            <w:pPr>
              <w:pStyle w:val="GesAbsatz"/>
              <w:jc w:val="center"/>
              <w:rPr>
                <w:rFonts w:cs="Arial"/>
                <w:sz w:val="18"/>
                <w:szCs w:val="18"/>
              </w:rPr>
            </w:pPr>
          </w:p>
        </w:tc>
        <w:tc>
          <w:tcPr>
            <w:tcW w:w="426" w:type="dxa"/>
          </w:tcPr>
          <w:p>
            <w:pPr>
              <w:pStyle w:val="GesAbsatz"/>
              <w:jc w:val="right"/>
              <w:rPr>
                <w:rFonts w:cs="Arial"/>
                <w:sz w:val="18"/>
                <w:szCs w:val="18"/>
                <w:vertAlign w:val="superscript"/>
              </w:rPr>
            </w:pPr>
          </w:p>
        </w:tc>
        <w:tc>
          <w:tcPr>
            <w:tcW w:w="425" w:type="dxa"/>
          </w:tcPr>
          <w:p>
            <w:pPr>
              <w:pStyle w:val="GesAbsatz"/>
              <w:jc w:val="left"/>
              <w:rPr>
                <w:rFonts w:cs="Arial"/>
                <w:sz w:val="18"/>
                <w:szCs w:val="18"/>
              </w:rPr>
            </w:pPr>
            <w:r>
              <w:rPr>
                <w:rFonts w:cs="Arial"/>
                <w:sz w:val="18"/>
                <w:szCs w:val="18"/>
              </w:rPr>
              <w:t>b)</w:t>
            </w:r>
          </w:p>
        </w:tc>
        <w:tc>
          <w:tcPr>
            <w:tcW w:w="6061" w:type="dxa"/>
            <w:tcBorders>
              <w:left w:val="nil"/>
            </w:tcBorders>
          </w:tcPr>
          <w:p>
            <w:pPr>
              <w:pStyle w:val="GesAbsatz"/>
              <w:jc w:val="left"/>
              <w:rPr>
                <w:rFonts w:cs="Arial"/>
                <w:sz w:val="18"/>
                <w:szCs w:val="18"/>
              </w:rPr>
            </w:pPr>
            <w:r>
              <w:rPr>
                <w:rFonts w:cs="Arial"/>
                <w:sz w:val="18"/>
                <w:szCs w:val="18"/>
              </w:rPr>
              <w:t>für das Abgas des Konzentrators bei Verwendung einer Technik zur externen Aufkonzentrierung von Lösungsmitteln in den Abgasen durch Adsorption in Kombination mit einer Abgasreinigungseinrichtung.</w:t>
            </w:r>
          </w:p>
        </w:tc>
      </w:tr>
      <w:tr>
        <w:trPr>
          <w:cantSplit/>
          <w:trHeight w:val="328"/>
        </w:trPr>
        <w:tc>
          <w:tcPr>
            <w:tcW w:w="2835" w:type="dxa"/>
            <w:vMerge/>
          </w:tcPr>
          <w:p>
            <w:pPr>
              <w:pStyle w:val="GesAbsatz"/>
              <w:jc w:val="center"/>
              <w:rPr>
                <w:rFonts w:cs="Arial"/>
                <w:sz w:val="18"/>
                <w:szCs w:val="18"/>
              </w:rPr>
            </w:pPr>
          </w:p>
        </w:tc>
        <w:tc>
          <w:tcPr>
            <w:tcW w:w="426" w:type="dxa"/>
          </w:tcPr>
          <w:p>
            <w:pPr>
              <w:pStyle w:val="GesAbsatz"/>
              <w:jc w:val="right"/>
              <w:rPr>
                <w:rFonts w:cs="Arial"/>
                <w:sz w:val="18"/>
                <w:szCs w:val="18"/>
                <w:vertAlign w:val="superscript"/>
              </w:rPr>
            </w:pPr>
            <w:r>
              <w:rPr>
                <w:rFonts w:cs="Arial"/>
                <w:sz w:val="18"/>
                <w:szCs w:val="18"/>
                <w:vertAlign w:val="superscript"/>
              </w:rPr>
              <w:t>3</w:t>
            </w:r>
          </w:p>
        </w:tc>
        <w:tc>
          <w:tcPr>
            <w:tcW w:w="6486" w:type="dxa"/>
            <w:gridSpan w:val="2"/>
          </w:tcPr>
          <w:p>
            <w:pPr>
              <w:pStyle w:val="GesAbsatz"/>
              <w:jc w:val="left"/>
              <w:rPr>
                <w:rFonts w:cs="Arial"/>
                <w:sz w:val="18"/>
                <w:szCs w:val="18"/>
              </w:rPr>
            </w:pPr>
            <w:r>
              <w:rPr>
                <w:rFonts w:cs="Arial"/>
                <w:sz w:val="18"/>
                <w:szCs w:val="18"/>
              </w:rPr>
              <w:t>Gilt nicht für Anlagen der Richtlinie 2010/75/EU. Gilt bei Wiederverwendung organischer Lösungsmittel.</w:t>
            </w:r>
          </w:p>
        </w:tc>
      </w:tr>
    </w:tbl>
    <w:p>
      <w:pPr>
        <w:pStyle w:val="GesAbsatz"/>
        <w:tabs>
          <w:tab w:val="clear" w:pos="425"/>
          <w:tab w:val="left" w:pos="709"/>
        </w:tabs>
        <w:ind w:left="709" w:hanging="709"/>
      </w:pPr>
      <w:r>
        <w:rPr>
          <w:rFonts w:cs="Arial"/>
        </w:rPr>
        <w:t>6.1.2</w:t>
      </w:r>
      <w:r>
        <w:rPr>
          <w:rFonts w:cs="Arial"/>
        </w:rPr>
        <w:tab/>
        <w:t>Grenzwert für diffuse Emissionen</w:t>
      </w:r>
    </w:p>
    <w:p>
      <w:pPr>
        <w:pStyle w:val="GesAbsatz"/>
        <w:tabs>
          <w:tab w:val="clear" w:pos="425"/>
        </w:tabs>
        <w:ind w:left="709"/>
      </w:pPr>
      <w:r>
        <w:rPr>
          <w:rFonts w:cs="Arial"/>
        </w:rPr>
        <w:lastRenderedPageBreak/>
        <w:t>Der Grenzwert für diffuse Emissionen von flüchtigen organischen Verbindungen beträgt 3 Prozent der eingesetzten Lösungsmittel. Flüchtige organische Verbindungen, die in gefassten unbehandelten Abgasen enthalten sind, zählen zu den diffusen Emissionen.</w:t>
      </w:r>
    </w:p>
    <w:p>
      <w:pPr>
        <w:pStyle w:val="GesAbsatz"/>
        <w:tabs>
          <w:tab w:val="clear" w:pos="425"/>
          <w:tab w:val="left" w:pos="709"/>
        </w:tabs>
        <w:ind w:left="709" w:hanging="709"/>
        <w:rPr>
          <w:rFonts w:cs="Arial"/>
          <w:b/>
          <w:bCs/>
          <w:color w:val="auto"/>
        </w:rPr>
      </w:pPr>
      <w:r>
        <w:rPr>
          <w:rFonts w:cs="Arial"/>
          <w:b/>
          <w:bCs/>
        </w:rPr>
        <w:t>7.</w:t>
      </w:r>
      <w:r>
        <w:rPr>
          <w:rFonts w:cs="Arial"/>
          <w:b/>
          <w:bCs/>
        </w:rPr>
        <w:tab/>
        <w:t>Beschichten von Wickeldraht</w:t>
      </w:r>
    </w:p>
    <w:p>
      <w:pPr>
        <w:pStyle w:val="GesAbsatz"/>
        <w:tabs>
          <w:tab w:val="clear" w:pos="425"/>
          <w:tab w:val="left" w:pos="709"/>
        </w:tabs>
        <w:ind w:left="709" w:hanging="709"/>
        <w:rPr>
          <w:rFonts w:cs="Arial"/>
          <w:b/>
          <w:bCs/>
        </w:rPr>
      </w:pPr>
      <w:r>
        <w:rPr>
          <w:rFonts w:cs="Arial"/>
          <w:b/>
          <w:bCs/>
        </w:rPr>
        <w:t>7.1</w:t>
      </w:r>
      <w:r>
        <w:rPr>
          <w:rFonts w:cs="Arial"/>
          <w:b/>
          <w:bCs/>
        </w:rPr>
        <w:tab/>
        <w:t>Anlagen zum Beschichten von Wickeldraht mit phenol-, kresol- oder xylenolhaltigen Beschichtungsstoffen</w:t>
      </w:r>
    </w:p>
    <w:p>
      <w:pPr>
        <w:pStyle w:val="GesAbsatz"/>
        <w:tabs>
          <w:tab w:val="clear" w:pos="425"/>
          <w:tab w:val="left" w:pos="709"/>
        </w:tabs>
        <w:ind w:left="709" w:hanging="709"/>
        <w:rPr>
          <w:rFonts w:cs="Arial"/>
        </w:rPr>
      </w:pPr>
      <w:r>
        <w:rPr>
          <w:rFonts w:cs="Arial"/>
        </w:rPr>
        <w:t>7.1.1</w:t>
      </w:r>
      <w:r>
        <w:rPr>
          <w:rFonts w:cs="Arial"/>
        </w:rPr>
        <w:tab/>
        <w:t>Grenzwerte für die Gesamtemissionen</w:t>
      </w:r>
    </w:p>
    <w:tbl>
      <w:tblPr>
        <w:tblW w:w="9747" w:type="dxa"/>
        <w:tblLook w:val="0000" w:firstRow="0" w:lastRow="0" w:firstColumn="0" w:lastColumn="0" w:noHBand="0" w:noVBand="0"/>
      </w:tblPr>
      <w:tblGrid>
        <w:gridCol w:w="2835"/>
        <w:gridCol w:w="426"/>
        <w:gridCol w:w="6486"/>
      </w:tblGrid>
      <w:tr>
        <w:trPr>
          <w:trHeight w:val="568"/>
        </w:trPr>
        <w:tc>
          <w:tcPr>
            <w:tcW w:w="2835" w:type="dxa"/>
            <w:tcBorders>
              <w:top w:val="single" w:sz="6" w:space="0" w:color="000000"/>
              <w:bottom w:val="single" w:sz="4" w:space="0" w:color="auto"/>
            </w:tcBorders>
            <w:vAlign w:val="center"/>
          </w:tcPr>
          <w:p>
            <w:pPr>
              <w:pStyle w:val="GesAbsatz"/>
              <w:jc w:val="center"/>
              <w:rPr>
                <w:sz w:val="16"/>
                <w:szCs w:val="16"/>
              </w:rPr>
            </w:pPr>
            <w:r>
              <w:rPr>
                <w:sz w:val="16"/>
                <w:szCs w:val="16"/>
              </w:rPr>
              <w:t>Gesamtemissionsgrenzwert</w:t>
            </w:r>
            <w:r>
              <w:rPr>
                <w:sz w:val="16"/>
                <w:szCs w:val="16"/>
              </w:rPr>
              <w:br/>
              <w:t>(g VOC/kg beschichteten Drahts)</w:t>
            </w:r>
          </w:p>
        </w:tc>
        <w:tc>
          <w:tcPr>
            <w:tcW w:w="6912" w:type="dxa"/>
            <w:gridSpan w:val="2"/>
            <w:tcBorders>
              <w:top w:val="single" w:sz="6" w:space="0" w:color="000000"/>
              <w:bottom w:val="single" w:sz="4" w:space="0" w:color="auto"/>
            </w:tcBorders>
            <w:vAlign w:val="center"/>
          </w:tcPr>
          <w:p>
            <w:pPr>
              <w:pStyle w:val="GesAbsatz"/>
              <w:jc w:val="center"/>
              <w:rPr>
                <w:sz w:val="18"/>
                <w:szCs w:val="18"/>
              </w:rPr>
            </w:pPr>
            <w:r>
              <w:rPr>
                <w:sz w:val="18"/>
                <w:szCs w:val="18"/>
              </w:rPr>
              <w:t>Bemerkungen</w:t>
            </w:r>
          </w:p>
        </w:tc>
      </w:tr>
      <w:tr>
        <w:trPr>
          <w:cantSplit/>
          <w:trHeight w:val="619"/>
        </w:trPr>
        <w:tc>
          <w:tcPr>
            <w:tcW w:w="2835" w:type="dxa"/>
            <w:vMerge w:val="restart"/>
            <w:tcBorders>
              <w:top w:val="single" w:sz="4" w:space="0" w:color="auto"/>
            </w:tcBorders>
          </w:tcPr>
          <w:p>
            <w:pPr>
              <w:pStyle w:val="GesAbsatz"/>
              <w:jc w:val="center"/>
              <w:rPr>
                <w:sz w:val="18"/>
                <w:szCs w:val="18"/>
                <w:vertAlign w:val="superscript"/>
              </w:rPr>
            </w:pPr>
            <w:r>
              <w:rPr>
                <w:sz w:val="18"/>
                <w:szCs w:val="18"/>
              </w:rPr>
              <w:t>5</w:t>
            </w:r>
            <w:r>
              <w:rPr>
                <w:sz w:val="18"/>
                <w:szCs w:val="18"/>
              </w:rPr>
              <w:br/>
              <w:t>3,3</w:t>
            </w:r>
            <w:r>
              <w:rPr>
                <w:sz w:val="18"/>
                <w:szCs w:val="18"/>
                <w:vertAlign w:val="superscript"/>
              </w:rPr>
              <w:t>1</w:t>
            </w:r>
            <w:r>
              <w:rPr>
                <w:sz w:val="18"/>
                <w:szCs w:val="18"/>
                <w:vertAlign w:val="superscript"/>
              </w:rPr>
              <w:br/>
            </w:r>
            <w:r>
              <w:rPr>
                <w:sz w:val="18"/>
                <w:szCs w:val="18"/>
              </w:rPr>
              <w:t>10</w:t>
            </w:r>
            <w:r>
              <w:rPr>
                <w:sz w:val="18"/>
                <w:szCs w:val="18"/>
                <w:vertAlign w:val="superscript"/>
              </w:rPr>
              <w:t>2</w:t>
            </w:r>
          </w:p>
        </w:tc>
        <w:tc>
          <w:tcPr>
            <w:tcW w:w="426" w:type="dxa"/>
            <w:tcBorders>
              <w:top w:val="single" w:sz="4" w:space="0" w:color="auto"/>
            </w:tcBorders>
          </w:tcPr>
          <w:p>
            <w:pPr>
              <w:pStyle w:val="GesAbsatz"/>
              <w:jc w:val="right"/>
              <w:rPr>
                <w:sz w:val="18"/>
                <w:szCs w:val="18"/>
                <w:vertAlign w:val="superscript"/>
              </w:rPr>
            </w:pPr>
            <w:r>
              <w:rPr>
                <w:sz w:val="18"/>
                <w:szCs w:val="18"/>
                <w:vertAlign w:val="superscript"/>
              </w:rPr>
              <w:t>1</w:t>
            </w:r>
          </w:p>
        </w:tc>
        <w:tc>
          <w:tcPr>
            <w:tcW w:w="6486" w:type="dxa"/>
            <w:tcBorders>
              <w:top w:val="single" w:sz="4" w:space="0" w:color="auto"/>
            </w:tcBorders>
          </w:tcPr>
          <w:p>
            <w:pPr>
              <w:pStyle w:val="GesAbsatz"/>
              <w:rPr>
                <w:sz w:val="18"/>
                <w:szCs w:val="18"/>
              </w:rPr>
            </w:pPr>
            <w:r>
              <w:rPr>
                <w:sz w:val="18"/>
                <w:szCs w:val="18"/>
              </w:rPr>
              <w:t>Gilt für Anlagen der Richtlinie 2010/75/EU und bei mittlerem Drahtdurchmesser &gt; 0,1 mm.</w:t>
            </w:r>
          </w:p>
        </w:tc>
      </w:tr>
      <w:tr>
        <w:trPr>
          <w:cantSplit/>
          <w:trHeight w:val="263"/>
        </w:trPr>
        <w:tc>
          <w:tcPr>
            <w:tcW w:w="2835" w:type="dxa"/>
            <w:vMerge/>
          </w:tcPr>
          <w:p>
            <w:pPr>
              <w:pStyle w:val="GesAbsatz"/>
              <w:jc w:val="center"/>
              <w:rPr>
                <w:sz w:val="18"/>
                <w:szCs w:val="18"/>
              </w:rPr>
            </w:pPr>
          </w:p>
        </w:tc>
        <w:tc>
          <w:tcPr>
            <w:tcW w:w="426" w:type="dxa"/>
          </w:tcPr>
          <w:p>
            <w:pPr>
              <w:pStyle w:val="GesAbsatz"/>
              <w:jc w:val="right"/>
              <w:rPr>
                <w:sz w:val="18"/>
                <w:szCs w:val="18"/>
                <w:vertAlign w:val="superscript"/>
              </w:rPr>
            </w:pPr>
            <w:r>
              <w:rPr>
                <w:sz w:val="18"/>
                <w:szCs w:val="18"/>
                <w:vertAlign w:val="superscript"/>
              </w:rPr>
              <w:t>2</w:t>
            </w:r>
          </w:p>
        </w:tc>
        <w:tc>
          <w:tcPr>
            <w:tcW w:w="6486" w:type="dxa"/>
          </w:tcPr>
          <w:p>
            <w:pPr>
              <w:pStyle w:val="GesAbsatz"/>
              <w:rPr>
                <w:sz w:val="18"/>
                <w:szCs w:val="18"/>
              </w:rPr>
            </w:pPr>
            <w:r>
              <w:rPr>
                <w:sz w:val="18"/>
                <w:szCs w:val="18"/>
              </w:rPr>
              <w:t>Mittlerer Drahtdurchmesser ≤ 0,1 mm</w:t>
            </w:r>
          </w:p>
        </w:tc>
      </w:tr>
    </w:tbl>
    <w:p>
      <w:pPr>
        <w:pStyle w:val="GesAbsatz"/>
        <w:tabs>
          <w:tab w:val="clear" w:pos="425"/>
          <w:tab w:val="left" w:pos="709"/>
        </w:tabs>
        <w:ind w:left="705" w:hanging="705"/>
        <w:rPr>
          <w:rFonts w:cs="Arial"/>
        </w:rPr>
      </w:pPr>
      <w:r>
        <w:rPr>
          <w:rFonts w:cs="Arial"/>
        </w:rPr>
        <w:t>7.1.2</w:t>
      </w:r>
      <w:r>
        <w:rPr>
          <w:rFonts w:cs="Arial"/>
        </w:rPr>
        <w:tab/>
        <w:t>Emissionsgrenzwert für gefasste Abgase Der Emissionsgrenzwert für gefasste Abgase beträgt 40 mg C/m</w:t>
      </w:r>
      <w:r>
        <w:rPr>
          <w:rFonts w:cs="Arial"/>
          <w:vertAlign w:val="superscript"/>
        </w:rPr>
        <w:t>3</w:t>
      </w:r>
      <w:r>
        <w:rPr>
          <w:rFonts w:cs="Arial"/>
        </w:rPr>
        <w:t>.</w:t>
      </w:r>
    </w:p>
    <w:p>
      <w:pPr>
        <w:pStyle w:val="GesAbsatz"/>
        <w:tabs>
          <w:tab w:val="clear" w:pos="425"/>
          <w:tab w:val="left" w:pos="709"/>
        </w:tabs>
        <w:rPr>
          <w:b/>
        </w:rPr>
      </w:pPr>
      <w:r>
        <w:rPr>
          <w:rFonts w:cs="Arial"/>
          <w:b/>
        </w:rPr>
        <w:t>7.2</w:t>
      </w:r>
      <w:r>
        <w:rPr>
          <w:b/>
        </w:rPr>
        <w:tab/>
        <w:t>Anlagen zum Beschichten von Wickeldraht mit sonstigen Beschichtungsstoffen</w:t>
      </w:r>
    </w:p>
    <w:p>
      <w:pPr>
        <w:pStyle w:val="GesAbsatz"/>
        <w:tabs>
          <w:tab w:val="clear" w:pos="425"/>
          <w:tab w:val="left" w:pos="709"/>
        </w:tabs>
      </w:pPr>
      <w:r>
        <w:rPr>
          <w:rFonts w:cs="Arial"/>
        </w:rPr>
        <w:t>7.2.1</w:t>
      </w:r>
      <w:r>
        <w:rPr>
          <w:rFonts w:cs="Arial"/>
        </w:rPr>
        <w:tab/>
        <w:t>Grenzwerte für die Gesamtemissionen</w:t>
      </w:r>
    </w:p>
    <w:tbl>
      <w:tblPr>
        <w:tblW w:w="9747" w:type="dxa"/>
        <w:tblLook w:val="0000" w:firstRow="0" w:lastRow="0" w:firstColumn="0" w:lastColumn="0" w:noHBand="0" w:noVBand="0"/>
      </w:tblPr>
      <w:tblGrid>
        <w:gridCol w:w="2835"/>
        <w:gridCol w:w="426"/>
        <w:gridCol w:w="6486"/>
      </w:tblGrid>
      <w:tr>
        <w:trPr>
          <w:trHeight w:val="568"/>
        </w:trPr>
        <w:tc>
          <w:tcPr>
            <w:tcW w:w="2835" w:type="dxa"/>
            <w:tcBorders>
              <w:top w:val="single" w:sz="6" w:space="0" w:color="000000"/>
              <w:bottom w:val="single" w:sz="4" w:space="0" w:color="auto"/>
            </w:tcBorders>
            <w:vAlign w:val="center"/>
          </w:tcPr>
          <w:p>
            <w:pPr>
              <w:pStyle w:val="GesAbsatz"/>
              <w:jc w:val="center"/>
              <w:rPr>
                <w:sz w:val="18"/>
                <w:szCs w:val="18"/>
              </w:rPr>
            </w:pPr>
            <w:r>
              <w:rPr>
                <w:sz w:val="18"/>
                <w:szCs w:val="18"/>
              </w:rPr>
              <w:t>Gesamtemissionsgrenzwert</w:t>
            </w:r>
            <w:r>
              <w:rPr>
                <w:sz w:val="18"/>
                <w:szCs w:val="18"/>
              </w:rPr>
              <w:br/>
              <w:t>(g VOC/kg beschichteten Drahts)</w:t>
            </w:r>
          </w:p>
        </w:tc>
        <w:tc>
          <w:tcPr>
            <w:tcW w:w="6912" w:type="dxa"/>
            <w:gridSpan w:val="2"/>
            <w:tcBorders>
              <w:top w:val="single" w:sz="6" w:space="0" w:color="000000"/>
              <w:bottom w:val="single" w:sz="4" w:space="0" w:color="auto"/>
            </w:tcBorders>
            <w:vAlign w:val="center"/>
          </w:tcPr>
          <w:p>
            <w:pPr>
              <w:pStyle w:val="GesAbsatz"/>
              <w:jc w:val="center"/>
              <w:rPr>
                <w:sz w:val="18"/>
                <w:szCs w:val="18"/>
              </w:rPr>
            </w:pPr>
            <w:r>
              <w:rPr>
                <w:sz w:val="18"/>
                <w:szCs w:val="18"/>
              </w:rPr>
              <w:t>Bemerkungen</w:t>
            </w:r>
          </w:p>
        </w:tc>
      </w:tr>
      <w:tr>
        <w:trPr>
          <w:cantSplit/>
          <w:trHeight w:val="619"/>
        </w:trPr>
        <w:tc>
          <w:tcPr>
            <w:tcW w:w="2835" w:type="dxa"/>
            <w:vMerge w:val="restart"/>
            <w:tcBorders>
              <w:top w:val="single" w:sz="4" w:space="0" w:color="auto"/>
            </w:tcBorders>
          </w:tcPr>
          <w:p>
            <w:pPr>
              <w:pStyle w:val="GesAbsatz"/>
              <w:jc w:val="center"/>
              <w:rPr>
                <w:sz w:val="18"/>
                <w:szCs w:val="18"/>
              </w:rPr>
            </w:pPr>
            <w:r>
              <w:rPr>
                <w:sz w:val="18"/>
                <w:szCs w:val="18"/>
              </w:rPr>
              <w:t>5</w:t>
            </w:r>
            <w:r>
              <w:rPr>
                <w:sz w:val="18"/>
                <w:szCs w:val="18"/>
              </w:rPr>
              <w:br/>
              <w:t>3,3</w:t>
            </w:r>
            <w:r>
              <w:rPr>
                <w:sz w:val="18"/>
                <w:szCs w:val="18"/>
                <w:vertAlign w:val="superscript"/>
              </w:rPr>
              <w:t>1</w:t>
            </w:r>
            <w:r>
              <w:rPr>
                <w:sz w:val="18"/>
                <w:szCs w:val="18"/>
              </w:rPr>
              <w:br/>
              <w:t>10</w:t>
            </w:r>
            <w:r>
              <w:rPr>
                <w:sz w:val="18"/>
                <w:szCs w:val="18"/>
                <w:vertAlign w:val="superscript"/>
              </w:rPr>
              <w:t>2</w:t>
            </w:r>
          </w:p>
        </w:tc>
        <w:tc>
          <w:tcPr>
            <w:tcW w:w="426" w:type="dxa"/>
            <w:tcBorders>
              <w:top w:val="single" w:sz="4" w:space="0" w:color="auto"/>
            </w:tcBorders>
          </w:tcPr>
          <w:p>
            <w:pPr>
              <w:pStyle w:val="GesAbsatz"/>
              <w:jc w:val="right"/>
              <w:rPr>
                <w:sz w:val="18"/>
                <w:szCs w:val="18"/>
                <w:vertAlign w:val="superscript"/>
              </w:rPr>
            </w:pPr>
            <w:r>
              <w:rPr>
                <w:sz w:val="18"/>
                <w:szCs w:val="18"/>
                <w:vertAlign w:val="superscript"/>
              </w:rPr>
              <w:t>1</w:t>
            </w:r>
          </w:p>
        </w:tc>
        <w:tc>
          <w:tcPr>
            <w:tcW w:w="6486" w:type="dxa"/>
            <w:tcBorders>
              <w:top w:val="single" w:sz="4" w:space="0" w:color="auto"/>
            </w:tcBorders>
          </w:tcPr>
          <w:p>
            <w:pPr>
              <w:pStyle w:val="GesAbsatz"/>
              <w:rPr>
                <w:sz w:val="18"/>
                <w:szCs w:val="18"/>
              </w:rPr>
            </w:pPr>
            <w:r>
              <w:rPr>
                <w:sz w:val="18"/>
                <w:szCs w:val="18"/>
              </w:rPr>
              <w:t>Gilt für Anlagen der Richtlinie 2010/75/EU und bei mittlerem Drahtdurchmesser &gt; 0,1 mm.</w:t>
            </w:r>
          </w:p>
        </w:tc>
      </w:tr>
      <w:tr>
        <w:trPr>
          <w:cantSplit/>
          <w:trHeight w:val="263"/>
        </w:trPr>
        <w:tc>
          <w:tcPr>
            <w:tcW w:w="2835" w:type="dxa"/>
            <w:vMerge/>
          </w:tcPr>
          <w:p>
            <w:pPr>
              <w:pStyle w:val="GesAbsatz"/>
              <w:rPr>
                <w:sz w:val="18"/>
                <w:szCs w:val="18"/>
              </w:rPr>
            </w:pPr>
          </w:p>
        </w:tc>
        <w:tc>
          <w:tcPr>
            <w:tcW w:w="426" w:type="dxa"/>
          </w:tcPr>
          <w:p>
            <w:pPr>
              <w:pStyle w:val="GesAbsatz"/>
              <w:jc w:val="right"/>
              <w:rPr>
                <w:sz w:val="18"/>
                <w:szCs w:val="18"/>
                <w:vertAlign w:val="superscript"/>
              </w:rPr>
            </w:pPr>
            <w:r>
              <w:rPr>
                <w:sz w:val="18"/>
                <w:szCs w:val="18"/>
                <w:vertAlign w:val="superscript"/>
              </w:rPr>
              <w:t>2</w:t>
            </w:r>
          </w:p>
        </w:tc>
        <w:tc>
          <w:tcPr>
            <w:tcW w:w="6486" w:type="dxa"/>
          </w:tcPr>
          <w:p>
            <w:pPr>
              <w:pStyle w:val="GesAbsatz"/>
              <w:rPr>
                <w:sz w:val="18"/>
                <w:szCs w:val="18"/>
              </w:rPr>
            </w:pPr>
            <w:r>
              <w:rPr>
                <w:sz w:val="18"/>
                <w:szCs w:val="18"/>
              </w:rPr>
              <w:t>Mittlerer Drahtdurchmesser ≤ 0,1 mm.</w:t>
            </w:r>
          </w:p>
        </w:tc>
      </w:tr>
    </w:tbl>
    <w:p>
      <w:pPr>
        <w:pStyle w:val="GesAbsatz"/>
      </w:pPr>
      <w:r>
        <w:t>7.2.2</w:t>
      </w:r>
      <w:r>
        <w:tab/>
        <w:t>Emissionsgrenzwert für gefasste Abgase</w:t>
      </w:r>
    </w:p>
    <w:p>
      <w:pPr>
        <w:pStyle w:val="GesAbsatz"/>
        <w:tabs>
          <w:tab w:val="clear" w:pos="425"/>
        </w:tabs>
        <w:ind w:left="709"/>
        <w:rPr>
          <w:rFonts w:cs="Arial"/>
        </w:rPr>
      </w:pPr>
      <w:r>
        <w:rPr>
          <w:rFonts w:cs="Arial"/>
        </w:rPr>
        <w:t>Der Emissionsgrenzwert für gefasste Abgase beträgt 40 mg C/m</w:t>
      </w:r>
      <w:r>
        <w:rPr>
          <w:rFonts w:cs="Arial"/>
          <w:vertAlign w:val="superscript"/>
        </w:rPr>
        <w:t>3</w:t>
      </w:r>
      <w:r>
        <w:rPr>
          <w:rFonts w:cs="Arial"/>
        </w:rPr>
        <w:t>.</w:t>
      </w:r>
    </w:p>
    <w:p>
      <w:pPr>
        <w:pStyle w:val="GesAbsatz"/>
        <w:tabs>
          <w:tab w:val="clear" w:pos="425"/>
          <w:tab w:val="left" w:pos="709"/>
        </w:tabs>
        <w:ind w:left="709" w:hanging="709"/>
        <w:rPr>
          <w:b/>
          <w:bCs/>
        </w:rPr>
      </w:pPr>
      <w:r>
        <w:rPr>
          <w:rFonts w:cs="Arial"/>
          <w:b/>
          <w:bCs/>
        </w:rPr>
        <w:t>8.</w:t>
      </w:r>
      <w:r>
        <w:rPr>
          <w:b/>
          <w:bCs/>
        </w:rPr>
        <w:tab/>
        <w:t>Beschichten von sonstigen Metall- oder Kunststoffoberflächen</w:t>
      </w:r>
    </w:p>
    <w:p>
      <w:pPr>
        <w:pStyle w:val="GesAbsatz"/>
        <w:tabs>
          <w:tab w:val="clear" w:pos="425"/>
          <w:tab w:val="left" w:pos="709"/>
        </w:tabs>
        <w:ind w:left="709" w:hanging="709"/>
        <w:rPr>
          <w:b/>
          <w:bCs/>
        </w:rPr>
      </w:pPr>
      <w:r>
        <w:rPr>
          <w:b/>
          <w:bCs/>
        </w:rPr>
        <w:t>8.1</w:t>
      </w:r>
      <w:r>
        <w:rPr>
          <w:b/>
          <w:bCs/>
        </w:rPr>
        <w:tab/>
        <w:t>Anlagen zum Beschichten von sonstigen Metall- oder Kunststoffoberflächen sowie zum Beschichten und Bedrucken von Metallverpackungen</w:t>
      </w:r>
    </w:p>
    <w:p>
      <w:pPr>
        <w:pStyle w:val="GesAbsatz"/>
        <w:tabs>
          <w:tab w:val="clear" w:pos="425"/>
          <w:tab w:val="left" w:pos="709"/>
        </w:tabs>
        <w:ind w:left="709" w:hanging="709"/>
      </w:pPr>
      <w:r>
        <w:rPr>
          <w:rFonts w:cs="Arial"/>
        </w:rPr>
        <w:t>8.1.1</w:t>
      </w:r>
      <w:r>
        <w:rPr>
          <w:rFonts w:cs="Arial"/>
        </w:rPr>
        <w:tab/>
        <w:t>Emissionsgrenzwerte für gefasste behandelte Abgase</w:t>
      </w:r>
    </w:p>
    <w:tbl>
      <w:tblPr>
        <w:tblW w:w="9747" w:type="dxa"/>
        <w:tblLayout w:type="fixed"/>
        <w:tblLook w:val="0000" w:firstRow="0" w:lastRow="0" w:firstColumn="0" w:lastColumn="0" w:noHBand="0" w:noVBand="0"/>
      </w:tblPr>
      <w:tblGrid>
        <w:gridCol w:w="1418"/>
        <w:gridCol w:w="1417"/>
        <w:gridCol w:w="426"/>
        <w:gridCol w:w="6486"/>
      </w:tblGrid>
      <w:tr>
        <w:trPr>
          <w:cantSplit/>
          <w:trHeight w:val="409"/>
        </w:trPr>
        <w:tc>
          <w:tcPr>
            <w:tcW w:w="2835" w:type="dxa"/>
            <w:gridSpan w:val="2"/>
            <w:tcBorders>
              <w:top w:val="single" w:sz="6" w:space="0" w:color="000000"/>
            </w:tcBorders>
          </w:tcPr>
          <w:p>
            <w:pPr>
              <w:pStyle w:val="GesAbsatz"/>
              <w:jc w:val="center"/>
              <w:rPr>
                <w:sz w:val="18"/>
                <w:szCs w:val="18"/>
                <w:vertAlign w:val="superscript"/>
              </w:rPr>
            </w:pPr>
            <w:r>
              <w:rPr>
                <w:sz w:val="18"/>
                <w:szCs w:val="18"/>
              </w:rPr>
              <w:t>Emissionsgrenzwert (mg C /m³)</w:t>
            </w:r>
            <w:r>
              <w:rPr>
                <w:sz w:val="18"/>
                <w:szCs w:val="18"/>
              </w:rPr>
              <w:br/>
              <w:t>Lösungsmittelverbrauch (t/a)</w:t>
            </w:r>
            <w:r>
              <w:rPr>
                <w:sz w:val="18"/>
                <w:szCs w:val="18"/>
                <w:vertAlign w:val="superscript"/>
              </w:rPr>
              <w:t>1</w:t>
            </w:r>
          </w:p>
        </w:tc>
        <w:tc>
          <w:tcPr>
            <w:tcW w:w="6912" w:type="dxa"/>
            <w:gridSpan w:val="2"/>
            <w:vMerge w:val="restart"/>
            <w:tcBorders>
              <w:top w:val="single" w:sz="6" w:space="0" w:color="000000"/>
            </w:tcBorders>
            <w:vAlign w:val="center"/>
          </w:tcPr>
          <w:p>
            <w:pPr>
              <w:pStyle w:val="GesAbsatz"/>
              <w:jc w:val="center"/>
              <w:rPr>
                <w:sz w:val="18"/>
                <w:szCs w:val="18"/>
              </w:rPr>
            </w:pPr>
            <w:r>
              <w:rPr>
                <w:sz w:val="18"/>
                <w:szCs w:val="18"/>
              </w:rPr>
              <w:t>Bemerkungen</w:t>
            </w:r>
          </w:p>
        </w:tc>
      </w:tr>
      <w:tr>
        <w:trPr>
          <w:cantSplit/>
          <w:trHeight w:val="274"/>
        </w:trPr>
        <w:tc>
          <w:tcPr>
            <w:tcW w:w="1418" w:type="dxa"/>
            <w:tcBorders>
              <w:bottom w:val="single" w:sz="4" w:space="0" w:color="auto"/>
            </w:tcBorders>
          </w:tcPr>
          <w:p>
            <w:pPr>
              <w:pStyle w:val="GesAbsatz"/>
              <w:jc w:val="center"/>
              <w:rPr>
                <w:sz w:val="18"/>
                <w:szCs w:val="18"/>
              </w:rPr>
            </w:pPr>
            <w:r>
              <w:rPr>
                <w:sz w:val="18"/>
                <w:szCs w:val="18"/>
              </w:rPr>
              <w:t>&gt; 5 - 15</w:t>
            </w:r>
          </w:p>
        </w:tc>
        <w:tc>
          <w:tcPr>
            <w:tcW w:w="1417" w:type="dxa"/>
            <w:tcBorders>
              <w:bottom w:val="single" w:sz="4" w:space="0" w:color="auto"/>
            </w:tcBorders>
          </w:tcPr>
          <w:p>
            <w:pPr>
              <w:pStyle w:val="GesAbsatz"/>
              <w:jc w:val="center"/>
              <w:rPr>
                <w:sz w:val="18"/>
                <w:szCs w:val="18"/>
              </w:rPr>
            </w:pPr>
            <w:r>
              <w:rPr>
                <w:sz w:val="18"/>
                <w:szCs w:val="18"/>
              </w:rPr>
              <w:t>&gt; 15</w:t>
            </w:r>
          </w:p>
        </w:tc>
        <w:tc>
          <w:tcPr>
            <w:tcW w:w="6912" w:type="dxa"/>
            <w:gridSpan w:val="2"/>
            <w:vMerge/>
            <w:tcBorders>
              <w:bottom w:val="single" w:sz="4" w:space="0" w:color="auto"/>
            </w:tcBorders>
          </w:tcPr>
          <w:p>
            <w:pPr>
              <w:pStyle w:val="GesAbsatz"/>
              <w:rPr>
                <w:color w:val="auto"/>
                <w:sz w:val="18"/>
                <w:szCs w:val="18"/>
              </w:rPr>
            </w:pPr>
          </w:p>
        </w:tc>
      </w:tr>
      <w:tr>
        <w:trPr>
          <w:cantSplit/>
          <w:trHeight w:val="335"/>
        </w:trPr>
        <w:tc>
          <w:tcPr>
            <w:tcW w:w="1418" w:type="dxa"/>
            <w:vMerge w:val="restart"/>
            <w:tcBorders>
              <w:top w:val="single" w:sz="4" w:space="0" w:color="auto"/>
            </w:tcBorders>
          </w:tcPr>
          <w:p>
            <w:pPr>
              <w:pStyle w:val="GesAbsatz"/>
              <w:jc w:val="center"/>
              <w:rPr>
                <w:sz w:val="18"/>
                <w:szCs w:val="18"/>
              </w:rPr>
            </w:pPr>
            <w:r>
              <w:rPr>
                <w:sz w:val="18"/>
                <w:szCs w:val="18"/>
              </w:rPr>
              <w:t>100</w:t>
            </w:r>
            <w:r>
              <w:rPr>
                <w:sz w:val="18"/>
                <w:szCs w:val="18"/>
                <w:vertAlign w:val="superscript"/>
              </w:rPr>
              <w:t>2</w:t>
            </w:r>
          </w:p>
        </w:tc>
        <w:tc>
          <w:tcPr>
            <w:tcW w:w="1417" w:type="dxa"/>
            <w:vMerge w:val="restart"/>
            <w:tcBorders>
              <w:top w:val="single" w:sz="4" w:space="0" w:color="auto"/>
            </w:tcBorders>
          </w:tcPr>
          <w:p>
            <w:pPr>
              <w:pStyle w:val="GesAbsatz"/>
              <w:jc w:val="center"/>
              <w:rPr>
                <w:sz w:val="18"/>
                <w:szCs w:val="18"/>
                <w:vertAlign w:val="superscript"/>
              </w:rPr>
            </w:pPr>
            <w:r>
              <w:rPr>
                <w:sz w:val="18"/>
                <w:szCs w:val="18"/>
              </w:rPr>
              <w:t>50</w:t>
            </w:r>
            <w:r>
              <w:rPr>
                <w:sz w:val="18"/>
                <w:szCs w:val="18"/>
                <w:vertAlign w:val="superscript"/>
              </w:rPr>
              <w:t>2</w:t>
            </w:r>
            <w:r>
              <w:rPr>
                <w:sz w:val="18"/>
                <w:szCs w:val="18"/>
              </w:rPr>
              <w:br/>
              <w:t>20</w:t>
            </w:r>
            <w:r>
              <w:rPr>
                <w:sz w:val="18"/>
                <w:szCs w:val="18"/>
                <w:vertAlign w:val="superscript"/>
              </w:rPr>
              <w:t>3</w:t>
            </w:r>
          </w:p>
        </w:tc>
        <w:tc>
          <w:tcPr>
            <w:tcW w:w="426" w:type="dxa"/>
            <w:tcBorders>
              <w:top w:val="single" w:sz="4" w:space="0" w:color="auto"/>
            </w:tcBorders>
          </w:tcPr>
          <w:p>
            <w:pPr>
              <w:pStyle w:val="GesAbsatz"/>
              <w:jc w:val="right"/>
              <w:rPr>
                <w:sz w:val="18"/>
                <w:szCs w:val="18"/>
              </w:rPr>
            </w:pPr>
            <w:r>
              <w:rPr>
                <w:sz w:val="18"/>
                <w:szCs w:val="18"/>
                <w:vertAlign w:val="superscript"/>
              </w:rPr>
              <w:t>1</w:t>
            </w:r>
          </w:p>
        </w:tc>
        <w:tc>
          <w:tcPr>
            <w:tcW w:w="6486" w:type="dxa"/>
            <w:tcBorders>
              <w:top w:val="single" w:sz="4" w:space="0" w:color="auto"/>
            </w:tcBorders>
          </w:tcPr>
          <w:p>
            <w:pPr>
              <w:pStyle w:val="GesAbsatz"/>
              <w:rPr>
                <w:sz w:val="18"/>
                <w:szCs w:val="18"/>
              </w:rPr>
            </w:pPr>
            <w:r>
              <w:rPr>
                <w:sz w:val="18"/>
                <w:szCs w:val="18"/>
              </w:rPr>
              <w:t>Gilt nicht für Anlagen der Richtlinie 2010/75/EU.</w:t>
            </w:r>
          </w:p>
        </w:tc>
      </w:tr>
      <w:tr>
        <w:trPr>
          <w:cantSplit/>
          <w:trHeight w:val="397"/>
        </w:trPr>
        <w:tc>
          <w:tcPr>
            <w:tcW w:w="1418" w:type="dxa"/>
            <w:vMerge/>
          </w:tcPr>
          <w:p>
            <w:pPr>
              <w:pStyle w:val="GesAbsatz"/>
              <w:jc w:val="center"/>
              <w:rPr>
                <w:sz w:val="18"/>
                <w:szCs w:val="18"/>
              </w:rPr>
            </w:pPr>
          </w:p>
        </w:tc>
        <w:tc>
          <w:tcPr>
            <w:tcW w:w="1417" w:type="dxa"/>
            <w:vMerge/>
          </w:tcPr>
          <w:p>
            <w:pPr>
              <w:pStyle w:val="GesAbsatz"/>
              <w:rPr>
                <w:sz w:val="18"/>
                <w:szCs w:val="18"/>
              </w:rPr>
            </w:pPr>
          </w:p>
        </w:tc>
        <w:tc>
          <w:tcPr>
            <w:tcW w:w="426" w:type="dxa"/>
          </w:tcPr>
          <w:p>
            <w:pPr>
              <w:pStyle w:val="GesAbsatz"/>
              <w:jc w:val="right"/>
              <w:rPr>
                <w:sz w:val="18"/>
                <w:szCs w:val="18"/>
                <w:vertAlign w:val="superscript"/>
              </w:rPr>
            </w:pPr>
            <w:r>
              <w:rPr>
                <w:sz w:val="18"/>
                <w:szCs w:val="18"/>
                <w:vertAlign w:val="superscript"/>
              </w:rPr>
              <w:t>2</w:t>
            </w:r>
          </w:p>
        </w:tc>
        <w:tc>
          <w:tcPr>
            <w:tcW w:w="6486" w:type="dxa"/>
          </w:tcPr>
          <w:p>
            <w:pPr>
              <w:pStyle w:val="GesAbsatz"/>
              <w:rPr>
                <w:sz w:val="18"/>
                <w:szCs w:val="18"/>
              </w:rPr>
            </w:pPr>
            <w:r>
              <w:rPr>
                <w:sz w:val="18"/>
                <w:szCs w:val="18"/>
              </w:rPr>
              <w:t>Gilt für Beschichtungs- und Trocknungsverfahren.</w:t>
            </w:r>
          </w:p>
        </w:tc>
      </w:tr>
      <w:tr>
        <w:trPr>
          <w:cantSplit/>
          <w:trHeight w:val="397"/>
        </w:trPr>
        <w:tc>
          <w:tcPr>
            <w:tcW w:w="1418" w:type="dxa"/>
            <w:vMerge/>
          </w:tcPr>
          <w:p>
            <w:pPr>
              <w:pStyle w:val="GesAbsatz"/>
              <w:jc w:val="center"/>
              <w:rPr>
                <w:sz w:val="18"/>
                <w:szCs w:val="18"/>
              </w:rPr>
            </w:pPr>
          </w:p>
        </w:tc>
        <w:tc>
          <w:tcPr>
            <w:tcW w:w="1417" w:type="dxa"/>
            <w:vMerge/>
          </w:tcPr>
          <w:p>
            <w:pPr>
              <w:pStyle w:val="GesAbsatz"/>
              <w:rPr>
                <w:sz w:val="18"/>
                <w:szCs w:val="18"/>
              </w:rPr>
            </w:pPr>
          </w:p>
        </w:tc>
        <w:tc>
          <w:tcPr>
            <w:tcW w:w="426" w:type="dxa"/>
          </w:tcPr>
          <w:p>
            <w:pPr>
              <w:pStyle w:val="GesAbsatz"/>
              <w:jc w:val="right"/>
              <w:rPr>
                <w:sz w:val="18"/>
                <w:szCs w:val="18"/>
                <w:vertAlign w:val="superscript"/>
              </w:rPr>
            </w:pPr>
            <w:r>
              <w:rPr>
                <w:sz w:val="18"/>
                <w:szCs w:val="18"/>
                <w:vertAlign w:val="superscript"/>
              </w:rPr>
              <w:t>3</w:t>
            </w:r>
          </w:p>
        </w:tc>
        <w:tc>
          <w:tcPr>
            <w:tcW w:w="6486" w:type="dxa"/>
          </w:tcPr>
          <w:p>
            <w:pPr>
              <w:pStyle w:val="GesAbsatz"/>
              <w:rPr>
                <w:sz w:val="18"/>
                <w:szCs w:val="18"/>
              </w:rPr>
            </w:pPr>
            <w:r>
              <w:rPr>
                <w:sz w:val="18"/>
                <w:szCs w:val="18"/>
              </w:rPr>
              <w:t>Bei Anwendung von Abgasreinigungseinrichtungen mit thermischer Nachverbrennung.</w:t>
            </w:r>
          </w:p>
        </w:tc>
      </w:tr>
    </w:tbl>
    <w:p>
      <w:pPr>
        <w:pStyle w:val="GesAbsatz"/>
        <w:tabs>
          <w:tab w:val="clear" w:pos="425"/>
          <w:tab w:val="left" w:pos="709"/>
        </w:tabs>
        <w:ind w:left="1134" w:hanging="1134"/>
        <w:rPr>
          <w:rFonts w:cs="Arial"/>
        </w:rPr>
      </w:pPr>
      <w:r>
        <w:rPr>
          <w:rFonts w:cs="Arial"/>
        </w:rPr>
        <w:t>8.1.2</w:t>
      </w:r>
      <w:r>
        <w:rPr>
          <w:rFonts w:cs="Arial"/>
        </w:rPr>
        <w:tab/>
        <w:t>Grenzwerte für diffuse Emissionen</w:t>
      </w:r>
    </w:p>
    <w:tbl>
      <w:tblPr>
        <w:tblW w:w="9747" w:type="dxa"/>
        <w:tblLayout w:type="fixed"/>
        <w:tblLook w:val="0000" w:firstRow="0" w:lastRow="0" w:firstColumn="0" w:lastColumn="0" w:noHBand="0" w:noVBand="0"/>
      </w:tblPr>
      <w:tblGrid>
        <w:gridCol w:w="1418"/>
        <w:gridCol w:w="1417"/>
        <w:gridCol w:w="426"/>
        <w:gridCol w:w="6486"/>
      </w:tblGrid>
      <w:tr>
        <w:trPr>
          <w:cantSplit/>
          <w:trHeight w:val="691"/>
        </w:trPr>
        <w:tc>
          <w:tcPr>
            <w:tcW w:w="2835" w:type="dxa"/>
            <w:gridSpan w:val="2"/>
            <w:tcBorders>
              <w:top w:val="single" w:sz="4" w:space="0" w:color="auto"/>
            </w:tcBorders>
          </w:tcPr>
          <w:p>
            <w:pPr>
              <w:pStyle w:val="GesAbsatz"/>
              <w:jc w:val="center"/>
              <w:rPr>
                <w:rFonts w:cs="Arial"/>
                <w:sz w:val="18"/>
                <w:szCs w:val="18"/>
              </w:rPr>
            </w:pPr>
            <w:r>
              <w:rPr>
                <w:rFonts w:cs="Arial"/>
                <w:sz w:val="18"/>
                <w:szCs w:val="18"/>
              </w:rPr>
              <w:t xml:space="preserve">Grenzwert </w:t>
            </w:r>
            <w:r>
              <w:rPr>
                <w:rFonts w:cs="Arial"/>
                <w:sz w:val="18"/>
                <w:szCs w:val="18"/>
                <w:vertAlign w:val="superscript"/>
              </w:rPr>
              <w:t>1, 2</w:t>
            </w:r>
            <w:r>
              <w:rPr>
                <w:rFonts w:cs="Arial"/>
                <w:sz w:val="18"/>
                <w:szCs w:val="18"/>
              </w:rPr>
              <w:br/>
            </w:r>
            <w:r>
              <w:rPr>
                <w:rFonts w:cs="Arial"/>
                <w:sz w:val="16"/>
                <w:szCs w:val="16"/>
              </w:rPr>
              <w:t>(% der eingesetzten Lösungsmittel)</w:t>
            </w:r>
            <w:r>
              <w:rPr>
                <w:rFonts w:cs="Arial"/>
                <w:sz w:val="18"/>
                <w:szCs w:val="18"/>
              </w:rPr>
              <w:br/>
              <w:t>Lösungsmittelverbrauch (t/a)</w:t>
            </w:r>
          </w:p>
        </w:tc>
        <w:tc>
          <w:tcPr>
            <w:tcW w:w="6912" w:type="dxa"/>
            <w:gridSpan w:val="2"/>
            <w:vMerge w:val="restart"/>
            <w:tcBorders>
              <w:top w:val="single" w:sz="4" w:space="0" w:color="auto"/>
            </w:tcBorders>
            <w:vAlign w:val="center"/>
          </w:tcPr>
          <w:p>
            <w:pPr>
              <w:pStyle w:val="GesAbsatz"/>
              <w:jc w:val="center"/>
              <w:rPr>
                <w:rFonts w:cs="Arial"/>
                <w:sz w:val="18"/>
                <w:szCs w:val="18"/>
              </w:rPr>
            </w:pPr>
            <w:r>
              <w:rPr>
                <w:rFonts w:cs="Arial"/>
                <w:sz w:val="18"/>
                <w:szCs w:val="18"/>
              </w:rPr>
              <w:t>Bemerkungen</w:t>
            </w:r>
          </w:p>
        </w:tc>
      </w:tr>
      <w:tr>
        <w:trPr>
          <w:cantSplit/>
          <w:trHeight w:val="149"/>
        </w:trPr>
        <w:tc>
          <w:tcPr>
            <w:tcW w:w="1418" w:type="dxa"/>
            <w:tcBorders>
              <w:bottom w:val="single" w:sz="4" w:space="0" w:color="auto"/>
            </w:tcBorders>
          </w:tcPr>
          <w:p>
            <w:pPr>
              <w:pStyle w:val="GesAbsatz"/>
              <w:jc w:val="center"/>
              <w:rPr>
                <w:rFonts w:cs="Arial"/>
                <w:sz w:val="18"/>
                <w:szCs w:val="18"/>
              </w:rPr>
            </w:pPr>
            <w:r>
              <w:rPr>
                <w:rFonts w:cs="Arial"/>
                <w:sz w:val="18"/>
                <w:szCs w:val="18"/>
              </w:rPr>
              <w:t>&gt; 5 - 15</w:t>
            </w:r>
          </w:p>
        </w:tc>
        <w:tc>
          <w:tcPr>
            <w:tcW w:w="1417" w:type="dxa"/>
            <w:tcBorders>
              <w:bottom w:val="single" w:sz="4" w:space="0" w:color="auto"/>
            </w:tcBorders>
          </w:tcPr>
          <w:p>
            <w:pPr>
              <w:pStyle w:val="GesAbsatz"/>
              <w:jc w:val="center"/>
              <w:rPr>
                <w:rFonts w:cs="Arial"/>
                <w:sz w:val="18"/>
                <w:szCs w:val="18"/>
              </w:rPr>
            </w:pPr>
            <w:r>
              <w:rPr>
                <w:rFonts w:cs="Arial"/>
                <w:sz w:val="18"/>
                <w:szCs w:val="18"/>
              </w:rPr>
              <w:t>&gt; 15</w:t>
            </w:r>
          </w:p>
        </w:tc>
        <w:tc>
          <w:tcPr>
            <w:tcW w:w="6912" w:type="dxa"/>
            <w:gridSpan w:val="2"/>
            <w:vMerge/>
            <w:tcBorders>
              <w:bottom w:val="single" w:sz="4" w:space="0" w:color="auto"/>
            </w:tcBorders>
          </w:tcPr>
          <w:p>
            <w:pPr>
              <w:pStyle w:val="GesAbsatz"/>
              <w:rPr>
                <w:rFonts w:cs="Arial"/>
                <w:sz w:val="18"/>
                <w:szCs w:val="18"/>
                <w:vertAlign w:val="superscript"/>
              </w:rPr>
            </w:pPr>
          </w:p>
        </w:tc>
      </w:tr>
      <w:tr>
        <w:trPr>
          <w:cantSplit/>
          <w:trHeight w:val="234"/>
        </w:trPr>
        <w:tc>
          <w:tcPr>
            <w:tcW w:w="1418" w:type="dxa"/>
            <w:vMerge w:val="restart"/>
            <w:tcBorders>
              <w:top w:val="single" w:sz="4" w:space="0" w:color="auto"/>
            </w:tcBorders>
          </w:tcPr>
          <w:p>
            <w:pPr>
              <w:pStyle w:val="GesAbsatz"/>
              <w:jc w:val="center"/>
              <w:rPr>
                <w:rFonts w:cs="Arial"/>
                <w:color w:val="auto"/>
                <w:sz w:val="18"/>
                <w:szCs w:val="18"/>
              </w:rPr>
            </w:pPr>
            <w:r>
              <w:rPr>
                <w:rFonts w:cs="Arial"/>
                <w:sz w:val="18"/>
                <w:szCs w:val="18"/>
              </w:rPr>
              <w:t>15</w:t>
            </w:r>
            <w:r>
              <w:rPr>
                <w:rFonts w:cs="Arial"/>
                <w:sz w:val="18"/>
                <w:szCs w:val="18"/>
                <w:vertAlign w:val="superscript"/>
              </w:rPr>
              <w:t>3</w:t>
            </w:r>
            <w:r>
              <w:rPr>
                <w:rFonts w:cs="Arial"/>
                <w:sz w:val="18"/>
                <w:szCs w:val="18"/>
                <w:vertAlign w:val="superscript"/>
              </w:rPr>
              <w:br/>
            </w:r>
            <w:r>
              <w:rPr>
                <w:rFonts w:cs="Arial"/>
                <w:sz w:val="18"/>
                <w:szCs w:val="18"/>
              </w:rPr>
              <w:t>25</w:t>
            </w:r>
          </w:p>
        </w:tc>
        <w:tc>
          <w:tcPr>
            <w:tcW w:w="1417" w:type="dxa"/>
            <w:vMerge w:val="restart"/>
            <w:tcBorders>
              <w:top w:val="single" w:sz="4" w:space="0" w:color="auto"/>
            </w:tcBorders>
          </w:tcPr>
          <w:p>
            <w:pPr>
              <w:pStyle w:val="GesAbsatz"/>
              <w:jc w:val="center"/>
              <w:rPr>
                <w:rFonts w:cs="Arial"/>
                <w:color w:val="auto"/>
                <w:sz w:val="18"/>
                <w:szCs w:val="18"/>
              </w:rPr>
            </w:pPr>
            <w:r>
              <w:rPr>
                <w:rFonts w:cs="Arial"/>
                <w:sz w:val="18"/>
                <w:szCs w:val="18"/>
              </w:rPr>
              <w:t>10</w:t>
            </w:r>
            <w:r>
              <w:rPr>
                <w:rFonts w:cs="Arial"/>
                <w:sz w:val="18"/>
                <w:szCs w:val="18"/>
                <w:vertAlign w:val="superscript"/>
              </w:rPr>
              <w:t>3</w:t>
            </w:r>
            <w:r>
              <w:rPr>
                <w:rFonts w:cs="Arial"/>
                <w:sz w:val="18"/>
                <w:szCs w:val="18"/>
                <w:vertAlign w:val="superscript"/>
              </w:rPr>
              <w:br/>
            </w:r>
            <w:r>
              <w:rPr>
                <w:rFonts w:cs="Arial"/>
                <w:sz w:val="18"/>
                <w:szCs w:val="18"/>
              </w:rPr>
              <w:t>20</w:t>
            </w:r>
          </w:p>
        </w:tc>
        <w:tc>
          <w:tcPr>
            <w:tcW w:w="426" w:type="dxa"/>
            <w:tcBorders>
              <w:top w:val="single" w:sz="4" w:space="0" w:color="auto"/>
            </w:tcBorders>
          </w:tcPr>
          <w:p>
            <w:pPr>
              <w:pStyle w:val="GesAbsatz"/>
              <w:jc w:val="right"/>
              <w:rPr>
                <w:rFonts w:cs="Arial"/>
                <w:sz w:val="18"/>
                <w:szCs w:val="18"/>
              </w:rPr>
            </w:pPr>
            <w:r>
              <w:rPr>
                <w:rFonts w:cs="Arial"/>
                <w:sz w:val="18"/>
                <w:szCs w:val="18"/>
                <w:vertAlign w:val="superscript"/>
              </w:rPr>
              <w:t>1</w:t>
            </w:r>
          </w:p>
        </w:tc>
        <w:tc>
          <w:tcPr>
            <w:tcW w:w="6486" w:type="dxa"/>
            <w:tcBorders>
              <w:top w:val="single" w:sz="4" w:space="0" w:color="auto"/>
            </w:tcBorders>
          </w:tcPr>
          <w:p>
            <w:pPr>
              <w:pStyle w:val="GesAbsatz"/>
              <w:jc w:val="left"/>
              <w:rPr>
                <w:rFonts w:cs="Arial"/>
                <w:sz w:val="18"/>
                <w:szCs w:val="18"/>
              </w:rPr>
            </w:pPr>
            <w:r>
              <w:rPr>
                <w:rFonts w:cs="Arial"/>
                <w:sz w:val="18"/>
                <w:szCs w:val="18"/>
              </w:rPr>
              <w:t>Gilt nicht für Anlagen der Richtlinie 2010/75/EU.</w:t>
            </w:r>
          </w:p>
        </w:tc>
      </w:tr>
      <w:tr>
        <w:trPr>
          <w:cantSplit/>
          <w:trHeight w:val="233"/>
        </w:trPr>
        <w:tc>
          <w:tcPr>
            <w:tcW w:w="1418" w:type="dxa"/>
            <w:vMerge/>
          </w:tcPr>
          <w:p>
            <w:pPr>
              <w:pStyle w:val="GesAbsatz"/>
              <w:jc w:val="center"/>
              <w:rPr>
                <w:rFonts w:cs="Arial"/>
                <w:sz w:val="18"/>
                <w:szCs w:val="18"/>
              </w:rPr>
            </w:pPr>
          </w:p>
        </w:tc>
        <w:tc>
          <w:tcPr>
            <w:tcW w:w="1417" w:type="dxa"/>
            <w:vMerge/>
          </w:tcPr>
          <w:p>
            <w:pPr>
              <w:pStyle w:val="GesAbsatz"/>
              <w:jc w:val="center"/>
              <w:rPr>
                <w:rFonts w:cs="Arial"/>
                <w:sz w:val="18"/>
                <w:szCs w:val="18"/>
              </w:rPr>
            </w:pPr>
          </w:p>
        </w:tc>
        <w:tc>
          <w:tcPr>
            <w:tcW w:w="426" w:type="dxa"/>
          </w:tcPr>
          <w:p>
            <w:pPr>
              <w:pStyle w:val="GesAbsatz"/>
              <w:jc w:val="right"/>
              <w:rPr>
                <w:rFonts w:cs="Arial"/>
                <w:sz w:val="18"/>
                <w:szCs w:val="18"/>
                <w:vertAlign w:val="superscript"/>
              </w:rPr>
            </w:pPr>
            <w:r>
              <w:rPr>
                <w:rFonts w:cs="Arial"/>
                <w:sz w:val="18"/>
                <w:szCs w:val="18"/>
                <w:vertAlign w:val="superscript"/>
              </w:rPr>
              <w:t>2</w:t>
            </w:r>
          </w:p>
        </w:tc>
        <w:tc>
          <w:tcPr>
            <w:tcW w:w="6486" w:type="dxa"/>
          </w:tcPr>
          <w:p>
            <w:pPr>
              <w:pStyle w:val="GesAbsatz"/>
              <w:jc w:val="left"/>
              <w:rPr>
                <w:rFonts w:cs="Arial"/>
                <w:sz w:val="18"/>
                <w:szCs w:val="18"/>
              </w:rPr>
            </w:pPr>
            <w:r>
              <w:rPr>
                <w:rFonts w:cs="Arial"/>
                <w:sz w:val="18"/>
                <w:szCs w:val="18"/>
              </w:rPr>
              <w:t>Flüchtige organische Verbindungen, die in gefassten unbehandelten Abgasen enthalten sind, zählen zu den diffusen Emissionen.</w:t>
            </w:r>
          </w:p>
        </w:tc>
      </w:tr>
      <w:tr>
        <w:trPr>
          <w:cantSplit/>
          <w:trHeight w:val="233"/>
        </w:trPr>
        <w:tc>
          <w:tcPr>
            <w:tcW w:w="1418" w:type="dxa"/>
            <w:vMerge/>
          </w:tcPr>
          <w:p>
            <w:pPr>
              <w:pStyle w:val="GesAbsatz"/>
              <w:jc w:val="center"/>
              <w:rPr>
                <w:rFonts w:cs="Arial"/>
                <w:sz w:val="18"/>
                <w:szCs w:val="18"/>
              </w:rPr>
            </w:pPr>
          </w:p>
        </w:tc>
        <w:tc>
          <w:tcPr>
            <w:tcW w:w="1417" w:type="dxa"/>
            <w:vMerge/>
          </w:tcPr>
          <w:p>
            <w:pPr>
              <w:pStyle w:val="GesAbsatz"/>
              <w:jc w:val="center"/>
              <w:rPr>
                <w:rFonts w:cs="Arial"/>
                <w:sz w:val="18"/>
                <w:szCs w:val="18"/>
              </w:rPr>
            </w:pPr>
          </w:p>
        </w:tc>
        <w:tc>
          <w:tcPr>
            <w:tcW w:w="426" w:type="dxa"/>
          </w:tcPr>
          <w:p>
            <w:pPr>
              <w:pStyle w:val="GesAbsatz"/>
              <w:jc w:val="right"/>
              <w:rPr>
                <w:rFonts w:cs="Arial"/>
                <w:sz w:val="18"/>
                <w:szCs w:val="18"/>
                <w:vertAlign w:val="superscript"/>
              </w:rPr>
            </w:pPr>
            <w:r>
              <w:rPr>
                <w:rFonts w:cs="Arial"/>
                <w:sz w:val="18"/>
                <w:szCs w:val="18"/>
                <w:vertAlign w:val="superscript"/>
              </w:rPr>
              <w:t>3</w:t>
            </w:r>
          </w:p>
        </w:tc>
        <w:tc>
          <w:tcPr>
            <w:tcW w:w="6486" w:type="dxa"/>
          </w:tcPr>
          <w:p>
            <w:pPr>
              <w:pStyle w:val="GesAbsatz"/>
              <w:jc w:val="left"/>
              <w:rPr>
                <w:rFonts w:cs="Arial"/>
                <w:sz w:val="18"/>
                <w:szCs w:val="18"/>
              </w:rPr>
            </w:pPr>
            <w:r>
              <w:rPr>
                <w:rFonts w:cs="Arial"/>
                <w:sz w:val="18"/>
                <w:szCs w:val="18"/>
              </w:rPr>
              <w:t>Bei automatisierter Beschichtung bahnenförmiger Materialien.</w:t>
            </w:r>
          </w:p>
        </w:tc>
      </w:tr>
    </w:tbl>
    <w:p>
      <w:pPr>
        <w:pStyle w:val="GesAbsatz"/>
        <w:rPr>
          <w:rFonts w:cs="Arial"/>
        </w:rPr>
      </w:pPr>
      <w:r>
        <w:rPr>
          <w:rFonts w:cs="Arial"/>
        </w:rPr>
        <w:t>8.1.3</w:t>
      </w:r>
      <w:r>
        <w:rPr>
          <w:rFonts w:cs="Arial"/>
        </w:rPr>
        <w:tab/>
        <w:t>Emissionsgrenzwerte für gefasste behandelte Abgase bei Anlagen der Richtlinie 2010/75/EU</w:t>
      </w:r>
    </w:p>
    <w:tbl>
      <w:tblPr>
        <w:tblW w:w="9747" w:type="dxa"/>
        <w:tblLayout w:type="fixed"/>
        <w:tblLook w:val="0000" w:firstRow="0" w:lastRow="0" w:firstColumn="0" w:lastColumn="0" w:noHBand="0" w:noVBand="0"/>
      </w:tblPr>
      <w:tblGrid>
        <w:gridCol w:w="2835"/>
        <w:gridCol w:w="426"/>
        <w:gridCol w:w="6486"/>
      </w:tblGrid>
      <w:tr>
        <w:trPr>
          <w:cantSplit/>
          <w:trHeight w:val="691"/>
        </w:trPr>
        <w:tc>
          <w:tcPr>
            <w:tcW w:w="2835" w:type="dxa"/>
            <w:tcBorders>
              <w:top w:val="single" w:sz="4" w:space="0" w:color="auto"/>
            </w:tcBorders>
          </w:tcPr>
          <w:p>
            <w:pPr>
              <w:pStyle w:val="GesAbsatz"/>
              <w:jc w:val="center"/>
              <w:rPr>
                <w:rFonts w:cs="Arial"/>
                <w:sz w:val="18"/>
                <w:szCs w:val="18"/>
              </w:rPr>
            </w:pPr>
            <w:r>
              <w:rPr>
                <w:rFonts w:cs="Arial"/>
                <w:sz w:val="18"/>
                <w:szCs w:val="18"/>
              </w:rPr>
              <w:lastRenderedPageBreak/>
              <w:t>Emissionsgrenzwert</w:t>
            </w:r>
            <w:r>
              <w:rPr>
                <w:rFonts w:cs="Arial"/>
                <w:sz w:val="18"/>
                <w:szCs w:val="18"/>
              </w:rPr>
              <w:br/>
              <w:t>(mg C/m</w:t>
            </w:r>
            <w:r>
              <w:rPr>
                <w:rFonts w:cs="Arial"/>
                <w:sz w:val="18"/>
                <w:szCs w:val="18"/>
                <w:vertAlign w:val="superscript"/>
              </w:rPr>
              <w:t>3</w:t>
            </w:r>
            <w:r>
              <w:rPr>
                <w:rFonts w:cs="Arial"/>
                <w:sz w:val="18"/>
                <w:szCs w:val="18"/>
              </w:rPr>
              <w:t>)</w:t>
            </w:r>
          </w:p>
        </w:tc>
        <w:tc>
          <w:tcPr>
            <w:tcW w:w="6912" w:type="dxa"/>
            <w:gridSpan w:val="2"/>
            <w:tcBorders>
              <w:top w:val="single" w:sz="4" w:space="0" w:color="auto"/>
            </w:tcBorders>
          </w:tcPr>
          <w:p>
            <w:pPr>
              <w:pStyle w:val="GesAbsatz"/>
              <w:jc w:val="center"/>
              <w:rPr>
                <w:rFonts w:cs="Arial"/>
                <w:sz w:val="18"/>
                <w:szCs w:val="18"/>
              </w:rPr>
            </w:pPr>
            <w:r>
              <w:rPr>
                <w:rFonts w:cs="Arial"/>
                <w:sz w:val="18"/>
                <w:szCs w:val="18"/>
              </w:rPr>
              <w:t>Bemerkungen</w:t>
            </w:r>
          </w:p>
        </w:tc>
      </w:tr>
      <w:tr>
        <w:trPr>
          <w:cantSplit/>
          <w:trHeight w:val="234"/>
        </w:trPr>
        <w:tc>
          <w:tcPr>
            <w:tcW w:w="2835" w:type="dxa"/>
            <w:vMerge w:val="restart"/>
            <w:tcBorders>
              <w:top w:val="single" w:sz="4" w:space="0" w:color="auto"/>
            </w:tcBorders>
          </w:tcPr>
          <w:p>
            <w:pPr>
              <w:pStyle w:val="GesAbsatz"/>
              <w:jc w:val="center"/>
              <w:rPr>
                <w:rFonts w:cs="Arial"/>
                <w:sz w:val="18"/>
                <w:szCs w:val="18"/>
                <w:vertAlign w:val="superscript"/>
              </w:rPr>
            </w:pPr>
            <w:r>
              <w:rPr>
                <w:rFonts w:cs="Arial"/>
                <w:sz w:val="18"/>
                <w:szCs w:val="18"/>
              </w:rPr>
              <w:t>20</w:t>
            </w:r>
            <w:r>
              <w:rPr>
                <w:rFonts w:cs="Arial"/>
                <w:sz w:val="18"/>
                <w:szCs w:val="18"/>
              </w:rPr>
              <w:br/>
              <w:t>35</w:t>
            </w:r>
            <w:r>
              <w:rPr>
                <w:rFonts w:cs="Arial"/>
                <w:sz w:val="18"/>
                <w:szCs w:val="18"/>
                <w:vertAlign w:val="superscript"/>
              </w:rPr>
              <w:t>1</w:t>
            </w:r>
            <w:r>
              <w:rPr>
                <w:rFonts w:cs="Arial"/>
                <w:sz w:val="18"/>
                <w:szCs w:val="18"/>
                <w:vertAlign w:val="superscript"/>
              </w:rPr>
              <w:br/>
            </w:r>
            <w:r>
              <w:rPr>
                <w:rFonts w:cs="Arial"/>
                <w:sz w:val="18"/>
                <w:szCs w:val="18"/>
              </w:rPr>
              <w:t>50</w:t>
            </w:r>
            <w:r>
              <w:rPr>
                <w:rFonts w:cs="Arial"/>
                <w:sz w:val="18"/>
                <w:szCs w:val="18"/>
                <w:vertAlign w:val="superscript"/>
              </w:rPr>
              <w:t>2</w:t>
            </w:r>
          </w:p>
        </w:tc>
        <w:tc>
          <w:tcPr>
            <w:tcW w:w="426" w:type="dxa"/>
            <w:tcBorders>
              <w:top w:val="single" w:sz="4" w:space="0" w:color="auto"/>
            </w:tcBorders>
          </w:tcPr>
          <w:p>
            <w:pPr>
              <w:pStyle w:val="GesAbsatz"/>
              <w:jc w:val="right"/>
              <w:rPr>
                <w:rFonts w:cs="Arial"/>
                <w:sz w:val="18"/>
                <w:szCs w:val="18"/>
              </w:rPr>
            </w:pPr>
            <w:r>
              <w:rPr>
                <w:rFonts w:cs="Arial"/>
                <w:sz w:val="18"/>
                <w:szCs w:val="18"/>
                <w:vertAlign w:val="superscript"/>
              </w:rPr>
              <w:t>1</w:t>
            </w:r>
          </w:p>
        </w:tc>
        <w:tc>
          <w:tcPr>
            <w:tcW w:w="6486" w:type="dxa"/>
            <w:tcBorders>
              <w:top w:val="single" w:sz="4" w:space="0" w:color="auto"/>
            </w:tcBorders>
          </w:tcPr>
          <w:p>
            <w:pPr>
              <w:pStyle w:val="GesAbsatz"/>
              <w:rPr>
                <w:rFonts w:cs="Arial"/>
                <w:sz w:val="18"/>
                <w:szCs w:val="18"/>
              </w:rPr>
            </w:pPr>
            <w:r>
              <w:rPr>
                <w:rFonts w:cs="Arial"/>
                <w:sz w:val="18"/>
                <w:szCs w:val="18"/>
              </w:rPr>
              <w:t>Gilt, falls Techniken eingesetzt werden, die die Wiederverwendung/ das Recycling zurückgewonnener Lösungsmittel ermöglichen (gilt nicht beim Beschichten und Bedrucken von Metallverpackungen).</w:t>
            </w:r>
          </w:p>
        </w:tc>
      </w:tr>
      <w:tr>
        <w:trPr>
          <w:cantSplit/>
          <w:trHeight w:val="233"/>
        </w:trPr>
        <w:tc>
          <w:tcPr>
            <w:tcW w:w="2835" w:type="dxa"/>
            <w:vMerge/>
          </w:tcPr>
          <w:p>
            <w:pPr>
              <w:pStyle w:val="GesAbsatz"/>
              <w:rPr>
                <w:rFonts w:cs="Arial"/>
                <w:sz w:val="18"/>
                <w:szCs w:val="18"/>
              </w:rPr>
            </w:pPr>
          </w:p>
        </w:tc>
        <w:tc>
          <w:tcPr>
            <w:tcW w:w="426" w:type="dxa"/>
          </w:tcPr>
          <w:p>
            <w:pPr>
              <w:pStyle w:val="GesAbsatz"/>
              <w:jc w:val="right"/>
              <w:rPr>
                <w:rFonts w:cs="Arial"/>
                <w:sz w:val="18"/>
                <w:szCs w:val="18"/>
                <w:vertAlign w:val="superscript"/>
              </w:rPr>
            </w:pPr>
            <w:r>
              <w:rPr>
                <w:rFonts w:cs="Arial"/>
                <w:sz w:val="18"/>
                <w:szCs w:val="18"/>
                <w:vertAlign w:val="superscript"/>
              </w:rPr>
              <w:t>2</w:t>
            </w:r>
          </w:p>
        </w:tc>
        <w:tc>
          <w:tcPr>
            <w:tcW w:w="6486" w:type="dxa"/>
          </w:tcPr>
          <w:p>
            <w:pPr>
              <w:pStyle w:val="GesAbsatz"/>
              <w:rPr>
                <w:rFonts w:cs="Arial"/>
                <w:sz w:val="18"/>
                <w:szCs w:val="18"/>
              </w:rPr>
            </w:pPr>
            <w:r>
              <w:rPr>
                <w:rFonts w:cs="Arial"/>
                <w:sz w:val="18"/>
                <w:szCs w:val="18"/>
              </w:rPr>
              <w:t>Gilt für das Abgas des Konzentrators bei Verwendung einer Technik zur externen Aufkonzentrierung von Lösungsmitteln in den Abgasen durch Adsorption in Kombination mit einer Abgasreinigungseinrichtung.</w:t>
            </w:r>
          </w:p>
        </w:tc>
      </w:tr>
    </w:tbl>
    <w:p>
      <w:pPr>
        <w:pStyle w:val="GesAbsatz"/>
        <w:rPr>
          <w:rFonts w:cs="Arial"/>
          <w:color w:val="auto"/>
        </w:rPr>
      </w:pPr>
      <w:r>
        <w:rPr>
          <w:rFonts w:cs="Arial"/>
          <w:color w:val="auto"/>
        </w:rPr>
        <w:t>8.1.4</w:t>
      </w:r>
      <w:r>
        <w:rPr>
          <w:rFonts w:cs="Arial"/>
          <w:color w:val="auto"/>
        </w:rPr>
        <w:tab/>
        <w:t>Gesamtemissionsgrenzwerte bei Anlagen der Richtlinie 2010/75/EU</w:t>
      </w:r>
    </w:p>
    <w:p>
      <w:pPr>
        <w:pStyle w:val="GesAbsatz"/>
        <w:tabs>
          <w:tab w:val="clear" w:pos="425"/>
        </w:tabs>
        <w:ind w:left="709"/>
        <w:rPr>
          <w:rFonts w:cs="Arial"/>
        </w:rPr>
      </w:pPr>
      <w:r>
        <w:rPr>
          <w:rFonts w:cs="Arial"/>
        </w:rPr>
        <w:t>Zusätzlich zu den Emissionsgrenzwerten der Nummer 8.1.3 gelten folgende Emissionsgrenzwerte: bei der</w:t>
      </w:r>
    </w:p>
    <w:p>
      <w:pPr>
        <w:pStyle w:val="GesAbsatz"/>
        <w:tabs>
          <w:tab w:val="clear" w:pos="425"/>
          <w:tab w:val="left" w:pos="1134"/>
        </w:tabs>
        <w:ind w:left="709"/>
        <w:rPr>
          <w:rFonts w:cs="Arial"/>
        </w:rPr>
      </w:pPr>
      <w:r>
        <w:rPr>
          <w:rFonts w:cs="Arial"/>
        </w:rPr>
        <w:t>a)</w:t>
      </w:r>
      <w:r>
        <w:rPr>
          <w:rFonts w:cs="Arial"/>
        </w:rPr>
        <w:tab/>
        <w:t>Beschichtung von Metalloberflächen: 0,2 kg VOC/kg Feststoffzufuhr,</w:t>
      </w:r>
    </w:p>
    <w:p>
      <w:pPr>
        <w:pStyle w:val="GesAbsatz"/>
        <w:tabs>
          <w:tab w:val="clear" w:pos="425"/>
          <w:tab w:val="left" w:pos="1134"/>
        </w:tabs>
        <w:ind w:left="709"/>
        <w:rPr>
          <w:rFonts w:cs="Arial"/>
        </w:rPr>
      </w:pPr>
      <w:r>
        <w:rPr>
          <w:rFonts w:cs="Arial"/>
        </w:rPr>
        <w:t>b)</w:t>
      </w:r>
      <w:r>
        <w:rPr>
          <w:rFonts w:cs="Arial"/>
        </w:rPr>
        <w:tab/>
        <w:t>Beschichtung von Kunststoffoberflächen: 0,3 kg VOC/kg Feststoffzufuhr,</w:t>
      </w:r>
    </w:p>
    <w:p>
      <w:pPr>
        <w:pStyle w:val="GesAbsatz"/>
        <w:tabs>
          <w:tab w:val="clear" w:pos="425"/>
          <w:tab w:val="left" w:pos="1134"/>
        </w:tabs>
        <w:ind w:left="1134" w:hanging="425"/>
        <w:rPr>
          <w:rFonts w:cs="Arial"/>
        </w:rPr>
      </w:pPr>
      <w:r>
        <w:rPr>
          <w:rFonts w:cs="Arial"/>
        </w:rPr>
        <w:t>c)</w:t>
      </w:r>
      <w:r>
        <w:rPr>
          <w:rFonts w:cs="Arial"/>
        </w:rPr>
        <w:tab/>
        <w:t>Beschichtung und dem Bedrucken von Metallverpackungen der Jahresmittelwert von 3,5 g VOC/m</w:t>
      </w:r>
      <w:r>
        <w:rPr>
          <w:rFonts w:cs="Arial"/>
          <w:vertAlign w:val="superscript"/>
        </w:rPr>
        <w:t>2</w:t>
      </w:r>
      <w:r>
        <w:rPr>
          <w:rFonts w:cs="Arial"/>
        </w:rPr>
        <w:t xml:space="preserve"> beschichteter/bedruckter Oberfläche.</w:t>
      </w:r>
    </w:p>
    <w:p>
      <w:pPr>
        <w:pStyle w:val="GesAbsatz"/>
        <w:tabs>
          <w:tab w:val="clear" w:pos="425"/>
        </w:tabs>
        <w:ind w:left="709"/>
        <w:rPr>
          <w:rFonts w:cs="Arial"/>
        </w:rPr>
      </w:pPr>
      <w:r>
        <w:rPr>
          <w:rFonts w:cs="Arial"/>
        </w:rPr>
        <w:t>Alternativ zum Grenzwert für Gesamtemissionen können der Emissionsgrenzwert für das gefasste behandelte Abgas der Nummer 8.1.3 in Verbindung mit dem Grenzwert für diffuse Emissionen der Nummer 8.1.5 angewendet werden.</w:t>
      </w:r>
    </w:p>
    <w:p>
      <w:pPr>
        <w:pStyle w:val="GesAbsatz"/>
        <w:rPr>
          <w:rFonts w:cs="Arial"/>
          <w:color w:val="auto"/>
        </w:rPr>
      </w:pPr>
      <w:r>
        <w:rPr>
          <w:rFonts w:cs="Arial"/>
          <w:color w:val="auto"/>
        </w:rPr>
        <w:t>8.1.5</w:t>
      </w:r>
      <w:r>
        <w:rPr>
          <w:rFonts w:cs="Arial"/>
          <w:color w:val="auto"/>
        </w:rPr>
        <w:tab/>
        <w:t>Grenzwerte für diffuse Emissionen bei Anlagen der Richtlinie 2010/75/EU</w:t>
      </w:r>
    </w:p>
    <w:tbl>
      <w:tblPr>
        <w:tblW w:w="9747" w:type="dxa"/>
        <w:tblLayout w:type="fixed"/>
        <w:tblLook w:val="0000" w:firstRow="0" w:lastRow="0" w:firstColumn="0" w:lastColumn="0" w:noHBand="0" w:noVBand="0"/>
      </w:tblPr>
      <w:tblGrid>
        <w:gridCol w:w="2835"/>
        <w:gridCol w:w="426"/>
        <w:gridCol w:w="6486"/>
      </w:tblGrid>
      <w:tr>
        <w:trPr>
          <w:cantSplit/>
          <w:trHeight w:val="691"/>
        </w:trPr>
        <w:tc>
          <w:tcPr>
            <w:tcW w:w="2835" w:type="dxa"/>
            <w:tcBorders>
              <w:top w:val="single" w:sz="4" w:space="0" w:color="auto"/>
            </w:tcBorders>
          </w:tcPr>
          <w:p>
            <w:pPr>
              <w:pStyle w:val="GesAbsatz"/>
              <w:jc w:val="center"/>
              <w:rPr>
                <w:rFonts w:cs="Arial"/>
                <w:sz w:val="18"/>
                <w:szCs w:val="18"/>
              </w:rPr>
            </w:pPr>
            <w:r>
              <w:rPr>
                <w:rFonts w:cs="Arial"/>
                <w:sz w:val="18"/>
                <w:szCs w:val="18"/>
              </w:rPr>
              <w:t>Grenzwert (Jahresmittelwert)</w:t>
            </w:r>
            <w:r>
              <w:rPr>
                <w:rFonts w:cs="Arial"/>
                <w:sz w:val="18"/>
                <w:szCs w:val="18"/>
                <w:vertAlign w:val="superscript"/>
              </w:rPr>
              <w:t>1</w:t>
            </w:r>
            <w:r>
              <w:rPr>
                <w:rFonts w:cs="Arial"/>
                <w:sz w:val="18"/>
                <w:szCs w:val="18"/>
                <w:vertAlign w:val="superscript"/>
              </w:rPr>
              <w:br/>
            </w:r>
            <w:r>
              <w:rPr>
                <w:rFonts w:cs="Arial"/>
                <w:sz w:val="18"/>
                <w:szCs w:val="18"/>
              </w:rPr>
              <w:t>(% der eingesetzten Lösungsmittel)</w:t>
            </w:r>
          </w:p>
        </w:tc>
        <w:tc>
          <w:tcPr>
            <w:tcW w:w="6912" w:type="dxa"/>
            <w:gridSpan w:val="2"/>
            <w:tcBorders>
              <w:top w:val="single" w:sz="4" w:space="0" w:color="auto"/>
            </w:tcBorders>
          </w:tcPr>
          <w:p>
            <w:pPr>
              <w:pStyle w:val="GesAbsatz"/>
              <w:jc w:val="center"/>
              <w:rPr>
                <w:rFonts w:cs="Arial"/>
                <w:sz w:val="18"/>
                <w:szCs w:val="18"/>
              </w:rPr>
            </w:pPr>
            <w:r>
              <w:rPr>
                <w:rFonts w:cs="Arial"/>
                <w:sz w:val="18"/>
                <w:szCs w:val="18"/>
              </w:rPr>
              <w:t>Bemerkungen</w:t>
            </w:r>
          </w:p>
        </w:tc>
      </w:tr>
      <w:tr>
        <w:trPr>
          <w:cantSplit/>
          <w:trHeight w:val="234"/>
        </w:trPr>
        <w:tc>
          <w:tcPr>
            <w:tcW w:w="2835" w:type="dxa"/>
            <w:vMerge w:val="restart"/>
            <w:tcBorders>
              <w:top w:val="single" w:sz="4" w:space="0" w:color="auto"/>
            </w:tcBorders>
          </w:tcPr>
          <w:p>
            <w:pPr>
              <w:pStyle w:val="GesAbsatz"/>
              <w:jc w:val="center"/>
              <w:rPr>
                <w:rFonts w:cs="Arial"/>
                <w:sz w:val="18"/>
                <w:szCs w:val="18"/>
                <w:vertAlign w:val="superscript"/>
              </w:rPr>
            </w:pPr>
            <w:r>
              <w:rPr>
                <w:rFonts w:cs="Arial"/>
                <w:sz w:val="18"/>
                <w:szCs w:val="18"/>
              </w:rPr>
              <w:t>10</w:t>
            </w:r>
            <w:r>
              <w:rPr>
                <w:rFonts w:cs="Arial"/>
                <w:sz w:val="18"/>
                <w:szCs w:val="18"/>
                <w:vertAlign w:val="superscript"/>
              </w:rPr>
              <w:t>2</w:t>
            </w:r>
            <w:r>
              <w:rPr>
                <w:rFonts w:cs="Arial"/>
                <w:sz w:val="18"/>
                <w:szCs w:val="18"/>
                <w:vertAlign w:val="superscript"/>
              </w:rPr>
              <w:br/>
            </w:r>
            <w:r>
              <w:rPr>
                <w:rFonts w:cs="Arial"/>
                <w:sz w:val="18"/>
                <w:szCs w:val="18"/>
              </w:rPr>
              <w:t>12</w:t>
            </w:r>
            <w:r>
              <w:rPr>
                <w:rFonts w:cs="Arial"/>
                <w:sz w:val="18"/>
                <w:szCs w:val="18"/>
                <w:vertAlign w:val="superscript"/>
              </w:rPr>
              <w:t>3</w:t>
            </w:r>
          </w:p>
        </w:tc>
        <w:tc>
          <w:tcPr>
            <w:tcW w:w="426" w:type="dxa"/>
            <w:tcBorders>
              <w:top w:val="single" w:sz="4" w:space="0" w:color="auto"/>
            </w:tcBorders>
          </w:tcPr>
          <w:p>
            <w:pPr>
              <w:pStyle w:val="GesAbsatz"/>
              <w:jc w:val="right"/>
              <w:rPr>
                <w:rFonts w:cs="Arial"/>
                <w:sz w:val="18"/>
                <w:szCs w:val="18"/>
              </w:rPr>
            </w:pPr>
            <w:r>
              <w:rPr>
                <w:rFonts w:cs="Arial"/>
                <w:sz w:val="18"/>
                <w:szCs w:val="18"/>
                <w:vertAlign w:val="superscript"/>
              </w:rPr>
              <w:t>1</w:t>
            </w:r>
          </w:p>
        </w:tc>
        <w:tc>
          <w:tcPr>
            <w:tcW w:w="6486" w:type="dxa"/>
            <w:tcBorders>
              <w:top w:val="single" w:sz="4" w:space="0" w:color="auto"/>
            </w:tcBorders>
          </w:tcPr>
          <w:p>
            <w:pPr>
              <w:pStyle w:val="GesAbsatz"/>
              <w:rPr>
                <w:rFonts w:cs="Arial"/>
                <w:sz w:val="18"/>
                <w:szCs w:val="18"/>
              </w:rPr>
            </w:pPr>
            <w:r>
              <w:rPr>
                <w:rFonts w:cs="Arial"/>
                <w:sz w:val="18"/>
                <w:szCs w:val="18"/>
              </w:rPr>
              <w:t>Flüchtige organische Verbindungen, die in gefassten unbehandelten Abgasen enthalten sind, zählen zu den diffusen Emissionen.</w:t>
            </w:r>
          </w:p>
        </w:tc>
      </w:tr>
      <w:tr>
        <w:trPr>
          <w:cantSplit/>
          <w:trHeight w:val="233"/>
        </w:trPr>
        <w:tc>
          <w:tcPr>
            <w:tcW w:w="2835" w:type="dxa"/>
            <w:vMerge/>
          </w:tcPr>
          <w:p>
            <w:pPr>
              <w:pStyle w:val="GesAbsatz"/>
              <w:rPr>
                <w:rFonts w:cs="Arial"/>
                <w:sz w:val="18"/>
                <w:szCs w:val="18"/>
              </w:rPr>
            </w:pPr>
          </w:p>
        </w:tc>
        <w:tc>
          <w:tcPr>
            <w:tcW w:w="426" w:type="dxa"/>
          </w:tcPr>
          <w:p>
            <w:pPr>
              <w:pStyle w:val="GesAbsatz"/>
              <w:jc w:val="right"/>
              <w:rPr>
                <w:rFonts w:cs="Arial"/>
                <w:sz w:val="18"/>
                <w:szCs w:val="18"/>
                <w:vertAlign w:val="superscript"/>
              </w:rPr>
            </w:pPr>
            <w:r>
              <w:rPr>
                <w:rFonts w:cs="Arial"/>
                <w:sz w:val="18"/>
                <w:szCs w:val="18"/>
                <w:vertAlign w:val="superscript"/>
              </w:rPr>
              <w:t>2</w:t>
            </w:r>
          </w:p>
        </w:tc>
        <w:tc>
          <w:tcPr>
            <w:tcW w:w="6486" w:type="dxa"/>
          </w:tcPr>
          <w:p>
            <w:pPr>
              <w:pStyle w:val="GesAbsatz"/>
              <w:rPr>
                <w:rFonts w:cs="Arial"/>
                <w:sz w:val="18"/>
                <w:szCs w:val="18"/>
              </w:rPr>
            </w:pPr>
            <w:r>
              <w:rPr>
                <w:rFonts w:cs="Arial"/>
                <w:sz w:val="18"/>
                <w:szCs w:val="18"/>
              </w:rPr>
              <w:t>Gilt für das Beschichten von Metall- und Kunststoffoberflächen.</w:t>
            </w:r>
          </w:p>
        </w:tc>
      </w:tr>
      <w:tr>
        <w:trPr>
          <w:cantSplit/>
          <w:trHeight w:val="233"/>
        </w:trPr>
        <w:tc>
          <w:tcPr>
            <w:tcW w:w="2835" w:type="dxa"/>
            <w:vMerge/>
          </w:tcPr>
          <w:p>
            <w:pPr>
              <w:pStyle w:val="GesAbsatz"/>
              <w:rPr>
                <w:rFonts w:cs="Arial"/>
                <w:sz w:val="18"/>
                <w:szCs w:val="18"/>
              </w:rPr>
            </w:pPr>
          </w:p>
        </w:tc>
        <w:tc>
          <w:tcPr>
            <w:tcW w:w="426" w:type="dxa"/>
          </w:tcPr>
          <w:p>
            <w:pPr>
              <w:pStyle w:val="GesAbsatz"/>
              <w:jc w:val="right"/>
              <w:rPr>
                <w:rFonts w:cs="Arial"/>
                <w:sz w:val="18"/>
                <w:szCs w:val="18"/>
                <w:vertAlign w:val="superscript"/>
              </w:rPr>
            </w:pPr>
            <w:r>
              <w:rPr>
                <w:rFonts w:cs="Arial"/>
                <w:sz w:val="18"/>
                <w:szCs w:val="18"/>
                <w:vertAlign w:val="superscript"/>
              </w:rPr>
              <w:t>3</w:t>
            </w:r>
          </w:p>
        </w:tc>
        <w:tc>
          <w:tcPr>
            <w:tcW w:w="6486" w:type="dxa"/>
          </w:tcPr>
          <w:p>
            <w:pPr>
              <w:pStyle w:val="GesAbsatz"/>
              <w:rPr>
                <w:rFonts w:cs="Arial"/>
                <w:sz w:val="18"/>
                <w:szCs w:val="18"/>
              </w:rPr>
            </w:pPr>
            <w:r>
              <w:rPr>
                <w:rFonts w:cs="Arial"/>
                <w:sz w:val="18"/>
                <w:szCs w:val="18"/>
              </w:rPr>
              <w:t>Gilt für das Beschichten und Bedrucken von Metallverpackungen.</w:t>
            </w:r>
          </w:p>
        </w:tc>
      </w:tr>
    </w:tbl>
    <w:p>
      <w:pPr>
        <w:pStyle w:val="GesAbsatz"/>
        <w:tabs>
          <w:tab w:val="clear" w:pos="425"/>
          <w:tab w:val="left" w:pos="1134"/>
        </w:tabs>
        <w:ind w:left="709" w:hanging="709"/>
        <w:rPr>
          <w:rFonts w:cs="Arial"/>
        </w:rPr>
      </w:pPr>
      <w:r>
        <w:rPr>
          <w:rFonts w:cs="Arial"/>
        </w:rPr>
        <w:t>8.1.6</w:t>
      </w:r>
      <w:r>
        <w:rPr>
          <w:rFonts w:cs="Arial"/>
        </w:rPr>
        <w:tab/>
        <w:t>Besondere Anforderungen</w:t>
      </w:r>
    </w:p>
    <w:p>
      <w:pPr>
        <w:pStyle w:val="GesAbsatz"/>
        <w:tabs>
          <w:tab w:val="clear" w:pos="425"/>
          <w:tab w:val="left" w:pos="1134"/>
        </w:tabs>
        <w:ind w:left="709"/>
        <w:rPr>
          <w:rFonts w:cs="Arial"/>
        </w:rPr>
      </w:pPr>
      <w:r>
        <w:rPr>
          <w:rFonts w:cs="Arial"/>
        </w:rPr>
        <w:t>Bei der Beschichtung von Luftfahrzeugen, Schiffen oder anderen sperrigen Gütern, bei denen die Anforderungen nach den Nummern 8.1.1 bis 8.1.5 nicht eingehalten werden können, ist ein Reduzierungsplan nach Anhang IV anzuwenden, es sei denn, die Anwendung eines Reduzierungsplans ist nicht verhältnismäßig. In diesem Fall ist der zuständigen Behörde vor der Inbetriebnahme der Anlage nachzuweisen, dass die Anwendung eines Reduzierungsplans nicht verhältnismäßig ist und dass stattdessen die Emissionen nach dem Stand der Technik vermindert werden. Der angewandte Stand der Technik ist alle drei Jahre zu überprüfen und gegebenenfalls anzupassen. Das Ergebnis der Überprüfung ist zu dokumentieren, am Betriebsort der Anlage bis zur nächsten Überprüfung aufzubewahren und der zuständigen Behörde auf Verlangen vorzulegen.</w:t>
      </w:r>
    </w:p>
    <w:p>
      <w:pPr>
        <w:pStyle w:val="GesAbsatz"/>
        <w:tabs>
          <w:tab w:val="clear" w:pos="425"/>
        </w:tabs>
        <w:ind w:left="709" w:hanging="709"/>
        <w:rPr>
          <w:rFonts w:cs="Arial"/>
          <w:b/>
        </w:rPr>
      </w:pPr>
      <w:r>
        <w:rPr>
          <w:rFonts w:cs="Arial"/>
          <w:b/>
        </w:rPr>
        <w:t>9.</w:t>
      </w:r>
      <w:r>
        <w:rPr>
          <w:rFonts w:cs="Arial"/>
          <w:b/>
        </w:rPr>
        <w:tab/>
        <w:t>Beschichten von Holz oder Holzwerkstoffen</w:t>
      </w:r>
    </w:p>
    <w:p>
      <w:pPr>
        <w:pStyle w:val="GesAbsatz"/>
        <w:tabs>
          <w:tab w:val="clear" w:pos="425"/>
        </w:tabs>
        <w:ind w:left="709" w:hanging="709"/>
        <w:rPr>
          <w:rFonts w:cs="Arial"/>
        </w:rPr>
      </w:pPr>
      <w:r>
        <w:rPr>
          <w:rFonts w:cs="Arial"/>
        </w:rPr>
        <w:t>9.1</w:t>
      </w:r>
      <w:r>
        <w:rPr>
          <w:rFonts w:cs="Arial"/>
        </w:rPr>
        <w:tab/>
        <w:t>Anlagen zum Beschichten von Holz oder Holzwerkstoffen mit einem jährlichen Lösungsmittelverbrauch bis zu 15 Tonnen</w:t>
      </w:r>
    </w:p>
    <w:p>
      <w:pPr>
        <w:pStyle w:val="GesAbsatz"/>
        <w:tabs>
          <w:tab w:val="clear" w:pos="425"/>
        </w:tabs>
        <w:ind w:left="709"/>
        <w:rPr>
          <w:rFonts w:cs="Arial"/>
        </w:rPr>
      </w:pPr>
      <w:r>
        <w:rPr>
          <w:rFonts w:cs="Arial"/>
        </w:rPr>
        <w:t>Der Betreiber einer Anlage mit einem Lösungsmittelverbrauch bis zu 15 Tonnen hat</w:t>
      </w:r>
    </w:p>
    <w:p>
      <w:pPr>
        <w:pStyle w:val="GesAbsatz"/>
        <w:tabs>
          <w:tab w:val="clear" w:pos="425"/>
          <w:tab w:val="left" w:pos="1134"/>
        </w:tabs>
        <w:ind w:left="1134" w:hanging="425"/>
        <w:rPr>
          <w:rFonts w:cs="Arial"/>
        </w:rPr>
      </w:pPr>
      <w:r>
        <w:rPr>
          <w:rFonts w:cs="Arial"/>
        </w:rPr>
        <w:t>a)</w:t>
      </w:r>
      <w:r>
        <w:rPr>
          <w:rFonts w:cs="Arial"/>
        </w:rPr>
        <w:tab/>
        <w:t>die Emissionen an flüchtigen organischen Verbindungen durch die Verwendung lösungsmittelarmer Einsatzstoffe nach dem Stand der Technik zu vermindern,</w:t>
      </w:r>
    </w:p>
    <w:p>
      <w:pPr>
        <w:pStyle w:val="GesAbsatz"/>
        <w:tabs>
          <w:tab w:val="clear" w:pos="425"/>
          <w:tab w:val="left" w:pos="1134"/>
        </w:tabs>
        <w:ind w:left="1134" w:hanging="425"/>
        <w:rPr>
          <w:rFonts w:cs="Arial"/>
        </w:rPr>
      </w:pPr>
      <w:r>
        <w:rPr>
          <w:rFonts w:cs="Arial"/>
        </w:rPr>
        <w:t>b)</w:t>
      </w:r>
      <w:r>
        <w:rPr>
          <w:rFonts w:cs="Arial"/>
        </w:rPr>
        <w:tab/>
        <w:t>die Emissionen an flüchtigen organischen Verbindungen mindestens einmal jährlich durch eine Lösungsmittelbilanz nach den Anforderungen des Anhang V zu ermitteln,</w:t>
      </w:r>
    </w:p>
    <w:p>
      <w:pPr>
        <w:pStyle w:val="GesAbsatz"/>
        <w:tabs>
          <w:tab w:val="clear" w:pos="425"/>
          <w:tab w:val="left" w:pos="1134"/>
        </w:tabs>
        <w:ind w:left="709"/>
        <w:rPr>
          <w:rFonts w:cs="Arial"/>
        </w:rPr>
      </w:pPr>
      <w:r>
        <w:rPr>
          <w:rFonts w:cs="Arial"/>
        </w:rPr>
        <w:t>c)</w:t>
      </w:r>
      <w:r>
        <w:rPr>
          <w:rFonts w:cs="Arial"/>
        </w:rPr>
        <w:tab/>
        <w:t>einen Reduzierungsplan nach Anhang IV einzuhalten.</w:t>
      </w:r>
    </w:p>
    <w:p>
      <w:pPr>
        <w:pStyle w:val="GesAbsatz"/>
        <w:tabs>
          <w:tab w:val="clear" w:pos="425"/>
        </w:tabs>
        <w:ind w:left="709" w:hanging="709"/>
        <w:rPr>
          <w:rFonts w:cs="Arial"/>
          <w:b/>
          <w:bCs/>
        </w:rPr>
      </w:pPr>
      <w:r>
        <w:rPr>
          <w:rFonts w:cs="Arial"/>
          <w:b/>
          <w:bCs/>
        </w:rPr>
        <w:t>9.2</w:t>
      </w:r>
      <w:r>
        <w:rPr>
          <w:rFonts w:cs="Arial"/>
          <w:b/>
          <w:bCs/>
        </w:rPr>
        <w:tab/>
        <w:t>Anlagen zum Beschichten von Holz oder Holzwerkstoffen mit einem jährlichen Lösungsmittelverbrauch von mehr als 15 Tonnen</w:t>
      </w:r>
    </w:p>
    <w:p>
      <w:pPr>
        <w:pStyle w:val="GesAbsatz"/>
        <w:tabs>
          <w:tab w:val="clear" w:pos="425"/>
        </w:tabs>
        <w:ind w:left="709" w:hanging="709"/>
        <w:rPr>
          <w:rFonts w:cs="Arial"/>
        </w:rPr>
      </w:pPr>
      <w:r>
        <w:rPr>
          <w:rFonts w:cs="Arial"/>
        </w:rPr>
        <w:t>9.2.1</w:t>
      </w:r>
      <w:r>
        <w:rPr>
          <w:rFonts w:cs="Arial"/>
        </w:rPr>
        <w:tab/>
        <w:t>Emissionsgrenzwerte für gefasste behandelte Abgase</w:t>
      </w:r>
    </w:p>
    <w:tbl>
      <w:tblPr>
        <w:tblW w:w="9747" w:type="dxa"/>
        <w:tblLayout w:type="fixed"/>
        <w:tblLook w:val="0000" w:firstRow="0" w:lastRow="0" w:firstColumn="0" w:lastColumn="0" w:noHBand="0" w:noVBand="0"/>
      </w:tblPr>
      <w:tblGrid>
        <w:gridCol w:w="1526"/>
        <w:gridCol w:w="1309"/>
        <w:gridCol w:w="426"/>
        <w:gridCol w:w="6486"/>
      </w:tblGrid>
      <w:tr>
        <w:trPr>
          <w:cantSplit/>
          <w:trHeight w:val="484"/>
        </w:trPr>
        <w:tc>
          <w:tcPr>
            <w:tcW w:w="2835" w:type="dxa"/>
            <w:gridSpan w:val="2"/>
            <w:tcBorders>
              <w:top w:val="single" w:sz="6" w:space="0" w:color="000000"/>
            </w:tcBorders>
          </w:tcPr>
          <w:p>
            <w:pPr>
              <w:pStyle w:val="GesAbsatz"/>
              <w:jc w:val="center"/>
              <w:rPr>
                <w:rFonts w:cs="Arial"/>
                <w:sz w:val="18"/>
                <w:szCs w:val="18"/>
              </w:rPr>
            </w:pPr>
            <w:r>
              <w:rPr>
                <w:rFonts w:cs="Arial"/>
                <w:sz w:val="18"/>
                <w:szCs w:val="18"/>
              </w:rPr>
              <w:t>Emissionsgrenzwert (mg C/m³)</w:t>
            </w:r>
            <w:r>
              <w:rPr>
                <w:rFonts w:cs="Arial"/>
                <w:sz w:val="18"/>
                <w:szCs w:val="18"/>
                <w:vertAlign w:val="superscript"/>
              </w:rPr>
              <w:t>1</w:t>
            </w:r>
            <w:r>
              <w:rPr>
                <w:rFonts w:cs="Arial"/>
                <w:sz w:val="18"/>
                <w:szCs w:val="18"/>
              </w:rPr>
              <w:br/>
              <w:t xml:space="preserve">Lösungsmittelverbrauch (t/a) </w:t>
            </w:r>
          </w:p>
        </w:tc>
        <w:tc>
          <w:tcPr>
            <w:tcW w:w="6912" w:type="dxa"/>
            <w:gridSpan w:val="2"/>
            <w:vMerge w:val="restart"/>
            <w:tcBorders>
              <w:top w:val="single" w:sz="6" w:space="0" w:color="000000"/>
            </w:tcBorders>
            <w:vAlign w:val="center"/>
          </w:tcPr>
          <w:p>
            <w:pPr>
              <w:pStyle w:val="GesAbsatz"/>
              <w:jc w:val="center"/>
              <w:rPr>
                <w:rFonts w:cs="Arial"/>
                <w:sz w:val="18"/>
                <w:szCs w:val="18"/>
              </w:rPr>
            </w:pPr>
            <w:r>
              <w:rPr>
                <w:rFonts w:cs="Arial"/>
                <w:sz w:val="18"/>
                <w:szCs w:val="18"/>
              </w:rPr>
              <w:t>Bemerkungen</w:t>
            </w:r>
          </w:p>
        </w:tc>
      </w:tr>
      <w:tr>
        <w:trPr>
          <w:cantSplit/>
          <w:trHeight w:val="182"/>
        </w:trPr>
        <w:tc>
          <w:tcPr>
            <w:tcW w:w="1526" w:type="dxa"/>
            <w:tcBorders>
              <w:bottom w:val="single" w:sz="4" w:space="0" w:color="auto"/>
            </w:tcBorders>
          </w:tcPr>
          <w:p>
            <w:pPr>
              <w:pStyle w:val="GesAbsatz"/>
              <w:jc w:val="center"/>
              <w:rPr>
                <w:rFonts w:cs="Arial"/>
                <w:sz w:val="18"/>
                <w:szCs w:val="18"/>
              </w:rPr>
            </w:pPr>
            <w:r>
              <w:rPr>
                <w:rFonts w:cs="Arial"/>
                <w:sz w:val="18"/>
                <w:szCs w:val="18"/>
              </w:rPr>
              <w:lastRenderedPageBreak/>
              <w:t>&gt; 15 - 25</w:t>
            </w:r>
          </w:p>
        </w:tc>
        <w:tc>
          <w:tcPr>
            <w:tcW w:w="1309" w:type="dxa"/>
            <w:tcBorders>
              <w:bottom w:val="single" w:sz="4" w:space="0" w:color="auto"/>
            </w:tcBorders>
          </w:tcPr>
          <w:p>
            <w:pPr>
              <w:pStyle w:val="GesAbsatz"/>
              <w:jc w:val="center"/>
              <w:rPr>
                <w:rFonts w:cs="Arial"/>
                <w:sz w:val="18"/>
                <w:szCs w:val="18"/>
              </w:rPr>
            </w:pPr>
            <w:r>
              <w:rPr>
                <w:rFonts w:cs="Arial"/>
                <w:sz w:val="18"/>
                <w:szCs w:val="18"/>
              </w:rPr>
              <w:t>&gt; 25</w:t>
            </w:r>
          </w:p>
        </w:tc>
        <w:tc>
          <w:tcPr>
            <w:tcW w:w="6912" w:type="dxa"/>
            <w:gridSpan w:val="2"/>
            <w:vMerge/>
            <w:tcBorders>
              <w:bottom w:val="single" w:sz="4" w:space="0" w:color="auto"/>
            </w:tcBorders>
          </w:tcPr>
          <w:p>
            <w:pPr>
              <w:pStyle w:val="GesAbsatz"/>
              <w:rPr>
                <w:rFonts w:cs="Arial"/>
                <w:sz w:val="18"/>
                <w:szCs w:val="18"/>
              </w:rPr>
            </w:pPr>
          </w:p>
        </w:tc>
      </w:tr>
      <w:tr>
        <w:trPr>
          <w:cantSplit/>
          <w:trHeight w:val="218"/>
        </w:trPr>
        <w:tc>
          <w:tcPr>
            <w:tcW w:w="1526" w:type="dxa"/>
            <w:vMerge w:val="restart"/>
            <w:tcBorders>
              <w:top w:val="single" w:sz="4" w:space="0" w:color="auto"/>
            </w:tcBorders>
          </w:tcPr>
          <w:p>
            <w:pPr>
              <w:pStyle w:val="GesAbsatz"/>
              <w:jc w:val="center"/>
              <w:rPr>
                <w:rFonts w:cs="Arial"/>
                <w:sz w:val="18"/>
                <w:szCs w:val="18"/>
              </w:rPr>
            </w:pPr>
            <w:r>
              <w:rPr>
                <w:rFonts w:cs="Arial"/>
                <w:sz w:val="18"/>
                <w:szCs w:val="18"/>
              </w:rPr>
              <w:t>100</w:t>
            </w:r>
          </w:p>
        </w:tc>
        <w:tc>
          <w:tcPr>
            <w:tcW w:w="1309" w:type="dxa"/>
            <w:vMerge w:val="restart"/>
            <w:tcBorders>
              <w:top w:val="single" w:sz="4" w:space="0" w:color="auto"/>
            </w:tcBorders>
          </w:tcPr>
          <w:p>
            <w:pPr>
              <w:pStyle w:val="GesAbsatz"/>
              <w:jc w:val="center"/>
              <w:rPr>
                <w:rFonts w:cs="Arial"/>
                <w:sz w:val="18"/>
                <w:szCs w:val="18"/>
                <w:vertAlign w:val="superscript"/>
              </w:rPr>
            </w:pPr>
            <w:r>
              <w:rPr>
                <w:rFonts w:cs="Arial"/>
                <w:sz w:val="18"/>
                <w:szCs w:val="18"/>
              </w:rPr>
              <w:t>50</w:t>
            </w:r>
            <w:r>
              <w:rPr>
                <w:rFonts w:cs="Arial"/>
                <w:sz w:val="18"/>
                <w:szCs w:val="18"/>
              </w:rPr>
              <w:br/>
              <w:t>20</w:t>
            </w:r>
            <w:r>
              <w:rPr>
                <w:rFonts w:cs="Arial"/>
                <w:sz w:val="18"/>
                <w:szCs w:val="18"/>
                <w:vertAlign w:val="superscript"/>
              </w:rPr>
              <w:t>2</w:t>
            </w:r>
          </w:p>
        </w:tc>
        <w:tc>
          <w:tcPr>
            <w:tcW w:w="426" w:type="dxa"/>
            <w:tcBorders>
              <w:top w:val="single" w:sz="4" w:space="0" w:color="auto"/>
            </w:tcBorders>
          </w:tcPr>
          <w:p>
            <w:pPr>
              <w:pStyle w:val="GesAbsatz"/>
              <w:jc w:val="right"/>
              <w:rPr>
                <w:rFonts w:cs="Arial"/>
                <w:sz w:val="18"/>
                <w:szCs w:val="18"/>
              </w:rPr>
            </w:pPr>
            <w:r>
              <w:rPr>
                <w:rFonts w:cs="Arial"/>
                <w:sz w:val="18"/>
                <w:szCs w:val="18"/>
                <w:vertAlign w:val="superscript"/>
              </w:rPr>
              <w:t>1</w:t>
            </w:r>
          </w:p>
        </w:tc>
        <w:tc>
          <w:tcPr>
            <w:tcW w:w="6486" w:type="dxa"/>
            <w:tcBorders>
              <w:top w:val="single" w:sz="4" w:space="0" w:color="auto"/>
            </w:tcBorders>
          </w:tcPr>
          <w:p>
            <w:pPr>
              <w:pStyle w:val="GesAbsatz"/>
              <w:rPr>
                <w:rFonts w:cs="Arial"/>
                <w:sz w:val="18"/>
                <w:szCs w:val="18"/>
              </w:rPr>
            </w:pPr>
            <w:r>
              <w:rPr>
                <w:rFonts w:cs="Arial"/>
                <w:sz w:val="18"/>
                <w:szCs w:val="18"/>
              </w:rPr>
              <w:t>Gilt nicht für Anlagen der Richtlinie 2010/75/EU.</w:t>
            </w:r>
          </w:p>
        </w:tc>
      </w:tr>
      <w:tr>
        <w:trPr>
          <w:cantSplit/>
          <w:trHeight w:val="281"/>
        </w:trPr>
        <w:tc>
          <w:tcPr>
            <w:tcW w:w="1526" w:type="dxa"/>
            <w:vMerge/>
          </w:tcPr>
          <w:p>
            <w:pPr>
              <w:pStyle w:val="GesAbsatz"/>
              <w:jc w:val="center"/>
              <w:rPr>
                <w:rFonts w:cs="Arial"/>
                <w:sz w:val="18"/>
                <w:szCs w:val="18"/>
              </w:rPr>
            </w:pPr>
          </w:p>
        </w:tc>
        <w:tc>
          <w:tcPr>
            <w:tcW w:w="1309" w:type="dxa"/>
            <w:vMerge/>
          </w:tcPr>
          <w:p>
            <w:pPr>
              <w:pStyle w:val="GesAbsatz"/>
              <w:jc w:val="center"/>
              <w:rPr>
                <w:rFonts w:cs="Arial"/>
                <w:sz w:val="18"/>
                <w:szCs w:val="18"/>
              </w:rPr>
            </w:pPr>
          </w:p>
        </w:tc>
        <w:tc>
          <w:tcPr>
            <w:tcW w:w="426" w:type="dxa"/>
          </w:tcPr>
          <w:p>
            <w:pPr>
              <w:pStyle w:val="GesAbsatz"/>
              <w:jc w:val="right"/>
              <w:rPr>
                <w:rFonts w:cs="Arial"/>
                <w:sz w:val="18"/>
                <w:szCs w:val="18"/>
              </w:rPr>
            </w:pPr>
            <w:r>
              <w:rPr>
                <w:rFonts w:cs="Arial"/>
                <w:sz w:val="18"/>
                <w:szCs w:val="18"/>
                <w:vertAlign w:val="superscript"/>
              </w:rPr>
              <w:t>2</w:t>
            </w:r>
          </w:p>
        </w:tc>
        <w:tc>
          <w:tcPr>
            <w:tcW w:w="6486" w:type="dxa"/>
          </w:tcPr>
          <w:p>
            <w:pPr>
              <w:pStyle w:val="GesAbsatz"/>
              <w:rPr>
                <w:rFonts w:cs="Arial"/>
                <w:sz w:val="18"/>
                <w:szCs w:val="18"/>
              </w:rPr>
            </w:pPr>
            <w:r>
              <w:rPr>
                <w:rFonts w:cs="Arial"/>
                <w:sz w:val="18"/>
                <w:szCs w:val="18"/>
              </w:rPr>
              <w:t>Bei Anwendung von Abgasreinigungseinrichtungen mit thermischer Nachverbrennung.</w:t>
            </w:r>
          </w:p>
        </w:tc>
      </w:tr>
    </w:tbl>
    <w:p>
      <w:pPr>
        <w:pStyle w:val="GesAbsatz"/>
        <w:tabs>
          <w:tab w:val="clear" w:pos="425"/>
          <w:tab w:val="left" w:pos="709"/>
        </w:tabs>
      </w:pPr>
      <w:r>
        <w:rPr>
          <w:rFonts w:cs="Arial"/>
        </w:rPr>
        <w:t>9.2.2</w:t>
      </w:r>
      <w:r>
        <w:rPr>
          <w:rFonts w:cs="Arial"/>
        </w:rPr>
        <w:tab/>
        <w:t>Grenzwerte für diffuse Emissionen</w:t>
      </w:r>
    </w:p>
    <w:tbl>
      <w:tblPr>
        <w:tblW w:w="9747" w:type="dxa"/>
        <w:tblLayout w:type="fixed"/>
        <w:tblLook w:val="0000" w:firstRow="0" w:lastRow="0" w:firstColumn="0" w:lastColumn="0" w:noHBand="0" w:noVBand="0"/>
      </w:tblPr>
      <w:tblGrid>
        <w:gridCol w:w="1526"/>
        <w:gridCol w:w="1309"/>
        <w:gridCol w:w="426"/>
        <w:gridCol w:w="6486"/>
      </w:tblGrid>
      <w:tr>
        <w:trPr>
          <w:cantSplit/>
          <w:trHeight w:val="484"/>
        </w:trPr>
        <w:tc>
          <w:tcPr>
            <w:tcW w:w="2835" w:type="dxa"/>
            <w:gridSpan w:val="2"/>
            <w:tcBorders>
              <w:top w:val="single" w:sz="6" w:space="0" w:color="000000"/>
            </w:tcBorders>
          </w:tcPr>
          <w:p>
            <w:pPr>
              <w:pStyle w:val="GesAbsatz"/>
              <w:jc w:val="center"/>
              <w:rPr>
                <w:rFonts w:cs="Arial"/>
                <w:sz w:val="18"/>
                <w:szCs w:val="18"/>
              </w:rPr>
            </w:pPr>
            <w:r>
              <w:rPr>
                <w:rFonts w:cs="Arial"/>
                <w:sz w:val="18"/>
                <w:szCs w:val="18"/>
              </w:rPr>
              <w:t>Grenzwert</w:t>
            </w:r>
            <w:r>
              <w:rPr>
                <w:rFonts w:cs="Arial"/>
                <w:sz w:val="18"/>
                <w:szCs w:val="18"/>
                <w:vertAlign w:val="superscript"/>
              </w:rPr>
              <w:t xml:space="preserve">1, 2 </w:t>
            </w:r>
            <w:r>
              <w:rPr>
                <w:rFonts w:cs="Arial"/>
                <w:sz w:val="18"/>
                <w:szCs w:val="18"/>
                <w:vertAlign w:val="superscript"/>
              </w:rPr>
              <w:br/>
            </w:r>
            <w:r>
              <w:rPr>
                <w:rFonts w:cs="Arial"/>
                <w:sz w:val="16"/>
                <w:szCs w:val="16"/>
              </w:rPr>
              <w:t>(% der eingesetzten Lösungsmittel)</w:t>
            </w:r>
            <w:r>
              <w:rPr>
                <w:rFonts w:cs="Arial"/>
                <w:sz w:val="18"/>
                <w:szCs w:val="18"/>
              </w:rPr>
              <w:br/>
              <w:t>Lösungsmittelverbrauch (t/a)</w:t>
            </w:r>
          </w:p>
        </w:tc>
        <w:tc>
          <w:tcPr>
            <w:tcW w:w="6912" w:type="dxa"/>
            <w:gridSpan w:val="2"/>
            <w:vMerge w:val="restart"/>
            <w:tcBorders>
              <w:top w:val="single" w:sz="6" w:space="0" w:color="000000"/>
              <w:bottom w:val="single" w:sz="4" w:space="0" w:color="auto"/>
            </w:tcBorders>
          </w:tcPr>
          <w:p>
            <w:pPr>
              <w:pStyle w:val="GesAbsatz"/>
              <w:jc w:val="center"/>
              <w:rPr>
                <w:rFonts w:cs="Arial"/>
                <w:sz w:val="18"/>
                <w:szCs w:val="18"/>
              </w:rPr>
            </w:pPr>
          </w:p>
          <w:p>
            <w:pPr>
              <w:pStyle w:val="GesAbsatz"/>
              <w:jc w:val="center"/>
              <w:rPr>
                <w:rFonts w:cs="Arial"/>
                <w:sz w:val="18"/>
                <w:szCs w:val="18"/>
              </w:rPr>
            </w:pPr>
            <w:r>
              <w:rPr>
                <w:rFonts w:cs="Arial"/>
                <w:sz w:val="18"/>
                <w:szCs w:val="18"/>
              </w:rPr>
              <w:t>Bemerkungen</w:t>
            </w:r>
          </w:p>
        </w:tc>
      </w:tr>
      <w:tr>
        <w:trPr>
          <w:cantSplit/>
          <w:trHeight w:val="182"/>
        </w:trPr>
        <w:tc>
          <w:tcPr>
            <w:tcW w:w="1526" w:type="dxa"/>
            <w:tcBorders>
              <w:bottom w:val="single" w:sz="4" w:space="0" w:color="auto"/>
            </w:tcBorders>
          </w:tcPr>
          <w:p>
            <w:pPr>
              <w:pStyle w:val="GesAbsatz"/>
              <w:jc w:val="center"/>
              <w:rPr>
                <w:rFonts w:cs="Arial"/>
              </w:rPr>
            </w:pPr>
            <w:r>
              <w:rPr>
                <w:rFonts w:cs="Arial"/>
              </w:rPr>
              <w:t>&gt; 15 - 25</w:t>
            </w:r>
          </w:p>
        </w:tc>
        <w:tc>
          <w:tcPr>
            <w:tcW w:w="1309" w:type="dxa"/>
            <w:tcBorders>
              <w:bottom w:val="single" w:sz="4" w:space="0" w:color="auto"/>
            </w:tcBorders>
          </w:tcPr>
          <w:p>
            <w:pPr>
              <w:pStyle w:val="GesAbsatz"/>
              <w:jc w:val="center"/>
              <w:rPr>
                <w:rFonts w:cs="Arial"/>
                <w:sz w:val="18"/>
                <w:szCs w:val="18"/>
              </w:rPr>
            </w:pPr>
            <w:r>
              <w:rPr>
                <w:rFonts w:cs="Arial"/>
                <w:sz w:val="18"/>
                <w:szCs w:val="18"/>
              </w:rPr>
              <w:t>&gt; 25</w:t>
            </w:r>
          </w:p>
        </w:tc>
        <w:tc>
          <w:tcPr>
            <w:tcW w:w="6912" w:type="dxa"/>
            <w:gridSpan w:val="2"/>
            <w:vMerge/>
            <w:tcBorders>
              <w:bottom w:val="single" w:sz="4" w:space="0" w:color="auto"/>
            </w:tcBorders>
          </w:tcPr>
          <w:p>
            <w:pPr>
              <w:pStyle w:val="GesAbsatz"/>
              <w:rPr>
                <w:rFonts w:cs="Arial"/>
                <w:sz w:val="18"/>
                <w:szCs w:val="18"/>
              </w:rPr>
            </w:pPr>
          </w:p>
        </w:tc>
      </w:tr>
      <w:tr>
        <w:trPr>
          <w:cantSplit/>
          <w:trHeight w:val="218"/>
        </w:trPr>
        <w:tc>
          <w:tcPr>
            <w:tcW w:w="1526" w:type="dxa"/>
            <w:vMerge w:val="restart"/>
            <w:tcBorders>
              <w:top w:val="single" w:sz="4" w:space="0" w:color="auto"/>
            </w:tcBorders>
          </w:tcPr>
          <w:p>
            <w:pPr>
              <w:pStyle w:val="GesAbsatz"/>
              <w:jc w:val="center"/>
              <w:rPr>
                <w:rFonts w:cs="Arial"/>
              </w:rPr>
            </w:pPr>
            <w:r>
              <w:rPr>
                <w:rFonts w:cs="Arial"/>
              </w:rPr>
              <w:t>25</w:t>
            </w:r>
          </w:p>
        </w:tc>
        <w:tc>
          <w:tcPr>
            <w:tcW w:w="1309" w:type="dxa"/>
            <w:vMerge w:val="restart"/>
            <w:tcBorders>
              <w:top w:val="single" w:sz="4" w:space="0" w:color="auto"/>
            </w:tcBorders>
          </w:tcPr>
          <w:p>
            <w:pPr>
              <w:pStyle w:val="GesAbsatz"/>
              <w:jc w:val="center"/>
              <w:rPr>
                <w:rFonts w:cs="Arial"/>
                <w:sz w:val="18"/>
                <w:szCs w:val="18"/>
                <w:vertAlign w:val="superscript"/>
              </w:rPr>
            </w:pPr>
            <w:r>
              <w:rPr>
                <w:rFonts w:cs="Arial"/>
                <w:sz w:val="18"/>
                <w:szCs w:val="18"/>
              </w:rPr>
              <w:t>20</w:t>
            </w:r>
          </w:p>
        </w:tc>
        <w:tc>
          <w:tcPr>
            <w:tcW w:w="426" w:type="dxa"/>
            <w:tcBorders>
              <w:top w:val="single" w:sz="4" w:space="0" w:color="auto"/>
            </w:tcBorders>
          </w:tcPr>
          <w:p>
            <w:pPr>
              <w:pStyle w:val="GesAbsatz"/>
              <w:jc w:val="right"/>
              <w:rPr>
                <w:rFonts w:cs="Arial"/>
                <w:sz w:val="18"/>
                <w:szCs w:val="18"/>
              </w:rPr>
            </w:pPr>
            <w:r>
              <w:rPr>
                <w:rFonts w:cs="Arial"/>
                <w:sz w:val="18"/>
                <w:szCs w:val="18"/>
                <w:vertAlign w:val="superscript"/>
              </w:rPr>
              <w:t>1</w:t>
            </w:r>
          </w:p>
        </w:tc>
        <w:tc>
          <w:tcPr>
            <w:tcW w:w="6486" w:type="dxa"/>
            <w:tcBorders>
              <w:top w:val="single" w:sz="4" w:space="0" w:color="auto"/>
            </w:tcBorders>
          </w:tcPr>
          <w:p>
            <w:pPr>
              <w:pStyle w:val="GesAbsatz"/>
              <w:rPr>
                <w:rFonts w:cs="Arial"/>
                <w:sz w:val="18"/>
                <w:szCs w:val="18"/>
              </w:rPr>
            </w:pPr>
            <w:r>
              <w:rPr>
                <w:rFonts w:cs="Arial"/>
                <w:sz w:val="18"/>
                <w:szCs w:val="18"/>
              </w:rPr>
              <w:t>Gilt nicht für Anlagen der Richtlinie 2010/75/EU.</w:t>
            </w:r>
          </w:p>
        </w:tc>
      </w:tr>
      <w:tr>
        <w:trPr>
          <w:cantSplit/>
          <w:trHeight w:val="281"/>
        </w:trPr>
        <w:tc>
          <w:tcPr>
            <w:tcW w:w="1526" w:type="dxa"/>
            <w:vMerge/>
          </w:tcPr>
          <w:p>
            <w:pPr>
              <w:pStyle w:val="GesAbsatz"/>
              <w:rPr>
                <w:rFonts w:cs="Arial"/>
              </w:rPr>
            </w:pPr>
          </w:p>
        </w:tc>
        <w:tc>
          <w:tcPr>
            <w:tcW w:w="1309" w:type="dxa"/>
            <w:vMerge/>
          </w:tcPr>
          <w:p>
            <w:pPr>
              <w:pStyle w:val="GesAbsatz"/>
              <w:rPr>
                <w:rFonts w:cs="Arial"/>
                <w:sz w:val="18"/>
                <w:szCs w:val="18"/>
              </w:rPr>
            </w:pPr>
          </w:p>
        </w:tc>
        <w:tc>
          <w:tcPr>
            <w:tcW w:w="426" w:type="dxa"/>
          </w:tcPr>
          <w:p>
            <w:pPr>
              <w:pStyle w:val="GesAbsatz"/>
              <w:jc w:val="right"/>
              <w:rPr>
                <w:rFonts w:cs="Arial"/>
                <w:sz w:val="18"/>
                <w:szCs w:val="18"/>
              </w:rPr>
            </w:pPr>
            <w:r>
              <w:rPr>
                <w:rFonts w:cs="Arial"/>
                <w:sz w:val="18"/>
                <w:szCs w:val="18"/>
                <w:vertAlign w:val="superscript"/>
              </w:rPr>
              <w:t>2</w:t>
            </w:r>
          </w:p>
        </w:tc>
        <w:tc>
          <w:tcPr>
            <w:tcW w:w="6486" w:type="dxa"/>
          </w:tcPr>
          <w:p>
            <w:pPr>
              <w:pStyle w:val="GesAbsatz"/>
              <w:rPr>
                <w:rFonts w:cs="Arial"/>
                <w:sz w:val="18"/>
                <w:szCs w:val="18"/>
              </w:rPr>
            </w:pPr>
            <w:r>
              <w:rPr>
                <w:rFonts w:cs="Arial"/>
                <w:sz w:val="18"/>
                <w:szCs w:val="18"/>
              </w:rPr>
              <w:t>Flüchtige organische Verbindungen, die in gefassten unbehandelten Abgasen enthalten sind, zählen zu den diffusen Emissionen.</w:t>
            </w:r>
          </w:p>
        </w:tc>
      </w:tr>
    </w:tbl>
    <w:p>
      <w:pPr>
        <w:pStyle w:val="GesAbsatz"/>
        <w:rPr>
          <w:rFonts w:cs="Arial"/>
          <w:color w:val="auto"/>
        </w:rPr>
      </w:pPr>
      <w:r>
        <w:rPr>
          <w:rFonts w:cs="Arial"/>
          <w:color w:val="auto"/>
        </w:rPr>
        <w:t>9.2.3.</w:t>
      </w:r>
      <w:r>
        <w:rPr>
          <w:rFonts w:cs="Arial"/>
          <w:color w:val="auto"/>
        </w:rPr>
        <w:tab/>
        <w:t>Emissionsgrenzwerte für gefasste behandelte Abgase bei Anlagen der Richtlinie 2010/75/EU</w:t>
      </w:r>
    </w:p>
    <w:tbl>
      <w:tblPr>
        <w:tblW w:w="9747" w:type="dxa"/>
        <w:tblLayout w:type="fixed"/>
        <w:tblLook w:val="0000" w:firstRow="0" w:lastRow="0" w:firstColumn="0" w:lastColumn="0" w:noHBand="0" w:noVBand="0"/>
      </w:tblPr>
      <w:tblGrid>
        <w:gridCol w:w="2835"/>
        <w:gridCol w:w="426"/>
        <w:gridCol w:w="6486"/>
      </w:tblGrid>
      <w:tr>
        <w:trPr>
          <w:cantSplit/>
          <w:trHeight w:val="484"/>
        </w:trPr>
        <w:tc>
          <w:tcPr>
            <w:tcW w:w="2835" w:type="dxa"/>
            <w:tcBorders>
              <w:top w:val="single" w:sz="6" w:space="0" w:color="000000"/>
            </w:tcBorders>
          </w:tcPr>
          <w:p>
            <w:pPr>
              <w:pStyle w:val="GesAbsatz"/>
              <w:jc w:val="center"/>
              <w:rPr>
                <w:rFonts w:cs="Arial"/>
                <w:sz w:val="18"/>
                <w:szCs w:val="18"/>
              </w:rPr>
            </w:pPr>
            <w:r>
              <w:rPr>
                <w:rFonts w:cs="Arial"/>
                <w:sz w:val="18"/>
                <w:szCs w:val="18"/>
              </w:rPr>
              <w:t>Emissionsgrenzwert</w:t>
            </w:r>
            <w:r>
              <w:rPr>
                <w:rFonts w:cs="Arial"/>
                <w:sz w:val="18"/>
                <w:szCs w:val="18"/>
              </w:rPr>
              <w:br/>
              <w:t>(mg C/m</w:t>
            </w:r>
            <w:r>
              <w:rPr>
                <w:rFonts w:cs="Arial"/>
                <w:sz w:val="18"/>
                <w:szCs w:val="18"/>
                <w:vertAlign w:val="superscript"/>
              </w:rPr>
              <w:t>3</w:t>
            </w:r>
            <w:r>
              <w:rPr>
                <w:rFonts w:cs="Arial"/>
                <w:sz w:val="18"/>
                <w:szCs w:val="18"/>
              </w:rPr>
              <w:t>)</w:t>
            </w:r>
          </w:p>
        </w:tc>
        <w:tc>
          <w:tcPr>
            <w:tcW w:w="6912" w:type="dxa"/>
            <w:gridSpan w:val="2"/>
            <w:tcBorders>
              <w:top w:val="single" w:sz="6" w:space="0" w:color="000000"/>
              <w:bottom w:val="single" w:sz="4" w:space="0" w:color="auto"/>
            </w:tcBorders>
          </w:tcPr>
          <w:p>
            <w:pPr>
              <w:pStyle w:val="GesAbsatz"/>
              <w:jc w:val="center"/>
              <w:rPr>
                <w:rFonts w:cs="Arial"/>
                <w:sz w:val="18"/>
                <w:szCs w:val="18"/>
              </w:rPr>
            </w:pPr>
            <w:r>
              <w:rPr>
                <w:rFonts w:cs="Arial"/>
                <w:sz w:val="18"/>
                <w:szCs w:val="18"/>
              </w:rPr>
              <w:t>Bemerkungen</w:t>
            </w:r>
          </w:p>
        </w:tc>
      </w:tr>
      <w:tr>
        <w:trPr>
          <w:cantSplit/>
          <w:trHeight w:val="218"/>
        </w:trPr>
        <w:tc>
          <w:tcPr>
            <w:tcW w:w="2835" w:type="dxa"/>
            <w:tcBorders>
              <w:top w:val="single" w:sz="4" w:space="0" w:color="auto"/>
            </w:tcBorders>
          </w:tcPr>
          <w:p>
            <w:pPr>
              <w:pStyle w:val="GesAbsatz"/>
              <w:jc w:val="center"/>
              <w:rPr>
                <w:rFonts w:cs="Arial"/>
                <w:sz w:val="18"/>
                <w:szCs w:val="18"/>
                <w:vertAlign w:val="superscript"/>
              </w:rPr>
            </w:pPr>
            <w:r>
              <w:rPr>
                <w:rFonts w:cs="Arial"/>
                <w:sz w:val="18"/>
                <w:szCs w:val="18"/>
              </w:rPr>
              <w:t>20</w:t>
            </w:r>
            <w:r>
              <w:rPr>
                <w:rFonts w:cs="Arial"/>
                <w:sz w:val="18"/>
                <w:szCs w:val="18"/>
              </w:rPr>
              <w:br/>
              <w:t>50</w:t>
            </w:r>
            <w:r>
              <w:rPr>
                <w:rFonts w:cs="Arial"/>
                <w:sz w:val="18"/>
                <w:szCs w:val="18"/>
                <w:vertAlign w:val="superscript"/>
              </w:rPr>
              <w:t>1</w:t>
            </w:r>
          </w:p>
        </w:tc>
        <w:tc>
          <w:tcPr>
            <w:tcW w:w="426" w:type="dxa"/>
            <w:tcBorders>
              <w:top w:val="single" w:sz="4" w:space="0" w:color="auto"/>
            </w:tcBorders>
          </w:tcPr>
          <w:p>
            <w:pPr>
              <w:pStyle w:val="GesAbsatz"/>
              <w:jc w:val="right"/>
              <w:rPr>
                <w:rFonts w:cs="Arial"/>
                <w:sz w:val="18"/>
                <w:szCs w:val="18"/>
              </w:rPr>
            </w:pPr>
            <w:r>
              <w:rPr>
                <w:rFonts w:cs="Arial"/>
                <w:sz w:val="18"/>
                <w:szCs w:val="18"/>
                <w:vertAlign w:val="superscript"/>
              </w:rPr>
              <w:t>1</w:t>
            </w:r>
          </w:p>
        </w:tc>
        <w:tc>
          <w:tcPr>
            <w:tcW w:w="6486" w:type="dxa"/>
            <w:tcBorders>
              <w:top w:val="single" w:sz="4" w:space="0" w:color="auto"/>
            </w:tcBorders>
          </w:tcPr>
          <w:p>
            <w:pPr>
              <w:pStyle w:val="GesAbsatz"/>
              <w:rPr>
                <w:rFonts w:cs="Arial"/>
                <w:sz w:val="18"/>
                <w:szCs w:val="18"/>
              </w:rPr>
            </w:pPr>
            <w:r>
              <w:rPr>
                <w:rFonts w:cs="Arial"/>
                <w:sz w:val="18"/>
                <w:szCs w:val="18"/>
              </w:rPr>
              <w:t>Gilt für das Abgas des Konzentrators bei Verwendung einer Technik zur externen Aufkonzentrierung von Lösungsmitteln in den Abgasen durch Adsorption in Kombination mit einer Abgasreinigungseinrichtung.</w:t>
            </w:r>
          </w:p>
        </w:tc>
      </w:tr>
    </w:tbl>
    <w:p>
      <w:pPr>
        <w:pStyle w:val="GesAbsatz"/>
        <w:rPr>
          <w:rFonts w:cs="Arial"/>
          <w:color w:val="auto"/>
        </w:rPr>
      </w:pPr>
      <w:r>
        <w:rPr>
          <w:rFonts w:cs="Arial"/>
          <w:color w:val="auto"/>
        </w:rPr>
        <w:t>9.2.4</w:t>
      </w:r>
      <w:r>
        <w:rPr>
          <w:rFonts w:cs="Arial"/>
          <w:color w:val="auto"/>
        </w:rPr>
        <w:tab/>
        <w:t>Grenzwert für diffuse Emissionen bei Anlagen der Richtlinie 2010/75/EU</w:t>
      </w:r>
    </w:p>
    <w:tbl>
      <w:tblPr>
        <w:tblW w:w="9747" w:type="dxa"/>
        <w:tblLayout w:type="fixed"/>
        <w:tblLook w:val="0000" w:firstRow="0" w:lastRow="0" w:firstColumn="0" w:lastColumn="0" w:noHBand="0" w:noVBand="0"/>
      </w:tblPr>
      <w:tblGrid>
        <w:gridCol w:w="2835"/>
        <w:gridCol w:w="426"/>
        <w:gridCol w:w="6486"/>
      </w:tblGrid>
      <w:tr>
        <w:trPr>
          <w:cantSplit/>
          <w:trHeight w:val="484"/>
        </w:trPr>
        <w:tc>
          <w:tcPr>
            <w:tcW w:w="2835" w:type="dxa"/>
            <w:tcBorders>
              <w:top w:val="single" w:sz="6" w:space="0" w:color="000000"/>
            </w:tcBorders>
          </w:tcPr>
          <w:p>
            <w:pPr>
              <w:pStyle w:val="GesAbsatz"/>
              <w:jc w:val="center"/>
              <w:rPr>
                <w:rFonts w:cs="Arial"/>
                <w:sz w:val="18"/>
                <w:szCs w:val="18"/>
              </w:rPr>
            </w:pPr>
            <w:r>
              <w:rPr>
                <w:rFonts w:cs="Arial"/>
                <w:sz w:val="18"/>
                <w:szCs w:val="18"/>
              </w:rPr>
              <w:t>Grenzwert (Jahresmittelwert)</w:t>
            </w:r>
            <w:r>
              <w:rPr>
                <w:rFonts w:cs="Arial"/>
                <w:sz w:val="18"/>
                <w:szCs w:val="18"/>
                <w:vertAlign w:val="superscript"/>
              </w:rPr>
              <w:t>1</w:t>
            </w:r>
            <w:r>
              <w:rPr>
                <w:rFonts w:cs="Arial"/>
                <w:sz w:val="18"/>
                <w:szCs w:val="18"/>
                <w:vertAlign w:val="superscript"/>
              </w:rPr>
              <w:br/>
            </w:r>
            <w:r>
              <w:rPr>
                <w:rFonts w:cs="Arial"/>
                <w:sz w:val="16"/>
                <w:szCs w:val="16"/>
              </w:rPr>
              <w:t>(% der eingesetzten Lösungsmittel)</w:t>
            </w:r>
          </w:p>
        </w:tc>
        <w:tc>
          <w:tcPr>
            <w:tcW w:w="6912" w:type="dxa"/>
            <w:gridSpan w:val="2"/>
            <w:tcBorders>
              <w:top w:val="single" w:sz="6" w:space="0" w:color="000000"/>
              <w:bottom w:val="single" w:sz="4" w:space="0" w:color="auto"/>
            </w:tcBorders>
          </w:tcPr>
          <w:p>
            <w:pPr>
              <w:pStyle w:val="GesAbsatz"/>
              <w:jc w:val="center"/>
              <w:rPr>
                <w:rFonts w:cs="Arial"/>
                <w:sz w:val="18"/>
                <w:szCs w:val="18"/>
              </w:rPr>
            </w:pPr>
            <w:r>
              <w:rPr>
                <w:rFonts w:cs="Arial"/>
                <w:sz w:val="18"/>
                <w:szCs w:val="18"/>
              </w:rPr>
              <w:t>Bemerkungen</w:t>
            </w:r>
          </w:p>
        </w:tc>
      </w:tr>
      <w:tr>
        <w:trPr>
          <w:cantSplit/>
          <w:trHeight w:val="218"/>
        </w:trPr>
        <w:tc>
          <w:tcPr>
            <w:tcW w:w="2835" w:type="dxa"/>
            <w:tcBorders>
              <w:top w:val="single" w:sz="4" w:space="0" w:color="auto"/>
            </w:tcBorders>
          </w:tcPr>
          <w:p>
            <w:pPr>
              <w:pStyle w:val="GesAbsatz"/>
              <w:jc w:val="center"/>
              <w:rPr>
                <w:rFonts w:cs="Arial"/>
                <w:sz w:val="18"/>
                <w:szCs w:val="18"/>
              </w:rPr>
            </w:pPr>
            <w:r>
              <w:rPr>
                <w:rFonts w:cs="Arial"/>
                <w:sz w:val="18"/>
                <w:szCs w:val="18"/>
              </w:rPr>
              <w:t>&lt; 10</w:t>
            </w:r>
          </w:p>
        </w:tc>
        <w:tc>
          <w:tcPr>
            <w:tcW w:w="426" w:type="dxa"/>
            <w:tcBorders>
              <w:top w:val="single" w:sz="4" w:space="0" w:color="auto"/>
            </w:tcBorders>
          </w:tcPr>
          <w:p>
            <w:pPr>
              <w:pStyle w:val="GesAbsatz"/>
              <w:jc w:val="right"/>
              <w:rPr>
                <w:rFonts w:cs="Arial"/>
                <w:sz w:val="18"/>
                <w:szCs w:val="18"/>
              </w:rPr>
            </w:pPr>
            <w:r>
              <w:rPr>
                <w:rFonts w:cs="Arial"/>
                <w:sz w:val="18"/>
                <w:szCs w:val="18"/>
                <w:vertAlign w:val="superscript"/>
              </w:rPr>
              <w:t>1</w:t>
            </w:r>
          </w:p>
        </w:tc>
        <w:tc>
          <w:tcPr>
            <w:tcW w:w="6486" w:type="dxa"/>
            <w:tcBorders>
              <w:top w:val="single" w:sz="4" w:space="0" w:color="auto"/>
            </w:tcBorders>
          </w:tcPr>
          <w:p>
            <w:pPr>
              <w:pStyle w:val="GesAbsatz"/>
              <w:rPr>
                <w:rFonts w:cs="Arial"/>
                <w:sz w:val="18"/>
                <w:szCs w:val="18"/>
              </w:rPr>
            </w:pPr>
            <w:r>
              <w:rPr>
                <w:rFonts w:cs="Arial"/>
                <w:sz w:val="18"/>
                <w:szCs w:val="18"/>
              </w:rPr>
              <w:t>Flüchtige organische Verbindungen, die in gefassten unbehandelten Abgasen enthalten sind, zählen zu den diffusen Emissionen.</w:t>
            </w:r>
          </w:p>
        </w:tc>
      </w:tr>
    </w:tbl>
    <w:p>
      <w:pPr>
        <w:pStyle w:val="GesAbsatz"/>
        <w:rPr>
          <w:rFonts w:cs="Arial"/>
          <w:color w:val="auto"/>
        </w:rPr>
      </w:pPr>
      <w:r>
        <w:rPr>
          <w:rFonts w:cs="Arial"/>
          <w:color w:val="auto"/>
        </w:rPr>
        <w:t>9.2.5</w:t>
      </w:r>
      <w:r>
        <w:rPr>
          <w:rFonts w:cs="Arial"/>
          <w:color w:val="auto"/>
        </w:rPr>
        <w:tab/>
        <w:t>Gesamtemissionsgrenzwerte bei Anlagen der Richtlinie 2010/75/EU</w:t>
      </w:r>
    </w:p>
    <w:p>
      <w:pPr>
        <w:pStyle w:val="GesAbsatz"/>
        <w:ind w:left="709"/>
        <w:rPr>
          <w:rFonts w:cs="Arial"/>
        </w:rPr>
      </w:pPr>
      <w:r>
        <w:rPr>
          <w:rFonts w:cs="Arial"/>
        </w:rPr>
        <w:t>Zusätzlich zu den Emissionsgrenzwerten der Nummer 9.2.3 gilt ein jährlicher Gesamtemissionsgrenzwert</w:t>
      </w:r>
    </w:p>
    <w:p>
      <w:pPr>
        <w:pStyle w:val="GesAbsatz"/>
        <w:tabs>
          <w:tab w:val="clear" w:pos="425"/>
          <w:tab w:val="left" w:pos="1134"/>
        </w:tabs>
        <w:ind w:left="1134" w:hanging="425"/>
        <w:rPr>
          <w:rFonts w:cs="Arial"/>
        </w:rPr>
      </w:pPr>
      <w:r>
        <w:rPr>
          <w:rFonts w:cs="Arial"/>
        </w:rPr>
        <w:t>a)</w:t>
      </w:r>
      <w:r>
        <w:rPr>
          <w:rFonts w:cs="Arial"/>
        </w:rPr>
        <w:tab/>
        <w:t>bei der Beschichtung von flachen Substraten von &lt; 0,1 kg VOC/kg Feststoffzufuhr,</w:t>
      </w:r>
    </w:p>
    <w:p>
      <w:pPr>
        <w:pStyle w:val="GesAbsatz"/>
        <w:tabs>
          <w:tab w:val="clear" w:pos="425"/>
          <w:tab w:val="left" w:pos="1134"/>
        </w:tabs>
        <w:ind w:left="1134" w:hanging="425"/>
        <w:rPr>
          <w:rFonts w:cs="Arial"/>
        </w:rPr>
      </w:pPr>
      <w:r>
        <w:rPr>
          <w:rFonts w:cs="Arial"/>
        </w:rPr>
        <w:t>b)</w:t>
      </w:r>
      <w:r>
        <w:rPr>
          <w:rFonts w:cs="Arial"/>
        </w:rPr>
        <w:tab/>
        <w:t>bei der Beschichtung von nicht-flachen Substraten von &lt; 0,25 kg VOC/kg Feststoffzufuhr.</w:t>
      </w:r>
    </w:p>
    <w:p>
      <w:pPr>
        <w:pStyle w:val="GesAbsatz"/>
        <w:tabs>
          <w:tab w:val="clear" w:pos="425"/>
          <w:tab w:val="left" w:pos="1134"/>
        </w:tabs>
        <w:ind w:left="709"/>
        <w:rPr>
          <w:rFonts w:cs="Arial"/>
        </w:rPr>
      </w:pPr>
      <w:r>
        <w:rPr>
          <w:rFonts w:cs="Arial"/>
        </w:rPr>
        <w:t>Alternativ zum Grenzwert für Gesamtemissionen können der Emissionsgrenzwert für das gefasste behandelte Abgas (Nummer 9.2.3) in Verbindung mit dem Grenzwert für diffuse Emissionen (Nummer 9.2.4) angewendet werden.</w:t>
      </w:r>
    </w:p>
    <w:p>
      <w:pPr>
        <w:pStyle w:val="GesAbsatz"/>
        <w:tabs>
          <w:tab w:val="clear" w:pos="425"/>
          <w:tab w:val="left" w:pos="709"/>
        </w:tabs>
        <w:ind w:left="1134" w:hanging="1134"/>
        <w:rPr>
          <w:rFonts w:cs="Arial"/>
          <w:b/>
          <w:bCs/>
        </w:rPr>
      </w:pPr>
      <w:r>
        <w:rPr>
          <w:rFonts w:cs="Arial"/>
          <w:b/>
          <w:bCs/>
        </w:rPr>
        <w:t>10.</w:t>
      </w:r>
      <w:r>
        <w:rPr>
          <w:rFonts w:cs="Arial"/>
          <w:b/>
          <w:bCs/>
        </w:rPr>
        <w:tab/>
        <w:t>Beschichten von Textil-, Gewebe-, Folien- oder Papieroberflächen</w:t>
      </w:r>
    </w:p>
    <w:p>
      <w:pPr>
        <w:pStyle w:val="GesAbsatz"/>
        <w:tabs>
          <w:tab w:val="clear" w:pos="425"/>
          <w:tab w:val="left" w:pos="709"/>
        </w:tabs>
        <w:ind w:left="705" w:hanging="705"/>
        <w:rPr>
          <w:rFonts w:cs="Arial"/>
          <w:color w:val="auto"/>
        </w:rPr>
      </w:pPr>
      <w:r>
        <w:rPr>
          <w:rFonts w:cs="Arial"/>
          <w:color w:val="auto"/>
        </w:rPr>
        <w:t>10.1</w:t>
      </w:r>
      <w:r>
        <w:rPr>
          <w:rFonts w:cs="Arial"/>
          <w:color w:val="auto"/>
        </w:rPr>
        <w:tab/>
        <w:t>Anlagen zum Beschichten oder Bedrucken von Textilien und Geweben sowie zum Beschichten von Folien- oder Papieroberflächen</w:t>
      </w:r>
    </w:p>
    <w:p>
      <w:pPr>
        <w:pStyle w:val="GesAbsatz"/>
        <w:tabs>
          <w:tab w:val="clear" w:pos="425"/>
          <w:tab w:val="left" w:pos="709"/>
        </w:tabs>
        <w:ind w:left="1134" w:hanging="1134"/>
        <w:rPr>
          <w:rFonts w:cs="Arial"/>
        </w:rPr>
      </w:pPr>
      <w:r>
        <w:rPr>
          <w:rFonts w:cs="Arial"/>
        </w:rPr>
        <w:t>10.1.1</w:t>
      </w:r>
      <w:r>
        <w:rPr>
          <w:rFonts w:cs="Arial"/>
        </w:rPr>
        <w:tab/>
        <w:t>Emissionsgrenzwerte für gefasste Abgase</w:t>
      </w:r>
    </w:p>
    <w:tbl>
      <w:tblPr>
        <w:tblW w:w="9747" w:type="dxa"/>
        <w:tblLayout w:type="fixed"/>
        <w:tblLook w:val="0000" w:firstRow="0" w:lastRow="0" w:firstColumn="0" w:lastColumn="0" w:noHBand="0" w:noVBand="0"/>
      </w:tblPr>
      <w:tblGrid>
        <w:gridCol w:w="1526"/>
        <w:gridCol w:w="1309"/>
        <w:gridCol w:w="426"/>
        <w:gridCol w:w="6486"/>
      </w:tblGrid>
      <w:tr>
        <w:trPr>
          <w:cantSplit/>
          <w:trHeight w:val="484"/>
        </w:trPr>
        <w:tc>
          <w:tcPr>
            <w:tcW w:w="2835" w:type="dxa"/>
            <w:gridSpan w:val="2"/>
            <w:tcBorders>
              <w:top w:val="single" w:sz="6" w:space="0" w:color="000000"/>
            </w:tcBorders>
          </w:tcPr>
          <w:p>
            <w:pPr>
              <w:pStyle w:val="GesAbsatz"/>
              <w:jc w:val="center"/>
              <w:rPr>
                <w:rFonts w:cs="Arial"/>
                <w:sz w:val="18"/>
                <w:szCs w:val="18"/>
              </w:rPr>
            </w:pPr>
            <w:r>
              <w:rPr>
                <w:rFonts w:cs="Arial"/>
                <w:sz w:val="18"/>
                <w:szCs w:val="18"/>
              </w:rPr>
              <w:t>Emissionsgrenzwert (mg C/m³)</w:t>
            </w:r>
            <w:r>
              <w:rPr>
                <w:rFonts w:cs="Arial"/>
                <w:sz w:val="18"/>
                <w:szCs w:val="18"/>
                <w:vertAlign w:val="superscript"/>
              </w:rPr>
              <w:t>1</w:t>
            </w:r>
            <w:r>
              <w:rPr>
                <w:rFonts w:cs="Arial"/>
                <w:sz w:val="18"/>
                <w:szCs w:val="18"/>
              </w:rPr>
              <w:br/>
              <w:t>Lösungsmittelverbrauch (t/a)</w:t>
            </w:r>
          </w:p>
        </w:tc>
        <w:tc>
          <w:tcPr>
            <w:tcW w:w="6912" w:type="dxa"/>
            <w:gridSpan w:val="2"/>
            <w:vMerge w:val="restart"/>
            <w:tcBorders>
              <w:top w:val="single" w:sz="6" w:space="0" w:color="000000"/>
              <w:bottom w:val="single" w:sz="4" w:space="0" w:color="auto"/>
            </w:tcBorders>
            <w:vAlign w:val="center"/>
          </w:tcPr>
          <w:p>
            <w:pPr>
              <w:pStyle w:val="GesAbsatz"/>
              <w:rPr>
                <w:rFonts w:cs="Arial"/>
                <w:sz w:val="18"/>
                <w:szCs w:val="18"/>
              </w:rPr>
            </w:pPr>
            <w:r>
              <w:rPr>
                <w:rFonts w:cs="Arial"/>
                <w:sz w:val="18"/>
                <w:szCs w:val="18"/>
              </w:rPr>
              <w:t>Bemerkungen</w:t>
            </w:r>
          </w:p>
        </w:tc>
      </w:tr>
      <w:tr>
        <w:trPr>
          <w:cantSplit/>
          <w:trHeight w:val="182"/>
        </w:trPr>
        <w:tc>
          <w:tcPr>
            <w:tcW w:w="1526" w:type="dxa"/>
            <w:tcBorders>
              <w:bottom w:val="single" w:sz="4" w:space="0" w:color="auto"/>
            </w:tcBorders>
          </w:tcPr>
          <w:p>
            <w:pPr>
              <w:pStyle w:val="GesAbsatz"/>
              <w:jc w:val="center"/>
              <w:rPr>
                <w:rFonts w:cs="Arial"/>
              </w:rPr>
            </w:pPr>
            <w:r>
              <w:rPr>
                <w:rFonts w:cs="Arial"/>
              </w:rPr>
              <w:t>&gt; 5 – 15</w:t>
            </w:r>
          </w:p>
        </w:tc>
        <w:tc>
          <w:tcPr>
            <w:tcW w:w="1309" w:type="dxa"/>
            <w:tcBorders>
              <w:bottom w:val="single" w:sz="4" w:space="0" w:color="auto"/>
            </w:tcBorders>
          </w:tcPr>
          <w:p>
            <w:pPr>
              <w:pStyle w:val="GesAbsatz"/>
              <w:jc w:val="center"/>
              <w:rPr>
                <w:rFonts w:cs="Arial"/>
                <w:sz w:val="18"/>
                <w:szCs w:val="18"/>
              </w:rPr>
            </w:pPr>
            <w:r>
              <w:rPr>
                <w:rFonts w:cs="Arial"/>
                <w:sz w:val="18"/>
                <w:szCs w:val="18"/>
              </w:rPr>
              <w:t>&gt; 15</w:t>
            </w:r>
          </w:p>
        </w:tc>
        <w:tc>
          <w:tcPr>
            <w:tcW w:w="6912" w:type="dxa"/>
            <w:gridSpan w:val="2"/>
            <w:vMerge/>
            <w:tcBorders>
              <w:bottom w:val="single" w:sz="4" w:space="0" w:color="auto"/>
            </w:tcBorders>
          </w:tcPr>
          <w:p>
            <w:pPr>
              <w:pStyle w:val="GesAbsatz"/>
              <w:rPr>
                <w:rFonts w:cs="Arial"/>
                <w:sz w:val="18"/>
                <w:szCs w:val="18"/>
              </w:rPr>
            </w:pPr>
          </w:p>
        </w:tc>
      </w:tr>
      <w:tr>
        <w:trPr>
          <w:cantSplit/>
          <w:trHeight w:val="218"/>
        </w:trPr>
        <w:tc>
          <w:tcPr>
            <w:tcW w:w="1526" w:type="dxa"/>
            <w:vMerge w:val="restart"/>
            <w:tcBorders>
              <w:top w:val="single" w:sz="4" w:space="0" w:color="auto"/>
            </w:tcBorders>
          </w:tcPr>
          <w:p>
            <w:pPr>
              <w:pStyle w:val="GesAbsatz"/>
              <w:jc w:val="center"/>
              <w:rPr>
                <w:rFonts w:cs="Arial"/>
                <w:vertAlign w:val="superscript"/>
              </w:rPr>
            </w:pPr>
            <w:r>
              <w:rPr>
                <w:rFonts w:cs="Arial"/>
              </w:rPr>
              <w:t>100</w:t>
            </w:r>
            <w:r>
              <w:rPr>
                <w:rFonts w:cs="Arial"/>
                <w:vertAlign w:val="superscript"/>
              </w:rPr>
              <w:t>2</w:t>
            </w:r>
          </w:p>
        </w:tc>
        <w:tc>
          <w:tcPr>
            <w:tcW w:w="1309" w:type="dxa"/>
            <w:vMerge w:val="restart"/>
            <w:tcBorders>
              <w:top w:val="single" w:sz="4" w:space="0" w:color="auto"/>
            </w:tcBorders>
          </w:tcPr>
          <w:p>
            <w:pPr>
              <w:pStyle w:val="GesAbsatz"/>
              <w:jc w:val="center"/>
              <w:rPr>
                <w:rFonts w:cs="Arial"/>
                <w:sz w:val="18"/>
                <w:szCs w:val="18"/>
              </w:rPr>
            </w:pPr>
            <w:r>
              <w:rPr>
                <w:rFonts w:cs="Arial"/>
                <w:sz w:val="18"/>
                <w:szCs w:val="18"/>
              </w:rPr>
              <w:t>50</w:t>
            </w:r>
            <w:r>
              <w:rPr>
                <w:rFonts w:cs="Arial"/>
                <w:sz w:val="18"/>
                <w:szCs w:val="18"/>
                <w:vertAlign w:val="superscript"/>
              </w:rPr>
              <w:t>2</w:t>
            </w:r>
            <w:r>
              <w:rPr>
                <w:rFonts w:cs="Arial"/>
                <w:sz w:val="18"/>
                <w:szCs w:val="18"/>
              </w:rPr>
              <w:br/>
              <w:t>20</w:t>
            </w:r>
            <w:r>
              <w:rPr>
                <w:rFonts w:cs="Arial"/>
                <w:sz w:val="18"/>
                <w:szCs w:val="18"/>
                <w:vertAlign w:val="superscript"/>
              </w:rPr>
              <w:t>2, 3</w:t>
            </w:r>
            <w:r>
              <w:rPr>
                <w:rFonts w:cs="Arial"/>
                <w:sz w:val="18"/>
                <w:szCs w:val="18"/>
                <w:vertAlign w:val="superscript"/>
              </w:rPr>
              <w:br/>
            </w:r>
            <w:r>
              <w:rPr>
                <w:rFonts w:cs="Arial"/>
                <w:sz w:val="18"/>
                <w:szCs w:val="18"/>
              </w:rPr>
              <w:t>75</w:t>
            </w:r>
            <w:r>
              <w:rPr>
                <w:rFonts w:cs="Arial"/>
                <w:sz w:val="18"/>
                <w:szCs w:val="18"/>
                <w:vertAlign w:val="superscript"/>
              </w:rPr>
              <w:t>4</w:t>
            </w:r>
          </w:p>
        </w:tc>
        <w:tc>
          <w:tcPr>
            <w:tcW w:w="426" w:type="dxa"/>
            <w:tcBorders>
              <w:top w:val="single" w:sz="4" w:space="0" w:color="auto"/>
            </w:tcBorders>
          </w:tcPr>
          <w:p>
            <w:pPr>
              <w:pStyle w:val="GesAbsatz"/>
              <w:jc w:val="right"/>
              <w:rPr>
                <w:rFonts w:cs="Arial"/>
                <w:sz w:val="18"/>
                <w:szCs w:val="18"/>
              </w:rPr>
            </w:pPr>
            <w:r>
              <w:rPr>
                <w:rFonts w:cs="Arial"/>
                <w:sz w:val="18"/>
                <w:szCs w:val="18"/>
                <w:vertAlign w:val="superscript"/>
              </w:rPr>
              <w:t>1</w:t>
            </w:r>
          </w:p>
        </w:tc>
        <w:tc>
          <w:tcPr>
            <w:tcW w:w="6486" w:type="dxa"/>
            <w:tcBorders>
              <w:top w:val="single" w:sz="4" w:space="0" w:color="auto"/>
            </w:tcBorders>
          </w:tcPr>
          <w:p>
            <w:pPr>
              <w:pStyle w:val="GesAbsatz"/>
              <w:rPr>
                <w:rFonts w:cs="Arial"/>
                <w:sz w:val="18"/>
                <w:szCs w:val="18"/>
              </w:rPr>
            </w:pPr>
            <w:r>
              <w:rPr>
                <w:rFonts w:cs="Arial"/>
                <w:sz w:val="18"/>
                <w:szCs w:val="18"/>
              </w:rPr>
              <w:t>Gilt nicht für Anlagen der Richtlinie 2010/75/EU.</w:t>
            </w:r>
          </w:p>
        </w:tc>
      </w:tr>
      <w:tr>
        <w:trPr>
          <w:cantSplit/>
          <w:trHeight w:val="281"/>
        </w:trPr>
        <w:tc>
          <w:tcPr>
            <w:tcW w:w="1526" w:type="dxa"/>
            <w:vMerge/>
          </w:tcPr>
          <w:p>
            <w:pPr>
              <w:pStyle w:val="GesAbsatz"/>
              <w:jc w:val="center"/>
              <w:rPr>
                <w:rFonts w:cs="Arial"/>
              </w:rPr>
            </w:pPr>
          </w:p>
        </w:tc>
        <w:tc>
          <w:tcPr>
            <w:tcW w:w="1309" w:type="dxa"/>
            <w:vMerge/>
          </w:tcPr>
          <w:p>
            <w:pPr>
              <w:pStyle w:val="GesAbsatz"/>
              <w:jc w:val="center"/>
              <w:rPr>
                <w:rFonts w:cs="Arial"/>
                <w:sz w:val="18"/>
                <w:szCs w:val="18"/>
              </w:rPr>
            </w:pPr>
          </w:p>
        </w:tc>
        <w:tc>
          <w:tcPr>
            <w:tcW w:w="426" w:type="dxa"/>
          </w:tcPr>
          <w:p>
            <w:pPr>
              <w:pStyle w:val="GesAbsatz"/>
              <w:jc w:val="right"/>
              <w:rPr>
                <w:rFonts w:cs="Arial"/>
                <w:sz w:val="18"/>
                <w:szCs w:val="18"/>
              </w:rPr>
            </w:pPr>
            <w:r>
              <w:rPr>
                <w:rFonts w:cs="Arial"/>
                <w:sz w:val="18"/>
                <w:szCs w:val="18"/>
                <w:vertAlign w:val="superscript"/>
              </w:rPr>
              <w:t>2</w:t>
            </w:r>
          </w:p>
        </w:tc>
        <w:tc>
          <w:tcPr>
            <w:tcW w:w="6486" w:type="dxa"/>
          </w:tcPr>
          <w:p>
            <w:pPr>
              <w:pStyle w:val="GesAbsatz"/>
              <w:rPr>
                <w:rFonts w:cs="Arial"/>
                <w:sz w:val="18"/>
                <w:szCs w:val="18"/>
              </w:rPr>
            </w:pPr>
            <w:r>
              <w:rPr>
                <w:rFonts w:cs="Arial"/>
                <w:sz w:val="18"/>
                <w:szCs w:val="18"/>
              </w:rPr>
              <w:t>Bei Anwendung von Abgasreinigungseinrichtungen mit thermischer Nachverbrennung.</w:t>
            </w:r>
          </w:p>
        </w:tc>
      </w:tr>
      <w:tr>
        <w:trPr>
          <w:cantSplit/>
          <w:trHeight w:val="281"/>
        </w:trPr>
        <w:tc>
          <w:tcPr>
            <w:tcW w:w="1526" w:type="dxa"/>
            <w:vMerge/>
          </w:tcPr>
          <w:p>
            <w:pPr>
              <w:pStyle w:val="GesAbsatz"/>
              <w:jc w:val="center"/>
              <w:rPr>
                <w:rFonts w:cs="Arial"/>
              </w:rPr>
            </w:pPr>
          </w:p>
        </w:tc>
        <w:tc>
          <w:tcPr>
            <w:tcW w:w="1309" w:type="dxa"/>
            <w:vMerge/>
          </w:tcPr>
          <w:p>
            <w:pPr>
              <w:pStyle w:val="GesAbsatz"/>
              <w:jc w:val="center"/>
              <w:rPr>
                <w:rFonts w:cs="Arial"/>
                <w:sz w:val="18"/>
                <w:szCs w:val="18"/>
              </w:rPr>
            </w:pPr>
          </w:p>
        </w:tc>
        <w:tc>
          <w:tcPr>
            <w:tcW w:w="426" w:type="dxa"/>
          </w:tcPr>
          <w:p>
            <w:pPr>
              <w:pStyle w:val="GesAbsatz"/>
              <w:jc w:val="right"/>
              <w:rPr>
                <w:rFonts w:cs="Arial"/>
                <w:sz w:val="18"/>
                <w:szCs w:val="18"/>
                <w:vertAlign w:val="superscript"/>
              </w:rPr>
            </w:pPr>
            <w:r>
              <w:rPr>
                <w:rFonts w:cs="Arial"/>
                <w:sz w:val="18"/>
                <w:szCs w:val="18"/>
                <w:vertAlign w:val="superscript"/>
              </w:rPr>
              <w:t>3</w:t>
            </w:r>
          </w:p>
        </w:tc>
        <w:tc>
          <w:tcPr>
            <w:tcW w:w="6486" w:type="dxa"/>
          </w:tcPr>
          <w:p>
            <w:pPr>
              <w:pStyle w:val="GesAbsatz"/>
              <w:rPr>
                <w:rFonts w:cs="Arial"/>
                <w:sz w:val="18"/>
                <w:szCs w:val="18"/>
              </w:rPr>
            </w:pPr>
            <w:r>
              <w:rPr>
                <w:rFonts w:cs="Arial"/>
                <w:sz w:val="18"/>
                <w:szCs w:val="18"/>
              </w:rPr>
              <w:t>Bei Anwendung von Abgasreinigungseinrichtungen mit thermischer Nachverbrennung.</w:t>
            </w:r>
          </w:p>
        </w:tc>
      </w:tr>
      <w:tr>
        <w:trPr>
          <w:cantSplit/>
          <w:trHeight w:val="281"/>
        </w:trPr>
        <w:tc>
          <w:tcPr>
            <w:tcW w:w="1526" w:type="dxa"/>
            <w:vMerge/>
          </w:tcPr>
          <w:p>
            <w:pPr>
              <w:pStyle w:val="GesAbsatz"/>
              <w:jc w:val="center"/>
              <w:rPr>
                <w:rFonts w:cs="Arial"/>
              </w:rPr>
            </w:pPr>
          </w:p>
        </w:tc>
        <w:tc>
          <w:tcPr>
            <w:tcW w:w="1309" w:type="dxa"/>
            <w:vMerge/>
          </w:tcPr>
          <w:p>
            <w:pPr>
              <w:pStyle w:val="GesAbsatz"/>
              <w:jc w:val="center"/>
              <w:rPr>
                <w:rFonts w:cs="Arial"/>
                <w:sz w:val="18"/>
                <w:szCs w:val="18"/>
              </w:rPr>
            </w:pPr>
          </w:p>
        </w:tc>
        <w:tc>
          <w:tcPr>
            <w:tcW w:w="426" w:type="dxa"/>
          </w:tcPr>
          <w:p>
            <w:pPr>
              <w:pStyle w:val="GesAbsatz"/>
              <w:jc w:val="right"/>
              <w:rPr>
                <w:rFonts w:cs="Arial"/>
                <w:sz w:val="18"/>
                <w:szCs w:val="18"/>
                <w:vertAlign w:val="superscript"/>
              </w:rPr>
            </w:pPr>
            <w:r>
              <w:rPr>
                <w:rFonts w:cs="Arial"/>
                <w:sz w:val="18"/>
                <w:szCs w:val="18"/>
                <w:vertAlign w:val="superscript"/>
              </w:rPr>
              <w:t>4</w:t>
            </w:r>
          </w:p>
        </w:tc>
        <w:tc>
          <w:tcPr>
            <w:tcW w:w="6486" w:type="dxa"/>
          </w:tcPr>
          <w:p>
            <w:pPr>
              <w:pStyle w:val="GesAbsatz"/>
              <w:rPr>
                <w:rFonts w:cs="Arial"/>
                <w:sz w:val="18"/>
                <w:szCs w:val="18"/>
              </w:rPr>
            </w:pPr>
            <w:r>
              <w:rPr>
                <w:rFonts w:cs="Arial"/>
                <w:sz w:val="18"/>
                <w:szCs w:val="18"/>
              </w:rPr>
              <w:t>Gilt für Anlagen, die organische Lösungsmittel wiederverwenden.</w:t>
            </w:r>
          </w:p>
        </w:tc>
      </w:tr>
    </w:tbl>
    <w:p>
      <w:pPr>
        <w:pStyle w:val="GesAbsatz"/>
        <w:tabs>
          <w:tab w:val="clear" w:pos="425"/>
          <w:tab w:val="left" w:pos="709"/>
        </w:tabs>
        <w:rPr>
          <w:rFonts w:cs="Arial"/>
        </w:rPr>
      </w:pPr>
      <w:r>
        <w:rPr>
          <w:rFonts w:cs="Arial"/>
        </w:rPr>
        <w:t>10.1.2</w:t>
      </w:r>
      <w:r>
        <w:rPr>
          <w:rFonts w:cs="Arial"/>
        </w:rPr>
        <w:tab/>
        <w:t>Grenzwerte für diffuse Emissionen</w:t>
      </w:r>
    </w:p>
    <w:tbl>
      <w:tblPr>
        <w:tblW w:w="9747" w:type="dxa"/>
        <w:tblLayout w:type="fixed"/>
        <w:tblLook w:val="0000" w:firstRow="0" w:lastRow="0" w:firstColumn="0" w:lastColumn="0" w:noHBand="0" w:noVBand="0"/>
      </w:tblPr>
      <w:tblGrid>
        <w:gridCol w:w="1526"/>
        <w:gridCol w:w="1309"/>
        <w:gridCol w:w="426"/>
        <w:gridCol w:w="6486"/>
      </w:tblGrid>
      <w:tr>
        <w:trPr>
          <w:cantSplit/>
          <w:trHeight w:val="484"/>
        </w:trPr>
        <w:tc>
          <w:tcPr>
            <w:tcW w:w="2835" w:type="dxa"/>
            <w:gridSpan w:val="2"/>
            <w:tcBorders>
              <w:top w:val="single" w:sz="6" w:space="0" w:color="000000"/>
            </w:tcBorders>
          </w:tcPr>
          <w:p>
            <w:pPr>
              <w:pStyle w:val="GesAbsatz"/>
              <w:jc w:val="center"/>
              <w:rPr>
                <w:rFonts w:cs="Arial"/>
                <w:sz w:val="18"/>
                <w:szCs w:val="18"/>
              </w:rPr>
            </w:pPr>
            <w:r>
              <w:rPr>
                <w:rFonts w:cs="Arial"/>
                <w:sz w:val="18"/>
                <w:szCs w:val="18"/>
              </w:rPr>
              <w:lastRenderedPageBreak/>
              <w:t>Grenzwert</w:t>
            </w:r>
            <w:r>
              <w:rPr>
                <w:rFonts w:cs="Arial"/>
                <w:sz w:val="18"/>
                <w:szCs w:val="18"/>
                <w:vertAlign w:val="superscript"/>
              </w:rPr>
              <w:t>1, 2</w:t>
            </w:r>
            <w:r>
              <w:rPr>
                <w:rFonts w:cs="Arial"/>
                <w:sz w:val="18"/>
                <w:szCs w:val="18"/>
                <w:vertAlign w:val="superscript"/>
              </w:rPr>
              <w:br/>
            </w:r>
            <w:r>
              <w:rPr>
                <w:rFonts w:cs="Arial"/>
                <w:sz w:val="16"/>
                <w:szCs w:val="16"/>
              </w:rPr>
              <w:t>(% der eingesetzten Lösungsmittel)</w:t>
            </w:r>
            <w:r>
              <w:rPr>
                <w:rFonts w:cs="Arial"/>
                <w:sz w:val="18"/>
                <w:szCs w:val="18"/>
              </w:rPr>
              <w:t xml:space="preserve"> </w:t>
            </w:r>
            <w:r>
              <w:rPr>
                <w:rFonts w:cs="Arial"/>
                <w:sz w:val="18"/>
                <w:szCs w:val="18"/>
              </w:rPr>
              <w:br/>
              <w:t>Lösungsmittelverbrauch (t/a)</w:t>
            </w:r>
          </w:p>
        </w:tc>
        <w:tc>
          <w:tcPr>
            <w:tcW w:w="6912" w:type="dxa"/>
            <w:gridSpan w:val="2"/>
            <w:vMerge w:val="restart"/>
            <w:tcBorders>
              <w:top w:val="single" w:sz="6" w:space="0" w:color="000000"/>
              <w:bottom w:val="single" w:sz="4" w:space="0" w:color="auto"/>
            </w:tcBorders>
            <w:vAlign w:val="center"/>
          </w:tcPr>
          <w:p>
            <w:pPr>
              <w:pStyle w:val="GesAbsatz"/>
              <w:jc w:val="center"/>
              <w:rPr>
                <w:rFonts w:cs="Arial"/>
                <w:sz w:val="18"/>
                <w:szCs w:val="18"/>
              </w:rPr>
            </w:pPr>
            <w:r>
              <w:rPr>
                <w:rFonts w:cs="Arial"/>
                <w:sz w:val="18"/>
                <w:szCs w:val="18"/>
              </w:rPr>
              <w:t>Bemerkungen</w:t>
            </w:r>
          </w:p>
        </w:tc>
      </w:tr>
      <w:tr>
        <w:trPr>
          <w:cantSplit/>
          <w:trHeight w:val="182"/>
        </w:trPr>
        <w:tc>
          <w:tcPr>
            <w:tcW w:w="1526" w:type="dxa"/>
            <w:tcBorders>
              <w:bottom w:val="single" w:sz="4" w:space="0" w:color="auto"/>
            </w:tcBorders>
          </w:tcPr>
          <w:p>
            <w:pPr>
              <w:pStyle w:val="GesAbsatz"/>
              <w:jc w:val="center"/>
              <w:rPr>
                <w:rFonts w:cs="Arial"/>
                <w:sz w:val="18"/>
                <w:szCs w:val="18"/>
              </w:rPr>
            </w:pPr>
            <w:r>
              <w:rPr>
                <w:rFonts w:cs="Arial"/>
                <w:sz w:val="18"/>
                <w:szCs w:val="18"/>
              </w:rPr>
              <w:t>&gt; 5 – 15</w:t>
            </w:r>
          </w:p>
        </w:tc>
        <w:tc>
          <w:tcPr>
            <w:tcW w:w="1309" w:type="dxa"/>
            <w:tcBorders>
              <w:bottom w:val="single" w:sz="4" w:space="0" w:color="auto"/>
            </w:tcBorders>
          </w:tcPr>
          <w:p>
            <w:pPr>
              <w:pStyle w:val="GesAbsatz"/>
              <w:jc w:val="center"/>
              <w:rPr>
                <w:rFonts w:cs="Arial"/>
                <w:sz w:val="18"/>
                <w:szCs w:val="18"/>
              </w:rPr>
            </w:pPr>
            <w:r>
              <w:rPr>
                <w:rFonts w:cs="Arial"/>
                <w:sz w:val="18"/>
                <w:szCs w:val="18"/>
              </w:rPr>
              <w:t>&gt; 15</w:t>
            </w:r>
          </w:p>
        </w:tc>
        <w:tc>
          <w:tcPr>
            <w:tcW w:w="6912" w:type="dxa"/>
            <w:gridSpan w:val="2"/>
            <w:vMerge/>
            <w:tcBorders>
              <w:bottom w:val="single" w:sz="4" w:space="0" w:color="auto"/>
            </w:tcBorders>
          </w:tcPr>
          <w:p>
            <w:pPr>
              <w:pStyle w:val="GesAbsatz"/>
              <w:rPr>
                <w:rFonts w:cs="Arial"/>
                <w:sz w:val="18"/>
                <w:szCs w:val="18"/>
              </w:rPr>
            </w:pPr>
          </w:p>
        </w:tc>
      </w:tr>
      <w:tr>
        <w:trPr>
          <w:cantSplit/>
          <w:trHeight w:val="218"/>
        </w:trPr>
        <w:tc>
          <w:tcPr>
            <w:tcW w:w="1526" w:type="dxa"/>
            <w:vMerge w:val="restart"/>
            <w:tcBorders>
              <w:top w:val="single" w:sz="4" w:space="0" w:color="auto"/>
            </w:tcBorders>
          </w:tcPr>
          <w:p>
            <w:pPr>
              <w:pStyle w:val="GesAbsatz"/>
              <w:jc w:val="center"/>
              <w:rPr>
                <w:rFonts w:cs="Arial"/>
                <w:sz w:val="18"/>
                <w:szCs w:val="18"/>
                <w:vertAlign w:val="superscript"/>
              </w:rPr>
            </w:pPr>
            <w:r>
              <w:rPr>
                <w:rFonts w:cs="Arial"/>
                <w:sz w:val="18"/>
                <w:szCs w:val="18"/>
              </w:rPr>
              <w:t>15</w:t>
            </w:r>
          </w:p>
        </w:tc>
        <w:tc>
          <w:tcPr>
            <w:tcW w:w="1309" w:type="dxa"/>
            <w:vMerge w:val="restart"/>
            <w:tcBorders>
              <w:top w:val="single" w:sz="4" w:space="0" w:color="auto"/>
            </w:tcBorders>
          </w:tcPr>
          <w:p>
            <w:pPr>
              <w:pStyle w:val="GesAbsatz"/>
              <w:jc w:val="center"/>
              <w:rPr>
                <w:rFonts w:cs="Arial"/>
                <w:sz w:val="18"/>
                <w:szCs w:val="18"/>
              </w:rPr>
            </w:pPr>
            <w:r>
              <w:rPr>
                <w:rFonts w:cs="Arial"/>
                <w:sz w:val="18"/>
                <w:szCs w:val="18"/>
              </w:rPr>
              <w:t>10</w:t>
            </w:r>
          </w:p>
        </w:tc>
        <w:tc>
          <w:tcPr>
            <w:tcW w:w="426" w:type="dxa"/>
            <w:tcBorders>
              <w:top w:val="single" w:sz="4" w:space="0" w:color="auto"/>
            </w:tcBorders>
          </w:tcPr>
          <w:p>
            <w:pPr>
              <w:pStyle w:val="GesAbsatz"/>
              <w:jc w:val="right"/>
              <w:rPr>
                <w:rFonts w:cs="Arial"/>
                <w:sz w:val="18"/>
                <w:szCs w:val="18"/>
              </w:rPr>
            </w:pPr>
            <w:r>
              <w:rPr>
                <w:rFonts w:cs="Arial"/>
                <w:sz w:val="18"/>
                <w:szCs w:val="18"/>
                <w:vertAlign w:val="superscript"/>
              </w:rPr>
              <w:t>1</w:t>
            </w:r>
          </w:p>
        </w:tc>
        <w:tc>
          <w:tcPr>
            <w:tcW w:w="6486" w:type="dxa"/>
            <w:tcBorders>
              <w:top w:val="single" w:sz="4" w:space="0" w:color="auto"/>
            </w:tcBorders>
          </w:tcPr>
          <w:p>
            <w:pPr>
              <w:pStyle w:val="GesAbsatz"/>
              <w:rPr>
                <w:rFonts w:cs="Arial"/>
                <w:sz w:val="18"/>
                <w:szCs w:val="18"/>
              </w:rPr>
            </w:pPr>
            <w:r>
              <w:rPr>
                <w:rFonts w:cs="Arial"/>
                <w:sz w:val="18"/>
                <w:szCs w:val="18"/>
              </w:rPr>
              <w:t>Gilt nicht für Anlagen der Richtlinie 2010/75/EU.</w:t>
            </w:r>
          </w:p>
        </w:tc>
      </w:tr>
      <w:tr>
        <w:trPr>
          <w:cantSplit/>
          <w:trHeight w:val="281"/>
        </w:trPr>
        <w:tc>
          <w:tcPr>
            <w:tcW w:w="1526" w:type="dxa"/>
            <w:vMerge/>
          </w:tcPr>
          <w:p>
            <w:pPr>
              <w:pStyle w:val="GesAbsatz"/>
              <w:rPr>
                <w:rFonts w:cs="Arial"/>
                <w:sz w:val="18"/>
                <w:szCs w:val="18"/>
              </w:rPr>
            </w:pPr>
          </w:p>
        </w:tc>
        <w:tc>
          <w:tcPr>
            <w:tcW w:w="1309" w:type="dxa"/>
            <w:vMerge/>
          </w:tcPr>
          <w:p>
            <w:pPr>
              <w:pStyle w:val="GesAbsatz"/>
              <w:rPr>
                <w:rFonts w:cs="Arial"/>
                <w:sz w:val="18"/>
                <w:szCs w:val="18"/>
              </w:rPr>
            </w:pPr>
          </w:p>
        </w:tc>
        <w:tc>
          <w:tcPr>
            <w:tcW w:w="426" w:type="dxa"/>
          </w:tcPr>
          <w:p>
            <w:pPr>
              <w:pStyle w:val="GesAbsatz"/>
              <w:jc w:val="right"/>
              <w:rPr>
                <w:rFonts w:cs="Arial"/>
                <w:sz w:val="18"/>
                <w:szCs w:val="18"/>
              </w:rPr>
            </w:pPr>
            <w:r>
              <w:rPr>
                <w:rFonts w:cs="Arial"/>
                <w:sz w:val="18"/>
                <w:szCs w:val="18"/>
                <w:vertAlign w:val="superscript"/>
              </w:rPr>
              <w:t>2</w:t>
            </w:r>
          </w:p>
        </w:tc>
        <w:tc>
          <w:tcPr>
            <w:tcW w:w="6486" w:type="dxa"/>
          </w:tcPr>
          <w:p>
            <w:pPr>
              <w:pStyle w:val="GesAbsatz"/>
              <w:rPr>
                <w:rFonts w:cs="Arial"/>
                <w:sz w:val="18"/>
                <w:szCs w:val="18"/>
              </w:rPr>
            </w:pPr>
            <w:r>
              <w:rPr>
                <w:rFonts w:cs="Arial"/>
                <w:sz w:val="18"/>
                <w:szCs w:val="18"/>
              </w:rPr>
              <w:t>Flüchtige organische Verbindungen, die in gefassten unbehandelten Abgasen enthalten sind, zählen zu den diffusen Emissionen.</w:t>
            </w:r>
          </w:p>
        </w:tc>
      </w:tr>
    </w:tbl>
    <w:p>
      <w:pPr>
        <w:pStyle w:val="GesAbsatz"/>
      </w:pPr>
      <w:r>
        <w:t>10.1.3</w:t>
      </w:r>
      <w:r>
        <w:tab/>
        <w:t>Emissionsgrenzwerte für gefasste behandelte Abgase bei Anlagen der Richtlinie 2010/75/EU</w:t>
      </w:r>
    </w:p>
    <w:tbl>
      <w:tblPr>
        <w:tblW w:w="9747" w:type="dxa"/>
        <w:tblLayout w:type="fixed"/>
        <w:tblLook w:val="0000" w:firstRow="0" w:lastRow="0" w:firstColumn="0" w:lastColumn="0" w:noHBand="0" w:noVBand="0"/>
      </w:tblPr>
      <w:tblGrid>
        <w:gridCol w:w="2835"/>
        <w:gridCol w:w="426"/>
        <w:gridCol w:w="425"/>
        <w:gridCol w:w="6061"/>
      </w:tblGrid>
      <w:tr>
        <w:trPr>
          <w:cantSplit/>
          <w:trHeight w:val="484"/>
        </w:trPr>
        <w:tc>
          <w:tcPr>
            <w:tcW w:w="2835" w:type="dxa"/>
            <w:tcBorders>
              <w:top w:val="single" w:sz="6" w:space="0" w:color="000000"/>
              <w:bottom w:val="single" w:sz="4" w:space="0" w:color="auto"/>
            </w:tcBorders>
          </w:tcPr>
          <w:p>
            <w:pPr>
              <w:pStyle w:val="GesAbsatz"/>
              <w:jc w:val="center"/>
              <w:rPr>
                <w:sz w:val="18"/>
                <w:szCs w:val="18"/>
              </w:rPr>
            </w:pPr>
            <w:r>
              <w:rPr>
                <w:sz w:val="18"/>
                <w:szCs w:val="18"/>
              </w:rPr>
              <w:t xml:space="preserve">Emissionsgrenzwert </w:t>
            </w:r>
            <w:r>
              <w:rPr>
                <w:sz w:val="18"/>
                <w:szCs w:val="18"/>
              </w:rPr>
              <w:br/>
              <w:t>(mg C/m</w:t>
            </w:r>
            <w:r>
              <w:rPr>
                <w:sz w:val="18"/>
                <w:szCs w:val="18"/>
                <w:vertAlign w:val="superscript"/>
              </w:rPr>
              <w:t>3</w:t>
            </w:r>
            <w:r>
              <w:rPr>
                <w:sz w:val="18"/>
                <w:szCs w:val="18"/>
              </w:rPr>
              <w:t>)</w:t>
            </w:r>
          </w:p>
        </w:tc>
        <w:tc>
          <w:tcPr>
            <w:tcW w:w="6912" w:type="dxa"/>
            <w:gridSpan w:val="3"/>
            <w:tcBorders>
              <w:top w:val="single" w:sz="6" w:space="0" w:color="000000"/>
              <w:bottom w:val="single" w:sz="4" w:space="0" w:color="auto"/>
            </w:tcBorders>
          </w:tcPr>
          <w:p>
            <w:pPr>
              <w:pStyle w:val="GesAbsatz"/>
              <w:jc w:val="center"/>
              <w:rPr>
                <w:sz w:val="18"/>
                <w:szCs w:val="18"/>
              </w:rPr>
            </w:pPr>
            <w:r>
              <w:rPr>
                <w:sz w:val="18"/>
                <w:szCs w:val="18"/>
              </w:rPr>
              <w:t>Bemerkungen</w:t>
            </w:r>
          </w:p>
        </w:tc>
      </w:tr>
      <w:tr>
        <w:trPr>
          <w:cantSplit/>
          <w:trHeight w:val="218"/>
        </w:trPr>
        <w:tc>
          <w:tcPr>
            <w:tcW w:w="2835" w:type="dxa"/>
            <w:vMerge w:val="restart"/>
            <w:tcBorders>
              <w:top w:val="single" w:sz="4" w:space="0" w:color="auto"/>
            </w:tcBorders>
          </w:tcPr>
          <w:p>
            <w:pPr>
              <w:pStyle w:val="GesAbsatz"/>
              <w:jc w:val="center"/>
              <w:rPr>
                <w:sz w:val="18"/>
                <w:szCs w:val="18"/>
                <w:vertAlign w:val="superscript"/>
              </w:rPr>
            </w:pPr>
            <w:r>
              <w:rPr>
                <w:sz w:val="18"/>
                <w:szCs w:val="18"/>
              </w:rPr>
              <w:t>20</w:t>
            </w:r>
            <w:r>
              <w:rPr>
                <w:sz w:val="18"/>
                <w:szCs w:val="18"/>
              </w:rPr>
              <w:br/>
              <w:t>&lt; 50</w:t>
            </w:r>
            <w:r>
              <w:rPr>
                <w:sz w:val="18"/>
                <w:szCs w:val="18"/>
                <w:vertAlign w:val="superscript"/>
              </w:rPr>
              <w:t>1</w:t>
            </w:r>
          </w:p>
        </w:tc>
        <w:tc>
          <w:tcPr>
            <w:tcW w:w="426" w:type="dxa"/>
            <w:tcBorders>
              <w:top w:val="single" w:sz="4" w:space="0" w:color="auto"/>
            </w:tcBorders>
          </w:tcPr>
          <w:p>
            <w:pPr>
              <w:pStyle w:val="GesAbsatz"/>
              <w:jc w:val="right"/>
              <w:rPr>
                <w:sz w:val="18"/>
                <w:szCs w:val="18"/>
              </w:rPr>
            </w:pPr>
            <w:r>
              <w:rPr>
                <w:sz w:val="18"/>
                <w:szCs w:val="18"/>
                <w:vertAlign w:val="superscript"/>
              </w:rPr>
              <w:t>1</w:t>
            </w:r>
          </w:p>
        </w:tc>
        <w:tc>
          <w:tcPr>
            <w:tcW w:w="6486" w:type="dxa"/>
            <w:gridSpan w:val="2"/>
            <w:tcBorders>
              <w:top w:val="single" w:sz="4" w:space="0" w:color="auto"/>
            </w:tcBorders>
          </w:tcPr>
          <w:p>
            <w:pPr>
              <w:pStyle w:val="GesAbsatz"/>
              <w:rPr>
                <w:sz w:val="18"/>
                <w:szCs w:val="18"/>
              </w:rPr>
            </w:pPr>
            <w:r>
              <w:rPr>
                <w:sz w:val="18"/>
                <w:szCs w:val="18"/>
              </w:rPr>
              <w:t>Gilt</w:t>
            </w:r>
          </w:p>
        </w:tc>
      </w:tr>
      <w:tr>
        <w:trPr>
          <w:cantSplit/>
          <w:trHeight w:val="218"/>
        </w:trPr>
        <w:tc>
          <w:tcPr>
            <w:tcW w:w="2835" w:type="dxa"/>
            <w:vMerge/>
          </w:tcPr>
          <w:p>
            <w:pPr>
              <w:pStyle w:val="GesAbsatz"/>
              <w:jc w:val="center"/>
              <w:rPr>
                <w:sz w:val="18"/>
                <w:szCs w:val="18"/>
              </w:rPr>
            </w:pPr>
          </w:p>
        </w:tc>
        <w:tc>
          <w:tcPr>
            <w:tcW w:w="426" w:type="dxa"/>
          </w:tcPr>
          <w:p>
            <w:pPr>
              <w:pStyle w:val="GesAbsatz"/>
              <w:rPr>
                <w:sz w:val="18"/>
                <w:szCs w:val="18"/>
                <w:vertAlign w:val="superscript"/>
              </w:rPr>
            </w:pPr>
          </w:p>
        </w:tc>
        <w:tc>
          <w:tcPr>
            <w:tcW w:w="425" w:type="dxa"/>
          </w:tcPr>
          <w:p>
            <w:pPr>
              <w:pStyle w:val="GesAbsatz"/>
              <w:rPr>
                <w:sz w:val="18"/>
                <w:szCs w:val="18"/>
              </w:rPr>
            </w:pPr>
            <w:r>
              <w:rPr>
                <w:sz w:val="18"/>
                <w:szCs w:val="18"/>
              </w:rPr>
              <w:t>a)</w:t>
            </w:r>
          </w:p>
        </w:tc>
        <w:tc>
          <w:tcPr>
            <w:tcW w:w="6061" w:type="dxa"/>
          </w:tcPr>
          <w:p>
            <w:pPr>
              <w:pStyle w:val="GesAbsatz"/>
              <w:rPr>
                <w:sz w:val="18"/>
                <w:szCs w:val="18"/>
              </w:rPr>
            </w:pPr>
            <w:r>
              <w:rPr>
                <w:sz w:val="18"/>
                <w:szCs w:val="18"/>
              </w:rPr>
              <w:t>für den Fall, dass Techniken eingesetzt werden, die die Wiederverwendung/das Recycling zurückgewonnener Lösungsmittel ermöglichen,</w:t>
            </w:r>
          </w:p>
        </w:tc>
      </w:tr>
      <w:tr>
        <w:trPr>
          <w:cantSplit/>
          <w:trHeight w:val="218"/>
        </w:trPr>
        <w:tc>
          <w:tcPr>
            <w:tcW w:w="2835" w:type="dxa"/>
            <w:vMerge/>
          </w:tcPr>
          <w:p>
            <w:pPr>
              <w:pStyle w:val="GesAbsatz"/>
              <w:jc w:val="center"/>
              <w:rPr>
                <w:sz w:val="18"/>
                <w:szCs w:val="18"/>
              </w:rPr>
            </w:pPr>
          </w:p>
        </w:tc>
        <w:tc>
          <w:tcPr>
            <w:tcW w:w="426" w:type="dxa"/>
          </w:tcPr>
          <w:p>
            <w:pPr>
              <w:pStyle w:val="GesAbsatz"/>
              <w:rPr>
                <w:sz w:val="18"/>
                <w:szCs w:val="18"/>
                <w:vertAlign w:val="superscript"/>
              </w:rPr>
            </w:pPr>
          </w:p>
        </w:tc>
        <w:tc>
          <w:tcPr>
            <w:tcW w:w="425" w:type="dxa"/>
          </w:tcPr>
          <w:p>
            <w:pPr>
              <w:pStyle w:val="GesAbsatz"/>
              <w:rPr>
                <w:sz w:val="18"/>
                <w:szCs w:val="18"/>
              </w:rPr>
            </w:pPr>
            <w:r>
              <w:rPr>
                <w:sz w:val="18"/>
                <w:szCs w:val="18"/>
              </w:rPr>
              <w:t>b)</w:t>
            </w:r>
          </w:p>
        </w:tc>
        <w:tc>
          <w:tcPr>
            <w:tcW w:w="6061" w:type="dxa"/>
          </w:tcPr>
          <w:p>
            <w:pPr>
              <w:pStyle w:val="GesAbsatz"/>
              <w:rPr>
                <w:sz w:val="18"/>
                <w:szCs w:val="18"/>
              </w:rPr>
            </w:pPr>
            <w:r>
              <w:rPr>
                <w:sz w:val="18"/>
                <w:szCs w:val="18"/>
              </w:rPr>
              <w:t>für das Abgas des Konzentrators bei Verwendung einer Technik zur externen Aufkonzentrierung von Lösungsmitteln in den Abgasen durch Adsorption in Kombination einer Abgasreinigungseinrichtung.</w:t>
            </w:r>
          </w:p>
        </w:tc>
      </w:tr>
    </w:tbl>
    <w:p>
      <w:pPr>
        <w:pStyle w:val="GesAbsatz"/>
      </w:pPr>
      <w:r>
        <w:t>10.1.4</w:t>
      </w:r>
      <w:r>
        <w:tab/>
        <w:t>Emissionsgrenzwert für diffuse Emissionen bei Anlagen der Richtlinie 2010/75/EU</w:t>
      </w:r>
    </w:p>
    <w:p>
      <w:pPr>
        <w:pStyle w:val="GesAbsatz"/>
        <w:tabs>
          <w:tab w:val="clear" w:pos="425"/>
          <w:tab w:val="left" w:pos="1134"/>
        </w:tabs>
        <w:ind w:left="709"/>
        <w:rPr>
          <w:rFonts w:cs="Arial"/>
        </w:rPr>
      </w:pPr>
      <w:r>
        <w:rPr>
          <w:rFonts w:cs="Arial"/>
        </w:rPr>
        <w:t>Zusätzlich zu Nummer 10.1.3 gilt ein Emissionsgrenzwert für diffuse Emissionen:</w:t>
      </w:r>
    </w:p>
    <w:tbl>
      <w:tblPr>
        <w:tblW w:w="9747" w:type="dxa"/>
        <w:tblLayout w:type="fixed"/>
        <w:tblLook w:val="0000" w:firstRow="0" w:lastRow="0" w:firstColumn="0" w:lastColumn="0" w:noHBand="0" w:noVBand="0"/>
      </w:tblPr>
      <w:tblGrid>
        <w:gridCol w:w="2835"/>
        <w:gridCol w:w="426"/>
        <w:gridCol w:w="6486"/>
      </w:tblGrid>
      <w:tr>
        <w:trPr>
          <w:cantSplit/>
          <w:trHeight w:val="484"/>
        </w:trPr>
        <w:tc>
          <w:tcPr>
            <w:tcW w:w="2835" w:type="dxa"/>
            <w:tcBorders>
              <w:top w:val="single" w:sz="6" w:space="0" w:color="000000"/>
            </w:tcBorders>
          </w:tcPr>
          <w:p>
            <w:pPr>
              <w:pStyle w:val="GesAbsatz"/>
              <w:jc w:val="center"/>
              <w:rPr>
                <w:sz w:val="18"/>
                <w:szCs w:val="18"/>
              </w:rPr>
            </w:pPr>
            <w:r>
              <w:rPr>
                <w:sz w:val="18"/>
                <w:szCs w:val="18"/>
              </w:rPr>
              <w:t>Grenzwert (Jahresmittelwert)</w:t>
            </w:r>
            <w:r>
              <w:rPr>
                <w:sz w:val="18"/>
                <w:szCs w:val="18"/>
                <w:vertAlign w:val="superscript"/>
              </w:rPr>
              <w:t>1</w:t>
            </w:r>
            <w:r>
              <w:rPr>
                <w:sz w:val="18"/>
                <w:szCs w:val="18"/>
                <w:vertAlign w:val="superscript"/>
              </w:rPr>
              <w:br/>
            </w:r>
            <w:r>
              <w:rPr>
                <w:sz w:val="16"/>
                <w:szCs w:val="16"/>
              </w:rPr>
              <w:t>(% der eingesetzten Lösungsmittel)</w:t>
            </w:r>
          </w:p>
        </w:tc>
        <w:tc>
          <w:tcPr>
            <w:tcW w:w="6912" w:type="dxa"/>
            <w:gridSpan w:val="2"/>
            <w:tcBorders>
              <w:top w:val="single" w:sz="6" w:space="0" w:color="000000"/>
              <w:bottom w:val="single" w:sz="4" w:space="0" w:color="auto"/>
            </w:tcBorders>
          </w:tcPr>
          <w:p>
            <w:pPr>
              <w:pStyle w:val="GesAbsatz"/>
              <w:jc w:val="center"/>
              <w:rPr>
                <w:sz w:val="18"/>
                <w:szCs w:val="18"/>
              </w:rPr>
            </w:pPr>
            <w:r>
              <w:rPr>
                <w:sz w:val="18"/>
                <w:szCs w:val="18"/>
              </w:rPr>
              <w:t>Bemerkungen</w:t>
            </w:r>
          </w:p>
        </w:tc>
      </w:tr>
      <w:tr>
        <w:trPr>
          <w:cantSplit/>
          <w:trHeight w:val="218"/>
        </w:trPr>
        <w:tc>
          <w:tcPr>
            <w:tcW w:w="2835" w:type="dxa"/>
            <w:tcBorders>
              <w:top w:val="single" w:sz="4" w:space="0" w:color="auto"/>
            </w:tcBorders>
          </w:tcPr>
          <w:p>
            <w:pPr>
              <w:pStyle w:val="GesAbsatz"/>
              <w:jc w:val="center"/>
              <w:rPr>
                <w:sz w:val="18"/>
                <w:szCs w:val="18"/>
              </w:rPr>
            </w:pPr>
            <w:r>
              <w:rPr>
                <w:sz w:val="18"/>
                <w:szCs w:val="18"/>
              </w:rPr>
              <w:t>5</w:t>
            </w:r>
          </w:p>
        </w:tc>
        <w:tc>
          <w:tcPr>
            <w:tcW w:w="426" w:type="dxa"/>
            <w:tcBorders>
              <w:top w:val="single" w:sz="4" w:space="0" w:color="auto"/>
            </w:tcBorders>
          </w:tcPr>
          <w:p>
            <w:pPr>
              <w:pStyle w:val="GesAbsatz"/>
              <w:jc w:val="right"/>
              <w:rPr>
                <w:sz w:val="18"/>
                <w:szCs w:val="18"/>
              </w:rPr>
            </w:pPr>
            <w:r>
              <w:rPr>
                <w:sz w:val="18"/>
                <w:szCs w:val="18"/>
                <w:vertAlign w:val="superscript"/>
              </w:rPr>
              <w:t>1</w:t>
            </w:r>
          </w:p>
        </w:tc>
        <w:tc>
          <w:tcPr>
            <w:tcW w:w="6486" w:type="dxa"/>
            <w:tcBorders>
              <w:top w:val="single" w:sz="4" w:space="0" w:color="auto"/>
            </w:tcBorders>
          </w:tcPr>
          <w:p>
            <w:pPr>
              <w:pStyle w:val="GesAbsatz"/>
              <w:rPr>
                <w:sz w:val="18"/>
                <w:szCs w:val="18"/>
              </w:rPr>
            </w:pPr>
            <w:r>
              <w:rPr>
                <w:sz w:val="18"/>
                <w:szCs w:val="18"/>
              </w:rPr>
              <w:t>Flüchtige organische Verbindungen, die in gefassten unbehandelten Abgasen enthalten sind, zählen zu den diffusen Emissionen.</w:t>
            </w:r>
          </w:p>
        </w:tc>
      </w:tr>
    </w:tbl>
    <w:p>
      <w:pPr>
        <w:pStyle w:val="GesAbsatz"/>
        <w:tabs>
          <w:tab w:val="clear" w:pos="425"/>
          <w:tab w:val="left" w:pos="709"/>
        </w:tabs>
        <w:rPr>
          <w:b/>
          <w:bCs/>
        </w:rPr>
      </w:pPr>
      <w:r>
        <w:rPr>
          <w:b/>
          <w:bCs/>
        </w:rPr>
        <w:t>11.</w:t>
      </w:r>
      <w:r>
        <w:rPr>
          <w:b/>
          <w:bCs/>
        </w:rPr>
        <w:tab/>
        <w:t>Beschichten von Leder</w:t>
      </w:r>
    </w:p>
    <w:p>
      <w:pPr>
        <w:pStyle w:val="GesAbsatz"/>
        <w:tabs>
          <w:tab w:val="clear" w:pos="425"/>
          <w:tab w:val="left" w:pos="709"/>
        </w:tabs>
        <w:rPr>
          <w:bCs/>
        </w:rPr>
      </w:pPr>
      <w:r>
        <w:rPr>
          <w:bCs/>
        </w:rPr>
        <w:t>11.1</w:t>
      </w:r>
      <w:r>
        <w:rPr>
          <w:bCs/>
        </w:rPr>
        <w:tab/>
        <w:t>Anlagen zum Beschichten von Leder</w:t>
      </w:r>
    </w:p>
    <w:p>
      <w:pPr>
        <w:pStyle w:val="GesAbsatz"/>
        <w:tabs>
          <w:tab w:val="clear" w:pos="425"/>
          <w:tab w:val="left" w:pos="709"/>
        </w:tabs>
      </w:pPr>
      <w:r>
        <w:rPr>
          <w:rFonts w:cs="Arial"/>
        </w:rPr>
        <w:t>11.1.1</w:t>
      </w:r>
      <w:r>
        <w:rPr>
          <w:rFonts w:cs="Arial"/>
        </w:rPr>
        <w:tab/>
        <w:t>Grenzwerte für die Gesamtemissionen</w:t>
      </w:r>
    </w:p>
    <w:tbl>
      <w:tblPr>
        <w:tblW w:w="10124" w:type="dxa"/>
        <w:tblLayout w:type="fixed"/>
        <w:tblLook w:val="0000" w:firstRow="0" w:lastRow="0" w:firstColumn="0" w:lastColumn="0" w:noHBand="0" w:noVBand="0"/>
      </w:tblPr>
      <w:tblGrid>
        <w:gridCol w:w="1526"/>
        <w:gridCol w:w="1876"/>
        <w:gridCol w:w="236"/>
        <w:gridCol w:w="6109"/>
        <w:gridCol w:w="377"/>
      </w:tblGrid>
      <w:tr>
        <w:trPr>
          <w:gridAfter w:val="1"/>
          <w:wAfter w:w="377" w:type="dxa"/>
          <w:cantSplit/>
          <w:trHeight w:val="484"/>
        </w:trPr>
        <w:tc>
          <w:tcPr>
            <w:tcW w:w="3402" w:type="dxa"/>
            <w:gridSpan w:val="2"/>
            <w:tcBorders>
              <w:top w:val="single" w:sz="6" w:space="0" w:color="000000"/>
            </w:tcBorders>
          </w:tcPr>
          <w:p>
            <w:pPr>
              <w:pStyle w:val="GesAbsatz"/>
              <w:jc w:val="center"/>
              <w:rPr>
                <w:rFonts w:cs="Arial"/>
                <w:sz w:val="18"/>
                <w:szCs w:val="18"/>
              </w:rPr>
            </w:pPr>
            <w:r>
              <w:rPr>
                <w:rFonts w:cs="Arial"/>
                <w:sz w:val="18"/>
                <w:szCs w:val="18"/>
              </w:rPr>
              <w:t>Gesamtemissionsgrenzwert (g/m</w:t>
            </w:r>
            <w:r>
              <w:rPr>
                <w:rFonts w:cs="Arial"/>
                <w:sz w:val="18"/>
                <w:szCs w:val="18"/>
                <w:vertAlign w:val="superscript"/>
              </w:rPr>
              <w:t>2</w:t>
            </w:r>
            <w:r>
              <w:rPr>
                <w:rFonts w:cs="Arial"/>
                <w:sz w:val="18"/>
                <w:szCs w:val="18"/>
              </w:rPr>
              <w:t xml:space="preserve">) </w:t>
            </w:r>
            <w:r>
              <w:rPr>
                <w:rFonts w:cs="Arial"/>
                <w:sz w:val="18"/>
                <w:szCs w:val="18"/>
              </w:rPr>
              <w:br/>
              <w:t>Lösungsmittelverbrauch (t/a)</w:t>
            </w:r>
          </w:p>
        </w:tc>
        <w:tc>
          <w:tcPr>
            <w:tcW w:w="6345" w:type="dxa"/>
            <w:gridSpan w:val="2"/>
            <w:vMerge w:val="restart"/>
            <w:tcBorders>
              <w:top w:val="single" w:sz="6" w:space="0" w:color="000000"/>
              <w:bottom w:val="single" w:sz="4" w:space="0" w:color="auto"/>
            </w:tcBorders>
            <w:vAlign w:val="center"/>
          </w:tcPr>
          <w:p>
            <w:pPr>
              <w:pStyle w:val="GesAbsatz"/>
              <w:jc w:val="center"/>
              <w:rPr>
                <w:rFonts w:cs="Arial"/>
                <w:sz w:val="18"/>
                <w:szCs w:val="18"/>
              </w:rPr>
            </w:pPr>
            <w:r>
              <w:rPr>
                <w:rFonts w:cs="Arial"/>
                <w:sz w:val="18"/>
                <w:szCs w:val="18"/>
              </w:rPr>
              <w:t>Bemerkungen</w:t>
            </w:r>
          </w:p>
        </w:tc>
      </w:tr>
      <w:tr>
        <w:trPr>
          <w:gridAfter w:val="1"/>
          <w:wAfter w:w="377" w:type="dxa"/>
          <w:cantSplit/>
          <w:trHeight w:val="182"/>
        </w:trPr>
        <w:tc>
          <w:tcPr>
            <w:tcW w:w="1526" w:type="dxa"/>
            <w:tcBorders>
              <w:bottom w:val="single" w:sz="4" w:space="0" w:color="auto"/>
            </w:tcBorders>
          </w:tcPr>
          <w:p>
            <w:pPr>
              <w:pStyle w:val="GesAbsatz"/>
              <w:jc w:val="center"/>
              <w:rPr>
                <w:rFonts w:cs="Arial"/>
                <w:sz w:val="18"/>
                <w:szCs w:val="18"/>
              </w:rPr>
            </w:pPr>
            <w:r>
              <w:rPr>
                <w:rFonts w:cs="Arial"/>
                <w:sz w:val="18"/>
                <w:szCs w:val="18"/>
              </w:rPr>
              <w:t>&gt; 10 – 25</w:t>
            </w:r>
          </w:p>
        </w:tc>
        <w:tc>
          <w:tcPr>
            <w:tcW w:w="1876" w:type="dxa"/>
            <w:tcBorders>
              <w:bottom w:val="single" w:sz="4" w:space="0" w:color="auto"/>
            </w:tcBorders>
          </w:tcPr>
          <w:p>
            <w:pPr>
              <w:pStyle w:val="GesAbsatz"/>
              <w:jc w:val="center"/>
              <w:rPr>
                <w:rFonts w:cs="Arial"/>
                <w:sz w:val="18"/>
                <w:szCs w:val="18"/>
              </w:rPr>
            </w:pPr>
            <w:r>
              <w:rPr>
                <w:rFonts w:cs="Arial"/>
                <w:sz w:val="18"/>
                <w:szCs w:val="18"/>
              </w:rPr>
              <w:t>&gt; 25</w:t>
            </w:r>
          </w:p>
        </w:tc>
        <w:tc>
          <w:tcPr>
            <w:tcW w:w="6345" w:type="dxa"/>
            <w:gridSpan w:val="2"/>
            <w:vMerge/>
            <w:tcBorders>
              <w:bottom w:val="single" w:sz="4" w:space="0" w:color="auto"/>
            </w:tcBorders>
          </w:tcPr>
          <w:p>
            <w:pPr>
              <w:pStyle w:val="GesAbsatz"/>
              <w:rPr>
                <w:rFonts w:cs="Arial"/>
                <w:sz w:val="18"/>
                <w:szCs w:val="18"/>
              </w:rPr>
            </w:pPr>
          </w:p>
        </w:tc>
      </w:tr>
      <w:tr>
        <w:trPr>
          <w:cantSplit/>
          <w:trHeight w:val="218"/>
        </w:trPr>
        <w:tc>
          <w:tcPr>
            <w:tcW w:w="1526" w:type="dxa"/>
            <w:tcBorders>
              <w:top w:val="single" w:sz="4" w:space="0" w:color="auto"/>
            </w:tcBorders>
          </w:tcPr>
          <w:p>
            <w:pPr>
              <w:pStyle w:val="GesAbsatz"/>
              <w:jc w:val="center"/>
              <w:rPr>
                <w:rFonts w:cs="Arial"/>
                <w:sz w:val="18"/>
                <w:szCs w:val="18"/>
                <w:vertAlign w:val="superscript"/>
              </w:rPr>
            </w:pPr>
            <w:r>
              <w:rPr>
                <w:rFonts w:cs="Arial"/>
                <w:sz w:val="18"/>
                <w:szCs w:val="18"/>
              </w:rPr>
              <w:t>85</w:t>
            </w:r>
            <w:r>
              <w:rPr>
                <w:rFonts w:cs="Arial"/>
                <w:sz w:val="18"/>
                <w:szCs w:val="18"/>
              </w:rPr>
              <w:br/>
              <w:t>150</w:t>
            </w:r>
            <w:r>
              <w:rPr>
                <w:rFonts w:cs="Arial"/>
                <w:sz w:val="18"/>
                <w:szCs w:val="18"/>
                <w:vertAlign w:val="superscript"/>
              </w:rPr>
              <w:t>1</w:t>
            </w:r>
          </w:p>
        </w:tc>
        <w:tc>
          <w:tcPr>
            <w:tcW w:w="1876" w:type="dxa"/>
            <w:tcBorders>
              <w:top w:val="single" w:sz="4" w:space="0" w:color="auto"/>
            </w:tcBorders>
          </w:tcPr>
          <w:p>
            <w:pPr>
              <w:pStyle w:val="GesAbsatz"/>
              <w:jc w:val="center"/>
              <w:rPr>
                <w:rFonts w:cs="Arial"/>
                <w:sz w:val="18"/>
                <w:szCs w:val="18"/>
                <w:vertAlign w:val="superscript"/>
              </w:rPr>
            </w:pPr>
            <w:r>
              <w:rPr>
                <w:rFonts w:cs="Arial"/>
                <w:sz w:val="18"/>
                <w:szCs w:val="18"/>
              </w:rPr>
              <w:t>75</w:t>
            </w:r>
            <w:r>
              <w:rPr>
                <w:rFonts w:cs="Arial"/>
                <w:sz w:val="18"/>
                <w:szCs w:val="18"/>
              </w:rPr>
              <w:br/>
              <w:t>150</w:t>
            </w:r>
            <w:r>
              <w:rPr>
                <w:rFonts w:cs="Arial"/>
                <w:sz w:val="18"/>
                <w:szCs w:val="18"/>
                <w:vertAlign w:val="superscript"/>
              </w:rPr>
              <w:t>1</w:t>
            </w:r>
          </w:p>
        </w:tc>
        <w:tc>
          <w:tcPr>
            <w:tcW w:w="236" w:type="dxa"/>
            <w:tcBorders>
              <w:top w:val="single" w:sz="4" w:space="0" w:color="auto"/>
            </w:tcBorders>
          </w:tcPr>
          <w:p>
            <w:pPr>
              <w:pStyle w:val="GesAbsatz"/>
              <w:rPr>
                <w:rFonts w:cs="Arial"/>
                <w:sz w:val="18"/>
                <w:szCs w:val="18"/>
              </w:rPr>
            </w:pPr>
            <w:r>
              <w:rPr>
                <w:rFonts w:cs="Arial"/>
                <w:sz w:val="18"/>
                <w:szCs w:val="18"/>
                <w:vertAlign w:val="superscript"/>
              </w:rPr>
              <w:t>1</w:t>
            </w:r>
          </w:p>
        </w:tc>
        <w:tc>
          <w:tcPr>
            <w:tcW w:w="6486" w:type="dxa"/>
            <w:gridSpan w:val="2"/>
            <w:tcBorders>
              <w:top w:val="single" w:sz="4" w:space="0" w:color="auto"/>
            </w:tcBorders>
          </w:tcPr>
          <w:p>
            <w:pPr>
              <w:pStyle w:val="GesAbsatz"/>
              <w:rPr>
                <w:rFonts w:cs="Arial"/>
                <w:sz w:val="18"/>
                <w:szCs w:val="18"/>
              </w:rPr>
            </w:pPr>
            <w:r>
              <w:rPr>
                <w:rFonts w:cs="Arial"/>
                <w:sz w:val="18"/>
                <w:szCs w:val="18"/>
              </w:rPr>
              <w:t>Für die Beschichtung von besonderen Lederwaren, die als kleinere Konsumgüter verwendet werden, wie Taschen, Gürtel, Brieftaschen und ähnliche Lederwaren, sowie für die Beschichtung von hochwertigen Polsterledern. Sofern dem Stand der Technik ein strengerer Wert entspricht, ist dieser einzuhalten.</w:t>
            </w:r>
          </w:p>
        </w:tc>
      </w:tr>
    </w:tbl>
    <w:p>
      <w:pPr>
        <w:pStyle w:val="GesAbsatz"/>
        <w:tabs>
          <w:tab w:val="clear" w:pos="425"/>
          <w:tab w:val="left" w:pos="709"/>
        </w:tabs>
        <w:rPr>
          <w:rFonts w:cs="Arial"/>
          <w:color w:val="auto"/>
        </w:rPr>
      </w:pPr>
      <w:r>
        <w:rPr>
          <w:rFonts w:cs="Arial"/>
          <w:color w:val="auto"/>
        </w:rPr>
        <w:t>11.1.2</w:t>
      </w:r>
      <w:r>
        <w:rPr>
          <w:rFonts w:cs="Arial"/>
          <w:color w:val="auto"/>
        </w:rPr>
        <w:tab/>
        <w:t>Besondere Anforderungen</w:t>
      </w:r>
    </w:p>
    <w:p>
      <w:pPr>
        <w:pStyle w:val="GesAbsatz"/>
        <w:tabs>
          <w:tab w:val="clear" w:pos="425"/>
          <w:tab w:val="left" w:pos="709"/>
        </w:tabs>
        <w:ind w:left="709"/>
        <w:rPr>
          <w:rFonts w:cs="Arial"/>
          <w:color w:val="auto"/>
        </w:rPr>
      </w:pPr>
      <w:r>
        <w:rPr>
          <w:rFonts w:cs="Arial"/>
          <w:color w:val="auto"/>
        </w:rPr>
        <w:t>Anlagen der Nummer 6.3 des Anhangs I der Richtlinie 2010/75/EU mit einem Lösungsmittelverbrauch von 10 Tonnen oder mehr haben einen Gesamtemissionsgrenzwert von 23 g C/m</w:t>
      </w:r>
      <w:r>
        <w:rPr>
          <w:rFonts w:cs="Arial"/>
          <w:color w:val="auto"/>
          <w:vertAlign w:val="superscript"/>
        </w:rPr>
        <w:t>2</w:t>
      </w:r>
      <w:r>
        <w:rPr>
          <w:rFonts w:cs="Arial"/>
          <w:color w:val="auto"/>
        </w:rPr>
        <w:t xml:space="preserve"> einzuhalten.</w:t>
      </w:r>
    </w:p>
    <w:p>
      <w:pPr>
        <w:pStyle w:val="GesAbsatz"/>
        <w:tabs>
          <w:tab w:val="clear" w:pos="425"/>
          <w:tab w:val="left" w:pos="709"/>
        </w:tabs>
        <w:ind w:left="709" w:hanging="709"/>
        <w:rPr>
          <w:b/>
          <w:bCs/>
        </w:rPr>
      </w:pPr>
      <w:r>
        <w:rPr>
          <w:b/>
          <w:bCs/>
        </w:rPr>
        <w:t>12.</w:t>
      </w:r>
      <w:r>
        <w:rPr>
          <w:b/>
          <w:bCs/>
        </w:rPr>
        <w:tab/>
        <w:t>Holzimprägnierung</w:t>
      </w:r>
    </w:p>
    <w:p>
      <w:pPr>
        <w:pStyle w:val="GesAbsatz"/>
        <w:tabs>
          <w:tab w:val="clear" w:pos="425"/>
          <w:tab w:val="left" w:pos="709"/>
        </w:tabs>
        <w:ind w:left="709" w:hanging="709"/>
        <w:jc w:val="left"/>
        <w:rPr>
          <w:b/>
          <w:bCs/>
        </w:rPr>
      </w:pPr>
      <w:r>
        <w:rPr>
          <w:b/>
          <w:bCs/>
        </w:rPr>
        <w:t>12.1</w:t>
      </w:r>
      <w:r>
        <w:rPr>
          <w:b/>
          <w:bCs/>
        </w:rPr>
        <w:tab/>
        <w:t>Anlagen zum Imprägnieren von Holz unter Verwendung von lösungsmittelhaltigen Holzschutzmitteln</w:t>
      </w:r>
    </w:p>
    <w:p>
      <w:pPr>
        <w:pStyle w:val="GesAbsatz"/>
        <w:tabs>
          <w:tab w:val="clear" w:pos="425"/>
          <w:tab w:val="left" w:pos="709"/>
        </w:tabs>
        <w:ind w:left="709" w:hanging="709"/>
      </w:pPr>
      <w:r>
        <w:rPr>
          <w:rFonts w:cs="Arial"/>
        </w:rPr>
        <w:t>12.1.1</w:t>
      </w:r>
      <w:r>
        <w:rPr>
          <w:rFonts w:cs="Arial"/>
        </w:rPr>
        <w:tab/>
        <w:t>Grenzwert für die Gesamtemissionen</w:t>
      </w:r>
    </w:p>
    <w:tbl>
      <w:tblPr>
        <w:tblW w:w="9747" w:type="dxa"/>
        <w:tblLayout w:type="fixed"/>
        <w:tblLook w:val="0000" w:firstRow="0" w:lastRow="0" w:firstColumn="0" w:lastColumn="0" w:noHBand="0" w:noVBand="0"/>
      </w:tblPr>
      <w:tblGrid>
        <w:gridCol w:w="2835"/>
        <w:gridCol w:w="426"/>
        <w:gridCol w:w="6486"/>
      </w:tblGrid>
      <w:tr>
        <w:trPr>
          <w:cantSplit/>
          <w:trHeight w:val="484"/>
        </w:trPr>
        <w:tc>
          <w:tcPr>
            <w:tcW w:w="2835" w:type="dxa"/>
            <w:tcBorders>
              <w:top w:val="single" w:sz="6" w:space="0" w:color="000000"/>
            </w:tcBorders>
          </w:tcPr>
          <w:p>
            <w:pPr>
              <w:pStyle w:val="GesAbsatz"/>
              <w:jc w:val="center"/>
              <w:rPr>
                <w:rFonts w:cs="Arial"/>
                <w:sz w:val="18"/>
                <w:szCs w:val="18"/>
                <w:vertAlign w:val="superscript"/>
              </w:rPr>
            </w:pPr>
            <w:r>
              <w:rPr>
                <w:rFonts w:cs="Arial"/>
                <w:sz w:val="18"/>
                <w:szCs w:val="18"/>
              </w:rPr>
              <w:t>Gesamtemissionsgrenzwert (kg/m</w:t>
            </w:r>
            <w:r>
              <w:rPr>
                <w:rFonts w:cs="Arial"/>
                <w:sz w:val="18"/>
                <w:szCs w:val="18"/>
                <w:vertAlign w:val="superscript"/>
              </w:rPr>
              <w:t>3</w:t>
            </w:r>
            <w:r>
              <w:rPr>
                <w:rFonts w:cs="Arial"/>
                <w:sz w:val="18"/>
                <w:szCs w:val="18"/>
              </w:rPr>
              <w:t>)</w:t>
            </w:r>
            <w:r>
              <w:rPr>
                <w:rFonts w:cs="Arial"/>
                <w:sz w:val="18"/>
                <w:szCs w:val="18"/>
                <w:vertAlign w:val="superscript"/>
              </w:rPr>
              <w:t>1</w:t>
            </w:r>
          </w:p>
        </w:tc>
        <w:tc>
          <w:tcPr>
            <w:tcW w:w="6912" w:type="dxa"/>
            <w:gridSpan w:val="2"/>
            <w:tcBorders>
              <w:top w:val="single" w:sz="6" w:space="0" w:color="000000"/>
              <w:bottom w:val="single" w:sz="4" w:space="0" w:color="auto"/>
            </w:tcBorders>
          </w:tcPr>
          <w:p>
            <w:pPr>
              <w:pStyle w:val="GesAbsatz"/>
              <w:jc w:val="center"/>
              <w:rPr>
                <w:rFonts w:cs="Arial"/>
                <w:sz w:val="18"/>
                <w:szCs w:val="18"/>
              </w:rPr>
            </w:pPr>
            <w:r>
              <w:rPr>
                <w:rFonts w:cs="Arial"/>
                <w:sz w:val="18"/>
                <w:szCs w:val="18"/>
              </w:rPr>
              <w:t>Bemerkungen</w:t>
            </w:r>
          </w:p>
        </w:tc>
      </w:tr>
      <w:tr>
        <w:trPr>
          <w:cantSplit/>
          <w:trHeight w:val="218"/>
        </w:trPr>
        <w:tc>
          <w:tcPr>
            <w:tcW w:w="2835" w:type="dxa"/>
            <w:tcBorders>
              <w:top w:val="single" w:sz="4" w:space="0" w:color="auto"/>
            </w:tcBorders>
          </w:tcPr>
          <w:p>
            <w:pPr>
              <w:pStyle w:val="GesAbsatz"/>
              <w:jc w:val="center"/>
              <w:rPr>
                <w:rFonts w:cs="Arial"/>
                <w:sz w:val="18"/>
                <w:szCs w:val="18"/>
              </w:rPr>
            </w:pPr>
            <w:r>
              <w:rPr>
                <w:rFonts w:cs="Arial"/>
                <w:sz w:val="18"/>
                <w:szCs w:val="18"/>
              </w:rPr>
              <w:t>11</w:t>
            </w:r>
          </w:p>
        </w:tc>
        <w:tc>
          <w:tcPr>
            <w:tcW w:w="426" w:type="dxa"/>
            <w:tcBorders>
              <w:top w:val="single" w:sz="4" w:space="0" w:color="auto"/>
            </w:tcBorders>
          </w:tcPr>
          <w:p>
            <w:pPr>
              <w:pStyle w:val="GesAbsatz"/>
              <w:jc w:val="right"/>
              <w:rPr>
                <w:rFonts w:cs="Arial"/>
                <w:sz w:val="18"/>
                <w:szCs w:val="18"/>
              </w:rPr>
            </w:pPr>
            <w:r>
              <w:rPr>
                <w:rFonts w:cs="Arial"/>
                <w:sz w:val="18"/>
                <w:szCs w:val="18"/>
                <w:vertAlign w:val="superscript"/>
              </w:rPr>
              <w:t>1</w:t>
            </w:r>
          </w:p>
        </w:tc>
        <w:tc>
          <w:tcPr>
            <w:tcW w:w="6486" w:type="dxa"/>
            <w:tcBorders>
              <w:top w:val="single" w:sz="4" w:space="0" w:color="auto"/>
            </w:tcBorders>
          </w:tcPr>
          <w:p>
            <w:pPr>
              <w:pStyle w:val="GesAbsatz"/>
              <w:rPr>
                <w:rFonts w:cs="Arial"/>
                <w:sz w:val="18"/>
                <w:szCs w:val="18"/>
              </w:rPr>
            </w:pPr>
            <w:r>
              <w:rPr>
                <w:rFonts w:cs="Arial"/>
                <w:sz w:val="18"/>
                <w:szCs w:val="18"/>
              </w:rPr>
              <w:t>Angegeben in Kilogramm emittierter flüchtiger organischer Verbindungen je Kubikmeter imprägnierten Holzes.</w:t>
            </w:r>
          </w:p>
        </w:tc>
      </w:tr>
    </w:tbl>
    <w:p>
      <w:pPr>
        <w:pStyle w:val="GesAbsatz"/>
        <w:tabs>
          <w:tab w:val="clear" w:pos="425"/>
          <w:tab w:val="left" w:pos="709"/>
        </w:tabs>
      </w:pPr>
      <w:r>
        <w:t>12.1.2</w:t>
      </w:r>
      <w:r>
        <w:tab/>
        <w:t>Emissionsgrenzwert für gefasste Abgase</w:t>
      </w:r>
    </w:p>
    <w:tbl>
      <w:tblPr>
        <w:tblW w:w="9889" w:type="dxa"/>
        <w:tblLook w:val="0000" w:firstRow="0" w:lastRow="0" w:firstColumn="0" w:lastColumn="0" w:noHBand="0" w:noVBand="0"/>
      </w:tblPr>
      <w:tblGrid>
        <w:gridCol w:w="2835"/>
        <w:gridCol w:w="7054"/>
      </w:tblGrid>
      <w:tr>
        <w:trPr>
          <w:trHeight w:val="208"/>
        </w:trPr>
        <w:tc>
          <w:tcPr>
            <w:tcW w:w="2835" w:type="dxa"/>
            <w:tcBorders>
              <w:top w:val="single" w:sz="6" w:space="0" w:color="000000"/>
              <w:bottom w:val="single" w:sz="6" w:space="0" w:color="000000"/>
            </w:tcBorders>
            <w:vAlign w:val="center"/>
          </w:tcPr>
          <w:p>
            <w:pPr>
              <w:pStyle w:val="GesAbsatz"/>
              <w:jc w:val="center"/>
              <w:rPr>
                <w:sz w:val="18"/>
                <w:szCs w:val="18"/>
              </w:rPr>
            </w:pPr>
            <w:r>
              <w:rPr>
                <w:sz w:val="18"/>
                <w:szCs w:val="18"/>
              </w:rPr>
              <w:t xml:space="preserve">Emissionsgrenzwert </w:t>
            </w:r>
            <w:r>
              <w:rPr>
                <w:sz w:val="18"/>
                <w:szCs w:val="18"/>
              </w:rPr>
              <w:br/>
              <w:t>(mg/C m³)</w:t>
            </w:r>
          </w:p>
        </w:tc>
        <w:tc>
          <w:tcPr>
            <w:tcW w:w="7054" w:type="dxa"/>
            <w:tcBorders>
              <w:top w:val="single" w:sz="6" w:space="0" w:color="000000"/>
              <w:bottom w:val="single" w:sz="6" w:space="0" w:color="000000"/>
            </w:tcBorders>
            <w:vAlign w:val="center"/>
          </w:tcPr>
          <w:p>
            <w:pPr>
              <w:pStyle w:val="GesAbsatz"/>
              <w:jc w:val="center"/>
              <w:rPr>
                <w:sz w:val="18"/>
                <w:szCs w:val="18"/>
              </w:rPr>
            </w:pPr>
            <w:r>
              <w:rPr>
                <w:sz w:val="18"/>
                <w:szCs w:val="18"/>
              </w:rPr>
              <w:t>Bemerkungen</w:t>
            </w:r>
          </w:p>
        </w:tc>
      </w:tr>
      <w:tr>
        <w:trPr>
          <w:trHeight w:val="220"/>
        </w:trPr>
        <w:tc>
          <w:tcPr>
            <w:tcW w:w="2835" w:type="dxa"/>
            <w:tcBorders>
              <w:top w:val="single" w:sz="6" w:space="0" w:color="000000"/>
            </w:tcBorders>
            <w:vAlign w:val="bottom"/>
          </w:tcPr>
          <w:p>
            <w:pPr>
              <w:pStyle w:val="GesAbsatz"/>
              <w:jc w:val="center"/>
              <w:rPr>
                <w:sz w:val="18"/>
                <w:szCs w:val="18"/>
              </w:rPr>
            </w:pPr>
            <w:r>
              <w:rPr>
                <w:sz w:val="18"/>
                <w:szCs w:val="18"/>
              </w:rPr>
              <w:t>20</w:t>
            </w:r>
          </w:p>
        </w:tc>
        <w:tc>
          <w:tcPr>
            <w:tcW w:w="7054" w:type="dxa"/>
            <w:tcBorders>
              <w:top w:val="single" w:sz="6" w:space="0" w:color="000000"/>
            </w:tcBorders>
          </w:tcPr>
          <w:p>
            <w:pPr>
              <w:pStyle w:val="GesAbsatz"/>
              <w:rPr>
                <w:color w:val="auto"/>
                <w:sz w:val="18"/>
                <w:szCs w:val="18"/>
              </w:rPr>
            </w:pPr>
          </w:p>
        </w:tc>
      </w:tr>
    </w:tbl>
    <w:p>
      <w:pPr>
        <w:pStyle w:val="GesAbsatz"/>
        <w:tabs>
          <w:tab w:val="clear" w:pos="425"/>
          <w:tab w:val="left" w:pos="709"/>
        </w:tabs>
        <w:ind w:left="709" w:hanging="709"/>
      </w:pPr>
      <w:r>
        <w:lastRenderedPageBreak/>
        <w:t>12.1.3</w:t>
      </w:r>
      <w:r>
        <w:tab/>
        <w:t>Grenzwert für diffuse Emissionen</w:t>
      </w:r>
    </w:p>
    <w:p>
      <w:pPr>
        <w:pStyle w:val="GesAbsatz"/>
        <w:tabs>
          <w:tab w:val="clear" w:pos="425"/>
          <w:tab w:val="left" w:pos="709"/>
        </w:tabs>
        <w:ind w:left="709"/>
      </w:pPr>
      <w:r>
        <w:t>Der Grenzwert für diffuse Emissionen beträgt 35 Prozent der eingesetzten Lösungsmittel.</w:t>
      </w:r>
    </w:p>
    <w:p>
      <w:pPr>
        <w:pStyle w:val="GesAbsatz"/>
        <w:tabs>
          <w:tab w:val="clear" w:pos="425"/>
          <w:tab w:val="left" w:pos="709"/>
        </w:tabs>
        <w:ind w:left="709" w:hanging="709"/>
        <w:rPr>
          <w:rFonts w:cs="Arial"/>
        </w:rPr>
      </w:pPr>
      <w:r>
        <w:rPr>
          <w:rFonts w:cs="Arial"/>
        </w:rPr>
        <w:t>12.1.4</w:t>
      </w:r>
      <w:r>
        <w:rPr>
          <w:rFonts w:cs="Arial"/>
        </w:rPr>
        <w:tab/>
        <w:t>Besondere Anforderungen</w:t>
      </w:r>
    </w:p>
    <w:p>
      <w:pPr>
        <w:pStyle w:val="GesAbsatz"/>
        <w:tabs>
          <w:tab w:val="clear" w:pos="425"/>
          <w:tab w:val="left" w:pos="709"/>
        </w:tabs>
        <w:ind w:left="709"/>
        <w:rPr>
          <w:rFonts w:cs="Arial"/>
        </w:rPr>
      </w:pPr>
      <w:r>
        <w:rPr>
          <w:rFonts w:cs="Arial"/>
        </w:rPr>
        <w:t>Der Grenzwert für die Gesamtemissionen an flüchtigen organischen Verbindungen nach Nummer 12.1.1 gilt alternativ zum Emissionsgrenzwert für gefasste Abgase nach Nummer 12.1.2 und zum Grenzwert für diffuse Emissionen nach Nummer 12.1.3. Bei genehmigungsbedürftigen Anlagen gelten aus Vorsorgegründen zusätzlich zum Gesamtemissionsgrenzwert nach Nummer 12.1.1 die Anforderungen nach Nummer 12.1.2 für gefasste behandelte Abgase; die Anwendung des Standes der Technik auf alle gefassten Abgase wird hierbei vorausgesetzt.</w:t>
      </w:r>
    </w:p>
    <w:p>
      <w:pPr>
        <w:pStyle w:val="GesAbsatz"/>
        <w:tabs>
          <w:tab w:val="clear" w:pos="425"/>
          <w:tab w:val="left" w:pos="709"/>
        </w:tabs>
        <w:ind w:left="709" w:hanging="709"/>
        <w:rPr>
          <w:rFonts w:cs="Arial"/>
          <w:b/>
        </w:rPr>
      </w:pPr>
      <w:r>
        <w:rPr>
          <w:rFonts w:cs="Arial"/>
          <w:b/>
        </w:rPr>
        <w:t>12.2</w:t>
      </w:r>
      <w:r>
        <w:rPr>
          <w:rFonts w:cs="Arial"/>
          <w:b/>
        </w:rPr>
        <w:tab/>
        <w:t>Anlagen zum Imprägnieren von Holz unter Verwendung von Teerölen (Kreosote)</w:t>
      </w:r>
    </w:p>
    <w:p>
      <w:pPr>
        <w:pStyle w:val="GesAbsatz"/>
        <w:tabs>
          <w:tab w:val="clear" w:pos="425"/>
          <w:tab w:val="left" w:pos="709"/>
        </w:tabs>
        <w:ind w:left="709" w:hanging="709"/>
        <w:rPr>
          <w:rFonts w:cs="Arial"/>
        </w:rPr>
      </w:pPr>
      <w:r>
        <w:rPr>
          <w:rFonts w:cs="Arial"/>
        </w:rPr>
        <w:t>12.2.1</w:t>
      </w:r>
      <w:r>
        <w:rPr>
          <w:rFonts w:cs="Arial"/>
        </w:rPr>
        <w:tab/>
        <w:t>Grenzwerte für die Gesamtemissionen</w:t>
      </w:r>
    </w:p>
    <w:tbl>
      <w:tblPr>
        <w:tblW w:w="10124" w:type="dxa"/>
        <w:tblLayout w:type="fixed"/>
        <w:tblLook w:val="0000" w:firstRow="0" w:lastRow="0" w:firstColumn="0" w:lastColumn="0" w:noHBand="0" w:noVBand="0"/>
      </w:tblPr>
      <w:tblGrid>
        <w:gridCol w:w="1526"/>
        <w:gridCol w:w="1876"/>
        <w:gridCol w:w="236"/>
        <w:gridCol w:w="6109"/>
        <w:gridCol w:w="377"/>
      </w:tblGrid>
      <w:tr>
        <w:trPr>
          <w:gridAfter w:val="1"/>
          <w:wAfter w:w="377" w:type="dxa"/>
          <w:cantSplit/>
          <w:trHeight w:val="484"/>
        </w:trPr>
        <w:tc>
          <w:tcPr>
            <w:tcW w:w="3402" w:type="dxa"/>
            <w:gridSpan w:val="2"/>
            <w:tcBorders>
              <w:top w:val="single" w:sz="6" w:space="0" w:color="000000"/>
            </w:tcBorders>
          </w:tcPr>
          <w:p>
            <w:pPr>
              <w:pStyle w:val="GesAbsatz"/>
              <w:jc w:val="center"/>
              <w:rPr>
                <w:rFonts w:cs="Arial"/>
                <w:sz w:val="18"/>
                <w:szCs w:val="18"/>
              </w:rPr>
            </w:pPr>
            <w:r>
              <w:rPr>
                <w:rFonts w:cs="Arial"/>
                <w:sz w:val="18"/>
                <w:szCs w:val="18"/>
              </w:rPr>
              <w:t>Gesamtemissionsgrenzwert (kg/m</w:t>
            </w:r>
            <w:r>
              <w:rPr>
                <w:rFonts w:cs="Arial"/>
                <w:sz w:val="18"/>
                <w:szCs w:val="18"/>
                <w:vertAlign w:val="superscript"/>
              </w:rPr>
              <w:t>3</w:t>
            </w:r>
            <w:r>
              <w:rPr>
                <w:rFonts w:cs="Arial"/>
                <w:sz w:val="18"/>
                <w:szCs w:val="18"/>
              </w:rPr>
              <w:t>)</w:t>
            </w:r>
            <w:r>
              <w:rPr>
                <w:rFonts w:cs="Arial"/>
                <w:sz w:val="18"/>
                <w:szCs w:val="18"/>
                <w:vertAlign w:val="superscript"/>
              </w:rPr>
              <w:t>1</w:t>
            </w:r>
            <w:r>
              <w:rPr>
                <w:rFonts w:cs="Arial"/>
                <w:sz w:val="18"/>
                <w:szCs w:val="18"/>
              </w:rPr>
              <w:t xml:space="preserve"> Lösungsmittelverbrauch (t/a)</w:t>
            </w:r>
          </w:p>
        </w:tc>
        <w:tc>
          <w:tcPr>
            <w:tcW w:w="6345" w:type="dxa"/>
            <w:gridSpan w:val="2"/>
            <w:vMerge w:val="restart"/>
            <w:tcBorders>
              <w:top w:val="single" w:sz="6" w:space="0" w:color="000000"/>
              <w:bottom w:val="single" w:sz="4" w:space="0" w:color="auto"/>
            </w:tcBorders>
            <w:vAlign w:val="center"/>
          </w:tcPr>
          <w:p>
            <w:pPr>
              <w:pStyle w:val="GesAbsatz"/>
              <w:jc w:val="center"/>
              <w:rPr>
                <w:rFonts w:cs="Arial"/>
                <w:sz w:val="18"/>
                <w:szCs w:val="18"/>
              </w:rPr>
            </w:pPr>
            <w:r>
              <w:rPr>
                <w:rFonts w:cs="Arial"/>
                <w:sz w:val="18"/>
                <w:szCs w:val="18"/>
              </w:rPr>
              <w:t>Bemerkungen</w:t>
            </w:r>
          </w:p>
        </w:tc>
      </w:tr>
      <w:tr>
        <w:trPr>
          <w:gridAfter w:val="1"/>
          <w:wAfter w:w="377" w:type="dxa"/>
          <w:cantSplit/>
          <w:trHeight w:val="182"/>
        </w:trPr>
        <w:tc>
          <w:tcPr>
            <w:tcW w:w="1526" w:type="dxa"/>
            <w:tcBorders>
              <w:bottom w:val="single" w:sz="4" w:space="0" w:color="auto"/>
            </w:tcBorders>
          </w:tcPr>
          <w:p>
            <w:pPr>
              <w:pStyle w:val="GesAbsatz"/>
              <w:jc w:val="center"/>
              <w:rPr>
                <w:rFonts w:cs="Arial"/>
                <w:sz w:val="18"/>
                <w:szCs w:val="18"/>
              </w:rPr>
            </w:pPr>
            <w:r>
              <w:rPr>
                <w:rFonts w:cs="Arial"/>
                <w:sz w:val="18"/>
                <w:szCs w:val="18"/>
              </w:rPr>
              <w:t>≤ 25</w:t>
            </w:r>
          </w:p>
        </w:tc>
        <w:tc>
          <w:tcPr>
            <w:tcW w:w="1876" w:type="dxa"/>
            <w:tcBorders>
              <w:bottom w:val="single" w:sz="4" w:space="0" w:color="auto"/>
            </w:tcBorders>
          </w:tcPr>
          <w:p>
            <w:pPr>
              <w:pStyle w:val="GesAbsatz"/>
              <w:jc w:val="center"/>
              <w:rPr>
                <w:rFonts w:cs="Arial"/>
                <w:sz w:val="18"/>
                <w:szCs w:val="18"/>
              </w:rPr>
            </w:pPr>
            <w:r>
              <w:rPr>
                <w:rFonts w:cs="Arial"/>
                <w:sz w:val="18"/>
                <w:szCs w:val="18"/>
              </w:rPr>
              <w:t>&gt; 25</w:t>
            </w:r>
          </w:p>
        </w:tc>
        <w:tc>
          <w:tcPr>
            <w:tcW w:w="6345" w:type="dxa"/>
            <w:gridSpan w:val="2"/>
            <w:vMerge/>
            <w:tcBorders>
              <w:bottom w:val="single" w:sz="4" w:space="0" w:color="auto"/>
            </w:tcBorders>
          </w:tcPr>
          <w:p>
            <w:pPr>
              <w:pStyle w:val="GesAbsatz"/>
              <w:rPr>
                <w:rFonts w:cs="Arial"/>
                <w:sz w:val="18"/>
                <w:szCs w:val="18"/>
              </w:rPr>
            </w:pPr>
          </w:p>
        </w:tc>
      </w:tr>
      <w:tr>
        <w:trPr>
          <w:cantSplit/>
          <w:trHeight w:val="218"/>
        </w:trPr>
        <w:tc>
          <w:tcPr>
            <w:tcW w:w="1526" w:type="dxa"/>
            <w:vMerge w:val="restart"/>
            <w:tcBorders>
              <w:top w:val="single" w:sz="4" w:space="0" w:color="auto"/>
            </w:tcBorders>
          </w:tcPr>
          <w:p>
            <w:pPr>
              <w:pStyle w:val="GesAbsatz"/>
              <w:jc w:val="center"/>
              <w:rPr>
                <w:rFonts w:cs="Arial"/>
                <w:sz w:val="18"/>
                <w:szCs w:val="18"/>
                <w:vertAlign w:val="superscript"/>
              </w:rPr>
            </w:pPr>
            <w:r>
              <w:rPr>
                <w:rFonts w:cs="Arial"/>
                <w:sz w:val="18"/>
                <w:szCs w:val="18"/>
              </w:rPr>
              <w:t>11</w:t>
            </w:r>
          </w:p>
        </w:tc>
        <w:tc>
          <w:tcPr>
            <w:tcW w:w="1876" w:type="dxa"/>
            <w:vMerge w:val="restart"/>
            <w:tcBorders>
              <w:top w:val="single" w:sz="4" w:space="0" w:color="auto"/>
            </w:tcBorders>
          </w:tcPr>
          <w:p>
            <w:pPr>
              <w:pStyle w:val="GesAbsatz"/>
              <w:jc w:val="center"/>
              <w:rPr>
                <w:rFonts w:cs="Arial"/>
                <w:sz w:val="18"/>
                <w:szCs w:val="18"/>
                <w:vertAlign w:val="superscript"/>
              </w:rPr>
            </w:pPr>
            <w:r>
              <w:rPr>
                <w:rFonts w:cs="Arial"/>
                <w:sz w:val="18"/>
                <w:szCs w:val="18"/>
              </w:rPr>
              <w:t>5</w:t>
            </w:r>
            <w:r>
              <w:rPr>
                <w:rFonts w:cs="Arial"/>
                <w:sz w:val="18"/>
                <w:szCs w:val="18"/>
              </w:rPr>
              <w:br/>
              <w:t>11</w:t>
            </w:r>
            <w:r>
              <w:rPr>
                <w:rFonts w:cs="Arial"/>
                <w:sz w:val="18"/>
                <w:szCs w:val="18"/>
                <w:vertAlign w:val="superscript"/>
              </w:rPr>
              <w:t>2</w:t>
            </w:r>
          </w:p>
        </w:tc>
        <w:tc>
          <w:tcPr>
            <w:tcW w:w="236" w:type="dxa"/>
            <w:tcBorders>
              <w:top w:val="single" w:sz="4" w:space="0" w:color="auto"/>
            </w:tcBorders>
          </w:tcPr>
          <w:p>
            <w:pPr>
              <w:pStyle w:val="GesAbsatz"/>
              <w:jc w:val="right"/>
              <w:rPr>
                <w:rFonts w:cs="Arial"/>
                <w:sz w:val="18"/>
                <w:szCs w:val="18"/>
              </w:rPr>
            </w:pPr>
            <w:r>
              <w:rPr>
                <w:rFonts w:cs="Arial"/>
                <w:sz w:val="18"/>
                <w:szCs w:val="18"/>
                <w:vertAlign w:val="superscript"/>
              </w:rPr>
              <w:t>1</w:t>
            </w:r>
          </w:p>
        </w:tc>
        <w:tc>
          <w:tcPr>
            <w:tcW w:w="6486" w:type="dxa"/>
            <w:gridSpan w:val="2"/>
            <w:tcBorders>
              <w:top w:val="single" w:sz="4" w:space="0" w:color="auto"/>
            </w:tcBorders>
          </w:tcPr>
          <w:p>
            <w:pPr>
              <w:pStyle w:val="GesAbsatz"/>
              <w:rPr>
                <w:rFonts w:cs="Arial"/>
                <w:sz w:val="18"/>
                <w:szCs w:val="18"/>
              </w:rPr>
            </w:pPr>
            <w:r>
              <w:rPr>
                <w:rFonts w:cs="Arial"/>
                <w:sz w:val="18"/>
                <w:szCs w:val="18"/>
              </w:rPr>
              <w:t>Angegeben in Kilogramm emittierter flüchtiger organischer Verbindungen je Kubikmeter imprägnierten Holzes.</w:t>
            </w:r>
          </w:p>
        </w:tc>
      </w:tr>
      <w:tr>
        <w:trPr>
          <w:cantSplit/>
          <w:trHeight w:val="218"/>
        </w:trPr>
        <w:tc>
          <w:tcPr>
            <w:tcW w:w="1526" w:type="dxa"/>
            <w:vMerge/>
          </w:tcPr>
          <w:p>
            <w:pPr>
              <w:pStyle w:val="GesAbsatz"/>
              <w:jc w:val="center"/>
              <w:rPr>
                <w:rFonts w:cs="Arial"/>
                <w:sz w:val="18"/>
                <w:szCs w:val="18"/>
              </w:rPr>
            </w:pPr>
          </w:p>
        </w:tc>
        <w:tc>
          <w:tcPr>
            <w:tcW w:w="1876" w:type="dxa"/>
            <w:vMerge/>
          </w:tcPr>
          <w:p>
            <w:pPr>
              <w:pStyle w:val="GesAbsatz"/>
              <w:jc w:val="center"/>
              <w:rPr>
                <w:rFonts w:cs="Arial"/>
                <w:sz w:val="18"/>
                <w:szCs w:val="18"/>
              </w:rPr>
            </w:pPr>
          </w:p>
        </w:tc>
        <w:tc>
          <w:tcPr>
            <w:tcW w:w="236" w:type="dxa"/>
          </w:tcPr>
          <w:p>
            <w:pPr>
              <w:pStyle w:val="GesAbsatz"/>
              <w:jc w:val="right"/>
              <w:rPr>
                <w:rFonts w:cs="Arial"/>
                <w:sz w:val="18"/>
                <w:szCs w:val="18"/>
                <w:vertAlign w:val="superscript"/>
              </w:rPr>
            </w:pPr>
            <w:r>
              <w:rPr>
                <w:rFonts w:cs="Arial"/>
                <w:sz w:val="18"/>
                <w:szCs w:val="18"/>
                <w:vertAlign w:val="superscript"/>
              </w:rPr>
              <w:t>2</w:t>
            </w:r>
          </w:p>
        </w:tc>
        <w:tc>
          <w:tcPr>
            <w:tcW w:w="6486" w:type="dxa"/>
            <w:gridSpan w:val="2"/>
          </w:tcPr>
          <w:p>
            <w:pPr>
              <w:pStyle w:val="GesAbsatz"/>
              <w:rPr>
                <w:rFonts w:cs="Arial"/>
                <w:sz w:val="18"/>
                <w:szCs w:val="18"/>
              </w:rPr>
            </w:pPr>
            <w:r>
              <w:rPr>
                <w:rFonts w:cs="Arial"/>
                <w:sz w:val="18"/>
                <w:szCs w:val="18"/>
              </w:rPr>
              <w:t>Für Heiß-Kalt-Einstelltränkanlagen.</w:t>
            </w:r>
          </w:p>
        </w:tc>
      </w:tr>
    </w:tbl>
    <w:p>
      <w:pPr>
        <w:pStyle w:val="GesAbsatz"/>
        <w:tabs>
          <w:tab w:val="clear" w:pos="425"/>
          <w:tab w:val="left" w:pos="709"/>
        </w:tabs>
        <w:ind w:left="709" w:hanging="709"/>
        <w:rPr>
          <w:rFonts w:cs="Arial"/>
        </w:rPr>
      </w:pPr>
      <w:r>
        <w:rPr>
          <w:rFonts w:cs="Arial"/>
        </w:rPr>
        <w:t>12.2.2</w:t>
      </w:r>
      <w:r>
        <w:rPr>
          <w:rFonts w:cs="Arial"/>
        </w:rPr>
        <w:tab/>
        <w:t>Sonstige Bestimmungen</w:t>
      </w:r>
    </w:p>
    <w:p>
      <w:pPr>
        <w:pStyle w:val="GesAbsatz"/>
        <w:tabs>
          <w:tab w:val="clear" w:pos="425"/>
          <w:tab w:val="left" w:pos="709"/>
        </w:tabs>
        <w:ind w:left="709"/>
        <w:rPr>
          <w:rFonts w:cs="Arial"/>
        </w:rPr>
      </w:pPr>
      <w:r>
        <w:rPr>
          <w:rFonts w:cs="Arial"/>
        </w:rPr>
        <w:t>Der Gesamtemissionsgrenzwert nach Nummer 12.2.1 gilt als eingehalten, sofern ausschließlich Teeröle eingesetzt werden, deren Massengehalt an flüchtigen organischen Verbindungen maximal 2 Prozent beträgt.</w:t>
      </w:r>
    </w:p>
    <w:p>
      <w:pPr>
        <w:pStyle w:val="GesAbsatz"/>
        <w:tabs>
          <w:tab w:val="clear" w:pos="425"/>
          <w:tab w:val="left" w:pos="709"/>
        </w:tabs>
        <w:rPr>
          <w:rFonts w:cs="Arial"/>
        </w:rPr>
      </w:pPr>
      <w:r>
        <w:rPr>
          <w:rFonts w:cs="Arial"/>
        </w:rPr>
        <w:t>12.2.3</w:t>
      </w:r>
      <w:r>
        <w:rPr>
          <w:rFonts w:cs="Arial"/>
        </w:rPr>
        <w:tab/>
        <w:t>Emissionsgrenzwert für gefasste Abgase</w:t>
      </w:r>
    </w:p>
    <w:tbl>
      <w:tblPr>
        <w:tblW w:w="9747" w:type="dxa"/>
        <w:tblLayout w:type="fixed"/>
        <w:tblLook w:val="0000" w:firstRow="0" w:lastRow="0" w:firstColumn="0" w:lastColumn="0" w:noHBand="0" w:noVBand="0"/>
      </w:tblPr>
      <w:tblGrid>
        <w:gridCol w:w="2835"/>
        <w:gridCol w:w="426"/>
        <w:gridCol w:w="6486"/>
      </w:tblGrid>
      <w:tr>
        <w:trPr>
          <w:cantSplit/>
          <w:trHeight w:val="484"/>
        </w:trPr>
        <w:tc>
          <w:tcPr>
            <w:tcW w:w="2835" w:type="dxa"/>
            <w:tcBorders>
              <w:top w:val="single" w:sz="6" w:space="0" w:color="000000"/>
            </w:tcBorders>
          </w:tcPr>
          <w:p>
            <w:pPr>
              <w:pStyle w:val="GesAbsatz"/>
              <w:tabs>
                <w:tab w:val="clear" w:pos="425"/>
                <w:tab w:val="left" w:pos="709"/>
              </w:tabs>
              <w:jc w:val="center"/>
              <w:rPr>
                <w:rFonts w:cs="Arial"/>
                <w:sz w:val="18"/>
                <w:szCs w:val="18"/>
                <w:vertAlign w:val="superscript"/>
              </w:rPr>
            </w:pPr>
            <w:r>
              <w:rPr>
                <w:rFonts w:cs="Arial"/>
                <w:sz w:val="18"/>
                <w:szCs w:val="18"/>
              </w:rPr>
              <w:t xml:space="preserve">Emissionsgrenzwert </w:t>
            </w:r>
            <w:r>
              <w:rPr>
                <w:rFonts w:cs="Arial"/>
                <w:sz w:val="18"/>
                <w:szCs w:val="18"/>
              </w:rPr>
              <w:br/>
              <w:t>(mg C/m</w:t>
            </w:r>
            <w:r>
              <w:rPr>
                <w:rFonts w:cs="Arial"/>
                <w:sz w:val="18"/>
                <w:szCs w:val="18"/>
                <w:vertAlign w:val="superscript"/>
              </w:rPr>
              <w:t>3</w:t>
            </w:r>
            <w:r>
              <w:rPr>
                <w:rFonts w:cs="Arial"/>
                <w:sz w:val="18"/>
                <w:szCs w:val="18"/>
              </w:rPr>
              <w:t>)</w:t>
            </w:r>
          </w:p>
        </w:tc>
        <w:tc>
          <w:tcPr>
            <w:tcW w:w="6912" w:type="dxa"/>
            <w:gridSpan w:val="2"/>
            <w:tcBorders>
              <w:top w:val="single" w:sz="6" w:space="0" w:color="000000"/>
              <w:bottom w:val="single" w:sz="4" w:space="0" w:color="auto"/>
            </w:tcBorders>
          </w:tcPr>
          <w:p>
            <w:pPr>
              <w:pStyle w:val="GesAbsatz"/>
              <w:tabs>
                <w:tab w:val="clear" w:pos="425"/>
                <w:tab w:val="left" w:pos="709"/>
              </w:tabs>
              <w:jc w:val="center"/>
              <w:rPr>
                <w:rFonts w:cs="Arial"/>
                <w:sz w:val="18"/>
                <w:szCs w:val="18"/>
              </w:rPr>
            </w:pPr>
            <w:r>
              <w:rPr>
                <w:rFonts w:cs="Arial"/>
                <w:sz w:val="18"/>
                <w:szCs w:val="18"/>
              </w:rPr>
              <w:t>Bemerkungen</w:t>
            </w:r>
          </w:p>
        </w:tc>
      </w:tr>
      <w:tr>
        <w:trPr>
          <w:cantSplit/>
          <w:trHeight w:val="218"/>
        </w:trPr>
        <w:tc>
          <w:tcPr>
            <w:tcW w:w="2835" w:type="dxa"/>
            <w:tcBorders>
              <w:top w:val="single" w:sz="4" w:space="0" w:color="auto"/>
            </w:tcBorders>
          </w:tcPr>
          <w:p>
            <w:pPr>
              <w:pStyle w:val="GesAbsatz"/>
              <w:tabs>
                <w:tab w:val="clear" w:pos="425"/>
                <w:tab w:val="left" w:pos="709"/>
              </w:tabs>
              <w:jc w:val="center"/>
              <w:rPr>
                <w:rFonts w:cs="Arial"/>
                <w:sz w:val="18"/>
                <w:szCs w:val="18"/>
                <w:vertAlign w:val="superscript"/>
              </w:rPr>
            </w:pPr>
            <w:r>
              <w:rPr>
                <w:rFonts w:cs="Arial"/>
                <w:sz w:val="18"/>
                <w:szCs w:val="18"/>
              </w:rPr>
              <w:t>20</w:t>
            </w:r>
            <w:r>
              <w:rPr>
                <w:rFonts w:cs="Arial"/>
                <w:sz w:val="18"/>
                <w:szCs w:val="18"/>
                <w:vertAlign w:val="superscript"/>
              </w:rPr>
              <w:t>1</w:t>
            </w:r>
          </w:p>
        </w:tc>
        <w:tc>
          <w:tcPr>
            <w:tcW w:w="426" w:type="dxa"/>
            <w:tcBorders>
              <w:top w:val="single" w:sz="4" w:space="0" w:color="auto"/>
            </w:tcBorders>
          </w:tcPr>
          <w:p>
            <w:pPr>
              <w:pStyle w:val="GesAbsatz"/>
              <w:jc w:val="right"/>
              <w:rPr>
                <w:rFonts w:cs="Arial"/>
                <w:sz w:val="18"/>
                <w:szCs w:val="18"/>
              </w:rPr>
            </w:pPr>
            <w:r>
              <w:rPr>
                <w:rFonts w:cs="Arial"/>
                <w:sz w:val="18"/>
                <w:szCs w:val="18"/>
                <w:vertAlign w:val="superscript"/>
              </w:rPr>
              <w:t>1</w:t>
            </w:r>
          </w:p>
        </w:tc>
        <w:tc>
          <w:tcPr>
            <w:tcW w:w="6486" w:type="dxa"/>
            <w:tcBorders>
              <w:top w:val="single" w:sz="4" w:space="0" w:color="auto"/>
            </w:tcBorders>
          </w:tcPr>
          <w:p>
            <w:pPr>
              <w:pStyle w:val="GesAbsatz"/>
              <w:tabs>
                <w:tab w:val="clear" w:pos="425"/>
                <w:tab w:val="left" w:pos="709"/>
              </w:tabs>
              <w:rPr>
                <w:rFonts w:cs="Arial"/>
                <w:sz w:val="18"/>
                <w:szCs w:val="18"/>
              </w:rPr>
            </w:pPr>
            <w:r>
              <w:rPr>
                <w:rFonts w:cs="Arial"/>
                <w:sz w:val="18"/>
                <w:szCs w:val="18"/>
              </w:rPr>
              <w:t>Gilt unabhängig vom Lösungsmittelgehalt der Teeröle für alle Anlagen mit einer Produktionskapazität von mehr als 75 Kubikmeter je Tag.</w:t>
            </w:r>
          </w:p>
        </w:tc>
      </w:tr>
    </w:tbl>
    <w:p>
      <w:pPr>
        <w:pStyle w:val="GesAbsatz"/>
        <w:tabs>
          <w:tab w:val="clear" w:pos="425"/>
          <w:tab w:val="left" w:pos="709"/>
        </w:tabs>
        <w:ind w:left="709" w:hanging="709"/>
        <w:rPr>
          <w:rFonts w:cs="Arial"/>
          <w:b/>
        </w:rPr>
      </w:pPr>
      <w:r>
        <w:rPr>
          <w:rFonts w:cs="Arial"/>
          <w:b/>
        </w:rPr>
        <w:t>13.</w:t>
      </w:r>
      <w:r>
        <w:rPr>
          <w:rFonts w:cs="Arial"/>
          <w:b/>
        </w:rPr>
        <w:tab/>
        <w:t>Laminierung von Holz oder Kunststoffen</w:t>
      </w:r>
    </w:p>
    <w:p>
      <w:pPr>
        <w:pStyle w:val="GesAbsatz"/>
        <w:tabs>
          <w:tab w:val="clear" w:pos="425"/>
          <w:tab w:val="left" w:pos="709"/>
        </w:tabs>
        <w:ind w:left="709" w:hanging="709"/>
        <w:rPr>
          <w:rFonts w:cs="Arial"/>
          <w:b/>
        </w:rPr>
      </w:pPr>
      <w:r>
        <w:rPr>
          <w:rFonts w:cs="Arial"/>
          <w:b/>
        </w:rPr>
        <w:t>13.1</w:t>
      </w:r>
      <w:r>
        <w:rPr>
          <w:rFonts w:cs="Arial"/>
          <w:b/>
        </w:rPr>
        <w:tab/>
        <w:t>Anlagen zur Laminierung von Holz oder Kunststoffen</w:t>
      </w:r>
    </w:p>
    <w:p>
      <w:pPr>
        <w:pStyle w:val="GesAbsatz"/>
        <w:tabs>
          <w:tab w:val="clear" w:pos="425"/>
          <w:tab w:val="left" w:pos="709"/>
        </w:tabs>
        <w:ind w:left="709" w:hanging="709"/>
        <w:rPr>
          <w:rFonts w:cs="Arial"/>
        </w:rPr>
      </w:pPr>
      <w:r>
        <w:rPr>
          <w:rFonts w:cs="Arial"/>
        </w:rPr>
        <w:t>13.1.1</w:t>
      </w:r>
      <w:r>
        <w:rPr>
          <w:rFonts w:cs="Arial"/>
        </w:rPr>
        <w:tab/>
        <w:t>Grenzwert für die Gesamtemissionen</w:t>
      </w:r>
    </w:p>
    <w:tbl>
      <w:tblPr>
        <w:tblW w:w="9747" w:type="dxa"/>
        <w:tblLook w:val="0000" w:firstRow="0" w:lastRow="0" w:firstColumn="0" w:lastColumn="0" w:noHBand="0" w:noVBand="0"/>
      </w:tblPr>
      <w:tblGrid>
        <w:gridCol w:w="2694"/>
        <w:gridCol w:w="7053"/>
      </w:tblGrid>
      <w:tr>
        <w:trPr>
          <w:trHeight w:val="432"/>
        </w:trPr>
        <w:tc>
          <w:tcPr>
            <w:tcW w:w="2694" w:type="dxa"/>
            <w:tcBorders>
              <w:top w:val="single" w:sz="6" w:space="0" w:color="000000"/>
              <w:bottom w:val="single" w:sz="6" w:space="0" w:color="000000"/>
            </w:tcBorders>
            <w:vAlign w:val="center"/>
          </w:tcPr>
          <w:p>
            <w:pPr>
              <w:pStyle w:val="GesAbsatz"/>
              <w:jc w:val="center"/>
              <w:rPr>
                <w:rFonts w:cs="Arial"/>
                <w:sz w:val="18"/>
                <w:szCs w:val="18"/>
              </w:rPr>
            </w:pPr>
            <w:r>
              <w:rPr>
                <w:rFonts w:cs="Arial"/>
                <w:sz w:val="18"/>
                <w:szCs w:val="18"/>
              </w:rPr>
              <w:t>Gesamtemissionsgrenzwert (g/m</w:t>
            </w:r>
            <w:r>
              <w:rPr>
                <w:rFonts w:cs="Arial"/>
                <w:sz w:val="18"/>
                <w:szCs w:val="18"/>
                <w:vertAlign w:val="superscript"/>
              </w:rPr>
              <w:t>2</w:t>
            </w:r>
            <w:r>
              <w:rPr>
                <w:rFonts w:cs="Arial"/>
                <w:sz w:val="18"/>
                <w:szCs w:val="18"/>
              </w:rPr>
              <w:t>)</w:t>
            </w:r>
          </w:p>
        </w:tc>
        <w:tc>
          <w:tcPr>
            <w:tcW w:w="7053" w:type="dxa"/>
            <w:tcBorders>
              <w:top w:val="single" w:sz="6" w:space="0" w:color="000000"/>
              <w:bottom w:val="single" w:sz="6" w:space="0" w:color="000000"/>
            </w:tcBorders>
            <w:vAlign w:val="center"/>
          </w:tcPr>
          <w:p>
            <w:pPr>
              <w:pStyle w:val="GesAbsatz"/>
              <w:jc w:val="center"/>
              <w:rPr>
                <w:rFonts w:cs="Arial"/>
                <w:sz w:val="18"/>
                <w:szCs w:val="18"/>
              </w:rPr>
            </w:pPr>
            <w:r>
              <w:rPr>
                <w:rFonts w:cs="Arial"/>
                <w:sz w:val="18"/>
                <w:szCs w:val="18"/>
              </w:rPr>
              <w:t>Bemerkungen</w:t>
            </w:r>
          </w:p>
        </w:tc>
      </w:tr>
      <w:tr>
        <w:trPr>
          <w:trHeight w:val="298"/>
        </w:trPr>
        <w:tc>
          <w:tcPr>
            <w:tcW w:w="2694" w:type="dxa"/>
            <w:tcBorders>
              <w:top w:val="single" w:sz="6" w:space="0" w:color="000000"/>
            </w:tcBorders>
            <w:vAlign w:val="center"/>
          </w:tcPr>
          <w:p>
            <w:pPr>
              <w:pStyle w:val="GesAbsatz"/>
              <w:jc w:val="center"/>
              <w:rPr>
                <w:rFonts w:cs="Arial"/>
                <w:sz w:val="18"/>
                <w:szCs w:val="18"/>
              </w:rPr>
            </w:pPr>
            <w:r>
              <w:rPr>
                <w:rFonts w:cs="Arial"/>
                <w:sz w:val="18"/>
                <w:szCs w:val="18"/>
              </w:rPr>
              <w:t>5</w:t>
            </w:r>
          </w:p>
        </w:tc>
        <w:tc>
          <w:tcPr>
            <w:tcW w:w="7053" w:type="dxa"/>
            <w:tcBorders>
              <w:top w:val="single" w:sz="6" w:space="0" w:color="000000"/>
            </w:tcBorders>
          </w:tcPr>
          <w:p>
            <w:pPr>
              <w:pStyle w:val="GesAbsatz"/>
              <w:rPr>
                <w:rFonts w:cs="Arial"/>
                <w:color w:val="auto"/>
                <w:sz w:val="18"/>
                <w:szCs w:val="18"/>
              </w:rPr>
            </w:pPr>
          </w:p>
        </w:tc>
      </w:tr>
    </w:tbl>
    <w:p>
      <w:pPr>
        <w:pStyle w:val="GesAbsatz"/>
        <w:tabs>
          <w:tab w:val="clear" w:pos="425"/>
          <w:tab w:val="left" w:pos="709"/>
        </w:tabs>
      </w:pPr>
      <w:r>
        <w:t>13.1.2</w:t>
      </w:r>
      <w:r>
        <w:tab/>
        <w:t>Emissionsgrenzwerte für gefasste Abgase</w:t>
      </w:r>
    </w:p>
    <w:tbl>
      <w:tblPr>
        <w:tblW w:w="9747" w:type="dxa"/>
        <w:tblLayout w:type="fixed"/>
        <w:tblLook w:val="0000" w:firstRow="0" w:lastRow="0" w:firstColumn="0" w:lastColumn="0" w:noHBand="0" w:noVBand="0"/>
      </w:tblPr>
      <w:tblGrid>
        <w:gridCol w:w="2835"/>
        <w:gridCol w:w="426"/>
        <w:gridCol w:w="6486"/>
      </w:tblGrid>
      <w:tr>
        <w:trPr>
          <w:cantSplit/>
          <w:trHeight w:val="484"/>
        </w:trPr>
        <w:tc>
          <w:tcPr>
            <w:tcW w:w="2835" w:type="dxa"/>
            <w:tcBorders>
              <w:top w:val="single" w:sz="6" w:space="0" w:color="000000"/>
            </w:tcBorders>
          </w:tcPr>
          <w:p>
            <w:pPr>
              <w:pStyle w:val="GesAbsatz"/>
              <w:jc w:val="center"/>
              <w:rPr>
                <w:rFonts w:cs="Arial"/>
                <w:sz w:val="18"/>
                <w:szCs w:val="18"/>
                <w:vertAlign w:val="superscript"/>
              </w:rPr>
            </w:pPr>
            <w:r>
              <w:rPr>
                <w:rFonts w:cs="Arial"/>
                <w:sz w:val="18"/>
                <w:szCs w:val="18"/>
              </w:rPr>
              <w:t>Emissionsgrenzwert (mg C/m</w:t>
            </w:r>
            <w:r>
              <w:rPr>
                <w:rFonts w:cs="Arial"/>
                <w:sz w:val="18"/>
                <w:szCs w:val="18"/>
                <w:vertAlign w:val="superscript"/>
              </w:rPr>
              <w:t>3</w:t>
            </w:r>
            <w:r>
              <w:rPr>
                <w:rFonts w:cs="Arial"/>
                <w:sz w:val="18"/>
                <w:szCs w:val="18"/>
              </w:rPr>
              <w:t>) Lösungsmitteleinsatz</w:t>
            </w:r>
          </w:p>
        </w:tc>
        <w:tc>
          <w:tcPr>
            <w:tcW w:w="6912" w:type="dxa"/>
            <w:gridSpan w:val="2"/>
            <w:vMerge w:val="restart"/>
            <w:tcBorders>
              <w:top w:val="single" w:sz="6" w:space="0" w:color="000000"/>
            </w:tcBorders>
          </w:tcPr>
          <w:p>
            <w:pPr>
              <w:pStyle w:val="GesAbsatz"/>
              <w:jc w:val="center"/>
              <w:rPr>
                <w:rFonts w:cs="Arial"/>
                <w:sz w:val="18"/>
                <w:szCs w:val="18"/>
              </w:rPr>
            </w:pPr>
            <w:r>
              <w:rPr>
                <w:rFonts w:cs="Arial"/>
                <w:sz w:val="18"/>
                <w:szCs w:val="18"/>
              </w:rPr>
              <w:t>Bemerkungen</w:t>
            </w:r>
          </w:p>
        </w:tc>
      </w:tr>
      <w:tr>
        <w:trPr>
          <w:cantSplit/>
          <w:trHeight w:val="484"/>
        </w:trPr>
        <w:tc>
          <w:tcPr>
            <w:tcW w:w="2835" w:type="dxa"/>
          </w:tcPr>
          <w:p>
            <w:pPr>
              <w:pStyle w:val="GesAbsatz"/>
              <w:jc w:val="center"/>
              <w:rPr>
                <w:rFonts w:cs="Arial"/>
                <w:sz w:val="18"/>
                <w:szCs w:val="18"/>
              </w:rPr>
            </w:pPr>
            <w:r>
              <w:rPr>
                <w:rFonts w:cs="Arial"/>
                <w:sz w:val="18"/>
                <w:szCs w:val="18"/>
              </w:rPr>
              <w:t>≥ 15 kg/h</w:t>
            </w:r>
          </w:p>
        </w:tc>
        <w:tc>
          <w:tcPr>
            <w:tcW w:w="6912" w:type="dxa"/>
            <w:gridSpan w:val="2"/>
            <w:vMerge/>
            <w:tcBorders>
              <w:bottom w:val="single" w:sz="4" w:space="0" w:color="auto"/>
            </w:tcBorders>
          </w:tcPr>
          <w:p>
            <w:pPr>
              <w:pStyle w:val="GesAbsatz"/>
              <w:rPr>
                <w:rFonts w:cs="Arial"/>
                <w:sz w:val="18"/>
                <w:szCs w:val="18"/>
              </w:rPr>
            </w:pPr>
          </w:p>
        </w:tc>
      </w:tr>
      <w:tr>
        <w:trPr>
          <w:cantSplit/>
          <w:trHeight w:val="218"/>
        </w:trPr>
        <w:tc>
          <w:tcPr>
            <w:tcW w:w="2835" w:type="dxa"/>
            <w:tcBorders>
              <w:top w:val="single" w:sz="4" w:space="0" w:color="auto"/>
            </w:tcBorders>
          </w:tcPr>
          <w:p>
            <w:pPr>
              <w:pStyle w:val="GesAbsatz"/>
              <w:jc w:val="center"/>
              <w:rPr>
                <w:rFonts w:cs="Arial"/>
                <w:sz w:val="18"/>
                <w:szCs w:val="18"/>
                <w:vertAlign w:val="superscript"/>
              </w:rPr>
            </w:pPr>
            <w:r>
              <w:rPr>
                <w:rFonts w:cs="Arial"/>
                <w:sz w:val="18"/>
                <w:szCs w:val="18"/>
              </w:rPr>
              <w:t>50</w:t>
            </w:r>
            <w:r>
              <w:rPr>
                <w:rFonts w:cs="Arial"/>
                <w:sz w:val="18"/>
                <w:szCs w:val="18"/>
              </w:rPr>
              <w:br/>
              <w:t>20</w:t>
            </w:r>
            <w:r>
              <w:rPr>
                <w:rFonts w:cs="Arial"/>
                <w:sz w:val="18"/>
                <w:szCs w:val="18"/>
                <w:vertAlign w:val="superscript"/>
              </w:rPr>
              <w:t>1</w:t>
            </w:r>
          </w:p>
        </w:tc>
        <w:tc>
          <w:tcPr>
            <w:tcW w:w="426" w:type="dxa"/>
            <w:tcBorders>
              <w:top w:val="single" w:sz="4" w:space="0" w:color="auto"/>
            </w:tcBorders>
          </w:tcPr>
          <w:p>
            <w:pPr>
              <w:pStyle w:val="GesAbsatz"/>
              <w:jc w:val="right"/>
              <w:rPr>
                <w:rFonts w:cs="Arial"/>
                <w:sz w:val="18"/>
                <w:szCs w:val="18"/>
              </w:rPr>
            </w:pPr>
            <w:r>
              <w:rPr>
                <w:rFonts w:cs="Arial"/>
                <w:sz w:val="18"/>
                <w:szCs w:val="18"/>
                <w:vertAlign w:val="superscript"/>
              </w:rPr>
              <w:t>1</w:t>
            </w:r>
          </w:p>
        </w:tc>
        <w:tc>
          <w:tcPr>
            <w:tcW w:w="6486" w:type="dxa"/>
            <w:tcBorders>
              <w:top w:val="single" w:sz="4" w:space="0" w:color="auto"/>
            </w:tcBorders>
          </w:tcPr>
          <w:p>
            <w:pPr>
              <w:pStyle w:val="GesAbsatz"/>
              <w:rPr>
                <w:rFonts w:cs="Arial"/>
                <w:sz w:val="18"/>
                <w:szCs w:val="18"/>
              </w:rPr>
            </w:pPr>
            <w:r>
              <w:rPr>
                <w:rFonts w:cs="Arial"/>
                <w:sz w:val="18"/>
                <w:szCs w:val="18"/>
              </w:rPr>
              <w:t>Bei Anwendung von Abgasreinigungseinrichtungen mit thermischer Nachverbrennung.</w:t>
            </w:r>
          </w:p>
        </w:tc>
      </w:tr>
    </w:tbl>
    <w:p>
      <w:pPr>
        <w:pStyle w:val="GesAbsatz"/>
        <w:tabs>
          <w:tab w:val="clear" w:pos="425"/>
          <w:tab w:val="left" w:pos="709"/>
        </w:tabs>
        <w:ind w:left="1134" w:hanging="1134"/>
        <w:rPr>
          <w:rFonts w:cs="Arial"/>
          <w:b/>
          <w:bCs/>
          <w:color w:val="auto"/>
        </w:rPr>
      </w:pPr>
      <w:r>
        <w:rPr>
          <w:rFonts w:cs="Arial"/>
          <w:b/>
          <w:bCs/>
        </w:rPr>
        <w:t>14.</w:t>
      </w:r>
      <w:r>
        <w:rPr>
          <w:rFonts w:cs="Arial"/>
          <w:b/>
          <w:bCs/>
        </w:rPr>
        <w:tab/>
        <w:t>Klebebeschichtung</w:t>
      </w:r>
    </w:p>
    <w:p>
      <w:pPr>
        <w:pStyle w:val="GesAbsatz"/>
        <w:tabs>
          <w:tab w:val="clear" w:pos="425"/>
          <w:tab w:val="left" w:pos="709"/>
        </w:tabs>
        <w:ind w:left="1134" w:hanging="1134"/>
        <w:rPr>
          <w:rFonts w:cs="Arial"/>
          <w:b/>
          <w:bCs/>
          <w:color w:val="auto"/>
        </w:rPr>
      </w:pPr>
      <w:r>
        <w:rPr>
          <w:rFonts w:cs="Arial"/>
          <w:b/>
          <w:bCs/>
        </w:rPr>
        <w:t>14.1</w:t>
      </w:r>
      <w:r>
        <w:rPr>
          <w:rFonts w:cs="Arial"/>
          <w:b/>
          <w:bCs/>
        </w:rPr>
        <w:tab/>
        <w:t>Anlagen zur Klebebeschichtung</w:t>
      </w:r>
    </w:p>
    <w:p>
      <w:pPr>
        <w:pStyle w:val="GesAbsatz"/>
        <w:tabs>
          <w:tab w:val="clear" w:pos="425"/>
          <w:tab w:val="left" w:pos="709"/>
        </w:tabs>
        <w:ind w:left="1134" w:hanging="1134"/>
        <w:rPr>
          <w:rFonts w:cs="Arial"/>
          <w:color w:val="auto"/>
        </w:rPr>
      </w:pPr>
      <w:r>
        <w:rPr>
          <w:rFonts w:cs="Arial"/>
        </w:rPr>
        <w:t>14.1.1</w:t>
      </w:r>
      <w:r>
        <w:rPr>
          <w:rFonts w:cs="Arial"/>
        </w:rPr>
        <w:tab/>
        <w:t>Emissionsgrenzwerte für gefasste behandelte Abgase</w:t>
      </w:r>
    </w:p>
    <w:tbl>
      <w:tblPr>
        <w:tblW w:w="10124" w:type="dxa"/>
        <w:tblLayout w:type="fixed"/>
        <w:tblLook w:val="0000" w:firstRow="0" w:lastRow="0" w:firstColumn="0" w:lastColumn="0" w:noHBand="0" w:noVBand="0"/>
      </w:tblPr>
      <w:tblGrid>
        <w:gridCol w:w="1526"/>
        <w:gridCol w:w="1876"/>
        <w:gridCol w:w="236"/>
        <w:gridCol w:w="6109"/>
        <w:gridCol w:w="377"/>
      </w:tblGrid>
      <w:tr>
        <w:trPr>
          <w:gridAfter w:val="1"/>
          <w:wAfter w:w="377" w:type="dxa"/>
          <w:cantSplit/>
          <w:trHeight w:val="484"/>
        </w:trPr>
        <w:tc>
          <w:tcPr>
            <w:tcW w:w="3402" w:type="dxa"/>
            <w:gridSpan w:val="2"/>
            <w:tcBorders>
              <w:top w:val="single" w:sz="6" w:space="0" w:color="000000"/>
            </w:tcBorders>
          </w:tcPr>
          <w:p>
            <w:pPr>
              <w:pStyle w:val="GesAbsatz"/>
              <w:jc w:val="center"/>
              <w:rPr>
                <w:rFonts w:cs="Arial"/>
                <w:sz w:val="18"/>
                <w:szCs w:val="18"/>
              </w:rPr>
            </w:pPr>
            <w:r>
              <w:rPr>
                <w:rFonts w:cs="Arial"/>
                <w:sz w:val="18"/>
                <w:szCs w:val="18"/>
              </w:rPr>
              <w:t>Gesamtemissionsgrenzwert (kg/m</w:t>
            </w:r>
            <w:r>
              <w:rPr>
                <w:rFonts w:cs="Arial"/>
                <w:sz w:val="18"/>
                <w:szCs w:val="18"/>
                <w:vertAlign w:val="superscript"/>
              </w:rPr>
              <w:t>3</w:t>
            </w:r>
            <w:r>
              <w:rPr>
                <w:rFonts w:cs="Arial"/>
                <w:sz w:val="18"/>
                <w:szCs w:val="18"/>
              </w:rPr>
              <w:t>)</w:t>
            </w:r>
            <w:r>
              <w:rPr>
                <w:rFonts w:cs="Arial"/>
                <w:sz w:val="18"/>
                <w:szCs w:val="18"/>
                <w:vertAlign w:val="superscript"/>
              </w:rPr>
              <w:t>1</w:t>
            </w:r>
            <w:r>
              <w:rPr>
                <w:rFonts w:cs="Arial"/>
                <w:sz w:val="18"/>
                <w:szCs w:val="18"/>
              </w:rPr>
              <w:t xml:space="preserve"> Lösungsmittelverbrauch (t/a)</w:t>
            </w:r>
          </w:p>
        </w:tc>
        <w:tc>
          <w:tcPr>
            <w:tcW w:w="6345" w:type="dxa"/>
            <w:gridSpan w:val="2"/>
            <w:vMerge w:val="restart"/>
            <w:tcBorders>
              <w:top w:val="single" w:sz="6" w:space="0" w:color="000000"/>
              <w:bottom w:val="single" w:sz="4" w:space="0" w:color="auto"/>
            </w:tcBorders>
            <w:vAlign w:val="center"/>
          </w:tcPr>
          <w:p>
            <w:pPr>
              <w:pStyle w:val="GesAbsatz"/>
              <w:jc w:val="center"/>
              <w:rPr>
                <w:rFonts w:cs="Arial"/>
                <w:sz w:val="18"/>
                <w:szCs w:val="18"/>
              </w:rPr>
            </w:pPr>
            <w:r>
              <w:rPr>
                <w:rFonts w:cs="Arial"/>
                <w:sz w:val="18"/>
                <w:szCs w:val="18"/>
              </w:rPr>
              <w:t>Bemerkungen</w:t>
            </w:r>
          </w:p>
        </w:tc>
      </w:tr>
      <w:tr>
        <w:trPr>
          <w:gridAfter w:val="1"/>
          <w:wAfter w:w="377" w:type="dxa"/>
          <w:cantSplit/>
          <w:trHeight w:val="182"/>
        </w:trPr>
        <w:tc>
          <w:tcPr>
            <w:tcW w:w="1526" w:type="dxa"/>
            <w:tcBorders>
              <w:bottom w:val="single" w:sz="4" w:space="0" w:color="auto"/>
            </w:tcBorders>
          </w:tcPr>
          <w:p>
            <w:pPr>
              <w:pStyle w:val="GesAbsatz"/>
              <w:jc w:val="center"/>
              <w:rPr>
                <w:rFonts w:cs="Arial"/>
                <w:sz w:val="18"/>
                <w:szCs w:val="18"/>
              </w:rPr>
            </w:pPr>
            <w:r>
              <w:rPr>
                <w:rFonts w:cs="Arial"/>
                <w:sz w:val="18"/>
                <w:szCs w:val="18"/>
              </w:rPr>
              <w:t>&gt;5 – 15</w:t>
            </w:r>
          </w:p>
        </w:tc>
        <w:tc>
          <w:tcPr>
            <w:tcW w:w="1876" w:type="dxa"/>
            <w:tcBorders>
              <w:bottom w:val="single" w:sz="4" w:space="0" w:color="auto"/>
            </w:tcBorders>
          </w:tcPr>
          <w:p>
            <w:pPr>
              <w:pStyle w:val="GesAbsatz"/>
              <w:jc w:val="center"/>
              <w:rPr>
                <w:rFonts w:cs="Arial"/>
                <w:sz w:val="18"/>
                <w:szCs w:val="18"/>
              </w:rPr>
            </w:pPr>
            <w:r>
              <w:rPr>
                <w:rFonts w:cs="Arial"/>
                <w:sz w:val="18"/>
                <w:szCs w:val="18"/>
              </w:rPr>
              <w:t>&gt; 15</w:t>
            </w:r>
          </w:p>
        </w:tc>
        <w:tc>
          <w:tcPr>
            <w:tcW w:w="6345" w:type="dxa"/>
            <w:gridSpan w:val="2"/>
            <w:vMerge/>
            <w:tcBorders>
              <w:bottom w:val="single" w:sz="4" w:space="0" w:color="auto"/>
            </w:tcBorders>
          </w:tcPr>
          <w:p>
            <w:pPr>
              <w:pStyle w:val="GesAbsatz"/>
              <w:rPr>
                <w:rFonts w:cs="Arial"/>
                <w:sz w:val="18"/>
                <w:szCs w:val="18"/>
              </w:rPr>
            </w:pPr>
          </w:p>
        </w:tc>
      </w:tr>
      <w:tr>
        <w:trPr>
          <w:cantSplit/>
          <w:trHeight w:val="218"/>
        </w:trPr>
        <w:tc>
          <w:tcPr>
            <w:tcW w:w="1526" w:type="dxa"/>
            <w:vMerge w:val="restart"/>
            <w:tcBorders>
              <w:top w:val="single" w:sz="4" w:space="0" w:color="auto"/>
            </w:tcBorders>
          </w:tcPr>
          <w:p>
            <w:pPr>
              <w:pStyle w:val="GesAbsatz"/>
              <w:jc w:val="center"/>
              <w:rPr>
                <w:rFonts w:cs="Arial"/>
                <w:sz w:val="18"/>
                <w:szCs w:val="18"/>
                <w:vertAlign w:val="superscript"/>
              </w:rPr>
            </w:pPr>
            <w:r>
              <w:rPr>
                <w:rFonts w:cs="Arial"/>
                <w:sz w:val="18"/>
                <w:szCs w:val="18"/>
              </w:rPr>
              <w:t>50</w:t>
            </w:r>
            <w:r>
              <w:rPr>
                <w:rFonts w:cs="Arial"/>
                <w:sz w:val="18"/>
                <w:szCs w:val="18"/>
              </w:rPr>
              <w:br/>
              <w:t>100</w:t>
            </w:r>
            <w:r>
              <w:rPr>
                <w:rFonts w:cs="Arial"/>
                <w:sz w:val="18"/>
                <w:szCs w:val="18"/>
                <w:vertAlign w:val="superscript"/>
              </w:rPr>
              <w:t>2</w:t>
            </w:r>
          </w:p>
        </w:tc>
        <w:tc>
          <w:tcPr>
            <w:tcW w:w="1876" w:type="dxa"/>
            <w:vMerge w:val="restart"/>
            <w:tcBorders>
              <w:top w:val="single" w:sz="4" w:space="0" w:color="auto"/>
            </w:tcBorders>
          </w:tcPr>
          <w:p>
            <w:pPr>
              <w:pStyle w:val="GesAbsatz"/>
              <w:jc w:val="center"/>
              <w:rPr>
                <w:rFonts w:cs="Arial"/>
                <w:sz w:val="18"/>
                <w:szCs w:val="18"/>
                <w:vertAlign w:val="superscript"/>
              </w:rPr>
            </w:pPr>
            <w:r>
              <w:rPr>
                <w:rFonts w:cs="Arial"/>
                <w:sz w:val="18"/>
                <w:szCs w:val="18"/>
              </w:rPr>
              <w:t>50</w:t>
            </w:r>
            <w:r>
              <w:rPr>
                <w:rFonts w:cs="Arial"/>
                <w:sz w:val="18"/>
                <w:szCs w:val="18"/>
              </w:rPr>
              <w:br/>
              <w:t>20</w:t>
            </w:r>
            <w:r>
              <w:rPr>
                <w:rFonts w:cs="Arial"/>
                <w:sz w:val="18"/>
                <w:szCs w:val="18"/>
                <w:vertAlign w:val="superscript"/>
              </w:rPr>
              <w:t>3</w:t>
            </w:r>
          </w:p>
        </w:tc>
        <w:tc>
          <w:tcPr>
            <w:tcW w:w="236" w:type="dxa"/>
            <w:tcBorders>
              <w:top w:val="single" w:sz="4" w:space="0" w:color="auto"/>
            </w:tcBorders>
          </w:tcPr>
          <w:p>
            <w:pPr>
              <w:pStyle w:val="GesAbsatz"/>
              <w:jc w:val="right"/>
              <w:rPr>
                <w:rFonts w:cs="Arial"/>
                <w:sz w:val="18"/>
                <w:szCs w:val="18"/>
              </w:rPr>
            </w:pPr>
            <w:r>
              <w:rPr>
                <w:rFonts w:cs="Arial"/>
                <w:sz w:val="18"/>
                <w:szCs w:val="18"/>
                <w:vertAlign w:val="superscript"/>
              </w:rPr>
              <w:t>1</w:t>
            </w:r>
          </w:p>
        </w:tc>
        <w:tc>
          <w:tcPr>
            <w:tcW w:w="6486" w:type="dxa"/>
            <w:gridSpan w:val="2"/>
            <w:tcBorders>
              <w:top w:val="single" w:sz="4" w:space="0" w:color="auto"/>
            </w:tcBorders>
          </w:tcPr>
          <w:p>
            <w:pPr>
              <w:pStyle w:val="GesAbsatz"/>
              <w:rPr>
                <w:rFonts w:cs="Arial"/>
                <w:sz w:val="18"/>
                <w:szCs w:val="18"/>
              </w:rPr>
            </w:pPr>
            <w:r>
              <w:rPr>
                <w:rFonts w:cs="Arial"/>
                <w:sz w:val="18"/>
                <w:szCs w:val="18"/>
              </w:rPr>
              <w:t>Gilt nicht für Anlagen der Richtlinie 2010/75/EU.</w:t>
            </w:r>
          </w:p>
        </w:tc>
      </w:tr>
      <w:tr>
        <w:trPr>
          <w:cantSplit/>
          <w:trHeight w:val="218"/>
        </w:trPr>
        <w:tc>
          <w:tcPr>
            <w:tcW w:w="1526" w:type="dxa"/>
            <w:vMerge/>
          </w:tcPr>
          <w:p>
            <w:pPr>
              <w:pStyle w:val="GesAbsatz"/>
              <w:rPr>
                <w:rFonts w:cs="Arial"/>
                <w:sz w:val="18"/>
                <w:szCs w:val="18"/>
              </w:rPr>
            </w:pPr>
          </w:p>
        </w:tc>
        <w:tc>
          <w:tcPr>
            <w:tcW w:w="1876" w:type="dxa"/>
            <w:vMerge/>
          </w:tcPr>
          <w:p>
            <w:pPr>
              <w:pStyle w:val="GesAbsatz"/>
              <w:rPr>
                <w:rFonts w:cs="Arial"/>
                <w:sz w:val="18"/>
                <w:szCs w:val="18"/>
              </w:rPr>
            </w:pPr>
          </w:p>
        </w:tc>
        <w:tc>
          <w:tcPr>
            <w:tcW w:w="236" w:type="dxa"/>
          </w:tcPr>
          <w:p>
            <w:pPr>
              <w:pStyle w:val="GesAbsatz"/>
              <w:rPr>
                <w:rFonts w:cs="Arial"/>
                <w:sz w:val="18"/>
                <w:szCs w:val="18"/>
                <w:vertAlign w:val="superscript"/>
              </w:rPr>
            </w:pPr>
            <w:r>
              <w:rPr>
                <w:rFonts w:cs="Arial"/>
                <w:sz w:val="18"/>
                <w:szCs w:val="18"/>
                <w:vertAlign w:val="superscript"/>
              </w:rPr>
              <w:t>2</w:t>
            </w:r>
          </w:p>
        </w:tc>
        <w:tc>
          <w:tcPr>
            <w:tcW w:w="6486" w:type="dxa"/>
            <w:gridSpan w:val="2"/>
          </w:tcPr>
          <w:p>
            <w:pPr>
              <w:pStyle w:val="GesAbsatz"/>
              <w:rPr>
                <w:rFonts w:cs="Arial"/>
                <w:sz w:val="18"/>
                <w:szCs w:val="18"/>
              </w:rPr>
            </w:pPr>
            <w:r>
              <w:rPr>
                <w:rFonts w:cs="Arial"/>
                <w:sz w:val="18"/>
                <w:szCs w:val="18"/>
              </w:rPr>
              <w:t>Gilt für Abgasreinigungseinrichtungen mit Rückgewinnung.</w:t>
            </w:r>
          </w:p>
        </w:tc>
      </w:tr>
      <w:tr>
        <w:trPr>
          <w:cantSplit/>
          <w:trHeight w:val="218"/>
        </w:trPr>
        <w:tc>
          <w:tcPr>
            <w:tcW w:w="1526" w:type="dxa"/>
            <w:vMerge/>
          </w:tcPr>
          <w:p>
            <w:pPr>
              <w:pStyle w:val="GesAbsatz"/>
              <w:rPr>
                <w:rFonts w:cs="Arial"/>
                <w:sz w:val="18"/>
                <w:szCs w:val="18"/>
              </w:rPr>
            </w:pPr>
          </w:p>
        </w:tc>
        <w:tc>
          <w:tcPr>
            <w:tcW w:w="1876" w:type="dxa"/>
            <w:vMerge/>
          </w:tcPr>
          <w:p>
            <w:pPr>
              <w:pStyle w:val="GesAbsatz"/>
              <w:rPr>
                <w:rFonts w:cs="Arial"/>
                <w:sz w:val="18"/>
                <w:szCs w:val="18"/>
              </w:rPr>
            </w:pPr>
          </w:p>
        </w:tc>
        <w:tc>
          <w:tcPr>
            <w:tcW w:w="236" w:type="dxa"/>
          </w:tcPr>
          <w:p>
            <w:pPr>
              <w:pStyle w:val="GesAbsatz"/>
              <w:rPr>
                <w:rFonts w:cs="Arial"/>
                <w:sz w:val="18"/>
                <w:szCs w:val="18"/>
                <w:vertAlign w:val="superscript"/>
              </w:rPr>
            </w:pPr>
            <w:r>
              <w:rPr>
                <w:rFonts w:cs="Arial"/>
                <w:sz w:val="18"/>
                <w:szCs w:val="18"/>
                <w:vertAlign w:val="superscript"/>
              </w:rPr>
              <w:t>3</w:t>
            </w:r>
          </w:p>
        </w:tc>
        <w:tc>
          <w:tcPr>
            <w:tcW w:w="6486" w:type="dxa"/>
            <w:gridSpan w:val="2"/>
          </w:tcPr>
          <w:p>
            <w:pPr>
              <w:pStyle w:val="GesAbsatz"/>
              <w:rPr>
                <w:rFonts w:cs="Arial"/>
                <w:sz w:val="18"/>
                <w:szCs w:val="18"/>
              </w:rPr>
            </w:pPr>
            <w:r>
              <w:rPr>
                <w:rFonts w:cs="Arial"/>
                <w:sz w:val="18"/>
                <w:szCs w:val="18"/>
              </w:rPr>
              <w:t>Bei Anwendung von Abgasreinigungseinrichtungen mit thermischer Nachverbrennung.</w:t>
            </w:r>
          </w:p>
        </w:tc>
      </w:tr>
    </w:tbl>
    <w:p>
      <w:pPr>
        <w:pStyle w:val="GesAbsatz"/>
        <w:tabs>
          <w:tab w:val="clear" w:pos="425"/>
          <w:tab w:val="left" w:pos="709"/>
          <w:tab w:val="left" w:pos="1134"/>
        </w:tabs>
        <w:rPr>
          <w:rFonts w:cs="Arial"/>
        </w:rPr>
      </w:pPr>
      <w:r>
        <w:rPr>
          <w:rFonts w:cs="Arial"/>
        </w:rPr>
        <w:t>14.1.2</w:t>
      </w:r>
      <w:r>
        <w:rPr>
          <w:rFonts w:cs="Arial"/>
        </w:rPr>
        <w:tab/>
        <w:t>Grenzwerte für diffuse Emissionen</w:t>
      </w:r>
    </w:p>
    <w:tbl>
      <w:tblPr>
        <w:tblW w:w="10124" w:type="dxa"/>
        <w:tblLayout w:type="fixed"/>
        <w:tblLook w:val="0000" w:firstRow="0" w:lastRow="0" w:firstColumn="0" w:lastColumn="0" w:noHBand="0" w:noVBand="0"/>
      </w:tblPr>
      <w:tblGrid>
        <w:gridCol w:w="1526"/>
        <w:gridCol w:w="1876"/>
        <w:gridCol w:w="236"/>
        <w:gridCol w:w="6109"/>
        <w:gridCol w:w="377"/>
      </w:tblGrid>
      <w:tr>
        <w:trPr>
          <w:gridAfter w:val="1"/>
          <w:wAfter w:w="377" w:type="dxa"/>
          <w:cantSplit/>
          <w:trHeight w:val="484"/>
        </w:trPr>
        <w:tc>
          <w:tcPr>
            <w:tcW w:w="3402" w:type="dxa"/>
            <w:gridSpan w:val="2"/>
            <w:tcBorders>
              <w:top w:val="single" w:sz="6" w:space="0" w:color="000000"/>
            </w:tcBorders>
          </w:tcPr>
          <w:p>
            <w:pPr>
              <w:pStyle w:val="GesAbsatz"/>
              <w:jc w:val="center"/>
              <w:rPr>
                <w:rFonts w:cs="Arial"/>
                <w:sz w:val="18"/>
                <w:szCs w:val="18"/>
              </w:rPr>
            </w:pPr>
            <w:r>
              <w:rPr>
                <w:rFonts w:cs="Arial"/>
                <w:sz w:val="18"/>
                <w:szCs w:val="18"/>
              </w:rPr>
              <w:t>Grenzwert</w:t>
            </w:r>
            <w:r>
              <w:rPr>
                <w:rFonts w:cs="Arial"/>
                <w:sz w:val="18"/>
                <w:szCs w:val="18"/>
                <w:vertAlign w:val="superscript"/>
              </w:rPr>
              <w:t>1</w:t>
            </w:r>
            <w:r>
              <w:rPr>
                <w:rFonts w:cs="Arial"/>
                <w:sz w:val="18"/>
                <w:szCs w:val="18"/>
                <w:vertAlign w:val="superscript"/>
              </w:rPr>
              <w:br/>
            </w:r>
            <w:r>
              <w:rPr>
                <w:rFonts w:cs="Arial"/>
                <w:sz w:val="18"/>
                <w:szCs w:val="18"/>
              </w:rPr>
              <w:t>(% der eingesetzten Lösungsmittel)</w:t>
            </w:r>
            <w:r>
              <w:rPr>
                <w:rFonts w:cs="Arial"/>
                <w:sz w:val="18"/>
                <w:szCs w:val="18"/>
              </w:rPr>
              <w:br/>
              <w:t>Lösungsmittelverbrauch (t/a)</w:t>
            </w:r>
          </w:p>
        </w:tc>
        <w:tc>
          <w:tcPr>
            <w:tcW w:w="6345" w:type="dxa"/>
            <w:gridSpan w:val="2"/>
            <w:vMerge w:val="restart"/>
            <w:tcBorders>
              <w:top w:val="single" w:sz="6" w:space="0" w:color="000000"/>
              <w:bottom w:val="single" w:sz="4" w:space="0" w:color="auto"/>
            </w:tcBorders>
            <w:vAlign w:val="center"/>
          </w:tcPr>
          <w:p>
            <w:pPr>
              <w:pStyle w:val="GesAbsatz"/>
              <w:jc w:val="center"/>
              <w:rPr>
                <w:rFonts w:cs="Arial"/>
                <w:sz w:val="18"/>
                <w:szCs w:val="18"/>
              </w:rPr>
            </w:pPr>
            <w:r>
              <w:rPr>
                <w:rFonts w:cs="Arial"/>
                <w:sz w:val="18"/>
                <w:szCs w:val="18"/>
              </w:rPr>
              <w:t>Bemerkungen</w:t>
            </w:r>
          </w:p>
        </w:tc>
      </w:tr>
      <w:tr>
        <w:trPr>
          <w:gridAfter w:val="1"/>
          <w:wAfter w:w="377" w:type="dxa"/>
          <w:cantSplit/>
          <w:trHeight w:val="182"/>
        </w:trPr>
        <w:tc>
          <w:tcPr>
            <w:tcW w:w="1526" w:type="dxa"/>
            <w:tcBorders>
              <w:bottom w:val="single" w:sz="4" w:space="0" w:color="auto"/>
            </w:tcBorders>
          </w:tcPr>
          <w:p>
            <w:pPr>
              <w:pStyle w:val="GesAbsatz"/>
              <w:jc w:val="center"/>
              <w:rPr>
                <w:rFonts w:cs="Arial"/>
                <w:sz w:val="18"/>
                <w:szCs w:val="18"/>
              </w:rPr>
            </w:pPr>
            <w:r>
              <w:rPr>
                <w:rFonts w:cs="Arial"/>
                <w:sz w:val="18"/>
                <w:szCs w:val="18"/>
              </w:rPr>
              <w:t>&gt;5 – 15</w:t>
            </w:r>
          </w:p>
        </w:tc>
        <w:tc>
          <w:tcPr>
            <w:tcW w:w="1876" w:type="dxa"/>
            <w:tcBorders>
              <w:bottom w:val="single" w:sz="4" w:space="0" w:color="auto"/>
            </w:tcBorders>
          </w:tcPr>
          <w:p>
            <w:pPr>
              <w:pStyle w:val="GesAbsatz"/>
              <w:jc w:val="center"/>
              <w:rPr>
                <w:rFonts w:cs="Arial"/>
                <w:sz w:val="18"/>
                <w:szCs w:val="18"/>
              </w:rPr>
            </w:pPr>
            <w:r>
              <w:rPr>
                <w:rFonts w:cs="Arial"/>
                <w:sz w:val="18"/>
                <w:szCs w:val="18"/>
              </w:rPr>
              <w:t>&gt; 15</w:t>
            </w:r>
          </w:p>
        </w:tc>
        <w:tc>
          <w:tcPr>
            <w:tcW w:w="6345" w:type="dxa"/>
            <w:gridSpan w:val="2"/>
            <w:vMerge/>
            <w:tcBorders>
              <w:bottom w:val="single" w:sz="4" w:space="0" w:color="auto"/>
            </w:tcBorders>
          </w:tcPr>
          <w:p>
            <w:pPr>
              <w:pStyle w:val="GesAbsatz"/>
              <w:jc w:val="center"/>
              <w:rPr>
                <w:rFonts w:cs="Arial"/>
                <w:sz w:val="18"/>
                <w:szCs w:val="18"/>
              </w:rPr>
            </w:pPr>
          </w:p>
        </w:tc>
      </w:tr>
      <w:tr>
        <w:trPr>
          <w:cantSplit/>
          <w:trHeight w:val="218"/>
        </w:trPr>
        <w:tc>
          <w:tcPr>
            <w:tcW w:w="1526" w:type="dxa"/>
            <w:vMerge w:val="restart"/>
            <w:tcBorders>
              <w:top w:val="single" w:sz="4" w:space="0" w:color="auto"/>
            </w:tcBorders>
          </w:tcPr>
          <w:p>
            <w:pPr>
              <w:pStyle w:val="GesAbsatz"/>
              <w:jc w:val="center"/>
              <w:rPr>
                <w:rFonts w:cs="Arial"/>
                <w:sz w:val="18"/>
                <w:szCs w:val="18"/>
              </w:rPr>
            </w:pPr>
            <w:r>
              <w:rPr>
                <w:rFonts w:cs="Arial"/>
                <w:sz w:val="18"/>
                <w:szCs w:val="18"/>
              </w:rPr>
              <w:t>15</w:t>
            </w:r>
            <w:r>
              <w:rPr>
                <w:rFonts w:cs="Arial"/>
                <w:sz w:val="18"/>
                <w:szCs w:val="18"/>
                <w:vertAlign w:val="superscript"/>
              </w:rPr>
              <w:t>2</w:t>
            </w:r>
            <w:r>
              <w:rPr>
                <w:rFonts w:cs="Arial"/>
                <w:sz w:val="18"/>
                <w:szCs w:val="18"/>
              </w:rPr>
              <w:br/>
              <w:t>25</w:t>
            </w:r>
          </w:p>
        </w:tc>
        <w:tc>
          <w:tcPr>
            <w:tcW w:w="1876" w:type="dxa"/>
            <w:vMerge w:val="restart"/>
            <w:tcBorders>
              <w:top w:val="single" w:sz="4" w:space="0" w:color="auto"/>
            </w:tcBorders>
          </w:tcPr>
          <w:p>
            <w:pPr>
              <w:pStyle w:val="GesAbsatz"/>
              <w:jc w:val="center"/>
              <w:rPr>
                <w:rFonts w:cs="Arial"/>
                <w:sz w:val="18"/>
                <w:szCs w:val="18"/>
              </w:rPr>
            </w:pPr>
            <w:r>
              <w:rPr>
                <w:rFonts w:cs="Arial"/>
                <w:sz w:val="18"/>
                <w:szCs w:val="18"/>
              </w:rPr>
              <w:t>10</w:t>
            </w:r>
            <w:r>
              <w:rPr>
                <w:rFonts w:cs="Arial"/>
                <w:sz w:val="18"/>
                <w:szCs w:val="18"/>
                <w:vertAlign w:val="superscript"/>
              </w:rPr>
              <w:t>2</w:t>
            </w:r>
            <w:r>
              <w:rPr>
                <w:rFonts w:cs="Arial"/>
                <w:sz w:val="18"/>
                <w:szCs w:val="18"/>
                <w:vertAlign w:val="superscript"/>
              </w:rPr>
              <w:br/>
            </w:r>
            <w:r>
              <w:rPr>
                <w:rFonts w:cs="Arial"/>
                <w:sz w:val="18"/>
                <w:szCs w:val="18"/>
              </w:rPr>
              <w:t>20</w:t>
            </w:r>
          </w:p>
        </w:tc>
        <w:tc>
          <w:tcPr>
            <w:tcW w:w="236" w:type="dxa"/>
            <w:tcBorders>
              <w:top w:val="single" w:sz="4" w:space="0" w:color="auto"/>
            </w:tcBorders>
          </w:tcPr>
          <w:p>
            <w:pPr>
              <w:pStyle w:val="GesAbsatz"/>
              <w:rPr>
                <w:rFonts w:cs="Arial"/>
                <w:sz w:val="18"/>
                <w:szCs w:val="18"/>
              </w:rPr>
            </w:pPr>
            <w:r>
              <w:rPr>
                <w:rFonts w:cs="Arial"/>
                <w:sz w:val="18"/>
                <w:szCs w:val="18"/>
                <w:vertAlign w:val="superscript"/>
              </w:rPr>
              <w:t>1</w:t>
            </w:r>
          </w:p>
        </w:tc>
        <w:tc>
          <w:tcPr>
            <w:tcW w:w="6486" w:type="dxa"/>
            <w:gridSpan w:val="2"/>
            <w:tcBorders>
              <w:top w:val="single" w:sz="4" w:space="0" w:color="auto"/>
            </w:tcBorders>
          </w:tcPr>
          <w:p>
            <w:pPr>
              <w:pStyle w:val="GesAbsatz"/>
              <w:rPr>
                <w:rFonts w:cs="Arial"/>
                <w:sz w:val="18"/>
                <w:szCs w:val="18"/>
              </w:rPr>
            </w:pPr>
            <w:r>
              <w:rPr>
                <w:rFonts w:cs="Arial"/>
                <w:sz w:val="18"/>
                <w:szCs w:val="18"/>
              </w:rPr>
              <w:t>Flüchtige organische Verbindungen, die in gefassten unbehandelten Abgasen enthalten sind, zählen zu den diffusen Emissionen.</w:t>
            </w:r>
          </w:p>
        </w:tc>
      </w:tr>
      <w:tr>
        <w:trPr>
          <w:cantSplit/>
          <w:trHeight w:val="218"/>
        </w:trPr>
        <w:tc>
          <w:tcPr>
            <w:tcW w:w="1526" w:type="dxa"/>
            <w:vMerge/>
          </w:tcPr>
          <w:p>
            <w:pPr>
              <w:pStyle w:val="GesAbsatz"/>
              <w:rPr>
                <w:rFonts w:cs="Arial"/>
                <w:sz w:val="18"/>
                <w:szCs w:val="18"/>
              </w:rPr>
            </w:pPr>
          </w:p>
        </w:tc>
        <w:tc>
          <w:tcPr>
            <w:tcW w:w="1876" w:type="dxa"/>
            <w:vMerge/>
          </w:tcPr>
          <w:p>
            <w:pPr>
              <w:pStyle w:val="GesAbsatz"/>
              <w:rPr>
                <w:rFonts w:cs="Arial"/>
                <w:sz w:val="18"/>
                <w:szCs w:val="18"/>
              </w:rPr>
            </w:pPr>
          </w:p>
        </w:tc>
        <w:tc>
          <w:tcPr>
            <w:tcW w:w="236" w:type="dxa"/>
          </w:tcPr>
          <w:p>
            <w:pPr>
              <w:pStyle w:val="GesAbsatz"/>
              <w:rPr>
                <w:rFonts w:cs="Arial"/>
                <w:sz w:val="18"/>
                <w:szCs w:val="18"/>
                <w:vertAlign w:val="superscript"/>
              </w:rPr>
            </w:pPr>
            <w:r>
              <w:rPr>
                <w:rFonts w:cs="Arial"/>
                <w:sz w:val="18"/>
                <w:szCs w:val="18"/>
                <w:vertAlign w:val="superscript"/>
              </w:rPr>
              <w:t>2</w:t>
            </w:r>
          </w:p>
        </w:tc>
        <w:tc>
          <w:tcPr>
            <w:tcW w:w="6486" w:type="dxa"/>
            <w:gridSpan w:val="2"/>
          </w:tcPr>
          <w:p>
            <w:pPr>
              <w:pStyle w:val="GesAbsatz"/>
              <w:rPr>
                <w:rFonts w:cs="Arial"/>
                <w:sz w:val="18"/>
                <w:szCs w:val="18"/>
              </w:rPr>
            </w:pPr>
            <w:r>
              <w:rPr>
                <w:rFonts w:cs="Arial"/>
                <w:sz w:val="18"/>
                <w:szCs w:val="18"/>
              </w:rPr>
              <w:t>Bei automatisierter Beschichtung bahnenförmiger Materialien.</w:t>
            </w:r>
          </w:p>
        </w:tc>
      </w:tr>
    </w:tbl>
    <w:p>
      <w:pPr>
        <w:pStyle w:val="GesAbsatz"/>
        <w:tabs>
          <w:tab w:val="clear" w:pos="425"/>
          <w:tab w:val="left" w:pos="709"/>
        </w:tabs>
        <w:ind w:left="709" w:hanging="709"/>
        <w:rPr>
          <w:rFonts w:cs="Arial"/>
          <w:color w:val="auto"/>
        </w:rPr>
      </w:pPr>
      <w:r>
        <w:rPr>
          <w:rFonts w:cs="Arial"/>
          <w:color w:val="auto"/>
        </w:rPr>
        <w:t>14.1.3</w:t>
      </w:r>
      <w:r>
        <w:rPr>
          <w:rFonts w:cs="Arial"/>
          <w:color w:val="auto"/>
        </w:rPr>
        <w:tab/>
        <w:t>Grenzwert für Gesamtemissionen bei Anlagen der Richtlinie 2010/75/EU</w:t>
      </w:r>
    </w:p>
    <w:p>
      <w:pPr>
        <w:pStyle w:val="GesAbsatz"/>
        <w:tabs>
          <w:tab w:val="clear" w:pos="425"/>
          <w:tab w:val="left" w:pos="709"/>
        </w:tabs>
        <w:ind w:left="709"/>
        <w:rPr>
          <w:rFonts w:cs="Arial"/>
          <w:color w:val="auto"/>
        </w:rPr>
      </w:pPr>
      <w:r>
        <w:rPr>
          <w:rFonts w:cs="Arial"/>
          <w:color w:val="auto"/>
        </w:rPr>
        <w:t>Bei Anlagen der Richtlinie 2010/75/EU, in denen Klebebänder hergestellt werden, muss ein Gesamtemissionsgrenzwert von 1 Prozent der Masse der eingesetzten Lösungsmittel eingehalten werden.</w:t>
      </w:r>
    </w:p>
    <w:p>
      <w:pPr>
        <w:pStyle w:val="GesAbsatz"/>
        <w:tabs>
          <w:tab w:val="clear" w:pos="425"/>
          <w:tab w:val="left" w:pos="709"/>
        </w:tabs>
        <w:ind w:left="705" w:hanging="705"/>
        <w:rPr>
          <w:rFonts w:cs="Arial"/>
          <w:color w:val="auto"/>
        </w:rPr>
      </w:pPr>
      <w:r>
        <w:rPr>
          <w:rFonts w:cs="Arial"/>
          <w:color w:val="auto"/>
        </w:rPr>
        <w:t>14.1.4</w:t>
      </w:r>
      <w:r>
        <w:rPr>
          <w:rFonts w:cs="Arial"/>
          <w:color w:val="auto"/>
        </w:rPr>
        <w:tab/>
        <w:t>Emissionsgrenzwerte für gefasste behandelte Abgase bei Anlagen der Richtlinie 2010/75/EU zur Herstellung von Klebebändern</w:t>
      </w:r>
    </w:p>
    <w:tbl>
      <w:tblPr>
        <w:tblW w:w="9747" w:type="dxa"/>
        <w:tblLayout w:type="fixed"/>
        <w:tblLook w:val="0000" w:firstRow="0" w:lastRow="0" w:firstColumn="0" w:lastColumn="0" w:noHBand="0" w:noVBand="0"/>
      </w:tblPr>
      <w:tblGrid>
        <w:gridCol w:w="2835"/>
        <w:gridCol w:w="426"/>
        <w:gridCol w:w="425"/>
        <w:gridCol w:w="6061"/>
      </w:tblGrid>
      <w:tr>
        <w:trPr>
          <w:cantSplit/>
          <w:trHeight w:val="484"/>
        </w:trPr>
        <w:tc>
          <w:tcPr>
            <w:tcW w:w="2835" w:type="dxa"/>
            <w:tcBorders>
              <w:top w:val="single" w:sz="6" w:space="0" w:color="000000"/>
              <w:bottom w:val="single" w:sz="4" w:space="0" w:color="auto"/>
            </w:tcBorders>
          </w:tcPr>
          <w:p>
            <w:pPr>
              <w:pStyle w:val="GesAbsatz"/>
              <w:tabs>
                <w:tab w:val="clear" w:pos="425"/>
                <w:tab w:val="left" w:pos="709"/>
              </w:tabs>
              <w:ind w:left="705" w:hanging="705"/>
              <w:jc w:val="center"/>
              <w:rPr>
                <w:rFonts w:cs="Arial"/>
                <w:sz w:val="18"/>
                <w:szCs w:val="18"/>
              </w:rPr>
            </w:pPr>
            <w:r>
              <w:rPr>
                <w:rFonts w:cs="Arial"/>
                <w:sz w:val="18"/>
                <w:szCs w:val="18"/>
              </w:rPr>
              <w:t>Emissionsgrenzwert (mg C/m</w:t>
            </w:r>
            <w:r>
              <w:rPr>
                <w:rFonts w:cs="Arial"/>
                <w:sz w:val="18"/>
                <w:szCs w:val="18"/>
                <w:vertAlign w:val="superscript"/>
              </w:rPr>
              <w:t>3</w:t>
            </w:r>
            <w:r>
              <w:rPr>
                <w:rFonts w:cs="Arial"/>
                <w:sz w:val="18"/>
                <w:szCs w:val="18"/>
              </w:rPr>
              <w:t>)</w:t>
            </w:r>
          </w:p>
        </w:tc>
        <w:tc>
          <w:tcPr>
            <w:tcW w:w="6912" w:type="dxa"/>
            <w:gridSpan w:val="3"/>
            <w:tcBorders>
              <w:top w:val="single" w:sz="6" w:space="0" w:color="000000"/>
              <w:bottom w:val="single" w:sz="4" w:space="0" w:color="auto"/>
            </w:tcBorders>
          </w:tcPr>
          <w:p>
            <w:pPr>
              <w:pStyle w:val="GesAbsatz"/>
              <w:tabs>
                <w:tab w:val="clear" w:pos="425"/>
                <w:tab w:val="left" w:pos="709"/>
              </w:tabs>
              <w:ind w:left="705" w:hanging="705"/>
              <w:jc w:val="center"/>
              <w:rPr>
                <w:rFonts w:cs="Arial"/>
                <w:sz w:val="18"/>
                <w:szCs w:val="18"/>
              </w:rPr>
            </w:pPr>
            <w:r>
              <w:rPr>
                <w:rFonts w:cs="Arial"/>
                <w:sz w:val="18"/>
                <w:szCs w:val="18"/>
              </w:rPr>
              <w:t>Bemerkungen</w:t>
            </w:r>
          </w:p>
        </w:tc>
      </w:tr>
      <w:tr>
        <w:trPr>
          <w:cantSplit/>
          <w:trHeight w:val="218"/>
        </w:trPr>
        <w:tc>
          <w:tcPr>
            <w:tcW w:w="2835" w:type="dxa"/>
            <w:vMerge w:val="restart"/>
            <w:tcBorders>
              <w:top w:val="single" w:sz="4" w:space="0" w:color="auto"/>
            </w:tcBorders>
          </w:tcPr>
          <w:p>
            <w:pPr>
              <w:pStyle w:val="GesAbsatz"/>
              <w:jc w:val="center"/>
              <w:rPr>
                <w:rFonts w:cs="Arial"/>
                <w:sz w:val="18"/>
                <w:szCs w:val="18"/>
                <w:vertAlign w:val="superscript"/>
              </w:rPr>
            </w:pPr>
            <w:r>
              <w:rPr>
                <w:rFonts w:cs="Arial"/>
                <w:sz w:val="18"/>
                <w:szCs w:val="18"/>
              </w:rPr>
              <w:t>20</w:t>
            </w:r>
            <w:r>
              <w:rPr>
                <w:rFonts w:cs="Arial"/>
                <w:sz w:val="18"/>
                <w:szCs w:val="18"/>
              </w:rPr>
              <w:br/>
              <w:t>&lt; 50</w:t>
            </w:r>
            <w:r>
              <w:rPr>
                <w:rFonts w:cs="Arial"/>
                <w:sz w:val="18"/>
                <w:szCs w:val="18"/>
                <w:vertAlign w:val="superscript"/>
              </w:rPr>
              <w:t>1</w:t>
            </w:r>
          </w:p>
        </w:tc>
        <w:tc>
          <w:tcPr>
            <w:tcW w:w="426" w:type="dxa"/>
            <w:tcBorders>
              <w:top w:val="single" w:sz="4" w:space="0" w:color="auto"/>
            </w:tcBorders>
          </w:tcPr>
          <w:p>
            <w:pPr>
              <w:pStyle w:val="GesAbsatz"/>
              <w:jc w:val="right"/>
              <w:rPr>
                <w:rFonts w:cs="Arial"/>
                <w:sz w:val="18"/>
                <w:szCs w:val="18"/>
              </w:rPr>
            </w:pPr>
            <w:r>
              <w:rPr>
                <w:rFonts w:cs="Arial"/>
                <w:sz w:val="18"/>
                <w:szCs w:val="18"/>
                <w:vertAlign w:val="superscript"/>
              </w:rPr>
              <w:t>1</w:t>
            </w:r>
          </w:p>
        </w:tc>
        <w:tc>
          <w:tcPr>
            <w:tcW w:w="6486" w:type="dxa"/>
            <w:gridSpan w:val="2"/>
            <w:tcBorders>
              <w:top w:val="single" w:sz="4" w:space="0" w:color="auto"/>
            </w:tcBorders>
          </w:tcPr>
          <w:p>
            <w:pPr>
              <w:pStyle w:val="GesAbsatz"/>
              <w:tabs>
                <w:tab w:val="clear" w:pos="425"/>
                <w:tab w:val="left" w:pos="709"/>
              </w:tabs>
              <w:ind w:left="705" w:hanging="705"/>
              <w:rPr>
                <w:rFonts w:cs="Arial"/>
                <w:sz w:val="18"/>
                <w:szCs w:val="18"/>
              </w:rPr>
            </w:pPr>
            <w:r>
              <w:rPr>
                <w:rFonts w:cs="Arial"/>
                <w:sz w:val="18"/>
                <w:szCs w:val="18"/>
              </w:rPr>
              <w:t>Gilt</w:t>
            </w:r>
          </w:p>
        </w:tc>
      </w:tr>
      <w:tr>
        <w:trPr>
          <w:cantSplit/>
          <w:trHeight w:val="218"/>
        </w:trPr>
        <w:tc>
          <w:tcPr>
            <w:tcW w:w="2835" w:type="dxa"/>
            <w:vMerge/>
          </w:tcPr>
          <w:p>
            <w:pPr>
              <w:pStyle w:val="GesAbsatz"/>
              <w:tabs>
                <w:tab w:val="clear" w:pos="425"/>
                <w:tab w:val="left" w:pos="709"/>
              </w:tabs>
              <w:ind w:left="705" w:hanging="705"/>
              <w:rPr>
                <w:rFonts w:cs="Arial"/>
                <w:sz w:val="18"/>
                <w:szCs w:val="18"/>
              </w:rPr>
            </w:pPr>
          </w:p>
        </w:tc>
        <w:tc>
          <w:tcPr>
            <w:tcW w:w="426" w:type="dxa"/>
          </w:tcPr>
          <w:p>
            <w:pPr>
              <w:pStyle w:val="GesAbsatz"/>
              <w:tabs>
                <w:tab w:val="clear" w:pos="425"/>
                <w:tab w:val="left" w:pos="709"/>
              </w:tabs>
              <w:ind w:left="705" w:hanging="705"/>
              <w:rPr>
                <w:rFonts w:cs="Arial"/>
                <w:sz w:val="18"/>
                <w:szCs w:val="18"/>
                <w:vertAlign w:val="superscript"/>
              </w:rPr>
            </w:pPr>
          </w:p>
        </w:tc>
        <w:tc>
          <w:tcPr>
            <w:tcW w:w="425" w:type="dxa"/>
          </w:tcPr>
          <w:p>
            <w:pPr>
              <w:pStyle w:val="GesAbsatz"/>
              <w:tabs>
                <w:tab w:val="clear" w:pos="425"/>
                <w:tab w:val="left" w:pos="709"/>
              </w:tabs>
              <w:ind w:left="705" w:hanging="705"/>
              <w:rPr>
                <w:rFonts w:cs="Arial"/>
                <w:sz w:val="18"/>
                <w:szCs w:val="18"/>
              </w:rPr>
            </w:pPr>
            <w:r>
              <w:rPr>
                <w:rFonts w:cs="Arial"/>
                <w:sz w:val="18"/>
                <w:szCs w:val="18"/>
              </w:rPr>
              <w:t>a)</w:t>
            </w:r>
          </w:p>
        </w:tc>
        <w:tc>
          <w:tcPr>
            <w:tcW w:w="6061" w:type="dxa"/>
          </w:tcPr>
          <w:p>
            <w:pPr>
              <w:pStyle w:val="GesAbsatz"/>
              <w:tabs>
                <w:tab w:val="clear" w:pos="425"/>
                <w:tab w:val="left" w:pos="709"/>
              </w:tabs>
              <w:rPr>
                <w:rFonts w:cs="Arial"/>
                <w:sz w:val="18"/>
                <w:szCs w:val="18"/>
              </w:rPr>
            </w:pPr>
            <w:r>
              <w:rPr>
                <w:rFonts w:cs="Arial"/>
                <w:sz w:val="18"/>
                <w:szCs w:val="18"/>
              </w:rPr>
              <w:t>für den Fall, dass Techniken eingesetzt werden, die die Wiederverwendung/das Recycling zurückgewonnener Lösungsmittel ermöglichen,</w:t>
            </w:r>
          </w:p>
        </w:tc>
      </w:tr>
      <w:tr>
        <w:trPr>
          <w:cantSplit/>
          <w:trHeight w:val="218"/>
        </w:trPr>
        <w:tc>
          <w:tcPr>
            <w:tcW w:w="2835" w:type="dxa"/>
            <w:vMerge/>
          </w:tcPr>
          <w:p>
            <w:pPr>
              <w:pStyle w:val="GesAbsatz"/>
              <w:tabs>
                <w:tab w:val="clear" w:pos="425"/>
                <w:tab w:val="left" w:pos="709"/>
              </w:tabs>
              <w:ind w:left="705" w:hanging="705"/>
              <w:rPr>
                <w:rFonts w:cs="Arial"/>
                <w:sz w:val="18"/>
                <w:szCs w:val="18"/>
              </w:rPr>
            </w:pPr>
          </w:p>
        </w:tc>
        <w:tc>
          <w:tcPr>
            <w:tcW w:w="426" w:type="dxa"/>
          </w:tcPr>
          <w:p>
            <w:pPr>
              <w:pStyle w:val="GesAbsatz"/>
              <w:tabs>
                <w:tab w:val="clear" w:pos="425"/>
                <w:tab w:val="left" w:pos="709"/>
              </w:tabs>
              <w:ind w:left="705" w:hanging="705"/>
              <w:rPr>
                <w:rFonts w:cs="Arial"/>
                <w:sz w:val="18"/>
                <w:szCs w:val="18"/>
                <w:vertAlign w:val="superscript"/>
              </w:rPr>
            </w:pPr>
          </w:p>
        </w:tc>
        <w:tc>
          <w:tcPr>
            <w:tcW w:w="425" w:type="dxa"/>
          </w:tcPr>
          <w:p>
            <w:pPr>
              <w:pStyle w:val="GesAbsatz"/>
              <w:tabs>
                <w:tab w:val="clear" w:pos="425"/>
                <w:tab w:val="left" w:pos="709"/>
              </w:tabs>
              <w:ind w:left="705" w:hanging="705"/>
              <w:rPr>
                <w:rFonts w:cs="Arial"/>
                <w:sz w:val="18"/>
                <w:szCs w:val="18"/>
              </w:rPr>
            </w:pPr>
            <w:r>
              <w:rPr>
                <w:rFonts w:cs="Arial"/>
                <w:sz w:val="18"/>
                <w:szCs w:val="18"/>
              </w:rPr>
              <w:t>b)</w:t>
            </w:r>
          </w:p>
        </w:tc>
        <w:tc>
          <w:tcPr>
            <w:tcW w:w="6061" w:type="dxa"/>
          </w:tcPr>
          <w:p>
            <w:pPr>
              <w:pStyle w:val="GesAbsatz"/>
              <w:tabs>
                <w:tab w:val="clear" w:pos="425"/>
                <w:tab w:val="left" w:pos="709"/>
              </w:tabs>
              <w:rPr>
                <w:rFonts w:cs="Arial"/>
                <w:sz w:val="18"/>
                <w:szCs w:val="18"/>
              </w:rPr>
            </w:pPr>
            <w:r>
              <w:rPr>
                <w:rFonts w:cs="Arial"/>
                <w:sz w:val="18"/>
                <w:szCs w:val="18"/>
              </w:rPr>
              <w:t>für das Abgas des Konzentrators bei Verwendung einer Technik zur externen Aufkonzentrierung von Lösungsmitteln in den Abgasen durch Adsorption in Kombination einer Abgasreinigungseinrichtung.</w:t>
            </w:r>
          </w:p>
        </w:tc>
      </w:tr>
    </w:tbl>
    <w:p>
      <w:pPr>
        <w:pStyle w:val="GesAbsatz"/>
        <w:tabs>
          <w:tab w:val="clear" w:pos="425"/>
          <w:tab w:val="left" w:pos="709"/>
        </w:tabs>
        <w:ind w:left="1134" w:hanging="1134"/>
        <w:rPr>
          <w:rFonts w:cs="Arial"/>
          <w:b/>
          <w:bCs/>
        </w:rPr>
      </w:pPr>
      <w:r>
        <w:rPr>
          <w:rFonts w:cs="Arial"/>
          <w:b/>
          <w:bCs/>
        </w:rPr>
        <w:t>15.</w:t>
      </w:r>
      <w:r>
        <w:rPr>
          <w:rFonts w:cs="Arial"/>
          <w:b/>
          <w:bCs/>
        </w:rPr>
        <w:tab/>
        <w:t>Herstellung von Schuhen</w:t>
      </w:r>
    </w:p>
    <w:p>
      <w:pPr>
        <w:pStyle w:val="GesAbsatz"/>
        <w:tabs>
          <w:tab w:val="clear" w:pos="425"/>
          <w:tab w:val="left" w:pos="709"/>
        </w:tabs>
        <w:ind w:left="1134" w:hanging="1134"/>
        <w:rPr>
          <w:rFonts w:cs="Arial"/>
          <w:b/>
          <w:bCs/>
        </w:rPr>
      </w:pPr>
      <w:r>
        <w:rPr>
          <w:rFonts w:cs="Arial"/>
          <w:b/>
          <w:bCs/>
        </w:rPr>
        <w:t>15.1</w:t>
      </w:r>
      <w:r>
        <w:rPr>
          <w:rFonts w:cs="Arial"/>
          <w:b/>
          <w:bCs/>
        </w:rPr>
        <w:tab/>
        <w:t>Anlagen zur Herstellung von Schuhen</w:t>
      </w:r>
    </w:p>
    <w:p>
      <w:pPr>
        <w:pStyle w:val="GesAbsatz"/>
        <w:tabs>
          <w:tab w:val="clear" w:pos="425"/>
          <w:tab w:val="left" w:pos="709"/>
        </w:tabs>
        <w:ind w:left="1134" w:hanging="1134"/>
        <w:rPr>
          <w:rFonts w:cs="Arial"/>
        </w:rPr>
      </w:pPr>
      <w:r>
        <w:rPr>
          <w:rFonts w:cs="Arial"/>
        </w:rPr>
        <w:t>15.1.1</w:t>
      </w:r>
      <w:r>
        <w:rPr>
          <w:rFonts w:cs="Arial"/>
        </w:rPr>
        <w:tab/>
        <w:t>Grenzwert für die Gesamtemissionen</w:t>
      </w:r>
    </w:p>
    <w:tbl>
      <w:tblPr>
        <w:tblW w:w="9747" w:type="dxa"/>
        <w:tblLayout w:type="fixed"/>
        <w:tblLook w:val="0000" w:firstRow="0" w:lastRow="0" w:firstColumn="0" w:lastColumn="0" w:noHBand="0" w:noVBand="0"/>
      </w:tblPr>
      <w:tblGrid>
        <w:gridCol w:w="2835"/>
        <w:gridCol w:w="426"/>
        <w:gridCol w:w="6486"/>
      </w:tblGrid>
      <w:tr>
        <w:trPr>
          <w:cantSplit/>
          <w:trHeight w:val="484"/>
        </w:trPr>
        <w:tc>
          <w:tcPr>
            <w:tcW w:w="2835" w:type="dxa"/>
            <w:tcBorders>
              <w:top w:val="single" w:sz="6" w:space="0" w:color="000000"/>
            </w:tcBorders>
          </w:tcPr>
          <w:p>
            <w:pPr>
              <w:pStyle w:val="GesAbsatz"/>
              <w:jc w:val="center"/>
              <w:rPr>
                <w:rFonts w:cs="Arial"/>
                <w:sz w:val="18"/>
                <w:szCs w:val="18"/>
                <w:vertAlign w:val="superscript"/>
              </w:rPr>
            </w:pPr>
            <w:r>
              <w:rPr>
                <w:rFonts w:cs="Arial"/>
                <w:sz w:val="18"/>
                <w:szCs w:val="18"/>
              </w:rPr>
              <w:t>Gesamtemissionsgrenzwert (g)</w:t>
            </w:r>
            <w:r>
              <w:rPr>
                <w:rFonts w:cs="Arial"/>
                <w:sz w:val="18"/>
                <w:szCs w:val="18"/>
                <w:vertAlign w:val="superscript"/>
              </w:rPr>
              <w:t>1</w:t>
            </w:r>
          </w:p>
        </w:tc>
        <w:tc>
          <w:tcPr>
            <w:tcW w:w="6912" w:type="dxa"/>
            <w:gridSpan w:val="2"/>
            <w:tcBorders>
              <w:top w:val="single" w:sz="6" w:space="0" w:color="000000"/>
            </w:tcBorders>
          </w:tcPr>
          <w:p>
            <w:pPr>
              <w:pStyle w:val="GesAbsatz"/>
              <w:jc w:val="center"/>
              <w:rPr>
                <w:rFonts w:cs="Arial"/>
                <w:sz w:val="18"/>
                <w:szCs w:val="18"/>
              </w:rPr>
            </w:pPr>
            <w:r>
              <w:rPr>
                <w:rFonts w:cs="Arial"/>
                <w:sz w:val="18"/>
                <w:szCs w:val="18"/>
              </w:rPr>
              <w:t>Bemerkungen</w:t>
            </w:r>
          </w:p>
        </w:tc>
      </w:tr>
      <w:tr>
        <w:trPr>
          <w:cantSplit/>
          <w:trHeight w:val="218"/>
        </w:trPr>
        <w:tc>
          <w:tcPr>
            <w:tcW w:w="2835" w:type="dxa"/>
            <w:tcBorders>
              <w:top w:val="single" w:sz="4" w:space="0" w:color="auto"/>
            </w:tcBorders>
          </w:tcPr>
          <w:p>
            <w:pPr>
              <w:pStyle w:val="GesAbsatz"/>
              <w:jc w:val="center"/>
              <w:rPr>
                <w:rFonts w:cs="Arial"/>
                <w:sz w:val="18"/>
                <w:szCs w:val="18"/>
                <w:vertAlign w:val="superscript"/>
              </w:rPr>
            </w:pPr>
            <w:r>
              <w:rPr>
                <w:rFonts w:cs="Arial"/>
                <w:sz w:val="18"/>
                <w:szCs w:val="18"/>
              </w:rPr>
              <w:t>25</w:t>
            </w:r>
          </w:p>
        </w:tc>
        <w:tc>
          <w:tcPr>
            <w:tcW w:w="426" w:type="dxa"/>
            <w:tcBorders>
              <w:top w:val="single" w:sz="4" w:space="0" w:color="auto"/>
            </w:tcBorders>
          </w:tcPr>
          <w:p>
            <w:pPr>
              <w:pStyle w:val="GesAbsatz"/>
              <w:jc w:val="right"/>
              <w:rPr>
                <w:rFonts w:cs="Arial"/>
                <w:sz w:val="18"/>
                <w:szCs w:val="18"/>
              </w:rPr>
            </w:pPr>
            <w:r>
              <w:rPr>
                <w:rFonts w:cs="Arial"/>
                <w:sz w:val="18"/>
                <w:szCs w:val="18"/>
                <w:vertAlign w:val="superscript"/>
              </w:rPr>
              <w:t>1</w:t>
            </w:r>
          </w:p>
        </w:tc>
        <w:tc>
          <w:tcPr>
            <w:tcW w:w="6486" w:type="dxa"/>
            <w:tcBorders>
              <w:top w:val="single" w:sz="4" w:space="0" w:color="auto"/>
            </w:tcBorders>
          </w:tcPr>
          <w:p>
            <w:pPr>
              <w:pStyle w:val="GesAbsatz"/>
              <w:rPr>
                <w:rFonts w:cs="Arial"/>
                <w:sz w:val="18"/>
                <w:szCs w:val="18"/>
              </w:rPr>
            </w:pPr>
            <w:r>
              <w:rPr>
                <w:rFonts w:cs="Arial"/>
                <w:sz w:val="18"/>
                <w:szCs w:val="18"/>
              </w:rPr>
              <w:t>Angegeben in Gramm emittierter Lösungsmittel je vollständiges Paar Schuhe.</w:t>
            </w:r>
          </w:p>
        </w:tc>
      </w:tr>
    </w:tbl>
    <w:p>
      <w:pPr>
        <w:pStyle w:val="GesAbsatz"/>
        <w:tabs>
          <w:tab w:val="clear" w:pos="425"/>
          <w:tab w:val="left" w:pos="709"/>
        </w:tabs>
        <w:ind w:left="1134" w:hanging="1134"/>
        <w:jc w:val="left"/>
        <w:rPr>
          <w:b/>
          <w:bCs/>
        </w:rPr>
      </w:pPr>
      <w:r>
        <w:rPr>
          <w:rFonts w:cs="Arial"/>
          <w:b/>
        </w:rPr>
        <w:t>16.</w:t>
      </w:r>
      <w:r>
        <w:rPr>
          <w:rFonts w:cs="Arial"/>
          <w:b/>
        </w:rPr>
        <w:tab/>
        <w:t>Herstellung von Anstrich- oder Beschichtungsstoffen sowie Herstellung von Bautenschutz- oder Holzschutzmitteln, Klebstoffen oder Druckfarben</w:t>
      </w:r>
    </w:p>
    <w:p>
      <w:pPr>
        <w:pStyle w:val="GesAbsatz"/>
        <w:tabs>
          <w:tab w:val="clear" w:pos="425"/>
          <w:tab w:val="left" w:pos="709"/>
        </w:tabs>
        <w:ind w:left="1134" w:hanging="1134"/>
        <w:rPr>
          <w:rFonts w:cs="Arial"/>
          <w:b/>
        </w:rPr>
      </w:pPr>
      <w:r>
        <w:rPr>
          <w:rFonts w:cs="Arial"/>
          <w:b/>
        </w:rPr>
        <w:t>16.1</w:t>
      </w:r>
      <w:r>
        <w:rPr>
          <w:rFonts w:cs="Arial"/>
          <w:b/>
        </w:rPr>
        <w:tab/>
        <w:t>Anlagen zur Herstellung von Anstrich- oder Beschichtungsstoffen</w:t>
      </w:r>
    </w:p>
    <w:p>
      <w:pPr>
        <w:pStyle w:val="GesAbsatz"/>
        <w:tabs>
          <w:tab w:val="clear" w:pos="425"/>
          <w:tab w:val="left" w:pos="709"/>
        </w:tabs>
        <w:ind w:left="1134" w:hanging="1134"/>
        <w:rPr>
          <w:rFonts w:cs="Arial"/>
        </w:rPr>
      </w:pPr>
      <w:r>
        <w:rPr>
          <w:rFonts w:cs="Arial"/>
        </w:rPr>
        <w:t>16.1.1</w:t>
      </w:r>
      <w:r>
        <w:rPr>
          <w:rFonts w:cs="Arial"/>
        </w:rPr>
        <w:tab/>
        <w:t>Grenzwerte für die Gesamtemissionen</w:t>
      </w:r>
    </w:p>
    <w:tbl>
      <w:tblPr>
        <w:tblW w:w="10124" w:type="dxa"/>
        <w:tblLayout w:type="fixed"/>
        <w:tblLook w:val="0000" w:firstRow="0" w:lastRow="0" w:firstColumn="0" w:lastColumn="0" w:noHBand="0" w:noVBand="0"/>
      </w:tblPr>
      <w:tblGrid>
        <w:gridCol w:w="1526"/>
        <w:gridCol w:w="1876"/>
        <w:gridCol w:w="236"/>
        <w:gridCol w:w="6109"/>
        <w:gridCol w:w="377"/>
      </w:tblGrid>
      <w:tr>
        <w:trPr>
          <w:gridAfter w:val="1"/>
          <w:wAfter w:w="377" w:type="dxa"/>
          <w:cantSplit/>
          <w:trHeight w:val="484"/>
        </w:trPr>
        <w:tc>
          <w:tcPr>
            <w:tcW w:w="3402" w:type="dxa"/>
            <w:gridSpan w:val="2"/>
            <w:tcBorders>
              <w:top w:val="single" w:sz="6" w:space="0" w:color="000000"/>
            </w:tcBorders>
          </w:tcPr>
          <w:p>
            <w:pPr>
              <w:pStyle w:val="GesAbsatz"/>
              <w:jc w:val="center"/>
              <w:rPr>
                <w:rFonts w:cs="Arial"/>
                <w:sz w:val="18"/>
                <w:szCs w:val="18"/>
              </w:rPr>
            </w:pPr>
            <w:r>
              <w:rPr>
                <w:rFonts w:cs="Arial"/>
                <w:sz w:val="18"/>
                <w:szCs w:val="18"/>
              </w:rPr>
              <w:t>Gesamtemissionsgrenzwert</w:t>
            </w:r>
            <w:r>
              <w:rPr>
                <w:rFonts w:cs="Arial"/>
                <w:sz w:val="18"/>
                <w:szCs w:val="18"/>
                <w:vertAlign w:val="superscript"/>
              </w:rPr>
              <w:t>1</w:t>
            </w:r>
            <w:r>
              <w:rPr>
                <w:rFonts w:cs="Arial"/>
                <w:sz w:val="18"/>
                <w:szCs w:val="18"/>
              </w:rPr>
              <w:br/>
              <w:t>Lösungsmittelverbrauch (t/a)</w:t>
            </w:r>
          </w:p>
        </w:tc>
        <w:tc>
          <w:tcPr>
            <w:tcW w:w="6345" w:type="dxa"/>
            <w:gridSpan w:val="2"/>
            <w:vMerge w:val="restart"/>
            <w:tcBorders>
              <w:top w:val="single" w:sz="6" w:space="0" w:color="000000"/>
              <w:bottom w:val="single" w:sz="4" w:space="0" w:color="auto"/>
            </w:tcBorders>
            <w:vAlign w:val="center"/>
          </w:tcPr>
          <w:p>
            <w:pPr>
              <w:pStyle w:val="GesAbsatz"/>
              <w:jc w:val="center"/>
              <w:rPr>
                <w:rFonts w:cs="Arial"/>
                <w:sz w:val="18"/>
                <w:szCs w:val="18"/>
              </w:rPr>
            </w:pPr>
            <w:r>
              <w:rPr>
                <w:rFonts w:cs="Arial"/>
                <w:sz w:val="18"/>
                <w:szCs w:val="18"/>
              </w:rPr>
              <w:t>Bemerkungen</w:t>
            </w:r>
          </w:p>
        </w:tc>
      </w:tr>
      <w:tr>
        <w:trPr>
          <w:gridAfter w:val="1"/>
          <w:wAfter w:w="377" w:type="dxa"/>
          <w:cantSplit/>
          <w:trHeight w:val="182"/>
        </w:trPr>
        <w:tc>
          <w:tcPr>
            <w:tcW w:w="1526" w:type="dxa"/>
            <w:tcBorders>
              <w:bottom w:val="single" w:sz="4" w:space="0" w:color="auto"/>
            </w:tcBorders>
          </w:tcPr>
          <w:p>
            <w:pPr>
              <w:pStyle w:val="GesAbsatz"/>
              <w:jc w:val="center"/>
              <w:rPr>
                <w:rFonts w:cs="Arial"/>
                <w:sz w:val="18"/>
                <w:szCs w:val="18"/>
              </w:rPr>
            </w:pPr>
            <w:r>
              <w:rPr>
                <w:rFonts w:cs="Arial"/>
                <w:sz w:val="18"/>
                <w:szCs w:val="18"/>
              </w:rPr>
              <w:t>≤ 1 000</w:t>
            </w:r>
          </w:p>
        </w:tc>
        <w:tc>
          <w:tcPr>
            <w:tcW w:w="1876" w:type="dxa"/>
            <w:tcBorders>
              <w:bottom w:val="single" w:sz="4" w:space="0" w:color="auto"/>
            </w:tcBorders>
          </w:tcPr>
          <w:p>
            <w:pPr>
              <w:pStyle w:val="GesAbsatz"/>
              <w:jc w:val="center"/>
              <w:rPr>
                <w:rFonts w:cs="Arial"/>
                <w:sz w:val="18"/>
                <w:szCs w:val="18"/>
              </w:rPr>
            </w:pPr>
            <w:r>
              <w:rPr>
                <w:rFonts w:cs="Arial"/>
                <w:sz w:val="18"/>
                <w:szCs w:val="18"/>
              </w:rPr>
              <w:t>&gt; 1 000</w:t>
            </w:r>
          </w:p>
        </w:tc>
        <w:tc>
          <w:tcPr>
            <w:tcW w:w="6345" w:type="dxa"/>
            <w:gridSpan w:val="2"/>
            <w:vMerge/>
            <w:tcBorders>
              <w:bottom w:val="single" w:sz="4" w:space="0" w:color="auto"/>
            </w:tcBorders>
          </w:tcPr>
          <w:p>
            <w:pPr>
              <w:pStyle w:val="GesAbsatz"/>
              <w:rPr>
                <w:rFonts w:cs="Arial"/>
                <w:sz w:val="18"/>
                <w:szCs w:val="18"/>
              </w:rPr>
            </w:pPr>
          </w:p>
        </w:tc>
      </w:tr>
      <w:tr>
        <w:trPr>
          <w:cantSplit/>
          <w:trHeight w:val="218"/>
        </w:trPr>
        <w:tc>
          <w:tcPr>
            <w:tcW w:w="1526" w:type="dxa"/>
            <w:tcBorders>
              <w:top w:val="single" w:sz="4" w:space="0" w:color="auto"/>
            </w:tcBorders>
          </w:tcPr>
          <w:p>
            <w:pPr>
              <w:pStyle w:val="GesAbsatz"/>
              <w:jc w:val="center"/>
              <w:rPr>
                <w:rFonts w:cs="Arial"/>
                <w:sz w:val="18"/>
                <w:szCs w:val="18"/>
              </w:rPr>
            </w:pPr>
            <w:r>
              <w:rPr>
                <w:rFonts w:cs="Arial"/>
                <w:sz w:val="18"/>
                <w:szCs w:val="18"/>
              </w:rPr>
              <w:t>2,5</w:t>
            </w:r>
          </w:p>
        </w:tc>
        <w:tc>
          <w:tcPr>
            <w:tcW w:w="1876" w:type="dxa"/>
            <w:tcBorders>
              <w:top w:val="single" w:sz="4" w:space="0" w:color="auto"/>
            </w:tcBorders>
          </w:tcPr>
          <w:p>
            <w:pPr>
              <w:pStyle w:val="GesAbsatz"/>
              <w:jc w:val="center"/>
              <w:rPr>
                <w:rFonts w:cs="Arial"/>
                <w:sz w:val="18"/>
                <w:szCs w:val="18"/>
              </w:rPr>
            </w:pPr>
            <w:r>
              <w:rPr>
                <w:rFonts w:cs="Arial"/>
                <w:sz w:val="18"/>
                <w:szCs w:val="18"/>
              </w:rPr>
              <w:t>1</w:t>
            </w:r>
          </w:p>
        </w:tc>
        <w:tc>
          <w:tcPr>
            <w:tcW w:w="236" w:type="dxa"/>
            <w:tcBorders>
              <w:top w:val="single" w:sz="4" w:space="0" w:color="auto"/>
            </w:tcBorders>
          </w:tcPr>
          <w:p>
            <w:pPr>
              <w:pStyle w:val="GesAbsatz"/>
              <w:rPr>
                <w:rFonts w:cs="Arial"/>
                <w:sz w:val="18"/>
                <w:szCs w:val="18"/>
              </w:rPr>
            </w:pPr>
            <w:r>
              <w:rPr>
                <w:rFonts w:cs="Arial"/>
                <w:sz w:val="18"/>
                <w:szCs w:val="18"/>
                <w:vertAlign w:val="superscript"/>
              </w:rPr>
              <w:t>1</w:t>
            </w:r>
          </w:p>
        </w:tc>
        <w:tc>
          <w:tcPr>
            <w:tcW w:w="6486" w:type="dxa"/>
            <w:gridSpan w:val="2"/>
            <w:tcBorders>
              <w:top w:val="single" w:sz="4" w:space="0" w:color="auto"/>
            </w:tcBorders>
          </w:tcPr>
          <w:p>
            <w:pPr>
              <w:pStyle w:val="GesAbsatz"/>
              <w:rPr>
                <w:rFonts w:cs="Arial"/>
                <w:sz w:val="18"/>
                <w:szCs w:val="18"/>
              </w:rPr>
            </w:pPr>
            <w:r>
              <w:rPr>
                <w:rFonts w:cs="Arial"/>
                <w:sz w:val="18"/>
                <w:szCs w:val="18"/>
              </w:rPr>
              <w:t>Angegeben in Prozent des eingesetzten organischen Lösungsmittels.</w:t>
            </w:r>
          </w:p>
        </w:tc>
      </w:tr>
    </w:tbl>
    <w:p>
      <w:pPr>
        <w:pStyle w:val="GesAbsatz"/>
        <w:tabs>
          <w:tab w:val="clear" w:pos="425"/>
          <w:tab w:val="left" w:pos="709"/>
        </w:tabs>
        <w:rPr>
          <w:rFonts w:cs="Arial"/>
        </w:rPr>
      </w:pPr>
      <w:r>
        <w:rPr>
          <w:rFonts w:cs="Arial"/>
        </w:rPr>
        <w:t>16.1.2</w:t>
      </w:r>
      <w:r>
        <w:rPr>
          <w:rFonts w:cs="Arial"/>
        </w:rPr>
        <w:tab/>
        <w:t>Emissionsgrenzwerte für gefasste Abgase</w:t>
      </w:r>
    </w:p>
    <w:tbl>
      <w:tblPr>
        <w:tblW w:w="10124" w:type="dxa"/>
        <w:tblLayout w:type="fixed"/>
        <w:tblLook w:val="0000" w:firstRow="0" w:lastRow="0" w:firstColumn="0" w:lastColumn="0" w:noHBand="0" w:noVBand="0"/>
      </w:tblPr>
      <w:tblGrid>
        <w:gridCol w:w="1526"/>
        <w:gridCol w:w="1876"/>
        <w:gridCol w:w="236"/>
        <w:gridCol w:w="6109"/>
        <w:gridCol w:w="377"/>
      </w:tblGrid>
      <w:tr>
        <w:trPr>
          <w:gridAfter w:val="1"/>
          <w:wAfter w:w="377" w:type="dxa"/>
          <w:cantSplit/>
          <w:trHeight w:val="484"/>
        </w:trPr>
        <w:tc>
          <w:tcPr>
            <w:tcW w:w="3402" w:type="dxa"/>
            <w:gridSpan w:val="2"/>
            <w:tcBorders>
              <w:top w:val="single" w:sz="6" w:space="0" w:color="000000"/>
            </w:tcBorders>
          </w:tcPr>
          <w:p>
            <w:pPr>
              <w:pStyle w:val="GesAbsatz"/>
              <w:jc w:val="center"/>
              <w:rPr>
                <w:rFonts w:cs="Arial"/>
                <w:sz w:val="18"/>
                <w:szCs w:val="18"/>
              </w:rPr>
            </w:pPr>
            <w:r>
              <w:rPr>
                <w:rFonts w:cs="Arial"/>
                <w:sz w:val="18"/>
                <w:szCs w:val="18"/>
              </w:rPr>
              <w:t>Emissionsgrenzwert (mg C/m</w:t>
            </w:r>
            <w:r>
              <w:rPr>
                <w:rFonts w:cs="Arial"/>
                <w:sz w:val="18"/>
                <w:szCs w:val="18"/>
                <w:vertAlign w:val="superscript"/>
              </w:rPr>
              <w:t>3</w:t>
            </w:r>
            <w:r>
              <w:rPr>
                <w:rFonts w:cs="Arial"/>
                <w:sz w:val="18"/>
                <w:szCs w:val="18"/>
              </w:rPr>
              <w:t>)</w:t>
            </w:r>
            <w:r>
              <w:rPr>
                <w:rFonts w:cs="Arial"/>
                <w:sz w:val="18"/>
                <w:szCs w:val="18"/>
              </w:rPr>
              <w:br/>
              <w:t>Lösungsmittelverbrauch (t/a)</w:t>
            </w:r>
          </w:p>
        </w:tc>
        <w:tc>
          <w:tcPr>
            <w:tcW w:w="6345" w:type="dxa"/>
            <w:gridSpan w:val="2"/>
            <w:vMerge w:val="restart"/>
            <w:tcBorders>
              <w:top w:val="single" w:sz="6" w:space="0" w:color="000000"/>
              <w:bottom w:val="single" w:sz="4" w:space="0" w:color="auto"/>
            </w:tcBorders>
            <w:vAlign w:val="center"/>
          </w:tcPr>
          <w:p>
            <w:pPr>
              <w:pStyle w:val="GesAbsatz"/>
              <w:jc w:val="center"/>
              <w:rPr>
                <w:rFonts w:cs="Arial"/>
                <w:sz w:val="18"/>
                <w:szCs w:val="18"/>
              </w:rPr>
            </w:pPr>
            <w:r>
              <w:rPr>
                <w:rFonts w:cs="Arial"/>
                <w:sz w:val="18"/>
                <w:szCs w:val="18"/>
              </w:rPr>
              <w:t>Bemerkungen</w:t>
            </w:r>
          </w:p>
        </w:tc>
      </w:tr>
      <w:tr>
        <w:trPr>
          <w:gridAfter w:val="1"/>
          <w:wAfter w:w="377" w:type="dxa"/>
          <w:cantSplit/>
          <w:trHeight w:val="182"/>
        </w:trPr>
        <w:tc>
          <w:tcPr>
            <w:tcW w:w="1526" w:type="dxa"/>
            <w:tcBorders>
              <w:bottom w:val="single" w:sz="4" w:space="0" w:color="auto"/>
            </w:tcBorders>
          </w:tcPr>
          <w:p>
            <w:pPr>
              <w:pStyle w:val="GesAbsatz"/>
              <w:jc w:val="center"/>
              <w:rPr>
                <w:rFonts w:cs="Arial"/>
                <w:sz w:val="18"/>
                <w:szCs w:val="18"/>
              </w:rPr>
            </w:pPr>
            <w:r>
              <w:rPr>
                <w:rFonts w:cs="Arial"/>
                <w:sz w:val="18"/>
                <w:szCs w:val="18"/>
              </w:rPr>
              <w:t>≤ 1 000</w:t>
            </w:r>
          </w:p>
        </w:tc>
        <w:tc>
          <w:tcPr>
            <w:tcW w:w="1876" w:type="dxa"/>
            <w:tcBorders>
              <w:bottom w:val="single" w:sz="4" w:space="0" w:color="auto"/>
            </w:tcBorders>
          </w:tcPr>
          <w:p>
            <w:pPr>
              <w:pStyle w:val="GesAbsatz"/>
              <w:jc w:val="center"/>
              <w:rPr>
                <w:rFonts w:cs="Arial"/>
                <w:sz w:val="18"/>
                <w:szCs w:val="18"/>
              </w:rPr>
            </w:pPr>
            <w:r>
              <w:rPr>
                <w:rFonts w:cs="Arial"/>
                <w:sz w:val="18"/>
                <w:szCs w:val="18"/>
              </w:rPr>
              <w:t>&gt; 1 000</w:t>
            </w:r>
          </w:p>
        </w:tc>
        <w:tc>
          <w:tcPr>
            <w:tcW w:w="6345" w:type="dxa"/>
            <w:gridSpan w:val="2"/>
            <w:vMerge/>
            <w:tcBorders>
              <w:bottom w:val="single" w:sz="4" w:space="0" w:color="auto"/>
            </w:tcBorders>
          </w:tcPr>
          <w:p>
            <w:pPr>
              <w:pStyle w:val="GesAbsatz"/>
              <w:jc w:val="center"/>
              <w:rPr>
                <w:rFonts w:cs="Arial"/>
                <w:sz w:val="18"/>
                <w:szCs w:val="18"/>
              </w:rPr>
            </w:pPr>
          </w:p>
        </w:tc>
      </w:tr>
      <w:tr>
        <w:trPr>
          <w:cantSplit/>
          <w:trHeight w:val="218"/>
        </w:trPr>
        <w:tc>
          <w:tcPr>
            <w:tcW w:w="1526" w:type="dxa"/>
            <w:vMerge w:val="restart"/>
            <w:tcBorders>
              <w:top w:val="single" w:sz="4" w:space="0" w:color="auto"/>
            </w:tcBorders>
          </w:tcPr>
          <w:p>
            <w:pPr>
              <w:pStyle w:val="GesAbsatz"/>
              <w:jc w:val="center"/>
              <w:rPr>
                <w:rFonts w:cs="Arial"/>
                <w:sz w:val="18"/>
                <w:szCs w:val="18"/>
                <w:vertAlign w:val="superscript"/>
              </w:rPr>
            </w:pPr>
            <w:r>
              <w:rPr>
                <w:rFonts w:cs="Arial"/>
                <w:sz w:val="18"/>
                <w:szCs w:val="18"/>
              </w:rPr>
              <w:t>20</w:t>
            </w:r>
            <w:r>
              <w:rPr>
                <w:rFonts w:cs="Arial"/>
                <w:sz w:val="18"/>
                <w:szCs w:val="18"/>
                <w:vertAlign w:val="superscript"/>
              </w:rPr>
              <w:t>1</w:t>
            </w:r>
            <w:r>
              <w:rPr>
                <w:rFonts w:cs="Arial"/>
                <w:sz w:val="18"/>
                <w:szCs w:val="18"/>
                <w:vertAlign w:val="superscript"/>
              </w:rPr>
              <w:br/>
            </w:r>
            <w:r>
              <w:rPr>
                <w:rFonts w:cs="Arial"/>
                <w:sz w:val="18"/>
                <w:szCs w:val="18"/>
              </w:rPr>
              <w:t>100</w:t>
            </w:r>
          </w:p>
        </w:tc>
        <w:tc>
          <w:tcPr>
            <w:tcW w:w="1876" w:type="dxa"/>
            <w:vMerge w:val="restart"/>
            <w:tcBorders>
              <w:top w:val="single" w:sz="4" w:space="0" w:color="auto"/>
            </w:tcBorders>
          </w:tcPr>
          <w:p>
            <w:pPr>
              <w:pStyle w:val="GesAbsatz"/>
              <w:jc w:val="center"/>
              <w:rPr>
                <w:rFonts w:cs="Arial"/>
                <w:sz w:val="18"/>
                <w:szCs w:val="18"/>
                <w:vertAlign w:val="superscript"/>
              </w:rPr>
            </w:pPr>
            <w:r>
              <w:rPr>
                <w:rFonts w:cs="Arial"/>
                <w:sz w:val="18"/>
                <w:szCs w:val="18"/>
              </w:rPr>
              <w:t>20</w:t>
            </w:r>
            <w:r>
              <w:rPr>
                <w:rFonts w:cs="Arial"/>
                <w:sz w:val="18"/>
                <w:szCs w:val="18"/>
                <w:vertAlign w:val="superscript"/>
              </w:rPr>
              <w:t>1</w:t>
            </w:r>
            <w:r>
              <w:rPr>
                <w:rFonts w:cs="Arial"/>
                <w:sz w:val="18"/>
                <w:szCs w:val="18"/>
              </w:rPr>
              <w:br/>
              <w:t>50</w:t>
            </w:r>
            <w:r>
              <w:rPr>
                <w:rFonts w:cs="Arial"/>
                <w:sz w:val="18"/>
                <w:szCs w:val="18"/>
              </w:rPr>
              <w:br/>
              <w:t>100</w:t>
            </w:r>
            <w:r>
              <w:rPr>
                <w:rFonts w:cs="Arial"/>
                <w:sz w:val="18"/>
                <w:szCs w:val="18"/>
                <w:vertAlign w:val="superscript"/>
              </w:rPr>
              <w:t>2</w:t>
            </w:r>
          </w:p>
        </w:tc>
        <w:tc>
          <w:tcPr>
            <w:tcW w:w="236" w:type="dxa"/>
            <w:tcBorders>
              <w:top w:val="single" w:sz="4" w:space="0" w:color="auto"/>
            </w:tcBorders>
          </w:tcPr>
          <w:p>
            <w:pPr>
              <w:pStyle w:val="GesAbsatz"/>
              <w:jc w:val="center"/>
              <w:rPr>
                <w:rFonts w:cs="Arial"/>
                <w:sz w:val="18"/>
                <w:szCs w:val="18"/>
              </w:rPr>
            </w:pPr>
            <w:r>
              <w:rPr>
                <w:rFonts w:cs="Arial"/>
                <w:sz w:val="18"/>
                <w:szCs w:val="18"/>
                <w:vertAlign w:val="superscript"/>
              </w:rPr>
              <w:t>1</w:t>
            </w:r>
          </w:p>
        </w:tc>
        <w:tc>
          <w:tcPr>
            <w:tcW w:w="6486" w:type="dxa"/>
            <w:gridSpan w:val="2"/>
            <w:tcBorders>
              <w:top w:val="single" w:sz="4" w:space="0" w:color="auto"/>
            </w:tcBorders>
          </w:tcPr>
          <w:p>
            <w:pPr>
              <w:pStyle w:val="GesAbsatz"/>
              <w:jc w:val="left"/>
              <w:rPr>
                <w:rFonts w:cs="Arial"/>
                <w:sz w:val="18"/>
                <w:szCs w:val="18"/>
              </w:rPr>
            </w:pPr>
            <w:r>
              <w:rPr>
                <w:rFonts w:cs="Arial"/>
                <w:sz w:val="18"/>
                <w:szCs w:val="18"/>
              </w:rPr>
              <w:t>Bei Anwendung von Abgasreinigungseinrichtungen mit thermischer Nachverbrennung.</w:t>
            </w:r>
          </w:p>
        </w:tc>
      </w:tr>
      <w:tr>
        <w:trPr>
          <w:cantSplit/>
          <w:trHeight w:val="218"/>
        </w:trPr>
        <w:tc>
          <w:tcPr>
            <w:tcW w:w="1526" w:type="dxa"/>
            <w:vMerge/>
          </w:tcPr>
          <w:p>
            <w:pPr>
              <w:pStyle w:val="GesAbsatz"/>
              <w:jc w:val="center"/>
              <w:rPr>
                <w:rFonts w:cs="Arial"/>
                <w:sz w:val="18"/>
                <w:szCs w:val="18"/>
              </w:rPr>
            </w:pPr>
          </w:p>
        </w:tc>
        <w:tc>
          <w:tcPr>
            <w:tcW w:w="1876" w:type="dxa"/>
            <w:vMerge/>
          </w:tcPr>
          <w:p>
            <w:pPr>
              <w:pStyle w:val="GesAbsatz"/>
              <w:jc w:val="center"/>
              <w:rPr>
                <w:rFonts w:cs="Arial"/>
                <w:sz w:val="18"/>
                <w:szCs w:val="18"/>
              </w:rPr>
            </w:pPr>
          </w:p>
        </w:tc>
        <w:tc>
          <w:tcPr>
            <w:tcW w:w="236" w:type="dxa"/>
          </w:tcPr>
          <w:p>
            <w:pPr>
              <w:pStyle w:val="GesAbsatz"/>
              <w:jc w:val="center"/>
              <w:rPr>
                <w:rFonts w:cs="Arial"/>
                <w:sz w:val="18"/>
                <w:szCs w:val="18"/>
                <w:vertAlign w:val="superscript"/>
              </w:rPr>
            </w:pPr>
            <w:r>
              <w:rPr>
                <w:rFonts w:cs="Arial"/>
                <w:sz w:val="18"/>
                <w:szCs w:val="18"/>
                <w:vertAlign w:val="superscript"/>
              </w:rPr>
              <w:t>2</w:t>
            </w:r>
          </w:p>
        </w:tc>
        <w:tc>
          <w:tcPr>
            <w:tcW w:w="6486" w:type="dxa"/>
            <w:gridSpan w:val="2"/>
          </w:tcPr>
          <w:p>
            <w:pPr>
              <w:pStyle w:val="GesAbsatz"/>
              <w:jc w:val="left"/>
              <w:rPr>
                <w:rFonts w:cs="Arial"/>
                <w:sz w:val="18"/>
                <w:szCs w:val="18"/>
              </w:rPr>
            </w:pPr>
            <w:r>
              <w:rPr>
                <w:rFonts w:cs="Arial"/>
                <w:sz w:val="18"/>
                <w:szCs w:val="18"/>
              </w:rPr>
              <w:t>Gilt für Abgasreinigungseinrichtungen mit Rückgewinnung durch Kondensation, sofern keine flüchtigen organischen Verbindungen der Klasse II der Technischen Anleitung zur Reinhaltung der Luft in der jeweils geltenden Fassung eingesetzt werden.</w:t>
            </w:r>
          </w:p>
        </w:tc>
      </w:tr>
    </w:tbl>
    <w:p>
      <w:pPr>
        <w:pStyle w:val="GesAbsatz"/>
        <w:tabs>
          <w:tab w:val="clear" w:pos="425"/>
          <w:tab w:val="left" w:pos="709"/>
        </w:tabs>
        <w:rPr>
          <w:rFonts w:cs="Arial"/>
        </w:rPr>
      </w:pPr>
      <w:r>
        <w:rPr>
          <w:rFonts w:cs="Arial"/>
        </w:rPr>
        <w:lastRenderedPageBreak/>
        <w:t>16.1.3</w:t>
      </w:r>
      <w:r>
        <w:rPr>
          <w:rFonts w:cs="Arial"/>
        </w:rPr>
        <w:tab/>
        <w:t>Grenzwerte für diffuse Emissionen</w:t>
      </w:r>
    </w:p>
    <w:tbl>
      <w:tblPr>
        <w:tblW w:w="10124" w:type="dxa"/>
        <w:tblLayout w:type="fixed"/>
        <w:tblLook w:val="0000" w:firstRow="0" w:lastRow="0" w:firstColumn="0" w:lastColumn="0" w:noHBand="0" w:noVBand="0"/>
      </w:tblPr>
      <w:tblGrid>
        <w:gridCol w:w="1526"/>
        <w:gridCol w:w="1876"/>
        <w:gridCol w:w="236"/>
        <w:gridCol w:w="6109"/>
        <w:gridCol w:w="377"/>
      </w:tblGrid>
      <w:tr>
        <w:trPr>
          <w:gridAfter w:val="1"/>
          <w:wAfter w:w="377" w:type="dxa"/>
          <w:cantSplit/>
          <w:trHeight w:val="484"/>
        </w:trPr>
        <w:tc>
          <w:tcPr>
            <w:tcW w:w="3402" w:type="dxa"/>
            <w:gridSpan w:val="2"/>
            <w:tcBorders>
              <w:top w:val="single" w:sz="6" w:space="0" w:color="000000"/>
            </w:tcBorders>
          </w:tcPr>
          <w:p>
            <w:pPr>
              <w:pStyle w:val="GesAbsatz"/>
              <w:jc w:val="center"/>
              <w:rPr>
                <w:rFonts w:cs="Arial"/>
                <w:sz w:val="18"/>
                <w:szCs w:val="18"/>
              </w:rPr>
            </w:pPr>
            <w:r>
              <w:rPr>
                <w:rFonts w:cs="Arial"/>
                <w:sz w:val="18"/>
                <w:szCs w:val="18"/>
              </w:rPr>
              <w:t>Grenzwert</w:t>
            </w:r>
            <w:r>
              <w:rPr>
                <w:rFonts w:cs="Arial"/>
                <w:sz w:val="18"/>
                <w:szCs w:val="18"/>
                <w:vertAlign w:val="superscript"/>
              </w:rPr>
              <w:t>1</w:t>
            </w:r>
            <w:r>
              <w:rPr>
                <w:rFonts w:cs="Arial"/>
                <w:sz w:val="18"/>
                <w:szCs w:val="18"/>
              </w:rPr>
              <w:br/>
              <w:t>(% der eingesetzten Lösungsmittel)</w:t>
            </w:r>
            <w:r>
              <w:rPr>
                <w:rFonts w:cs="Arial"/>
                <w:sz w:val="18"/>
                <w:szCs w:val="18"/>
              </w:rPr>
              <w:br/>
              <w:t>Lösungsmittelverbrauch (t/a)</w:t>
            </w:r>
          </w:p>
        </w:tc>
        <w:tc>
          <w:tcPr>
            <w:tcW w:w="6345" w:type="dxa"/>
            <w:gridSpan w:val="2"/>
            <w:vMerge w:val="restart"/>
            <w:tcBorders>
              <w:top w:val="single" w:sz="6" w:space="0" w:color="000000"/>
              <w:bottom w:val="single" w:sz="4" w:space="0" w:color="auto"/>
            </w:tcBorders>
            <w:vAlign w:val="center"/>
          </w:tcPr>
          <w:p>
            <w:pPr>
              <w:pStyle w:val="GesAbsatz"/>
              <w:jc w:val="center"/>
              <w:rPr>
                <w:rFonts w:cs="Arial"/>
                <w:sz w:val="18"/>
                <w:szCs w:val="18"/>
              </w:rPr>
            </w:pPr>
            <w:r>
              <w:rPr>
                <w:rFonts w:cs="Arial"/>
                <w:sz w:val="18"/>
                <w:szCs w:val="18"/>
              </w:rPr>
              <w:t>Bemerkungen</w:t>
            </w:r>
          </w:p>
        </w:tc>
      </w:tr>
      <w:tr>
        <w:trPr>
          <w:gridAfter w:val="1"/>
          <w:wAfter w:w="377" w:type="dxa"/>
          <w:cantSplit/>
          <w:trHeight w:val="182"/>
        </w:trPr>
        <w:tc>
          <w:tcPr>
            <w:tcW w:w="1526" w:type="dxa"/>
            <w:tcBorders>
              <w:bottom w:val="single" w:sz="4" w:space="0" w:color="auto"/>
            </w:tcBorders>
          </w:tcPr>
          <w:p>
            <w:pPr>
              <w:pStyle w:val="GesAbsatz"/>
              <w:jc w:val="center"/>
              <w:rPr>
                <w:rFonts w:cs="Arial"/>
                <w:sz w:val="18"/>
                <w:szCs w:val="18"/>
              </w:rPr>
            </w:pPr>
            <w:r>
              <w:rPr>
                <w:rFonts w:cs="Arial"/>
                <w:sz w:val="18"/>
                <w:szCs w:val="18"/>
              </w:rPr>
              <w:t>≤ 1 000</w:t>
            </w:r>
          </w:p>
        </w:tc>
        <w:tc>
          <w:tcPr>
            <w:tcW w:w="1876" w:type="dxa"/>
            <w:tcBorders>
              <w:bottom w:val="single" w:sz="4" w:space="0" w:color="auto"/>
            </w:tcBorders>
          </w:tcPr>
          <w:p>
            <w:pPr>
              <w:pStyle w:val="GesAbsatz"/>
              <w:jc w:val="center"/>
              <w:rPr>
                <w:rFonts w:cs="Arial"/>
                <w:sz w:val="18"/>
                <w:szCs w:val="18"/>
              </w:rPr>
            </w:pPr>
            <w:r>
              <w:rPr>
                <w:rFonts w:cs="Arial"/>
                <w:sz w:val="18"/>
                <w:szCs w:val="18"/>
              </w:rPr>
              <w:t>&gt; 1 000</w:t>
            </w:r>
          </w:p>
        </w:tc>
        <w:tc>
          <w:tcPr>
            <w:tcW w:w="6345" w:type="dxa"/>
            <w:gridSpan w:val="2"/>
            <w:vMerge/>
            <w:tcBorders>
              <w:bottom w:val="single" w:sz="4" w:space="0" w:color="auto"/>
            </w:tcBorders>
          </w:tcPr>
          <w:p>
            <w:pPr>
              <w:pStyle w:val="GesAbsatz"/>
              <w:jc w:val="center"/>
              <w:rPr>
                <w:rFonts w:cs="Arial"/>
                <w:sz w:val="18"/>
                <w:szCs w:val="18"/>
              </w:rPr>
            </w:pPr>
          </w:p>
        </w:tc>
      </w:tr>
      <w:tr>
        <w:trPr>
          <w:cantSplit/>
          <w:trHeight w:val="218"/>
        </w:trPr>
        <w:tc>
          <w:tcPr>
            <w:tcW w:w="1526" w:type="dxa"/>
            <w:tcBorders>
              <w:top w:val="single" w:sz="4" w:space="0" w:color="auto"/>
            </w:tcBorders>
          </w:tcPr>
          <w:p>
            <w:pPr>
              <w:pStyle w:val="GesAbsatz"/>
              <w:jc w:val="center"/>
              <w:rPr>
                <w:rFonts w:cs="Arial"/>
                <w:sz w:val="18"/>
                <w:szCs w:val="18"/>
                <w:vertAlign w:val="superscript"/>
              </w:rPr>
            </w:pPr>
            <w:r>
              <w:rPr>
                <w:rFonts w:cs="Arial"/>
                <w:sz w:val="18"/>
                <w:szCs w:val="18"/>
              </w:rPr>
              <w:t>3</w:t>
            </w:r>
          </w:p>
        </w:tc>
        <w:tc>
          <w:tcPr>
            <w:tcW w:w="1876" w:type="dxa"/>
            <w:tcBorders>
              <w:top w:val="single" w:sz="4" w:space="0" w:color="auto"/>
            </w:tcBorders>
          </w:tcPr>
          <w:p>
            <w:pPr>
              <w:pStyle w:val="GesAbsatz"/>
              <w:jc w:val="center"/>
              <w:rPr>
                <w:rFonts w:cs="Arial"/>
                <w:sz w:val="18"/>
                <w:szCs w:val="18"/>
                <w:vertAlign w:val="superscript"/>
              </w:rPr>
            </w:pPr>
            <w:r>
              <w:rPr>
                <w:rFonts w:cs="Arial"/>
                <w:sz w:val="18"/>
                <w:szCs w:val="18"/>
              </w:rPr>
              <w:t>1</w:t>
            </w:r>
          </w:p>
        </w:tc>
        <w:tc>
          <w:tcPr>
            <w:tcW w:w="236" w:type="dxa"/>
            <w:tcBorders>
              <w:top w:val="single" w:sz="4" w:space="0" w:color="auto"/>
            </w:tcBorders>
          </w:tcPr>
          <w:p>
            <w:pPr>
              <w:pStyle w:val="GesAbsatz"/>
              <w:jc w:val="center"/>
              <w:rPr>
                <w:rFonts w:cs="Arial"/>
                <w:sz w:val="18"/>
                <w:szCs w:val="18"/>
              </w:rPr>
            </w:pPr>
            <w:r>
              <w:rPr>
                <w:rFonts w:cs="Arial"/>
                <w:sz w:val="18"/>
                <w:szCs w:val="18"/>
                <w:vertAlign w:val="superscript"/>
              </w:rPr>
              <w:t>1</w:t>
            </w:r>
          </w:p>
        </w:tc>
        <w:tc>
          <w:tcPr>
            <w:tcW w:w="6486" w:type="dxa"/>
            <w:gridSpan w:val="2"/>
            <w:tcBorders>
              <w:top w:val="single" w:sz="4" w:space="0" w:color="auto"/>
            </w:tcBorders>
          </w:tcPr>
          <w:p>
            <w:pPr>
              <w:pStyle w:val="GesAbsatz"/>
              <w:jc w:val="left"/>
              <w:rPr>
                <w:rFonts w:cs="Arial"/>
                <w:sz w:val="18"/>
                <w:szCs w:val="18"/>
              </w:rPr>
            </w:pPr>
            <w:r>
              <w:rPr>
                <w:rFonts w:cs="Arial"/>
                <w:sz w:val="18"/>
                <w:szCs w:val="18"/>
              </w:rPr>
              <w:t>Flüchtige organische Verbindungen, die als Teil des Beschichtungsstoffes in einem geschlossenen Behälter verkauft werden, gelten nicht als diffuse Emissionen.</w:t>
            </w:r>
          </w:p>
        </w:tc>
      </w:tr>
    </w:tbl>
    <w:p>
      <w:pPr>
        <w:pStyle w:val="GesAbsatz"/>
        <w:tabs>
          <w:tab w:val="clear" w:pos="425"/>
          <w:tab w:val="left" w:pos="709"/>
        </w:tabs>
        <w:ind w:left="709" w:hanging="709"/>
        <w:rPr>
          <w:rFonts w:cs="Arial"/>
        </w:rPr>
      </w:pPr>
      <w:r>
        <w:rPr>
          <w:rFonts w:cs="Arial"/>
        </w:rPr>
        <w:t>16.1.4</w:t>
      </w:r>
      <w:r>
        <w:rPr>
          <w:rFonts w:cs="Arial"/>
        </w:rPr>
        <w:tab/>
        <w:t>Besondere Anforderungen</w:t>
      </w:r>
    </w:p>
    <w:p>
      <w:pPr>
        <w:pStyle w:val="GesAbsatz"/>
        <w:tabs>
          <w:tab w:val="clear" w:pos="425"/>
          <w:tab w:val="left" w:pos="709"/>
        </w:tabs>
        <w:ind w:left="709"/>
        <w:rPr>
          <w:rFonts w:cs="Arial"/>
        </w:rPr>
      </w:pPr>
      <w:r>
        <w:rPr>
          <w:rFonts w:cs="Arial"/>
        </w:rPr>
        <w:t>Der Grenzwert für die Gesamtemissionen an flüchtigen organischen Verbindungen nach Nummer 16.1.1 gilt alternativ zum Emissionsgrenzwert für gefasste Abgase nach Nummer 16.1.2 und zum Grenzwert für diffuse Emissionen nach Nummer 16.1.3. Bei genehmigungsbedürftigen Anlagen gelten aus Vorsorgegründen zusätzlich zum Gesamtemissionsgrenzwert nach Nummer 16.1.1 die Anforderungen nach Nummer 16.1.2 für gefasste behandelte Abgase; die Anwendung des Standes der Technik auf alle gefassten Abgase wird hierbei vorausgesetzt.</w:t>
      </w:r>
    </w:p>
    <w:p>
      <w:pPr>
        <w:pStyle w:val="GesAbsatz"/>
        <w:tabs>
          <w:tab w:val="clear" w:pos="425"/>
          <w:tab w:val="left" w:pos="709"/>
        </w:tabs>
        <w:ind w:left="709" w:hanging="709"/>
        <w:rPr>
          <w:rFonts w:cs="Arial"/>
          <w:b/>
        </w:rPr>
      </w:pPr>
      <w:r>
        <w:rPr>
          <w:rFonts w:cs="Arial"/>
          <w:b/>
        </w:rPr>
        <w:t>16.2.</w:t>
      </w:r>
      <w:r>
        <w:rPr>
          <w:rFonts w:cs="Arial"/>
          <w:b/>
        </w:rPr>
        <w:tab/>
        <w:t>Anlagen zur Herstellung von Bautenschutz- oder Holzschutzmitteln</w:t>
      </w:r>
    </w:p>
    <w:p>
      <w:pPr>
        <w:pStyle w:val="GesAbsatz"/>
        <w:tabs>
          <w:tab w:val="clear" w:pos="425"/>
          <w:tab w:val="left" w:pos="709"/>
        </w:tabs>
        <w:rPr>
          <w:rFonts w:cs="Arial"/>
        </w:rPr>
      </w:pPr>
      <w:r>
        <w:rPr>
          <w:rFonts w:cs="Arial"/>
        </w:rPr>
        <w:t>16.2.1</w:t>
      </w:r>
      <w:r>
        <w:rPr>
          <w:rFonts w:cs="Arial"/>
        </w:rPr>
        <w:tab/>
        <w:t>Grenzwerte für die Gesamtemissionen</w:t>
      </w:r>
    </w:p>
    <w:tbl>
      <w:tblPr>
        <w:tblW w:w="10124" w:type="dxa"/>
        <w:tblLayout w:type="fixed"/>
        <w:tblLook w:val="0000" w:firstRow="0" w:lastRow="0" w:firstColumn="0" w:lastColumn="0" w:noHBand="0" w:noVBand="0"/>
      </w:tblPr>
      <w:tblGrid>
        <w:gridCol w:w="1526"/>
        <w:gridCol w:w="1876"/>
        <w:gridCol w:w="236"/>
        <w:gridCol w:w="6109"/>
        <w:gridCol w:w="377"/>
      </w:tblGrid>
      <w:tr>
        <w:trPr>
          <w:gridAfter w:val="1"/>
          <w:wAfter w:w="377" w:type="dxa"/>
          <w:cantSplit/>
          <w:trHeight w:val="484"/>
        </w:trPr>
        <w:tc>
          <w:tcPr>
            <w:tcW w:w="3402" w:type="dxa"/>
            <w:gridSpan w:val="2"/>
            <w:tcBorders>
              <w:top w:val="single" w:sz="6" w:space="0" w:color="000000"/>
            </w:tcBorders>
          </w:tcPr>
          <w:p>
            <w:pPr>
              <w:pStyle w:val="GesAbsatz"/>
              <w:jc w:val="center"/>
              <w:rPr>
                <w:sz w:val="18"/>
                <w:szCs w:val="18"/>
              </w:rPr>
            </w:pPr>
            <w:r>
              <w:rPr>
                <w:sz w:val="18"/>
                <w:szCs w:val="18"/>
              </w:rPr>
              <w:t>Gesamtemissionsgrenzwert</w:t>
            </w:r>
            <w:r>
              <w:rPr>
                <w:sz w:val="18"/>
                <w:szCs w:val="18"/>
                <w:vertAlign w:val="superscript"/>
              </w:rPr>
              <w:t>1</w:t>
            </w:r>
            <w:r>
              <w:rPr>
                <w:sz w:val="18"/>
                <w:szCs w:val="18"/>
              </w:rPr>
              <w:br/>
              <w:t>Lösungsmittelverbrauch (t/a)</w:t>
            </w:r>
          </w:p>
        </w:tc>
        <w:tc>
          <w:tcPr>
            <w:tcW w:w="6345" w:type="dxa"/>
            <w:gridSpan w:val="2"/>
            <w:vMerge w:val="restart"/>
            <w:tcBorders>
              <w:top w:val="single" w:sz="6" w:space="0" w:color="000000"/>
              <w:bottom w:val="single" w:sz="4" w:space="0" w:color="auto"/>
            </w:tcBorders>
            <w:vAlign w:val="center"/>
          </w:tcPr>
          <w:p>
            <w:pPr>
              <w:pStyle w:val="GesAbsatz"/>
              <w:jc w:val="center"/>
              <w:rPr>
                <w:sz w:val="18"/>
                <w:szCs w:val="18"/>
              </w:rPr>
            </w:pPr>
            <w:r>
              <w:rPr>
                <w:sz w:val="18"/>
                <w:szCs w:val="18"/>
              </w:rPr>
              <w:t>Bemerkungen</w:t>
            </w:r>
          </w:p>
        </w:tc>
      </w:tr>
      <w:tr>
        <w:trPr>
          <w:gridAfter w:val="1"/>
          <w:wAfter w:w="377" w:type="dxa"/>
          <w:cantSplit/>
          <w:trHeight w:val="182"/>
        </w:trPr>
        <w:tc>
          <w:tcPr>
            <w:tcW w:w="1526" w:type="dxa"/>
            <w:tcBorders>
              <w:bottom w:val="single" w:sz="4" w:space="0" w:color="auto"/>
            </w:tcBorders>
          </w:tcPr>
          <w:p>
            <w:pPr>
              <w:pStyle w:val="GesAbsatz"/>
              <w:jc w:val="center"/>
            </w:pPr>
            <w:r>
              <w:t>≤ 1 000</w:t>
            </w:r>
          </w:p>
        </w:tc>
        <w:tc>
          <w:tcPr>
            <w:tcW w:w="1876" w:type="dxa"/>
            <w:tcBorders>
              <w:bottom w:val="single" w:sz="4" w:space="0" w:color="auto"/>
            </w:tcBorders>
          </w:tcPr>
          <w:p>
            <w:pPr>
              <w:pStyle w:val="GesAbsatz"/>
              <w:jc w:val="center"/>
              <w:rPr>
                <w:sz w:val="18"/>
                <w:szCs w:val="18"/>
              </w:rPr>
            </w:pPr>
            <w:r>
              <w:rPr>
                <w:sz w:val="18"/>
                <w:szCs w:val="18"/>
              </w:rPr>
              <w:t>&gt; 1 000</w:t>
            </w:r>
          </w:p>
        </w:tc>
        <w:tc>
          <w:tcPr>
            <w:tcW w:w="6345" w:type="dxa"/>
            <w:gridSpan w:val="2"/>
            <w:vMerge/>
            <w:tcBorders>
              <w:bottom w:val="single" w:sz="4" w:space="0" w:color="auto"/>
            </w:tcBorders>
          </w:tcPr>
          <w:p>
            <w:pPr>
              <w:pStyle w:val="GesAbsatz"/>
              <w:jc w:val="center"/>
              <w:rPr>
                <w:sz w:val="18"/>
                <w:szCs w:val="18"/>
              </w:rPr>
            </w:pPr>
          </w:p>
        </w:tc>
      </w:tr>
      <w:tr>
        <w:trPr>
          <w:cantSplit/>
          <w:trHeight w:val="218"/>
        </w:trPr>
        <w:tc>
          <w:tcPr>
            <w:tcW w:w="1526" w:type="dxa"/>
            <w:tcBorders>
              <w:top w:val="single" w:sz="4" w:space="0" w:color="auto"/>
            </w:tcBorders>
          </w:tcPr>
          <w:p>
            <w:pPr>
              <w:pStyle w:val="GesAbsatz"/>
              <w:jc w:val="center"/>
              <w:rPr>
                <w:vertAlign w:val="superscript"/>
              </w:rPr>
            </w:pPr>
            <w:r>
              <w:t>3</w:t>
            </w:r>
          </w:p>
        </w:tc>
        <w:tc>
          <w:tcPr>
            <w:tcW w:w="1876" w:type="dxa"/>
            <w:tcBorders>
              <w:top w:val="single" w:sz="4" w:space="0" w:color="auto"/>
            </w:tcBorders>
          </w:tcPr>
          <w:p>
            <w:pPr>
              <w:pStyle w:val="GesAbsatz"/>
              <w:jc w:val="center"/>
              <w:rPr>
                <w:sz w:val="18"/>
                <w:szCs w:val="18"/>
                <w:vertAlign w:val="superscript"/>
              </w:rPr>
            </w:pPr>
            <w:r>
              <w:rPr>
                <w:sz w:val="18"/>
                <w:szCs w:val="18"/>
              </w:rPr>
              <w:t>1</w:t>
            </w:r>
          </w:p>
        </w:tc>
        <w:tc>
          <w:tcPr>
            <w:tcW w:w="236" w:type="dxa"/>
            <w:tcBorders>
              <w:top w:val="single" w:sz="4" w:space="0" w:color="auto"/>
            </w:tcBorders>
          </w:tcPr>
          <w:p>
            <w:pPr>
              <w:pStyle w:val="GesAbsatz"/>
              <w:jc w:val="right"/>
              <w:rPr>
                <w:sz w:val="18"/>
                <w:szCs w:val="18"/>
              </w:rPr>
            </w:pPr>
            <w:r>
              <w:rPr>
                <w:sz w:val="18"/>
                <w:szCs w:val="18"/>
                <w:vertAlign w:val="superscript"/>
              </w:rPr>
              <w:t>1</w:t>
            </w:r>
          </w:p>
        </w:tc>
        <w:tc>
          <w:tcPr>
            <w:tcW w:w="6486" w:type="dxa"/>
            <w:gridSpan w:val="2"/>
            <w:tcBorders>
              <w:top w:val="single" w:sz="4" w:space="0" w:color="auto"/>
            </w:tcBorders>
          </w:tcPr>
          <w:p>
            <w:pPr>
              <w:pStyle w:val="GesAbsatz"/>
              <w:jc w:val="left"/>
              <w:rPr>
                <w:sz w:val="18"/>
                <w:szCs w:val="18"/>
              </w:rPr>
            </w:pPr>
            <w:r>
              <w:rPr>
                <w:sz w:val="18"/>
                <w:szCs w:val="18"/>
              </w:rPr>
              <w:t>Angegeben in Prozent des eingesetzten organischen Lösungsmittels.</w:t>
            </w:r>
          </w:p>
        </w:tc>
      </w:tr>
    </w:tbl>
    <w:p>
      <w:pPr>
        <w:pStyle w:val="GesAbsatz"/>
        <w:tabs>
          <w:tab w:val="clear" w:pos="425"/>
          <w:tab w:val="left" w:pos="709"/>
        </w:tabs>
      </w:pPr>
      <w:r>
        <w:rPr>
          <w:rFonts w:cs="Arial"/>
        </w:rPr>
        <w:t>16.2.2</w:t>
      </w:r>
      <w:r>
        <w:rPr>
          <w:rFonts w:cs="Arial"/>
        </w:rPr>
        <w:tab/>
        <w:t>Emissionsgrenzwerte für gefasste Abgase</w:t>
      </w:r>
    </w:p>
    <w:tbl>
      <w:tblPr>
        <w:tblW w:w="10124" w:type="dxa"/>
        <w:tblLayout w:type="fixed"/>
        <w:tblLook w:val="0000" w:firstRow="0" w:lastRow="0" w:firstColumn="0" w:lastColumn="0" w:noHBand="0" w:noVBand="0"/>
      </w:tblPr>
      <w:tblGrid>
        <w:gridCol w:w="1526"/>
        <w:gridCol w:w="1876"/>
        <w:gridCol w:w="236"/>
        <w:gridCol w:w="6109"/>
        <w:gridCol w:w="377"/>
      </w:tblGrid>
      <w:tr>
        <w:trPr>
          <w:gridAfter w:val="1"/>
          <w:wAfter w:w="377" w:type="dxa"/>
          <w:cantSplit/>
          <w:trHeight w:val="484"/>
        </w:trPr>
        <w:tc>
          <w:tcPr>
            <w:tcW w:w="3402" w:type="dxa"/>
            <w:gridSpan w:val="2"/>
            <w:tcBorders>
              <w:top w:val="single" w:sz="6" w:space="0" w:color="000000"/>
            </w:tcBorders>
          </w:tcPr>
          <w:p>
            <w:pPr>
              <w:pStyle w:val="GesAbsatz"/>
              <w:jc w:val="center"/>
              <w:rPr>
                <w:sz w:val="18"/>
                <w:szCs w:val="18"/>
              </w:rPr>
            </w:pPr>
            <w:r>
              <w:rPr>
                <w:sz w:val="18"/>
                <w:szCs w:val="18"/>
              </w:rPr>
              <w:t>Emissionsgrenzwert (mg C/m</w:t>
            </w:r>
            <w:r>
              <w:rPr>
                <w:sz w:val="18"/>
                <w:szCs w:val="18"/>
                <w:vertAlign w:val="superscript"/>
              </w:rPr>
              <w:t>3</w:t>
            </w:r>
            <w:r>
              <w:rPr>
                <w:sz w:val="18"/>
                <w:szCs w:val="18"/>
              </w:rPr>
              <w:t>)</w:t>
            </w:r>
            <w:r>
              <w:rPr>
                <w:sz w:val="18"/>
                <w:szCs w:val="18"/>
              </w:rPr>
              <w:br/>
              <w:t>Lösungsmittelverbrauch (t/d)</w:t>
            </w:r>
          </w:p>
        </w:tc>
        <w:tc>
          <w:tcPr>
            <w:tcW w:w="6345" w:type="dxa"/>
            <w:gridSpan w:val="2"/>
            <w:vMerge w:val="restart"/>
            <w:tcBorders>
              <w:top w:val="single" w:sz="6" w:space="0" w:color="000000"/>
              <w:bottom w:val="single" w:sz="4" w:space="0" w:color="auto"/>
            </w:tcBorders>
            <w:vAlign w:val="center"/>
          </w:tcPr>
          <w:p>
            <w:pPr>
              <w:pStyle w:val="GesAbsatz"/>
              <w:jc w:val="center"/>
              <w:rPr>
                <w:sz w:val="18"/>
                <w:szCs w:val="18"/>
              </w:rPr>
            </w:pPr>
            <w:r>
              <w:rPr>
                <w:sz w:val="18"/>
                <w:szCs w:val="18"/>
              </w:rPr>
              <w:t>Bemerkungen</w:t>
            </w:r>
          </w:p>
        </w:tc>
      </w:tr>
      <w:tr>
        <w:trPr>
          <w:gridAfter w:val="1"/>
          <w:wAfter w:w="377" w:type="dxa"/>
          <w:cantSplit/>
          <w:trHeight w:val="182"/>
        </w:trPr>
        <w:tc>
          <w:tcPr>
            <w:tcW w:w="1526" w:type="dxa"/>
            <w:tcBorders>
              <w:bottom w:val="single" w:sz="4" w:space="0" w:color="auto"/>
            </w:tcBorders>
          </w:tcPr>
          <w:p>
            <w:pPr>
              <w:pStyle w:val="GesAbsatz"/>
              <w:jc w:val="center"/>
              <w:rPr>
                <w:sz w:val="18"/>
                <w:szCs w:val="18"/>
              </w:rPr>
            </w:pPr>
            <w:r>
              <w:rPr>
                <w:sz w:val="18"/>
                <w:szCs w:val="18"/>
              </w:rPr>
              <w:t>≤ 1</w:t>
            </w:r>
          </w:p>
        </w:tc>
        <w:tc>
          <w:tcPr>
            <w:tcW w:w="1876" w:type="dxa"/>
            <w:tcBorders>
              <w:bottom w:val="single" w:sz="4" w:space="0" w:color="auto"/>
            </w:tcBorders>
          </w:tcPr>
          <w:p>
            <w:pPr>
              <w:pStyle w:val="GesAbsatz"/>
              <w:jc w:val="center"/>
              <w:rPr>
                <w:sz w:val="18"/>
                <w:szCs w:val="18"/>
              </w:rPr>
            </w:pPr>
            <w:r>
              <w:rPr>
                <w:sz w:val="18"/>
                <w:szCs w:val="18"/>
              </w:rPr>
              <w:t>&gt; 1</w:t>
            </w:r>
          </w:p>
        </w:tc>
        <w:tc>
          <w:tcPr>
            <w:tcW w:w="6345" w:type="dxa"/>
            <w:gridSpan w:val="2"/>
            <w:vMerge/>
            <w:tcBorders>
              <w:bottom w:val="single" w:sz="4" w:space="0" w:color="auto"/>
            </w:tcBorders>
          </w:tcPr>
          <w:p>
            <w:pPr>
              <w:pStyle w:val="GesAbsatz"/>
              <w:jc w:val="center"/>
              <w:rPr>
                <w:sz w:val="18"/>
                <w:szCs w:val="18"/>
              </w:rPr>
            </w:pPr>
          </w:p>
        </w:tc>
      </w:tr>
      <w:tr>
        <w:trPr>
          <w:cantSplit/>
          <w:trHeight w:val="218"/>
        </w:trPr>
        <w:tc>
          <w:tcPr>
            <w:tcW w:w="1526" w:type="dxa"/>
            <w:vMerge w:val="restart"/>
            <w:tcBorders>
              <w:top w:val="single" w:sz="4" w:space="0" w:color="auto"/>
            </w:tcBorders>
          </w:tcPr>
          <w:p>
            <w:pPr>
              <w:pStyle w:val="GesAbsatz"/>
              <w:jc w:val="center"/>
              <w:rPr>
                <w:sz w:val="18"/>
                <w:szCs w:val="18"/>
              </w:rPr>
            </w:pPr>
            <w:r>
              <w:rPr>
                <w:sz w:val="18"/>
                <w:szCs w:val="18"/>
              </w:rPr>
              <w:t>20</w:t>
            </w:r>
            <w:r>
              <w:rPr>
                <w:sz w:val="18"/>
                <w:szCs w:val="18"/>
                <w:vertAlign w:val="superscript"/>
              </w:rPr>
              <w:t>1</w:t>
            </w:r>
            <w:r>
              <w:rPr>
                <w:sz w:val="18"/>
                <w:szCs w:val="18"/>
              </w:rPr>
              <w:br/>
              <w:t>100</w:t>
            </w:r>
          </w:p>
        </w:tc>
        <w:tc>
          <w:tcPr>
            <w:tcW w:w="1876" w:type="dxa"/>
            <w:vMerge w:val="restart"/>
            <w:tcBorders>
              <w:top w:val="single" w:sz="4" w:space="0" w:color="auto"/>
            </w:tcBorders>
          </w:tcPr>
          <w:p>
            <w:pPr>
              <w:pStyle w:val="GesAbsatz"/>
              <w:jc w:val="center"/>
              <w:rPr>
                <w:sz w:val="18"/>
                <w:szCs w:val="18"/>
                <w:vertAlign w:val="superscript"/>
              </w:rPr>
            </w:pPr>
            <w:r>
              <w:rPr>
                <w:sz w:val="18"/>
                <w:szCs w:val="18"/>
              </w:rPr>
              <w:t>20</w:t>
            </w:r>
            <w:r>
              <w:rPr>
                <w:sz w:val="18"/>
                <w:szCs w:val="18"/>
                <w:vertAlign w:val="superscript"/>
              </w:rPr>
              <w:t>1</w:t>
            </w:r>
            <w:r>
              <w:rPr>
                <w:sz w:val="18"/>
                <w:szCs w:val="18"/>
              </w:rPr>
              <w:br/>
              <w:t>50</w:t>
            </w:r>
            <w:r>
              <w:rPr>
                <w:sz w:val="18"/>
                <w:szCs w:val="18"/>
              </w:rPr>
              <w:br/>
              <w:t>100</w:t>
            </w:r>
            <w:r>
              <w:rPr>
                <w:sz w:val="18"/>
                <w:szCs w:val="18"/>
                <w:vertAlign w:val="superscript"/>
              </w:rPr>
              <w:t>2</w:t>
            </w:r>
          </w:p>
        </w:tc>
        <w:tc>
          <w:tcPr>
            <w:tcW w:w="236" w:type="dxa"/>
            <w:tcBorders>
              <w:top w:val="single" w:sz="4" w:space="0" w:color="auto"/>
            </w:tcBorders>
          </w:tcPr>
          <w:p>
            <w:pPr>
              <w:pStyle w:val="GesAbsatz"/>
              <w:jc w:val="center"/>
              <w:rPr>
                <w:sz w:val="18"/>
                <w:szCs w:val="18"/>
              </w:rPr>
            </w:pPr>
            <w:r>
              <w:rPr>
                <w:sz w:val="18"/>
                <w:szCs w:val="18"/>
                <w:vertAlign w:val="superscript"/>
              </w:rPr>
              <w:t>1</w:t>
            </w:r>
          </w:p>
        </w:tc>
        <w:tc>
          <w:tcPr>
            <w:tcW w:w="6486" w:type="dxa"/>
            <w:gridSpan w:val="2"/>
            <w:tcBorders>
              <w:top w:val="single" w:sz="4" w:space="0" w:color="auto"/>
            </w:tcBorders>
          </w:tcPr>
          <w:p>
            <w:pPr>
              <w:pStyle w:val="GesAbsatz"/>
              <w:jc w:val="left"/>
              <w:rPr>
                <w:sz w:val="18"/>
                <w:szCs w:val="18"/>
              </w:rPr>
            </w:pPr>
            <w:r>
              <w:rPr>
                <w:sz w:val="18"/>
                <w:szCs w:val="18"/>
              </w:rPr>
              <w:t>Bei Anwendung von Abgasreinigungseinrichtungen mit thermischer Nachverbrennung.</w:t>
            </w:r>
          </w:p>
        </w:tc>
      </w:tr>
      <w:tr>
        <w:trPr>
          <w:cantSplit/>
          <w:trHeight w:val="218"/>
        </w:trPr>
        <w:tc>
          <w:tcPr>
            <w:tcW w:w="1526" w:type="dxa"/>
            <w:vMerge/>
          </w:tcPr>
          <w:p>
            <w:pPr>
              <w:pStyle w:val="GesAbsatz"/>
              <w:jc w:val="center"/>
              <w:rPr>
                <w:sz w:val="18"/>
                <w:szCs w:val="18"/>
              </w:rPr>
            </w:pPr>
          </w:p>
        </w:tc>
        <w:tc>
          <w:tcPr>
            <w:tcW w:w="1876" w:type="dxa"/>
            <w:vMerge/>
          </w:tcPr>
          <w:p>
            <w:pPr>
              <w:pStyle w:val="GesAbsatz"/>
              <w:jc w:val="center"/>
              <w:rPr>
                <w:sz w:val="18"/>
                <w:szCs w:val="18"/>
              </w:rPr>
            </w:pPr>
          </w:p>
        </w:tc>
        <w:tc>
          <w:tcPr>
            <w:tcW w:w="236" w:type="dxa"/>
          </w:tcPr>
          <w:p>
            <w:pPr>
              <w:pStyle w:val="GesAbsatz"/>
              <w:jc w:val="center"/>
              <w:rPr>
                <w:sz w:val="18"/>
                <w:szCs w:val="18"/>
                <w:vertAlign w:val="superscript"/>
              </w:rPr>
            </w:pPr>
            <w:r>
              <w:rPr>
                <w:sz w:val="18"/>
                <w:szCs w:val="18"/>
                <w:vertAlign w:val="superscript"/>
              </w:rPr>
              <w:t>2</w:t>
            </w:r>
          </w:p>
        </w:tc>
        <w:tc>
          <w:tcPr>
            <w:tcW w:w="6486" w:type="dxa"/>
            <w:gridSpan w:val="2"/>
          </w:tcPr>
          <w:p>
            <w:pPr>
              <w:pStyle w:val="GesAbsatz"/>
              <w:jc w:val="left"/>
              <w:rPr>
                <w:sz w:val="18"/>
                <w:szCs w:val="18"/>
              </w:rPr>
            </w:pPr>
            <w:r>
              <w:rPr>
                <w:sz w:val="18"/>
                <w:szCs w:val="18"/>
              </w:rPr>
              <w:t>Gilt für Abgasreinigungseinrichtungen mit Rückgewinnung durch Kondensation, sofern keine flüchtigen organischen Verbindungen der Klasse II der Technischen Anleitung zur Reinhaltung der Luft in der jeweils geltenden Fassung eingesetzt werden.</w:t>
            </w:r>
          </w:p>
        </w:tc>
      </w:tr>
    </w:tbl>
    <w:p>
      <w:pPr>
        <w:pStyle w:val="GesAbsatz"/>
        <w:tabs>
          <w:tab w:val="clear" w:pos="425"/>
          <w:tab w:val="left" w:pos="709"/>
        </w:tabs>
      </w:pPr>
      <w:r>
        <w:t>16.2.3</w:t>
      </w:r>
      <w:r>
        <w:tab/>
        <w:t>Grenzwerte für diffuse Emissionen</w:t>
      </w:r>
    </w:p>
    <w:tbl>
      <w:tblPr>
        <w:tblW w:w="10124" w:type="dxa"/>
        <w:tblLayout w:type="fixed"/>
        <w:tblLook w:val="0000" w:firstRow="0" w:lastRow="0" w:firstColumn="0" w:lastColumn="0" w:noHBand="0" w:noVBand="0"/>
      </w:tblPr>
      <w:tblGrid>
        <w:gridCol w:w="1526"/>
        <w:gridCol w:w="1876"/>
        <w:gridCol w:w="236"/>
        <w:gridCol w:w="6109"/>
        <w:gridCol w:w="377"/>
      </w:tblGrid>
      <w:tr>
        <w:trPr>
          <w:gridAfter w:val="1"/>
          <w:wAfter w:w="377" w:type="dxa"/>
          <w:cantSplit/>
          <w:trHeight w:val="484"/>
        </w:trPr>
        <w:tc>
          <w:tcPr>
            <w:tcW w:w="3402" w:type="dxa"/>
            <w:gridSpan w:val="2"/>
            <w:tcBorders>
              <w:top w:val="single" w:sz="6" w:space="0" w:color="000000"/>
            </w:tcBorders>
          </w:tcPr>
          <w:p>
            <w:pPr>
              <w:pStyle w:val="GesAbsatz"/>
              <w:jc w:val="center"/>
              <w:rPr>
                <w:sz w:val="18"/>
                <w:szCs w:val="18"/>
              </w:rPr>
            </w:pPr>
            <w:r>
              <w:rPr>
                <w:sz w:val="18"/>
                <w:szCs w:val="18"/>
              </w:rPr>
              <w:t>Grenzwert</w:t>
            </w:r>
            <w:r>
              <w:rPr>
                <w:sz w:val="18"/>
                <w:szCs w:val="18"/>
                <w:vertAlign w:val="superscript"/>
              </w:rPr>
              <w:t>1</w:t>
            </w:r>
            <w:r>
              <w:rPr>
                <w:sz w:val="18"/>
                <w:szCs w:val="18"/>
              </w:rPr>
              <w:br/>
              <w:t>(% der eingesetzten Lösungsmittel)</w:t>
            </w:r>
            <w:r>
              <w:rPr>
                <w:sz w:val="18"/>
                <w:szCs w:val="18"/>
              </w:rPr>
              <w:br/>
              <w:t>Lösungsmittelverbrauch (t/d)</w:t>
            </w:r>
          </w:p>
        </w:tc>
        <w:tc>
          <w:tcPr>
            <w:tcW w:w="6345" w:type="dxa"/>
            <w:gridSpan w:val="2"/>
            <w:vMerge w:val="restart"/>
            <w:tcBorders>
              <w:top w:val="single" w:sz="6" w:space="0" w:color="000000"/>
              <w:bottom w:val="single" w:sz="4" w:space="0" w:color="auto"/>
            </w:tcBorders>
            <w:vAlign w:val="center"/>
          </w:tcPr>
          <w:p>
            <w:pPr>
              <w:pStyle w:val="GesAbsatz"/>
              <w:jc w:val="center"/>
              <w:rPr>
                <w:sz w:val="18"/>
                <w:szCs w:val="18"/>
              </w:rPr>
            </w:pPr>
            <w:r>
              <w:rPr>
                <w:sz w:val="18"/>
                <w:szCs w:val="18"/>
              </w:rPr>
              <w:t>Bemerkungen</w:t>
            </w:r>
          </w:p>
        </w:tc>
      </w:tr>
      <w:tr>
        <w:trPr>
          <w:gridAfter w:val="1"/>
          <w:wAfter w:w="377" w:type="dxa"/>
          <w:cantSplit/>
          <w:trHeight w:val="182"/>
        </w:trPr>
        <w:tc>
          <w:tcPr>
            <w:tcW w:w="1526" w:type="dxa"/>
            <w:tcBorders>
              <w:bottom w:val="single" w:sz="4" w:space="0" w:color="auto"/>
            </w:tcBorders>
          </w:tcPr>
          <w:p>
            <w:pPr>
              <w:pStyle w:val="GesAbsatz"/>
              <w:jc w:val="center"/>
              <w:rPr>
                <w:sz w:val="18"/>
                <w:szCs w:val="18"/>
              </w:rPr>
            </w:pPr>
            <w:r>
              <w:rPr>
                <w:sz w:val="18"/>
                <w:szCs w:val="18"/>
              </w:rPr>
              <w:t>≤ 1</w:t>
            </w:r>
          </w:p>
        </w:tc>
        <w:tc>
          <w:tcPr>
            <w:tcW w:w="1876" w:type="dxa"/>
            <w:tcBorders>
              <w:bottom w:val="single" w:sz="4" w:space="0" w:color="auto"/>
            </w:tcBorders>
          </w:tcPr>
          <w:p>
            <w:pPr>
              <w:pStyle w:val="GesAbsatz"/>
              <w:jc w:val="center"/>
              <w:rPr>
                <w:sz w:val="18"/>
                <w:szCs w:val="18"/>
              </w:rPr>
            </w:pPr>
            <w:r>
              <w:rPr>
                <w:sz w:val="18"/>
                <w:szCs w:val="18"/>
              </w:rPr>
              <w:t>&gt; 1</w:t>
            </w:r>
          </w:p>
        </w:tc>
        <w:tc>
          <w:tcPr>
            <w:tcW w:w="6345" w:type="dxa"/>
            <w:gridSpan w:val="2"/>
            <w:vMerge/>
            <w:tcBorders>
              <w:bottom w:val="single" w:sz="4" w:space="0" w:color="auto"/>
            </w:tcBorders>
          </w:tcPr>
          <w:p>
            <w:pPr>
              <w:pStyle w:val="GesAbsatz"/>
              <w:jc w:val="center"/>
              <w:rPr>
                <w:sz w:val="18"/>
                <w:szCs w:val="18"/>
              </w:rPr>
            </w:pPr>
          </w:p>
        </w:tc>
      </w:tr>
      <w:tr>
        <w:trPr>
          <w:cantSplit/>
          <w:trHeight w:val="218"/>
        </w:trPr>
        <w:tc>
          <w:tcPr>
            <w:tcW w:w="1526" w:type="dxa"/>
            <w:tcBorders>
              <w:top w:val="single" w:sz="4" w:space="0" w:color="auto"/>
            </w:tcBorders>
          </w:tcPr>
          <w:p>
            <w:pPr>
              <w:pStyle w:val="GesAbsatz"/>
              <w:jc w:val="center"/>
              <w:rPr>
                <w:sz w:val="18"/>
                <w:szCs w:val="18"/>
                <w:vertAlign w:val="superscript"/>
              </w:rPr>
            </w:pPr>
            <w:r>
              <w:rPr>
                <w:sz w:val="18"/>
                <w:szCs w:val="18"/>
              </w:rPr>
              <w:t>3</w:t>
            </w:r>
          </w:p>
        </w:tc>
        <w:tc>
          <w:tcPr>
            <w:tcW w:w="1876" w:type="dxa"/>
            <w:tcBorders>
              <w:top w:val="single" w:sz="4" w:space="0" w:color="auto"/>
            </w:tcBorders>
          </w:tcPr>
          <w:p>
            <w:pPr>
              <w:pStyle w:val="GesAbsatz"/>
              <w:jc w:val="center"/>
              <w:rPr>
                <w:sz w:val="18"/>
                <w:szCs w:val="18"/>
                <w:vertAlign w:val="superscript"/>
              </w:rPr>
            </w:pPr>
            <w:r>
              <w:rPr>
                <w:sz w:val="18"/>
                <w:szCs w:val="18"/>
              </w:rPr>
              <w:t>1</w:t>
            </w:r>
          </w:p>
        </w:tc>
        <w:tc>
          <w:tcPr>
            <w:tcW w:w="236" w:type="dxa"/>
            <w:tcBorders>
              <w:top w:val="single" w:sz="4" w:space="0" w:color="auto"/>
            </w:tcBorders>
          </w:tcPr>
          <w:p>
            <w:pPr>
              <w:pStyle w:val="GesAbsatz"/>
              <w:jc w:val="center"/>
              <w:rPr>
                <w:sz w:val="18"/>
                <w:szCs w:val="18"/>
              </w:rPr>
            </w:pPr>
            <w:r>
              <w:rPr>
                <w:sz w:val="18"/>
                <w:szCs w:val="18"/>
                <w:vertAlign w:val="superscript"/>
              </w:rPr>
              <w:t>1</w:t>
            </w:r>
          </w:p>
        </w:tc>
        <w:tc>
          <w:tcPr>
            <w:tcW w:w="6486" w:type="dxa"/>
            <w:gridSpan w:val="2"/>
            <w:tcBorders>
              <w:top w:val="single" w:sz="4" w:space="0" w:color="auto"/>
            </w:tcBorders>
          </w:tcPr>
          <w:p>
            <w:pPr>
              <w:pStyle w:val="GesAbsatz"/>
              <w:jc w:val="left"/>
              <w:rPr>
                <w:sz w:val="18"/>
                <w:szCs w:val="18"/>
              </w:rPr>
            </w:pPr>
            <w:r>
              <w:rPr>
                <w:sz w:val="18"/>
                <w:szCs w:val="18"/>
              </w:rPr>
              <w:t>Flüchtige organische Verbindungen, die als Teil des Beschichtungsstoffes in einem geschlossenen Behälter verkauft werden, gelten nicht als diffuse Emissionen.</w:t>
            </w:r>
          </w:p>
        </w:tc>
      </w:tr>
    </w:tbl>
    <w:p>
      <w:pPr>
        <w:pStyle w:val="GesAbsatz"/>
        <w:tabs>
          <w:tab w:val="clear" w:pos="425"/>
          <w:tab w:val="left" w:pos="709"/>
        </w:tabs>
      </w:pPr>
      <w:r>
        <w:rPr>
          <w:rFonts w:cs="Arial"/>
        </w:rPr>
        <w:t>16.2.4</w:t>
      </w:r>
      <w:r>
        <w:rPr>
          <w:rFonts w:cs="Arial"/>
        </w:rPr>
        <w:tab/>
        <w:t>Besondere Anforderungen</w:t>
      </w:r>
    </w:p>
    <w:p>
      <w:pPr>
        <w:pStyle w:val="GesAbsatz"/>
        <w:tabs>
          <w:tab w:val="clear" w:pos="425"/>
          <w:tab w:val="left" w:pos="709"/>
        </w:tabs>
        <w:ind w:left="709"/>
      </w:pPr>
      <w:r>
        <w:rPr>
          <w:rFonts w:cs="Arial"/>
        </w:rPr>
        <w:t>Nummer 16.1.4 gilt entsprechend.</w:t>
      </w:r>
    </w:p>
    <w:p>
      <w:pPr>
        <w:pStyle w:val="GesAbsatz"/>
        <w:tabs>
          <w:tab w:val="clear" w:pos="425"/>
          <w:tab w:val="left" w:pos="709"/>
        </w:tabs>
        <w:rPr>
          <w:rFonts w:cs="Arial"/>
          <w:b/>
          <w:bCs/>
          <w:color w:val="auto"/>
        </w:rPr>
      </w:pPr>
      <w:r>
        <w:rPr>
          <w:rFonts w:cs="Arial"/>
          <w:b/>
          <w:bCs/>
        </w:rPr>
        <w:t>16.3</w:t>
      </w:r>
      <w:r>
        <w:rPr>
          <w:rFonts w:cs="Arial"/>
          <w:b/>
          <w:bCs/>
        </w:rPr>
        <w:tab/>
        <w:t>Anlagen zur Herstellung von Klebstoffen</w:t>
      </w:r>
    </w:p>
    <w:p>
      <w:pPr>
        <w:pStyle w:val="GesAbsatz"/>
        <w:tabs>
          <w:tab w:val="clear" w:pos="425"/>
          <w:tab w:val="left" w:pos="709"/>
        </w:tabs>
        <w:rPr>
          <w:rFonts w:cs="Arial"/>
          <w:color w:val="auto"/>
        </w:rPr>
      </w:pPr>
      <w:r>
        <w:rPr>
          <w:rFonts w:cs="Arial"/>
        </w:rPr>
        <w:t>16.3.1</w:t>
      </w:r>
      <w:r>
        <w:rPr>
          <w:rFonts w:cs="Arial"/>
        </w:rPr>
        <w:tab/>
        <w:t>Grenzwerte für die Gesamtemissionen</w:t>
      </w:r>
    </w:p>
    <w:tbl>
      <w:tblPr>
        <w:tblW w:w="10124" w:type="dxa"/>
        <w:tblLayout w:type="fixed"/>
        <w:tblLook w:val="0000" w:firstRow="0" w:lastRow="0" w:firstColumn="0" w:lastColumn="0" w:noHBand="0" w:noVBand="0"/>
      </w:tblPr>
      <w:tblGrid>
        <w:gridCol w:w="1526"/>
        <w:gridCol w:w="1876"/>
        <w:gridCol w:w="236"/>
        <w:gridCol w:w="6109"/>
        <w:gridCol w:w="377"/>
      </w:tblGrid>
      <w:tr>
        <w:trPr>
          <w:gridAfter w:val="1"/>
          <w:wAfter w:w="377" w:type="dxa"/>
          <w:cantSplit/>
          <w:trHeight w:val="484"/>
        </w:trPr>
        <w:tc>
          <w:tcPr>
            <w:tcW w:w="3402" w:type="dxa"/>
            <w:gridSpan w:val="2"/>
            <w:tcBorders>
              <w:top w:val="single" w:sz="6" w:space="0" w:color="000000"/>
            </w:tcBorders>
          </w:tcPr>
          <w:p>
            <w:pPr>
              <w:pStyle w:val="GesAbsatz"/>
              <w:jc w:val="center"/>
              <w:rPr>
                <w:sz w:val="18"/>
                <w:szCs w:val="18"/>
              </w:rPr>
            </w:pPr>
            <w:r>
              <w:rPr>
                <w:sz w:val="18"/>
                <w:szCs w:val="18"/>
              </w:rPr>
              <w:t>Gesamtemissionsgrenzwert</w:t>
            </w:r>
            <w:r>
              <w:rPr>
                <w:sz w:val="18"/>
                <w:szCs w:val="18"/>
                <w:vertAlign w:val="superscript"/>
              </w:rPr>
              <w:t>1</w:t>
            </w:r>
            <w:r>
              <w:rPr>
                <w:sz w:val="18"/>
                <w:szCs w:val="18"/>
              </w:rPr>
              <w:br/>
              <w:t>Lösungsmittelverbrauch (t/d)</w:t>
            </w:r>
          </w:p>
        </w:tc>
        <w:tc>
          <w:tcPr>
            <w:tcW w:w="6345" w:type="dxa"/>
            <w:gridSpan w:val="2"/>
            <w:vMerge w:val="restart"/>
            <w:tcBorders>
              <w:top w:val="single" w:sz="6" w:space="0" w:color="000000"/>
              <w:bottom w:val="single" w:sz="4" w:space="0" w:color="auto"/>
            </w:tcBorders>
            <w:vAlign w:val="center"/>
          </w:tcPr>
          <w:p>
            <w:pPr>
              <w:pStyle w:val="GesAbsatz"/>
              <w:jc w:val="center"/>
              <w:rPr>
                <w:sz w:val="18"/>
                <w:szCs w:val="18"/>
              </w:rPr>
            </w:pPr>
            <w:r>
              <w:rPr>
                <w:sz w:val="18"/>
                <w:szCs w:val="18"/>
              </w:rPr>
              <w:t>Bemerkungen</w:t>
            </w:r>
          </w:p>
        </w:tc>
      </w:tr>
      <w:tr>
        <w:trPr>
          <w:gridAfter w:val="1"/>
          <w:wAfter w:w="377" w:type="dxa"/>
          <w:cantSplit/>
          <w:trHeight w:val="182"/>
        </w:trPr>
        <w:tc>
          <w:tcPr>
            <w:tcW w:w="1526" w:type="dxa"/>
            <w:tcBorders>
              <w:bottom w:val="single" w:sz="4" w:space="0" w:color="auto"/>
            </w:tcBorders>
          </w:tcPr>
          <w:p>
            <w:pPr>
              <w:pStyle w:val="GesAbsatz"/>
              <w:jc w:val="center"/>
              <w:rPr>
                <w:sz w:val="18"/>
                <w:szCs w:val="18"/>
              </w:rPr>
            </w:pPr>
            <w:r>
              <w:rPr>
                <w:sz w:val="18"/>
                <w:szCs w:val="18"/>
              </w:rPr>
              <w:t>≤ 5</w:t>
            </w:r>
          </w:p>
        </w:tc>
        <w:tc>
          <w:tcPr>
            <w:tcW w:w="1876" w:type="dxa"/>
            <w:tcBorders>
              <w:bottom w:val="single" w:sz="4" w:space="0" w:color="auto"/>
            </w:tcBorders>
          </w:tcPr>
          <w:p>
            <w:pPr>
              <w:pStyle w:val="GesAbsatz"/>
              <w:jc w:val="center"/>
              <w:rPr>
                <w:sz w:val="18"/>
                <w:szCs w:val="18"/>
              </w:rPr>
            </w:pPr>
            <w:r>
              <w:rPr>
                <w:sz w:val="18"/>
                <w:szCs w:val="18"/>
              </w:rPr>
              <w:t>&gt; 5</w:t>
            </w:r>
          </w:p>
        </w:tc>
        <w:tc>
          <w:tcPr>
            <w:tcW w:w="6345" w:type="dxa"/>
            <w:gridSpan w:val="2"/>
            <w:vMerge/>
            <w:tcBorders>
              <w:bottom w:val="single" w:sz="4" w:space="0" w:color="auto"/>
            </w:tcBorders>
          </w:tcPr>
          <w:p>
            <w:pPr>
              <w:pStyle w:val="GesAbsatz"/>
              <w:jc w:val="right"/>
              <w:rPr>
                <w:sz w:val="18"/>
                <w:szCs w:val="18"/>
              </w:rPr>
            </w:pPr>
          </w:p>
        </w:tc>
      </w:tr>
      <w:tr>
        <w:trPr>
          <w:cantSplit/>
          <w:trHeight w:val="218"/>
        </w:trPr>
        <w:tc>
          <w:tcPr>
            <w:tcW w:w="1526" w:type="dxa"/>
          </w:tcPr>
          <w:p>
            <w:pPr>
              <w:pStyle w:val="GesAbsatz"/>
              <w:jc w:val="center"/>
              <w:rPr>
                <w:sz w:val="18"/>
                <w:szCs w:val="18"/>
                <w:vertAlign w:val="superscript"/>
              </w:rPr>
            </w:pPr>
            <w:r>
              <w:rPr>
                <w:sz w:val="18"/>
                <w:szCs w:val="18"/>
              </w:rPr>
              <w:t>3</w:t>
            </w:r>
          </w:p>
        </w:tc>
        <w:tc>
          <w:tcPr>
            <w:tcW w:w="1876" w:type="dxa"/>
          </w:tcPr>
          <w:p>
            <w:pPr>
              <w:pStyle w:val="GesAbsatz"/>
              <w:jc w:val="center"/>
              <w:rPr>
                <w:sz w:val="18"/>
                <w:szCs w:val="18"/>
                <w:vertAlign w:val="superscript"/>
              </w:rPr>
            </w:pPr>
            <w:r>
              <w:rPr>
                <w:sz w:val="18"/>
                <w:szCs w:val="18"/>
              </w:rPr>
              <w:t>1</w:t>
            </w:r>
          </w:p>
        </w:tc>
        <w:tc>
          <w:tcPr>
            <w:tcW w:w="236" w:type="dxa"/>
          </w:tcPr>
          <w:p>
            <w:pPr>
              <w:pStyle w:val="GesAbsatz"/>
              <w:jc w:val="right"/>
              <w:rPr>
                <w:sz w:val="18"/>
                <w:szCs w:val="18"/>
              </w:rPr>
            </w:pPr>
            <w:r>
              <w:rPr>
                <w:sz w:val="18"/>
                <w:szCs w:val="18"/>
                <w:vertAlign w:val="superscript"/>
              </w:rPr>
              <w:t>1</w:t>
            </w:r>
          </w:p>
        </w:tc>
        <w:tc>
          <w:tcPr>
            <w:tcW w:w="6486" w:type="dxa"/>
            <w:gridSpan w:val="2"/>
          </w:tcPr>
          <w:p>
            <w:pPr>
              <w:pStyle w:val="GesAbsatz"/>
              <w:jc w:val="left"/>
              <w:rPr>
                <w:sz w:val="18"/>
                <w:szCs w:val="18"/>
              </w:rPr>
            </w:pPr>
            <w:r>
              <w:rPr>
                <w:sz w:val="18"/>
                <w:szCs w:val="18"/>
              </w:rPr>
              <w:t>Angegeben in Prozent des eingesetzten organischen Lösungsmittels.</w:t>
            </w:r>
          </w:p>
        </w:tc>
      </w:tr>
    </w:tbl>
    <w:p>
      <w:pPr>
        <w:pStyle w:val="GesAbsatz"/>
        <w:jc w:val="right"/>
        <w:rPr>
          <w:sz w:val="18"/>
          <w:szCs w:val="18"/>
        </w:rPr>
      </w:pPr>
    </w:p>
    <w:p>
      <w:pPr>
        <w:pStyle w:val="GesAbsatz"/>
        <w:tabs>
          <w:tab w:val="clear" w:pos="425"/>
          <w:tab w:val="left" w:pos="709"/>
        </w:tabs>
      </w:pPr>
      <w:r>
        <w:rPr>
          <w:rFonts w:cs="Arial"/>
        </w:rPr>
        <w:lastRenderedPageBreak/>
        <w:t>16.3.2</w:t>
      </w:r>
      <w:r>
        <w:rPr>
          <w:rFonts w:cs="Arial"/>
        </w:rPr>
        <w:tab/>
        <w:t>Emissionsgrenzwerte für gefasste Abgase</w:t>
      </w:r>
    </w:p>
    <w:tbl>
      <w:tblPr>
        <w:tblW w:w="10124" w:type="dxa"/>
        <w:tblLayout w:type="fixed"/>
        <w:tblLook w:val="0000" w:firstRow="0" w:lastRow="0" w:firstColumn="0" w:lastColumn="0" w:noHBand="0" w:noVBand="0"/>
      </w:tblPr>
      <w:tblGrid>
        <w:gridCol w:w="1526"/>
        <w:gridCol w:w="1876"/>
        <w:gridCol w:w="236"/>
        <w:gridCol w:w="6109"/>
        <w:gridCol w:w="377"/>
      </w:tblGrid>
      <w:tr>
        <w:trPr>
          <w:gridAfter w:val="1"/>
          <w:wAfter w:w="377" w:type="dxa"/>
          <w:cantSplit/>
          <w:trHeight w:val="484"/>
        </w:trPr>
        <w:tc>
          <w:tcPr>
            <w:tcW w:w="3402" w:type="dxa"/>
            <w:gridSpan w:val="2"/>
            <w:tcBorders>
              <w:top w:val="single" w:sz="6" w:space="0" w:color="000000"/>
            </w:tcBorders>
          </w:tcPr>
          <w:p>
            <w:pPr>
              <w:pStyle w:val="GesAbsatz"/>
              <w:jc w:val="center"/>
              <w:rPr>
                <w:rFonts w:cs="Arial"/>
                <w:sz w:val="18"/>
                <w:szCs w:val="18"/>
              </w:rPr>
            </w:pPr>
            <w:r>
              <w:rPr>
                <w:rFonts w:cs="Arial"/>
                <w:sz w:val="18"/>
                <w:szCs w:val="18"/>
              </w:rPr>
              <w:t>Emissionsgrenzwert (mg C/m</w:t>
            </w:r>
            <w:r>
              <w:rPr>
                <w:rFonts w:cs="Arial"/>
                <w:sz w:val="18"/>
                <w:szCs w:val="18"/>
                <w:vertAlign w:val="superscript"/>
              </w:rPr>
              <w:t>3</w:t>
            </w:r>
            <w:r>
              <w:rPr>
                <w:rFonts w:cs="Arial"/>
                <w:sz w:val="18"/>
                <w:szCs w:val="18"/>
              </w:rPr>
              <w:t>)</w:t>
            </w:r>
            <w:r>
              <w:rPr>
                <w:rFonts w:cs="Arial"/>
                <w:sz w:val="18"/>
                <w:szCs w:val="18"/>
              </w:rPr>
              <w:br/>
              <w:t>Lösungsmittelverbrauch (t/d)</w:t>
            </w:r>
          </w:p>
        </w:tc>
        <w:tc>
          <w:tcPr>
            <w:tcW w:w="6345" w:type="dxa"/>
            <w:gridSpan w:val="2"/>
            <w:vMerge w:val="restart"/>
            <w:tcBorders>
              <w:top w:val="single" w:sz="6" w:space="0" w:color="000000"/>
              <w:bottom w:val="single" w:sz="4" w:space="0" w:color="auto"/>
            </w:tcBorders>
            <w:vAlign w:val="center"/>
          </w:tcPr>
          <w:p>
            <w:pPr>
              <w:pStyle w:val="GesAbsatz"/>
              <w:jc w:val="center"/>
              <w:rPr>
                <w:rFonts w:cs="Arial"/>
                <w:sz w:val="18"/>
                <w:szCs w:val="18"/>
              </w:rPr>
            </w:pPr>
            <w:r>
              <w:rPr>
                <w:rFonts w:cs="Arial"/>
                <w:sz w:val="18"/>
                <w:szCs w:val="18"/>
              </w:rPr>
              <w:t>Bemerkungen</w:t>
            </w:r>
          </w:p>
        </w:tc>
      </w:tr>
      <w:tr>
        <w:trPr>
          <w:gridAfter w:val="1"/>
          <w:wAfter w:w="377" w:type="dxa"/>
          <w:cantSplit/>
          <w:trHeight w:val="182"/>
        </w:trPr>
        <w:tc>
          <w:tcPr>
            <w:tcW w:w="1526" w:type="dxa"/>
            <w:tcBorders>
              <w:bottom w:val="single" w:sz="4" w:space="0" w:color="auto"/>
            </w:tcBorders>
          </w:tcPr>
          <w:p>
            <w:pPr>
              <w:pStyle w:val="GesAbsatz"/>
              <w:jc w:val="center"/>
              <w:rPr>
                <w:rFonts w:cs="Arial"/>
                <w:sz w:val="18"/>
                <w:szCs w:val="18"/>
              </w:rPr>
            </w:pPr>
            <w:r>
              <w:rPr>
                <w:rFonts w:cs="Arial"/>
                <w:sz w:val="18"/>
                <w:szCs w:val="18"/>
              </w:rPr>
              <w:t>≤ 5</w:t>
            </w:r>
          </w:p>
        </w:tc>
        <w:tc>
          <w:tcPr>
            <w:tcW w:w="1876" w:type="dxa"/>
            <w:tcBorders>
              <w:bottom w:val="single" w:sz="4" w:space="0" w:color="auto"/>
            </w:tcBorders>
          </w:tcPr>
          <w:p>
            <w:pPr>
              <w:pStyle w:val="GesAbsatz"/>
              <w:jc w:val="center"/>
              <w:rPr>
                <w:rFonts w:cs="Arial"/>
                <w:sz w:val="18"/>
                <w:szCs w:val="18"/>
              </w:rPr>
            </w:pPr>
            <w:r>
              <w:rPr>
                <w:rFonts w:cs="Arial"/>
                <w:sz w:val="18"/>
                <w:szCs w:val="18"/>
              </w:rPr>
              <w:t>&gt; 5</w:t>
            </w:r>
          </w:p>
        </w:tc>
        <w:tc>
          <w:tcPr>
            <w:tcW w:w="6345" w:type="dxa"/>
            <w:gridSpan w:val="2"/>
            <w:vMerge/>
            <w:tcBorders>
              <w:bottom w:val="single" w:sz="4" w:space="0" w:color="auto"/>
            </w:tcBorders>
          </w:tcPr>
          <w:p>
            <w:pPr>
              <w:pStyle w:val="GesAbsatz"/>
              <w:jc w:val="center"/>
              <w:rPr>
                <w:rFonts w:cs="Arial"/>
                <w:sz w:val="18"/>
                <w:szCs w:val="18"/>
              </w:rPr>
            </w:pPr>
          </w:p>
        </w:tc>
      </w:tr>
      <w:tr>
        <w:trPr>
          <w:cantSplit/>
          <w:trHeight w:val="218"/>
        </w:trPr>
        <w:tc>
          <w:tcPr>
            <w:tcW w:w="1526" w:type="dxa"/>
            <w:vMerge w:val="restart"/>
          </w:tcPr>
          <w:p>
            <w:pPr>
              <w:pStyle w:val="GesAbsatz"/>
              <w:jc w:val="center"/>
              <w:rPr>
                <w:rFonts w:cs="Arial"/>
                <w:sz w:val="18"/>
                <w:szCs w:val="18"/>
              </w:rPr>
            </w:pPr>
            <w:r>
              <w:rPr>
                <w:rFonts w:cs="Arial"/>
                <w:sz w:val="18"/>
                <w:szCs w:val="18"/>
              </w:rPr>
              <w:t>20</w:t>
            </w:r>
            <w:r>
              <w:rPr>
                <w:rFonts w:cs="Arial"/>
                <w:sz w:val="18"/>
                <w:szCs w:val="18"/>
                <w:vertAlign w:val="superscript"/>
              </w:rPr>
              <w:t>1</w:t>
            </w:r>
            <w:r>
              <w:rPr>
                <w:rFonts w:cs="Arial"/>
                <w:sz w:val="18"/>
                <w:szCs w:val="18"/>
              </w:rPr>
              <w:br/>
              <w:t>100</w:t>
            </w:r>
          </w:p>
        </w:tc>
        <w:tc>
          <w:tcPr>
            <w:tcW w:w="1876" w:type="dxa"/>
            <w:vMerge w:val="restart"/>
          </w:tcPr>
          <w:p>
            <w:pPr>
              <w:pStyle w:val="GesAbsatz"/>
              <w:jc w:val="center"/>
              <w:rPr>
                <w:rFonts w:cs="Arial"/>
                <w:sz w:val="18"/>
                <w:szCs w:val="18"/>
                <w:vertAlign w:val="superscript"/>
              </w:rPr>
            </w:pPr>
            <w:r>
              <w:rPr>
                <w:rFonts w:cs="Arial"/>
                <w:sz w:val="18"/>
                <w:szCs w:val="18"/>
              </w:rPr>
              <w:t>20</w:t>
            </w:r>
            <w:r>
              <w:rPr>
                <w:rFonts w:cs="Arial"/>
                <w:sz w:val="18"/>
                <w:szCs w:val="18"/>
                <w:vertAlign w:val="superscript"/>
              </w:rPr>
              <w:t>1</w:t>
            </w:r>
            <w:r>
              <w:rPr>
                <w:rFonts w:cs="Arial"/>
                <w:sz w:val="18"/>
                <w:szCs w:val="18"/>
              </w:rPr>
              <w:br/>
              <w:t>50</w:t>
            </w:r>
            <w:r>
              <w:rPr>
                <w:rFonts w:cs="Arial"/>
                <w:sz w:val="18"/>
                <w:szCs w:val="18"/>
              </w:rPr>
              <w:br/>
              <w:t>100</w:t>
            </w:r>
            <w:r>
              <w:rPr>
                <w:rFonts w:cs="Arial"/>
                <w:sz w:val="18"/>
                <w:szCs w:val="18"/>
                <w:vertAlign w:val="superscript"/>
              </w:rPr>
              <w:t>2</w:t>
            </w:r>
          </w:p>
        </w:tc>
        <w:tc>
          <w:tcPr>
            <w:tcW w:w="236" w:type="dxa"/>
          </w:tcPr>
          <w:p>
            <w:pPr>
              <w:pStyle w:val="GesAbsatz"/>
              <w:jc w:val="center"/>
              <w:rPr>
                <w:rFonts w:cs="Arial"/>
                <w:sz w:val="18"/>
                <w:szCs w:val="18"/>
              </w:rPr>
            </w:pPr>
            <w:r>
              <w:rPr>
                <w:rFonts w:cs="Arial"/>
                <w:sz w:val="18"/>
                <w:szCs w:val="18"/>
                <w:vertAlign w:val="superscript"/>
              </w:rPr>
              <w:t>1</w:t>
            </w:r>
          </w:p>
        </w:tc>
        <w:tc>
          <w:tcPr>
            <w:tcW w:w="6486" w:type="dxa"/>
            <w:gridSpan w:val="2"/>
          </w:tcPr>
          <w:p>
            <w:pPr>
              <w:pStyle w:val="GesAbsatz"/>
              <w:jc w:val="left"/>
              <w:rPr>
                <w:rFonts w:cs="Arial"/>
                <w:sz w:val="18"/>
                <w:szCs w:val="18"/>
              </w:rPr>
            </w:pPr>
            <w:r>
              <w:rPr>
                <w:rFonts w:cs="Arial"/>
                <w:sz w:val="18"/>
                <w:szCs w:val="18"/>
              </w:rPr>
              <w:t>Bei Anwendung von Abgasreinigungseinrichtungen mit thermischer Nachverbrennung.</w:t>
            </w:r>
          </w:p>
        </w:tc>
      </w:tr>
      <w:tr>
        <w:trPr>
          <w:cantSplit/>
          <w:trHeight w:val="218"/>
        </w:trPr>
        <w:tc>
          <w:tcPr>
            <w:tcW w:w="1526" w:type="dxa"/>
            <w:vMerge/>
          </w:tcPr>
          <w:p>
            <w:pPr>
              <w:pStyle w:val="GesAbsatz"/>
              <w:jc w:val="center"/>
              <w:rPr>
                <w:rFonts w:cs="Arial"/>
                <w:sz w:val="18"/>
                <w:szCs w:val="18"/>
              </w:rPr>
            </w:pPr>
          </w:p>
        </w:tc>
        <w:tc>
          <w:tcPr>
            <w:tcW w:w="1876" w:type="dxa"/>
            <w:vMerge/>
          </w:tcPr>
          <w:p>
            <w:pPr>
              <w:pStyle w:val="GesAbsatz"/>
              <w:jc w:val="center"/>
              <w:rPr>
                <w:rFonts w:cs="Arial"/>
                <w:sz w:val="18"/>
                <w:szCs w:val="18"/>
              </w:rPr>
            </w:pPr>
          </w:p>
        </w:tc>
        <w:tc>
          <w:tcPr>
            <w:tcW w:w="236" w:type="dxa"/>
          </w:tcPr>
          <w:p>
            <w:pPr>
              <w:pStyle w:val="GesAbsatz"/>
              <w:jc w:val="center"/>
              <w:rPr>
                <w:rFonts w:cs="Arial"/>
                <w:sz w:val="18"/>
                <w:szCs w:val="18"/>
                <w:vertAlign w:val="superscript"/>
              </w:rPr>
            </w:pPr>
            <w:r>
              <w:rPr>
                <w:rFonts w:cs="Arial"/>
                <w:sz w:val="18"/>
                <w:szCs w:val="18"/>
                <w:vertAlign w:val="superscript"/>
              </w:rPr>
              <w:t>2</w:t>
            </w:r>
          </w:p>
        </w:tc>
        <w:tc>
          <w:tcPr>
            <w:tcW w:w="6486" w:type="dxa"/>
            <w:gridSpan w:val="2"/>
          </w:tcPr>
          <w:p>
            <w:pPr>
              <w:pStyle w:val="GesAbsatz"/>
              <w:jc w:val="left"/>
              <w:rPr>
                <w:rFonts w:cs="Arial"/>
                <w:sz w:val="18"/>
                <w:szCs w:val="18"/>
              </w:rPr>
            </w:pPr>
            <w:r>
              <w:rPr>
                <w:rFonts w:cs="Arial"/>
                <w:sz w:val="18"/>
                <w:szCs w:val="18"/>
              </w:rPr>
              <w:t>Gilt für Abgasreinigungseinrichtungen mit Rückgewinnung durch Kondensation, sofern keine flüchtigen organischen Verbindungen der Klasse II der Technischen Anleitung zur Reinhaltung der Luft in der jeweils geltenden Fassung eingesetzt werden.</w:t>
            </w:r>
          </w:p>
        </w:tc>
      </w:tr>
    </w:tbl>
    <w:p>
      <w:pPr>
        <w:pStyle w:val="GesAbsatz"/>
        <w:ind w:left="709" w:hanging="709"/>
        <w:rPr>
          <w:rFonts w:cs="Arial"/>
        </w:rPr>
      </w:pPr>
      <w:r>
        <w:rPr>
          <w:rFonts w:cs="Arial"/>
        </w:rPr>
        <w:t>16.3.3</w:t>
      </w:r>
      <w:r>
        <w:rPr>
          <w:rFonts w:cs="Arial"/>
        </w:rPr>
        <w:tab/>
        <w:t>Grenzwerte für diffuse Emissionen</w:t>
      </w:r>
    </w:p>
    <w:tbl>
      <w:tblPr>
        <w:tblW w:w="10124" w:type="dxa"/>
        <w:tblLayout w:type="fixed"/>
        <w:tblLook w:val="0000" w:firstRow="0" w:lastRow="0" w:firstColumn="0" w:lastColumn="0" w:noHBand="0" w:noVBand="0"/>
      </w:tblPr>
      <w:tblGrid>
        <w:gridCol w:w="1526"/>
        <w:gridCol w:w="1876"/>
        <w:gridCol w:w="236"/>
        <w:gridCol w:w="6109"/>
        <w:gridCol w:w="377"/>
      </w:tblGrid>
      <w:tr>
        <w:trPr>
          <w:gridAfter w:val="1"/>
          <w:wAfter w:w="377" w:type="dxa"/>
          <w:cantSplit/>
          <w:trHeight w:val="484"/>
        </w:trPr>
        <w:tc>
          <w:tcPr>
            <w:tcW w:w="3402" w:type="dxa"/>
            <w:gridSpan w:val="2"/>
            <w:tcBorders>
              <w:top w:val="single" w:sz="6" w:space="0" w:color="000000"/>
            </w:tcBorders>
          </w:tcPr>
          <w:p>
            <w:pPr>
              <w:pStyle w:val="GesAbsatz"/>
              <w:jc w:val="center"/>
              <w:rPr>
                <w:sz w:val="18"/>
                <w:szCs w:val="18"/>
              </w:rPr>
            </w:pPr>
            <w:r>
              <w:rPr>
                <w:sz w:val="18"/>
                <w:szCs w:val="18"/>
              </w:rPr>
              <w:t>Grenzwert</w:t>
            </w:r>
            <w:r>
              <w:rPr>
                <w:sz w:val="18"/>
                <w:szCs w:val="18"/>
                <w:vertAlign w:val="superscript"/>
              </w:rPr>
              <w:t>1</w:t>
            </w:r>
            <w:r>
              <w:rPr>
                <w:sz w:val="18"/>
                <w:szCs w:val="18"/>
              </w:rPr>
              <w:br/>
              <w:t>(% der eingesetzten Lösungsmittel)</w:t>
            </w:r>
            <w:r>
              <w:rPr>
                <w:sz w:val="18"/>
                <w:szCs w:val="18"/>
              </w:rPr>
              <w:br/>
              <w:t>Lösungsmittelverbrauch (t/d)</w:t>
            </w:r>
          </w:p>
        </w:tc>
        <w:tc>
          <w:tcPr>
            <w:tcW w:w="6345" w:type="dxa"/>
            <w:gridSpan w:val="2"/>
            <w:vMerge w:val="restart"/>
            <w:tcBorders>
              <w:top w:val="single" w:sz="6" w:space="0" w:color="000000"/>
              <w:bottom w:val="single" w:sz="4" w:space="0" w:color="auto"/>
            </w:tcBorders>
            <w:vAlign w:val="center"/>
          </w:tcPr>
          <w:p>
            <w:pPr>
              <w:pStyle w:val="GesAbsatz"/>
              <w:jc w:val="center"/>
              <w:rPr>
                <w:sz w:val="18"/>
                <w:szCs w:val="18"/>
              </w:rPr>
            </w:pPr>
            <w:r>
              <w:rPr>
                <w:sz w:val="18"/>
                <w:szCs w:val="18"/>
              </w:rPr>
              <w:t>Bemerkungen</w:t>
            </w:r>
          </w:p>
        </w:tc>
      </w:tr>
      <w:tr>
        <w:trPr>
          <w:gridAfter w:val="1"/>
          <w:wAfter w:w="377" w:type="dxa"/>
          <w:cantSplit/>
          <w:trHeight w:val="182"/>
        </w:trPr>
        <w:tc>
          <w:tcPr>
            <w:tcW w:w="1526" w:type="dxa"/>
            <w:tcBorders>
              <w:bottom w:val="single" w:sz="4" w:space="0" w:color="auto"/>
            </w:tcBorders>
          </w:tcPr>
          <w:p>
            <w:pPr>
              <w:pStyle w:val="GesAbsatz"/>
              <w:jc w:val="center"/>
              <w:rPr>
                <w:sz w:val="18"/>
                <w:szCs w:val="18"/>
              </w:rPr>
            </w:pPr>
            <w:r>
              <w:rPr>
                <w:sz w:val="18"/>
                <w:szCs w:val="18"/>
              </w:rPr>
              <w:t>≤ 5</w:t>
            </w:r>
          </w:p>
        </w:tc>
        <w:tc>
          <w:tcPr>
            <w:tcW w:w="1876" w:type="dxa"/>
            <w:tcBorders>
              <w:bottom w:val="single" w:sz="4" w:space="0" w:color="auto"/>
            </w:tcBorders>
          </w:tcPr>
          <w:p>
            <w:pPr>
              <w:pStyle w:val="GesAbsatz"/>
              <w:jc w:val="center"/>
              <w:rPr>
                <w:sz w:val="18"/>
                <w:szCs w:val="18"/>
              </w:rPr>
            </w:pPr>
            <w:r>
              <w:rPr>
                <w:sz w:val="18"/>
                <w:szCs w:val="18"/>
              </w:rPr>
              <w:t>&gt; 5</w:t>
            </w:r>
          </w:p>
        </w:tc>
        <w:tc>
          <w:tcPr>
            <w:tcW w:w="6345" w:type="dxa"/>
            <w:gridSpan w:val="2"/>
            <w:vMerge/>
            <w:tcBorders>
              <w:bottom w:val="single" w:sz="4" w:space="0" w:color="auto"/>
            </w:tcBorders>
          </w:tcPr>
          <w:p>
            <w:pPr>
              <w:pStyle w:val="GesAbsatz"/>
              <w:jc w:val="center"/>
              <w:rPr>
                <w:sz w:val="18"/>
                <w:szCs w:val="18"/>
              </w:rPr>
            </w:pPr>
          </w:p>
        </w:tc>
      </w:tr>
      <w:tr>
        <w:trPr>
          <w:cantSplit/>
          <w:trHeight w:val="218"/>
        </w:trPr>
        <w:tc>
          <w:tcPr>
            <w:tcW w:w="1526" w:type="dxa"/>
            <w:tcBorders>
              <w:top w:val="single" w:sz="4" w:space="0" w:color="auto"/>
            </w:tcBorders>
          </w:tcPr>
          <w:p>
            <w:pPr>
              <w:pStyle w:val="GesAbsatz"/>
              <w:jc w:val="center"/>
              <w:rPr>
                <w:sz w:val="18"/>
                <w:szCs w:val="18"/>
                <w:vertAlign w:val="superscript"/>
              </w:rPr>
            </w:pPr>
            <w:r>
              <w:rPr>
                <w:sz w:val="18"/>
                <w:szCs w:val="18"/>
              </w:rPr>
              <w:t>3</w:t>
            </w:r>
          </w:p>
        </w:tc>
        <w:tc>
          <w:tcPr>
            <w:tcW w:w="1876" w:type="dxa"/>
            <w:tcBorders>
              <w:top w:val="single" w:sz="4" w:space="0" w:color="auto"/>
            </w:tcBorders>
          </w:tcPr>
          <w:p>
            <w:pPr>
              <w:pStyle w:val="GesAbsatz"/>
              <w:jc w:val="center"/>
              <w:rPr>
                <w:sz w:val="18"/>
                <w:szCs w:val="18"/>
                <w:vertAlign w:val="superscript"/>
              </w:rPr>
            </w:pPr>
            <w:r>
              <w:rPr>
                <w:sz w:val="18"/>
                <w:szCs w:val="18"/>
              </w:rPr>
              <w:t>1</w:t>
            </w:r>
          </w:p>
        </w:tc>
        <w:tc>
          <w:tcPr>
            <w:tcW w:w="236" w:type="dxa"/>
            <w:tcBorders>
              <w:top w:val="single" w:sz="4" w:space="0" w:color="auto"/>
            </w:tcBorders>
          </w:tcPr>
          <w:p>
            <w:pPr>
              <w:pStyle w:val="GesAbsatz"/>
              <w:jc w:val="center"/>
              <w:rPr>
                <w:sz w:val="18"/>
                <w:szCs w:val="18"/>
              </w:rPr>
            </w:pPr>
            <w:r>
              <w:rPr>
                <w:sz w:val="18"/>
                <w:szCs w:val="18"/>
                <w:vertAlign w:val="superscript"/>
              </w:rPr>
              <w:t>1</w:t>
            </w:r>
          </w:p>
        </w:tc>
        <w:tc>
          <w:tcPr>
            <w:tcW w:w="6486" w:type="dxa"/>
            <w:gridSpan w:val="2"/>
            <w:tcBorders>
              <w:top w:val="single" w:sz="4" w:space="0" w:color="auto"/>
            </w:tcBorders>
          </w:tcPr>
          <w:p>
            <w:pPr>
              <w:pStyle w:val="GesAbsatz"/>
              <w:jc w:val="left"/>
              <w:rPr>
                <w:sz w:val="18"/>
                <w:szCs w:val="18"/>
              </w:rPr>
            </w:pPr>
            <w:r>
              <w:rPr>
                <w:sz w:val="18"/>
                <w:szCs w:val="18"/>
              </w:rPr>
              <w:t>Flüchtige organische Verbindungen, die als Teil des Beschichtungsstoffes in einem geschlossenen Behälter verkauft werden, gelten nicht als diffuse Emissionen.</w:t>
            </w:r>
          </w:p>
        </w:tc>
      </w:tr>
    </w:tbl>
    <w:p>
      <w:pPr>
        <w:pStyle w:val="GesAbsatz"/>
        <w:tabs>
          <w:tab w:val="clear" w:pos="425"/>
          <w:tab w:val="left" w:pos="709"/>
        </w:tabs>
      </w:pPr>
      <w:r>
        <w:rPr>
          <w:rFonts w:cs="Arial"/>
        </w:rPr>
        <w:t>16.3.4</w:t>
      </w:r>
      <w:r>
        <w:rPr>
          <w:rFonts w:cs="Arial"/>
        </w:rPr>
        <w:tab/>
        <w:t>Besondere Anforderungen</w:t>
      </w:r>
    </w:p>
    <w:p>
      <w:pPr>
        <w:pStyle w:val="GesAbsatz"/>
        <w:tabs>
          <w:tab w:val="clear" w:pos="425"/>
          <w:tab w:val="left" w:pos="709"/>
        </w:tabs>
        <w:ind w:left="1134"/>
      </w:pPr>
      <w:r>
        <w:rPr>
          <w:rFonts w:cs="Arial"/>
        </w:rPr>
        <w:t>Nummer 16.1.4 gilt entsprechend.</w:t>
      </w:r>
    </w:p>
    <w:p>
      <w:pPr>
        <w:pStyle w:val="GesAbsatz"/>
        <w:tabs>
          <w:tab w:val="clear" w:pos="425"/>
          <w:tab w:val="left" w:pos="709"/>
        </w:tabs>
        <w:rPr>
          <w:b/>
          <w:bCs/>
        </w:rPr>
      </w:pPr>
      <w:r>
        <w:rPr>
          <w:rFonts w:cs="Arial"/>
          <w:b/>
          <w:bCs/>
        </w:rPr>
        <w:t>16.4</w:t>
      </w:r>
      <w:r>
        <w:rPr>
          <w:rFonts w:cs="Arial"/>
          <w:b/>
          <w:bCs/>
        </w:rPr>
        <w:tab/>
        <w:t>Anlagen zur Herstellung von Druckfarben</w:t>
      </w:r>
    </w:p>
    <w:p>
      <w:pPr>
        <w:pStyle w:val="GesAbsatz"/>
        <w:tabs>
          <w:tab w:val="clear" w:pos="425"/>
          <w:tab w:val="left" w:pos="709"/>
        </w:tabs>
        <w:rPr>
          <w:rFonts w:cs="Arial"/>
        </w:rPr>
      </w:pPr>
      <w:r>
        <w:rPr>
          <w:rFonts w:cs="Arial"/>
        </w:rPr>
        <w:t>16.4.1</w:t>
      </w:r>
      <w:r>
        <w:rPr>
          <w:rFonts w:cs="Arial"/>
        </w:rPr>
        <w:tab/>
        <w:t>Grenzwerte für die Gesamtemissionen</w:t>
      </w:r>
    </w:p>
    <w:tbl>
      <w:tblPr>
        <w:tblW w:w="10124" w:type="dxa"/>
        <w:tblLayout w:type="fixed"/>
        <w:tblLook w:val="0000" w:firstRow="0" w:lastRow="0" w:firstColumn="0" w:lastColumn="0" w:noHBand="0" w:noVBand="0"/>
      </w:tblPr>
      <w:tblGrid>
        <w:gridCol w:w="1526"/>
        <w:gridCol w:w="1876"/>
        <w:gridCol w:w="236"/>
        <w:gridCol w:w="6109"/>
        <w:gridCol w:w="377"/>
      </w:tblGrid>
      <w:tr>
        <w:trPr>
          <w:gridAfter w:val="1"/>
          <w:wAfter w:w="377" w:type="dxa"/>
          <w:cantSplit/>
          <w:trHeight w:val="484"/>
        </w:trPr>
        <w:tc>
          <w:tcPr>
            <w:tcW w:w="3402" w:type="dxa"/>
            <w:gridSpan w:val="2"/>
            <w:tcBorders>
              <w:top w:val="single" w:sz="6" w:space="0" w:color="000000"/>
            </w:tcBorders>
          </w:tcPr>
          <w:p>
            <w:pPr>
              <w:pStyle w:val="GesAbsatz"/>
              <w:jc w:val="center"/>
              <w:rPr>
                <w:rFonts w:cs="Arial"/>
                <w:sz w:val="18"/>
                <w:szCs w:val="18"/>
              </w:rPr>
            </w:pPr>
            <w:r>
              <w:rPr>
                <w:rFonts w:cs="Arial"/>
                <w:sz w:val="18"/>
                <w:szCs w:val="18"/>
              </w:rPr>
              <w:t>Gesamtemissionsgrenzwert</w:t>
            </w:r>
            <w:r>
              <w:rPr>
                <w:rFonts w:cs="Arial"/>
                <w:sz w:val="18"/>
                <w:szCs w:val="18"/>
                <w:vertAlign w:val="superscript"/>
              </w:rPr>
              <w:t>1</w:t>
            </w:r>
            <w:r>
              <w:rPr>
                <w:rFonts w:cs="Arial"/>
                <w:sz w:val="18"/>
                <w:szCs w:val="18"/>
              </w:rPr>
              <w:br/>
              <w:t>Lösungsmittelverbrauch (t/a)</w:t>
            </w:r>
          </w:p>
        </w:tc>
        <w:tc>
          <w:tcPr>
            <w:tcW w:w="6345" w:type="dxa"/>
            <w:gridSpan w:val="2"/>
            <w:vMerge w:val="restart"/>
            <w:tcBorders>
              <w:top w:val="single" w:sz="6" w:space="0" w:color="000000"/>
              <w:bottom w:val="single" w:sz="4" w:space="0" w:color="auto"/>
            </w:tcBorders>
            <w:vAlign w:val="center"/>
          </w:tcPr>
          <w:p>
            <w:pPr>
              <w:pStyle w:val="GesAbsatz"/>
              <w:jc w:val="center"/>
              <w:rPr>
                <w:rFonts w:cs="Arial"/>
                <w:sz w:val="18"/>
                <w:szCs w:val="18"/>
              </w:rPr>
            </w:pPr>
            <w:r>
              <w:rPr>
                <w:rFonts w:cs="Arial"/>
                <w:sz w:val="18"/>
                <w:szCs w:val="18"/>
              </w:rPr>
              <w:t>Bemerkungen</w:t>
            </w:r>
          </w:p>
        </w:tc>
      </w:tr>
      <w:tr>
        <w:trPr>
          <w:gridAfter w:val="1"/>
          <w:wAfter w:w="377" w:type="dxa"/>
          <w:cantSplit/>
          <w:trHeight w:val="182"/>
        </w:trPr>
        <w:tc>
          <w:tcPr>
            <w:tcW w:w="1526" w:type="dxa"/>
            <w:tcBorders>
              <w:bottom w:val="single" w:sz="4" w:space="0" w:color="auto"/>
            </w:tcBorders>
          </w:tcPr>
          <w:p>
            <w:pPr>
              <w:pStyle w:val="GesAbsatz"/>
              <w:jc w:val="center"/>
              <w:rPr>
                <w:rFonts w:cs="Arial"/>
                <w:sz w:val="18"/>
                <w:szCs w:val="18"/>
              </w:rPr>
            </w:pPr>
            <w:r>
              <w:rPr>
                <w:rFonts w:cs="Arial"/>
                <w:sz w:val="18"/>
                <w:szCs w:val="18"/>
              </w:rPr>
              <w:t>≤ 1 000</w:t>
            </w:r>
          </w:p>
        </w:tc>
        <w:tc>
          <w:tcPr>
            <w:tcW w:w="1876" w:type="dxa"/>
            <w:tcBorders>
              <w:bottom w:val="single" w:sz="4" w:space="0" w:color="auto"/>
            </w:tcBorders>
          </w:tcPr>
          <w:p>
            <w:pPr>
              <w:pStyle w:val="GesAbsatz"/>
              <w:jc w:val="center"/>
              <w:rPr>
                <w:rFonts w:cs="Arial"/>
                <w:sz w:val="18"/>
                <w:szCs w:val="18"/>
              </w:rPr>
            </w:pPr>
            <w:r>
              <w:rPr>
                <w:rFonts w:cs="Arial"/>
                <w:sz w:val="18"/>
                <w:szCs w:val="18"/>
              </w:rPr>
              <w:t>&gt; 1 000</w:t>
            </w:r>
          </w:p>
        </w:tc>
        <w:tc>
          <w:tcPr>
            <w:tcW w:w="6345" w:type="dxa"/>
            <w:gridSpan w:val="2"/>
            <w:vMerge/>
            <w:tcBorders>
              <w:bottom w:val="single" w:sz="4" w:space="0" w:color="auto"/>
            </w:tcBorders>
          </w:tcPr>
          <w:p>
            <w:pPr>
              <w:pStyle w:val="GesAbsatz"/>
              <w:jc w:val="center"/>
              <w:rPr>
                <w:rFonts w:cs="Arial"/>
                <w:sz w:val="18"/>
                <w:szCs w:val="18"/>
              </w:rPr>
            </w:pPr>
          </w:p>
        </w:tc>
      </w:tr>
      <w:tr>
        <w:trPr>
          <w:cantSplit/>
          <w:trHeight w:val="218"/>
        </w:trPr>
        <w:tc>
          <w:tcPr>
            <w:tcW w:w="1526" w:type="dxa"/>
          </w:tcPr>
          <w:p>
            <w:pPr>
              <w:pStyle w:val="GesAbsatz"/>
              <w:jc w:val="center"/>
              <w:rPr>
                <w:rFonts w:cs="Arial"/>
                <w:sz w:val="18"/>
                <w:szCs w:val="18"/>
                <w:vertAlign w:val="superscript"/>
              </w:rPr>
            </w:pPr>
            <w:r>
              <w:rPr>
                <w:rFonts w:cs="Arial"/>
                <w:sz w:val="18"/>
                <w:szCs w:val="18"/>
              </w:rPr>
              <w:t>3</w:t>
            </w:r>
          </w:p>
        </w:tc>
        <w:tc>
          <w:tcPr>
            <w:tcW w:w="1876" w:type="dxa"/>
          </w:tcPr>
          <w:p>
            <w:pPr>
              <w:pStyle w:val="GesAbsatz"/>
              <w:jc w:val="center"/>
              <w:rPr>
                <w:rFonts w:cs="Arial"/>
                <w:sz w:val="18"/>
                <w:szCs w:val="18"/>
                <w:vertAlign w:val="superscript"/>
              </w:rPr>
            </w:pPr>
            <w:r>
              <w:rPr>
                <w:rFonts w:cs="Arial"/>
                <w:sz w:val="18"/>
                <w:szCs w:val="18"/>
              </w:rPr>
              <w:t>1</w:t>
            </w:r>
          </w:p>
        </w:tc>
        <w:tc>
          <w:tcPr>
            <w:tcW w:w="236" w:type="dxa"/>
          </w:tcPr>
          <w:p>
            <w:pPr>
              <w:pStyle w:val="GesAbsatz"/>
              <w:jc w:val="center"/>
              <w:rPr>
                <w:rFonts w:cs="Arial"/>
                <w:sz w:val="18"/>
                <w:szCs w:val="18"/>
              </w:rPr>
            </w:pPr>
            <w:r>
              <w:rPr>
                <w:rFonts w:cs="Arial"/>
                <w:sz w:val="18"/>
                <w:szCs w:val="18"/>
                <w:vertAlign w:val="superscript"/>
              </w:rPr>
              <w:t>1</w:t>
            </w:r>
          </w:p>
        </w:tc>
        <w:tc>
          <w:tcPr>
            <w:tcW w:w="6486" w:type="dxa"/>
            <w:gridSpan w:val="2"/>
          </w:tcPr>
          <w:p>
            <w:pPr>
              <w:pStyle w:val="GesAbsatz"/>
              <w:jc w:val="left"/>
              <w:rPr>
                <w:rFonts w:cs="Arial"/>
                <w:sz w:val="18"/>
                <w:szCs w:val="18"/>
              </w:rPr>
            </w:pPr>
            <w:r>
              <w:rPr>
                <w:rFonts w:cs="Arial"/>
                <w:sz w:val="18"/>
                <w:szCs w:val="18"/>
              </w:rPr>
              <w:t>Angegeben in Prozent des eingesetzten organischen Lösungsmittels.</w:t>
            </w:r>
          </w:p>
        </w:tc>
      </w:tr>
    </w:tbl>
    <w:p>
      <w:pPr>
        <w:pStyle w:val="GesAbsatz"/>
        <w:tabs>
          <w:tab w:val="clear" w:pos="425"/>
          <w:tab w:val="left" w:pos="709"/>
        </w:tabs>
        <w:rPr>
          <w:rFonts w:cs="Arial"/>
          <w:color w:val="auto"/>
        </w:rPr>
      </w:pPr>
      <w:r>
        <w:rPr>
          <w:rFonts w:cs="Arial"/>
        </w:rPr>
        <w:t>16.4.2</w:t>
      </w:r>
      <w:r>
        <w:rPr>
          <w:rFonts w:cs="Arial"/>
        </w:rPr>
        <w:tab/>
        <w:t>Emissionsgrenzwerte für gefasste Abgase</w:t>
      </w:r>
    </w:p>
    <w:tbl>
      <w:tblPr>
        <w:tblW w:w="10124" w:type="dxa"/>
        <w:tblLayout w:type="fixed"/>
        <w:tblLook w:val="0000" w:firstRow="0" w:lastRow="0" w:firstColumn="0" w:lastColumn="0" w:noHBand="0" w:noVBand="0"/>
      </w:tblPr>
      <w:tblGrid>
        <w:gridCol w:w="1526"/>
        <w:gridCol w:w="1876"/>
        <w:gridCol w:w="236"/>
        <w:gridCol w:w="6109"/>
        <w:gridCol w:w="377"/>
      </w:tblGrid>
      <w:tr>
        <w:trPr>
          <w:gridAfter w:val="1"/>
          <w:wAfter w:w="377" w:type="dxa"/>
          <w:cantSplit/>
          <w:trHeight w:val="484"/>
        </w:trPr>
        <w:tc>
          <w:tcPr>
            <w:tcW w:w="3402" w:type="dxa"/>
            <w:gridSpan w:val="2"/>
            <w:tcBorders>
              <w:top w:val="single" w:sz="6" w:space="0" w:color="000000"/>
            </w:tcBorders>
          </w:tcPr>
          <w:p>
            <w:pPr>
              <w:pStyle w:val="GesAbsatz"/>
              <w:jc w:val="center"/>
              <w:rPr>
                <w:rFonts w:cs="Arial"/>
                <w:sz w:val="18"/>
                <w:szCs w:val="18"/>
              </w:rPr>
            </w:pPr>
            <w:r>
              <w:rPr>
                <w:rFonts w:cs="Arial"/>
                <w:sz w:val="18"/>
                <w:szCs w:val="18"/>
              </w:rPr>
              <w:t>Emissionsgrenzwert (mg C/m</w:t>
            </w:r>
            <w:r>
              <w:rPr>
                <w:rFonts w:cs="Arial"/>
                <w:sz w:val="18"/>
                <w:szCs w:val="18"/>
                <w:vertAlign w:val="superscript"/>
              </w:rPr>
              <w:t>3</w:t>
            </w:r>
            <w:r>
              <w:rPr>
                <w:rFonts w:cs="Arial"/>
                <w:sz w:val="18"/>
                <w:szCs w:val="18"/>
              </w:rPr>
              <w:t>)</w:t>
            </w:r>
            <w:r>
              <w:rPr>
                <w:rFonts w:cs="Arial"/>
                <w:sz w:val="18"/>
                <w:szCs w:val="18"/>
              </w:rPr>
              <w:br/>
              <w:t>Lösungsmittelverbrauch (t/a)</w:t>
            </w:r>
          </w:p>
        </w:tc>
        <w:tc>
          <w:tcPr>
            <w:tcW w:w="6345" w:type="dxa"/>
            <w:gridSpan w:val="2"/>
            <w:vMerge w:val="restart"/>
            <w:tcBorders>
              <w:top w:val="single" w:sz="6" w:space="0" w:color="000000"/>
              <w:bottom w:val="single" w:sz="4" w:space="0" w:color="auto"/>
            </w:tcBorders>
            <w:vAlign w:val="center"/>
          </w:tcPr>
          <w:p>
            <w:pPr>
              <w:pStyle w:val="GesAbsatz"/>
              <w:jc w:val="center"/>
              <w:rPr>
                <w:rFonts w:cs="Arial"/>
                <w:sz w:val="18"/>
                <w:szCs w:val="18"/>
              </w:rPr>
            </w:pPr>
            <w:r>
              <w:rPr>
                <w:rFonts w:cs="Arial"/>
                <w:sz w:val="18"/>
                <w:szCs w:val="18"/>
              </w:rPr>
              <w:t>Bemerkungen</w:t>
            </w:r>
          </w:p>
        </w:tc>
      </w:tr>
      <w:tr>
        <w:trPr>
          <w:gridAfter w:val="1"/>
          <w:wAfter w:w="377" w:type="dxa"/>
          <w:cantSplit/>
          <w:trHeight w:val="182"/>
        </w:trPr>
        <w:tc>
          <w:tcPr>
            <w:tcW w:w="1526" w:type="dxa"/>
            <w:tcBorders>
              <w:bottom w:val="single" w:sz="4" w:space="0" w:color="auto"/>
            </w:tcBorders>
          </w:tcPr>
          <w:p>
            <w:pPr>
              <w:pStyle w:val="GesAbsatz"/>
              <w:jc w:val="center"/>
              <w:rPr>
                <w:rFonts w:cs="Arial"/>
                <w:sz w:val="18"/>
                <w:szCs w:val="18"/>
              </w:rPr>
            </w:pPr>
            <w:r>
              <w:rPr>
                <w:rFonts w:cs="Arial"/>
                <w:sz w:val="18"/>
                <w:szCs w:val="18"/>
              </w:rPr>
              <w:t>≤ 1 000</w:t>
            </w:r>
          </w:p>
        </w:tc>
        <w:tc>
          <w:tcPr>
            <w:tcW w:w="1876" w:type="dxa"/>
            <w:tcBorders>
              <w:bottom w:val="single" w:sz="4" w:space="0" w:color="auto"/>
            </w:tcBorders>
          </w:tcPr>
          <w:p>
            <w:pPr>
              <w:pStyle w:val="GesAbsatz"/>
              <w:jc w:val="center"/>
              <w:rPr>
                <w:rFonts w:cs="Arial"/>
                <w:sz w:val="18"/>
                <w:szCs w:val="18"/>
              </w:rPr>
            </w:pPr>
            <w:r>
              <w:rPr>
                <w:rFonts w:cs="Arial"/>
                <w:sz w:val="18"/>
                <w:szCs w:val="18"/>
              </w:rPr>
              <w:t>&gt; 1 000</w:t>
            </w:r>
          </w:p>
        </w:tc>
        <w:tc>
          <w:tcPr>
            <w:tcW w:w="6345" w:type="dxa"/>
            <w:gridSpan w:val="2"/>
            <w:vMerge/>
            <w:tcBorders>
              <w:bottom w:val="single" w:sz="4" w:space="0" w:color="auto"/>
            </w:tcBorders>
          </w:tcPr>
          <w:p>
            <w:pPr>
              <w:pStyle w:val="GesAbsatz"/>
              <w:jc w:val="center"/>
              <w:rPr>
                <w:rFonts w:cs="Arial"/>
                <w:sz w:val="18"/>
                <w:szCs w:val="18"/>
              </w:rPr>
            </w:pPr>
          </w:p>
        </w:tc>
      </w:tr>
      <w:tr>
        <w:trPr>
          <w:cantSplit/>
          <w:trHeight w:val="218"/>
        </w:trPr>
        <w:tc>
          <w:tcPr>
            <w:tcW w:w="1526" w:type="dxa"/>
            <w:vMerge w:val="restart"/>
          </w:tcPr>
          <w:p>
            <w:pPr>
              <w:pStyle w:val="GesAbsatz"/>
              <w:jc w:val="center"/>
              <w:rPr>
                <w:rFonts w:cs="Arial"/>
                <w:sz w:val="18"/>
                <w:szCs w:val="18"/>
              </w:rPr>
            </w:pPr>
            <w:r>
              <w:rPr>
                <w:rFonts w:cs="Arial"/>
                <w:sz w:val="18"/>
                <w:szCs w:val="18"/>
              </w:rPr>
              <w:t>20</w:t>
            </w:r>
            <w:r>
              <w:rPr>
                <w:rFonts w:cs="Arial"/>
                <w:sz w:val="18"/>
                <w:szCs w:val="18"/>
                <w:vertAlign w:val="superscript"/>
              </w:rPr>
              <w:t>1</w:t>
            </w:r>
            <w:r>
              <w:rPr>
                <w:rFonts w:cs="Arial"/>
                <w:sz w:val="18"/>
                <w:szCs w:val="18"/>
                <w:vertAlign w:val="superscript"/>
              </w:rPr>
              <w:br/>
            </w:r>
            <w:r>
              <w:rPr>
                <w:rFonts w:cs="Arial"/>
                <w:sz w:val="18"/>
                <w:szCs w:val="18"/>
              </w:rPr>
              <w:t>100</w:t>
            </w:r>
          </w:p>
        </w:tc>
        <w:tc>
          <w:tcPr>
            <w:tcW w:w="1876" w:type="dxa"/>
            <w:vMerge w:val="restart"/>
          </w:tcPr>
          <w:p>
            <w:pPr>
              <w:pStyle w:val="GesAbsatz"/>
              <w:jc w:val="center"/>
              <w:rPr>
                <w:rFonts w:cs="Arial"/>
                <w:sz w:val="18"/>
                <w:szCs w:val="18"/>
                <w:vertAlign w:val="superscript"/>
              </w:rPr>
            </w:pPr>
            <w:r>
              <w:rPr>
                <w:rFonts w:cs="Arial"/>
                <w:sz w:val="18"/>
                <w:szCs w:val="18"/>
              </w:rPr>
              <w:t>20</w:t>
            </w:r>
            <w:r>
              <w:rPr>
                <w:rFonts w:cs="Arial"/>
                <w:sz w:val="18"/>
                <w:szCs w:val="18"/>
                <w:vertAlign w:val="superscript"/>
              </w:rPr>
              <w:t>1</w:t>
            </w:r>
            <w:r>
              <w:rPr>
                <w:rFonts w:cs="Arial"/>
                <w:sz w:val="18"/>
                <w:szCs w:val="18"/>
                <w:vertAlign w:val="superscript"/>
              </w:rPr>
              <w:br/>
            </w:r>
            <w:r>
              <w:rPr>
                <w:rFonts w:cs="Arial"/>
                <w:sz w:val="18"/>
                <w:szCs w:val="18"/>
              </w:rPr>
              <w:t>50</w:t>
            </w:r>
            <w:r>
              <w:rPr>
                <w:rFonts w:cs="Arial"/>
                <w:sz w:val="18"/>
                <w:szCs w:val="18"/>
              </w:rPr>
              <w:br/>
              <w:t>90</w:t>
            </w:r>
            <w:r>
              <w:rPr>
                <w:rFonts w:cs="Arial"/>
                <w:sz w:val="18"/>
                <w:szCs w:val="18"/>
                <w:vertAlign w:val="superscript"/>
              </w:rPr>
              <w:t>2</w:t>
            </w:r>
            <w:r>
              <w:rPr>
                <w:rFonts w:cs="Arial"/>
                <w:sz w:val="18"/>
                <w:szCs w:val="18"/>
                <w:vertAlign w:val="superscript"/>
              </w:rPr>
              <w:br/>
            </w:r>
            <w:r>
              <w:rPr>
                <w:rFonts w:cs="Arial"/>
                <w:sz w:val="18"/>
                <w:szCs w:val="18"/>
              </w:rPr>
              <w:t>100</w:t>
            </w:r>
            <w:r>
              <w:rPr>
                <w:rFonts w:cs="Arial"/>
                <w:sz w:val="18"/>
                <w:szCs w:val="18"/>
                <w:vertAlign w:val="superscript"/>
              </w:rPr>
              <w:t>3</w:t>
            </w:r>
          </w:p>
        </w:tc>
        <w:tc>
          <w:tcPr>
            <w:tcW w:w="236" w:type="dxa"/>
          </w:tcPr>
          <w:p>
            <w:pPr>
              <w:pStyle w:val="GesAbsatz"/>
              <w:jc w:val="center"/>
              <w:rPr>
                <w:rFonts w:cs="Arial"/>
                <w:sz w:val="18"/>
                <w:szCs w:val="18"/>
              </w:rPr>
            </w:pPr>
            <w:r>
              <w:rPr>
                <w:rFonts w:cs="Arial"/>
                <w:sz w:val="18"/>
                <w:szCs w:val="18"/>
                <w:vertAlign w:val="superscript"/>
              </w:rPr>
              <w:t>1</w:t>
            </w:r>
          </w:p>
        </w:tc>
        <w:tc>
          <w:tcPr>
            <w:tcW w:w="6486" w:type="dxa"/>
            <w:gridSpan w:val="2"/>
          </w:tcPr>
          <w:p>
            <w:pPr>
              <w:pStyle w:val="GesAbsatz"/>
              <w:jc w:val="left"/>
              <w:rPr>
                <w:rFonts w:cs="Arial"/>
                <w:sz w:val="18"/>
                <w:szCs w:val="18"/>
              </w:rPr>
            </w:pPr>
            <w:r>
              <w:rPr>
                <w:rFonts w:cs="Arial"/>
                <w:sz w:val="18"/>
                <w:szCs w:val="18"/>
              </w:rPr>
              <w:t>Bei Anwendung von Abgasreinigungseinrichtungen mit thermischer Nachverbrennung.</w:t>
            </w:r>
          </w:p>
        </w:tc>
      </w:tr>
      <w:tr>
        <w:trPr>
          <w:cantSplit/>
          <w:trHeight w:val="218"/>
        </w:trPr>
        <w:tc>
          <w:tcPr>
            <w:tcW w:w="1526" w:type="dxa"/>
            <w:vMerge/>
          </w:tcPr>
          <w:p>
            <w:pPr>
              <w:pStyle w:val="GesAbsatz"/>
              <w:jc w:val="center"/>
              <w:rPr>
                <w:rFonts w:cs="Arial"/>
                <w:sz w:val="18"/>
                <w:szCs w:val="18"/>
              </w:rPr>
            </w:pPr>
          </w:p>
        </w:tc>
        <w:tc>
          <w:tcPr>
            <w:tcW w:w="1876" w:type="dxa"/>
            <w:vMerge/>
          </w:tcPr>
          <w:p>
            <w:pPr>
              <w:pStyle w:val="GesAbsatz"/>
              <w:jc w:val="center"/>
              <w:rPr>
                <w:rFonts w:cs="Arial"/>
                <w:sz w:val="18"/>
                <w:szCs w:val="18"/>
              </w:rPr>
            </w:pPr>
          </w:p>
        </w:tc>
        <w:tc>
          <w:tcPr>
            <w:tcW w:w="236" w:type="dxa"/>
          </w:tcPr>
          <w:p>
            <w:pPr>
              <w:pStyle w:val="GesAbsatz"/>
              <w:jc w:val="center"/>
              <w:rPr>
                <w:rFonts w:cs="Arial"/>
                <w:sz w:val="18"/>
                <w:szCs w:val="18"/>
                <w:vertAlign w:val="superscript"/>
              </w:rPr>
            </w:pPr>
            <w:r>
              <w:rPr>
                <w:rFonts w:cs="Arial"/>
                <w:sz w:val="18"/>
                <w:szCs w:val="18"/>
                <w:vertAlign w:val="superscript"/>
              </w:rPr>
              <w:t>2</w:t>
            </w:r>
          </w:p>
        </w:tc>
        <w:tc>
          <w:tcPr>
            <w:tcW w:w="6486" w:type="dxa"/>
            <w:gridSpan w:val="2"/>
          </w:tcPr>
          <w:p>
            <w:pPr>
              <w:pStyle w:val="GesAbsatz"/>
              <w:jc w:val="left"/>
              <w:rPr>
                <w:rFonts w:cs="Arial"/>
                <w:sz w:val="18"/>
                <w:szCs w:val="18"/>
              </w:rPr>
            </w:pPr>
            <w:r>
              <w:rPr>
                <w:rFonts w:cs="Arial"/>
                <w:sz w:val="18"/>
                <w:szCs w:val="18"/>
              </w:rPr>
              <w:t>Bei Anwendung von Abgasreinigungseinrichtungen, die auf der Basis biologischer Prozesse arbeiten.</w:t>
            </w:r>
          </w:p>
        </w:tc>
      </w:tr>
      <w:tr>
        <w:trPr>
          <w:cantSplit/>
          <w:trHeight w:val="218"/>
        </w:trPr>
        <w:tc>
          <w:tcPr>
            <w:tcW w:w="1526" w:type="dxa"/>
            <w:vMerge/>
          </w:tcPr>
          <w:p>
            <w:pPr>
              <w:pStyle w:val="GesAbsatz"/>
              <w:jc w:val="center"/>
              <w:rPr>
                <w:rFonts w:cs="Arial"/>
                <w:sz w:val="18"/>
                <w:szCs w:val="18"/>
              </w:rPr>
            </w:pPr>
          </w:p>
        </w:tc>
        <w:tc>
          <w:tcPr>
            <w:tcW w:w="1876" w:type="dxa"/>
            <w:vMerge/>
          </w:tcPr>
          <w:p>
            <w:pPr>
              <w:pStyle w:val="GesAbsatz"/>
              <w:jc w:val="center"/>
              <w:rPr>
                <w:rFonts w:cs="Arial"/>
                <w:sz w:val="18"/>
                <w:szCs w:val="18"/>
              </w:rPr>
            </w:pPr>
          </w:p>
        </w:tc>
        <w:tc>
          <w:tcPr>
            <w:tcW w:w="236" w:type="dxa"/>
          </w:tcPr>
          <w:p>
            <w:pPr>
              <w:pStyle w:val="GesAbsatz"/>
              <w:jc w:val="center"/>
              <w:rPr>
                <w:rFonts w:cs="Arial"/>
                <w:sz w:val="18"/>
                <w:szCs w:val="18"/>
                <w:vertAlign w:val="superscript"/>
              </w:rPr>
            </w:pPr>
            <w:r>
              <w:rPr>
                <w:rFonts w:cs="Arial"/>
                <w:sz w:val="18"/>
                <w:szCs w:val="18"/>
                <w:vertAlign w:val="superscript"/>
              </w:rPr>
              <w:t>3</w:t>
            </w:r>
          </w:p>
        </w:tc>
        <w:tc>
          <w:tcPr>
            <w:tcW w:w="6486" w:type="dxa"/>
            <w:gridSpan w:val="2"/>
          </w:tcPr>
          <w:p>
            <w:pPr>
              <w:pStyle w:val="GesAbsatz"/>
              <w:jc w:val="left"/>
              <w:rPr>
                <w:rFonts w:cs="Arial"/>
                <w:sz w:val="18"/>
                <w:szCs w:val="18"/>
              </w:rPr>
            </w:pPr>
            <w:r>
              <w:rPr>
                <w:rFonts w:cs="Arial"/>
                <w:sz w:val="18"/>
                <w:szCs w:val="18"/>
              </w:rPr>
              <w:t>Gilt für Abgasreinigungseinrichtungen mit Rückgewinnung durch Kondensation, sofern keine flüchtigen organischen Verbindungen der Klasse II der Technischen Anleitung zur Reinhaltung der Luft in der jeweils geltenden Fassung eingesetzt werden.</w:t>
            </w:r>
          </w:p>
        </w:tc>
      </w:tr>
    </w:tbl>
    <w:p>
      <w:pPr>
        <w:pStyle w:val="GesAbsatz"/>
        <w:ind w:left="709" w:hanging="709"/>
        <w:rPr>
          <w:rFonts w:cs="Arial"/>
        </w:rPr>
      </w:pPr>
      <w:r>
        <w:rPr>
          <w:rFonts w:cs="Arial"/>
        </w:rPr>
        <w:t>16.4.3</w:t>
      </w:r>
      <w:r>
        <w:rPr>
          <w:rFonts w:cs="Arial"/>
        </w:rPr>
        <w:tab/>
        <w:t>Grenzwert für diffuse Emissionen</w:t>
      </w:r>
    </w:p>
    <w:tbl>
      <w:tblPr>
        <w:tblW w:w="10124" w:type="dxa"/>
        <w:tblLayout w:type="fixed"/>
        <w:tblLook w:val="0000" w:firstRow="0" w:lastRow="0" w:firstColumn="0" w:lastColumn="0" w:noHBand="0" w:noVBand="0"/>
      </w:tblPr>
      <w:tblGrid>
        <w:gridCol w:w="1526"/>
        <w:gridCol w:w="1876"/>
        <w:gridCol w:w="236"/>
        <w:gridCol w:w="6109"/>
        <w:gridCol w:w="377"/>
      </w:tblGrid>
      <w:tr>
        <w:trPr>
          <w:gridAfter w:val="1"/>
          <w:wAfter w:w="377" w:type="dxa"/>
          <w:cantSplit/>
          <w:trHeight w:val="484"/>
        </w:trPr>
        <w:tc>
          <w:tcPr>
            <w:tcW w:w="3402" w:type="dxa"/>
            <w:gridSpan w:val="2"/>
            <w:tcBorders>
              <w:top w:val="single" w:sz="6" w:space="0" w:color="000000"/>
            </w:tcBorders>
          </w:tcPr>
          <w:p>
            <w:pPr>
              <w:pStyle w:val="GesAbsatz"/>
              <w:jc w:val="center"/>
              <w:rPr>
                <w:sz w:val="18"/>
                <w:szCs w:val="18"/>
              </w:rPr>
            </w:pPr>
            <w:r>
              <w:rPr>
                <w:sz w:val="18"/>
                <w:szCs w:val="18"/>
              </w:rPr>
              <w:t>Grenzwert</w:t>
            </w:r>
            <w:r>
              <w:rPr>
                <w:sz w:val="18"/>
                <w:szCs w:val="18"/>
                <w:vertAlign w:val="superscript"/>
              </w:rPr>
              <w:t>1</w:t>
            </w:r>
            <w:r>
              <w:rPr>
                <w:sz w:val="18"/>
                <w:szCs w:val="18"/>
              </w:rPr>
              <w:br/>
              <w:t>(% der eingesetzten Lösungsmittel)</w:t>
            </w:r>
            <w:r>
              <w:rPr>
                <w:sz w:val="18"/>
                <w:szCs w:val="18"/>
              </w:rPr>
              <w:br/>
              <w:t>Lösungsmittelverbrauch (t/a)</w:t>
            </w:r>
          </w:p>
        </w:tc>
        <w:tc>
          <w:tcPr>
            <w:tcW w:w="6345" w:type="dxa"/>
            <w:gridSpan w:val="2"/>
            <w:vMerge w:val="restart"/>
            <w:tcBorders>
              <w:top w:val="single" w:sz="6" w:space="0" w:color="000000"/>
              <w:bottom w:val="single" w:sz="4" w:space="0" w:color="auto"/>
            </w:tcBorders>
            <w:vAlign w:val="center"/>
          </w:tcPr>
          <w:p>
            <w:pPr>
              <w:pStyle w:val="GesAbsatz"/>
              <w:jc w:val="center"/>
              <w:rPr>
                <w:sz w:val="18"/>
                <w:szCs w:val="18"/>
              </w:rPr>
            </w:pPr>
            <w:r>
              <w:rPr>
                <w:sz w:val="18"/>
                <w:szCs w:val="18"/>
              </w:rPr>
              <w:t>Bemerkungen</w:t>
            </w:r>
          </w:p>
        </w:tc>
      </w:tr>
      <w:tr>
        <w:trPr>
          <w:gridAfter w:val="1"/>
          <w:wAfter w:w="377" w:type="dxa"/>
          <w:cantSplit/>
          <w:trHeight w:val="182"/>
        </w:trPr>
        <w:tc>
          <w:tcPr>
            <w:tcW w:w="1526" w:type="dxa"/>
            <w:tcBorders>
              <w:bottom w:val="single" w:sz="4" w:space="0" w:color="auto"/>
            </w:tcBorders>
          </w:tcPr>
          <w:p>
            <w:pPr>
              <w:pStyle w:val="GesAbsatz"/>
              <w:jc w:val="center"/>
              <w:rPr>
                <w:sz w:val="18"/>
                <w:szCs w:val="18"/>
              </w:rPr>
            </w:pPr>
            <w:r>
              <w:rPr>
                <w:sz w:val="18"/>
                <w:szCs w:val="18"/>
              </w:rPr>
              <w:t>≤ 1 000</w:t>
            </w:r>
          </w:p>
        </w:tc>
        <w:tc>
          <w:tcPr>
            <w:tcW w:w="1876" w:type="dxa"/>
            <w:tcBorders>
              <w:bottom w:val="single" w:sz="4" w:space="0" w:color="auto"/>
            </w:tcBorders>
          </w:tcPr>
          <w:p>
            <w:pPr>
              <w:pStyle w:val="GesAbsatz"/>
              <w:jc w:val="center"/>
              <w:rPr>
                <w:sz w:val="18"/>
                <w:szCs w:val="18"/>
              </w:rPr>
            </w:pPr>
            <w:r>
              <w:rPr>
                <w:sz w:val="18"/>
                <w:szCs w:val="18"/>
              </w:rPr>
              <w:t>&gt; 1 000</w:t>
            </w:r>
          </w:p>
        </w:tc>
        <w:tc>
          <w:tcPr>
            <w:tcW w:w="6345" w:type="dxa"/>
            <w:gridSpan w:val="2"/>
            <w:vMerge/>
            <w:tcBorders>
              <w:bottom w:val="single" w:sz="4" w:space="0" w:color="auto"/>
            </w:tcBorders>
          </w:tcPr>
          <w:p>
            <w:pPr>
              <w:pStyle w:val="GesAbsatz"/>
              <w:jc w:val="center"/>
              <w:rPr>
                <w:sz w:val="18"/>
                <w:szCs w:val="18"/>
              </w:rPr>
            </w:pPr>
          </w:p>
        </w:tc>
      </w:tr>
      <w:tr>
        <w:trPr>
          <w:cantSplit/>
          <w:trHeight w:val="218"/>
        </w:trPr>
        <w:tc>
          <w:tcPr>
            <w:tcW w:w="1526" w:type="dxa"/>
          </w:tcPr>
          <w:p>
            <w:pPr>
              <w:pStyle w:val="GesAbsatz"/>
              <w:jc w:val="center"/>
              <w:rPr>
                <w:sz w:val="18"/>
                <w:szCs w:val="18"/>
              </w:rPr>
            </w:pPr>
            <w:r>
              <w:rPr>
                <w:sz w:val="18"/>
                <w:szCs w:val="18"/>
              </w:rPr>
              <w:t>3</w:t>
            </w:r>
          </w:p>
        </w:tc>
        <w:tc>
          <w:tcPr>
            <w:tcW w:w="1876" w:type="dxa"/>
          </w:tcPr>
          <w:p>
            <w:pPr>
              <w:pStyle w:val="GesAbsatz"/>
              <w:jc w:val="center"/>
              <w:rPr>
                <w:sz w:val="18"/>
                <w:szCs w:val="18"/>
                <w:vertAlign w:val="superscript"/>
              </w:rPr>
            </w:pPr>
            <w:r>
              <w:rPr>
                <w:sz w:val="18"/>
                <w:szCs w:val="18"/>
              </w:rPr>
              <w:t>1</w:t>
            </w:r>
          </w:p>
        </w:tc>
        <w:tc>
          <w:tcPr>
            <w:tcW w:w="236" w:type="dxa"/>
          </w:tcPr>
          <w:p>
            <w:pPr>
              <w:pStyle w:val="GesAbsatz"/>
              <w:jc w:val="right"/>
              <w:rPr>
                <w:sz w:val="18"/>
                <w:szCs w:val="18"/>
              </w:rPr>
            </w:pPr>
            <w:r>
              <w:rPr>
                <w:sz w:val="18"/>
                <w:szCs w:val="18"/>
                <w:vertAlign w:val="superscript"/>
              </w:rPr>
              <w:t>1</w:t>
            </w:r>
          </w:p>
        </w:tc>
        <w:tc>
          <w:tcPr>
            <w:tcW w:w="6486" w:type="dxa"/>
            <w:gridSpan w:val="2"/>
          </w:tcPr>
          <w:p>
            <w:pPr>
              <w:pStyle w:val="GesAbsatz"/>
              <w:jc w:val="left"/>
              <w:rPr>
                <w:sz w:val="18"/>
                <w:szCs w:val="18"/>
              </w:rPr>
            </w:pPr>
            <w:r>
              <w:rPr>
                <w:sz w:val="18"/>
                <w:szCs w:val="18"/>
              </w:rPr>
              <w:t>Flüchtige organische Verbindungen, die als Teil der Druckfarben in einem geschlossenen Behälter verkauft werden, gelten nicht als diffuse Emissionen.</w:t>
            </w:r>
          </w:p>
        </w:tc>
      </w:tr>
    </w:tbl>
    <w:p>
      <w:pPr>
        <w:pStyle w:val="GesAbsatz"/>
        <w:tabs>
          <w:tab w:val="clear" w:pos="425"/>
          <w:tab w:val="left" w:pos="709"/>
        </w:tabs>
      </w:pPr>
      <w:r>
        <w:rPr>
          <w:rFonts w:cs="Arial"/>
        </w:rPr>
        <w:t>16.4.4</w:t>
      </w:r>
      <w:r>
        <w:rPr>
          <w:rFonts w:cs="Arial"/>
        </w:rPr>
        <w:tab/>
        <w:t>Besondere Anforderungen</w:t>
      </w:r>
    </w:p>
    <w:p>
      <w:pPr>
        <w:pStyle w:val="GesAbsatz"/>
        <w:tabs>
          <w:tab w:val="clear" w:pos="425"/>
          <w:tab w:val="left" w:pos="709"/>
        </w:tabs>
        <w:ind w:left="709"/>
      </w:pPr>
      <w:r>
        <w:rPr>
          <w:rFonts w:cs="Arial"/>
        </w:rPr>
        <w:t>Nummer 16.1.4 gilt entsprechend.</w:t>
      </w:r>
    </w:p>
    <w:p>
      <w:pPr>
        <w:pStyle w:val="GesAbsatz"/>
        <w:tabs>
          <w:tab w:val="clear" w:pos="425"/>
          <w:tab w:val="left" w:pos="709"/>
        </w:tabs>
        <w:ind w:left="1134" w:hanging="1134"/>
        <w:rPr>
          <w:rFonts w:cs="Arial"/>
          <w:b/>
          <w:bCs/>
        </w:rPr>
      </w:pPr>
      <w:r>
        <w:rPr>
          <w:rFonts w:cs="Arial"/>
          <w:b/>
          <w:bCs/>
        </w:rPr>
        <w:t>17.</w:t>
      </w:r>
      <w:r>
        <w:rPr>
          <w:rFonts w:cs="Arial"/>
          <w:b/>
          <w:bCs/>
        </w:rPr>
        <w:tab/>
        <w:t>Umwandlung von Kautschuk</w:t>
      </w:r>
    </w:p>
    <w:p>
      <w:pPr>
        <w:pStyle w:val="GesAbsatz"/>
        <w:tabs>
          <w:tab w:val="clear" w:pos="425"/>
          <w:tab w:val="left" w:pos="709"/>
        </w:tabs>
        <w:ind w:left="1134" w:hanging="1134"/>
        <w:rPr>
          <w:rFonts w:cs="Arial"/>
          <w:b/>
          <w:bCs/>
        </w:rPr>
      </w:pPr>
      <w:r>
        <w:rPr>
          <w:rFonts w:cs="Arial"/>
          <w:b/>
          <w:bCs/>
        </w:rPr>
        <w:lastRenderedPageBreak/>
        <w:t>17.1</w:t>
      </w:r>
      <w:r>
        <w:rPr>
          <w:rFonts w:cs="Arial"/>
          <w:b/>
          <w:bCs/>
        </w:rPr>
        <w:tab/>
        <w:t>Anlagen zur Umwandlung von Kautschuk</w:t>
      </w:r>
    </w:p>
    <w:p>
      <w:pPr>
        <w:pStyle w:val="GesAbsatz"/>
        <w:tabs>
          <w:tab w:val="clear" w:pos="425"/>
          <w:tab w:val="left" w:pos="709"/>
        </w:tabs>
        <w:ind w:left="1134" w:hanging="1134"/>
        <w:rPr>
          <w:rFonts w:cs="Arial"/>
        </w:rPr>
      </w:pPr>
      <w:r>
        <w:rPr>
          <w:rFonts w:cs="Arial"/>
        </w:rPr>
        <w:t>17.1.1</w:t>
      </w:r>
      <w:r>
        <w:rPr>
          <w:rFonts w:cs="Arial"/>
        </w:rPr>
        <w:tab/>
        <w:t>Grenzwert für die Gesamtemissionen</w:t>
      </w:r>
    </w:p>
    <w:tbl>
      <w:tblPr>
        <w:tblW w:w="9747" w:type="dxa"/>
        <w:tblLayout w:type="fixed"/>
        <w:tblLook w:val="0000" w:firstRow="0" w:lastRow="0" w:firstColumn="0" w:lastColumn="0" w:noHBand="0" w:noVBand="0"/>
      </w:tblPr>
      <w:tblGrid>
        <w:gridCol w:w="2835"/>
        <w:gridCol w:w="426"/>
        <w:gridCol w:w="6486"/>
      </w:tblGrid>
      <w:tr>
        <w:trPr>
          <w:cantSplit/>
          <w:trHeight w:val="484"/>
        </w:trPr>
        <w:tc>
          <w:tcPr>
            <w:tcW w:w="2835" w:type="dxa"/>
            <w:tcBorders>
              <w:top w:val="single" w:sz="6" w:space="0" w:color="000000"/>
            </w:tcBorders>
          </w:tcPr>
          <w:p>
            <w:pPr>
              <w:pStyle w:val="GesAbsatz"/>
              <w:jc w:val="center"/>
              <w:rPr>
                <w:sz w:val="18"/>
                <w:szCs w:val="18"/>
                <w:vertAlign w:val="superscript"/>
              </w:rPr>
            </w:pPr>
            <w:r>
              <w:rPr>
                <w:sz w:val="18"/>
                <w:szCs w:val="18"/>
              </w:rPr>
              <w:t>Gesamtemissionsgrenzwert</w:t>
            </w:r>
            <w:r>
              <w:rPr>
                <w:sz w:val="18"/>
                <w:szCs w:val="18"/>
                <w:vertAlign w:val="superscript"/>
              </w:rPr>
              <w:t>1</w:t>
            </w:r>
          </w:p>
        </w:tc>
        <w:tc>
          <w:tcPr>
            <w:tcW w:w="6912" w:type="dxa"/>
            <w:gridSpan w:val="2"/>
            <w:tcBorders>
              <w:top w:val="single" w:sz="6" w:space="0" w:color="000000"/>
            </w:tcBorders>
          </w:tcPr>
          <w:p>
            <w:pPr>
              <w:pStyle w:val="GesAbsatz"/>
              <w:jc w:val="center"/>
              <w:rPr>
                <w:sz w:val="18"/>
                <w:szCs w:val="18"/>
              </w:rPr>
            </w:pPr>
            <w:r>
              <w:rPr>
                <w:sz w:val="18"/>
                <w:szCs w:val="18"/>
              </w:rPr>
              <w:t>Bemerkungen</w:t>
            </w:r>
          </w:p>
        </w:tc>
      </w:tr>
      <w:tr>
        <w:trPr>
          <w:cantSplit/>
          <w:trHeight w:val="218"/>
        </w:trPr>
        <w:tc>
          <w:tcPr>
            <w:tcW w:w="2835" w:type="dxa"/>
            <w:tcBorders>
              <w:top w:val="single" w:sz="4" w:space="0" w:color="auto"/>
            </w:tcBorders>
          </w:tcPr>
          <w:p>
            <w:pPr>
              <w:pStyle w:val="GesAbsatz"/>
              <w:jc w:val="center"/>
              <w:rPr>
                <w:sz w:val="18"/>
                <w:szCs w:val="18"/>
                <w:vertAlign w:val="superscript"/>
              </w:rPr>
            </w:pPr>
            <w:r>
              <w:rPr>
                <w:sz w:val="18"/>
                <w:szCs w:val="18"/>
              </w:rPr>
              <w:t>25</w:t>
            </w:r>
          </w:p>
        </w:tc>
        <w:tc>
          <w:tcPr>
            <w:tcW w:w="426" w:type="dxa"/>
            <w:tcBorders>
              <w:top w:val="single" w:sz="4" w:space="0" w:color="auto"/>
            </w:tcBorders>
          </w:tcPr>
          <w:p>
            <w:pPr>
              <w:pStyle w:val="GesAbsatz"/>
              <w:jc w:val="right"/>
              <w:rPr>
                <w:sz w:val="18"/>
                <w:szCs w:val="18"/>
              </w:rPr>
            </w:pPr>
            <w:r>
              <w:rPr>
                <w:sz w:val="18"/>
                <w:szCs w:val="18"/>
                <w:vertAlign w:val="superscript"/>
              </w:rPr>
              <w:t>1</w:t>
            </w:r>
          </w:p>
        </w:tc>
        <w:tc>
          <w:tcPr>
            <w:tcW w:w="6486" w:type="dxa"/>
            <w:tcBorders>
              <w:top w:val="single" w:sz="4" w:space="0" w:color="auto"/>
            </w:tcBorders>
          </w:tcPr>
          <w:p>
            <w:pPr>
              <w:pStyle w:val="GesAbsatz"/>
              <w:jc w:val="left"/>
              <w:rPr>
                <w:sz w:val="18"/>
                <w:szCs w:val="18"/>
              </w:rPr>
            </w:pPr>
            <w:r>
              <w:rPr>
                <w:sz w:val="18"/>
                <w:szCs w:val="18"/>
              </w:rPr>
              <w:t>Angegeben in Prozent des eingesetzten organischen Lösungsmittels.</w:t>
            </w:r>
          </w:p>
        </w:tc>
      </w:tr>
    </w:tbl>
    <w:p>
      <w:pPr>
        <w:pStyle w:val="GesAbsatz"/>
        <w:tabs>
          <w:tab w:val="clear" w:pos="425"/>
          <w:tab w:val="left" w:pos="709"/>
        </w:tabs>
      </w:pPr>
      <w:r>
        <w:rPr>
          <w:rFonts w:cs="Arial"/>
        </w:rPr>
        <w:t>17.1.2</w:t>
      </w:r>
      <w:r>
        <w:rPr>
          <w:rFonts w:cs="Arial"/>
        </w:rPr>
        <w:tab/>
        <w:t>Emissionsgrenzwerte für gefasste Abgase</w:t>
      </w:r>
    </w:p>
    <w:tbl>
      <w:tblPr>
        <w:tblW w:w="9747" w:type="dxa"/>
        <w:tblLayout w:type="fixed"/>
        <w:tblLook w:val="0000" w:firstRow="0" w:lastRow="0" w:firstColumn="0" w:lastColumn="0" w:noHBand="0" w:noVBand="0"/>
      </w:tblPr>
      <w:tblGrid>
        <w:gridCol w:w="2835"/>
        <w:gridCol w:w="426"/>
        <w:gridCol w:w="6486"/>
      </w:tblGrid>
      <w:tr>
        <w:trPr>
          <w:cantSplit/>
          <w:trHeight w:val="484"/>
        </w:trPr>
        <w:tc>
          <w:tcPr>
            <w:tcW w:w="2835" w:type="dxa"/>
            <w:tcBorders>
              <w:top w:val="single" w:sz="6" w:space="0" w:color="000000"/>
            </w:tcBorders>
          </w:tcPr>
          <w:p>
            <w:pPr>
              <w:pStyle w:val="GesAbsatz"/>
              <w:jc w:val="center"/>
              <w:rPr>
                <w:rFonts w:cs="Arial"/>
                <w:sz w:val="18"/>
                <w:szCs w:val="18"/>
                <w:vertAlign w:val="superscript"/>
              </w:rPr>
            </w:pPr>
            <w:r>
              <w:rPr>
                <w:rFonts w:cs="Arial"/>
                <w:sz w:val="18"/>
                <w:szCs w:val="18"/>
              </w:rPr>
              <w:t>Emissionsgrenzwert (mg C/m</w:t>
            </w:r>
            <w:r>
              <w:rPr>
                <w:rFonts w:cs="Arial"/>
                <w:sz w:val="18"/>
                <w:szCs w:val="18"/>
                <w:vertAlign w:val="superscript"/>
              </w:rPr>
              <w:t>3</w:t>
            </w:r>
            <w:r>
              <w:rPr>
                <w:rFonts w:cs="Arial"/>
                <w:sz w:val="18"/>
                <w:szCs w:val="18"/>
              </w:rPr>
              <w:t>)</w:t>
            </w:r>
          </w:p>
        </w:tc>
        <w:tc>
          <w:tcPr>
            <w:tcW w:w="6912" w:type="dxa"/>
            <w:gridSpan w:val="2"/>
            <w:tcBorders>
              <w:top w:val="single" w:sz="6" w:space="0" w:color="000000"/>
            </w:tcBorders>
          </w:tcPr>
          <w:p>
            <w:pPr>
              <w:pStyle w:val="GesAbsatz"/>
              <w:jc w:val="center"/>
              <w:rPr>
                <w:rFonts w:cs="Arial"/>
                <w:sz w:val="18"/>
                <w:szCs w:val="18"/>
              </w:rPr>
            </w:pPr>
            <w:r>
              <w:rPr>
                <w:rFonts w:cs="Arial"/>
                <w:sz w:val="18"/>
                <w:szCs w:val="18"/>
              </w:rPr>
              <w:t>Bemerkungen</w:t>
            </w:r>
          </w:p>
        </w:tc>
      </w:tr>
      <w:tr>
        <w:trPr>
          <w:cantSplit/>
          <w:trHeight w:val="218"/>
        </w:trPr>
        <w:tc>
          <w:tcPr>
            <w:tcW w:w="2835" w:type="dxa"/>
            <w:tcBorders>
              <w:top w:val="single" w:sz="4" w:space="0" w:color="auto"/>
            </w:tcBorders>
          </w:tcPr>
          <w:p>
            <w:pPr>
              <w:pStyle w:val="GesAbsatz"/>
              <w:jc w:val="center"/>
              <w:rPr>
                <w:rFonts w:cs="Arial"/>
                <w:sz w:val="18"/>
                <w:szCs w:val="18"/>
                <w:vertAlign w:val="superscript"/>
              </w:rPr>
            </w:pPr>
            <w:r>
              <w:rPr>
                <w:rFonts w:cs="Arial"/>
                <w:sz w:val="18"/>
                <w:szCs w:val="18"/>
              </w:rPr>
              <w:t>20</w:t>
            </w:r>
            <w:r>
              <w:rPr>
                <w:rFonts w:cs="Arial"/>
                <w:sz w:val="18"/>
                <w:szCs w:val="18"/>
              </w:rPr>
              <w:br/>
              <w:t>75</w:t>
            </w:r>
            <w:r>
              <w:rPr>
                <w:rFonts w:cs="Arial"/>
                <w:sz w:val="18"/>
                <w:szCs w:val="18"/>
                <w:vertAlign w:val="superscript"/>
              </w:rPr>
              <w:t>1</w:t>
            </w:r>
          </w:p>
        </w:tc>
        <w:tc>
          <w:tcPr>
            <w:tcW w:w="426" w:type="dxa"/>
            <w:tcBorders>
              <w:top w:val="single" w:sz="4" w:space="0" w:color="auto"/>
            </w:tcBorders>
          </w:tcPr>
          <w:p>
            <w:pPr>
              <w:pStyle w:val="GesAbsatz"/>
              <w:jc w:val="right"/>
              <w:rPr>
                <w:rFonts w:cs="Arial"/>
                <w:sz w:val="18"/>
                <w:szCs w:val="18"/>
              </w:rPr>
            </w:pPr>
            <w:r>
              <w:rPr>
                <w:rFonts w:cs="Arial"/>
                <w:sz w:val="18"/>
                <w:szCs w:val="18"/>
                <w:vertAlign w:val="superscript"/>
              </w:rPr>
              <w:t>1</w:t>
            </w:r>
          </w:p>
        </w:tc>
        <w:tc>
          <w:tcPr>
            <w:tcW w:w="6486" w:type="dxa"/>
            <w:tcBorders>
              <w:top w:val="single" w:sz="4" w:space="0" w:color="auto"/>
            </w:tcBorders>
          </w:tcPr>
          <w:p>
            <w:pPr>
              <w:pStyle w:val="GesAbsatz"/>
              <w:jc w:val="left"/>
              <w:rPr>
                <w:rFonts w:cs="Arial"/>
                <w:sz w:val="18"/>
                <w:szCs w:val="18"/>
              </w:rPr>
            </w:pPr>
            <w:r>
              <w:rPr>
                <w:rFonts w:cs="Arial"/>
                <w:sz w:val="18"/>
                <w:szCs w:val="18"/>
              </w:rPr>
              <w:t>Gilt für Anlagen, die zurückgewonnene organische Lösungsmittel wiederverwenden.</w:t>
            </w:r>
          </w:p>
        </w:tc>
      </w:tr>
    </w:tbl>
    <w:p>
      <w:pPr>
        <w:pStyle w:val="GesAbsatz"/>
        <w:tabs>
          <w:tab w:val="clear" w:pos="425"/>
        </w:tabs>
        <w:ind w:left="709" w:hanging="709"/>
        <w:rPr>
          <w:rFonts w:cs="Arial"/>
        </w:rPr>
      </w:pPr>
      <w:r>
        <w:rPr>
          <w:rFonts w:cs="Arial"/>
        </w:rPr>
        <w:t>17.1.3</w:t>
      </w:r>
      <w:r>
        <w:rPr>
          <w:rFonts w:cs="Arial"/>
        </w:rPr>
        <w:tab/>
        <w:t>Grenzwert für diffuse Emissionen</w:t>
      </w:r>
    </w:p>
    <w:p>
      <w:pPr>
        <w:pStyle w:val="GesAbsatz"/>
        <w:tabs>
          <w:tab w:val="clear" w:pos="425"/>
        </w:tabs>
        <w:ind w:left="709"/>
        <w:rPr>
          <w:rFonts w:cs="Arial"/>
        </w:rPr>
      </w:pPr>
      <w:r>
        <w:rPr>
          <w:rFonts w:cs="Arial"/>
        </w:rPr>
        <w:t>Der Grenzwert für diffuse Emissionen beträgt 25 Prozent. Organische Lösungsmittel, die als Teil von Erzeugnissen oder Gemischen in geschlossenen Behältern verkauft werden, zählen nicht zu den diffusen Emissionen.</w:t>
      </w:r>
    </w:p>
    <w:p>
      <w:pPr>
        <w:pStyle w:val="GesAbsatz"/>
        <w:tabs>
          <w:tab w:val="clear" w:pos="425"/>
        </w:tabs>
        <w:ind w:left="709" w:hanging="709"/>
        <w:rPr>
          <w:rFonts w:cs="Arial"/>
        </w:rPr>
      </w:pPr>
      <w:r>
        <w:rPr>
          <w:rFonts w:cs="Arial"/>
        </w:rPr>
        <w:t>17.1.4</w:t>
      </w:r>
      <w:r>
        <w:rPr>
          <w:rFonts w:cs="Arial"/>
        </w:rPr>
        <w:tab/>
        <w:t>Besondere Anforderungen</w:t>
      </w:r>
    </w:p>
    <w:p>
      <w:pPr>
        <w:pStyle w:val="GesAbsatz"/>
        <w:tabs>
          <w:tab w:val="clear" w:pos="425"/>
        </w:tabs>
        <w:ind w:left="709"/>
        <w:rPr>
          <w:rFonts w:cs="Arial"/>
        </w:rPr>
      </w:pPr>
      <w:r>
        <w:rPr>
          <w:rFonts w:cs="Arial"/>
        </w:rPr>
        <w:t>Der Grenzwert für die Gesamtemissionen an flüchtigen organischen Verbindungen nach Nummer 17.1.1 gilt alternativ zum Emissionsgrenzwert für gefasste Abgase nach Nummer 17.1.2 und zum Grenzwert für diffuse Emissionen nach Nummer 17.1.3. Bei genehmigungsbedürftigen Anlagen gelten aus Vorsorgegründen zusätzlich zum Gesamtemissionsgrenzwert nach Nummer 17.1.1 die Anforderungen nach Nummer 17.1.2 für gefasste behandelte Abgase; die Anwendung des Standes der Technik auf alle gefassten Abgase wird hierbei vorausgesetzt.</w:t>
      </w:r>
    </w:p>
    <w:p>
      <w:pPr>
        <w:pStyle w:val="GesAbsatz"/>
        <w:tabs>
          <w:tab w:val="clear" w:pos="425"/>
        </w:tabs>
        <w:ind w:left="709" w:hanging="709"/>
        <w:rPr>
          <w:rFonts w:cs="Arial"/>
          <w:b/>
        </w:rPr>
      </w:pPr>
      <w:r>
        <w:rPr>
          <w:rFonts w:cs="Arial"/>
          <w:b/>
        </w:rPr>
        <w:t>18.</w:t>
      </w:r>
      <w:r>
        <w:rPr>
          <w:rFonts w:cs="Arial"/>
          <w:b/>
        </w:rPr>
        <w:tab/>
        <w:t>Extraktion von Pflanzenöl und tierischem Fett sowie Raffination von Pflanzenöl</w:t>
      </w:r>
    </w:p>
    <w:p>
      <w:pPr>
        <w:pStyle w:val="GesAbsatz"/>
        <w:tabs>
          <w:tab w:val="clear" w:pos="425"/>
        </w:tabs>
        <w:ind w:left="709" w:hanging="709"/>
        <w:rPr>
          <w:rFonts w:cs="Arial"/>
          <w:b/>
        </w:rPr>
      </w:pPr>
      <w:r>
        <w:rPr>
          <w:rFonts w:cs="Arial"/>
          <w:b/>
        </w:rPr>
        <w:t>18.1</w:t>
      </w:r>
      <w:r>
        <w:rPr>
          <w:rFonts w:cs="Arial"/>
          <w:b/>
        </w:rPr>
        <w:tab/>
        <w:t>Anlagen zur Extraktion von Pflanzenöl und tierischem Fett sowie Raffination von Pflanzenöl</w:t>
      </w:r>
    </w:p>
    <w:p>
      <w:pPr>
        <w:pStyle w:val="GesAbsatz"/>
        <w:tabs>
          <w:tab w:val="clear" w:pos="425"/>
        </w:tabs>
        <w:ind w:left="709" w:hanging="709"/>
        <w:rPr>
          <w:rFonts w:cs="Arial"/>
        </w:rPr>
      </w:pPr>
      <w:r>
        <w:rPr>
          <w:rFonts w:cs="Arial"/>
        </w:rPr>
        <w:t>18.1.1</w:t>
      </w:r>
      <w:r>
        <w:rPr>
          <w:rFonts w:cs="Arial"/>
        </w:rPr>
        <w:tab/>
        <w:t>Grenzwerte für die Gesamtemissionen</w:t>
      </w:r>
    </w:p>
    <w:tbl>
      <w:tblPr>
        <w:tblW w:w="9747" w:type="dxa"/>
        <w:tblLayout w:type="fixed"/>
        <w:tblLook w:val="0000" w:firstRow="0" w:lastRow="0" w:firstColumn="0" w:lastColumn="0" w:noHBand="0" w:noVBand="0"/>
      </w:tblPr>
      <w:tblGrid>
        <w:gridCol w:w="3652"/>
        <w:gridCol w:w="851"/>
        <w:gridCol w:w="592"/>
        <w:gridCol w:w="4652"/>
      </w:tblGrid>
      <w:tr>
        <w:trPr>
          <w:trHeight w:val="335"/>
        </w:trPr>
        <w:tc>
          <w:tcPr>
            <w:tcW w:w="4503" w:type="dxa"/>
            <w:gridSpan w:val="2"/>
            <w:tcBorders>
              <w:top w:val="single" w:sz="4" w:space="0" w:color="auto"/>
              <w:bottom w:val="single" w:sz="4" w:space="0" w:color="auto"/>
            </w:tcBorders>
          </w:tcPr>
          <w:p>
            <w:pPr>
              <w:pStyle w:val="GesAbsatz"/>
              <w:jc w:val="center"/>
              <w:rPr>
                <w:rFonts w:cs="Arial"/>
                <w:sz w:val="18"/>
                <w:szCs w:val="18"/>
              </w:rPr>
            </w:pPr>
            <w:r>
              <w:rPr>
                <w:rFonts w:cs="Arial"/>
                <w:sz w:val="18"/>
                <w:szCs w:val="18"/>
              </w:rPr>
              <w:t>Gesamtemissionsgrenzwert</w:t>
            </w:r>
            <w:r>
              <w:rPr>
                <w:rFonts w:cs="Arial"/>
                <w:sz w:val="18"/>
                <w:szCs w:val="18"/>
                <w:vertAlign w:val="superscript"/>
              </w:rPr>
              <w:t>1</w:t>
            </w:r>
          </w:p>
        </w:tc>
        <w:tc>
          <w:tcPr>
            <w:tcW w:w="5244" w:type="dxa"/>
            <w:gridSpan w:val="2"/>
            <w:tcBorders>
              <w:top w:val="single" w:sz="4" w:space="0" w:color="auto"/>
              <w:bottom w:val="single" w:sz="4" w:space="0" w:color="auto"/>
            </w:tcBorders>
            <w:vAlign w:val="center"/>
          </w:tcPr>
          <w:p>
            <w:pPr>
              <w:pStyle w:val="GesAbsatz"/>
              <w:jc w:val="center"/>
              <w:rPr>
                <w:rFonts w:cs="Arial"/>
                <w:sz w:val="18"/>
                <w:szCs w:val="18"/>
              </w:rPr>
            </w:pPr>
            <w:r>
              <w:rPr>
                <w:rFonts w:cs="Arial"/>
                <w:sz w:val="18"/>
                <w:szCs w:val="18"/>
              </w:rPr>
              <w:t>Bemerkungen</w:t>
            </w:r>
          </w:p>
        </w:tc>
      </w:tr>
      <w:tr>
        <w:trPr>
          <w:cantSplit/>
          <w:trHeight w:val="284"/>
        </w:trPr>
        <w:tc>
          <w:tcPr>
            <w:tcW w:w="3652" w:type="dxa"/>
            <w:vMerge w:val="restart"/>
            <w:tcBorders>
              <w:top w:val="single" w:sz="4" w:space="0" w:color="auto"/>
            </w:tcBorders>
          </w:tcPr>
          <w:p>
            <w:pPr>
              <w:pStyle w:val="GesAbsatz"/>
              <w:jc w:val="left"/>
              <w:rPr>
                <w:rFonts w:cs="Arial"/>
                <w:sz w:val="18"/>
                <w:szCs w:val="18"/>
              </w:rPr>
            </w:pPr>
            <w:r>
              <w:rPr>
                <w:rFonts w:cs="Arial"/>
                <w:sz w:val="18"/>
                <w:szCs w:val="18"/>
              </w:rPr>
              <w:t>Tierisches Fett:</w:t>
            </w:r>
            <w:r>
              <w:rPr>
                <w:rFonts w:cs="Arial"/>
                <w:sz w:val="18"/>
                <w:szCs w:val="18"/>
              </w:rPr>
              <w:br/>
              <w:t>Rizinus:</w:t>
            </w:r>
            <w:r>
              <w:rPr>
                <w:rFonts w:cs="Arial"/>
                <w:sz w:val="18"/>
                <w:szCs w:val="18"/>
              </w:rPr>
              <w:br/>
              <w:t>Rapssamen:</w:t>
            </w:r>
            <w:r>
              <w:rPr>
                <w:rFonts w:cs="Arial"/>
                <w:sz w:val="18"/>
                <w:szCs w:val="18"/>
              </w:rPr>
              <w:br/>
              <w:t>Sonnenblumensamen:</w:t>
            </w:r>
            <w:r>
              <w:rPr>
                <w:rFonts w:cs="Arial"/>
                <w:sz w:val="18"/>
                <w:szCs w:val="18"/>
              </w:rPr>
              <w:br/>
              <w:t>Sojabohnen (normal gemahlen):</w:t>
            </w:r>
            <w:r>
              <w:rPr>
                <w:rFonts w:cs="Arial"/>
                <w:sz w:val="18"/>
                <w:szCs w:val="18"/>
              </w:rPr>
              <w:br/>
              <w:t>Sojabohnen (weiße Flocken):</w:t>
            </w:r>
            <w:r>
              <w:rPr>
                <w:rFonts w:cs="Arial"/>
                <w:sz w:val="18"/>
                <w:szCs w:val="18"/>
              </w:rPr>
              <w:br/>
              <w:t>Sonstige Samen und sonstiges pflanzliches Material:</w:t>
            </w:r>
          </w:p>
        </w:tc>
        <w:tc>
          <w:tcPr>
            <w:tcW w:w="851" w:type="dxa"/>
            <w:vMerge w:val="restart"/>
            <w:tcBorders>
              <w:top w:val="single" w:sz="4" w:space="0" w:color="auto"/>
            </w:tcBorders>
          </w:tcPr>
          <w:p>
            <w:pPr>
              <w:pStyle w:val="GesAbsatz"/>
              <w:rPr>
                <w:rFonts w:cs="Arial"/>
                <w:sz w:val="18"/>
                <w:szCs w:val="18"/>
              </w:rPr>
            </w:pPr>
            <w:r>
              <w:rPr>
                <w:rFonts w:cs="Arial"/>
                <w:sz w:val="18"/>
                <w:szCs w:val="18"/>
              </w:rPr>
              <w:t>1,5</w:t>
            </w:r>
            <w:r>
              <w:rPr>
                <w:rFonts w:cs="Arial"/>
                <w:sz w:val="18"/>
                <w:szCs w:val="18"/>
              </w:rPr>
              <w:br/>
              <w:t>3,0</w:t>
            </w:r>
            <w:r>
              <w:rPr>
                <w:rFonts w:cs="Arial"/>
                <w:sz w:val="18"/>
                <w:szCs w:val="18"/>
              </w:rPr>
              <w:br/>
              <w:t>0,5</w:t>
            </w:r>
            <w:r>
              <w:rPr>
                <w:rFonts w:cs="Arial"/>
                <w:sz w:val="18"/>
                <w:szCs w:val="18"/>
              </w:rPr>
              <w:br/>
              <w:t>0,5</w:t>
            </w:r>
            <w:r>
              <w:rPr>
                <w:rFonts w:cs="Arial"/>
                <w:sz w:val="18"/>
                <w:szCs w:val="18"/>
              </w:rPr>
              <w:br/>
              <w:t>0,4</w:t>
            </w:r>
            <w:r>
              <w:rPr>
                <w:rFonts w:cs="Arial"/>
                <w:sz w:val="18"/>
                <w:szCs w:val="18"/>
              </w:rPr>
              <w:br/>
              <w:t>1,2</w:t>
            </w:r>
            <w:r>
              <w:rPr>
                <w:rFonts w:cs="Arial"/>
                <w:sz w:val="18"/>
                <w:szCs w:val="18"/>
              </w:rPr>
              <w:br/>
            </w:r>
            <w:r>
              <w:rPr>
                <w:rFonts w:cs="Arial"/>
                <w:sz w:val="18"/>
                <w:szCs w:val="18"/>
              </w:rPr>
              <w:br/>
              <w:t>3</w:t>
            </w:r>
            <w:r>
              <w:rPr>
                <w:rFonts w:cs="Arial"/>
                <w:sz w:val="18"/>
                <w:szCs w:val="18"/>
                <w:vertAlign w:val="superscript"/>
              </w:rPr>
              <w:t>2</w:t>
            </w:r>
            <w:r>
              <w:rPr>
                <w:rFonts w:cs="Arial"/>
                <w:sz w:val="18"/>
                <w:szCs w:val="18"/>
                <w:vertAlign w:val="superscript"/>
              </w:rPr>
              <w:br/>
            </w:r>
            <w:r>
              <w:rPr>
                <w:rFonts w:cs="Arial"/>
                <w:sz w:val="18"/>
                <w:szCs w:val="18"/>
              </w:rPr>
              <w:t>1,5</w:t>
            </w:r>
            <w:r>
              <w:rPr>
                <w:rFonts w:cs="Arial"/>
                <w:sz w:val="18"/>
                <w:szCs w:val="18"/>
                <w:vertAlign w:val="superscript"/>
              </w:rPr>
              <w:t>3</w:t>
            </w:r>
            <w:r>
              <w:rPr>
                <w:rFonts w:cs="Arial"/>
                <w:sz w:val="18"/>
                <w:szCs w:val="18"/>
                <w:vertAlign w:val="superscript"/>
              </w:rPr>
              <w:br/>
            </w:r>
            <w:r>
              <w:rPr>
                <w:rFonts w:cs="Arial"/>
                <w:sz w:val="18"/>
                <w:szCs w:val="18"/>
              </w:rPr>
              <w:t>4</w:t>
            </w:r>
            <w:r>
              <w:rPr>
                <w:rFonts w:cs="Arial"/>
                <w:sz w:val="18"/>
                <w:szCs w:val="18"/>
                <w:vertAlign w:val="superscript"/>
              </w:rPr>
              <w:t>4</w:t>
            </w:r>
          </w:p>
        </w:tc>
        <w:tc>
          <w:tcPr>
            <w:tcW w:w="592" w:type="dxa"/>
            <w:tcBorders>
              <w:top w:val="single" w:sz="4" w:space="0" w:color="auto"/>
            </w:tcBorders>
          </w:tcPr>
          <w:p>
            <w:pPr>
              <w:pStyle w:val="GesAbsatz"/>
              <w:jc w:val="right"/>
              <w:rPr>
                <w:rFonts w:cs="Arial"/>
                <w:sz w:val="18"/>
                <w:szCs w:val="18"/>
                <w:vertAlign w:val="superscript"/>
              </w:rPr>
            </w:pPr>
            <w:r>
              <w:rPr>
                <w:rFonts w:cs="Arial"/>
                <w:sz w:val="18"/>
                <w:szCs w:val="18"/>
                <w:vertAlign w:val="superscript"/>
              </w:rPr>
              <w:t>1</w:t>
            </w:r>
          </w:p>
        </w:tc>
        <w:tc>
          <w:tcPr>
            <w:tcW w:w="4652" w:type="dxa"/>
            <w:tcBorders>
              <w:top w:val="single" w:sz="4" w:space="0" w:color="auto"/>
            </w:tcBorders>
          </w:tcPr>
          <w:p>
            <w:pPr>
              <w:pStyle w:val="GesAbsatz"/>
              <w:rPr>
                <w:rFonts w:cs="Arial"/>
                <w:sz w:val="18"/>
                <w:szCs w:val="18"/>
              </w:rPr>
            </w:pPr>
            <w:r>
              <w:rPr>
                <w:rFonts w:cs="Arial"/>
                <w:sz w:val="18"/>
                <w:szCs w:val="18"/>
              </w:rPr>
              <w:t>Als Jahresmittelwert in Kilogramm je Tonne tierischem oder gereinigtem pflanzlichen Material.</w:t>
            </w:r>
          </w:p>
        </w:tc>
      </w:tr>
      <w:tr>
        <w:trPr>
          <w:cantSplit/>
          <w:trHeight w:val="310"/>
        </w:trPr>
        <w:tc>
          <w:tcPr>
            <w:tcW w:w="3652" w:type="dxa"/>
            <w:vMerge/>
          </w:tcPr>
          <w:p>
            <w:pPr>
              <w:pStyle w:val="GesAbsatz"/>
              <w:jc w:val="left"/>
              <w:rPr>
                <w:rFonts w:cs="Arial"/>
                <w:sz w:val="18"/>
                <w:szCs w:val="18"/>
              </w:rPr>
            </w:pPr>
          </w:p>
        </w:tc>
        <w:tc>
          <w:tcPr>
            <w:tcW w:w="851" w:type="dxa"/>
            <w:vMerge/>
          </w:tcPr>
          <w:p>
            <w:pPr>
              <w:pStyle w:val="GesAbsatz"/>
              <w:jc w:val="left"/>
              <w:rPr>
                <w:rFonts w:cs="Arial"/>
                <w:sz w:val="18"/>
                <w:szCs w:val="18"/>
              </w:rPr>
            </w:pPr>
          </w:p>
        </w:tc>
        <w:tc>
          <w:tcPr>
            <w:tcW w:w="592" w:type="dxa"/>
          </w:tcPr>
          <w:p>
            <w:pPr>
              <w:pStyle w:val="GesAbsatz"/>
              <w:jc w:val="right"/>
              <w:rPr>
                <w:rFonts w:cs="Arial"/>
                <w:sz w:val="18"/>
                <w:szCs w:val="18"/>
                <w:vertAlign w:val="superscript"/>
              </w:rPr>
            </w:pPr>
            <w:r>
              <w:rPr>
                <w:rFonts w:cs="Arial"/>
                <w:sz w:val="18"/>
                <w:szCs w:val="18"/>
                <w:vertAlign w:val="superscript"/>
              </w:rPr>
              <w:t>2</w:t>
            </w:r>
          </w:p>
        </w:tc>
        <w:tc>
          <w:tcPr>
            <w:tcW w:w="4652" w:type="dxa"/>
          </w:tcPr>
          <w:p>
            <w:pPr>
              <w:pStyle w:val="GesAbsatz"/>
              <w:rPr>
                <w:rFonts w:cs="Arial"/>
                <w:sz w:val="18"/>
                <w:szCs w:val="18"/>
              </w:rPr>
            </w:pPr>
            <w:r>
              <w:rPr>
                <w:rFonts w:cs="Arial"/>
                <w:sz w:val="18"/>
                <w:szCs w:val="18"/>
              </w:rPr>
              <w:t>Bei Anlagen, die einzelne Chargen von Samen und sonstiges pflanzliches Material verarbeiten, sind die Gesamtemissionen nach dem Stand der Technik zu vermindern.</w:t>
            </w:r>
          </w:p>
        </w:tc>
      </w:tr>
      <w:tr>
        <w:trPr>
          <w:cantSplit/>
          <w:trHeight w:val="310"/>
        </w:trPr>
        <w:tc>
          <w:tcPr>
            <w:tcW w:w="3652" w:type="dxa"/>
            <w:vMerge/>
          </w:tcPr>
          <w:p>
            <w:pPr>
              <w:pStyle w:val="GesAbsatz"/>
              <w:jc w:val="left"/>
              <w:rPr>
                <w:rFonts w:cs="Arial"/>
                <w:sz w:val="18"/>
                <w:szCs w:val="18"/>
              </w:rPr>
            </w:pPr>
          </w:p>
        </w:tc>
        <w:tc>
          <w:tcPr>
            <w:tcW w:w="851" w:type="dxa"/>
            <w:vMerge/>
          </w:tcPr>
          <w:p>
            <w:pPr>
              <w:pStyle w:val="GesAbsatz"/>
              <w:jc w:val="left"/>
              <w:rPr>
                <w:rFonts w:cs="Arial"/>
                <w:sz w:val="18"/>
                <w:szCs w:val="18"/>
              </w:rPr>
            </w:pPr>
          </w:p>
        </w:tc>
        <w:tc>
          <w:tcPr>
            <w:tcW w:w="592" w:type="dxa"/>
          </w:tcPr>
          <w:p>
            <w:pPr>
              <w:pStyle w:val="GesAbsatz"/>
              <w:jc w:val="right"/>
              <w:rPr>
                <w:rFonts w:cs="Arial"/>
                <w:sz w:val="18"/>
                <w:szCs w:val="18"/>
                <w:vertAlign w:val="superscript"/>
              </w:rPr>
            </w:pPr>
            <w:r>
              <w:rPr>
                <w:rFonts w:cs="Arial"/>
                <w:sz w:val="18"/>
                <w:szCs w:val="18"/>
                <w:vertAlign w:val="superscript"/>
              </w:rPr>
              <w:t>3</w:t>
            </w:r>
          </w:p>
        </w:tc>
        <w:tc>
          <w:tcPr>
            <w:tcW w:w="4652" w:type="dxa"/>
          </w:tcPr>
          <w:p>
            <w:pPr>
              <w:pStyle w:val="GesAbsatz"/>
              <w:rPr>
                <w:rFonts w:cs="Arial"/>
                <w:sz w:val="18"/>
                <w:szCs w:val="18"/>
              </w:rPr>
            </w:pPr>
            <w:r>
              <w:rPr>
                <w:rFonts w:cs="Arial"/>
                <w:sz w:val="18"/>
                <w:szCs w:val="18"/>
              </w:rPr>
              <w:t>Gilt für alle Verfahren zur Fraktionierung mit Ausnahme der Entschleimung (Reinigung von Ölen).</w:t>
            </w:r>
          </w:p>
        </w:tc>
      </w:tr>
      <w:tr>
        <w:trPr>
          <w:cantSplit/>
          <w:trHeight w:val="310"/>
        </w:trPr>
        <w:tc>
          <w:tcPr>
            <w:tcW w:w="3652" w:type="dxa"/>
            <w:vMerge/>
          </w:tcPr>
          <w:p>
            <w:pPr>
              <w:pStyle w:val="GesAbsatz"/>
              <w:jc w:val="left"/>
              <w:rPr>
                <w:rFonts w:cs="Arial"/>
                <w:sz w:val="18"/>
                <w:szCs w:val="18"/>
              </w:rPr>
            </w:pPr>
          </w:p>
        </w:tc>
        <w:tc>
          <w:tcPr>
            <w:tcW w:w="851" w:type="dxa"/>
            <w:vMerge/>
          </w:tcPr>
          <w:p>
            <w:pPr>
              <w:pStyle w:val="GesAbsatz"/>
              <w:jc w:val="left"/>
              <w:rPr>
                <w:rFonts w:cs="Arial"/>
                <w:sz w:val="18"/>
                <w:szCs w:val="18"/>
              </w:rPr>
            </w:pPr>
          </w:p>
        </w:tc>
        <w:tc>
          <w:tcPr>
            <w:tcW w:w="592" w:type="dxa"/>
          </w:tcPr>
          <w:p>
            <w:pPr>
              <w:pStyle w:val="GesAbsatz"/>
              <w:jc w:val="right"/>
              <w:rPr>
                <w:rFonts w:cs="Arial"/>
                <w:sz w:val="18"/>
                <w:szCs w:val="18"/>
                <w:vertAlign w:val="superscript"/>
              </w:rPr>
            </w:pPr>
            <w:r>
              <w:rPr>
                <w:rFonts w:cs="Arial"/>
                <w:sz w:val="18"/>
                <w:szCs w:val="18"/>
                <w:vertAlign w:val="superscript"/>
              </w:rPr>
              <w:t>4</w:t>
            </w:r>
          </w:p>
        </w:tc>
        <w:tc>
          <w:tcPr>
            <w:tcW w:w="4652" w:type="dxa"/>
          </w:tcPr>
          <w:p>
            <w:pPr>
              <w:pStyle w:val="GesAbsatz"/>
              <w:rPr>
                <w:rFonts w:cs="Arial"/>
                <w:sz w:val="18"/>
                <w:szCs w:val="18"/>
              </w:rPr>
            </w:pPr>
            <w:r>
              <w:rPr>
                <w:rFonts w:cs="Arial"/>
                <w:sz w:val="18"/>
                <w:szCs w:val="18"/>
              </w:rPr>
              <w:t>Gilt für die Entschleimung.</w:t>
            </w:r>
          </w:p>
        </w:tc>
      </w:tr>
    </w:tbl>
    <w:p>
      <w:pPr>
        <w:pStyle w:val="GesAbsatz"/>
        <w:tabs>
          <w:tab w:val="clear" w:pos="425"/>
          <w:tab w:val="left" w:pos="1134"/>
        </w:tabs>
        <w:ind w:left="709" w:hanging="709"/>
      </w:pPr>
      <w:r>
        <w:t>18.1.2</w:t>
      </w:r>
      <w:r>
        <w:tab/>
        <w:t>Sonderregelungen für bestehende Anlagen</w:t>
      </w:r>
    </w:p>
    <w:p>
      <w:pPr>
        <w:pStyle w:val="GesAbsatz"/>
        <w:tabs>
          <w:tab w:val="clear" w:pos="425"/>
          <w:tab w:val="left" w:pos="1134"/>
        </w:tabs>
        <w:ind w:left="709"/>
      </w:pPr>
      <w:r>
        <w:t>Für Anlagen, die vor dem 16. Januar 2024 in Betrieb genommen wurden, gelten abweichend von den in Nummer 18.1.1. genannten Grenzwerten für Gesamtemissionen die folgenden Werte:</w:t>
      </w:r>
    </w:p>
    <w:tbl>
      <w:tblPr>
        <w:tblW w:w="9747" w:type="dxa"/>
        <w:tblLayout w:type="fixed"/>
        <w:tblLook w:val="0000" w:firstRow="0" w:lastRow="0" w:firstColumn="0" w:lastColumn="0" w:noHBand="0" w:noVBand="0"/>
      </w:tblPr>
      <w:tblGrid>
        <w:gridCol w:w="3652"/>
        <w:gridCol w:w="851"/>
        <w:gridCol w:w="592"/>
        <w:gridCol w:w="4652"/>
      </w:tblGrid>
      <w:tr>
        <w:trPr>
          <w:trHeight w:val="335"/>
        </w:trPr>
        <w:tc>
          <w:tcPr>
            <w:tcW w:w="4503" w:type="dxa"/>
            <w:gridSpan w:val="2"/>
            <w:tcBorders>
              <w:top w:val="single" w:sz="4" w:space="0" w:color="auto"/>
              <w:bottom w:val="single" w:sz="4" w:space="0" w:color="auto"/>
            </w:tcBorders>
          </w:tcPr>
          <w:p>
            <w:pPr>
              <w:pStyle w:val="GesAbsatz"/>
              <w:tabs>
                <w:tab w:val="clear" w:pos="425"/>
                <w:tab w:val="left" w:pos="1134"/>
              </w:tabs>
              <w:ind w:left="709" w:hanging="709"/>
              <w:jc w:val="center"/>
              <w:rPr>
                <w:sz w:val="18"/>
                <w:szCs w:val="18"/>
              </w:rPr>
            </w:pPr>
            <w:r>
              <w:rPr>
                <w:sz w:val="18"/>
                <w:szCs w:val="18"/>
              </w:rPr>
              <w:t>Gesamtemissionsgrenzwert</w:t>
            </w:r>
            <w:r>
              <w:rPr>
                <w:sz w:val="18"/>
                <w:szCs w:val="18"/>
                <w:vertAlign w:val="superscript"/>
              </w:rPr>
              <w:t>1)</w:t>
            </w:r>
          </w:p>
        </w:tc>
        <w:tc>
          <w:tcPr>
            <w:tcW w:w="5244" w:type="dxa"/>
            <w:gridSpan w:val="2"/>
            <w:tcBorders>
              <w:top w:val="single" w:sz="4" w:space="0" w:color="auto"/>
              <w:bottom w:val="single" w:sz="4" w:space="0" w:color="auto"/>
            </w:tcBorders>
            <w:vAlign w:val="center"/>
          </w:tcPr>
          <w:p>
            <w:pPr>
              <w:pStyle w:val="GesAbsatz"/>
              <w:tabs>
                <w:tab w:val="clear" w:pos="425"/>
                <w:tab w:val="left" w:pos="1134"/>
              </w:tabs>
              <w:ind w:left="709" w:hanging="709"/>
              <w:jc w:val="center"/>
              <w:rPr>
                <w:sz w:val="18"/>
                <w:szCs w:val="18"/>
              </w:rPr>
            </w:pPr>
            <w:r>
              <w:rPr>
                <w:sz w:val="18"/>
                <w:szCs w:val="18"/>
              </w:rPr>
              <w:t>Bemerkungen</w:t>
            </w:r>
          </w:p>
        </w:tc>
      </w:tr>
      <w:tr>
        <w:trPr>
          <w:cantSplit/>
          <w:trHeight w:val="284"/>
        </w:trPr>
        <w:tc>
          <w:tcPr>
            <w:tcW w:w="3652" w:type="dxa"/>
            <w:tcBorders>
              <w:top w:val="single" w:sz="4" w:space="0" w:color="auto"/>
            </w:tcBorders>
          </w:tcPr>
          <w:p>
            <w:pPr>
              <w:pStyle w:val="GesAbsatz"/>
              <w:jc w:val="left"/>
              <w:rPr>
                <w:sz w:val="18"/>
                <w:szCs w:val="18"/>
              </w:rPr>
            </w:pPr>
            <w:r>
              <w:rPr>
                <w:rFonts w:cs="Arial"/>
                <w:sz w:val="18"/>
                <w:szCs w:val="18"/>
              </w:rPr>
              <w:t>Rapssamen:</w:t>
            </w:r>
            <w:r>
              <w:rPr>
                <w:rFonts w:cs="Arial"/>
                <w:sz w:val="18"/>
                <w:szCs w:val="18"/>
              </w:rPr>
              <w:br/>
              <w:t>Sonnenblumensamen:</w:t>
            </w:r>
            <w:r>
              <w:rPr>
                <w:rFonts w:cs="Arial"/>
                <w:sz w:val="18"/>
                <w:szCs w:val="18"/>
              </w:rPr>
              <w:br/>
              <w:t>Sojabohnen (normal gemahlen):</w:t>
            </w:r>
          </w:p>
        </w:tc>
        <w:tc>
          <w:tcPr>
            <w:tcW w:w="851" w:type="dxa"/>
            <w:tcBorders>
              <w:top w:val="single" w:sz="4" w:space="0" w:color="auto"/>
            </w:tcBorders>
          </w:tcPr>
          <w:p>
            <w:pPr>
              <w:pStyle w:val="GesAbsatz"/>
              <w:rPr>
                <w:rFonts w:cs="Arial"/>
                <w:sz w:val="18"/>
                <w:szCs w:val="18"/>
              </w:rPr>
            </w:pPr>
            <w:r>
              <w:rPr>
                <w:rFonts w:cs="Arial"/>
                <w:sz w:val="18"/>
                <w:szCs w:val="18"/>
              </w:rPr>
              <w:t>0,7</w:t>
            </w:r>
            <w:r>
              <w:rPr>
                <w:rFonts w:cs="Arial"/>
                <w:sz w:val="18"/>
                <w:szCs w:val="18"/>
              </w:rPr>
              <w:br/>
              <w:t>0,7</w:t>
            </w:r>
            <w:r>
              <w:rPr>
                <w:rFonts w:cs="Arial"/>
                <w:sz w:val="18"/>
                <w:szCs w:val="18"/>
              </w:rPr>
              <w:br/>
              <w:t>0,55</w:t>
            </w:r>
          </w:p>
        </w:tc>
        <w:tc>
          <w:tcPr>
            <w:tcW w:w="592" w:type="dxa"/>
            <w:tcBorders>
              <w:top w:val="single" w:sz="4" w:space="0" w:color="auto"/>
            </w:tcBorders>
          </w:tcPr>
          <w:p>
            <w:pPr>
              <w:pStyle w:val="GesAbsatz"/>
              <w:tabs>
                <w:tab w:val="clear" w:pos="425"/>
                <w:tab w:val="left" w:pos="1134"/>
              </w:tabs>
              <w:ind w:left="709" w:hanging="709"/>
              <w:jc w:val="right"/>
              <w:rPr>
                <w:sz w:val="18"/>
                <w:szCs w:val="18"/>
                <w:vertAlign w:val="superscript"/>
              </w:rPr>
            </w:pPr>
            <w:r>
              <w:rPr>
                <w:sz w:val="18"/>
                <w:szCs w:val="18"/>
                <w:vertAlign w:val="superscript"/>
              </w:rPr>
              <w:t>1</w:t>
            </w:r>
          </w:p>
        </w:tc>
        <w:tc>
          <w:tcPr>
            <w:tcW w:w="4652" w:type="dxa"/>
            <w:tcBorders>
              <w:top w:val="single" w:sz="4" w:space="0" w:color="auto"/>
            </w:tcBorders>
          </w:tcPr>
          <w:p>
            <w:pPr>
              <w:pStyle w:val="GesAbsatz"/>
              <w:jc w:val="left"/>
              <w:rPr>
                <w:rFonts w:cs="Arial"/>
                <w:sz w:val="18"/>
                <w:szCs w:val="18"/>
              </w:rPr>
            </w:pPr>
            <w:r>
              <w:rPr>
                <w:rFonts w:cs="Arial"/>
                <w:sz w:val="18"/>
                <w:szCs w:val="18"/>
              </w:rPr>
              <w:t>Als Jahresmittelwert in Kilogramm je Tonne gereinigtem pflanzlichen Material.</w:t>
            </w:r>
          </w:p>
        </w:tc>
      </w:tr>
    </w:tbl>
    <w:p>
      <w:pPr>
        <w:pStyle w:val="GesAbsatz"/>
        <w:tabs>
          <w:tab w:val="clear" w:pos="425"/>
          <w:tab w:val="left" w:pos="1134"/>
        </w:tabs>
        <w:ind w:left="709"/>
      </w:pPr>
      <w:r>
        <w:t>Für Anlagen, die vor dem 16. Januar 2024 in Betrieb genommen wurden, gelten ab dem 1. Januar 2029 abweichend von den in Nummer 18.1.1 genannten Grenzwerten für die Gesamtemissionen die folgenden Werte:</w:t>
      </w:r>
    </w:p>
    <w:tbl>
      <w:tblPr>
        <w:tblW w:w="9747" w:type="dxa"/>
        <w:tblLayout w:type="fixed"/>
        <w:tblLook w:val="0000" w:firstRow="0" w:lastRow="0" w:firstColumn="0" w:lastColumn="0" w:noHBand="0" w:noVBand="0"/>
      </w:tblPr>
      <w:tblGrid>
        <w:gridCol w:w="3652"/>
        <w:gridCol w:w="851"/>
        <w:gridCol w:w="592"/>
        <w:gridCol w:w="4652"/>
      </w:tblGrid>
      <w:tr>
        <w:trPr>
          <w:trHeight w:val="335"/>
        </w:trPr>
        <w:tc>
          <w:tcPr>
            <w:tcW w:w="4503" w:type="dxa"/>
            <w:gridSpan w:val="2"/>
            <w:tcBorders>
              <w:top w:val="single" w:sz="4" w:space="0" w:color="auto"/>
              <w:bottom w:val="single" w:sz="4" w:space="0" w:color="auto"/>
            </w:tcBorders>
          </w:tcPr>
          <w:p>
            <w:pPr>
              <w:pStyle w:val="GesAbsatz"/>
              <w:jc w:val="center"/>
              <w:rPr>
                <w:sz w:val="18"/>
                <w:szCs w:val="18"/>
              </w:rPr>
            </w:pPr>
            <w:r>
              <w:rPr>
                <w:sz w:val="18"/>
                <w:szCs w:val="18"/>
              </w:rPr>
              <w:t>Gesamtemissionsgrenzwert</w:t>
            </w:r>
            <w:r>
              <w:rPr>
                <w:sz w:val="18"/>
                <w:szCs w:val="18"/>
                <w:vertAlign w:val="superscript"/>
              </w:rPr>
              <w:t>1)</w:t>
            </w:r>
          </w:p>
        </w:tc>
        <w:tc>
          <w:tcPr>
            <w:tcW w:w="5244" w:type="dxa"/>
            <w:gridSpan w:val="2"/>
            <w:tcBorders>
              <w:top w:val="single" w:sz="4" w:space="0" w:color="auto"/>
              <w:bottom w:val="single" w:sz="4" w:space="0" w:color="auto"/>
            </w:tcBorders>
            <w:vAlign w:val="center"/>
          </w:tcPr>
          <w:p>
            <w:pPr>
              <w:pStyle w:val="GesAbsatz"/>
              <w:jc w:val="center"/>
              <w:rPr>
                <w:sz w:val="18"/>
                <w:szCs w:val="18"/>
              </w:rPr>
            </w:pPr>
            <w:r>
              <w:rPr>
                <w:sz w:val="18"/>
                <w:szCs w:val="18"/>
              </w:rPr>
              <w:t>Bemerkungen</w:t>
            </w:r>
          </w:p>
        </w:tc>
      </w:tr>
      <w:tr>
        <w:trPr>
          <w:cantSplit/>
          <w:trHeight w:val="284"/>
        </w:trPr>
        <w:tc>
          <w:tcPr>
            <w:tcW w:w="3652" w:type="dxa"/>
            <w:tcBorders>
              <w:top w:val="single" w:sz="4" w:space="0" w:color="auto"/>
            </w:tcBorders>
          </w:tcPr>
          <w:p>
            <w:pPr>
              <w:pStyle w:val="GesAbsatz"/>
              <w:jc w:val="left"/>
              <w:rPr>
                <w:rFonts w:cs="Arial"/>
                <w:sz w:val="18"/>
                <w:szCs w:val="18"/>
              </w:rPr>
            </w:pPr>
            <w:r>
              <w:rPr>
                <w:rFonts w:cs="Arial"/>
                <w:sz w:val="18"/>
                <w:szCs w:val="18"/>
              </w:rPr>
              <w:t>Rapssamen:</w:t>
            </w:r>
            <w:r>
              <w:rPr>
                <w:rFonts w:cs="Arial"/>
                <w:sz w:val="18"/>
                <w:szCs w:val="18"/>
              </w:rPr>
              <w:br/>
              <w:t>Sonnenblumensamen:</w:t>
            </w:r>
            <w:r>
              <w:rPr>
                <w:rFonts w:cs="Arial"/>
                <w:sz w:val="18"/>
                <w:szCs w:val="18"/>
              </w:rPr>
              <w:br/>
              <w:t>Sojabohnen (normal gemahlen):</w:t>
            </w:r>
          </w:p>
        </w:tc>
        <w:tc>
          <w:tcPr>
            <w:tcW w:w="851" w:type="dxa"/>
            <w:tcBorders>
              <w:top w:val="single" w:sz="4" w:space="0" w:color="auto"/>
            </w:tcBorders>
          </w:tcPr>
          <w:p>
            <w:pPr>
              <w:pStyle w:val="GesAbsatz"/>
              <w:jc w:val="left"/>
              <w:rPr>
                <w:rFonts w:cs="Arial"/>
                <w:sz w:val="18"/>
                <w:szCs w:val="18"/>
              </w:rPr>
            </w:pPr>
            <w:r>
              <w:rPr>
                <w:rFonts w:cs="Arial"/>
                <w:sz w:val="18"/>
                <w:szCs w:val="18"/>
              </w:rPr>
              <w:t>0,6</w:t>
            </w:r>
            <w:r>
              <w:rPr>
                <w:rFonts w:cs="Arial"/>
                <w:sz w:val="18"/>
                <w:szCs w:val="18"/>
              </w:rPr>
              <w:br/>
              <w:t>0,6</w:t>
            </w:r>
            <w:r>
              <w:rPr>
                <w:rFonts w:cs="Arial"/>
                <w:sz w:val="18"/>
                <w:szCs w:val="18"/>
              </w:rPr>
              <w:br/>
              <w:t>0,45</w:t>
            </w:r>
          </w:p>
        </w:tc>
        <w:tc>
          <w:tcPr>
            <w:tcW w:w="592" w:type="dxa"/>
            <w:tcBorders>
              <w:top w:val="single" w:sz="4" w:space="0" w:color="auto"/>
            </w:tcBorders>
          </w:tcPr>
          <w:p>
            <w:pPr>
              <w:pStyle w:val="GesAbsatz"/>
              <w:jc w:val="right"/>
              <w:rPr>
                <w:sz w:val="18"/>
                <w:szCs w:val="18"/>
                <w:vertAlign w:val="superscript"/>
              </w:rPr>
            </w:pPr>
            <w:r>
              <w:rPr>
                <w:sz w:val="18"/>
                <w:szCs w:val="18"/>
                <w:vertAlign w:val="superscript"/>
              </w:rPr>
              <w:t>1</w:t>
            </w:r>
          </w:p>
        </w:tc>
        <w:tc>
          <w:tcPr>
            <w:tcW w:w="4652" w:type="dxa"/>
            <w:tcBorders>
              <w:top w:val="single" w:sz="4" w:space="0" w:color="auto"/>
            </w:tcBorders>
          </w:tcPr>
          <w:p>
            <w:pPr>
              <w:pStyle w:val="GesAbsatz"/>
              <w:jc w:val="left"/>
              <w:rPr>
                <w:sz w:val="18"/>
                <w:szCs w:val="18"/>
              </w:rPr>
            </w:pPr>
            <w:r>
              <w:rPr>
                <w:rFonts w:cs="Arial"/>
                <w:sz w:val="18"/>
                <w:szCs w:val="18"/>
              </w:rPr>
              <w:t>Als Jahresmittelwert in Kilogramm je Tonne gereinigtem pflanzlichen Material.</w:t>
            </w:r>
          </w:p>
        </w:tc>
      </w:tr>
    </w:tbl>
    <w:p>
      <w:pPr>
        <w:pStyle w:val="GesAbsatz"/>
        <w:tabs>
          <w:tab w:val="clear" w:pos="425"/>
          <w:tab w:val="left" w:pos="1134"/>
        </w:tabs>
        <w:ind w:left="709"/>
      </w:pPr>
      <w:r>
        <w:t>Ab dem 1. Januar 2031 gelten für Anlagen, die vor dem 16. Januar 2024 in Betrieb genommen wurden, die in Nummer 18.1.1 genannten Grenzwerte für Gesamtemissionen.</w:t>
      </w:r>
    </w:p>
    <w:p>
      <w:pPr>
        <w:pStyle w:val="GesAbsatz"/>
        <w:tabs>
          <w:tab w:val="clear" w:pos="425"/>
          <w:tab w:val="left" w:pos="1134"/>
        </w:tabs>
        <w:ind w:left="709" w:hanging="709"/>
      </w:pPr>
      <w:r>
        <w:lastRenderedPageBreak/>
        <w:t>18.1.3</w:t>
      </w:r>
      <w:r>
        <w:tab/>
        <w:t>Besondere Anforderungen</w:t>
      </w:r>
    </w:p>
    <w:p>
      <w:pPr>
        <w:pStyle w:val="GesAbsatz"/>
        <w:tabs>
          <w:tab w:val="clear" w:pos="425"/>
          <w:tab w:val="left" w:pos="1134"/>
        </w:tabs>
        <w:ind w:left="709"/>
      </w:pPr>
      <w:r>
        <w:t>Extraktionsanlagen sind zur Verringerung der Hexanverluste bei der Verarbeitung und Raffination von Ölsaaten unter Anwendung der nachfolgenden Techniken zu errichten und zu betreiben:</w:t>
      </w:r>
    </w:p>
    <w:p>
      <w:pPr>
        <w:pStyle w:val="GesAbsatz"/>
        <w:tabs>
          <w:tab w:val="clear" w:pos="425"/>
          <w:tab w:val="left" w:pos="1134"/>
        </w:tabs>
        <w:ind w:left="1134" w:hanging="425"/>
      </w:pPr>
      <w:r>
        <w:t>–</w:t>
      </w:r>
      <w:r>
        <w:tab/>
        <w:t>Entfernung des Hexans aus dem Hexan enthaltenden Schrot in einem Desolventizer-Toaster unter Einsatz eines Gegenstroms aus Dampf und Schrot,</w:t>
      </w:r>
    </w:p>
    <w:p>
      <w:pPr>
        <w:pStyle w:val="GesAbsatz"/>
        <w:tabs>
          <w:tab w:val="clear" w:pos="425"/>
          <w:tab w:val="left" w:pos="1134"/>
        </w:tabs>
        <w:ind w:left="1134" w:hanging="425"/>
      </w:pPr>
      <w:r>
        <w:t>–</w:t>
      </w:r>
      <w:r>
        <w:tab/>
        <w:t>Entfernung des Hexans aus dem Öl-Hexan-Gemisch mithilfe von Verdampfern,</w:t>
      </w:r>
    </w:p>
    <w:p>
      <w:pPr>
        <w:pStyle w:val="GesAbsatz"/>
        <w:tabs>
          <w:tab w:val="clear" w:pos="425"/>
          <w:tab w:val="left" w:pos="1134"/>
        </w:tabs>
        <w:ind w:left="1134" w:hanging="425"/>
      </w:pPr>
      <w:r>
        <w:t>–</w:t>
      </w:r>
      <w:r>
        <w:tab/>
        <w:t>Abkühlung der Hexandämpfe zu ihrer Kondensierung unter ihren Taupunkt in Kombination mit einem Mineralöl-Nasswäscher,</w:t>
      </w:r>
    </w:p>
    <w:p>
      <w:pPr>
        <w:pStyle w:val="GesAbsatz"/>
        <w:tabs>
          <w:tab w:val="clear" w:pos="425"/>
          <w:tab w:val="left" w:pos="1134"/>
        </w:tabs>
        <w:ind w:left="1134" w:hanging="425"/>
      </w:pPr>
      <w:r>
        <w:t>–</w:t>
      </w:r>
      <w:r>
        <w:tab/>
        <w:t>Trennung des ungelösten Hexans durch einen Gravitationsabscheider aus der wässrigen Phase.</w:t>
      </w:r>
    </w:p>
    <w:p>
      <w:pPr>
        <w:pStyle w:val="GesAbsatz"/>
        <w:tabs>
          <w:tab w:val="clear" w:pos="425"/>
          <w:tab w:val="left" w:pos="1134"/>
        </w:tabs>
        <w:ind w:left="709" w:hanging="709"/>
        <w:rPr>
          <w:rFonts w:cs="Arial"/>
          <w:b/>
          <w:bCs/>
        </w:rPr>
      </w:pPr>
      <w:r>
        <w:rPr>
          <w:rFonts w:cs="Arial"/>
          <w:b/>
          <w:bCs/>
        </w:rPr>
        <w:t>19.</w:t>
      </w:r>
      <w:r>
        <w:rPr>
          <w:rFonts w:cs="Arial"/>
          <w:b/>
          <w:bCs/>
        </w:rPr>
        <w:tab/>
        <w:t>Herstellung von Arzneimitteln</w:t>
      </w:r>
    </w:p>
    <w:p>
      <w:pPr>
        <w:pStyle w:val="GesAbsatz"/>
        <w:tabs>
          <w:tab w:val="clear" w:pos="425"/>
          <w:tab w:val="left" w:pos="1134"/>
        </w:tabs>
        <w:ind w:left="709" w:hanging="709"/>
        <w:rPr>
          <w:rFonts w:cs="Arial"/>
          <w:b/>
          <w:bCs/>
        </w:rPr>
      </w:pPr>
      <w:r>
        <w:rPr>
          <w:rFonts w:cs="Arial"/>
          <w:b/>
          <w:bCs/>
        </w:rPr>
        <w:t>19.1</w:t>
      </w:r>
      <w:r>
        <w:rPr>
          <w:rFonts w:cs="Arial"/>
          <w:b/>
          <w:bCs/>
        </w:rPr>
        <w:tab/>
        <w:t>Anlagen zur Herstellung von Arzneimitteln</w:t>
      </w:r>
    </w:p>
    <w:p>
      <w:pPr>
        <w:pStyle w:val="GesAbsatz"/>
        <w:tabs>
          <w:tab w:val="clear" w:pos="425"/>
          <w:tab w:val="left" w:pos="1134"/>
        </w:tabs>
        <w:ind w:left="709" w:hanging="709"/>
        <w:rPr>
          <w:rFonts w:cs="Arial"/>
        </w:rPr>
      </w:pPr>
      <w:r>
        <w:rPr>
          <w:rFonts w:cs="Arial"/>
        </w:rPr>
        <w:t>19.1.1</w:t>
      </w:r>
      <w:r>
        <w:rPr>
          <w:rFonts w:cs="Arial"/>
        </w:rPr>
        <w:tab/>
        <w:t>Grenzwerte für die Gesamtemissionen</w:t>
      </w:r>
    </w:p>
    <w:p>
      <w:pPr>
        <w:pStyle w:val="GesAbsatz"/>
        <w:tabs>
          <w:tab w:val="clear" w:pos="425"/>
          <w:tab w:val="left" w:pos="1134"/>
        </w:tabs>
        <w:ind w:left="709"/>
        <w:rPr>
          <w:rFonts w:cs="Arial"/>
        </w:rPr>
      </w:pPr>
      <w:r>
        <w:rPr>
          <w:rFonts w:cs="Arial"/>
        </w:rPr>
        <w:t>Die Gesamtemissionen dürfen 5 Prozent der Masse der eingesetzten Lösungsmittel nicht überschreiten.</w:t>
      </w:r>
    </w:p>
    <w:p>
      <w:pPr>
        <w:pStyle w:val="GesAbsatz"/>
        <w:tabs>
          <w:tab w:val="clear" w:pos="425"/>
          <w:tab w:val="left" w:pos="1134"/>
        </w:tabs>
        <w:ind w:left="709" w:hanging="709"/>
        <w:rPr>
          <w:rFonts w:cs="Arial"/>
        </w:rPr>
      </w:pPr>
      <w:r>
        <w:rPr>
          <w:rFonts w:cs="Arial"/>
        </w:rPr>
        <w:t>19.1.2</w:t>
      </w:r>
      <w:r>
        <w:rPr>
          <w:rFonts w:cs="Arial"/>
        </w:rPr>
        <w:tab/>
        <w:t>Emissionsgrenzwerte für gefasste Abgase</w:t>
      </w:r>
    </w:p>
    <w:tbl>
      <w:tblPr>
        <w:tblW w:w="9747" w:type="dxa"/>
        <w:tblLayout w:type="fixed"/>
        <w:tblLook w:val="0000" w:firstRow="0" w:lastRow="0" w:firstColumn="0" w:lastColumn="0" w:noHBand="0" w:noVBand="0"/>
      </w:tblPr>
      <w:tblGrid>
        <w:gridCol w:w="2835"/>
        <w:gridCol w:w="426"/>
        <w:gridCol w:w="6486"/>
      </w:tblGrid>
      <w:tr>
        <w:trPr>
          <w:cantSplit/>
          <w:trHeight w:val="484"/>
        </w:trPr>
        <w:tc>
          <w:tcPr>
            <w:tcW w:w="2835" w:type="dxa"/>
            <w:tcBorders>
              <w:top w:val="single" w:sz="6" w:space="0" w:color="000000"/>
            </w:tcBorders>
          </w:tcPr>
          <w:p>
            <w:pPr>
              <w:pStyle w:val="GesAbsatz"/>
              <w:jc w:val="center"/>
              <w:rPr>
                <w:rFonts w:cs="Arial"/>
                <w:sz w:val="18"/>
                <w:szCs w:val="18"/>
                <w:vertAlign w:val="superscript"/>
              </w:rPr>
            </w:pPr>
            <w:r>
              <w:rPr>
                <w:rFonts w:cs="Arial"/>
                <w:sz w:val="18"/>
                <w:szCs w:val="18"/>
              </w:rPr>
              <w:t>Emissionsgrenzwert</w:t>
            </w:r>
            <w:r>
              <w:rPr>
                <w:rFonts w:cs="Arial"/>
                <w:sz w:val="18"/>
                <w:szCs w:val="18"/>
              </w:rPr>
              <w:br/>
              <w:t>(mg C/m</w:t>
            </w:r>
            <w:r>
              <w:rPr>
                <w:rFonts w:cs="Arial"/>
                <w:sz w:val="18"/>
                <w:szCs w:val="18"/>
                <w:vertAlign w:val="superscript"/>
              </w:rPr>
              <w:t>3</w:t>
            </w:r>
            <w:r>
              <w:rPr>
                <w:rFonts w:cs="Arial"/>
                <w:sz w:val="18"/>
                <w:szCs w:val="18"/>
              </w:rPr>
              <w:t>)</w:t>
            </w:r>
          </w:p>
        </w:tc>
        <w:tc>
          <w:tcPr>
            <w:tcW w:w="6912" w:type="dxa"/>
            <w:gridSpan w:val="2"/>
            <w:tcBorders>
              <w:top w:val="single" w:sz="6" w:space="0" w:color="000000"/>
            </w:tcBorders>
          </w:tcPr>
          <w:p>
            <w:pPr>
              <w:pStyle w:val="GesAbsatz"/>
              <w:jc w:val="center"/>
              <w:rPr>
                <w:rFonts w:cs="Arial"/>
                <w:sz w:val="18"/>
                <w:szCs w:val="18"/>
              </w:rPr>
            </w:pPr>
            <w:r>
              <w:rPr>
                <w:rFonts w:cs="Arial"/>
                <w:sz w:val="18"/>
                <w:szCs w:val="18"/>
              </w:rPr>
              <w:t>Bemerkungen</w:t>
            </w:r>
          </w:p>
        </w:tc>
      </w:tr>
      <w:tr>
        <w:trPr>
          <w:cantSplit/>
          <w:trHeight w:val="218"/>
        </w:trPr>
        <w:tc>
          <w:tcPr>
            <w:tcW w:w="2835" w:type="dxa"/>
            <w:tcBorders>
              <w:top w:val="single" w:sz="4" w:space="0" w:color="auto"/>
            </w:tcBorders>
          </w:tcPr>
          <w:p>
            <w:pPr>
              <w:pStyle w:val="GesAbsatz"/>
              <w:jc w:val="center"/>
              <w:rPr>
                <w:rFonts w:cs="Arial"/>
                <w:sz w:val="18"/>
                <w:szCs w:val="18"/>
                <w:vertAlign w:val="superscript"/>
              </w:rPr>
            </w:pPr>
            <w:r>
              <w:rPr>
                <w:rFonts w:cs="Arial"/>
                <w:sz w:val="18"/>
                <w:szCs w:val="18"/>
              </w:rPr>
              <w:t>20</w:t>
            </w:r>
            <w:r>
              <w:rPr>
                <w:rFonts w:cs="Arial"/>
                <w:sz w:val="18"/>
                <w:szCs w:val="18"/>
              </w:rPr>
              <w:br/>
              <w:t>75</w:t>
            </w:r>
            <w:r>
              <w:rPr>
                <w:rFonts w:cs="Arial"/>
                <w:sz w:val="18"/>
                <w:szCs w:val="18"/>
                <w:vertAlign w:val="superscript"/>
              </w:rPr>
              <w:t>1</w:t>
            </w:r>
          </w:p>
        </w:tc>
        <w:tc>
          <w:tcPr>
            <w:tcW w:w="426" w:type="dxa"/>
            <w:tcBorders>
              <w:top w:val="single" w:sz="4" w:space="0" w:color="auto"/>
            </w:tcBorders>
          </w:tcPr>
          <w:p>
            <w:pPr>
              <w:pStyle w:val="GesAbsatz"/>
              <w:jc w:val="right"/>
              <w:rPr>
                <w:rFonts w:cs="Arial"/>
                <w:sz w:val="18"/>
                <w:szCs w:val="18"/>
              </w:rPr>
            </w:pPr>
            <w:r>
              <w:rPr>
                <w:rFonts w:cs="Arial"/>
                <w:sz w:val="18"/>
                <w:szCs w:val="18"/>
                <w:vertAlign w:val="superscript"/>
              </w:rPr>
              <w:t>1</w:t>
            </w:r>
          </w:p>
        </w:tc>
        <w:tc>
          <w:tcPr>
            <w:tcW w:w="6486" w:type="dxa"/>
            <w:tcBorders>
              <w:top w:val="single" w:sz="4" w:space="0" w:color="auto"/>
            </w:tcBorders>
          </w:tcPr>
          <w:p>
            <w:pPr>
              <w:pStyle w:val="GesAbsatz"/>
              <w:jc w:val="left"/>
              <w:rPr>
                <w:rFonts w:cs="Arial"/>
                <w:sz w:val="18"/>
                <w:szCs w:val="18"/>
              </w:rPr>
            </w:pPr>
            <w:r>
              <w:rPr>
                <w:rFonts w:cs="Arial"/>
                <w:sz w:val="18"/>
                <w:szCs w:val="18"/>
              </w:rPr>
              <w:t>Gilt für Anlagen mit Einrichtungen, die die Wiederverwendung zurückgewonnener organischer Lösungsmittel ermöglichen.</w:t>
            </w:r>
          </w:p>
        </w:tc>
      </w:tr>
    </w:tbl>
    <w:p>
      <w:pPr>
        <w:pStyle w:val="GesAbsatz"/>
        <w:tabs>
          <w:tab w:val="clear" w:pos="425"/>
        </w:tabs>
        <w:ind w:left="709" w:hanging="709"/>
        <w:rPr>
          <w:rFonts w:cs="Arial"/>
        </w:rPr>
      </w:pPr>
      <w:r>
        <w:rPr>
          <w:rFonts w:cs="Arial"/>
        </w:rPr>
        <w:t>19.1.3</w:t>
      </w:r>
      <w:r>
        <w:rPr>
          <w:rFonts w:cs="Arial"/>
        </w:rPr>
        <w:tab/>
        <w:t>Grenzwert für diffuse Emissionen</w:t>
      </w:r>
    </w:p>
    <w:p>
      <w:pPr>
        <w:pStyle w:val="GesAbsatz"/>
        <w:tabs>
          <w:tab w:val="clear" w:pos="425"/>
        </w:tabs>
        <w:ind w:left="709"/>
        <w:rPr>
          <w:rFonts w:cs="Arial"/>
        </w:rPr>
      </w:pPr>
      <w:r>
        <w:rPr>
          <w:rFonts w:cs="Arial"/>
        </w:rPr>
        <w:t>Der Grenzwert für diffuse Emissionen beträgt 5 Prozent der Masse der eingesetzten Lösungsmittel. Der Grenzwert für diffuse Emissionen bezieht sich nicht auf Lösungsmittel, die als Teil von Erzeugnissen oder Gemischen in einem geschlossenen Behälter verkauft werden.</w:t>
      </w:r>
    </w:p>
    <w:p>
      <w:pPr>
        <w:pStyle w:val="GesAbsatz"/>
        <w:tabs>
          <w:tab w:val="clear" w:pos="425"/>
        </w:tabs>
        <w:ind w:left="709" w:hanging="709"/>
        <w:rPr>
          <w:rFonts w:cs="Arial"/>
        </w:rPr>
      </w:pPr>
      <w:r>
        <w:rPr>
          <w:rFonts w:cs="Arial"/>
        </w:rPr>
        <w:t>19.1.4</w:t>
      </w:r>
      <w:r>
        <w:rPr>
          <w:rFonts w:cs="Arial"/>
        </w:rPr>
        <w:tab/>
        <w:t>Besondere Anforderungen</w:t>
      </w:r>
    </w:p>
    <w:p>
      <w:pPr>
        <w:pStyle w:val="GesAbsatz"/>
        <w:tabs>
          <w:tab w:val="clear" w:pos="425"/>
        </w:tabs>
        <w:ind w:left="709"/>
        <w:rPr>
          <w:rFonts w:cs="Arial"/>
        </w:rPr>
      </w:pPr>
      <w:r>
        <w:rPr>
          <w:rFonts w:cs="Arial"/>
        </w:rPr>
        <w:t>Der Grenzwert für die Gesamtemissionen an flüchtigen organischen Verbindungen nach Nummer 19.1.1 gilt alternativ zum Emissionsgrenzwert für gefasste Abgase nach Nummer 19.1.2 und zum Grenzwert für diffuse Emissionen nach Nummer 19.1.3. Bei genehmigungsbedürftigen Anlagen gelten aus Vorsorgegründen zusätzlich zum Gesamtemissionsgrenzwert nach Nummer 19.1.1 die Anforderungen nach Nummer 19.1.2 für gefasste behandelte Abgase; die Anwendung des Standes der Technik auf alle gefassten Abgase wird hierbei vorausgesetzt.</w:t>
      </w:r>
    </w:p>
    <w:p>
      <w:pPr>
        <w:pStyle w:val="berschrift2"/>
        <w:jc w:val="left"/>
      </w:pPr>
      <w:bookmarkStart w:id="23" w:name="_Toc157672296"/>
      <w:r>
        <w:t>Anhang IV</w:t>
      </w:r>
      <w:r>
        <w:br/>
        <w:t>(zu § 4)</w:t>
      </w:r>
      <w:bookmarkEnd w:id="23"/>
    </w:p>
    <w:p>
      <w:pPr>
        <w:pStyle w:val="GesAbsatz"/>
        <w:jc w:val="center"/>
        <w:rPr>
          <w:rFonts w:cs="Arial"/>
          <w:b/>
          <w:bCs/>
        </w:rPr>
      </w:pPr>
      <w:r>
        <w:rPr>
          <w:rFonts w:cs="Arial"/>
          <w:b/>
          <w:bCs/>
        </w:rPr>
        <w:t>Reduzierungsplan</w:t>
      </w:r>
    </w:p>
    <w:p>
      <w:pPr>
        <w:pStyle w:val="GesAbsatz"/>
        <w:tabs>
          <w:tab w:val="clear" w:pos="425"/>
          <w:tab w:val="left" w:pos="426"/>
        </w:tabs>
        <w:rPr>
          <w:rFonts w:cs="Arial"/>
          <w:b/>
          <w:bCs/>
        </w:rPr>
      </w:pPr>
      <w:r>
        <w:rPr>
          <w:rFonts w:cs="Arial"/>
          <w:b/>
          <w:bCs/>
        </w:rPr>
        <w:t>A</w:t>
      </w:r>
      <w:r>
        <w:rPr>
          <w:rFonts w:cs="Arial"/>
          <w:b/>
          <w:bCs/>
        </w:rPr>
        <w:tab/>
        <w:t>Grundsätzliche Anforderungen</w:t>
      </w:r>
    </w:p>
    <w:p>
      <w:pPr>
        <w:pStyle w:val="GesAbsatz"/>
        <w:tabs>
          <w:tab w:val="clear" w:pos="425"/>
        </w:tabs>
        <w:ind w:left="426"/>
        <w:rPr>
          <w:rFonts w:cs="Arial"/>
        </w:rPr>
      </w:pPr>
      <w:r>
        <w:rPr>
          <w:rFonts w:cs="Arial"/>
        </w:rPr>
        <w:t>Der Betreiber, der einen Plan zur Reduzierung von Emissionen (Reduzierungsplan) einsetzt, hat gegenüber der zuständigen Behörde den Nachweis zu erbringen, dass er eine Emissionsminderung mindestens in gleicher Höhe erzielt, wie dies für die jeweilige Anlage bei Einhaltung der Anforderungen nach § 4 Satz 1 Nummer 1 der Fall wäre. Erbringt der Betreiber diesen Nachweis, so darf er einen beliebigen Reduzierungsplan verwenden, der speziell für seine Anlage aufgestellt sein kann.</w:t>
      </w:r>
    </w:p>
    <w:p>
      <w:pPr>
        <w:pStyle w:val="GesAbsatz"/>
        <w:tabs>
          <w:tab w:val="clear" w:pos="425"/>
        </w:tabs>
        <w:ind w:left="426"/>
        <w:rPr>
          <w:rFonts w:cs="Arial"/>
        </w:rPr>
      </w:pPr>
      <w:r>
        <w:rPr>
          <w:rFonts w:cs="Arial"/>
        </w:rPr>
        <w:t>Sind entgegen der bei Aufstellung des Reduzierungsplans nach § 4 getroffenen und begründeten Annahmen lösungsmittelarme oder lösungsmittelfreie Ersatzstoffe noch in der Entwicklung und ist ein absehbares Ende der Entwicklung gegeben, so kann die zuständige Behörde auf Antrag des Betreibers eine angemessene Fristverlängerung zur Umsetzung seines Reduzierungsplans einräumen.</w:t>
      </w:r>
    </w:p>
    <w:p>
      <w:pPr>
        <w:pStyle w:val="GesAbsatz"/>
        <w:tabs>
          <w:tab w:val="clear" w:pos="425"/>
        </w:tabs>
        <w:ind w:left="426" w:hanging="426"/>
        <w:rPr>
          <w:rFonts w:cs="Arial"/>
          <w:b/>
        </w:rPr>
      </w:pPr>
      <w:r>
        <w:rPr>
          <w:rFonts w:cs="Arial"/>
          <w:b/>
        </w:rPr>
        <w:t>B</w:t>
      </w:r>
      <w:r>
        <w:rPr>
          <w:rFonts w:cs="Arial"/>
          <w:b/>
        </w:rPr>
        <w:tab/>
        <w:t>Reduzierungsplan für das Aufbringen von Beschichtungsstoffen, Klarlacken, Klebstoffen oder Druckfarben</w:t>
      </w:r>
    </w:p>
    <w:p>
      <w:pPr>
        <w:pStyle w:val="GesAbsatz"/>
        <w:tabs>
          <w:tab w:val="clear" w:pos="425"/>
        </w:tabs>
        <w:ind w:left="426"/>
        <w:rPr>
          <w:rFonts w:cs="Arial"/>
        </w:rPr>
      </w:pPr>
      <w:r>
        <w:rPr>
          <w:rFonts w:cs="Arial"/>
        </w:rPr>
        <w:t>Bei Anwendung des folgenden Reduzierungsplans ist der Nachweis nach Abschnitt A Satz 1 nicht erforderlich:</w:t>
      </w:r>
    </w:p>
    <w:p>
      <w:pPr>
        <w:pStyle w:val="GesAbsatz"/>
        <w:tabs>
          <w:tab w:val="clear" w:pos="425"/>
          <w:tab w:val="left" w:pos="426"/>
        </w:tabs>
        <w:ind w:left="426" w:hanging="426"/>
        <w:rPr>
          <w:rFonts w:cs="Arial"/>
        </w:rPr>
      </w:pPr>
      <w:r>
        <w:rPr>
          <w:rFonts w:cs="Arial"/>
        </w:rPr>
        <w:t>1.</w:t>
      </w:r>
      <w:r>
        <w:rPr>
          <w:rFonts w:cs="Arial"/>
        </w:rPr>
        <w:tab/>
        <w:t xml:space="preserve">Der Reduzierungsplan sieht vor, den durchschnittlichen Gehalt an flüchtigen organischen Verbindungen der Einsatzstoffe, insbesondere der Beschichtungsstoffe und Reinigungsmittel, zu verringern oder den Feststoffnutzungsgrad zu erhöhen, um die Gesamtemissionen an flüchtigen organischen Verbindungen </w:t>
      </w:r>
      <w:r>
        <w:rPr>
          <w:rFonts w:cs="Arial"/>
        </w:rPr>
        <w:lastRenderedPageBreak/>
        <w:t>aus der Anlage auf einen bestimmten Prozentsatz der jährlichen Bezugsemission, die sogenannte Zielemission, zu reduzieren.</w:t>
      </w:r>
    </w:p>
    <w:p>
      <w:pPr>
        <w:pStyle w:val="GesAbsatz"/>
        <w:tabs>
          <w:tab w:val="clear" w:pos="425"/>
          <w:tab w:val="left" w:pos="426"/>
        </w:tabs>
        <w:ind w:left="426" w:hanging="426"/>
        <w:rPr>
          <w:rFonts w:cs="Arial"/>
        </w:rPr>
      </w:pPr>
      <w:r>
        <w:rPr>
          <w:rFonts w:cs="Arial"/>
        </w:rPr>
        <w:t>2.</w:t>
      </w:r>
      <w:r>
        <w:rPr>
          <w:rFonts w:cs="Arial"/>
        </w:rPr>
        <w:tab/>
        <w:t>Die jährliche Bezugsemission berechnet sich wie folgt:</w:t>
      </w:r>
    </w:p>
    <w:p>
      <w:pPr>
        <w:pStyle w:val="GesAbsatz"/>
        <w:tabs>
          <w:tab w:val="clear" w:pos="425"/>
          <w:tab w:val="left" w:pos="426"/>
        </w:tabs>
        <w:ind w:left="426"/>
        <w:rPr>
          <w:rFonts w:cs="Arial"/>
        </w:rPr>
      </w:pPr>
      <w:r>
        <w:rPr>
          <w:rFonts w:cs="Arial"/>
        </w:rPr>
        <w:t>Jährliche Bezugsemission = kg Feststoff/a x Multiplikationsfaktor.</w:t>
      </w:r>
    </w:p>
    <w:p>
      <w:pPr>
        <w:pStyle w:val="GesAbsatz"/>
        <w:ind w:left="426"/>
        <w:rPr>
          <w:rFonts w:cs="Arial"/>
        </w:rPr>
      </w:pPr>
      <w:r>
        <w:rPr>
          <w:rFonts w:cs="Arial"/>
        </w:rPr>
        <w:t>Es ist die Gesamtmasse der Feststoffe in der jährlich verbrauchten Menge an Beschichtungsstoff und/oder Druckfarbe, Lack, Farbe, Klebstoff zu bestimmen. Als Feststoffe gelten alle Stoffe in Beschichtungsstoffen, Druckfarben, Klarlacken, Lacken und Klebstoffen, die sich verfestigen, sobald das Wasser oder die flüchtigen organischen Verbindungen verdunstet sind (wie zum Beispiel Bindemittel, Pigmente, Füllstoffe in Lacken, Farben, Klebstoffen).</w:t>
      </w:r>
    </w:p>
    <w:p>
      <w:pPr>
        <w:pStyle w:val="GesAbsatz"/>
        <w:tabs>
          <w:tab w:val="clear" w:pos="425"/>
          <w:tab w:val="left" w:pos="426"/>
        </w:tabs>
        <w:ind w:left="426"/>
        <w:rPr>
          <w:rFonts w:cs="Arial"/>
        </w:rPr>
      </w:pPr>
      <w:r>
        <w:rPr>
          <w:rFonts w:cs="Arial"/>
        </w:rPr>
        <w:t xml:space="preserve">Durch Multiplikation der bestimmten Gesamtmasse an Feststoffen mit dem entsprechenden Multiplikationsfaktor aus der Spalte 3 der nachstehenden Tabelle ist die jährliche Bezugsemission zu berechnen. Die zuständige Behörde kann eine Anpassung der genannten Multiplikationsfaktoren bei einzelnen Anlagen vornehmen, um bei der Anwendung von Applikationsverfahren nach dem Stand der Technik </w:t>
      </w:r>
      <w:proofErr w:type="gramStart"/>
      <w:r>
        <w:rPr>
          <w:rFonts w:cs="Arial"/>
        </w:rPr>
        <w:t>dem nachgewiesenen erhöhten Feststoffnutzungsgrad Rechnung</w:t>
      </w:r>
      <w:proofErr w:type="gramEnd"/>
      <w:r>
        <w:rPr>
          <w:rFonts w:cs="Arial"/>
        </w:rPr>
        <w:t xml:space="preserve"> zu tragen.</w:t>
      </w:r>
    </w:p>
    <w:p>
      <w:pPr>
        <w:pStyle w:val="GesAbsatz"/>
      </w:pPr>
    </w:p>
    <w:tbl>
      <w:tblPr>
        <w:tblW w:w="97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1"/>
        <w:gridCol w:w="284"/>
        <w:gridCol w:w="3260"/>
        <w:gridCol w:w="1276"/>
        <w:gridCol w:w="1814"/>
        <w:gridCol w:w="1842"/>
      </w:tblGrid>
      <w:tr>
        <w:trPr>
          <w:trHeight w:val="1097"/>
          <w:tblHeader/>
        </w:trPr>
        <w:tc>
          <w:tcPr>
            <w:tcW w:w="1271" w:type="dxa"/>
            <w:tcBorders>
              <w:top w:val="single" w:sz="4" w:space="0" w:color="auto"/>
              <w:bottom w:val="single" w:sz="4" w:space="0" w:color="auto"/>
              <w:right w:val="single" w:sz="4" w:space="0" w:color="auto"/>
            </w:tcBorders>
          </w:tcPr>
          <w:p>
            <w:pPr>
              <w:pStyle w:val="GesAbsatz"/>
              <w:jc w:val="center"/>
              <w:rPr>
                <w:rFonts w:cs="Arial"/>
                <w:sz w:val="18"/>
                <w:szCs w:val="18"/>
              </w:rPr>
            </w:pPr>
            <w:r>
              <w:rPr>
                <w:rFonts w:cs="Arial"/>
                <w:sz w:val="18"/>
                <w:szCs w:val="18"/>
              </w:rPr>
              <w:t>Nummer der Anlage nach Anhang l</w:t>
            </w:r>
          </w:p>
        </w:tc>
        <w:tc>
          <w:tcPr>
            <w:tcW w:w="3544" w:type="dxa"/>
            <w:gridSpan w:val="2"/>
            <w:tcBorders>
              <w:top w:val="single" w:sz="4" w:space="0" w:color="auto"/>
              <w:left w:val="single" w:sz="4" w:space="0" w:color="auto"/>
              <w:bottom w:val="single" w:sz="4" w:space="0" w:color="auto"/>
              <w:right w:val="single" w:sz="4" w:space="0" w:color="auto"/>
            </w:tcBorders>
          </w:tcPr>
          <w:p>
            <w:pPr>
              <w:pStyle w:val="GesAbsatz"/>
              <w:jc w:val="center"/>
              <w:rPr>
                <w:rFonts w:cs="Arial"/>
                <w:sz w:val="18"/>
                <w:szCs w:val="18"/>
              </w:rPr>
            </w:pPr>
            <w:r>
              <w:rPr>
                <w:rFonts w:cs="Arial"/>
                <w:sz w:val="18"/>
                <w:szCs w:val="18"/>
              </w:rPr>
              <w:t>Tätigkeit</w:t>
            </w:r>
          </w:p>
        </w:tc>
        <w:tc>
          <w:tcPr>
            <w:tcW w:w="1276" w:type="dxa"/>
            <w:tcBorders>
              <w:top w:val="single" w:sz="4" w:space="0" w:color="auto"/>
              <w:left w:val="single" w:sz="4" w:space="0" w:color="auto"/>
              <w:bottom w:val="single" w:sz="4" w:space="0" w:color="auto"/>
              <w:right w:val="single" w:sz="4" w:space="0" w:color="auto"/>
            </w:tcBorders>
          </w:tcPr>
          <w:p>
            <w:pPr>
              <w:pStyle w:val="GesAbsatz"/>
              <w:jc w:val="center"/>
              <w:rPr>
                <w:rFonts w:cs="Arial"/>
                <w:sz w:val="18"/>
                <w:szCs w:val="18"/>
              </w:rPr>
            </w:pPr>
            <w:r>
              <w:rPr>
                <w:rFonts w:cs="Arial"/>
                <w:sz w:val="18"/>
                <w:szCs w:val="18"/>
              </w:rPr>
              <w:t>Lösungsmittelverbrauch</w:t>
            </w:r>
            <w:r>
              <w:rPr>
                <w:rFonts w:cs="Arial"/>
                <w:sz w:val="18"/>
                <w:szCs w:val="18"/>
              </w:rPr>
              <w:br/>
              <w:t>t/a</w:t>
            </w:r>
          </w:p>
        </w:tc>
        <w:tc>
          <w:tcPr>
            <w:tcW w:w="1814" w:type="dxa"/>
            <w:tcBorders>
              <w:top w:val="single" w:sz="4" w:space="0" w:color="auto"/>
              <w:left w:val="single" w:sz="4" w:space="0" w:color="auto"/>
              <w:bottom w:val="single" w:sz="4" w:space="0" w:color="auto"/>
              <w:right w:val="single" w:sz="4" w:space="0" w:color="auto"/>
            </w:tcBorders>
          </w:tcPr>
          <w:p>
            <w:pPr>
              <w:pStyle w:val="GesAbsatz"/>
              <w:jc w:val="center"/>
              <w:rPr>
                <w:rFonts w:cs="Arial"/>
                <w:sz w:val="18"/>
                <w:szCs w:val="18"/>
              </w:rPr>
            </w:pPr>
            <w:r>
              <w:rPr>
                <w:rFonts w:cs="Arial"/>
                <w:sz w:val="18"/>
                <w:szCs w:val="18"/>
              </w:rPr>
              <w:t>Multiplikationsfaktor zur Ermittlung der jährlichen Bezugsemission</w:t>
            </w:r>
          </w:p>
        </w:tc>
        <w:tc>
          <w:tcPr>
            <w:tcW w:w="1842" w:type="dxa"/>
            <w:tcBorders>
              <w:top w:val="single" w:sz="4" w:space="0" w:color="auto"/>
              <w:left w:val="single" w:sz="4" w:space="0" w:color="auto"/>
              <w:bottom w:val="single" w:sz="4" w:space="0" w:color="auto"/>
            </w:tcBorders>
          </w:tcPr>
          <w:p>
            <w:pPr>
              <w:pStyle w:val="GesAbsatz"/>
              <w:jc w:val="center"/>
              <w:rPr>
                <w:rFonts w:cs="Arial"/>
                <w:sz w:val="18"/>
                <w:szCs w:val="18"/>
              </w:rPr>
            </w:pPr>
            <w:r>
              <w:rPr>
                <w:rFonts w:cs="Arial"/>
                <w:sz w:val="18"/>
                <w:szCs w:val="18"/>
              </w:rPr>
              <w:t xml:space="preserve">Prozentsatz zur </w:t>
            </w:r>
            <w:r>
              <w:rPr>
                <w:rFonts w:cs="Arial"/>
                <w:sz w:val="18"/>
                <w:szCs w:val="18"/>
              </w:rPr>
              <w:br/>
              <w:t xml:space="preserve">Ermittlung der </w:t>
            </w:r>
            <w:r>
              <w:rPr>
                <w:rFonts w:cs="Arial"/>
                <w:sz w:val="18"/>
                <w:szCs w:val="18"/>
              </w:rPr>
              <w:br/>
              <w:t>Zielemission</w:t>
            </w:r>
          </w:p>
        </w:tc>
      </w:tr>
      <w:tr>
        <w:trPr>
          <w:cantSplit/>
          <w:trHeight w:val="440"/>
        </w:trPr>
        <w:tc>
          <w:tcPr>
            <w:tcW w:w="1271" w:type="dxa"/>
            <w:vMerge w:val="restart"/>
            <w:tcBorders>
              <w:top w:val="single" w:sz="4" w:space="0" w:color="auto"/>
              <w:bottom w:val="nil"/>
              <w:right w:val="single" w:sz="4" w:space="0" w:color="auto"/>
            </w:tcBorders>
          </w:tcPr>
          <w:p>
            <w:pPr>
              <w:pStyle w:val="GesAbsatz"/>
              <w:jc w:val="left"/>
              <w:rPr>
                <w:rFonts w:cs="Arial"/>
              </w:rPr>
            </w:pPr>
            <w:r>
              <w:rPr>
                <w:rFonts w:cs="Arial"/>
              </w:rPr>
              <w:t xml:space="preserve">1.3 </w:t>
            </w:r>
          </w:p>
        </w:tc>
        <w:tc>
          <w:tcPr>
            <w:tcW w:w="3544" w:type="dxa"/>
            <w:gridSpan w:val="2"/>
            <w:tcBorders>
              <w:top w:val="single" w:sz="4" w:space="0" w:color="auto"/>
              <w:left w:val="single" w:sz="4" w:space="0" w:color="auto"/>
              <w:bottom w:val="nil"/>
              <w:right w:val="single" w:sz="4" w:space="0" w:color="auto"/>
            </w:tcBorders>
          </w:tcPr>
          <w:p>
            <w:pPr>
              <w:pStyle w:val="GesAbsatz"/>
              <w:jc w:val="left"/>
              <w:rPr>
                <w:rFonts w:cs="Arial"/>
              </w:rPr>
            </w:pPr>
            <w:r>
              <w:rPr>
                <w:rFonts w:cs="Arial"/>
              </w:rPr>
              <w:t>Sonstige Druckverfahren außer Rotationssiebdruck</w:t>
            </w:r>
          </w:p>
        </w:tc>
        <w:tc>
          <w:tcPr>
            <w:tcW w:w="1276" w:type="dxa"/>
            <w:tcBorders>
              <w:top w:val="single" w:sz="4" w:space="0" w:color="auto"/>
              <w:left w:val="single" w:sz="4" w:space="0" w:color="auto"/>
              <w:bottom w:val="nil"/>
              <w:right w:val="single" w:sz="4" w:space="0" w:color="auto"/>
            </w:tcBorders>
          </w:tcPr>
          <w:p>
            <w:pPr>
              <w:pStyle w:val="GesAbsatz"/>
              <w:jc w:val="center"/>
              <w:rPr>
                <w:rFonts w:cs="Arial"/>
              </w:rPr>
            </w:pPr>
            <w:r>
              <w:rPr>
                <w:rFonts w:cs="Arial"/>
              </w:rPr>
              <w:t>&gt; 15-25</w:t>
            </w:r>
            <w:r>
              <w:rPr>
                <w:rFonts w:cs="Arial"/>
              </w:rPr>
              <w:br/>
              <w:t>&gt; 25</w:t>
            </w:r>
          </w:p>
        </w:tc>
        <w:tc>
          <w:tcPr>
            <w:tcW w:w="1814" w:type="dxa"/>
            <w:tcBorders>
              <w:top w:val="single" w:sz="4" w:space="0" w:color="auto"/>
              <w:left w:val="single" w:sz="4" w:space="0" w:color="auto"/>
              <w:bottom w:val="nil"/>
              <w:right w:val="single" w:sz="4" w:space="0" w:color="auto"/>
            </w:tcBorders>
          </w:tcPr>
          <w:p>
            <w:pPr>
              <w:pStyle w:val="GesAbsatz"/>
              <w:jc w:val="center"/>
              <w:rPr>
                <w:rFonts w:cs="Arial"/>
              </w:rPr>
            </w:pPr>
            <w:r>
              <w:rPr>
                <w:rFonts w:cs="Arial"/>
              </w:rPr>
              <w:t>2,5</w:t>
            </w:r>
            <w:r>
              <w:rPr>
                <w:rFonts w:cs="Arial"/>
              </w:rPr>
              <w:br/>
              <w:t>2,5</w:t>
            </w:r>
          </w:p>
        </w:tc>
        <w:tc>
          <w:tcPr>
            <w:tcW w:w="1842" w:type="dxa"/>
            <w:tcBorders>
              <w:top w:val="single" w:sz="4" w:space="0" w:color="auto"/>
              <w:left w:val="single" w:sz="4" w:space="0" w:color="auto"/>
              <w:bottom w:val="nil"/>
            </w:tcBorders>
          </w:tcPr>
          <w:p>
            <w:pPr>
              <w:pStyle w:val="GesAbsatz"/>
              <w:jc w:val="center"/>
              <w:rPr>
                <w:rFonts w:cs="Arial"/>
              </w:rPr>
            </w:pPr>
            <w:r>
              <w:rPr>
                <w:rFonts w:cs="Arial"/>
              </w:rPr>
              <w:t>(25 + 5) %</w:t>
            </w:r>
            <w:r>
              <w:rPr>
                <w:rFonts w:cs="Arial"/>
              </w:rPr>
              <w:br/>
              <w:t>(20 + 5) %</w:t>
            </w:r>
          </w:p>
        </w:tc>
      </w:tr>
      <w:tr>
        <w:trPr>
          <w:cantSplit/>
          <w:trHeight w:val="435"/>
        </w:trPr>
        <w:tc>
          <w:tcPr>
            <w:tcW w:w="1271" w:type="dxa"/>
            <w:vMerge/>
            <w:tcBorders>
              <w:top w:val="nil"/>
              <w:bottom w:val="single" w:sz="4" w:space="0" w:color="auto"/>
              <w:right w:val="single" w:sz="4" w:space="0" w:color="auto"/>
            </w:tcBorders>
          </w:tcPr>
          <w:p>
            <w:pPr>
              <w:pStyle w:val="GesAbsatz"/>
              <w:jc w:val="left"/>
              <w:rPr>
                <w:rFonts w:cs="Arial"/>
                <w:color w:val="auto"/>
              </w:rPr>
            </w:pPr>
          </w:p>
        </w:tc>
        <w:tc>
          <w:tcPr>
            <w:tcW w:w="3544" w:type="dxa"/>
            <w:gridSpan w:val="2"/>
            <w:tcBorders>
              <w:top w:val="nil"/>
              <w:left w:val="single" w:sz="4" w:space="0" w:color="auto"/>
              <w:bottom w:val="single" w:sz="4" w:space="0" w:color="auto"/>
              <w:right w:val="single" w:sz="4" w:space="0" w:color="auto"/>
            </w:tcBorders>
          </w:tcPr>
          <w:p>
            <w:pPr>
              <w:pStyle w:val="GesAbsatz"/>
              <w:jc w:val="left"/>
              <w:rPr>
                <w:rFonts w:cs="Arial"/>
              </w:rPr>
            </w:pPr>
            <w:r>
              <w:rPr>
                <w:rFonts w:cs="Arial"/>
              </w:rPr>
              <w:t>• Rotationssiebdruck</w:t>
            </w:r>
          </w:p>
        </w:tc>
        <w:tc>
          <w:tcPr>
            <w:tcW w:w="1276" w:type="dxa"/>
            <w:tcBorders>
              <w:top w:val="nil"/>
              <w:left w:val="single" w:sz="4" w:space="0" w:color="auto"/>
              <w:bottom w:val="single" w:sz="4" w:space="0" w:color="auto"/>
              <w:right w:val="single" w:sz="4" w:space="0" w:color="auto"/>
            </w:tcBorders>
          </w:tcPr>
          <w:p>
            <w:pPr>
              <w:pStyle w:val="GesAbsatz"/>
              <w:jc w:val="center"/>
              <w:rPr>
                <w:rFonts w:cs="Arial"/>
              </w:rPr>
            </w:pPr>
            <w:r>
              <w:rPr>
                <w:rFonts w:cs="Arial"/>
              </w:rPr>
              <w:t>&gt; 15 – 25</w:t>
            </w:r>
            <w:r>
              <w:rPr>
                <w:rFonts w:cs="Arial"/>
              </w:rPr>
              <w:br/>
              <w:t>&gt; 25</w:t>
            </w:r>
          </w:p>
        </w:tc>
        <w:tc>
          <w:tcPr>
            <w:tcW w:w="1814" w:type="dxa"/>
            <w:tcBorders>
              <w:top w:val="nil"/>
              <w:left w:val="single" w:sz="4" w:space="0" w:color="auto"/>
              <w:bottom w:val="single" w:sz="4" w:space="0" w:color="auto"/>
              <w:right w:val="single" w:sz="4" w:space="0" w:color="auto"/>
            </w:tcBorders>
          </w:tcPr>
          <w:p>
            <w:pPr>
              <w:pStyle w:val="GesAbsatz"/>
              <w:jc w:val="center"/>
              <w:rPr>
                <w:rFonts w:cs="Arial"/>
              </w:rPr>
            </w:pPr>
            <w:r>
              <w:rPr>
                <w:rFonts w:cs="Arial"/>
              </w:rPr>
              <w:t>1,5</w:t>
            </w:r>
            <w:r>
              <w:rPr>
                <w:rFonts w:cs="Arial"/>
              </w:rPr>
              <w:br/>
              <w:t>1,5</w:t>
            </w:r>
          </w:p>
        </w:tc>
        <w:tc>
          <w:tcPr>
            <w:tcW w:w="1842" w:type="dxa"/>
            <w:tcBorders>
              <w:top w:val="nil"/>
              <w:left w:val="single" w:sz="4" w:space="0" w:color="auto"/>
              <w:bottom w:val="single" w:sz="4" w:space="0" w:color="auto"/>
            </w:tcBorders>
          </w:tcPr>
          <w:p>
            <w:pPr>
              <w:pStyle w:val="GesAbsatz"/>
              <w:jc w:val="center"/>
              <w:rPr>
                <w:rFonts w:cs="Arial"/>
              </w:rPr>
            </w:pPr>
            <w:r>
              <w:rPr>
                <w:rFonts w:cs="Arial"/>
              </w:rPr>
              <w:t>(25 + 5) %</w:t>
            </w:r>
            <w:r>
              <w:rPr>
                <w:rFonts w:cs="Arial"/>
              </w:rPr>
              <w:br/>
              <w:t>(20 + 5) %</w:t>
            </w:r>
          </w:p>
        </w:tc>
      </w:tr>
      <w:tr>
        <w:trPr>
          <w:trHeight w:val="320"/>
        </w:trPr>
        <w:tc>
          <w:tcPr>
            <w:tcW w:w="1271" w:type="dxa"/>
            <w:tcBorders>
              <w:top w:val="single" w:sz="4" w:space="0" w:color="auto"/>
              <w:bottom w:val="single" w:sz="4" w:space="0" w:color="auto"/>
              <w:right w:val="single" w:sz="4" w:space="0" w:color="auto"/>
            </w:tcBorders>
          </w:tcPr>
          <w:p>
            <w:pPr>
              <w:pStyle w:val="GesAbsatz"/>
              <w:jc w:val="left"/>
              <w:rPr>
                <w:rFonts w:cs="Arial"/>
              </w:rPr>
            </w:pPr>
            <w:r>
              <w:rPr>
                <w:rFonts w:cs="Arial"/>
              </w:rPr>
              <w:t xml:space="preserve">4.1 - 4.4 </w:t>
            </w:r>
          </w:p>
        </w:tc>
        <w:tc>
          <w:tcPr>
            <w:tcW w:w="3544" w:type="dxa"/>
            <w:gridSpan w:val="2"/>
            <w:tcBorders>
              <w:top w:val="single" w:sz="4" w:space="0" w:color="auto"/>
              <w:left w:val="single" w:sz="4" w:space="0" w:color="auto"/>
              <w:bottom w:val="single" w:sz="4" w:space="0" w:color="auto"/>
              <w:right w:val="single" w:sz="4" w:space="0" w:color="auto"/>
            </w:tcBorders>
          </w:tcPr>
          <w:p>
            <w:pPr>
              <w:pStyle w:val="GesAbsatz"/>
              <w:jc w:val="left"/>
              <w:rPr>
                <w:rFonts w:cs="Arial"/>
              </w:rPr>
            </w:pPr>
            <w:r>
              <w:rPr>
                <w:rFonts w:cs="Arial"/>
              </w:rPr>
              <w:t xml:space="preserve">Fahrzeugserienlackierung </w:t>
            </w:r>
          </w:p>
        </w:tc>
        <w:tc>
          <w:tcPr>
            <w:tcW w:w="1276" w:type="dxa"/>
            <w:tcBorders>
              <w:top w:val="single" w:sz="4" w:space="0" w:color="auto"/>
              <w:left w:val="single" w:sz="4" w:space="0" w:color="auto"/>
              <w:bottom w:val="single" w:sz="4" w:space="0" w:color="auto"/>
              <w:right w:val="single" w:sz="4" w:space="0" w:color="auto"/>
            </w:tcBorders>
          </w:tcPr>
          <w:p>
            <w:pPr>
              <w:pStyle w:val="GesAbsatz"/>
              <w:jc w:val="center"/>
              <w:rPr>
                <w:rFonts w:cs="Arial"/>
              </w:rPr>
            </w:pPr>
            <w:r>
              <w:rPr>
                <w:rFonts w:cs="Arial"/>
              </w:rPr>
              <w:t>&lt; 15</w:t>
            </w:r>
          </w:p>
        </w:tc>
        <w:tc>
          <w:tcPr>
            <w:tcW w:w="1814" w:type="dxa"/>
            <w:tcBorders>
              <w:top w:val="single" w:sz="4" w:space="0" w:color="auto"/>
              <w:left w:val="single" w:sz="4" w:space="0" w:color="auto"/>
              <w:bottom w:val="single" w:sz="4" w:space="0" w:color="auto"/>
              <w:right w:val="single" w:sz="4" w:space="0" w:color="auto"/>
            </w:tcBorders>
          </w:tcPr>
          <w:p>
            <w:pPr>
              <w:pStyle w:val="GesAbsatz"/>
              <w:jc w:val="center"/>
              <w:rPr>
                <w:rFonts w:cs="Arial"/>
              </w:rPr>
            </w:pPr>
            <w:r>
              <w:rPr>
                <w:rFonts w:cs="Arial"/>
              </w:rPr>
              <w:t>2,5</w:t>
            </w:r>
          </w:p>
        </w:tc>
        <w:tc>
          <w:tcPr>
            <w:tcW w:w="1842" w:type="dxa"/>
            <w:tcBorders>
              <w:top w:val="single" w:sz="4" w:space="0" w:color="auto"/>
              <w:left w:val="single" w:sz="4" w:space="0" w:color="auto"/>
              <w:bottom w:val="single" w:sz="4" w:space="0" w:color="auto"/>
            </w:tcBorders>
          </w:tcPr>
          <w:p>
            <w:pPr>
              <w:pStyle w:val="GesAbsatz"/>
              <w:jc w:val="center"/>
              <w:rPr>
                <w:rFonts w:cs="Arial"/>
              </w:rPr>
            </w:pPr>
            <w:r>
              <w:rPr>
                <w:rFonts w:cs="Arial"/>
              </w:rPr>
              <w:t>(25 + 15) %</w:t>
            </w:r>
          </w:p>
        </w:tc>
      </w:tr>
      <w:tr>
        <w:trPr>
          <w:trHeight w:val="550"/>
        </w:trPr>
        <w:tc>
          <w:tcPr>
            <w:tcW w:w="1271" w:type="dxa"/>
            <w:tcBorders>
              <w:top w:val="single" w:sz="4" w:space="0" w:color="auto"/>
              <w:bottom w:val="single" w:sz="4" w:space="0" w:color="auto"/>
              <w:right w:val="single" w:sz="4" w:space="0" w:color="auto"/>
            </w:tcBorders>
          </w:tcPr>
          <w:p>
            <w:pPr>
              <w:pStyle w:val="GesAbsatz"/>
              <w:jc w:val="left"/>
              <w:rPr>
                <w:rFonts w:cs="Arial"/>
              </w:rPr>
            </w:pPr>
            <w:r>
              <w:rPr>
                <w:rFonts w:cs="Arial"/>
              </w:rPr>
              <w:t xml:space="preserve">4.5 </w:t>
            </w:r>
          </w:p>
        </w:tc>
        <w:tc>
          <w:tcPr>
            <w:tcW w:w="3544" w:type="dxa"/>
            <w:gridSpan w:val="2"/>
            <w:tcBorders>
              <w:top w:val="single" w:sz="4" w:space="0" w:color="auto"/>
              <w:left w:val="single" w:sz="4" w:space="0" w:color="auto"/>
              <w:bottom w:val="single" w:sz="4" w:space="0" w:color="auto"/>
              <w:right w:val="single" w:sz="4" w:space="0" w:color="auto"/>
            </w:tcBorders>
          </w:tcPr>
          <w:p>
            <w:pPr>
              <w:pStyle w:val="GesAbsatz"/>
              <w:jc w:val="left"/>
              <w:rPr>
                <w:rFonts w:cs="Arial"/>
              </w:rPr>
            </w:pPr>
            <w:r>
              <w:rPr>
                <w:rFonts w:cs="Arial"/>
              </w:rPr>
              <w:t>Beschichtung von</w:t>
            </w:r>
            <w:r>
              <w:rPr>
                <w:rFonts w:cs="Arial"/>
              </w:rPr>
              <w:br/>
              <w:t xml:space="preserve">Schienenfahrzeugen </w:t>
            </w:r>
          </w:p>
        </w:tc>
        <w:tc>
          <w:tcPr>
            <w:tcW w:w="1276" w:type="dxa"/>
            <w:tcBorders>
              <w:top w:val="single" w:sz="4" w:space="0" w:color="auto"/>
              <w:left w:val="single" w:sz="4" w:space="0" w:color="auto"/>
              <w:bottom w:val="single" w:sz="4" w:space="0" w:color="auto"/>
              <w:right w:val="single" w:sz="4" w:space="0" w:color="auto"/>
            </w:tcBorders>
          </w:tcPr>
          <w:p>
            <w:pPr>
              <w:pStyle w:val="GesAbsatz"/>
              <w:jc w:val="center"/>
              <w:rPr>
                <w:rFonts w:cs="Arial"/>
              </w:rPr>
            </w:pPr>
            <w:r>
              <w:rPr>
                <w:rFonts w:cs="Arial"/>
              </w:rPr>
              <w:t>&gt; 5 – 15</w:t>
            </w:r>
            <w:r>
              <w:rPr>
                <w:rFonts w:cs="Arial"/>
              </w:rPr>
              <w:br/>
              <w:t>&gt; 15</w:t>
            </w:r>
          </w:p>
        </w:tc>
        <w:tc>
          <w:tcPr>
            <w:tcW w:w="1814" w:type="dxa"/>
            <w:tcBorders>
              <w:top w:val="single" w:sz="4" w:space="0" w:color="auto"/>
              <w:left w:val="single" w:sz="4" w:space="0" w:color="auto"/>
              <w:bottom w:val="single" w:sz="4" w:space="0" w:color="auto"/>
              <w:right w:val="single" w:sz="4" w:space="0" w:color="auto"/>
            </w:tcBorders>
          </w:tcPr>
          <w:p>
            <w:pPr>
              <w:pStyle w:val="GesAbsatz"/>
              <w:jc w:val="center"/>
              <w:rPr>
                <w:rFonts w:cs="Arial"/>
              </w:rPr>
            </w:pPr>
            <w:r>
              <w:rPr>
                <w:rFonts w:cs="Arial"/>
              </w:rPr>
              <w:t>1,5</w:t>
            </w:r>
          </w:p>
        </w:tc>
        <w:tc>
          <w:tcPr>
            <w:tcW w:w="1842" w:type="dxa"/>
            <w:tcBorders>
              <w:top w:val="single" w:sz="4" w:space="0" w:color="auto"/>
              <w:left w:val="single" w:sz="4" w:space="0" w:color="auto"/>
              <w:bottom w:val="single" w:sz="4" w:space="0" w:color="auto"/>
            </w:tcBorders>
          </w:tcPr>
          <w:p>
            <w:pPr>
              <w:pStyle w:val="GesAbsatz"/>
              <w:jc w:val="center"/>
              <w:rPr>
                <w:rFonts w:cs="Arial"/>
              </w:rPr>
            </w:pPr>
            <w:r>
              <w:rPr>
                <w:rFonts w:cs="Arial"/>
              </w:rPr>
              <w:t>(25 + 15) %</w:t>
            </w:r>
            <w:r>
              <w:rPr>
                <w:rFonts w:cs="Arial"/>
              </w:rPr>
              <w:br/>
              <w:t>(20 + 5) %</w:t>
            </w:r>
          </w:p>
        </w:tc>
      </w:tr>
      <w:tr>
        <w:trPr>
          <w:trHeight w:val="320"/>
        </w:trPr>
        <w:tc>
          <w:tcPr>
            <w:tcW w:w="1271" w:type="dxa"/>
            <w:tcBorders>
              <w:top w:val="single" w:sz="4" w:space="0" w:color="auto"/>
              <w:bottom w:val="single" w:sz="4" w:space="0" w:color="auto"/>
              <w:right w:val="single" w:sz="4" w:space="0" w:color="auto"/>
            </w:tcBorders>
          </w:tcPr>
          <w:p>
            <w:pPr>
              <w:pStyle w:val="GesAbsatz"/>
              <w:jc w:val="left"/>
              <w:rPr>
                <w:rFonts w:cs="Arial"/>
              </w:rPr>
            </w:pPr>
            <w:r>
              <w:rPr>
                <w:rFonts w:cs="Arial"/>
              </w:rPr>
              <w:t xml:space="preserve">5.1 </w:t>
            </w:r>
          </w:p>
        </w:tc>
        <w:tc>
          <w:tcPr>
            <w:tcW w:w="3544" w:type="dxa"/>
            <w:gridSpan w:val="2"/>
            <w:tcBorders>
              <w:top w:val="single" w:sz="4" w:space="0" w:color="auto"/>
              <w:left w:val="single" w:sz="4" w:space="0" w:color="auto"/>
              <w:bottom w:val="single" w:sz="4" w:space="0" w:color="auto"/>
              <w:right w:val="single" w:sz="4" w:space="0" w:color="auto"/>
            </w:tcBorders>
          </w:tcPr>
          <w:p>
            <w:pPr>
              <w:pStyle w:val="GesAbsatz"/>
              <w:jc w:val="left"/>
              <w:rPr>
                <w:rFonts w:cs="Arial"/>
              </w:rPr>
            </w:pPr>
            <w:r>
              <w:rPr>
                <w:rFonts w:cs="Arial"/>
              </w:rPr>
              <w:t xml:space="preserve">Fahrzeugreparaturlackierung </w:t>
            </w:r>
          </w:p>
        </w:tc>
        <w:tc>
          <w:tcPr>
            <w:tcW w:w="1276" w:type="dxa"/>
            <w:tcBorders>
              <w:top w:val="single" w:sz="4" w:space="0" w:color="auto"/>
              <w:left w:val="single" w:sz="4" w:space="0" w:color="auto"/>
              <w:bottom w:val="single" w:sz="4" w:space="0" w:color="auto"/>
              <w:right w:val="single" w:sz="4" w:space="0" w:color="auto"/>
            </w:tcBorders>
          </w:tcPr>
          <w:p>
            <w:pPr>
              <w:pStyle w:val="GesAbsatz"/>
              <w:jc w:val="center"/>
              <w:rPr>
                <w:rFonts w:cs="Arial"/>
              </w:rPr>
            </w:pPr>
          </w:p>
        </w:tc>
        <w:tc>
          <w:tcPr>
            <w:tcW w:w="1814" w:type="dxa"/>
            <w:tcBorders>
              <w:top w:val="single" w:sz="4" w:space="0" w:color="auto"/>
              <w:left w:val="single" w:sz="4" w:space="0" w:color="auto"/>
              <w:bottom w:val="single" w:sz="4" w:space="0" w:color="auto"/>
              <w:right w:val="single" w:sz="4" w:space="0" w:color="auto"/>
            </w:tcBorders>
          </w:tcPr>
          <w:p>
            <w:pPr>
              <w:pStyle w:val="GesAbsatz"/>
              <w:jc w:val="center"/>
              <w:rPr>
                <w:rFonts w:cs="Arial"/>
              </w:rPr>
            </w:pPr>
            <w:r>
              <w:rPr>
                <w:rFonts w:cs="Arial"/>
              </w:rPr>
              <w:t>2,5</w:t>
            </w:r>
          </w:p>
        </w:tc>
        <w:tc>
          <w:tcPr>
            <w:tcW w:w="1842" w:type="dxa"/>
            <w:tcBorders>
              <w:top w:val="single" w:sz="4" w:space="0" w:color="auto"/>
              <w:left w:val="single" w:sz="4" w:space="0" w:color="auto"/>
              <w:bottom w:val="single" w:sz="4" w:space="0" w:color="auto"/>
            </w:tcBorders>
          </w:tcPr>
          <w:p>
            <w:pPr>
              <w:pStyle w:val="GesAbsatz"/>
              <w:jc w:val="center"/>
              <w:rPr>
                <w:rFonts w:cs="Arial"/>
              </w:rPr>
            </w:pPr>
            <w:r>
              <w:rPr>
                <w:rFonts w:cs="Arial"/>
              </w:rPr>
              <w:t>(25 + 15) %</w:t>
            </w:r>
          </w:p>
        </w:tc>
      </w:tr>
      <w:tr>
        <w:trPr>
          <w:trHeight w:val="320"/>
        </w:trPr>
        <w:tc>
          <w:tcPr>
            <w:tcW w:w="1271" w:type="dxa"/>
            <w:tcBorders>
              <w:top w:val="single" w:sz="4" w:space="0" w:color="auto"/>
              <w:bottom w:val="single" w:sz="4" w:space="0" w:color="auto"/>
              <w:right w:val="single" w:sz="4" w:space="0" w:color="auto"/>
            </w:tcBorders>
          </w:tcPr>
          <w:p>
            <w:pPr>
              <w:pStyle w:val="GesAbsatz"/>
              <w:jc w:val="left"/>
              <w:rPr>
                <w:rFonts w:cs="Arial"/>
              </w:rPr>
            </w:pPr>
            <w:r>
              <w:rPr>
                <w:rFonts w:cs="Arial"/>
              </w:rPr>
              <w:t xml:space="preserve">6.1 </w:t>
            </w:r>
          </w:p>
        </w:tc>
        <w:tc>
          <w:tcPr>
            <w:tcW w:w="3544" w:type="dxa"/>
            <w:gridSpan w:val="2"/>
            <w:tcBorders>
              <w:top w:val="single" w:sz="4" w:space="0" w:color="auto"/>
              <w:left w:val="single" w:sz="4" w:space="0" w:color="auto"/>
              <w:bottom w:val="single" w:sz="4" w:space="0" w:color="auto"/>
              <w:right w:val="single" w:sz="4" w:space="0" w:color="auto"/>
            </w:tcBorders>
          </w:tcPr>
          <w:p>
            <w:pPr>
              <w:pStyle w:val="GesAbsatz"/>
              <w:jc w:val="left"/>
              <w:rPr>
                <w:rFonts w:cs="Arial"/>
              </w:rPr>
            </w:pPr>
            <w:r>
              <w:rPr>
                <w:rFonts w:cs="Arial"/>
              </w:rPr>
              <w:t>Beschichten von Bandblech</w:t>
            </w:r>
          </w:p>
        </w:tc>
        <w:tc>
          <w:tcPr>
            <w:tcW w:w="1276" w:type="dxa"/>
            <w:tcBorders>
              <w:top w:val="single" w:sz="4" w:space="0" w:color="auto"/>
              <w:left w:val="single" w:sz="4" w:space="0" w:color="auto"/>
              <w:bottom w:val="single" w:sz="4" w:space="0" w:color="auto"/>
              <w:right w:val="single" w:sz="4" w:space="0" w:color="auto"/>
            </w:tcBorders>
          </w:tcPr>
          <w:p>
            <w:pPr>
              <w:pStyle w:val="GesAbsatz"/>
              <w:jc w:val="center"/>
              <w:rPr>
                <w:rFonts w:cs="Arial"/>
              </w:rPr>
            </w:pPr>
            <w:r>
              <w:rPr>
                <w:rFonts w:cs="Arial"/>
              </w:rPr>
              <w:t>&gt; 10</w:t>
            </w:r>
          </w:p>
        </w:tc>
        <w:tc>
          <w:tcPr>
            <w:tcW w:w="1814" w:type="dxa"/>
            <w:tcBorders>
              <w:top w:val="single" w:sz="4" w:space="0" w:color="auto"/>
              <w:left w:val="single" w:sz="4" w:space="0" w:color="auto"/>
              <w:bottom w:val="single" w:sz="4" w:space="0" w:color="auto"/>
              <w:right w:val="single" w:sz="4" w:space="0" w:color="auto"/>
            </w:tcBorders>
          </w:tcPr>
          <w:p>
            <w:pPr>
              <w:pStyle w:val="GesAbsatz"/>
              <w:jc w:val="center"/>
              <w:rPr>
                <w:rFonts w:cs="Arial"/>
              </w:rPr>
            </w:pPr>
            <w:r>
              <w:rPr>
                <w:rFonts w:cs="Arial"/>
              </w:rPr>
              <w:t>2,5</w:t>
            </w:r>
          </w:p>
        </w:tc>
        <w:tc>
          <w:tcPr>
            <w:tcW w:w="1842" w:type="dxa"/>
            <w:tcBorders>
              <w:top w:val="single" w:sz="4" w:space="0" w:color="auto"/>
              <w:left w:val="single" w:sz="4" w:space="0" w:color="auto"/>
              <w:bottom w:val="single" w:sz="4" w:space="0" w:color="auto"/>
            </w:tcBorders>
          </w:tcPr>
          <w:p>
            <w:pPr>
              <w:pStyle w:val="GesAbsatz"/>
              <w:jc w:val="center"/>
              <w:rPr>
                <w:rFonts w:cs="Arial"/>
              </w:rPr>
            </w:pPr>
            <w:r>
              <w:rPr>
                <w:rFonts w:cs="Arial"/>
              </w:rPr>
              <w:t>(3 + 5) %</w:t>
            </w:r>
          </w:p>
        </w:tc>
      </w:tr>
      <w:tr>
        <w:trPr>
          <w:cantSplit/>
          <w:trHeight w:val="514"/>
        </w:trPr>
        <w:tc>
          <w:tcPr>
            <w:tcW w:w="1271" w:type="dxa"/>
            <w:vMerge w:val="restart"/>
            <w:tcBorders>
              <w:top w:val="single" w:sz="4" w:space="0" w:color="auto"/>
              <w:bottom w:val="nil"/>
              <w:right w:val="single" w:sz="4" w:space="0" w:color="auto"/>
            </w:tcBorders>
          </w:tcPr>
          <w:p>
            <w:pPr>
              <w:pStyle w:val="GesAbsatz"/>
              <w:jc w:val="left"/>
              <w:rPr>
                <w:rFonts w:cs="Arial"/>
              </w:rPr>
            </w:pPr>
            <w:r>
              <w:rPr>
                <w:rFonts w:cs="Arial"/>
              </w:rPr>
              <w:t xml:space="preserve">8.1 </w:t>
            </w:r>
          </w:p>
        </w:tc>
        <w:tc>
          <w:tcPr>
            <w:tcW w:w="3544" w:type="dxa"/>
            <w:gridSpan w:val="2"/>
            <w:tcBorders>
              <w:top w:val="single" w:sz="4" w:space="0" w:color="auto"/>
              <w:left w:val="single" w:sz="4" w:space="0" w:color="auto"/>
              <w:right w:val="single" w:sz="4" w:space="0" w:color="auto"/>
            </w:tcBorders>
          </w:tcPr>
          <w:p>
            <w:pPr>
              <w:pStyle w:val="GesAbsatz"/>
              <w:jc w:val="left"/>
              <w:rPr>
                <w:rFonts w:cs="Arial"/>
              </w:rPr>
            </w:pPr>
            <w:r>
              <w:rPr>
                <w:rFonts w:cs="Arial"/>
              </w:rPr>
              <w:t>Sonstige Metall- oder</w:t>
            </w:r>
            <w:r>
              <w:rPr>
                <w:rFonts w:cs="Arial"/>
              </w:rPr>
              <w:br/>
              <w:t xml:space="preserve">Kunststoffbeschichtung </w:t>
            </w:r>
          </w:p>
        </w:tc>
        <w:tc>
          <w:tcPr>
            <w:tcW w:w="1276" w:type="dxa"/>
            <w:tcBorders>
              <w:top w:val="single" w:sz="4" w:space="0" w:color="auto"/>
              <w:left w:val="single" w:sz="4" w:space="0" w:color="auto"/>
              <w:bottom w:val="nil"/>
              <w:right w:val="single" w:sz="4" w:space="0" w:color="auto"/>
            </w:tcBorders>
          </w:tcPr>
          <w:p>
            <w:pPr>
              <w:pStyle w:val="GesAbsatz"/>
              <w:jc w:val="center"/>
              <w:rPr>
                <w:rFonts w:cs="Arial"/>
                <w:color w:val="auto"/>
              </w:rPr>
            </w:pPr>
          </w:p>
        </w:tc>
        <w:tc>
          <w:tcPr>
            <w:tcW w:w="1814" w:type="dxa"/>
            <w:tcBorders>
              <w:top w:val="single" w:sz="4" w:space="0" w:color="auto"/>
              <w:left w:val="single" w:sz="4" w:space="0" w:color="auto"/>
              <w:right w:val="single" w:sz="4" w:space="0" w:color="auto"/>
            </w:tcBorders>
          </w:tcPr>
          <w:p>
            <w:pPr>
              <w:pStyle w:val="GesAbsatz"/>
              <w:jc w:val="center"/>
              <w:rPr>
                <w:rFonts w:cs="Arial"/>
                <w:color w:val="auto"/>
              </w:rPr>
            </w:pPr>
          </w:p>
        </w:tc>
        <w:tc>
          <w:tcPr>
            <w:tcW w:w="1842" w:type="dxa"/>
            <w:tcBorders>
              <w:top w:val="single" w:sz="4" w:space="0" w:color="auto"/>
              <w:left w:val="single" w:sz="4" w:space="0" w:color="auto"/>
              <w:bottom w:val="nil"/>
            </w:tcBorders>
          </w:tcPr>
          <w:p>
            <w:pPr>
              <w:pStyle w:val="GesAbsatz"/>
              <w:jc w:val="center"/>
              <w:rPr>
                <w:rFonts w:cs="Arial"/>
                <w:color w:val="auto"/>
              </w:rPr>
            </w:pPr>
          </w:p>
        </w:tc>
      </w:tr>
      <w:tr>
        <w:trPr>
          <w:cantSplit/>
          <w:trHeight w:val="496"/>
        </w:trPr>
        <w:tc>
          <w:tcPr>
            <w:tcW w:w="1271" w:type="dxa"/>
            <w:vMerge/>
            <w:tcBorders>
              <w:top w:val="nil"/>
              <w:bottom w:val="nil"/>
              <w:right w:val="single" w:sz="4" w:space="0" w:color="auto"/>
            </w:tcBorders>
          </w:tcPr>
          <w:p>
            <w:pPr>
              <w:pStyle w:val="GesAbsatz"/>
              <w:jc w:val="left"/>
              <w:rPr>
                <w:rFonts w:cs="Arial"/>
                <w:color w:val="auto"/>
              </w:rPr>
            </w:pPr>
          </w:p>
        </w:tc>
        <w:tc>
          <w:tcPr>
            <w:tcW w:w="284" w:type="dxa"/>
            <w:tcBorders>
              <w:left w:val="single" w:sz="4" w:space="0" w:color="auto"/>
            </w:tcBorders>
          </w:tcPr>
          <w:p>
            <w:pPr>
              <w:pStyle w:val="GesAbsatz"/>
              <w:jc w:val="left"/>
              <w:rPr>
                <w:rFonts w:cs="Arial"/>
              </w:rPr>
            </w:pPr>
            <w:r>
              <w:rPr>
                <w:rFonts w:cs="Arial"/>
              </w:rPr>
              <w:t>•</w:t>
            </w:r>
          </w:p>
        </w:tc>
        <w:tc>
          <w:tcPr>
            <w:tcW w:w="3260" w:type="dxa"/>
            <w:tcBorders>
              <w:right w:val="single" w:sz="4" w:space="0" w:color="auto"/>
            </w:tcBorders>
          </w:tcPr>
          <w:p>
            <w:pPr>
              <w:pStyle w:val="GesAbsatz"/>
              <w:jc w:val="left"/>
              <w:rPr>
                <w:rFonts w:cs="Arial"/>
              </w:rPr>
            </w:pPr>
            <w:r>
              <w:rPr>
                <w:rFonts w:cs="Arial"/>
              </w:rPr>
              <w:t>sonstige Beschichtung</w:t>
            </w:r>
          </w:p>
        </w:tc>
        <w:tc>
          <w:tcPr>
            <w:tcW w:w="1276" w:type="dxa"/>
            <w:tcBorders>
              <w:top w:val="nil"/>
              <w:left w:val="single" w:sz="4" w:space="0" w:color="auto"/>
              <w:bottom w:val="nil"/>
              <w:right w:val="single" w:sz="4" w:space="0" w:color="auto"/>
            </w:tcBorders>
          </w:tcPr>
          <w:p>
            <w:pPr>
              <w:pStyle w:val="GesAbsatz"/>
              <w:jc w:val="center"/>
              <w:rPr>
                <w:rFonts w:cs="Arial"/>
              </w:rPr>
            </w:pPr>
            <w:r>
              <w:rPr>
                <w:rFonts w:cs="Arial"/>
              </w:rPr>
              <w:t>&gt; 5 - 15</w:t>
            </w:r>
            <w:r>
              <w:rPr>
                <w:rFonts w:cs="Arial"/>
              </w:rPr>
              <w:br/>
              <w:t>&gt; 15</w:t>
            </w:r>
          </w:p>
        </w:tc>
        <w:tc>
          <w:tcPr>
            <w:tcW w:w="1814" w:type="dxa"/>
            <w:tcBorders>
              <w:left w:val="single" w:sz="4" w:space="0" w:color="auto"/>
              <w:right w:val="single" w:sz="4" w:space="0" w:color="auto"/>
            </w:tcBorders>
          </w:tcPr>
          <w:p>
            <w:pPr>
              <w:pStyle w:val="GesAbsatz"/>
              <w:jc w:val="center"/>
              <w:rPr>
                <w:rFonts w:cs="Arial"/>
              </w:rPr>
            </w:pPr>
            <w:r>
              <w:rPr>
                <w:rFonts w:cs="Arial"/>
              </w:rPr>
              <w:t>1,5</w:t>
            </w:r>
          </w:p>
        </w:tc>
        <w:tc>
          <w:tcPr>
            <w:tcW w:w="1842" w:type="dxa"/>
            <w:tcBorders>
              <w:top w:val="nil"/>
              <w:left w:val="single" w:sz="4" w:space="0" w:color="auto"/>
              <w:bottom w:val="nil"/>
            </w:tcBorders>
          </w:tcPr>
          <w:p>
            <w:pPr>
              <w:pStyle w:val="GesAbsatz"/>
              <w:jc w:val="center"/>
              <w:rPr>
                <w:rFonts w:cs="Arial"/>
              </w:rPr>
            </w:pPr>
            <w:r>
              <w:rPr>
                <w:rFonts w:cs="Arial"/>
              </w:rPr>
              <w:t>(25 + 5) %</w:t>
            </w:r>
            <w:r>
              <w:rPr>
                <w:rFonts w:cs="Arial"/>
              </w:rPr>
              <w:br/>
              <w:t>(20 + 5) %</w:t>
            </w:r>
          </w:p>
        </w:tc>
      </w:tr>
      <w:tr>
        <w:trPr>
          <w:cantSplit/>
          <w:trHeight w:val="490"/>
        </w:trPr>
        <w:tc>
          <w:tcPr>
            <w:tcW w:w="1271" w:type="dxa"/>
            <w:vMerge/>
            <w:tcBorders>
              <w:top w:val="nil"/>
              <w:bottom w:val="single" w:sz="4" w:space="0" w:color="auto"/>
              <w:right w:val="single" w:sz="4" w:space="0" w:color="auto"/>
            </w:tcBorders>
          </w:tcPr>
          <w:p>
            <w:pPr>
              <w:pStyle w:val="GesAbsatz"/>
              <w:jc w:val="left"/>
              <w:rPr>
                <w:rFonts w:cs="Arial"/>
                <w:color w:val="auto"/>
              </w:rPr>
            </w:pPr>
          </w:p>
        </w:tc>
        <w:tc>
          <w:tcPr>
            <w:tcW w:w="284" w:type="dxa"/>
            <w:tcBorders>
              <w:left w:val="single" w:sz="4" w:space="0" w:color="auto"/>
              <w:bottom w:val="single" w:sz="4" w:space="0" w:color="auto"/>
            </w:tcBorders>
          </w:tcPr>
          <w:p>
            <w:pPr>
              <w:pStyle w:val="GesAbsatz"/>
              <w:jc w:val="left"/>
              <w:rPr>
                <w:rFonts w:cs="Arial"/>
              </w:rPr>
            </w:pPr>
            <w:r>
              <w:rPr>
                <w:rFonts w:cs="Arial"/>
              </w:rPr>
              <w:t>•</w:t>
            </w:r>
          </w:p>
        </w:tc>
        <w:tc>
          <w:tcPr>
            <w:tcW w:w="3260" w:type="dxa"/>
            <w:tcBorders>
              <w:bottom w:val="single" w:sz="4" w:space="0" w:color="auto"/>
              <w:right w:val="single" w:sz="4" w:space="0" w:color="auto"/>
            </w:tcBorders>
          </w:tcPr>
          <w:p>
            <w:pPr>
              <w:pStyle w:val="GesAbsatz"/>
              <w:jc w:val="left"/>
              <w:rPr>
                <w:rFonts w:cs="Arial"/>
              </w:rPr>
            </w:pPr>
            <w:r>
              <w:rPr>
                <w:rFonts w:cs="Arial"/>
              </w:rPr>
              <w:t>Beschichtung bahnenförmiger Materialien</w:t>
            </w:r>
          </w:p>
        </w:tc>
        <w:tc>
          <w:tcPr>
            <w:tcW w:w="1276" w:type="dxa"/>
            <w:tcBorders>
              <w:top w:val="nil"/>
              <w:left w:val="single" w:sz="4" w:space="0" w:color="auto"/>
              <w:bottom w:val="single" w:sz="4" w:space="0" w:color="auto"/>
              <w:right w:val="single" w:sz="4" w:space="0" w:color="auto"/>
            </w:tcBorders>
          </w:tcPr>
          <w:p>
            <w:pPr>
              <w:pStyle w:val="GesAbsatz"/>
              <w:jc w:val="center"/>
              <w:rPr>
                <w:rFonts w:cs="Arial"/>
              </w:rPr>
            </w:pPr>
            <w:r>
              <w:rPr>
                <w:rFonts w:cs="Arial"/>
              </w:rPr>
              <w:t>&gt; 5 - 15</w:t>
            </w:r>
            <w:r>
              <w:rPr>
                <w:rFonts w:cs="Arial"/>
              </w:rPr>
              <w:br/>
              <w:t>&gt; 15</w:t>
            </w:r>
          </w:p>
        </w:tc>
        <w:tc>
          <w:tcPr>
            <w:tcW w:w="1814" w:type="dxa"/>
            <w:tcBorders>
              <w:left w:val="single" w:sz="4" w:space="0" w:color="auto"/>
              <w:bottom w:val="single" w:sz="4" w:space="0" w:color="auto"/>
              <w:right w:val="single" w:sz="4" w:space="0" w:color="auto"/>
            </w:tcBorders>
          </w:tcPr>
          <w:p>
            <w:pPr>
              <w:pStyle w:val="GesAbsatz"/>
              <w:jc w:val="center"/>
              <w:rPr>
                <w:rFonts w:cs="Arial"/>
                <w:color w:val="auto"/>
              </w:rPr>
            </w:pPr>
          </w:p>
        </w:tc>
        <w:tc>
          <w:tcPr>
            <w:tcW w:w="1842" w:type="dxa"/>
            <w:tcBorders>
              <w:top w:val="nil"/>
              <w:left w:val="single" w:sz="4" w:space="0" w:color="auto"/>
              <w:bottom w:val="single" w:sz="4" w:space="0" w:color="auto"/>
            </w:tcBorders>
          </w:tcPr>
          <w:p>
            <w:pPr>
              <w:pStyle w:val="GesAbsatz"/>
              <w:jc w:val="center"/>
              <w:rPr>
                <w:rFonts w:cs="Arial"/>
              </w:rPr>
            </w:pPr>
            <w:r>
              <w:rPr>
                <w:rFonts w:cs="Arial"/>
              </w:rPr>
              <w:t>(15 + 15) %</w:t>
            </w:r>
            <w:r>
              <w:rPr>
                <w:rFonts w:cs="Arial"/>
              </w:rPr>
              <w:br/>
              <w:t>(10 + 5) %</w:t>
            </w:r>
          </w:p>
        </w:tc>
      </w:tr>
      <w:tr>
        <w:trPr>
          <w:trHeight w:val="190"/>
        </w:trPr>
        <w:tc>
          <w:tcPr>
            <w:tcW w:w="1271" w:type="dxa"/>
            <w:tcBorders>
              <w:top w:val="single" w:sz="4" w:space="0" w:color="auto"/>
              <w:bottom w:val="nil"/>
              <w:right w:val="single" w:sz="4" w:space="0" w:color="auto"/>
            </w:tcBorders>
          </w:tcPr>
          <w:p>
            <w:pPr>
              <w:pStyle w:val="GesAbsatz"/>
              <w:jc w:val="left"/>
              <w:rPr>
                <w:rFonts w:cs="Arial"/>
              </w:rPr>
            </w:pPr>
            <w:r>
              <w:rPr>
                <w:rFonts w:cs="Arial"/>
              </w:rPr>
              <w:t>9.1</w:t>
            </w:r>
          </w:p>
        </w:tc>
        <w:tc>
          <w:tcPr>
            <w:tcW w:w="3544" w:type="dxa"/>
            <w:gridSpan w:val="2"/>
            <w:vMerge w:val="restart"/>
            <w:tcBorders>
              <w:top w:val="single" w:sz="4" w:space="0" w:color="auto"/>
              <w:left w:val="single" w:sz="4" w:space="0" w:color="auto"/>
              <w:bottom w:val="single" w:sz="4" w:space="0" w:color="auto"/>
              <w:right w:val="single" w:sz="4" w:space="0" w:color="auto"/>
            </w:tcBorders>
          </w:tcPr>
          <w:p>
            <w:pPr>
              <w:pStyle w:val="GesAbsatz"/>
              <w:jc w:val="left"/>
              <w:rPr>
                <w:rFonts w:cs="Arial"/>
              </w:rPr>
            </w:pPr>
            <w:r>
              <w:rPr>
                <w:rFonts w:cs="Arial"/>
              </w:rPr>
              <w:t>Beschichten von Holz oder Holzwerkstoffen</w:t>
            </w:r>
          </w:p>
        </w:tc>
        <w:tc>
          <w:tcPr>
            <w:tcW w:w="1276" w:type="dxa"/>
            <w:tcBorders>
              <w:top w:val="single" w:sz="4" w:space="0" w:color="auto"/>
              <w:left w:val="single" w:sz="4" w:space="0" w:color="auto"/>
              <w:bottom w:val="nil"/>
              <w:right w:val="single" w:sz="4" w:space="0" w:color="auto"/>
            </w:tcBorders>
          </w:tcPr>
          <w:p>
            <w:pPr>
              <w:pStyle w:val="GesAbsatz"/>
              <w:jc w:val="center"/>
              <w:rPr>
                <w:rFonts w:cs="Arial"/>
              </w:rPr>
            </w:pPr>
            <w:r>
              <w:rPr>
                <w:rFonts w:cs="Arial"/>
              </w:rPr>
              <w:t>&gt; 5 - 15</w:t>
            </w:r>
          </w:p>
        </w:tc>
        <w:tc>
          <w:tcPr>
            <w:tcW w:w="1814" w:type="dxa"/>
            <w:tcBorders>
              <w:top w:val="single" w:sz="4" w:space="0" w:color="auto"/>
              <w:left w:val="single" w:sz="4" w:space="0" w:color="auto"/>
              <w:bottom w:val="nil"/>
              <w:right w:val="single" w:sz="4" w:space="0" w:color="auto"/>
            </w:tcBorders>
          </w:tcPr>
          <w:p>
            <w:pPr>
              <w:pStyle w:val="GesAbsatz"/>
              <w:jc w:val="center"/>
              <w:rPr>
                <w:rFonts w:cs="Arial"/>
                <w:szCs w:val="13"/>
              </w:rPr>
            </w:pPr>
            <w:r>
              <w:rPr>
                <w:rFonts w:cs="Arial"/>
              </w:rPr>
              <w:t>4</w:t>
            </w:r>
          </w:p>
        </w:tc>
        <w:tc>
          <w:tcPr>
            <w:tcW w:w="1842" w:type="dxa"/>
            <w:tcBorders>
              <w:top w:val="single" w:sz="4" w:space="0" w:color="auto"/>
              <w:left w:val="single" w:sz="4" w:space="0" w:color="auto"/>
              <w:bottom w:val="nil"/>
            </w:tcBorders>
          </w:tcPr>
          <w:p>
            <w:pPr>
              <w:pStyle w:val="GesAbsatz"/>
              <w:jc w:val="center"/>
              <w:rPr>
                <w:rFonts w:cs="Arial"/>
              </w:rPr>
            </w:pPr>
            <w:r>
              <w:rPr>
                <w:rFonts w:cs="Arial"/>
              </w:rPr>
              <w:t>(25 + 15) %</w:t>
            </w:r>
          </w:p>
        </w:tc>
      </w:tr>
      <w:tr>
        <w:trPr>
          <w:trHeight w:val="190"/>
        </w:trPr>
        <w:tc>
          <w:tcPr>
            <w:tcW w:w="1271" w:type="dxa"/>
            <w:tcBorders>
              <w:top w:val="nil"/>
              <w:bottom w:val="single" w:sz="4" w:space="0" w:color="auto"/>
              <w:right w:val="single" w:sz="4" w:space="0" w:color="auto"/>
            </w:tcBorders>
          </w:tcPr>
          <w:p>
            <w:pPr>
              <w:pStyle w:val="GesAbsatz"/>
              <w:jc w:val="left"/>
              <w:rPr>
                <w:rFonts w:cs="Arial"/>
              </w:rPr>
            </w:pPr>
            <w:r>
              <w:rPr>
                <w:rFonts w:cs="Arial"/>
              </w:rPr>
              <w:t>9.2</w:t>
            </w:r>
          </w:p>
        </w:tc>
        <w:tc>
          <w:tcPr>
            <w:tcW w:w="3544" w:type="dxa"/>
            <w:gridSpan w:val="2"/>
            <w:vMerge/>
            <w:tcBorders>
              <w:top w:val="single" w:sz="4" w:space="0" w:color="auto"/>
              <w:left w:val="single" w:sz="4" w:space="0" w:color="auto"/>
              <w:bottom w:val="single" w:sz="4" w:space="0" w:color="auto"/>
              <w:right w:val="single" w:sz="4" w:space="0" w:color="auto"/>
            </w:tcBorders>
          </w:tcPr>
          <w:p>
            <w:pPr>
              <w:pStyle w:val="GesAbsatz"/>
              <w:jc w:val="left"/>
              <w:rPr>
                <w:rFonts w:cs="Arial"/>
              </w:rPr>
            </w:pPr>
          </w:p>
        </w:tc>
        <w:tc>
          <w:tcPr>
            <w:tcW w:w="1276" w:type="dxa"/>
            <w:tcBorders>
              <w:top w:val="nil"/>
              <w:left w:val="single" w:sz="4" w:space="0" w:color="auto"/>
              <w:bottom w:val="single" w:sz="4" w:space="0" w:color="auto"/>
              <w:right w:val="single" w:sz="4" w:space="0" w:color="auto"/>
            </w:tcBorders>
          </w:tcPr>
          <w:p>
            <w:pPr>
              <w:pStyle w:val="GesAbsatz"/>
              <w:jc w:val="center"/>
              <w:rPr>
                <w:rFonts w:cs="Arial"/>
              </w:rPr>
            </w:pPr>
            <w:r>
              <w:rPr>
                <w:rFonts w:cs="Arial"/>
              </w:rPr>
              <w:t>&gt; 15 - 25</w:t>
            </w:r>
            <w:r>
              <w:rPr>
                <w:rFonts w:cs="Arial"/>
              </w:rPr>
              <w:br/>
              <w:t>&gt; 25</w:t>
            </w:r>
          </w:p>
        </w:tc>
        <w:tc>
          <w:tcPr>
            <w:tcW w:w="1814" w:type="dxa"/>
            <w:tcBorders>
              <w:top w:val="nil"/>
              <w:left w:val="single" w:sz="4" w:space="0" w:color="auto"/>
              <w:bottom w:val="single" w:sz="4" w:space="0" w:color="auto"/>
              <w:right w:val="single" w:sz="4" w:space="0" w:color="auto"/>
            </w:tcBorders>
          </w:tcPr>
          <w:p>
            <w:pPr>
              <w:pStyle w:val="GesAbsatz"/>
              <w:jc w:val="center"/>
              <w:rPr>
                <w:rFonts w:cs="Arial"/>
              </w:rPr>
            </w:pPr>
            <w:r>
              <w:rPr>
                <w:rFonts w:cs="Arial"/>
              </w:rPr>
              <w:t>3*</w:t>
            </w:r>
            <w:r>
              <w:rPr>
                <w:rFonts w:cs="Arial"/>
                <w:szCs w:val="13"/>
              </w:rPr>
              <w:br/>
            </w:r>
            <w:r>
              <w:rPr>
                <w:rFonts w:cs="Arial"/>
              </w:rPr>
              <w:t>3*</w:t>
            </w:r>
          </w:p>
        </w:tc>
        <w:tc>
          <w:tcPr>
            <w:tcW w:w="1842" w:type="dxa"/>
            <w:tcBorders>
              <w:top w:val="nil"/>
              <w:left w:val="single" w:sz="4" w:space="0" w:color="auto"/>
              <w:bottom w:val="single" w:sz="4" w:space="0" w:color="auto"/>
            </w:tcBorders>
          </w:tcPr>
          <w:p>
            <w:pPr>
              <w:pStyle w:val="GesAbsatz"/>
              <w:jc w:val="center"/>
              <w:rPr>
                <w:rFonts w:cs="Arial"/>
              </w:rPr>
            </w:pPr>
            <w:r>
              <w:rPr>
                <w:rFonts w:cs="Arial"/>
              </w:rPr>
              <w:t xml:space="preserve">(25 + 15) % </w:t>
            </w:r>
            <w:r>
              <w:rPr>
                <w:rFonts w:cs="Arial"/>
              </w:rPr>
              <w:br/>
              <w:t>(20 + 5) %</w:t>
            </w:r>
          </w:p>
        </w:tc>
      </w:tr>
      <w:tr>
        <w:trPr>
          <w:trHeight w:val="550"/>
        </w:trPr>
        <w:tc>
          <w:tcPr>
            <w:tcW w:w="1271" w:type="dxa"/>
            <w:tcBorders>
              <w:top w:val="single" w:sz="4" w:space="0" w:color="auto"/>
              <w:bottom w:val="single" w:sz="4" w:space="0" w:color="auto"/>
              <w:right w:val="single" w:sz="4" w:space="0" w:color="auto"/>
            </w:tcBorders>
          </w:tcPr>
          <w:p>
            <w:pPr>
              <w:pStyle w:val="GesAbsatz"/>
              <w:jc w:val="left"/>
              <w:rPr>
                <w:rFonts w:cs="Arial"/>
              </w:rPr>
            </w:pPr>
            <w:r>
              <w:rPr>
                <w:rFonts w:cs="Arial"/>
              </w:rPr>
              <w:t xml:space="preserve">10.1 </w:t>
            </w:r>
          </w:p>
        </w:tc>
        <w:tc>
          <w:tcPr>
            <w:tcW w:w="3544" w:type="dxa"/>
            <w:gridSpan w:val="2"/>
            <w:tcBorders>
              <w:top w:val="single" w:sz="4" w:space="0" w:color="auto"/>
              <w:left w:val="single" w:sz="4" w:space="0" w:color="auto"/>
              <w:bottom w:val="single" w:sz="4" w:space="0" w:color="auto"/>
              <w:right w:val="single" w:sz="4" w:space="0" w:color="auto"/>
            </w:tcBorders>
          </w:tcPr>
          <w:p>
            <w:pPr>
              <w:pStyle w:val="GesAbsatz"/>
              <w:jc w:val="left"/>
              <w:rPr>
                <w:rFonts w:cs="Arial"/>
              </w:rPr>
            </w:pPr>
            <w:r>
              <w:rPr>
                <w:rFonts w:cs="Arial"/>
              </w:rPr>
              <w:t>Beschichten von Textil-, Gewebe-, Folien- oder Papieroberflächen</w:t>
            </w:r>
          </w:p>
        </w:tc>
        <w:tc>
          <w:tcPr>
            <w:tcW w:w="1276" w:type="dxa"/>
            <w:tcBorders>
              <w:top w:val="single" w:sz="4" w:space="0" w:color="auto"/>
              <w:left w:val="single" w:sz="4" w:space="0" w:color="auto"/>
              <w:bottom w:val="single" w:sz="4" w:space="0" w:color="auto"/>
              <w:right w:val="single" w:sz="4" w:space="0" w:color="auto"/>
            </w:tcBorders>
          </w:tcPr>
          <w:p>
            <w:pPr>
              <w:pStyle w:val="GesAbsatz"/>
              <w:jc w:val="center"/>
              <w:rPr>
                <w:rFonts w:cs="Arial"/>
              </w:rPr>
            </w:pPr>
            <w:r>
              <w:rPr>
                <w:rFonts w:cs="Arial"/>
              </w:rPr>
              <w:t>&gt; 5 - 15</w:t>
            </w:r>
            <w:r>
              <w:rPr>
                <w:rFonts w:cs="Arial"/>
              </w:rPr>
              <w:br/>
              <w:t>&gt; 15</w:t>
            </w:r>
          </w:p>
        </w:tc>
        <w:tc>
          <w:tcPr>
            <w:tcW w:w="1814" w:type="dxa"/>
            <w:tcBorders>
              <w:top w:val="single" w:sz="4" w:space="0" w:color="auto"/>
              <w:left w:val="single" w:sz="4" w:space="0" w:color="auto"/>
              <w:bottom w:val="single" w:sz="4" w:space="0" w:color="auto"/>
              <w:right w:val="single" w:sz="4" w:space="0" w:color="auto"/>
            </w:tcBorders>
          </w:tcPr>
          <w:p>
            <w:pPr>
              <w:pStyle w:val="GesAbsatz"/>
              <w:jc w:val="center"/>
              <w:rPr>
                <w:rFonts w:cs="Arial"/>
              </w:rPr>
            </w:pPr>
            <w:r>
              <w:rPr>
                <w:rFonts w:cs="Arial"/>
              </w:rPr>
              <w:t>4</w:t>
            </w:r>
          </w:p>
        </w:tc>
        <w:tc>
          <w:tcPr>
            <w:tcW w:w="1842" w:type="dxa"/>
            <w:tcBorders>
              <w:top w:val="single" w:sz="4" w:space="0" w:color="auto"/>
              <w:left w:val="single" w:sz="4" w:space="0" w:color="auto"/>
              <w:bottom w:val="single" w:sz="4" w:space="0" w:color="auto"/>
            </w:tcBorders>
          </w:tcPr>
          <w:p>
            <w:pPr>
              <w:pStyle w:val="GesAbsatz"/>
              <w:jc w:val="center"/>
              <w:rPr>
                <w:rFonts w:cs="Arial"/>
              </w:rPr>
            </w:pPr>
            <w:r>
              <w:rPr>
                <w:rFonts w:cs="Arial"/>
              </w:rPr>
              <w:t>(15 + 15) %</w:t>
            </w:r>
            <w:r>
              <w:rPr>
                <w:rFonts w:cs="Arial"/>
              </w:rPr>
              <w:br/>
              <w:t>(10 + 5) %</w:t>
            </w:r>
          </w:p>
        </w:tc>
      </w:tr>
      <w:tr>
        <w:trPr>
          <w:trHeight w:val="320"/>
        </w:trPr>
        <w:tc>
          <w:tcPr>
            <w:tcW w:w="1271" w:type="dxa"/>
            <w:tcBorders>
              <w:top w:val="single" w:sz="4" w:space="0" w:color="auto"/>
              <w:bottom w:val="single" w:sz="4" w:space="0" w:color="auto"/>
              <w:right w:val="single" w:sz="4" w:space="0" w:color="auto"/>
            </w:tcBorders>
          </w:tcPr>
          <w:p>
            <w:pPr>
              <w:pStyle w:val="GesAbsatz"/>
              <w:jc w:val="left"/>
              <w:rPr>
                <w:rFonts w:cs="Arial"/>
              </w:rPr>
            </w:pPr>
            <w:r>
              <w:rPr>
                <w:rFonts w:cs="Arial"/>
              </w:rPr>
              <w:t xml:space="preserve">12.1 </w:t>
            </w:r>
          </w:p>
        </w:tc>
        <w:tc>
          <w:tcPr>
            <w:tcW w:w="3544" w:type="dxa"/>
            <w:gridSpan w:val="2"/>
            <w:tcBorders>
              <w:top w:val="single" w:sz="4" w:space="0" w:color="auto"/>
              <w:left w:val="single" w:sz="4" w:space="0" w:color="auto"/>
              <w:bottom w:val="single" w:sz="4" w:space="0" w:color="auto"/>
              <w:right w:val="single" w:sz="4" w:space="0" w:color="auto"/>
            </w:tcBorders>
          </w:tcPr>
          <w:p>
            <w:pPr>
              <w:pStyle w:val="GesAbsatz"/>
              <w:jc w:val="left"/>
              <w:rPr>
                <w:rFonts w:cs="Arial"/>
              </w:rPr>
            </w:pPr>
            <w:r>
              <w:rPr>
                <w:rFonts w:cs="Arial"/>
              </w:rPr>
              <w:t xml:space="preserve">Holzimprägnierung </w:t>
            </w:r>
          </w:p>
        </w:tc>
        <w:tc>
          <w:tcPr>
            <w:tcW w:w="1276" w:type="dxa"/>
            <w:tcBorders>
              <w:top w:val="single" w:sz="4" w:space="0" w:color="auto"/>
              <w:left w:val="single" w:sz="4" w:space="0" w:color="auto"/>
              <w:bottom w:val="single" w:sz="4" w:space="0" w:color="auto"/>
              <w:right w:val="single" w:sz="4" w:space="0" w:color="auto"/>
            </w:tcBorders>
          </w:tcPr>
          <w:p>
            <w:pPr>
              <w:pStyle w:val="GesAbsatz"/>
              <w:jc w:val="center"/>
              <w:rPr>
                <w:rFonts w:cs="Arial"/>
              </w:rPr>
            </w:pPr>
            <w:r>
              <w:rPr>
                <w:rFonts w:cs="Arial"/>
              </w:rPr>
              <w:t>&gt; 10</w:t>
            </w:r>
          </w:p>
        </w:tc>
        <w:tc>
          <w:tcPr>
            <w:tcW w:w="1814" w:type="dxa"/>
            <w:tcBorders>
              <w:top w:val="single" w:sz="4" w:space="0" w:color="auto"/>
              <w:left w:val="single" w:sz="4" w:space="0" w:color="auto"/>
              <w:bottom w:val="single" w:sz="4" w:space="0" w:color="auto"/>
              <w:right w:val="single" w:sz="4" w:space="0" w:color="auto"/>
            </w:tcBorders>
          </w:tcPr>
          <w:p>
            <w:pPr>
              <w:pStyle w:val="GesAbsatz"/>
              <w:jc w:val="center"/>
              <w:rPr>
                <w:rFonts w:cs="Arial"/>
              </w:rPr>
            </w:pPr>
            <w:r>
              <w:rPr>
                <w:rFonts w:cs="Arial"/>
              </w:rPr>
              <w:t>1,5</w:t>
            </w:r>
          </w:p>
        </w:tc>
        <w:tc>
          <w:tcPr>
            <w:tcW w:w="1842" w:type="dxa"/>
            <w:tcBorders>
              <w:top w:val="single" w:sz="4" w:space="0" w:color="auto"/>
              <w:left w:val="single" w:sz="4" w:space="0" w:color="auto"/>
              <w:bottom w:val="single" w:sz="4" w:space="0" w:color="auto"/>
            </w:tcBorders>
          </w:tcPr>
          <w:p>
            <w:pPr>
              <w:pStyle w:val="GesAbsatz"/>
              <w:jc w:val="center"/>
              <w:rPr>
                <w:rFonts w:cs="Arial"/>
              </w:rPr>
            </w:pPr>
            <w:r>
              <w:rPr>
                <w:rFonts w:cs="Arial"/>
              </w:rPr>
              <w:t>(45 + 5)%</w:t>
            </w:r>
          </w:p>
        </w:tc>
      </w:tr>
      <w:tr>
        <w:trPr>
          <w:cantSplit/>
          <w:trHeight w:val="330"/>
        </w:trPr>
        <w:tc>
          <w:tcPr>
            <w:tcW w:w="1271" w:type="dxa"/>
            <w:vMerge w:val="restart"/>
            <w:tcBorders>
              <w:top w:val="single" w:sz="4" w:space="0" w:color="auto"/>
              <w:bottom w:val="nil"/>
              <w:right w:val="single" w:sz="4" w:space="0" w:color="auto"/>
            </w:tcBorders>
          </w:tcPr>
          <w:p>
            <w:pPr>
              <w:pStyle w:val="GesAbsatz"/>
              <w:jc w:val="left"/>
              <w:rPr>
                <w:rFonts w:cs="Arial"/>
              </w:rPr>
            </w:pPr>
            <w:r>
              <w:rPr>
                <w:rFonts w:cs="Arial"/>
              </w:rPr>
              <w:t xml:space="preserve">14.1 </w:t>
            </w:r>
          </w:p>
        </w:tc>
        <w:tc>
          <w:tcPr>
            <w:tcW w:w="3544" w:type="dxa"/>
            <w:gridSpan w:val="2"/>
            <w:tcBorders>
              <w:top w:val="single" w:sz="4" w:space="0" w:color="auto"/>
              <w:left w:val="single" w:sz="4" w:space="0" w:color="auto"/>
              <w:right w:val="single" w:sz="4" w:space="0" w:color="auto"/>
            </w:tcBorders>
          </w:tcPr>
          <w:p>
            <w:pPr>
              <w:pStyle w:val="GesAbsatz"/>
              <w:jc w:val="left"/>
              <w:rPr>
                <w:rFonts w:cs="Arial"/>
              </w:rPr>
            </w:pPr>
            <w:r>
              <w:rPr>
                <w:rFonts w:cs="Arial"/>
              </w:rPr>
              <w:t xml:space="preserve">Klebebeschichtung </w:t>
            </w:r>
          </w:p>
        </w:tc>
        <w:tc>
          <w:tcPr>
            <w:tcW w:w="1276" w:type="dxa"/>
            <w:tcBorders>
              <w:top w:val="single" w:sz="4" w:space="0" w:color="auto"/>
              <w:left w:val="single" w:sz="4" w:space="0" w:color="auto"/>
              <w:bottom w:val="nil"/>
              <w:right w:val="single" w:sz="4" w:space="0" w:color="auto"/>
            </w:tcBorders>
          </w:tcPr>
          <w:p>
            <w:pPr>
              <w:pStyle w:val="GesAbsatz"/>
              <w:jc w:val="center"/>
              <w:rPr>
                <w:rFonts w:cs="Arial"/>
                <w:color w:val="auto"/>
              </w:rPr>
            </w:pPr>
          </w:p>
        </w:tc>
        <w:tc>
          <w:tcPr>
            <w:tcW w:w="1814" w:type="dxa"/>
            <w:tcBorders>
              <w:top w:val="single" w:sz="4" w:space="0" w:color="auto"/>
              <w:left w:val="single" w:sz="4" w:space="0" w:color="auto"/>
              <w:bottom w:val="nil"/>
              <w:right w:val="single" w:sz="4" w:space="0" w:color="auto"/>
            </w:tcBorders>
          </w:tcPr>
          <w:p>
            <w:pPr>
              <w:pStyle w:val="GesAbsatz"/>
              <w:jc w:val="center"/>
              <w:rPr>
                <w:rFonts w:cs="Arial"/>
                <w:color w:val="auto"/>
              </w:rPr>
            </w:pPr>
          </w:p>
        </w:tc>
        <w:tc>
          <w:tcPr>
            <w:tcW w:w="1842" w:type="dxa"/>
            <w:tcBorders>
              <w:top w:val="single" w:sz="4" w:space="0" w:color="auto"/>
              <w:left w:val="single" w:sz="4" w:space="0" w:color="auto"/>
            </w:tcBorders>
          </w:tcPr>
          <w:p>
            <w:pPr>
              <w:pStyle w:val="GesAbsatz"/>
              <w:jc w:val="center"/>
              <w:rPr>
                <w:rFonts w:cs="Arial"/>
                <w:color w:val="auto"/>
              </w:rPr>
            </w:pPr>
          </w:p>
        </w:tc>
      </w:tr>
      <w:tr>
        <w:trPr>
          <w:cantSplit/>
          <w:trHeight w:val="457"/>
        </w:trPr>
        <w:tc>
          <w:tcPr>
            <w:tcW w:w="1271" w:type="dxa"/>
            <w:vMerge/>
            <w:tcBorders>
              <w:top w:val="nil"/>
              <w:bottom w:val="nil"/>
              <w:right w:val="single" w:sz="4" w:space="0" w:color="auto"/>
            </w:tcBorders>
          </w:tcPr>
          <w:p>
            <w:pPr>
              <w:pStyle w:val="GesAbsatz"/>
              <w:jc w:val="left"/>
              <w:rPr>
                <w:rFonts w:cs="Arial"/>
                <w:color w:val="auto"/>
              </w:rPr>
            </w:pPr>
          </w:p>
        </w:tc>
        <w:tc>
          <w:tcPr>
            <w:tcW w:w="284" w:type="dxa"/>
            <w:tcBorders>
              <w:left w:val="single" w:sz="4" w:space="0" w:color="auto"/>
            </w:tcBorders>
          </w:tcPr>
          <w:p>
            <w:pPr>
              <w:pStyle w:val="GesAbsatz"/>
              <w:jc w:val="left"/>
              <w:rPr>
                <w:rFonts w:cs="Arial"/>
              </w:rPr>
            </w:pPr>
            <w:r>
              <w:rPr>
                <w:rFonts w:cs="Arial"/>
              </w:rPr>
              <w:t>•</w:t>
            </w:r>
          </w:p>
        </w:tc>
        <w:tc>
          <w:tcPr>
            <w:tcW w:w="3260" w:type="dxa"/>
            <w:tcBorders>
              <w:right w:val="single" w:sz="4" w:space="0" w:color="auto"/>
            </w:tcBorders>
          </w:tcPr>
          <w:p>
            <w:pPr>
              <w:pStyle w:val="GesAbsatz"/>
              <w:jc w:val="left"/>
              <w:rPr>
                <w:rFonts w:cs="Arial"/>
              </w:rPr>
            </w:pPr>
            <w:r>
              <w:rPr>
                <w:rFonts w:cs="Arial"/>
              </w:rPr>
              <w:t>sonstiger Betrieb</w:t>
            </w:r>
          </w:p>
        </w:tc>
        <w:tc>
          <w:tcPr>
            <w:tcW w:w="1276" w:type="dxa"/>
            <w:tcBorders>
              <w:top w:val="nil"/>
              <w:left w:val="single" w:sz="4" w:space="0" w:color="auto"/>
              <w:bottom w:val="nil"/>
              <w:right w:val="single" w:sz="4" w:space="0" w:color="auto"/>
            </w:tcBorders>
          </w:tcPr>
          <w:p>
            <w:pPr>
              <w:pStyle w:val="GesAbsatz"/>
              <w:jc w:val="center"/>
              <w:rPr>
                <w:rFonts w:cs="Arial"/>
              </w:rPr>
            </w:pPr>
            <w:r>
              <w:rPr>
                <w:rFonts w:cs="Arial"/>
              </w:rPr>
              <w:t>&gt; 5 - 15</w:t>
            </w:r>
            <w:r>
              <w:rPr>
                <w:rFonts w:cs="Arial"/>
              </w:rPr>
              <w:br/>
              <w:t>&gt; 15</w:t>
            </w:r>
          </w:p>
        </w:tc>
        <w:tc>
          <w:tcPr>
            <w:tcW w:w="1814" w:type="dxa"/>
            <w:tcBorders>
              <w:top w:val="nil"/>
              <w:left w:val="single" w:sz="4" w:space="0" w:color="auto"/>
              <w:bottom w:val="nil"/>
              <w:right w:val="single" w:sz="4" w:space="0" w:color="auto"/>
            </w:tcBorders>
          </w:tcPr>
          <w:p>
            <w:pPr>
              <w:pStyle w:val="GesAbsatz"/>
              <w:jc w:val="center"/>
              <w:rPr>
                <w:rFonts w:cs="Arial"/>
                <w:color w:val="auto"/>
              </w:rPr>
            </w:pPr>
            <w:r>
              <w:rPr>
                <w:rFonts w:cs="Arial"/>
              </w:rPr>
              <w:t>3</w:t>
            </w:r>
          </w:p>
        </w:tc>
        <w:tc>
          <w:tcPr>
            <w:tcW w:w="1842" w:type="dxa"/>
            <w:tcBorders>
              <w:left w:val="single" w:sz="4" w:space="0" w:color="auto"/>
            </w:tcBorders>
          </w:tcPr>
          <w:p>
            <w:pPr>
              <w:pStyle w:val="GesAbsatz"/>
              <w:jc w:val="center"/>
              <w:rPr>
                <w:rFonts w:cs="Arial"/>
              </w:rPr>
            </w:pPr>
            <w:r>
              <w:rPr>
                <w:rFonts w:cs="Arial"/>
              </w:rPr>
              <w:t>(25 + 5) %</w:t>
            </w:r>
            <w:r>
              <w:rPr>
                <w:rFonts w:cs="Arial"/>
              </w:rPr>
              <w:br/>
              <w:t>(20 + 5) %</w:t>
            </w:r>
          </w:p>
        </w:tc>
      </w:tr>
      <w:tr>
        <w:trPr>
          <w:cantSplit/>
          <w:trHeight w:val="535"/>
        </w:trPr>
        <w:tc>
          <w:tcPr>
            <w:tcW w:w="1271" w:type="dxa"/>
            <w:vMerge/>
            <w:tcBorders>
              <w:top w:val="nil"/>
              <w:bottom w:val="single" w:sz="4" w:space="0" w:color="auto"/>
              <w:right w:val="single" w:sz="4" w:space="0" w:color="auto"/>
            </w:tcBorders>
          </w:tcPr>
          <w:p>
            <w:pPr>
              <w:pStyle w:val="GesAbsatz"/>
              <w:jc w:val="left"/>
              <w:rPr>
                <w:rFonts w:cs="Arial"/>
                <w:color w:val="auto"/>
              </w:rPr>
            </w:pPr>
          </w:p>
        </w:tc>
        <w:tc>
          <w:tcPr>
            <w:tcW w:w="284" w:type="dxa"/>
            <w:tcBorders>
              <w:left w:val="single" w:sz="4" w:space="0" w:color="auto"/>
              <w:bottom w:val="single" w:sz="4" w:space="0" w:color="auto"/>
            </w:tcBorders>
          </w:tcPr>
          <w:p>
            <w:pPr>
              <w:pStyle w:val="GesAbsatz"/>
              <w:jc w:val="left"/>
              <w:rPr>
                <w:rFonts w:cs="Arial"/>
              </w:rPr>
            </w:pPr>
            <w:r>
              <w:rPr>
                <w:rFonts w:cs="Arial"/>
              </w:rPr>
              <w:t>•</w:t>
            </w:r>
          </w:p>
        </w:tc>
        <w:tc>
          <w:tcPr>
            <w:tcW w:w="3260" w:type="dxa"/>
            <w:tcBorders>
              <w:bottom w:val="single" w:sz="4" w:space="0" w:color="auto"/>
              <w:right w:val="single" w:sz="4" w:space="0" w:color="auto"/>
            </w:tcBorders>
          </w:tcPr>
          <w:p>
            <w:pPr>
              <w:pStyle w:val="GesAbsatz"/>
              <w:jc w:val="left"/>
              <w:rPr>
                <w:rFonts w:cs="Arial"/>
              </w:rPr>
            </w:pPr>
            <w:r>
              <w:rPr>
                <w:rFonts w:cs="Arial"/>
              </w:rPr>
              <w:t>Beschichtung bahnenförmiger Materialien</w:t>
            </w:r>
          </w:p>
        </w:tc>
        <w:tc>
          <w:tcPr>
            <w:tcW w:w="1276" w:type="dxa"/>
            <w:tcBorders>
              <w:top w:val="nil"/>
              <w:left w:val="single" w:sz="4" w:space="0" w:color="auto"/>
              <w:bottom w:val="single" w:sz="4" w:space="0" w:color="auto"/>
              <w:right w:val="single" w:sz="4" w:space="0" w:color="auto"/>
            </w:tcBorders>
          </w:tcPr>
          <w:p>
            <w:pPr>
              <w:pStyle w:val="GesAbsatz"/>
              <w:jc w:val="center"/>
              <w:rPr>
                <w:rFonts w:cs="Arial"/>
              </w:rPr>
            </w:pPr>
            <w:r>
              <w:rPr>
                <w:rFonts w:cs="Arial"/>
              </w:rPr>
              <w:t>&gt; 5 - 15</w:t>
            </w:r>
            <w:r>
              <w:rPr>
                <w:rFonts w:cs="Arial"/>
              </w:rPr>
              <w:br/>
              <w:t>&gt; 15</w:t>
            </w:r>
          </w:p>
        </w:tc>
        <w:tc>
          <w:tcPr>
            <w:tcW w:w="1814" w:type="dxa"/>
            <w:tcBorders>
              <w:top w:val="nil"/>
              <w:left w:val="single" w:sz="4" w:space="0" w:color="auto"/>
              <w:bottom w:val="single" w:sz="4" w:space="0" w:color="auto"/>
              <w:right w:val="single" w:sz="4" w:space="0" w:color="auto"/>
            </w:tcBorders>
          </w:tcPr>
          <w:p>
            <w:pPr>
              <w:pStyle w:val="GesAbsatz"/>
              <w:jc w:val="center"/>
              <w:rPr>
                <w:rFonts w:cs="Arial"/>
                <w:color w:val="auto"/>
              </w:rPr>
            </w:pPr>
          </w:p>
        </w:tc>
        <w:tc>
          <w:tcPr>
            <w:tcW w:w="1842" w:type="dxa"/>
            <w:tcBorders>
              <w:left w:val="single" w:sz="4" w:space="0" w:color="auto"/>
              <w:bottom w:val="single" w:sz="4" w:space="0" w:color="auto"/>
            </w:tcBorders>
          </w:tcPr>
          <w:p>
            <w:pPr>
              <w:pStyle w:val="GesAbsatz"/>
              <w:jc w:val="center"/>
              <w:rPr>
                <w:rFonts w:cs="Arial"/>
              </w:rPr>
            </w:pPr>
            <w:r>
              <w:rPr>
                <w:rFonts w:cs="Arial"/>
              </w:rPr>
              <w:t>(15 + 5) %</w:t>
            </w:r>
            <w:r>
              <w:rPr>
                <w:rFonts w:cs="Arial"/>
              </w:rPr>
              <w:br/>
              <w:t>(10 + 5) %</w:t>
            </w:r>
          </w:p>
        </w:tc>
      </w:tr>
      <w:tr>
        <w:trPr>
          <w:trHeight w:val="983"/>
        </w:trPr>
        <w:tc>
          <w:tcPr>
            <w:tcW w:w="1271" w:type="dxa"/>
            <w:tcBorders>
              <w:top w:val="single" w:sz="4" w:space="0" w:color="auto"/>
              <w:bottom w:val="single" w:sz="4" w:space="0" w:color="auto"/>
              <w:right w:val="single" w:sz="4" w:space="0" w:color="auto"/>
            </w:tcBorders>
          </w:tcPr>
          <w:p>
            <w:pPr>
              <w:pStyle w:val="GesAbsatz"/>
              <w:jc w:val="left"/>
              <w:rPr>
                <w:rFonts w:cs="Arial"/>
              </w:rPr>
            </w:pPr>
            <w:r>
              <w:rPr>
                <w:rFonts w:cs="Arial"/>
              </w:rPr>
              <w:lastRenderedPageBreak/>
              <w:t>8.1</w:t>
            </w:r>
            <w:r>
              <w:rPr>
                <w:rFonts w:cs="Arial"/>
              </w:rPr>
              <w:br/>
              <w:t>10.1</w:t>
            </w:r>
            <w:r>
              <w:rPr>
                <w:rFonts w:cs="Arial"/>
              </w:rPr>
              <w:br/>
              <w:t xml:space="preserve">14.1 </w:t>
            </w:r>
          </w:p>
        </w:tc>
        <w:tc>
          <w:tcPr>
            <w:tcW w:w="3544" w:type="dxa"/>
            <w:gridSpan w:val="2"/>
            <w:tcBorders>
              <w:top w:val="single" w:sz="4" w:space="0" w:color="auto"/>
              <w:left w:val="single" w:sz="4" w:space="0" w:color="auto"/>
              <w:bottom w:val="single" w:sz="4" w:space="0" w:color="auto"/>
              <w:right w:val="single" w:sz="4" w:space="0" w:color="auto"/>
            </w:tcBorders>
          </w:tcPr>
          <w:p>
            <w:pPr>
              <w:pStyle w:val="GesAbsatz"/>
              <w:jc w:val="left"/>
              <w:rPr>
                <w:rFonts w:cs="Arial"/>
              </w:rPr>
            </w:pPr>
            <w:r>
              <w:rPr>
                <w:rFonts w:cs="Arial"/>
              </w:rPr>
              <w:t>Beschichtungen, die mit Lebensmitteln in Berührung kommen; Beschichtungen für die Luft- oder Raumfahrt</w:t>
            </w:r>
          </w:p>
        </w:tc>
        <w:tc>
          <w:tcPr>
            <w:tcW w:w="1276" w:type="dxa"/>
            <w:tcBorders>
              <w:top w:val="single" w:sz="4" w:space="0" w:color="auto"/>
              <w:left w:val="single" w:sz="4" w:space="0" w:color="auto"/>
              <w:bottom w:val="single" w:sz="4" w:space="0" w:color="auto"/>
              <w:right w:val="single" w:sz="4" w:space="0" w:color="auto"/>
            </w:tcBorders>
          </w:tcPr>
          <w:p>
            <w:pPr>
              <w:pStyle w:val="GesAbsatz"/>
              <w:jc w:val="center"/>
              <w:rPr>
                <w:rFonts w:cs="Arial"/>
              </w:rPr>
            </w:pPr>
            <w:r>
              <w:rPr>
                <w:rFonts w:cs="Arial"/>
              </w:rPr>
              <w:t>entsprechende Werte für die Nummern 8.1, 10.1, 14.1</w:t>
            </w:r>
          </w:p>
        </w:tc>
        <w:tc>
          <w:tcPr>
            <w:tcW w:w="1814" w:type="dxa"/>
            <w:tcBorders>
              <w:top w:val="single" w:sz="4" w:space="0" w:color="auto"/>
              <w:left w:val="single" w:sz="4" w:space="0" w:color="auto"/>
              <w:bottom w:val="single" w:sz="4" w:space="0" w:color="auto"/>
              <w:right w:val="single" w:sz="4" w:space="0" w:color="auto"/>
            </w:tcBorders>
          </w:tcPr>
          <w:p>
            <w:pPr>
              <w:pStyle w:val="GesAbsatz"/>
              <w:jc w:val="center"/>
              <w:rPr>
                <w:rFonts w:cs="Arial"/>
              </w:rPr>
            </w:pPr>
            <w:r>
              <w:rPr>
                <w:rFonts w:cs="Arial"/>
              </w:rPr>
              <w:t>2,33</w:t>
            </w:r>
          </w:p>
        </w:tc>
        <w:tc>
          <w:tcPr>
            <w:tcW w:w="1842" w:type="dxa"/>
            <w:tcBorders>
              <w:top w:val="single" w:sz="4" w:space="0" w:color="auto"/>
              <w:left w:val="single" w:sz="4" w:space="0" w:color="auto"/>
              <w:bottom w:val="single" w:sz="4" w:space="0" w:color="auto"/>
            </w:tcBorders>
          </w:tcPr>
          <w:p>
            <w:pPr>
              <w:pStyle w:val="GesAbsatz"/>
              <w:jc w:val="center"/>
              <w:rPr>
                <w:rFonts w:cs="Arial"/>
              </w:rPr>
            </w:pPr>
            <w:r>
              <w:rPr>
                <w:rFonts w:cs="Arial"/>
              </w:rPr>
              <w:t>entsprechende Werte aus den Nummern 8.1, 10.1, 14.1</w:t>
            </w:r>
          </w:p>
        </w:tc>
      </w:tr>
    </w:tbl>
    <w:p>
      <w:pPr>
        <w:pStyle w:val="GesAbsatz"/>
        <w:rPr>
          <w:sz w:val="16"/>
          <w:szCs w:val="16"/>
        </w:rPr>
      </w:pPr>
      <w:r>
        <w:rPr>
          <w:sz w:val="16"/>
          <w:szCs w:val="16"/>
        </w:rPr>
        <w:t>* Für Applikationsverfahren mit einem Auftragswirkungsgrad von &gt; 85 % (beispielsweise Walzen) kann der Multiplikationsfaktor 4 zugrunde gelegt werden.</w:t>
      </w:r>
    </w:p>
    <w:p>
      <w:pPr>
        <w:pStyle w:val="GesAbsatz"/>
        <w:tabs>
          <w:tab w:val="clear" w:pos="425"/>
          <w:tab w:val="left" w:pos="426"/>
        </w:tabs>
        <w:ind w:left="1134" w:hanging="1134"/>
        <w:rPr>
          <w:rFonts w:cs="Arial"/>
        </w:rPr>
      </w:pPr>
      <w:r>
        <w:rPr>
          <w:rFonts w:cs="Arial"/>
        </w:rPr>
        <w:t>3.</w:t>
      </w:r>
      <w:r>
        <w:rPr>
          <w:rFonts w:cs="Arial"/>
        </w:rPr>
        <w:tab/>
        <w:t>Die Zielemission berechnet sich wie folgt:</w:t>
      </w:r>
    </w:p>
    <w:p>
      <w:pPr>
        <w:pStyle w:val="GesAbsatz"/>
        <w:tabs>
          <w:tab w:val="clear" w:pos="425"/>
          <w:tab w:val="left" w:pos="567"/>
        </w:tabs>
        <w:ind w:left="426"/>
        <w:rPr>
          <w:rFonts w:cs="Arial"/>
        </w:rPr>
      </w:pPr>
      <w:r>
        <w:rPr>
          <w:rFonts w:cs="Arial"/>
        </w:rPr>
        <w:t>Zielemission = Bezugsemission x Prozentsatz</w:t>
      </w:r>
    </w:p>
    <w:p>
      <w:pPr>
        <w:pStyle w:val="GesAbsatz"/>
        <w:tabs>
          <w:tab w:val="clear" w:pos="425"/>
          <w:tab w:val="left" w:pos="567"/>
        </w:tabs>
        <w:ind w:left="426"/>
        <w:rPr>
          <w:rFonts w:cs="Arial"/>
        </w:rPr>
      </w:pPr>
      <w:r>
        <w:rPr>
          <w:rFonts w:cs="Arial"/>
        </w:rPr>
        <w:t>Die Höhe des Prozentsatzes ist gleich der Summe aus</w:t>
      </w:r>
    </w:p>
    <w:p>
      <w:pPr>
        <w:pStyle w:val="GesAbsatz"/>
        <w:tabs>
          <w:tab w:val="clear" w:pos="425"/>
          <w:tab w:val="left" w:pos="426"/>
          <w:tab w:val="left" w:pos="1560"/>
        </w:tabs>
        <w:ind w:left="851" w:hanging="425"/>
        <w:rPr>
          <w:rFonts w:cs="Arial"/>
        </w:rPr>
      </w:pPr>
      <w:r>
        <w:rPr>
          <w:rFonts w:cs="Arial"/>
        </w:rPr>
        <w:t>a)</w:t>
      </w:r>
      <w:r>
        <w:rPr>
          <w:rFonts w:cs="Arial"/>
        </w:rPr>
        <w:tab/>
        <w:t>dem Grenzwert für diffuse Emissionen + 15</w:t>
      </w:r>
    </w:p>
    <w:p>
      <w:pPr>
        <w:pStyle w:val="GesAbsatz"/>
        <w:tabs>
          <w:tab w:val="clear" w:pos="425"/>
          <w:tab w:val="left" w:pos="426"/>
          <w:tab w:val="left" w:pos="1560"/>
        </w:tabs>
        <w:ind w:left="851"/>
        <w:jc w:val="left"/>
        <w:rPr>
          <w:rFonts w:cs="Arial"/>
        </w:rPr>
      </w:pPr>
      <w:r>
        <w:rPr>
          <w:rFonts w:cs="Arial"/>
        </w:rPr>
        <w:t>bei den in Spalte 1 der Tabelle in Nummer 2 genannten Anlagen</w:t>
      </w:r>
    </w:p>
    <w:p>
      <w:pPr>
        <w:pStyle w:val="GesAbsatz"/>
        <w:tabs>
          <w:tab w:val="clear" w:pos="425"/>
          <w:tab w:val="left" w:pos="1418"/>
        </w:tabs>
        <w:ind w:left="1134" w:hanging="283"/>
      </w:pPr>
      <w:r>
        <w:t>–</w:t>
      </w:r>
      <w:r>
        <w:tab/>
        <w:t>der Nummern 4.1 bis 4.4,</w:t>
      </w:r>
    </w:p>
    <w:p>
      <w:pPr>
        <w:pStyle w:val="GesAbsatz"/>
        <w:tabs>
          <w:tab w:val="clear" w:pos="425"/>
          <w:tab w:val="left" w:pos="1418"/>
        </w:tabs>
        <w:ind w:left="1134" w:hanging="283"/>
      </w:pPr>
      <w:r>
        <w:t>–</w:t>
      </w:r>
      <w:r>
        <w:tab/>
        <w:t>der Nummer 5.1,</w:t>
      </w:r>
    </w:p>
    <w:p>
      <w:pPr>
        <w:pStyle w:val="GesAbsatz"/>
        <w:tabs>
          <w:tab w:val="clear" w:pos="425"/>
          <w:tab w:val="left" w:pos="1418"/>
        </w:tabs>
        <w:ind w:left="1134" w:hanging="283"/>
      </w:pPr>
      <w:r>
        <w:t>–</w:t>
      </w:r>
      <w:r>
        <w:tab/>
        <w:t>der Nummern 4.5, 8.1 und 10.1 mit einem Lösungsmittelverbrauch von jeweils 5 bis 15 t/a und</w:t>
      </w:r>
    </w:p>
    <w:p>
      <w:pPr>
        <w:pStyle w:val="GesAbsatz"/>
        <w:tabs>
          <w:tab w:val="clear" w:pos="425"/>
          <w:tab w:val="left" w:pos="1418"/>
        </w:tabs>
        <w:ind w:left="1134" w:hanging="283"/>
      </w:pPr>
      <w:r>
        <w:t>–</w:t>
      </w:r>
      <w:r>
        <w:tab/>
        <w:t>der Nummern 9.1 und 9.2 mit einem Lösungsmittelverbrauch von jeweils 5 bis 25 t/a;</w:t>
      </w:r>
    </w:p>
    <w:p>
      <w:pPr>
        <w:pStyle w:val="GesAbsatz"/>
        <w:tabs>
          <w:tab w:val="clear" w:pos="425"/>
          <w:tab w:val="left" w:pos="426"/>
          <w:tab w:val="left" w:pos="1560"/>
        </w:tabs>
        <w:ind w:left="851" w:hanging="425"/>
        <w:rPr>
          <w:rFonts w:cs="Arial"/>
        </w:rPr>
      </w:pPr>
      <w:r>
        <w:rPr>
          <w:rFonts w:cs="Arial"/>
        </w:rPr>
        <w:t>b)</w:t>
      </w:r>
      <w:r>
        <w:rPr>
          <w:rFonts w:cs="Arial"/>
        </w:rPr>
        <w:tab/>
        <w:t>dem Grenzwert für diffuse Emissionen + 5</w:t>
      </w:r>
    </w:p>
    <w:p>
      <w:pPr>
        <w:pStyle w:val="GesAbsatz"/>
        <w:tabs>
          <w:tab w:val="clear" w:pos="425"/>
          <w:tab w:val="left" w:pos="426"/>
          <w:tab w:val="left" w:pos="1560"/>
        </w:tabs>
        <w:ind w:left="851" w:hanging="425"/>
        <w:rPr>
          <w:rFonts w:cs="Arial"/>
        </w:rPr>
      </w:pPr>
      <w:r>
        <w:rPr>
          <w:rFonts w:cs="Arial"/>
        </w:rPr>
        <w:t>bei allen sonstigen in der Spalte 1 der Tabelle in Nummer 2 genannten Anlagen.</w:t>
      </w:r>
    </w:p>
    <w:p>
      <w:pPr>
        <w:pStyle w:val="GesAbsatz"/>
        <w:tabs>
          <w:tab w:val="clear" w:pos="425"/>
          <w:tab w:val="left" w:pos="567"/>
        </w:tabs>
        <w:ind w:left="426"/>
        <w:rPr>
          <w:rFonts w:cs="Arial"/>
        </w:rPr>
      </w:pPr>
      <w:r>
        <w:rPr>
          <w:rFonts w:cs="Arial"/>
        </w:rPr>
        <w:t>Die für die einzelnen Anlagenarten maßgeblichen Prozentsätze sind in der fünften Spalte der Tabelle in Nummer 2 angegeben. Die Anforderungen des Reduzierungsplans gelten als eingehalten, wenn die nach dem Verfahren der Lösungsmittelbilanz des Anhangs V bestimmte tatsächliche Gesamtemission an flüchtigen organischen Verbindungen die Zielemission nicht überschreitet.</w:t>
      </w:r>
    </w:p>
    <w:p>
      <w:pPr>
        <w:pStyle w:val="GesAbsatz"/>
        <w:tabs>
          <w:tab w:val="clear" w:pos="425"/>
        </w:tabs>
        <w:ind w:left="426" w:hanging="426"/>
        <w:rPr>
          <w:rFonts w:cs="Arial"/>
        </w:rPr>
      </w:pPr>
      <w:r>
        <w:rPr>
          <w:rFonts w:cs="Arial"/>
        </w:rPr>
        <w:t>4.</w:t>
      </w:r>
      <w:r>
        <w:rPr>
          <w:rFonts w:cs="Arial"/>
        </w:rPr>
        <w:tab/>
        <w:t>Hat die Anwendung eines Reduzierungsplans zur Folge, dass die Zielemission auch ohne den Weiterbetrieb einer bereits vorhandenen Abgasreinigungseinrichtung möglich ist und soll diese deshalb außer Betrieb genommen werden, ist dafür eine Zustimmung der zuständigen Behörde erforderlich.</w:t>
      </w:r>
    </w:p>
    <w:p>
      <w:pPr>
        <w:pStyle w:val="GesAbsatz"/>
        <w:tabs>
          <w:tab w:val="clear" w:pos="425"/>
        </w:tabs>
        <w:ind w:left="426" w:hanging="426"/>
        <w:rPr>
          <w:rFonts w:cs="Arial"/>
        </w:rPr>
      </w:pPr>
      <w:r>
        <w:rPr>
          <w:rFonts w:cs="Arial"/>
        </w:rPr>
        <w:t>5.</w:t>
      </w:r>
      <w:r>
        <w:rPr>
          <w:rFonts w:cs="Arial"/>
        </w:rPr>
        <w:tab/>
        <w:t>Die Anwendung des Reduzierungsplans ist für Tätigkeiten zur Verarbeitung von flüssigen ungesättigten Polyesterharzen mit Styrolzusatz nicht geeignet.</w:t>
      </w:r>
    </w:p>
    <w:p>
      <w:pPr>
        <w:pStyle w:val="GesAbsatz"/>
        <w:tabs>
          <w:tab w:val="clear" w:pos="425"/>
        </w:tabs>
        <w:ind w:left="426" w:hanging="426"/>
        <w:rPr>
          <w:rFonts w:cs="Arial"/>
        </w:rPr>
      </w:pPr>
      <w:r>
        <w:rPr>
          <w:rFonts w:cs="Arial"/>
        </w:rPr>
        <w:t>6.</w:t>
      </w:r>
      <w:r>
        <w:rPr>
          <w:rFonts w:cs="Arial"/>
        </w:rPr>
        <w:tab/>
        <w:t>Der Reduzierungsplan ist für Anlagen der Richtlinie 2010/75/EU, für die in Anhang III ein Gesamtemissionsgrenzwert aufgeführt ist, nicht anzuwenden.</w:t>
      </w:r>
    </w:p>
    <w:p>
      <w:pPr>
        <w:pStyle w:val="GesAbsatz"/>
        <w:tabs>
          <w:tab w:val="clear" w:pos="425"/>
          <w:tab w:val="left" w:pos="426"/>
        </w:tabs>
        <w:ind w:left="1134" w:hanging="1134"/>
        <w:rPr>
          <w:rFonts w:cs="Arial"/>
          <w:b/>
          <w:bCs/>
        </w:rPr>
      </w:pPr>
      <w:r>
        <w:rPr>
          <w:rFonts w:cs="Arial"/>
          <w:b/>
          <w:bCs/>
        </w:rPr>
        <w:t>C</w:t>
      </w:r>
      <w:r>
        <w:rPr>
          <w:rFonts w:cs="Arial"/>
          <w:b/>
          <w:bCs/>
        </w:rPr>
        <w:tab/>
        <w:t>Vereinfachter Nachweis zur Einhaltung der Anforderungen</w:t>
      </w:r>
    </w:p>
    <w:p>
      <w:pPr>
        <w:pStyle w:val="GesAbsatz"/>
        <w:ind w:left="426" w:hanging="426"/>
        <w:rPr>
          <w:rFonts w:cs="Arial"/>
        </w:rPr>
      </w:pPr>
      <w:r>
        <w:rPr>
          <w:rFonts w:cs="Arial"/>
        </w:rPr>
        <w:t>1.</w:t>
      </w:r>
      <w:r>
        <w:rPr>
          <w:rFonts w:cs="Arial"/>
        </w:rPr>
        <w:tab/>
        <w:t>Für eine Anlage der Nummer 1.3 des Anhangs I gilt die Zielemission des Reduzierungsplans nach Abschnitt B auch als eingehalten, wenn in dieser Anlage ausschließlich Druckfarben, Klarlacke, Klebstoffe und Hilfsstoffe mit einem Lösungsmittelgehalt von weniger als 10 Prozent eingesetzt werden und der Betreiber der Anlage dies gegenüber der zuständigen Behörde verbindlich erklärt.</w:t>
      </w:r>
    </w:p>
    <w:p>
      <w:pPr>
        <w:pStyle w:val="GesAbsatz"/>
        <w:tabs>
          <w:tab w:val="clear" w:pos="425"/>
          <w:tab w:val="left" w:pos="426"/>
        </w:tabs>
        <w:ind w:left="426" w:hanging="426"/>
        <w:rPr>
          <w:rFonts w:cs="Arial"/>
        </w:rPr>
      </w:pPr>
      <w:r>
        <w:rPr>
          <w:rFonts w:cs="Arial"/>
        </w:rPr>
        <w:t>2.</w:t>
      </w:r>
      <w:r>
        <w:rPr>
          <w:rFonts w:cs="Arial"/>
        </w:rPr>
        <w:tab/>
        <w:t>Für eine nicht genehmigungsbedürftige Anlage der Nummer 4.1, 4.2, 4.3, 4.4, 4.5, 5.1 oder 8.1 des Anhangs I gilt die Zielemission des Reduzierungsplans nach Abschnitt B auch als eingehalten, wenn in dieser Anlage ausschließlich Beschichtungsstoffe mit einem VOC-Wert von höchstens 250 g/l sowie Reinigungsmittel mit einem Massengehalt an flüchtigen organischen Verbindungen von weniger als 20 Prozent eingesetzt werden und der Betreiber der Anlage dies gegenüber der zuständigen Behörde verbindlich erklärt.</w:t>
      </w:r>
    </w:p>
    <w:p>
      <w:pPr>
        <w:pStyle w:val="GesAbsatz"/>
        <w:ind w:left="426" w:hanging="426"/>
        <w:rPr>
          <w:rFonts w:cs="Arial"/>
        </w:rPr>
      </w:pPr>
      <w:r>
        <w:rPr>
          <w:rFonts w:cs="Arial"/>
        </w:rPr>
        <w:t>3.</w:t>
      </w:r>
      <w:r>
        <w:rPr>
          <w:rFonts w:cs="Arial"/>
        </w:rPr>
        <w:tab/>
        <w:t>Für eine Anlage der Nummer 9.1 des Anhangs I gilt die Zielemission des Reduzierungsplans nach Abschnitt B auch als eingehalten, wenn</w:t>
      </w:r>
    </w:p>
    <w:p>
      <w:pPr>
        <w:pStyle w:val="GesAbsatz"/>
        <w:tabs>
          <w:tab w:val="clear" w:pos="425"/>
          <w:tab w:val="left" w:pos="426"/>
          <w:tab w:val="left" w:pos="1560"/>
        </w:tabs>
        <w:ind w:left="851" w:hanging="425"/>
        <w:rPr>
          <w:rFonts w:cs="Arial"/>
        </w:rPr>
      </w:pPr>
      <w:r>
        <w:rPr>
          <w:rFonts w:cs="Arial"/>
        </w:rPr>
        <w:t>a)</w:t>
      </w:r>
      <w:r>
        <w:rPr>
          <w:rFonts w:cs="Arial"/>
        </w:rPr>
        <w:tab/>
        <w:t>zur Beschichtung von ebenen und planen Oberflächen ausschließlich Beschichtungsstoffe mit einem VOC- Wert von höchstens 250 g/l eingesetzt werden,</w:t>
      </w:r>
    </w:p>
    <w:p>
      <w:pPr>
        <w:pStyle w:val="GesAbsatz"/>
        <w:tabs>
          <w:tab w:val="clear" w:pos="425"/>
          <w:tab w:val="left" w:pos="426"/>
          <w:tab w:val="left" w:pos="1560"/>
        </w:tabs>
        <w:ind w:left="851" w:hanging="425"/>
        <w:rPr>
          <w:rFonts w:cs="Arial"/>
        </w:rPr>
      </w:pPr>
      <w:r>
        <w:rPr>
          <w:rFonts w:cs="Arial"/>
        </w:rPr>
        <w:t>b)</w:t>
      </w:r>
      <w:r>
        <w:rPr>
          <w:rFonts w:cs="Arial"/>
        </w:rPr>
        <w:tab/>
        <w:t>zur Beschichtung sonstiger Oberflächen ausschließlich Beschichtungsstoffe mit einem VOC-Wert von höchstens 450 g/l eingesetzt werden und</w:t>
      </w:r>
    </w:p>
    <w:p>
      <w:pPr>
        <w:pStyle w:val="GesAbsatz"/>
        <w:tabs>
          <w:tab w:val="clear" w:pos="425"/>
          <w:tab w:val="left" w:pos="426"/>
          <w:tab w:val="left" w:pos="1560"/>
        </w:tabs>
        <w:ind w:left="851" w:hanging="425"/>
        <w:rPr>
          <w:rFonts w:cs="Arial"/>
        </w:rPr>
      </w:pPr>
      <w:r>
        <w:rPr>
          <w:rFonts w:cs="Arial"/>
        </w:rPr>
        <w:t>c)</w:t>
      </w:r>
      <w:r>
        <w:rPr>
          <w:rFonts w:cs="Arial"/>
        </w:rPr>
        <w:tab/>
        <w:t>ausschließlich wässrige Beizen mit einem VOC-Wert von höchstens 300 g/l eingesetzt werden</w:t>
      </w:r>
    </w:p>
    <w:p>
      <w:pPr>
        <w:pStyle w:val="GesAbsatz"/>
        <w:tabs>
          <w:tab w:val="clear" w:pos="425"/>
          <w:tab w:val="left" w:pos="426"/>
          <w:tab w:val="left" w:pos="1560"/>
        </w:tabs>
        <w:ind w:left="851" w:hanging="425"/>
        <w:rPr>
          <w:rFonts w:cs="Arial"/>
        </w:rPr>
      </w:pPr>
      <w:r>
        <w:rPr>
          <w:rFonts w:cs="Arial"/>
        </w:rPr>
        <w:lastRenderedPageBreak/>
        <w:t>und der Betreiber der Anlage dies gegenüber der zuständigen Behörde verbindlich erklärt.</w:t>
      </w:r>
    </w:p>
    <w:p>
      <w:pPr>
        <w:pStyle w:val="GesAbsatz"/>
        <w:tabs>
          <w:tab w:val="clear" w:pos="425"/>
          <w:tab w:val="left" w:pos="426"/>
        </w:tabs>
        <w:ind w:left="426" w:hanging="426"/>
        <w:rPr>
          <w:rFonts w:cs="Arial"/>
        </w:rPr>
      </w:pPr>
      <w:r>
        <w:rPr>
          <w:rFonts w:cs="Arial"/>
        </w:rPr>
        <w:t>4.</w:t>
      </w:r>
      <w:r>
        <w:rPr>
          <w:rFonts w:cs="Arial"/>
        </w:rPr>
        <w:tab/>
        <w:t>Für eine nicht genehmigungsbedürftige Anlage der Nummer 5.1 des Anhangs I gilt die Zielemission des Reduzierungsplans nach Abschnitt B auch als eingehalten, wenn die im Folgenden genannten Einsatzstoffe den zugeordneten VOC-Wert nicht überschreiten und der Betreiber der Anlage dies gegenüber der zuständigen Behörde verbindlich erklärt:</w:t>
      </w:r>
    </w:p>
    <w:tbl>
      <w:tblPr>
        <w:tblW w:w="5218" w:type="dxa"/>
        <w:jc w:val="center"/>
        <w:tblLook w:val="0000" w:firstRow="0" w:lastRow="0" w:firstColumn="0" w:lastColumn="0" w:noHBand="0" w:noVBand="0"/>
      </w:tblPr>
      <w:tblGrid>
        <w:gridCol w:w="2827"/>
        <w:gridCol w:w="2391"/>
      </w:tblGrid>
      <w:tr>
        <w:trPr>
          <w:cantSplit/>
          <w:trHeight w:val="536"/>
          <w:tblHeader/>
          <w:jc w:val="center"/>
        </w:trPr>
        <w:tc>
          <w:tcPr>
            <w:tcW w:w="2827" w:type="dxa"/>
            <w:tcBorders>
              <w:top w:val="single" w:sz="6" w:space="0" w:color="000000"/>
              <w:left w:val="single" w:sz="6" w:space="0" w:color="000000"/>
              <w:bottom w:val="single" w:sz="6" w:space="0" w:color="000000"/>
              <w:right w:val="single" w:sz="6" w:space="0" w:color="000000"/>
            </w:tcBorders>
            <w:vAlign w:val="center"/>
          </w:tcPr>
          <w:p>
            <w:pPr>
              <w:pStyle w:val="GesAbsatz"/>
              <w:jc w:val="center"/>
            </w:pPr>
            <w:r>
              <w:t>Einsatzstoff</w:t>
            </w:r>
          </w:p>
        </w:tc>
        <w:tc>
          <w:tcPr>
            <w:tcW w:w="2391" w:type="dxa"/>
            <w:tcBorders>
              <w:top w:val="single" w:sz="6" w:space="0" w:color="000000"/>
              <w:left w:val="single" w:sz="6" w:space="0" w:color="000000"/>
              <w:bottom w:val="single" w:sz="6" w:space="0" w:color="000000"/>
              <w:right w:val="single" w:sz="6" w:space="0" w:color="000000"/>
            </w:tcBorders>
            <w:vAlign w:val="center"/>
          </w:tcPr>
          <w:p>
            <w:pPr>
              <w:pStyle w:val="GesAbsatz"/>
              <w:jc w:val="center"/>
            </w:pPr>
            <w:r>
              <w:t>VOC-Wert (g/l)</w:t>
            </w:r>
          </w:p>
        </w:tc>
      </w:tr>
      <w:tr>
        <w:trPr>
          <w:trHeight w:val="320"/>
          <w:jc w:val="center"/>
        </w:trPr>
        <w:tc>
          <w:tcPr>
            <w:tcW w:w="2827" w:type="dxa"/>
            <w:tcBorders>
              <w:top w:val="single" w:sz="6" w:space="0" w:color="000000"/>
              <w:left w:val="single" w:sz="6" w:space="0" w:color="000000"/>
              <w:right w:val="single" w:sz="6" w:space="0" w:color="000000"/>
            </w:tcBorders>
            <w:vAlign w:val="center"/>
          </w:tcPr>
          <w:p>
            <w:pPr>
              <w:pStyle w:val="GesAbsatz"/>
            </w:pPr>
            <w:r>
              <w:t xml:space="preserve">Werkzeugreiniger </w:t>
            </w:r>
          </w:p>
        </w:tc>
        <w:tc>
          <w:tcPr>
            <w:tcW w:w="2391" w:type="dxa"/>
            <w:tcBorders>
              <w:top w:val="single" w:sz="6" w:space="0" w:color="000000"/>
              <w:left w:val="single" w:sz="6" w:space="0" w:color="000000"/>
              <w:right w:val="single" w:sz="6" w:space="0" w:color="000000"/>
            </w:tcBorders>
            <w:vAlign w:val="center"/>
          </w:tcPr>
          <w:p>
            <w:pPr>
              <w:pStyle w:val="GesAbsatz"/>
              <w:jc w:val="center"/>
            </w:pPr>
            <w:r>
              <w:t>850</w:t>
            </w:r>
          </w:p>
        </w:tc>
      </w:tr>
      <w:tr>
        <w:trPr>
          <w:trHeight w:val="320"/>
          <w:jc w:val="center"/>
        </w:trPr>
        <w:tc>
          <w:tcPr>
            <w:tcW w:w="2827" w:type="dxa"/>
            <w:tcBorders>
              <w:left w:val="single" w:sz="6" w:space="0" w:color="000000"/>
              <w:right w:val="single" w:sz="6" w:space="0" w:color="000000"/>
            </w:tcBorders>
            <w:vAlign w:val="center"/>
          </w:tcPr>
          <w:p>
            <w:pPr>
              <w:pStyle w:val="GesAbsatz"/>
            </w:pPr>
            <w:r>
              <w:t xml:space="preserve">Vorreinigungsmittel </w:t>
            </w:r>
          </w:p>
        </w:tc>
        <w:tc>
          <w:tcPr>
            <w:tcW w:w="2391" w:type="dxa"/>
            <w:tcBorders>
              <w:left w:val="single" w:sz="6" w:space="0" w:color="000000"/>
              <w:right w:val="single" w:sz="6" w:space="0" w:color="000000"/>
            </w:tcBorders>
            <w:vAlign w:val="center"/>
          </w:tcPr>
          <w:p>
            <w:pPr>
              <w:pStyle w:val="GesAbsatz"/>
              <w:jc w:val="center"/>
            </w:pPr>
            <w:r>
              <w:t>200</w:t>
            </w:r>
          </w:p>
        </w:tc>
      </w:tr>
      <w:tr>
        <w:trPr>
          <w:trHeight w:val="320"/>
          <w:jc w:val="center"/>
        </w:trPr>
        <w:tc>
          <w:tcPr>
            <w:tcW w:w="2827" w:type="dxa"/>
            <w:tcBorders>
              <w:left w:val="single" w:sz="6" w:space="0" w:color="000000"/>
              <w:right w:val="single" w:sz="6" w:space="0" w:color="000000"/>
            </w:tcBorders>
            <w:vAlign w:val="center"/>
          </w:tcPr>
          <w:p>
            <w:pPr>
              <w:pStyle w:val="GesAbsatz"/>
            </w:pPr>
            <w:r>
              <w:t xml:space="preserve">Spachtel </w:t>
            </w:r>
          </w:p>
        </w:tc>
        <w:tc>
          <w:tcPr>
            <w:tcW w:w="2391" w:type="dxa"/>
            <w:tcBorders>
              <w:left w:val="single" w:sz="6" w:space="0" w:color="000000"/>
              <w:right w:val="single" w:sz="6" w:space="0" w:color="000000"/>
            </w:tcBorders>
            <w:vAlign w:val="center"/>
          </w:tcPr>
          <w:p>
            <w:pPr>
              <w:pStyle w:val="GesAbsatz"/>
              <w:jc w:val="center"/>
            </w:pPr>
            <w:r>
              <w:t>250</w:t>
            </w:r>
          </w:p>
        </w:tc>
      </w:tr>
      <w:tr>
        <w:trPr>
          <w:trHeight w:val="320"/>
          <w:jc w:val="center"/>
        </w:trPr>
        <w:tc>
          <w:tcPr>
            <w:tcW w:w="2827" w:type="dxa"/>
            <w:tcBorders>
              <w:left w:val="single" w:sz="6" w:space="0" w:color="000000"/>
              <w:right w:val="single" w:sz="6" w:space="0" w:color="000000"/>
            </w:tcBorders>
            <w:vAlign w:val="center"/>
          </w:tcPr>
          <w:p>
            <w:pPr>
              <w:pStyle w:val="GesAbsatz"/>
            </w:pPr>
            <w:r>
              <w:t xml:space="preserve">Waschprimer </w:t>
            </w:r>
          </w:p>
        </w:tc>
        <w:tc>
          <w:tcPr>
            <w:tcW w:w="2391" w:type="dxa"/>
            <w:tcBorders>
              <w:left w:val="single" w:sz="6" w:space="0" w:color="000000"/>
              <w:right w:val="single" w:sz="6" w:space="0" w:color="000000"/>
            </w:tcBorders>
            <w:vAlign w:val="center"/>
          </w:tcPr>
          <w:p>
            <w:pPr>
              <w:pStyle w:val="GesAbsatz"/>
              <w:jc w:val="center"/>
            </w:pPr>
            <w:r>
              <w:t>780</w:t>
            </w:r>
          </w:p>
        </w:tc>
      </w:tr>
      <w:tr>
        <w:trPr>
          <w:trHeight w:val="320"/>
          <w:jc w:val="center"/>
        </w:trPr>
        <w:tc>
          <w:tcPr>
            <w:tcW w:w="2827" w:type="dxa"/>
            <w:tcBorders>
              <w:left w:val="single" w:sz="6" w:space="0" w:color="000000"/>
              <w:right w:val="single" w:sz="6" w:space="0" w:color="000000"/>
            </w:tcBorders>
            <w:vAlign w:val="center"/>
          </w:tcPr>
          <w:p>
            <w:pPr>
              <w:pStyle w:val="GesAbsatz"/>
            </w:pPr>
            <w:r>
              <w:t xml:space="preserve">Haftgrundierung </w:t>
            </w:r>
          </w:p>
        </w:tc>
        <w:tc>
          <w:tcPr>
            <w:tcW w:w="2391" w:type="dxa"/>
            <w:tcBorders>
              <w:left w:val="single" w:sz="6" w:space="0" w:color="000000"/>
              <w:right w:val="single" w:sz="6" w:space="0" w:color="000000"/>
            </w:tcBorders>
          </w:tcPr>
          <w:p>
            <w:pPr>
              <w:pStyle w:val="GesAbsatz"/>
              <w:jc w:val="center"/>
              <w:rPr>
                <w:szCs w:val="13"/>
              </w:rPr>
            </w:pPr>
            <w:r>
              <w:t>540</w:t>
            </w:r>
            <w:r>
              <w:rPr>
                <w:szCs w:val="13"/>
                <w:vertAlign w:val="superscript"/>
              </w:rPr>
              <w:t>1</w:t>
            </w:r>
          </w:p>
        </w:tc>
      </w:tr>
      <w:tr>
        <w:trPr>
          <w:trHeight w:val="320"/>
          <w:jc w:val="center"/>
        </w:trPr>
        <w:tc>
          <w:tcPr>
            <w:tcW w:w="2827" w:type="dxa"/>
            <w:tcBorders>
              <w:left w:val="single" w:sz="6" w:space="0" w:color="000000"/>
              <w:right w:val="single" w:sz="6" w:space="0" w:color="000000"/>
            </w:tcBorders>
            <w:vAlign w:val="center"/>
          </w:tcPr>
          <w:p>
            <w:pPr>
              <w:pStyle w:val="GesAbsatz"/>
            </w:pPr>
            <w:r>
              <w:t xml:space="preserve">Grundierfüller </w:t>
            </w:r>
          </w:p>
        </w:tc>
        <w:tc>
          <w:tcPr>
            <w:tcW w:w="2391" w:type="dxa"/>
            <w:tcBorders>
              <w:left w:val="single" w:sz="6" w:space="0" w:color="000000"/>
              <w:right w:val="single" w:sz="6" w:space="0" w:color="000000"/>
            </w:tcBorders>
          </w:tcPr>
          <w:p>
            <w:pPr>
              <w:pStyle w:val="GesAbsatz"/>
              <w:jc w:val="center"/>
              <w:rPr>
                <w:szCs w:val="13"/>
              </w:rPr>
            </w:pPr>
            <w:r>
              <w:t>540</w:t>
            </w:r>
            <w:r>
              <w:rPr>
                <w:szCs w:val="13"/>
                <w:vertAlign w:val="superscript"/>
              </w:rPr>
              <w:t>1</w:t>
            </w:r>
          </w:p>
        </w:tc>
      </w:tr>
      <w:tr>
        <w:trPr>
          <w:trHeight w:val="320"/>
          <w:jc w:val="center"/>
        </w:trPr>
        <w:tc>
          <w:tcPr>
            <w:tcW w:w="2827" w:type="dxa"/>
            <w:tcBorders>
              <w:left w:val="single" w:sz="6" w:space="0" w:color="000000"/>
              <w:right w:val="single" w:sz="6" w:space="0" w:color="000000"/>
            </w:tcBorders>
            <w:vAlign w:val="center"/>
          </w:tcPr>
          <w:p>
            <w:pPr>
              <w:pStyle w:val="GesAbsatz"/>
            </w:pPr>
            <w:r>
              <w:t xml:space="preserve">Schleiffüller </w:t>
            </w:r>
          </w:p>
        </w:tc>
        <w:tc>
          <w:tcPr>
            <w:tcW w:w="2391" w:type="dxa"/>
            <w:tcBorders>
              <w:left w:val="single" w:sz="6" w:space="0" w:color="000000"/>
              <w:right w:val="single" w:sz="6" w:space="0" w:color="000000"/>
            </w:tcBorders>
          </w:tcPr>
          <w:p>
            <w:pPr>
              <w:pStyle w:val="GesAbsatz"/>
              <w:jc w:val="center"/>
              <w:rPr>
                <w:szCs w:val="13"/>
              </w:rPr>
            </w:pPr>
            <w:r>
              <w:t>540</w:t>
            </w:r>
            <w:r>
              <w:rPr>
                <w:szCs w:val="13"/>
                <w:vertAlign w:val="superscript"/>
              </w:rPr>
              <w:t>1</w:t>
            </w:r>
          </w:p>
        </w:tc>
      </w:tr>
      <w:tr>
        <w:trPr>
          <w:trHeight w:val="320"/>
          <w:jc w:val="center"/>
        </w:trPr>
        <w:tc>
          <w:tcPr>
            <w:tcW w:w="2827" w:type="dxa"/>
            <w:tcBorders>
              <w:left w:val="single" w:sz="6" w:space="0" w:color="000000"/>
              <w:right w:val="single" w:sz="6" w:space="0" w:color="000000"/>
            </w:tcBorders>
            <w:vAlign w:val="center"/>
          </w:tcPr>
          <w:p>
            <w:pPr>
              <w:pStyle w:val="GesAbsatz"/>
            </w:pPr>
            <w:r>
              <w:t xml:space="preserve">Nass-in-Nassfüller </w:t>
            </w:r>
          </w:p>
        </w:tc>
        <w:tc>
          <w:tcPr>
            <w:tcW w:w="2391" w:type="dxa"/>
            <w:tcBorders>
              <w:left w:val="single" w:sz="6" w:space="0" w:color="000000"/>
              <w:right w:val="single" w:sz="6" w:space="0" w:color="000000"/>
            </w:tcBorders>
          </w:tcPr>
          <w:p>
            <w:pPr>
              <w:pStyle w:val="GesAbsatz"/>
              <w:jc w:val="center"/>
              <w:rPr>
                <w:szCs w:val="13"/>
              </w:rPr>
            </w:pPr>
            <w:r>
              <w:t>540</w:t>
            </w:r>
            <w:r>
              <w:rPr>
                <w:szCs w:val="13"/>
                <w:vertAlign w:val="superscript"/>
              </w:rPr>
              <w:t>2</w:t>
            </w:r>
          </w:p>
        </w:tc>
      </w:tr>
      <w:tr>
        <w:trPr>
          <w:trHeight w:val="320"/>
          <w:jc w:val="center"/>
        </w:trPr>
        <w:tc>
          <w:tcPr>
            <w:tcW w:w="2827" w:type="dxa"/>
            <w:tcBorders>
              <w:left w:val="single" w:sz="6" w:space="0" w:color="000000"/>
              <w:right w:val="single" w:sz="6" w:space="0" w:color="000000"/>
            </w:tcBorders>
            <w:vAlign w:val="center"/>
          </w:tcPr>
          <w:p>
            <w:pPr>
              <w:pStyle w:val="GesAbsatz"/>
            </w:pPr>
            <w:r>
              <w:t xml:space="preserve">Einschicht-Uni-Decklack </w:t>
            </w:r>
          </w:p>
        </w:tc>
        <w:tc>
          <w:tcPr>
            <w:tcW w:w="2391" w:type="dxa"/>
            <w:tcBorders>
              <w:left w:val="single" w:sz="6" w:space="0" w:color="000000"/>
              <w:right w:val="single" w:sz="6" w:space="0" w:color="000000"/>
            </w:tcBorders>
            <w:vAlign w:val="center"/>
          </w:tcPr>
          <w:p>
            <w:pPr>
              <w:pStyle w:val="GesAbsatz"/>
              <w:jc w:val="center"/>
            </w:pPr>
            <w:r>
              <w:t>420</w:t>
            </w:r>
          </w:p>
        </w:tc>
      </w:tr>
      <w:tr>
        <w:trPr>
          <w:trHeight w:val="320"/>
          <w:jc w:val="center"/>
        </w:trPr>
        <w:tc>
          <w:tcPr>
            <w:tcW w:w="2827" w:type="dxa"/>
            <w:tcBorders>
              <w:left w:val="single" w:sz="6" w:space="0" w:color="000000"/>
              <w:right w:val="single" w:sz="6" w:space="0" w:color="000000"/>
            </w:tcBorders>
            <w:vAlign w:val="center"/>
          </w:tcPr>
          <w:p>
            <w:pPr>
              <w:pStyle w:val="GesAbsatz"/>
            </w:pPr>
            <w:r>
              <w:t xml:space="preserve">Basislack </w:t>
            </w:r>
          </w:p>
        </w:tc>
        <w:tc>
          <w:tcPr>
            <w:tcW w:w="2391" w:type="dxa"/>
            <w:tcBorders>
              <w:left w:val="single" w:sz="6" w:space="0" w:color="000000"/>
              <w:right w:val="single" w:sz="6" w:space="0" w:color="000000"/>
            </w:tcBorders>
            <w:vAlign w:val="center"/>
          </w:tcPr>
          <w:p>
            <w:pPr>
              <w:pStyle w:val="GesAbsatz"/>
              <w:jc w:val="center"/>
            </w:pPr>
            <w:r>
              <w:t>420</w:t>
            </w:r>
          </w:p>
        </w:tc>
      </w:tr>
      <w:tr>
        <w:trPr>
          <w:trHeight w:val="320"/>
          <w:jc w:val="center"/>
        </w:trPr>
        <w:tc>
          <w:tcPr>
            <w:tcW w:w="2827" w:type="dxa"/>
            <w:tcBorders>
              <w:left w:val="single" w:sz="6" w:space="0" w:color="000000"/>
              <w:right w:val="single" w:sz="6" w:space="0" w:color="000000"/>
            </w:tcBorders>
            <w:vAlign w:val="center"/>
          </w:tcPr>
          <w:p>
            <w:pPr>
              <w:pStyle w:val="GesAbsatz"/>
            </w:pPr>
            <w:r>
              <w:t xml:space="preserve">Klarlack </w:t>
            </w:r>
          </w:p>
        </w:tc>
        <w:tc>
          <w:tcPr>
            <w:tcW w:w="2391" w:type="dxa"/>
            <w:tcBorders>
              <w:left w:val="single" w:sz="6" w:space="0" w:color="000000"/>
              <w:right w:val="single" w:sz="6" w:space="0" w:color="000000"/>
            </w:tcBorders>
          </w:tcPr>
          <w:p>
            <w:pPr>
              <w:pStyle w:val="GesAbsatz"/>
              <w:jc w:val="center"/>
              <w:rPr>
                <w:szCs w:val="13"/>
              </w:rPr>
            </w:pPr>
            <w:r>
              <w:t>420</w:t>
            </w:r>
            <w:r>
              <w:rPr>
                <w:szCs w:val="13"/>
                <w:vertAlign w:val="superscript"/>
              </w:rPr>
              <w:t>3</w:t>
            </w:r>
          </w:p>
        </w:tc>
      </w:tr>
      <w:tr>
        <w:trPr>
          <w:trHeight w:val="320"/>
          <w:jc w:val="center"/>
        </w:trPr>
        <w:tc>
          <w:tcPr>
            <w:tcW w:w="2827" w:type="dxa"/>
            <w:tcBorders>
              <w:left w:val="single" w:sz="6" w:space="0" w:color="000000"/>
              <w:bottom w:val="single" w:sz="6" w:space="0" w:color="000000"/>
              <w:right w:val="single" w:sz="6" w:space="0" w:color="000000"/>
            </w:tcBorders>
            <w:vAlign w:val="center"/>
          </w:tcPr>
          <w:p>
            <w:pPr>
              <w:pStyle w:val="GesAbsatz"/>
            </w:pPr>
            <w:r>
              <w:t xml:space="preserve">Spezialprodukte </w:t>
            </w:r>
          </w:p>
        </w:tc>
        <w:tc>
          <w:tcPr>
            <w:tcW w:w="2391" w:type="dxa"/>
            <w:tcBorders>
              <w:left w:val="single" w:sz="6" w:space="0" w:color="000000"/>
              <w:bottom w:val="single" w:sz="6" w:space="0" w:color="000000"/>
              <w:right w:val="single" w:sz="6" w:space="0" w:color="000000"/>
            </w:tcBorders>
          </w:tcPr>
          <w:p>
            <w:pPr>
              <w:pStyle w:val="GesAbsatz"/>
              <w:jc w:val="center"/>
              <w:rPr>
                <w:szCs w:val="13"/>
              </w:rPr>
            </w:pPr>
            <w:r>
              <w:t>840</w:t>
            </w:r>
            <w:r>
              <w:rPr>
                <w:szCs w:val="13"/>
                <w:vertAlign w:val="superscript"/>
              </w:rPr>
              <w:t>3,4</w:t>
            </w:r>
          </w:p>
        </w:tc>
      </w:tr>
    </w:tbl>
    <w:p>
      <w:pPr>
        <w:pStyle w:val="GesAbsatz"/>
        <w:tabs>
          <w:tab w:val="clear" w:pos="425"/>
        </w:tabs>
        <w:ind w:left="284" w:hanging="284"/>
        <w:rPr>
          <w:sz w:val="16"/>
          <w:szCs w:val="16"/>
        </w:rPr>
      </w:pPr>
      <w:r>
        <w:rPr>
          <w:sz w:val="16"/>
          <w:szCs w:val="16"/>
          <w:vertAlign w:val="superscript"/>
        </w:rPr>
        <w:t>1</w:t>
      </w:r>
      <w:r>
        <w:rPr>
          <w:sz w:val="16"/>
          <w:szCs w:val="16"/>
          <w:vertAlign w:val="superscript"/>
        </w:rPr>
        <w:tab/>
      </w:r>
      <w:r>
        <w:rPr>
          <w:sz w:val="16"/>
          <w:szCs w:val="16"/>
        </w:rPr>
        <w:t>Ab 1. Januar 2010 gelten &lt; 250, soweit die Anwendung des Einsatzstoffes nach dem Stand der Technik möglich ist</w:t>
      </w:r>
    </w:p>
    <w:p>
      <w:pPr>
        <w:pStyle w:val="GesAbsatz"/>
        <w:ind w:left="284" w:hanging="284"/>
        <w:rPr>
          <w:sz w:val="16"/>
          <w:szCs w:val="16"/>
        </w:rPr>
      </w:pPr>
      <w:r>
        <w:rPr>
          <w:sz w:val="16"/>
          <w:szCs w:val="16"/>
          <w:vertAlign w:val="superscript"/>
        </w:rPr>
        <w:t>2</w:t>
      </w:r>
      <w:r>
        <w:rPr>
          <w:sz w:val="16"/>
          <w:szCs w:val="16"/>
          <w:vertAlign w:val="superscript"/>
        </w:rPr>
        <w:tab/>
      </w:r>
      <w:r>
        <w:rPr>
          <w:sz w:val="16"/>
          <w:szCs w:val="16"/>
        </w:rPr>
        <w:t>Ab 1. Januar 2010 gelten &lt; 420, soweit die Anwendung des Einsatzstoffes nach dem Stand der Technik möglich ist</w:t>
      </w:r>
    </w:p>
    <w:p>
      <w:pPr>
        <w:pStyle w:val="GesAbsatz"/>
        <w:tabs>
          <w:tab w:val="clear" w:pos="425"/>
          <w:tab w:val="left" w:pos="284"/>
        </w:tabs>
        <w:rPr>
          <w:sz w:val="16"/>
          <w:szCs w:val="16"/>
        </w:rPr>
      </w:pPr>
      <w:r>
        <w:rPr>
          <w:sz w:val="16"/>
          <w:szCs w:val="16"/>
          <w:vertAlign w:val="superscript"/>
        </w:rPr>
        <w:t>3</w:t>
      </w:r>
      <w:r>
        <w:rPr>
          <w:sz w:val="16"/>
          <w:szCs w:val="16"/>
          <w:vertAlign w:val="superscript"/>
        </w:rPr>
        <w:tab/>
      </w:r>
      <w:r>
        <w:rPr>
          <w:sz w:val="16"/>
          <w:szCs w:val="16"/>
        </w:rPr>
        <w:t>Ab 1. Januar 2010 Anpassung an den Stand der Technik.</w:t>
      </w:r>
    </w:p>
    <w:p>
      <w:pPr>
        <w:pStyle w:val="GesAbsatz"/>
        <w:tabs>
          <w:tab w:val="clear" w:pos="425"/>
          <w:tab w:val="left" w:pos="284"/>
        </w:tabs>
        <w:ind w:left="284" w:hanging="284"/>
        <w:rPr>
          <w:sz w:val="16"/>
          <w:szCs w:val="16"/>
        </w:rPr>
      </w:pPr>
      <w:r>
        <w:rPr>
          <w:sz w:val="16"/>
          <w:szCs w:val="16"/>
          <w:vertAlign w:val="superscript"/>
        </w:rPr>
        <w:t>4</w:t>
      </w:r>
      <w:r>
        <w:rPr>
          <w:sz w:val="16"/>
          <w:szCs w:val="16"/>
          <w:vertAlign w:val="superscript"/>
        </w:rPr>
        <w:tab/>
      </w:r>
      <w:r>
        <w:rPr>
          <w:sz w:val="16"/>
          <w:szCs w:val="16"/>
        </w:rPr>
        <w:t>Der Anteil der Spezialprodukte an den gesamten Beschichtungsstoffen darf 10 Prozent nicht überschreiten.</w:t>
      </w:r>
    </w:p>
    <w:p>
      <w:pPr>
        <w:pStyle w:val="GesAbsatz"/>
        <w:ind w:left="426" w:hanging="426"/>
        <w:rPr>
          <w:rFonts w:cs="Arial"/>
        </w:rPr>
      </w:pPr>
      <w:r>
        <w:rPr>
          <w:rFonts w:cs="Arial"/>
        </w:rPr>
        <w:t>5.</w:t>
      </w:r>
      <w:r>
        <w:rPr>
          <w:rFonts w:cs="Arial"/>
        </w:rPr>
        <w:tab/>
        <w:t>Für Anlagen der Nummer 10.1 des Anhangs I gilt die Zielemission nach Abschnitt B auch als eingehalten, soweit die Emissionsfaktoren</w:t>
      </w:r>
    </w:p>
    <w:p>
      <w:pPr>
        <w:pStyle w:val="GesAbsatz"/>
        <w:tabs>
          <w:tab w:val="left" w:pos="1560"/>
        </w:tabs>
        <w:ind w:left="851" w:hanging="425"/>
        <w:rPr>
          <w:rFonts w:cs="Arial"/>
        </w:rPr>
      </w:pPr>
      <w:r>
        <w:rPr>
          <w:rFonts w:cs="Arial"/>
        </w:rPr>
        <w:t>a)</w:t>
      </w:r>
      <w:r>
        <w:rPr>
          <w:rFonts w:cs="Arial"/>
        </w:rPr>
        <w:tab/>
        <w:t>für das Beschichten und das Bedrucken 0,8 g C je Kilogramm Textilien nicht überschreiten und</w:t>
      </w:r>
    </w:p>
    <w:p>
      <w:pPr>
        <w:pStyle w:val="GesAbsatz"/>
        <w:tabs>
          <w:tab w:val="left" w:pos="1560"/>
        </w:tabs>
        <w:ind w:left="851" w:hanging="425"/>
        <w:rPr>
          <w:rFonts w:cs="Arial"/>
        </w:rPr>
      </w:pPr>
      <w:r>
        <w:rPr>
          <w:rFonts w:cs="Arial"/>
        </w:rPr>
        <w:t>b)</w:t>
      </w:r>
      <w:r>
        <w:rPr>
          <w:rFonts w:cs="Arial"/>
        </w:rPr>
        <w:tab/>
        <w:t>aus Verschleppung und Restgehalt der Präparation 0,4 g C je Kilogramm Textilien nicht überschreiten</w:t>
      </w:r>
    </w:p>
    <w:p>
      <w:pPr>
        <w:pStyle w:val="GesAbsatz"/>
        <w:tabs>
          <w:tab w:val="left" w:pos="1560"/>
        </w:tabs>
        <w:ind w:left="851" w:hanging="425"/>
        <w:rPr>
          <w:rFonts w:cs="Arial"/>
        </w:rPr>
      </w:pPr>
      <w:r>
        <w:rPr>
          <w:rFonts w:cs="Arial"/>
        </w:rPr>
        <w:t>und der Betreiber der Anlage dies gegenüber der zuständigen Behörde verbindlich erklärt.</w:t>
      </w:r>
    </w:p>
    <w:p>
      <w:pPr>
        <w:pStyle w:val="GesAbsatz"/>
        <w:tabs>
          <w:tab w:val="clear" w:pos="425"/>
          <w:tab w:val="left" w:pos="426"/>
        </w:tabs>
        <w:ind w:left="426" w:hanging="426"/>
        <w:rPr>
          <w:rFonts w:cs="Arial"/>
        </w:rPr>
      </w:pPr>
      <w:r>
        <w:rPr>
          <w:rFonts w:cs="Arial"/>
        </w:rPr>
        <w:t>6.</w:t>
      </w:r>
      <w:r>
        <w:rPr>
          <w:rFonts w:cs="Arial"/>
        </w:rPr>
        <w:tab/>
        <w:t>Für eine nicht genehmigungsbedürftige Anlage der Nummer 13.1 oder 14.1 des Anhangs I gilt die Zielemission nach Abschnitt B auch als eingehalten, wenn ausschließlich Klebstoffe und Primer mit einem Massengehalt an organischen Lösungsmitteln von weniger als 5 Prozent eingesetzt werden und der Betreiber der Anlage dies gegenüber der zuständigen Behörde verbindlich erklärt.</w:t>
      </w:r>
    </w:p>
    <w:p>
      <w:pPr>
        <w:pStyle w:val="berschrift2"/>
        <w:jc w:val="left"/>
      </w:pPr>
      <w:bookmarkStart w:id="24" w:name="_Toc157672297"/>
      <w:r>
        <w:t>Anhang V</w:t>
      </w:r>
      <w:r>
        <w:br/>
        <w:t>(zu den §§ 5 und 6)</w:t>
      </w:r>
      <w:bookmarkEnd w:id="24"/>
    </w:p>
    <w:p>
      <w:pPr>
        <w:pStyle w:val="GesAbsatz"/>
        <w:tabs>
          <w:tab w:val="clear" w:pos="425"/>
          <w:tab w:val="left" w:pos="567"/>
        </w:tabs>
        <w:ind w:left="1134" w:hanging="1134"/>
        <w:jc w:val="center"/>
        <w:rPr>
          <w:rFonts w:cs="Arial"/>
          <w:b/>
          <w:bCs/>
        </w:rPr>
      </w:pPr>
      <w:r>
        <w:rPr>
          <w:rFonts w:cs="Arial"/>
          <w:b/>
          <w:bCs/>
        </w:rPr>
        <w:t>Lösungsmittelbilanz</w:t>
      </w:r>
    </w:p>
    <w:p>
      <w:pPr>
        <w:pStyle w:val="GesAbsatz"/>
        <w:tabs>
          <w:tab w:val="clear" w:pos="425"/>
          <w:tab w:val="left" w:pos="567"/>
        </w:tabs>
        <w:ind w:left="1134" w:hanging="1134"/>
        <w:rPr>
          <w:rFonts w:cs="Arial"/>
          <w:b/>
          <w:bCs/>
        </w:rPr>
      </w:pPr>
      <w:r>
        <w:rPr>
          <w:rFonts w:cs="Arial"/>
          <w:b/>
          <w:bCs/>
        </w:rPr>
        <w:t>1</w:t>
      </w:r>
      <w:r>
        <w:rPr>
          <w:rFonts w:cs="Arial"/>
          <w:b/>
          <w:bCs/>
        </w:rPr>
        <w:tab/>
        <w:t>Definitionen</w:t>
      </w:r>
    </w:p>
    <w:p>
      <w:pPr>
        <w:pStyle w:val="GesAbsatz"/>
        <w:tabs>
          <w:tab w:val="clear" w:pos="425"/>
        </w:tabs>
        <w:ind w:left="567"/>
        <w:rPr>
          <w:rFonts w:cs="Arial"/>
        </w:rPr>
      </w:pPr>
      <w:r>
        <w:rPr>
          <w:rFonts w:cs="Arial"/>
        </w:rPr>
        <w:t>Die folgenden Definitionen dienen der Erstellung einer Lösungsmittelbilanz für eine Anlage, bezogen auf den Zeitraum eines Kalenderjahres oder eines beliebigen Zwölfmonatszeitraums:</w:t>
      </w:r>
    </w:p>
    <w:p>
      <w:pPr>
        <w:pStyle w:val="GesAbsatz"/>
        <w:tabs>
          <w:tab w:val="clear" w:pos="425"/>
        </w:tabs>
        <w:ind w:left="567" w:hanging="567"/>
        <w:rPr>
          <w:rFonts w:cs="Arial"/>
        </w:rPr>
      </w:pPr>
      <w:r>
        <w:rPr>
          <w:rFonts w:cs="Arial"/>
        </w:rPr>
        <w:t>1.1</w:t>
      </w:r>
      <w:r>
        <w:rPr>
          <w:rFonts w:cs="Arial"/>
        </w:rPr>
        <w:tab/>
        <w:t>Eintrag organischer Lösungsmittel in eine Anlage (I)</w:t>
      </w:r>
    </w:p>
    <w:p>
      <w:pPr>
        <w:pStyle w:val="GesAbsatz"/>
        <w:tabs>
          <w:tab w:val="clear" w:pos="425"/>
          <w:tab w:val="left" w:pos="567"/>
        </w:tabs>
        <w:ind w:left="993" w:hanging="426"/>
        <w:rPr>
          <w:rFonts w:cs="Arial"/>
        </w:rPr>
      </w:pPr>
      <w:r>
        <w:rPr>
          <w:rFonts w:cs="Arial"/>
        </w:rPr>
        <w:t>I1:</w:t>
      </w:r>
      <w:r>
        <w:rPr>
          <w:rFonts w:cs="Arial"/>
        </w:rPr>
        <w:tab/>
        <w:t>Die Menge organischer Lösungsmittel oder ihre Menge in gekauften Gemischen, die in einer Anlage in der Zeitspanne eingesetzt wird, die der Berechnung der Lösungsmittelbilanz zugrunde liegt.</w:t>
      </w:r>
    </w:p>
    <w:p>
      <w:pPr>
        <w:pStyle w:val="GesAbsatz"/>
        <w:tabs>
          <w:tab w:val="clear" w:pos="425"/>
        </w:tabs>
        <w:ind w:left="993" w:hanging="426"/>
        <w:rPr>
          <w:rFonts w:cs="Arial"/>
        </w:rPr>
      </w:pPr>
      <w:r>
        <w:rPr>
          <w:rFonts w:cs="Arial"/>
        </w:rPr>
        <w:t>I2:</w:t>
      </w:r>
      <w:r>
        <w:rPr>
          <w:rFonts w:cs="Arial"/>
        </w:rPr>
        <w:tab/>
        <w:t>Die Menge organischer Lösungsmittel oder ihre Menge in zurückgewonnenen Gemischen, die in der Anlage als Lösungsmittel zur Wiederverwendung eingesetzt wird. Das zurückgewonnene Lösungsmittel wird jedes Mal dann erfasst, wenn es dazu verwandt wird, die Tätigkeit auszuführen.</w:t>
      </w:r>
    </w:p>
    <w:p>
      <w:pPr>
        <w:pStyle w:val="GesAbsatz"/>
        <w:tabs>
          <w:tab w:val="clear" w:pos="425"/>
        </w:tabs>
        <w:ind w:left="567" w:hanging="567"/>
        <w:rPr>
          <w:rFonts w:cs="Arial"/>
        </w:rPr>
      </w:pPr>
      <w:r>
        <w:rPr>
          <w:rFonts w:cs="Arial"/>
        </w:rPr>
        <w:t>1.2</w:t>
      </w:r>
      <w:r>
        <w:rPr>
          <w:rFonts w:cs="Arial"/>
        </w:rPr>
        <w:tab/>
        <w:t>Austrag organischer Lösungsmittel aus einer Anlage (O)</w:t>
      </w:r>
    </w:p>
    <w:p>
      <w:pPr>
        <w:pStyle w:val="GesAbsatz"/>
        <w:tabs>
          <w:tab w:val="clear" w:pos="425"/>
          <w:tab w:val="left" w:pos="426"/>
        </w:tabs>
        <w:ind w:left="993" w:hanging="426"/>
        <w:rPr>
          <w:rFonts w:cs="Arial"/>
        </w:rPr>
      </w:pPr>
      <w:r>
        <w:rPr>
          <w:rFonts w:cs="Arial"/>
        </w:rPr>
        <w:lastRenderedPageBreak/>
        <w:t>O1:</w:t>
      </w:r>
      <w:r>
        <w:rPr>
          <w:rFonts w:cs="Arial"/>
        </w:rPr>
        <w:tab/>
        <w:t>Emissionen in gefassten Abgasen</w:t>
      </w:r>
    </w:p>
    <w:p>
      <w:pPr>
        <w:pStyle w:val="GesAbsatz"/>
        <w:tabs>
          <w:tab w:val="clear" w:pos="425"/>
          <w:tab w:val="left" w:pos="567"/>
        </w:tabs>
        <w:ind w:left="993"/>
        <w:rPr>
          <w:rFonts w:cs="Arial"/>
          <w:lang w:val="it-IT"/>
        </w:rPr>
      </w:pPr>
      <w:r>
        <w:rPr>
          <w:rFonts w:cs="Arial"/>
          <w:lang w:val="it-IT"/>
        </w:rPr>
        <w:t>O1 = O1.1 + O1.2</w:t>
      </w:r>
    </w:p>
    <w:p>
      <w:pPr>
        <w:pStyle w:val="GesAbsatz"/>
        <w:tabs>
          <w:tab w:val="clear" w:pos="425"/>
          <w:tab w:val="left" w:pos="567"/>
        </w:tabs>
        <w:ind w:left="993"/>
        <w:rPr>
          <w:rFonts w:cs="Arial"/>
        </w:rPr>
      </w:pPr>
      <w:r>
        <w:rPr>
          <w:rFonts w:cs="Arial"/>
        </w:rPr>
        <w:t>O1.1: Emissionen in den gefassten behandelten Abgasen</w:t>
      </w:r>
    </w:p>
    <w:p>
      <w:pPr>
        <w:pStyle w:val="GesAbsatz"/>
        <w:tabs>
          <w:tab w:val="clear" w:pos="425"/>
          <w:tab w:val="left" w:pos="567"/>
        </w:tabs>
        <w:ind w:left="993"/>
        <w:rPr>
          <w:rFonts w:cs="Arial"/>
        </w:rPr>
      </w:pPr>
      <w:r>
        <w:rPr>
          <w:rFonts w:cs="Arial"/>
        </w:rPr>
        <w:t>O1.2: Emissionen in den gefassten unbehandelten Abgasen</w:t>
      </w:r>
    </w:p>
    <w:p>
      <w:pPr>
        <w:pStyle w:val="GesAbsatz"/>
        <w:tabs>
          <w:tab w:val="clear" w:pos="425"/>
          <w:tab w:val="left" w:pos="567"/>
        </w:tabs>
        <w:ind w:left="993" w:hanging="426"/>
        <w:rPr>
          <w:rFonts w:cs="Arial"/>
        </w:rPr>
      </w:pPr>
      <w:r>
        <w:rPr>
          <w:rFonts w:cs="Arial"/>
        </w:rPr>
        <w:t>O2:</w:t>
      </w:r>
      <w:r>
        <w:rPr>
          <w:rFonts w:cs="Arial"/>
        </w:rPr>
        <w:tab/>
        <w:t>Die Menge organischer Lösungsmittel im Abwasser, gegebenenfalls unter Berücksichtigung der Abwasseraufbereitung bei der Berechnung von O5</w:t>
      </w:r>
    </w:p>
    <w:p>
      <w:pPr>
        <w:pStyle w:val="GesAbsatz"/>
        <w:tabs>
          <w:tab w:val="clear" w:pos="425"/>
          <w:tab w:val="left" w:pos="567"/>
        </w:tabs>
        <w:ind w:left="993" w:hanging="426"/>
        <w:rPr>
          <w:rFonts w:cs="Arial"/>
        </w:rPr>
      </w:pPr>
      <w:r>
        <w:rPr>
          <w:rFonts w:cs="Arial"/>
        </w:rPr>
        <w:t>O3:</w:t>
      </w:r>
      <w:r>
        <w:rPr>
          <w:rFonts w:cs="Arial"/>
        </w:rPr>
        <w:tab/>
        <w:t>Die Menge organischer Lösungsmittel, die als Verunreinigung oder Rückstand im Endprodukt verbleibt</w:t>
      </w:r>
    </w:p>
    <w:p>
      <w:pPr>
        <w:pStyle w:val="GesAbsatz"/>
        <w:tabs>
          <w:tab w:val="clear" w:pos="425"/>
          <w:tab w:val="left" w:pos="567"/>
        </w:tabs>
        <w:ind w:left="993" w:hanging="426"/>
        <w:rPr>
          <w:rFonts w:cs="Arial"/>
        </w:rPr>
      </w:pPr>
      <w:r>
        <w:rPr>
          <w:rFonts w:cs="Arial"/>
        </w:rPr>
        <w:t>O4:</w:t>
      </w:r>
      <w:r>
        <w:rPr>
          <w:rFonts w:cs="Arial"/>
        </w:rPr>
        <w:tab/>
        <w:t>Diffuse Emissionen nach § 2 Nr. 6 in die Luft</w:t>
      </w:r>
    </w:p>
    <w:p>
      <w:pPr>
        <w:pStyle w:val="GesAbsatz"/>
        <w:tabs>
          <w:tab w:val="clear" w:pos="425"/>
          <w:tab w:val="left" w:pos="567"/>
        </w:tabs>
        <w:ind w:left="993" w:hanging="426"/>
        <w:rPr>
          <w:rFonts w:cs="Arial"/>
        </w:rPr>
      </w:pPr>
      <w:r>
        <w:rPr>
          <w:rFonts w:cs="Arial"/>
        </w:rPr>
        <w:t>O5:</w:t>
      </w:r>
      <w:r>
        <w:rPr>
          <w:rFonts w:cs="Arial"/>
        </w:rPr>
        <w:tab/>
        <w:t>Die Menge organischer Lösungsmittel und/oder organischer Verbindungen, die aufgrund chemischer oder physikalischer Reaktionen, beispielsweise durch Verbrennung oder die Aufbereitung von Abgasen oder Abwasser vernichtet oder aufgefangen werden, sofern sie nicht unter O6, O7 oder O8 fallen</w:t>
      </w:r>
    </w:p>
    <w:p>
      <w:pPr>
        <w:pStyle w:val="GesAbsatz"/>
        <w:tabs>
          <w:tab w:val="clear" w:pos="425"/>
          <w:tab w:val="left" w:pos="567"/>
        </w:tabs>
        <w:ind w:left="993" w:hanging="426"/>
        <w:rPr>
          <w:rFonts w:cs="Arial"/>
        </w:rPr>
      </w:pPr>
      <w:r>
        <w:rPr>
          <w:rFonts w:cs="Arial"/>
        </w:rPr>
        <w:t>O6:</w:t>
      </w:r>
      <w:r>
        <w:rPr>
          <w:rFonts w:cs="Arial"/>
        </w:rPr>
        <w:tab/>
        <w:t>Die Menge organischer Lösungsmittel, die in eingesammeltem Abfall enthalten ist</w:t>
      </w:r>
    </w:p>
    <w:p>
      <w:pPr>
        <w:pStyle w:val="GesAbsatz"/>
        <w:tabs>
          <w:tab w:val="clear" w:pos="425"/>
          <w:tab w:val="left" w:pos="567"/>
        </w:tabs>
        <w:ind w:left="993" w:hanging="426"/>
        <w:rPr>
          <w:rFonts w:cs="Arial"/>
        </w:rPr>
      </w:pPr>
      <w:r>
        <w:rPr>
          <w:rFonts w:cs="Arial"/>
        </w:rPr>
        <w:t>O7:</w:t>
      </w:r>
      <w:r>
        <w:rPr>
          <w:rFonts w:cs="Arial"/>
        </w:rPr>
        <w:tab/>
        <w:t>Die Menge organischer Lösungsmittel oder der in Gemischen enthaltenen organischen Lösungsmittel, die als Produkt verkauft werden oder verkauft werden sollen, beispielsweise Lacke, Farben oder Klebstoffe als Verkaufsprodukte der Herstellungsprozesse</w:t>
      </w:r>
    </w:p>
    <w:p>
      <w:pPr>
        <w:pStyle w:val="GesAbsatz"/>
        <w:tabs>
          <w:tab w:val="clear" w:pos="425"/>
          <w:tab w:val="left" w:pos="567"/>
        </w:tabs>
        <w:ind w:left="993" w:hanging="426"/>
        <w:rPr>
          <w:rFonts w:cs="Arial"/>
        </w:rPr>
      </w:pPr>
      <w:r>
        <w:rPr>
          <w:rFonts w:cs="Arial"/>
        </w:rPr>
        <w:t>O8:</w:t>
      </w:r>
      <w:r>
        <w:rPr>
          <w:rFonts w:cs="Arial"/>
        </w:rPr>
        <w:tab/>
        <w:t>Die Menge organischer Lösungsmittel, die zur Wiederverwendung zurückgewonnen wurde oder in für die Wiederverwendung zurückgewonnenen Gemischen enthalten ist, jedoch nicht als Einsatz gilt, sofern sie nicht unter O7 fällt</w:t>
      </w:r>
    </w:p>
    <w:p>
      <w:pPr>
        <w:pStyle w:val="GesAbsatz"/>
        <w:tabs>
          <w:tab w:val="clear" w:pos="425"/>
          <w:tab w:val="left" w:pos="567"/>
        </w:tabs>
        <w:ind w:left="993" w:hanging="426"/>
        <w:rPr>
          <w:rFonts w:cs="Arial"/>
        </w:rPr>
      </w:pPr>
      <w:r>
        <w:rPr>
          <w:rFonts w:cs="Arial"/>
        </w:rPr>
        <w:t>O9:</w:t>
      </w:r>
      <w:r>
        <w:rPr>
          <w:rFonts w:cs="Arial"/>
        </w:rPr>
        <w:tab/>
        <w:t>Organische Lösungsmittel, die auf sonstigem Wege freigesetzt werden</w:t>
      </w:r>
    </w:p>
    <w:p>
      <w:pPr>
        <w:pStyle w:val="GesAbsatz"/>
        <w:tabs>
          <w:tab w:val="clear" w:pos="425"/>
        </w:tabs>
        <w:ind w:left="567" w:hanging="567"/>
        <w:rPr>
          <w:rFonts w:cs="Arial"/>
          <w:b/>
          <w:bCs/>
        </w:rPr>
      </w:pPr>
      <w:r>
        <w:rPr>
          <w:rFonts w:cs="Arial"/>
          <w:b/>
          <w:bCs/>
        </w:rPr>
        <w:t>2.</w:t>
      </w:r>
      <w:r>
        <w:rPr>
          <w:rFonts w:cs="Arial"/>
          <w:b/>
          <w:bCs/>
        </w:rPr>
        <w:tab/>
        <w:t>Leitlinien für die Verwendung einer Lösungsmittelbilanz zum Nachweis der Erfüllung von Anforderungen</w:t>
      </w:r>
    </w:p>
    <w:p>
      <w:pPr>
        <w:pStyle w:val="GesAbsatz"/>
        <w:tabs>
          <w:tab w:val="clear" w:pos="425"/>
        </w:tabs>
        <w:ind w:left="567"/>
        <w:rPr>
          <w:rFonts w:cs="Arial"/>
        </w:rPr>
      </w:pPr>
      <w:r>
        <w:rPr>
          <w:rFonts w:cs="Arial"/>
        </w:rPr>
        <w:t>Die Art und Weise, wie die Lösungsmittelbilanz verwendet wird, hängt von der jeweiligen zu überprüfenden Anforderung ab. Neben den nachfolgenden Überprüfungen dient die Lösungsmittelbilanz ebenfalls zur Bestimmung des Lösungsmittelverbrauchs, um feststellen zu können, ob eine Anlage in den Geltungsbereich der Verordnung fällt und welche Anforderungen in Abhängigkeit vom Schwellenwert nach Anhang I erfüllt werden müssen.</w:t>
      </w:r>
    </w:p>
    <w:p>
      <w:pPr>
        <w:pStyle w:val="GesAbsatz"/>
        <w:tabs>
          <w:tab w:val="clear" w:pos="425"/>
        </w:tabs>
        <w:ind w:left="567" w:hanging="567"/>
        <w:rPr>
          <w:rFonts w:cs="Arial"/>
        </w:rPr>
      </w:pPr>
      <w:r>
        <w:rPr>
          <w:rFonts w:cs="Arial"/>
        </w:rPr>
        <w:t>2.1</w:t>
      </w:r>
      <w:r>
        <w:rPr>
          <w:rFonts w:cs="Arial"/>
        </w:rPr>
        <w:tab/>
        <w:t>Ermittlung des Lösungsmittelverbrauchs und der Emissionen</w:t>
      </w:r>
    </w:p>
    <w:p>
      <w:pPr>
        <w:pStyle w:val="GesAbsatz"/>
        <w:tabs>
          <w:tab w:val="clear" w:pos="425"/>
        </w:tabs>
        <w:ind w:left="567" w:hanging="567"/>
        <w:rPr>
          <w:rFonts w:cs="Arial"/>
        </w:rPr>
      </w:pPr>
      <w:r>
        <w:rPr>
          <w:rFonts w:cs="Arial"/>
        </w:rPr>
        <w:t>2.1.1</w:t>
      </w:r>
      <w:r>
        <w:rPr>
          <w:rFonts w:cs="Arial"/>
        </w:rPr>
        <w:tab/>
        <w:t>Ermittlung des Lösungsmittelverbrauchs</w:t>
      </w:r>
    </w:p>
    <w:p>
      <w:pPr>
        <w:pStyle w:val="GesAbsatz"/>
        <w:tabs>
          <w:tab w:val="clear" w:pos="425"/>
        </w:tabs>
        <w:ind w:left="567"/>
        <w:rPr>
          <w:rFonts w:cs="Arial"/>
        </w:rPr>
      </w:pPr>
      <w:r>
        <w:rPr>
          <w:rFonts w:cs="Arial"/>
        </w:rPr>
        <w:t>Der Lösungsmittelverbrauch LV ist wie folgt zu berechnen:</w:t>
      </w:r>
    </w:p>
    <w:p>
      <w:pPr>
        <w:pStyle w:val="GesAbsatz"/>
        <w:tabs>
          <w:tab w:val="clear" w:pos="425"/>
        </w:tabs>
        <w:ind w:left="567"/>
        <w:rPr>
          <w:rFonts w:cs="Arial"/>
        </w:rPr>
      </w:pPr>
      <w:r>
        <w:rPr>
          <w:rFonts w:cs="Arial"/>
        </w:rPr>
        <w:t>LV = I1 - O8</w:t>
      </w:r>
    </w:p>
    <w:p>
      <w:pPr>
        <w:pStyle w:val="GesAbsatz"/>
        <w:tabs>
          <w:tab w:val="clear" w:pos="425"/>
        </w:tabs>
        <w:ind w:left="567" w:hanging="567"/>
        <w:rPr>
          <w:rFonts w:cs="Arial"/>
        </w:rPr>
      </w:pPr>
      <w:r>
        <w:rPr>
          <w:rFonts w:cs="Arial"/>
        </w:rPr>
        <w:t>2.1.2</w:t>
      </w:r>
      <w:r>
        <w:rPr>
          <w:rFonts w:cs="Arial"/>
        </w:rPr>
        <w:tab/>
        <w:t>Ermittlung der Emissionen</w:t>
      </w:r>
    </w:p>
    <w:p>
      <w:pPr>
        <w:pStyle w:val="GesAbsatz"/>
        <w:tabs>
          <w:tab w:val="clear" w:pos="425"/>
        </w:tabs>
        <w:ind w:left="567"/>
        <w:rPr>
          <w:rFonts w:cs="Arial"/>
        </w:rPr>
      </w:pPr>
      <w:r>
        <w:rPr>
          <w:rFonts w:cs="Arial"/>
        </w:rPr>
        <w:t>Um die Einhaltung eines Gesamtemissionsgrenzwertes oder die Einhaltung der Zielemission des Reduzierungsplans nach Anhang IV Abschnitt B zu überprüfen, ist die Lösungsmittelbilanz zur Ermittlung der Emissionen aufzustellen. Die Emissionen E sind wie folgt aus den diffusen Emissionen F und den Emissionen in gefassten Abgasen zu berechnen:</w:t>
      </w: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59"/>
      </w:tblGrid>
      <w:tr>
        <w:tc>
          <w:tcPr>
            <w:tcW w:w="1701" w:type="dxa"/>
          </w:tcPr>
          <w:p>
            <w:pPr>
              <w:pStyle w:val="GesAbsatz"/>
              <w:tabs>
                <w:tab w:val="clear" w:pos="425"/>
              </w:tabs>
              <w:jc w:val="left"/>
              <w:rPr>
                <w:rFonts w:cs="Arial"/>
              </w:rPr>
            </w:pPr>
            <w:r>
              <w:rPr>
                <w:rFonts w:cs="Arial"/>
              </w:rPr>
              <w:t>a) E = F + O1</w:t>
            </w:r>
          </w:p>
        </w:tc>
        <w:tc>
          <w:tcPr>
            <w:tcW w:w="7359" w:type="dxa"/>
          </w:tcPr>
          <w:p>
            <w:pPr>
              <w:pStyle w:val="GesAbsatz"/>
              <w:tabs>
                <w:tab w:val="clear" w:pos="425"/>
              </w:tabs>
              <w:rPr>
                <w:rFonts w:cs="Arial"/>
              </w:rPr>
            </w:pPr>
            <w:r>
              <w:rPr>
                <w:rFonts w:cs="Arial"/>
              </w:rPr>
              <w:t>bei Bestimmung der diffusen Emissionen nach der Nummer 2.2 Mittelbare Methode a oder der Nummer 2.2 Direkte Methode a,</w:t>
            </w:r>
          </w:p>
        </w:tc>
      </w:tr>
      <w:tr>
        <w:tc>
          <w:tcPr>
            <w:tcW w:w="1701" w:type="dxa"/>
          </w:tcPr>
          <w:p>
            <w:pPr>
              <w:pStyle w:val="GesAbsatz"/>
              <w:tabs>
                <w:tab w:val="clear" w:pos="425"/>
              </w:tabs>
              <w:jc w:val="left"/>
              <w:rPr>
                <w:rFonts w:cs="Arial"/>
              </w:rPr>
            </w:pPr>
            <w:r>
              <w:rPr>
                <w:rFonts w:cs="Arial"/>
              </w:rPr>
              <w:t>b) E = F + O1.1</w:t>
            </w:r>
          </w:p>
        </w:tc>
        <w:tc>
          <w:tcPr>
            <w:tcW w:w="7359" w:type="dxa"/>
          </w:tcPr>
          <w:p>
            <w:pPr>
              <w:pStyle w:val="GesAbsatz"/>
              <w:tabs>
                <w:tab w:val="clear" w:pos="425"/>
              </w:tabs>
              <w:rPr>
                <w:rFonts w:cs="Arial"/>
              </w:rPr>
            </w:pPr>
            <w:r>
              <w:rPr>
                <w:rFonts w:cs="Arial"/>
              </w:rPr>
              <w:t>bei Bestimmung der diffusen Emissionen nach der Nummer 2.2 Mittelbare Methode b oder der Nummer 2.2 Direkte Methode b.</w:t>
            </w:r>
          </w:p>
        </w:tc>
      </w:tr>
    </w:tbl>
    <w:p>
      <w:pPr>
        <w:pStyle w:val="GesAbsatz"/>
        <w:tabs>
          <w:tab w:val="clear" w:pos="425"/>
          <w:tab w:val="left" w:pos="567"/>
        </w:tabs>
        <w:ind w:left="567"/>
        <w:rPr>
          <w:rFonts w:cs="Arial"/>
        </w:rPr>
      </w:pPr>
      <w:r>
        <w:rPr>
          <w:rFonts w:cs="Arial"/>
        </w:rPr>
        <w:t>Die berechnete Emission E ist dann anschließend mit der Zielemission oder, nachdem sie gegebenenfalls durch die jeweiligen Produktparameter dividiert worden ist, mit dem festgelegten Gesamtemissionsgrenzwert zu vergleichen. Der Grenzwert für die Gesamtemissionen wird als Jahresmittelwert ausgedrückt.</w:t>
      </w:r>
    </w:p>
    <w:p>
      <w:pPr>
        <w:pStyle w:val="GesAbsatz"/>
        <w:tabs>
          <w:tab w:val="clear" w:pos="425"/>
          <w:tab w:val="left" w:pos="567"/>
        </w:tabs>
        <w:ind w:left="567" w:hanging="567"/>
        <w:rPr>
          <w:rFonts w:cs="Arial"/>
        </w:rPr>
      </w:pPr>
      <w:r>
        <w:rPr>
          <w:rFonts w:cs="Arial"/>
        </w:rPr>
        <w:t>2.1.3</w:t>
      </w:r>
      <w:r>
        <w:rPr>
          <w:rFonts w:cs="Arial"/>
        </w:rPr>
        <w:tab/>
        <w:t>Um die Einhaltung der Anforderungen nach § 3 Absatz 4 Nummer 2 Buchstabe b zu beurteilen, ist die Lösungsmittelbilanz aufzustellen, um die Gesamtemissionen aller relevanten Tätigkeiten zu bestimmen. Das Ergebnis ist anschließend mit den Gesamtemissionen zu vergleichen, die entstanden wären, wenn die Anforderungen für jede einzelne Tätigkeit erfüllt worden wären.</w:t>
      </w:r>
    </w:p>
    <w:p>
      <w:pPr>
        <w:pStyle w:val="GesAbsatz"/>
        <w:tabs>
          <w:tab w:val="clear" w:pos="425"/>
          <w:tab w:val="left" w:pos="567"/>
        </w:tabs>
        <w:ind w:left="567" w:hanging="567"/>
        <w:rPr>
          <w:rFonts w:cs="Arial"/>
        </w:rPr>
      </w:pPr>
      <w:r>
        <w:rPr>
          <w:rFonts w:cs="Arial"/>
        </w:rPr>
        <w:t>2.2</w:t>
      </w:r>
      <w:r>
        <w:rPr>
          <w:rFonts w:cs="Arial"/>
        </w:rPr>
        <w:tab/>
        <w:t>Bestimmung der diffusen Emissionen</w:t>
      </w:r>
    </w:p>
    <w:p>
      <w:pPr>
        <w:pStyle w:val="GesAbsatz"/>
        <w:tabs>
          <w:tab w:val="clear" w:pos="425"/>
          <w:tab w:val="left" w:pos="567"/>
        </w:tabs>
        <w:ind w:left="567"/>
        <w:rPr>
          <w:rFonts w:cs="Arial"/>
        </w:rPr>
      </w:pPr>
      <w:r>
        <w:rPr>
          <w:rFonts w:cs="Arial"/>
        </w:rPr>
        <w:t>Die diffusen Emissionen sind entweder mit der mittelbaren oder mit der direkten Methode zu bestimmen:</w:t>
      </w:r>
    </w:p>
    <w:p>
      <w:pPr>
        <w:pStyle w:val="GesAbsatz"/>
        <w:tabs>
          <w:tab w:val="clear" w:pos="425"/>
        </w:tabs>
        <w:ind w:left="993" w:hanging="426"/>
        <w:rPr>
          <w:rFonts w:cs="Arial"/>
        </w:rPr>
      </w:pPr>
      <w:r>
        <w:rPr>
          <w:rFonts w:cs="Arial"/>
        </w:rPr>
        <w:lastRenderedPageBreak/>
        <w:t>Mittelbare Methode</w:t>
      </w:r>
    </w:p>
    <w:p>
      <w:pPr>
        <w:pStyle w:val="GesAbsatz"/>
        <w:tabs>
          <w:tab w:val="clear" w:pos="425"/>
        </w:tabs>
        <w:ind w:left="993" w:hanging="426"/>
        <w:rPr>
          <w:rFonts w:cs="Arial"/>
        </w:rPr>
      </w:pPr>
      <w:r>
        <w:rPr>
          <w:rFonts w:cs="Arial"/>
        </w:rPr>
        <w:t>a)</w:t>
      </w:r>
      <w:r>
        <w:rPr>
          <w:rFonts w:cs="Arial"/>
        </w:rPr>
        <w:tab/>
        <w:t>ohne Zuordnung der Emissionen in gefassten unbehandelten Abgasen zu den diffusen Emissionen</w:t>
      </w:r>
    </w:p>
    <w:p>
      <w:pPr>
        <w:pStyle w:val="GesAbsatz"/>
        <w:tabs>
          <w:tab w:val="clear" w:pos="425"/>
        </w:tabs>
        <w:ind w:left="993"/>
        <w:rPr>
          <w:rFonts w:cs="Arial"/>
        </w:rPr>
      </w:pPr>
      <w:r>
        <w:rPr>
          <w:rFonts w:cs="Arial"/>
        </w:rPr>
        <w:t>F = I1 – O1 – O5 – O6 – O7 – O8</w:t>
      </w:r>
    </w:p>
    <w:p>
      <w:pPr>
        <w:pStyle w:val="GesAbsatz"/>
        <w:tabs>
          <w:tab w:val="clear" w:pos="425"/>
        </w:tabs>
        <w:ind w:left="993"/>
        <w:rPr>
          <w:rFonts w:cs="Arial"/>
        </w:rPr>
      </w:pPr>
      <w:r>
        <w:rPr>
          <w:rFonts w:cs="Arial"/>
        </w:rPr>
        <w:t>für die Anlagen der Nummern 1.2, 2.1, 3.1, 4.1 bis 4.5, 7.1 und 7.2, 11.1, 12.1 und 12.2, 13.1, 15.1, 16.1 bis 16.4, 17.1, 18.1, 19.1 nach Anhang I,</w:t>
      </w:r>
    </w:p>
    <w:p>
      <w:pPr>
        <w:pStyle w:val="GesAbsatz"/>
        <w:tabs>
          <w:tab w:val="clear" w:pos="425"/>
        </w:tabs>
        <w:ind w:left="993" w:hanging="426"/>
        <w:rPr>
          <w:rFonts w:cs="Arial"/>
        </w:rPr>
      </w:pPr>
      <w:r>
        <w:rPr>
          <w:rFonts w:cs="Arial"/>
        </w:rPr>
        <w:t>b)</w:t>
      </w:r>
      <w:r>
        <w:rPr>
          <w:rFonts w:cs="Arial"/>
        </w:rPr>
        <w:tab/>
        <w:t>mit Zuordnung der Emissionen in gefassten unbehandelten Abgasen zu den diffusen Emissionen</w:t>
      </w:r>
    </w:p>
    <w:p>
      <w:pPr>
        <w:pStyle w:val="GesAbsatz"/>
        <w:tabs>
          <w:tab w:val="clear" w:pos="425"/>
        </w:tabs>
        <w:ind w:left="993"/>
        <w:rPr>
          <w:rFonts w:cs="Arial"/>
        </w:rPr>
      </w:pPr>
      <w:r>
        <w:rPr>
          <w:rFonts w:cs="Arial"/>
        </w:rPr>
        <w:t>F = I1 – O1.1 – O5 – O6 – O7 – O8</w:t>
      </w:r>
    </w:p>
    <w:p>
      <w:pPr>
        <w:pStyle w:val="GesAbsatz"/>
        <w:tabs>
          <w:tab w:val="clear" w:pos="425"/>
        </w:tabs>
        <w:ind w:left="993"/>
        <w:rPr>
          <w:rFonts w:cs="Arial"/>
        </w:rPr>
      </w:pPr>
      <w:r>
        <w:rPr>
          <w:rFonts w:cs="Arial"/>
        </w:rPr>
        <w:t>für die Anlagen der Nummern 1.1, 1.3, 5.1, 6.1, 8.1, 9.1 und 9.2, 10.1 oder 14.1. nach Anhang I.</w:t>
      </w:r>
    </w:p>
    <w:p>
      <w:pPr>
        <w:pStyle w:val="GesAbsatz"/>
        <w:tabs>
          <w:tab w:val="clear" w:pos="425"/>
        </w:tabs>
        <w:ind w:left="993" w:hanging="426"/>
        <w:rPr>
          <w:rFonts w:cs="Arial"/>
        </w:rPr>
      </w:pPr>
      <w:r>
        <w:rPr>
          <w:rFonts w:cs="Arial"/>
        </w:rPr>
        <w:t>Direkte Methode</w:t>
      </w:r>
    </w:p>
    <w:p>
      <w:pPr>
        <w:pStyle w:val="GesAbsatz"/>
        <w:tabs>
          <w:tab w:val="clear" w:pos="425"/>
        </w:tabs>
        <w:ind w:left="993" w:hanging="426"/>
        <w:rPr>
          <w:rFonts w:cs="Arial"/>
        </w:rPr>
      </w:pPr>
      <w:r>
        <w:rPr>
          <w:rFonts w:cs="Arial"/>
        </w:rPr>
        <w:t>a)</w:t>
      </w:r>
      <w:r>
        <w:rPr>
          <w:rFonts w:cs="Arial"/>
        </w:rPr>
        <w:tab/>
        <w:t>ohne Zuordnung der Emissionen in gefassten unbehandelten Abgasen zu den diffusen Emissionen</w:t>
      </w:r>
    </w:p>
    <w:p>
      <w:pPr>
        <w:pStyle w:val="GesAbsatz"/>
        <w:tabs>
          <w:tab w:val="clear" w:pos="425"/>
        </w:tabs>
        <w:ind w:left="993"/>
        <w:rPr>
          <w:rFonts w:cs="Arial"/>
        </w:rPr>
      </w:pPr>
      <w:r>
        <w:rPr>
          <w:rFonts w:cs="Arial"/>
        </w:rPr>
        <w:t>F = O2 + O3 + O4 + O9</w:t>
      </w:r>
    </w:p>
    <w:p>
      <w:pPr>
        <w:pStyle w:val="GesAbsatz"/>
        <w:tabs>
          <w:tab w:val="clear" w:pos="425"/>
        </w:tabs>
        <w:ind w:left="993"/>
        <w:rPr>
          <w:rFonts w:cs="Arial"/>
        </w:rPr>
      </w:pPr>
      <w:r>
        <w:rPr>
          <w:rFonts w:cs="Arial"/>
        </w:rPr>
        <w:t>für die Anlagen der Nummern 1.2, 2.1, 3.1, 4.1 bis 4.5, 7.1 und 7.2, 11.1, 12.1 und 12.2, 13.1, 15.1, 16.1 bis 16.4, 17.1, 18.1, 19.1 nach Anhang I,</w:t>
      </w:r>
    </w:p>
    <w:p>
      <w:pPr>
        <w:pStyle w:val="GesAbsatz"/>
        <w:tabs>
          <w:tab w:val="clear" w:pos="425"/>
        </w:tabs>
        <w:ind w:left="993" w:hanging="426"/>
        <w:rPr>
          <w:rFonts w:cs="Arial"/>
        </w:rPr>
      </w:pPr>
      <w:r>
        <w:rPr>
          <w:rFonts w:cs="Arial"/>
        </w:rPr>
        <w:t>b)</w:t>
      </w:r>
      <w:r>
        <w:rPr>
          <w:rFonts w:cs="Arial"/>
        </w:rPr>
        <w:tab/>
        <w:t>mit Zuordnung der Emissionen in gefassten unbehandelten Abgasen zu den diffusen Emissionen</w:t>
      </w:r>
    </w:p>
    <w:p>
      <w:pPr>
        <w:pStyle w:val="GesAbsatz"/>
        <w:tabs>
          <w:tab w:val="clear" w:pos="425"/>
        </w:tabs>
        <w:ind w:left="993"/>
        <w:rPr>
          <w:rFonts w:cs="Arial"/>
        </w:rPr>
      </w:pPr>
      <w:r>
        <w:rPr>
          <w:rFonts w:cs="Arial"/>
        </w:rPr>
        <w:t>F = O1.2 + O2 + O3 + O4 + O9</w:t>
      </w:r>
    </w:p>
    <w:p>
      <w:pPr>
        <w:pStyle w:val="GesAbsatz"/>
        <w:tabs>
          <w:tab w:val="clear" w:pos="425"/>
        </w:tabs>
        <w:ind w:left="993"/>
        <w:rPr>
          <w:rFonts w:cs="Arial"/>
        </w:rPr>
      </w:pPr>
      <w:r>
        <w:rPr>
          <w:rFonts w:cs="Arial"/>
        </w:rPr>
        <w:t>für die Anlagen der Nummern 1.1, 1.3, 5.1, 6.1, 8.1, 9.1 und 9.2, 10.1, 14.1 nach Anhang I.</w:t>
      </w:r>
    </w:p>
    <w:p>
      <w:pPr>
        <w:pStyle w:val="GesAbsatz"/>
        <w:tabs>
          <w:tab w:val="clear" w:pos="425"/>
        </w:tabs>
        <w:ind w:left="567"/>
        <w:rPr>
          <w:rFonts w:cs="Arial"/>
        </w:rPr>
      </w:pPr>
      <w:r>
        <w:rPr>
          <w:rFonts w:cs="Arial"/>
        </w:rPr>
        <w:t>Die Mengen der einzelnen Ein- oder Austräge werden durch zeitlich begrenzte, aber umfassende Messungen bestimmt, die solange nicht wiederholt werden müssen, bis die Anlagenausrüstung verändert wird. Alternative gleichwertige Berechnungen können durchgeführt werden. Der Grenzwert für diffuse Emissionen wird als Anteil am Lösungsmitteleinsatz ausgedrückt, der wie folgt zu berechnen ist:</w:t>
      </w:r>
    </w:p>
    <w:p>
      <w:pPr>
        <w:pStyle w:val="GesAbsatz"/>
        <w:tabs>
          <w:tab w:val="clear" w:pos="425"/>
        </w:tabs>
        <w:ind w:left="993" w:hanging="426"/>
        <w:rPr>
          <w:rFonts w:cs="Arial"/>
          <w:lang w:val="sv-SE"/>
        </w:rPr>
      </w:pPr>
      <w:r>
        <w:rPr>
          <w:rFonts w:cs="Arial"/>
          <w:lang w:val="sv-SE"/>
        </w:rPr>
        <w:t>I = I1 + I2.</w:t>
      </w:r>
    </w:p>
    <w:p>
      <w:pPr>
        <w:pStyle w:val="GesAbsatz"/>
        <w:tabs>
          <w:tab w:val="clear" w:pos="425"/>
          <w:tab w:val="left" w:pos="567"/>
        </w:tabs>
        <w:ind w:left="567" w:hanging="567"/>
        <w:rPr>
          <w:rFonts w:cs="Arial"/>
          <w:b/>
          <w:lang w:val="sv-SE"/>
        </w:rPr>
      </w:pPr>
      <w:r>
        <w:rPr>
          <w:rFonts w:cs="Arial"/>
          <w:b/>
        </w:rPr>
        <w:t>3.</w:t>
      </w:r>
      <w:r>
        <w:rPr>
          <w:rFonts w:cs="Arial"/>
          <w:b/>
        </w:rPr>
        <w:tab/>
        <w:t>Minimierung der Unsicherheit der Daten der Lösungsmittelbilanz</w:t>
      </w:r>
    </w:p>
    <w:p>
      <w:pPr>
        <w:pStyle w:val="GesAbsatz"/>
        <w:tabs>
          <w:tab w:val="clear" w:pos="425"/>
        </w:tabs>
        <w:ind w:left="567"/>
        <w:rPr>
          <w:rFonts w:cs="Arial"/>
          <w:lang w:val="sv-SE"/>
        </w:rPr>
      </w:pPr>
      <w:r>
        <w:rPr>
          <w:rFonts w:cs="Arial"/>
          <w:lang w:val="sv-SE"/>
        </w:rPr>
        <w:t>Die Charakterisierung und Quantifizierung der relevanten Lösungsmittelein- und -ausgänge ist durch geeignetes Personal mit ausreichendem Fachwissen zur Erstellung einer Lösungsmittelbilanz durchzuführen. Die Lösungsmittelbilanz ist so aufzustellen, dass folgende Qualitätsanforderungen erfüllt sind:</w:t>
      </w:r>
    </w:p>
    <w:p>
      <w:pPr>
        <w:pStyle w:val="GesAbsatz"/>
        <w:tabs>
          <w:tab w:val="clear" w:pos="425"/>
        </w:tabs>
        <w:ind w:left="993" w:hanging="426"/>
        <w:rPr>
          <w:rFonts w:cs="Arial"/>
          <w:lang w:val="sv-SE"/>
        </w:rPr>
      </w:pPr>
      <w:r>
        <w:rPr>
          <w:rFonts w:cs="Arial"/>
          <w:lang w:val="sv-SE"/>
        </w:rPr>
        <w:t>a)</w:t>
      </w:r>
      <w:r>
        <w:rPr>
          <w:rFonts w:cs="Arial"/>
          <w:lang w:val="sv-SE"/>
        </w:rPr>
        <w:tab/>
        <w:t>die Methoden zur Ermittlung der relevanten Eingangs- und Austragsgrößen sind beschrieben,</w:t>
      </w:r>
    </w:p>
    <w:p>
      <w:pPr>
        <w:pStyle w:val="GesAbsatz"/>
        <w:tabs>
          <w:tab w:val="clear" w:pos="425"/>
        </w:tabs>
        <w:ind w:left="993" w:hanging="426"/>
        <w:rPr>
          <w:rFonts w:cs="Arial"/>
          <w:lang w:val="sv-SE"/>
        </w:rPr>
      </w:pPr>
      <w:r>
        <w:rPr>
          <w:rFonts w:cs="Arial"/>
          <w:lang w:val="sv-SE"/>
        </w:rPr>
        <w:t>b)</w:t>
      </w:r>
      <w:r>
        <w:rPr>
          <w:rFonts w:cs="Arial"/>
          <w:lang w:val="sv-SE"/>
        </w:rPr>
        <w:tab/>
        <w:t>die Ableitung verwendeter Umrechnungsfaktoren ist dokumentiert und ihre Anwendbarkeit für die betroffenen Zwecke ist nachgewiesen,</w:t>
      </w:r>
    </w:p>
    <w:p>
      <w:pPr>
        <w:pStyle w:val="GesAbsatz"/>
        <w:tabs>
          <w:tab w:val="clear" w:pos="425"/>
        </w:tabs>
        <w:ind w:left="993" w:hanging="426"/>
        <w:rPr>
          <w:rFonts w:cs="Arial"/>
          <w:lang w:val="sv-SE"/>
        </w:rPr>
      </w:pPr>
      <w:r>
        <w:rPr>
          <w:rFonts w:cs="Arial"/>
          <w:lang w:val="sv-SE"/>
        </w:rPr>
        <w:t>c)</w:t>
      </w:r>
      <w:r>
        <w:rPr>
          <w:rFonts w:cs="Arial"/>
          <w:lang w:val="sv-SE"/>
        </w:rPr>
        <w:tab/>
        <w:t>die quantitativen Angaben zu den relevanten Stoffströmen enthalten auch Abschätzungen der damit assoziierten Unsicherheit.</w:t>
      </w:r>
    </w:p>
    <w:p>
      <w:pPr>
        <w:pStyle w:val="GesAbsatz"/>
        <w:tabs>
          <w:tab w:val="clear" w:pos="425"/>
        </w:tabs>
        <w:ind w:left="567"/>
        <w:rPr>
          <w:rFonts w:cs="Arial"/>
          <w:lang w:val="sv-SE"/>
        </w:rPr>
      </w:pPr>
      <w:r>
        <w:rPr>
          <w:rFonts w:cs="Arial"/>
          <w:lang w:val="sv-SE"/>
        </w:rPr>
        <w:t>Nach der Analyse der Ungenauigkeiten der verwendeten Methodik soll beurteilt werden, ob unter Berücksichtigung der in der Lösungsmittelbilanz enthaltenen Ungenauigkeiten eine sichere Beurteilung der Einhaltung der Emissionsanforderungen möglich ist. Andernfalls sind weitere Informationen zu ermitteln, um das Genauigkeitsniveau zu verbessern, wie zum Beispiel durch</w:t>
      </w:r>
    </w:p>
    <w:p>
      <w:pPr>
        <w:pStyle w:val="GesAbsatz"/>
        <w:tabs>
          <w:tab w:val="clear" w:pos="425"/>
        </w:tabs>
        <w:ind w:left="993" w:hanging="426"/>
        <w:rPr>
          <w:rFonts w:cs="Arial"/>
          <w:lang w:val="sv-SE"/>
        </w:rPr>
      </w:pPr>
      <w:r>
        <w:rPr>
          <w:rFonts w:cs="Arial"/>
          <w:lang w:val="sv-SE"/>
        </w:rPr>
        <w:t>1.</w:t>
      </w:r>
      <w:r>
        <w:rPr>
          <w:rFonts w:cs="Arial"/>
          <w:lang w:val="sv-SE"/>
        </w:rPr>
        <w:tab/>
        <w:t>die vollständige Ermittlung und Quantifizierung der relevanten Lösungsmittel-Inputs und -Outputs, einschließlich der damit verbundenen Unsicherheit, wie zum Beispiel durch</w:t>
      </w:r>
    </w:p>
    <w:p>
      <w:pPr>
        <w:pStyle w:val="GesAbsatz"/>
        <w:tabs>
          <w:tab w:val="clear" w:pos="425"/>
        </w:tabs>
        <w:ind w:left="1418" w:hanging="425"/>
        <w:rPr>
          <w:rFonts w:cs="Arial"/>
          <w:lang w:val="sv-SE"/>
        </w:rPr>
      </w:pPr>
      <w:r>
        <w:rPr>
          <w:rFonts w:cs="Arial"/>
          <w:lang w:val="sv-SE"/>
        </w:rPr>
        <w:t>a)</w:t>
      </w:r>
      <w:r>
        <w:rPr>
          <w:rFonts w:cs="Arial"/>
          <w:lang w:val="sv-SE"/>
        </w:rPr>
        <w:tab/>
        <w:t>die Ermittlung und Dokumentation der Lösungsmittel-Inputs und -Outputs (zum Beispiel Emissionen in Abgasen, Emissionen aus jeder diffusen Emissionsquelle, Lösungsmittel-Output in Abfällen, spezifische Ermittlung des Terms (O1.1 + O5) durch kontinuierliche Erfassung der zugeführten Rohgasmenge),</w:t>
      </w:r>
    </w:p>
    <w:p>
      <w:pPr>
        <w:pStyle w:val="GesAbsatz"/>
        <w:tabs>
          <w:tab w:val="clear" w:pos="425"/>
        </w:tabs>
        <w:ind w:left="1418" w:hanging="425"/>
        <w:rPr>
          <w:rFonts w:cs="Arial"/>
          <w:lang w:val="sv-SE"/>
        </w:rPr>
      </w:pPr>
      <w:r>
        <w:rPr>
          <w:rFonts w:cs="Arial"/>
          <w:lang w:val="sv-SE"/>
        </w:rPr>
        <w:t>b)</w:t>
      </w:r>
      <w:r>
        <w:rPr>
          <w:rFonts w:cs="Arial"/>
          <w:lang w:val="sv-SE"/>
        </w:rPr>
        <w:tab/>
        <w:t>die fundierte Quantifizierung aller relevanten Lösungsmittel-Inputs und -Outputs und Aufzeichnung der verwendeten Methodik (zum Beispiel Messung, Berechnung anhand von Emissionsfaktoren, Schätzung auf der Grundlage von Betriebsparametern),</w:t>
      </w:r>
    </w:p>
    <w:p>
      <w:pPr>
        <w:pStyle w:val="GesAbsatz"/>
        <w:tabs>
          <w:tab w:val="clear" w:pos="425"/>
        </w:tabs>
        <w:ind w:left="1418" w:hanging="425"/>
        <w:rPr>
          <w:rFonts w:cs="Arial"/>
          <w:lang w:val="sv-SE"/>
        </w:rPr>
      </w:pPr>
      <w:r>
        <w:rPr>
          <w:rFonts w:cs="Arial"/>
          <w:lang w:val="sv-SE"/>
        </w:rPr>
        <w:t>c)</w:t>
      </w:r>
      <w:r>
        <w:rPr>
          <w:rFonts w:cs="Arial"/>
          <w:lang w:val="sv-SE"/>
        </w:rPr>
        <w:tab/>
        <w:t>die Ermittlung der Hauptursachen der Unsicherheit bei der vorgenannten Quantifizierung sowie die Durchführung von Abhilfemaßnahmen zur Verringerung der Unsicherheit,</w:t>
      </w:r>
    </w:p>
    <w:p>
      <w:pPr>
        <w:pStyle w:val="GesAbsatz"/>
        <w:tabs>
          <w:tab w:val="clear" w:pos="425"/>
        </w:tabs>
        <w:ind w:left="1418" w:hanging="425"/>
        <w:rPr>
          <w:rFonts w:cs="Arial"/>
          <w:lang w:val="sv-SE"/>
        </w:rPr>
      </w:pPr>
      <w:r>
        <w:rPr>
          <w:rFonts w:cs="Arial"/>
          <w:lang w:val="sv-SE"/>
        </w:rPr>
        <w:t>d)</w:t>
      </w:r>
      <w:r>
        <w:rPr>
          <w:rFonts w:cs="Arial"/>
          <w:lang w:val="sv-SE"/>
        </w:rPr>
        <w:tab/>
        <w:t>die regelmäßige Aktualisierung der Daten über den Lösungsmittel-Input und -Output,</w:t>
      </w:r>
    </w:p>
    <w:p>
      <w:pPr>
        <w:pStyle w:val="GesAbsatz"/>
        <w:tabs>
          <w:tab w:val="clear" w:pos="425"/>
        </w:tabs>
        <w:ind w:left="993" w:hanging="426"/>
        <w:rPr>
          <w:rFonts w:cs="Arial"/>
          <w:lang w:val="sv-SE"/>
        </w:rPr>
      </w:pPr>
      <w:r>
        <w:rPr>
          <w:rFonts w:cs="Arial"/>
          <w:lang w:val="sv-SE"/>
        </w:rPr>
        <w:t>2.</w:t>
      </w:r>
      <w:r>
        <w:rPr>
          <w:rFonts w:cs="Arial"/>
          <w:lang w:val="sv-SE"/>
        </w:rPr>
        <w:tab/>
        <w:t>die Umsetzung eines Lösungsmittelerfassungssystems zur Kontrolle sowohl der verwendeten als auch der nicht verwendeten Mengen an Lösungsmitteln (zum Beispiel durch Wiegen der nicht verwendeten Mengen, die aus dem Aufbringungsbereich wieder in den Lagerbereich verbracht werden),</w:t>
      </w:r>
    </w:p>
    <w:p>
      <w:pPr>
        <w:pStyle w:val="GesAbsatz"/>
        <w:tabs>
          <w:tab w:val="clear" w:pos="425"/>
        </w:tabs>
        <w:ind w:left="993" w:hanging="426"/>
        <w:rPr>
          <w:rFonts w:cs="Arial"/>
          <w:lang w:val="sv-SE"/>
        </w:rPr>
      </w:pPr>
      <w:r>
        <w:rPr>
          <w:rFonts w:cs="Arial"/>
          <w:lang w:val="sv-SE"/>
        </w:rPr>
        <w:lastRenderedPageBreak/>
        <w:t>3.</w:t>
      </w:r>
      <w:r>
        <w:rPr>
          <w:rFonts w:cs="Arial"/>
          <w:lang w:val="sv-SE"/>
        </w:rPr>
        <w:tab/>
        <w:t>Überwachung von Veränderungen, die die Unsicherheit der Daten der Lösungsmittelbilanz beeinflussen können, insbesondere durch Aufzeichnungen jeglicher Veränderungen, die die Unsicherheit der Daten der Lösungsmittelbilanz beeinflussen könnten, wie etwa</w:t>
      </w:r>
    </w:p>
    <w:p>
      <w:pPr>
        <w:pStyle w:val="GesAbsatz"/>
        <w:tabs>
          <w:tab w:val="clear" w:pos="425"/>
        </w:tabs>
        <w:ind w:left="1418" w:hanging="425"/>
        <w:rPr>
          <w:rFonts w:cs="Arial"/>
          <w:lang w:val="sv-SE"/>
        </w:rPr>
      </w:pPr>
      <w:r>
        <w:rPr>
          <w:rFonts w:cs="Arial"/>
          <w:lang w:val="sv-SE"/>
        </w:rPr>
        <w:t>a)</w:t>
      </w:r>
      <w:r>
        <w:rPr>
          <w:rFonts w:cs="Arial"/>
          <w:lang w:val="sv-SE"/>
        </w:rPr>
        <w:tab/>
        <w:t>Funktionsstörungen des Rohgasbehandlungssystems: Aufzeichnung von Datum und Dauer;</w:t>
      </w:r>
    </w:p>
    <w:p>
      <w:pPr>
        <w:pStyle w:val="GesAbsatz"/>
        <w:tabs>
          <w:tab w:val="clear" w:pos="425"/>
        </w:tabs>
        <w:ind w:left="1418" w:hanging="425"/>
        <w:rPr>
          <w:rFonts w:cs="Arial"/>
          <w:lang w:val="sv-SE"/>
        </w:rPr>
      </w:pPr>
      <w:r>
        <w:rPr>
          <w:rFonts w:cs="Arial"/>
          <w:lang w:val="sv-SE"/>
        </w:rPr>
        <w:t>b)</w:t>
      </w:r>
      <w:r>
        <w:rPr>
          <w:rFonts w:cs="Arial"/>
          <w:lang w:val="sv-SE"/>
        </w:rPr>
        <w:tab/>
        <w:t>Veränderungen, die den Luft-/Gasdurchsatz beeinflussen können, zum Beispiel Austausch von Ventilatoren, Antriebsscheiben, Motoren: Aufzeichnung von Datum und Art der Veränderung,</w:t>
      </w:r>
    </w:p>
    <w:p>
      <w:pPr>
        <w:pStyle w:val="GesAbsatz"/>
        <w:tabs>
          <w:tab w:val="clear" w:pos="425"/>
          <w:tab w:val="left" w:pos="567"/>
        </w:tabs>
        <w:ind w:left="567" w:hanging="567"/>
        <w:rPr>
          <w:rFonts w:cs="Arial"/>
          <w:b/>
        </w:rPr>
      </w:pPr>
      <w:r>
        <w:rPr>
          <w:rFonts w:cs="Arial"/>
          <w:b/>
        </w:rPr>
        <w:t>4.</w:t>
      </w:r>
      <w:r>
        <w:rPr>
          <w:rFonts w:cs="Arial"/>
          <w:b/>
        </w:rPr>
        <w:tab/>
        <w:t>Anforderungen an den Prüfbericht der Lösungsmittelbilanz nach § 6 Absatz 5 und 6.</w:t>
      </w:r>
    </w:p>
    <w:p>
      <w:pPr>
        <w:pStyle w:val="GesAbsatz"/>
        <w:tabs>
          <w:tab w:val="clear" w:pos="425"/>
        </w:tabs>
        <w:ind w:left="567"/>
        <w:rPr>
          <w:rFonts w:cs="Arial"/>
          <w:lang w:val="sv-SE"/>
        </w:rPr>
      </w:pPr>
      <w:r>
        <w:rPr>
          <w:rFonts w:cs="Arial"/>
          <w:lang w:val="sv-SE"/>
        </w:rPr>
        <w:t>Der Prüfbericht soll neben der Lösungsmittelbilanz die Ergebnisse einer detaillierten Plausibilitäts</w:t>
      </w:r>
      <w:r>
        <w:rPr>
          <w:rFonts w:cs="Arial"/>
          <w:lang w:val="sv-SE"/>
        </w:rPr>
        <w:softHyphen/>
        <w:t>prüfung und einer Prüfung der zugrunde liegenden Dokumentationen sowie eine abschließende Bewertung der Einhaltung der Vorgaben nach Anhang V enthalten.</w:t>
      </w:r>
    </w:p>
    <w:p>
      <w:pPr>
        <w:pStyle w:val="GesAbsatz"/>
      </w:pPr>
    </w:p>
    <w:p>
      <w:pPr>
        <w:pStyle w:val="berschrift2"/>
        <w:jc w:val="left"/>
        <w:rPr>
          <w:lang w:val="sv-SE"/>
        </w:rPr>
      </w:pPr>
      <w:bookmarkStart w:id="25" w:name="_Toc157672298"/>
      <w:r>
        <w:rPr>
          <w:lang w:val="sv-SE"/>
        </w:rPr>
        <w:t>Anhang VI</w:t>
      </w:r>
      <w:r>
        <w:rPr>
          <w:lang w:val="sv-SE"/>
        </w:rPr>
        <w:br/>
        <w:t>(zu den §§ 5 und 6)</w:t>
      </w:r>
      <w:bookmarkEnd w:id="25"/>
    </w:p>
    <w:p>
      <w:pPr>
        <w:pStyle w:val="GesAbsatz"/>
        <w:tabs>
          <w:tab w:val="clear" w:pos="425"/>
          <w:tab w:val="left" w:pos="567"/>
        </w:tabs>
        <w:ind w:left="567" w:hanging="567"/>
        <w:jc w:val="center"/>
        <w:rPr>
          <w:rFonts w:cs="Arial"/>
          <w:b/>
          <w:bCs/>
        </w:rPr>
      </w:pPr>
      <w:r>
        <w:rPr>
          <w:rFonts w:cs="Arial"/>
          <w:b/>
          <w:bCs/>
        </w:rPr>
        <w:t>Anforderungen an die Durchführung der Überwachung</w:t>
      </w:r>
    </w:p>
    <w:p>
      <w:pPr>
        <w:pStyle w:val="GesAbsatz"/>
        <w:tabs>
          <w:tab w:val="clear" w:pos="425"/>
          <w:tab w:val="left" w:pos="567"/>
        </w:tabs>
        <w:ind w:left="567" w:hanging="567"/>
        <w:rPr>
          <w:rFonts w:cs="Arial"/>
          <w:b/>
        </w:rPr>
      </w:pPr>
      <w:r>
        <w:rPr>
          <w:rFonts w:cs="Arial"/>
          <w:b/>
        </w:rPr>
        <w:t>1.</w:t>
      </w:r>
      <w:r>
        <w:rPr>
          <w:rFonts w:cs="Arial"/>
          <w:b/>
        </w:rPr>
        <w:tab/>
        <w:t>Einzelmessungen für nicht genehmigungsbedürftige Anlagen</w:t>
      </w:r>
    </w:p>
    <w:p>
      <w:pPr>
        <w:pStyle w:val="GesAbsatz"/>
        <w:tabs>
          <w:tab w:val="clear" w:pos="425"/>
          <w:tab w:val="left" w:pos="567"/>
        </w:tabs>
        <w:ind w:left="567" w:hanging="567"/>
        <w:rPr>
          <w:rFonts w:cs="Arial"/>
        </w:rPr>
      </w:pPr>
      <w:r>
        <w:rPr>
          <w:rFonts w:cs="Arial"/>
        </w:rPr>
        <w:t>1.1</w:t>
      </w:r>
      <w:r>
        <w:rPr>
          <w:rFonts w:cs="Arial"/>
        </w:rPr>
        <w:tab/>
        <w:t>Bei jedem Überwachungsvorgang sind drei Einzelmessungen mit jeweils einer Dauer von einer Stunde im bestimmungsgemäßen Betrieb durchzuführen. Die Anforderungen gelten als eingehalten, wenn der Mittelwert jeder Einzelmessung den festgelegten Emissionsgrenzwert nicht überschreitet.</w:t>
      </w:r>
    </w:p>
    <w:p>
      <w:pPr>
        <w:pStyle w:val="GesAbsatz"/>
        <w:tabs>
          <w:tab w:val="clear" w:pos="425"/>
          <w:tab w:val="left" w:pos="567"/>
        </w:tabs>
        <w:ind w:left="567" w:hanging="567"/>
        <w:rPr>
          <w:rFonts w:cs="Arial"/>
        </w:rPr>
      </w:pPr>
      <w:r>
        <w:rPr>
          <w:rFonts w:cs="Arial"/>
        </w:rPr>
        <w:t>1.2</w:t>
      </w:r>
      <w:r>
        <w:rPr>
          <w:rFonts w:cs="Arial"/>
        </w:rPr>
        <w:tab/>
        <w:t>Der Bericht über das Ergebnis der Messungen muss insbesondere Angaben über die Messplanung, die verwendeten Messverfahren und die Betriebsbedingungen, die für die Beurteilung der Messergebnisse von Bedeutung sind, enthalten.</w:t>
      </w:r>
    </w:p>
    <w:p>
      <w:pPr>
        <w:pStyle w:val="GesAbsatz"/>
        <w:tabs>
          <w:tab w:val="clear" w:pos="425"/>
          <w:tab w:val="left" w:pos="567"/>
        </w:tabs>
        <w:ind w:left="567" w:hanging="567"/>
        <w:rPr>
          <w:rFonts w:cs="Arial"/>
          <w:b/>
        </w:rPr>
      </w:pPr>
      <w:r>
        <w:rPr>
          <w:rFonts w:cs="Arial"/>
          <w:b/>
        </w:rPr>
        <w:t>2.</w:t>
      </w:r>
      <w:r>
        <w:rPr>
          <w:rFonts w:cs="Arial"/>
          <w:b/>
        </w:rPr>
        <w:tab/>
        <w:t>Kontinuierliche Überwachung für nicht genehmigungsbedürftige Anlagen</w:t>
      </w:r>
    </w:p>
    <w:p>
      <w:pPr>
        <w:pStyle w:val="GesAbsatz"/>
        <w:tabs>
          <w:tab w:val="clear" w:pos="425"/>
          <w:tab w:val="left" w:pos="567"/>
        </w:tabs>
        <w:ind w:left="567" w:hanging="567"/>
        <w:rPr>
          <w:rFonts w:cs="Arial"/>
        </w:rPr>
      </w:pPr>
      <w:r>
        <w:rPr>
          <w:rFonts w:cs="Arial"/>
        </w:rPr>
        <w:t>2.1</w:t>
      </w:r>
      <w:r>
        <w:rPr>
          <w:rFonts w:cs="Arial"/>
        </w:rPr>
        <w:tab/>
        <w:t>Der Betreiber hat durch eine von der zuständigen Behörde bekannt gegebene Stelle den ordnungsgemäßen Einbau der Messeinrichtung und deren Kalibrierung vor Inbetriebnahme feststellen zu lassen. Spätestens nach Ablauf eines Jahres hat der Betreiber die Messeinrichtung auf ihre Funktionsfähigkeit prüfen zu lassen und die Kalibrierung spätestens fünf Jahre nach der letzten Kalibrierung oder nach wesentlicher Änderung der Anlage wiederholen zu lassen. Die Unterlagen über den ordnungsgemäßen Einbau, die Kalibrierung und die Prüfung der Funktionsfähigkeit sind am Betriebsort drei Jahre lang aufzubewahren und der zuständigen Behörde jeweils auf Verlangen vorzulegen.</w:t>
      </w:r>
    </w:p>
    <w:p>
      <w:pPr>
        <w:pStyle w:val="GesAbsatz"/>
        <w:tabs>
          <w:tab w:val="clear" w:pos="425"/>
          <w:tab w:val="left" w:pos="567"/>
        </w:tabs>
        <w:ind w:left="567" w:hanging="567"/>
        <w:rPr>
          <w:rFonts w:cs="Arial"/>
        </w:rPr>
      </w:pPr>
      <w:r>
        <w:rPr>
          <w:rFonts w:cs="Arial"/>
        </w:rPr>
        <w:t>2.2</w:t>
      </w:r>
      <w:r>
        <w:rPr>
          <w:rFonts w:cs="Arial"/>
        </w:rPr>
        <w:tab/>
        <w:t>Der Emissionsgrenzwert gilt als eingehalten, wenn</w:t>
      </w:r>
    </w:p>
    <w:p>
      <w:pPr>
        <w:pStyle w:val="GesAbsatz"/>
        <w:tabs>
          <w:tab w:val="clear" w:pos="425"/>
          <w:tab w:val="left" w:pos="567"/>
        </w:tabs>
        <w:ind w:left="993" w:hanging="426"/>
        <w:rPr>
          <w:rFonts w:cs="Arial"/>
        </w:rPr>
      </w:pPr>
      <w:r>
        <w:rPr>
          <w:rFonts w:cs="Arial"/>
        </w:rPr>
        <w:t>a)</w:t>
      </w:r>
      <w:r>
        <w:rPr>
          <w:rFonts w:cs="Arial"/>
        </w:rPr>
        <w:tab/>
        <w:t>kein Tagesmittelwert, gebildet aus den Stundenmittelwerten, die Emissionsgrenzwerte überschreitet,</w:t>
      </w:r>
    </w:p>
    <w:p>
      <w:pPr>
        <w:pStyle w:val="GesAbsatz"/>
        <w:tabs>
          <w:tab w:val="clear" w:pos="425"/>
          <w:tab w:val="left" w:pos="567"/>
          <w:tab w:val="left" w:pos="1134"/>
        </w:tabs>
        <w:ind w:left="993" w:hanging="426"/>
        <w:rPr>
          <w:rFonts w:cs="Arial"/>
        </w:rPr>
      </w:pPr>
      <w:r>
        <w:rPr>
          <w:rFonts w:cs="Arial"/>
        </w:rPr>
        <w:t>b)</w:t>
      </w:r>
      <w:r>
        <w:rPr>
          <w:rFonts w:cs="Arial"/>
        </w:rPr>
        <w:tab/>
        <w:t>keiner der Stundenmittelwerte mehr als das 1,5fache der Emissionsgrenzwerte beträgt.</w:t>
      </w:r>
    </w:p>
    <w:p>
      <w:pPr>
        <w:pStyle w:val="GesAbsatz"/>
        <w:tabs>
          <w:tab w:val="clear" w:pos="425"/>
          <w:tab w:val="left" w:pos="567"/>
        </w:tabs>
        <w:ind w:left="567" w:hanging="567"/>
        <w:rPr>
          <w:rFonts w:cs="Arial"/>
          <w:b/>
        </w:rPr>
      </w:pPr>
      <w:r>
        <w:rPr>
          <w:rFonts w:cs="Arial"/>
          <w:b/>
        </w:rPr>
        <w:t>3.</w:t>
      </w:r>
      <w:r>
        <w:rPr>
          <w:rFonts w:cs="Arial"/>
          <w:b/>
        </w:rPr>
        <w:tab/>
        <w:t>Ermittlung der flächenbezogenen Gesamtemissionen an flüchtigen organischen Verbindungen bei Anlagen der Fahrzeugbeschichtung</w:t>
      </w:r>
    </w:p>
    <w:p>
      <w:pPr>
        <w:pStyle w:val="GesAbsatz"/>
        <w:tabs>
          <w:tab w:val="clear" w:pos="425"/>
          <w:tab w:val="left" w:pos="567"/>
        </w:tabs>
        <w:ind w:left="567"/>
        <w:rPr>
          <w:rFonts w:cs="Arial"/>
        </w:rPr>
      </w:pPr>
      <w:r>
        <w:rPr>
          <w:rFonts w:cs="Arial"/>
        </w:rPr>
        <w:t>Die Fläche eines zu beschichtenden Produkts wird definiert als</w:t>
      </w:r>
    </w:p>
    <w:p>
      <w:pPr>
        <w:pStyle w:val="GesAbsatz"/>
        <w:tabs>
          <w:tab w:val="clear" w:pos="425"/>
          <w:tab w:val="left" w:pos="567"/>
        </w:tabs>
        <w:ind w:left="993" w:hanging="426"/>
        <w:rPr>
          <w:rFonts w:cs="Arial"/>
        </w:rPr>
      </w:pPr>
      <w:r>
        <w:rPr>
          <w:rFonts w:cs="Arial"/>
        </w:rPr>
        <w:t>a)</w:t>
      </w:r>
      <w:r>
        <w:rPr>
          <w:rFonts w:cs="Arial"/>
        </w:rPr>
        <w:tab/>
        <w:t>die Fläche, die sich aus der gesamten mit Hilfe der Elektrophorese beschichteten Fläche errechnet, sowie die Fläche der Teile, die in aufeinander folgenden Phasen des Beschichtungsverfahrens hinzukommen und auf die gleiche Schicht wie auf das betreffende Produkt aufgebracht wird, oder als</w:t>
      </w:r>
    </w:p>
    <w:p>
      <w:pPr>
        <w:pStyle w:val="GesAbsatz"/>
        <w:tabs>
          <w:tab w:val="clear" w:pos="425"/>
          <w:tab w:val="left" w:pos="567"/>
        </w:tabs>
        <w:ind w:left="993" w:hanging="426"/>
        <w:rPr>
          <w:rFonts w:cs="Arial"/>
        </w:rPr>
      </w:pPr>
      <w:r>
        <w:rPr>
          <w:rFonts w:cs="Arial"/>
        </w:rPr>
        <w:t>b)</w:t>
      </w:r>
      <w:r>
        <w:rPr>
          <w:rFonts w:cs="Arial"/>
        </w:rPr>
        <w:tab/>
        <w:t>die Gesamtfläche des in der Anlage beschichteten Produkts.</w:t>
      </w:r>
    </w:p>
    <w:p>
      <w:pPr>
        <w:pStyle w:val="GesAbsatz"/>
        <w:tabs>
          <w:tab w:val="clear" w:pos="425"/>
          <w:tab w:val="left" w:pos="567"/>
        </w:tabs>
        <w:ind w:left="567"/>
        <w:rPr>
          <w:rFonts w:cs="Arial"/>
        </w:rPr>
      </w:pPr>
      <w:r>
        <w:rPr>
          <w:rFonts w:cs="Arial"/>
        </w:rPr>
        <w:t>Die mit Hilfe der Elektrophorese beschichtete Fläche ist wie folgt zu berechnen:</w:t>
      </w:r>
    </w:p>
    <w:p>
      <w:pPr>
        <w:pStyle w:val="GesAbsatz"/>
        <w:rPr>
          <w:rFonts w:cs="Arial"/>
        </w:rPr>
      </w:pPr>
      <m:oMathPara>
        <m:oMath>
          <m:f>
            <m:fPr>
              <m:ctrlPr>
                <w:rPr>
                  <w:rFonts w:ascii="Cambria Math" w:hAnsi="Cambria Math" w:cs="Arial"/>
                </w:rPr>
              </m:ctrlPr>
            </m:fPr>
            <m:num>
              <m:r>
                <m:rPr>
                  <m:sty m:val="p"/>
                </m:rPr>
                <w:rPr>
                  <w:rFonts w:ascii="Cambria Math" w:hAnsi="Cambria Math" w:cs="Arial"/>
                </w:rPr>
                <m:t>2 x Gesamtgewicht</m:t>
              </m:r>
            </m:num>
            <m:den>
              <m:r>
                <m:rPr>
                  <m:sty m:val="p"/>
                </m:rPr>
                <w:rPr>
                  <w:rFonts w:ascii="Cambria Math" w:hAnsi="Cambria Math" w:cs="Arial"/>
                </w:rPr>
                <m:t>durchschnittliche Dicke des Metallblechs x Dichte des Metallbelechs</m:t>
              </m:r>
            </m:den>
          </m:f>
        </m:oMath>
      </m:oMathPara>
    </w:p>
    <w:p>
      <w:pPr>
        <w:pStyle w:val="GesAbsatz"/>
        <w:tabs>
          <w:tab w:val="clear" w:pos="425"/>
          <w:tab w:val="left" w:pos="567"/>
        </w:tabs>
        <w:ind w:left="567"/>
        <w:rPr>
          <w:rFonts w:cs="Arial"/>
        </w:rPr>
      </w:pPr>
      <w:r>
        <w:rPr>
          <w:rFonts w:cs="Arial"/>
        </w:rPr>
        <w:t xml:space="preserve">Diese Berechnung findet auch auf andere beschichtete Blechteile Anwendung. Die Fläche der hinzukommenden Teile oder die in der Anlage beschichtete Gesamtfläche ist mit Hilfe von Computer </w:t>
      </w:r>
      <w:r>
        <w:rPr>
          <w:rFonts w:cs="Arial"/>
          <w:lang w:val="en-US"/>
        </w:rPr>
        <w:t>Aided</w:t>
      </w:r>
      <w:r>
        <w:rPr>
          <w:rFonts w:cs="Arial"/>
        </w:rPr>
        <w:t xml:space="preserve"> Design oder anderen gleichwertigen Verfahren zu berechnen.</w:t>
      </w:r>
    </w:p>
    <w:p>
      <w:pPr>
        <w:pStyle w:val="GesAbsatz"/>
        <w:tabs>
          <w:tab w:val="clear" w:pos="425"/>
          <w:tab w:val="left" w:pos="567"/>
        </w:tabs>
        <w:ind w:left="567" w:hanging="567"/>
        <w:rPr>
          <w:rFonts w:cs="Arial"/>
          <w:b/>
        </w:rPr>
      </w:pPr>
      <w:r>
        <w:rPr>
          <w:rFonts w:cs="Arial"/>
          <w:b/>
        </w:rPr>
        <w:t>4.</w:t>
      </w:r>
      <w:r>
        <w:rPr>
          <w:rFonts w:cs="Arial"/>
          <w:b/>
        </w:rPr>
        <w:tab/>
        <w:t>Bestimmung des Gehaltes an flüchtigen organischen Verbindungen im Beschichtungsstoff (VOC-Wert)</w:t>
      </w:r>
    </w:p>
    <w:p>
      <w:pPr>
        <w:pStyle w:val="GesAbsatz"/>
        <w:tabs>
          <w:tab w:val="clear" w:pos="425"/>
          <w:tab w:val="left" w:pos="567"/>
        </w:tabs>
        <w:ind w:left="567" w:hanging="567"/>
        <w:rPr>
          <w:rFonts w:cs="Arial"/>
        </w:rPr>
      </w:pPr>
      <w:r>
        <w:rPr>
          <w:rFonts w:cs="Arial"/>
        </w:rPr>
        <w:lastRenderedPageBreak/>
        <w:t>4.1</w:t>
      </w:r>
      <w:r>
        <w:rPr>
          <w:rFonts w:cs="Arial"/>
        </w:rPr>
        <w:tab/>
        <w:t>Der Gehalt an flüchtigen organischen Verbindungen (VOC-Wert) im Beschichtungsstoff ist gleich der Masse der flüchtigen Anteile abzüglich der Masse des Wassers, ins Verhältnis gesetzt zum Volumen des Beschichtungsstoffes abzüglich des Volumens des darin enthaltenen Wassers in g/l:</w:t>
      </w:r>
    </w:p>
    <w:p>
      <w:pPr>
        <w:pStyle w:val="GesAbsatz"/>
        <w:tabs>
          <w:tab w:val="clear" w:pos="425"/>
          <w:tab w:val="left" w:pos="567"/>
        </w:tabs>
        <w:ind w:left="567" w:hanging="567"/>
        <w:jc w:val="center"/>
        <w:rPr>
          <w:rFonts w:cs="Arial"/>
        </w:rPr>
      </w:pPr>
      <m:oMathPara>
        <m:oMath>
          <m:r>
            <m:rPr>
              <m:sty m:val="p"/>
            </m:rPr>
            <w:rPr>
              <w:rFonts w:ascii="Cambria Math" w:hAnsi="Cambria Math" w:cs="Arial"/>
            </w:rPr>
            <m:t>VOC-Wert=</m:t>
          </m:r>
          <m:f>
            <m:fPr>
              <m:ctrlPr>
                <w:rPr>
                  <w:rFonts w:ascii="Cambria Math" w:hAnsi="Cambria Math" w:cs="Arial"/>
                </w:rPr>
              </m:ctrlPr>
            </m:fPr>
            <m:num>
              <m:r>
                <m:rPr>
                  <m:sty m:val="p"/>
                </m:rPr>
                <w:rPr>
                  <w:rFonts w:ascii="Cambria Math" w:hAnsi="Cambria Math" w:cs="Arial"/>
                </w:rPr>
                <m:t>Masse der flüchtigen Anteile-Masse Wasser</m:t>
              </m:r>
            </m:num>
            <m:den>
              <m:r>
                <m:rPr>
                  <m:sty m:val="p"/>
                </m:rPr>
                <w:rPr>
                  <w:rFonts w:ascii="Cambria Math" w:hAnsi="Cambria Math" w:cs="Arial"/>
                </w:rPr>
                <m:t>Volumen Beschichtungsstoffe-Volumen Wasser</m:t>
              </m:r>
            </m:den>
          </m:f>
          <m:r>
            <w:rPr>
              <w:rFonts w:ascii="Cambria Math" w:hAnsi="Cambria Math" w:cs="Arial"/>
            </w:rPr>
            <m:t xml:space="preserve"> </m:t>
          </m:r>
          <m:r>
            <m:rPr>
              <m:sty m:val="p"/>
            </m:rPr>
            <w:rPr>
              <w:rFonts w:ascii="Cambria Math" w:hAnsi="Cambria Math" w:cs="Arial"/>
            </w:rPr>
            <m:t>in g/l</m:t>
          </m:r>
        </m:oMath>
      </m:oMathPara>
    </w:p>
    <w:p>
      <w:pPr>
        <w:pStyle w:val="GesAbsatz"/>
        <w:tabs>
          <w:tab w:val="clear" w:pos="425"/>
          <w:tab w:val="left" w:pos="567"/>
        </w:tabs>
        <w:ind w:left="567"/>
        <w:rPr>
          <w:rFonts w:cs="Arial"/>
        </w:rPr>
      </w:pPr>
      <w:r>
        <w:rPr>
          <w:rFonts w:cs="Arial"/>
        </w:rPr>
        <w:t>Der VOC-Wert bezieht sich auf den anwendungsfertigen Beschichtungsstoff einschließlich der vom Hersteller vorgegebenen oder empfohlenen Verdünnungen.</w:t>
      </w:r>
    </w:p>
    <w:p>
      <w:pPr>
        <w:pStyle w:val="GesAbsatz"/>
        <w:tabs>
          <w:tab w:val="clear" w:pos="425"/>
          <w:tab w:val="left" w:pos="567"/>
        </w:tabs>
        <w:ind w:left="567" w:hanging="567"/>
        <w:rPr>
          <w:rFonts w:cs="Arial"/>
        </w:rPr>
      </w:pPr>
      <w:r>
        <w:rPr>
          <w:rFonts w:cs="Arial"/>
        </w:rPr>
        <w:t>4.2</w:t>
      </w:r>
      <w:r>
        <w:rPr>
          <w:rFonts w:cs="Arial"/>
        </w:rPr>
        <w:tab/>
        <w:t>Abweichend von Nummer 4.1 wird der Gehalt an flüchtigen organischen Verbindungen bei Beschichtungsstoffen für Holzoberflächen als Masse, bezogen auf einen Liter Beschichtungsstoff, wie folgt definiert:</w:t>
      </w:r>
    </w:p>
    <w:p>
      <w:pPr>
        <w:pStyle w:val="GesAbsatz"/>
        <w:tabs>
          <w:tab w:val="clear" w:pos="425"/>
        </w:tabs>
        <w:ind w:left="993" w:hanging="426"/>
        <w:jc w:val="center"/>
        <w:rPr>
          <w:rFonts w:cs="Arial"/>
        </w:rPr>
      </w:pPr>
      <w:r>
        <w:rPr>
          <w:rFonts w:cs="Arial"/>
        </w:rPr>
        <w:t xml:space="preserve">VOC-Wert (g/l) = (100 - </w:t>
      </w:r>
      <w:proofErr w:type="spellStart"/>
      <w:r>
        <w:rPr>
          <w:rFonts w:cs="Arial"/>
        </w:rPr>
        <w:t>nfa</w:t>
      </w:r>
      <w:proofErr w:type="spellEnd"/>
      <w:r>
        <w:rPr>
          <w:rFonts w:cs="Arial"/>
        </w:rPr>
        <w:t xml:space="preserve"> - </w:t>
      </w:r>
      <w:proofErr w:type="spellStart"/>
      <w:r>
        <w:rPr>
          <w:rFonts w:cs="Arial"/>
        </w:rPr>
        <w:t>m</w:t>
      </w:r>
      <w:r>
        <w:rPr>
          <w:rFonts w:cs="Arial"/>
          <w:szCs w:val="13"/>
          <w:vertAlign w:val="subscript"/>
        </w:rPr>
        <w:t>w</w:t>
      </w:r>
      <w:proofErr w:type="spellEnd"/>
      <w:r>
        <w:rPr>
          <w:rFonts w:cs="Arial"/>
        </w:rPr>
        <w:t xml:space="preserve">) x </w:t>
      </w:r>
      <w:proofErr w:type="spellStart"/>
      <w:r>
        <w:rPr>
          <w:rFonts w:cs="Arial"/>
        </w:rPr>
        <w:t>p</w:t>
      </w:r>
      <w:r>
        <w:rPr>
          <w:rFonts w:cs="Arial"/>
          <w:szCs w:val="13"/>
          <w:vertAlign w:val="subscript"/>
        </w:rPr>
        <w:t>s</w:t>
      </w:r>
      <w:proofErr w:type="spellEnd"/>
      <w:r>
        <w:rPr>
          <w:rFonts w:cs="Arial"/>
          <w:szCs w:val="13"/>
        </w:rPr>
        <w:t xml:space="preserve"> </w:t>
      </w:r>
      <w:r>
        <w:rPr>
          <w:rFonts w:cs="Arial"/>
        </w:rPr>
        <w:t>x 10</w:t>
      </w:r>
    </w:p>
    <w:p>
      <w:pPr>
        <w:pStyle w:val="GesAbsatz"/>
        <w:tabs>
          <w:tab w:val="clear" w:pos="425"/>
        </w:tabs>
        <w:ind w:left="993" w:hanging="426"/>
        <w:rPr>
          <w:rFonts w:cs="Arial"/>
        </w:rPr>
      </w:pPr>
      <w:r>
        <w:rPr>
          <w:rFonts w:cs="Arial"/>
        </w:rPr>
        <w:t>Es bedeuten:</w:t>
      </w:r>
    </w:p>
    <w:p>
      <w:pPr>
        <w:pStyle w:val="GesAbsatz"/>
        <w:tabs>
          <w:tab w:val="clear" w:pos="425"/>
          <w:tab w:val="left" w:pos="1134"/>
        </w:tabs>
        <w:ind w:left="993" w:hanging="426"/>
        <w:rPr>
          <w:rFonts w:cs="Arial"/>
        </w:rPr>
      </w:pPr>
      <w:proofErr w:type="spellStart"/>
      <w:proofErr w:type="gramStart"/>
      <w:r>
        <w:rPr>
          <w:rFonts w:cs="Arial"/>
        </w:rPr>
        <w:t>p</w:t>
      </w:r>
      <w:r>
        <w:rPr>
          <w:rFonts w:cs="Arial"/>
          <w:szCs w:val="13"/>
          <w:vertAlign w:val="subscript"/>
        </w:rPr>
        <w:t>s</w:t>
      </w:r>
      <w:proofErr w:type="spellEnd"/>
      <w:r>
        <w:rPr>
          <w:rFonts w:cs="Arial"/>
          <w:szCs w:val="13"/>
        </w:rPr>
        <w:t xml:space="preserve"> </w:t>
      </w:r>
      <w:r>
        <w:rPr>
          <w:rFonts w:cs="Arial"/>
        </w:rPr>
        <w:t>:</w:t>
      </w:r>
      <w:proofErr w:type="gramEnd"/>
      <w:r>
        <w:rPr>
          <w:rFonts w:cs="Arial"/>
        </w:rPr>
        <w:tab/>
        <w:t>Dichte des Beschichtungsstoffs</w:t>
      </w:r>
    </w:p>
    <w:p>
      <w:pPr>
        <w:pStyle w:val="GesAbsatz"/>
        <w:tabs>
          <w:tab w:val="clear" w:pos="425"/>
          <w:tab w:val="left" w:pos="1134"/>
        </w:tabs>
        <w:ind w:left="993" w:hanging="426"/>
        <w:rPr>
          <w:rFonts w:cs="Arial"/>
        </w:rPr>
      </w:pPr>
      <w:proofErr w:type="spellStart"/>
      <w:proofErr w:type="gramStart"/>
      <w:r>
        <w:rPr>
          <w:rFonts w:cs="Arial"/>
        </w:rPr>
        <w:t>nfa</w:t>
      </w:r>
      <w:proofErr w:type="spellEnd"/>
      <w:r>
        <w:rPr>
          <w:rFonts w:cs="Arial"/>
        </w:rPr>
        <w:t xml:space="preserve"> :</w:t>
      </w:r>
      <w:proofErr w:type="gramEnd"/>
      <w:r>
        <w:rPr>
          <w:rFonts w:cs="Arial"/>
        </w:rPr>
        <w:tab/>
        <w:t>nichtflüchtige Anteile</w:t>
      </w:r>
    </w:p>
    <w:p>
      <w:pPr>
        <w:pStyle w:val="GesAbsatz"/>
        <w:tabs>
          <w:tab w:val="clear" w:pos="425"/>
          <w:tab w:val="left" w:pos="1134"/>
        </w:tabs>
        <w:ind w:left="993" w:hanging="426"/>
        <w:rPr>
          <w:rFonts w:cs="Arial"/>
        </w:rPr>
      </w:pPr>
      <w:proofErr w:type="spellStart"/>
      <w:proofErr w:type="gramStart"/>
      <w:r>
        <w:rPr>
          <w:rFonts w:cs="Arial"/>
        </w:rPr>
        <w:t>m</w:t>
      </w:r>
      <w:r>
        <w:rPr>
          <w:rFonts w:cs="Arial"/>
          <w:szCs w:val="13"/>
          <w:vertAlign w:val="subscript"/>
        </w:rPr>
        <w:t>w</w:t>
      </w:r>
      <w:proofErr w:type="spellEnd"/>
      <w:r>
        <w:rPr>
          <w:rFonts w:cs="Arial"/>
          <w:szCs w:val="13"/>
        </w:rPr>
        <w:t xml:space="preserve"> </w:t>
      </w:r>
      <w:r>
        <w:rPr>
          <w:rFonts w:cs="Arial"/>
        </w:rPr>
        <w:t>:</w:t>
      </w:r>
      <w:proofErr w:type="gramEnd"/>
      <w:r>
        <w:rPr>
          <w:rFonts w:cs="Arial"/>
        </w:rPr>
        <w:tab/>
        <w:t>Massenanteil des Wassers in Prozent.</w:t>
      </w:r>
    </w:p>
    <w:p>
      <w:pPr>
        <w:pStyle w:val="GesAbsatz"/>
        <w:tabs>
          <w:tab w:val="clear" w:pos="425"/>
          <w:tab w:val="left" w:pos="567"/>
          <w:tab w:val="left" w:pos="1134"/>
        </w:tabs>
        <w:ind w:left="567" w:hanging="567"/>
        <w:rPr>
          <w:rFonts w:cs="Arial"/>
        </w:rPr>
      </w:pPr>
    </w:p>
    <w:p>
      <w:pPr>
        <w:pStyle w:val="berschrift2"/>
        <w:jc w:val="left"/>
      </w:pPr>
      <w:bookmarkStart w:id="26" w:name="_Toc157672299"/>
      <w:r>
        <w:t>Anhang VII</w:t>
      </w:r>
      <w:r>
        <w:br/>
        <w:t>(zu § 3)</w:t>
      </w:r>
      <w:bookmarkEnd w:id="26"/>
    </w:p>
    <w:p>
      <w:pPr>
        <w:pStyle w:val="GesAbsatz"/>
        <w:tabs>
          <w:tab w:val="clear" w:pos="425"/>
          <w:tab w:val="left" w:pos="567"/>
        </w:tabs>
        <w:ind w:left="567" w:hanging="567"/>
        <w:jc w:val="center"/>
        <w:rPr>
          <w:rFonts w:cs="Arial"/>
          <w:b/>
          <w:bCs/>
        </w:rPr>
      </w:pPr>
      <w:r>
        <w:rPr>
          <w:rFonts w:cs="Arial"/>
          <w:b/>
          <w:bCs/>
        </w:rPr>
        <w:t>Beste verfügbare Techniken</w:t>
      </w:r>
    </w:p>
    <w:p>
      <w:pPr>
        <w:pStyle w:val="GesAbsatz"/>
        <w:tabs>
          <w:tab w:val="clear" w:pos="425"/>
          <w:tab w:val="left" w:pos="567"/>
          <w:tab w:val="left" w:pos="1134"/>
        </w:tabs>
        <w:rPr>
          <w:rFonts w:cs="Arial"/>
        </w:rPr>
      </w:pPr>
      <w:r>
        <w:rPr>
          <w:rFonts w:cs="Arial"/>
        </w:rPr>
        <w:t>Der Anhang enthält eine beispielhafte, nicht abschließende Auflistung von besten verfügbaren Techniken für verschiedene Anwendungsbereiche.</w:t>
      </w:r>
    </w:p>
    <w:p>
      <w:pPr>
        <w:pStyle w:val="GesAbsatz"/>
        <w:tabs>
          <w:tab w:val="clear" w:pos="425"/>
          <w:tab w:val="left" w:pos="567"/>
          <w:tab w:val="left" w:pos="1134"/>
        </w:tabs>
        <w:ind w:left="567" w:hanging="567"/>
        <w:rPr>
          <w:rFonts w:cs="Arial"/>
        </w:rPr>
      </w:pPr>
      <w:r>
        <w:rPr>
          <w:rFonts w:cs="Arial"/>
        </w:rPr>
        <w:t>1.</w:t>
      </w:r>
      <w:r>
        <w:rPr>
          <w:rFonts w:cs="Arial"/>
        </w:rPr>
        <w:tab/>
        <w:t>Beste verfügbare Techniken zur Verwendung der Einsatzstoffe sowie zum Aufbringen von Beschichtungen:</w:t>
      </w:r>
    </w:p>
    <w:p>
      <w:pPr>
        <w:pStyle w:val="GesAbsatz"/>
        <w:tabs>
          <w:tab w:val="clear" w:pos="425"/>
          <w:tab w:val="left" w:pos="567"/>
        </w:tabs>
        <w:ind w:left="993" w:hanging="426"/>
        <w:rPr>
          <w:rFonts w:cs="Arial"/>
        </w:rPr>
      </w:pPr>
      <w:r>
        <w:rPr>
          <w:rFonts w:cs="Arial"/>
        </w:rPr>
        <w:t>–</w:t>
      </w:r>
      <w:r>
        <w:rPr>
          <w:rFonts w:cs="Arial"/>
        </w:rPr>
        <w:tab/>
        <w:t>Zentrale Lieferung von VOC-haltigen Materialien (zum Beispiel Druckfarben, Beschichtungen, Klebstoffe, Reinigungsmittel) über direkte Leitungen, Ringleitungen einschließlich Systemreinigung</w:t>
      </w:r>
    </w:p>
    <w:p>
      <w:pPr>
        <w:pStyle w:val="GesAbsatz"/>
        <w:tabs>
          <w:tab w:val="clear" w:pos="425"/>
          <w:tab w:val="left" w:pos="567"/>
        </w:tabs>
        <w:ind w:left="993" w:hanging="426"/>
        <w:rPr>
          <w:rFonts w:cs="Arial"/>
        </w:rPr>
      </w:pPr>
      <w:r>
        <w:rPr>
          <w:rFonts w:cs="Arial"/>
        </w:rPr>
        <w:t>–</w:t>
      </w:r>
      <w:r>
        <w:rPr>
          <w:rFonts w:cs="Arial"/>
        </w:rPr>
        <w:tab/>
        <w:t>Verwendung neuartiger computergesteuerter Mischsysteme</w:t>
      </w:r>
    </w:p>
    <w:p>
      <w:pPr>
        <w:pStyle w:val="GesAbsatz"/>
        <w:tabs>
          <w:tab w:val="clear" w:pos="425"/>
          <w:tab w:val="left" w:pos="567"/>
        </w:tabs>
        <w:ind w:left="993" w:hanging="426"/>
        <w:rPr>
          <w:rFonts w:cs="Arial"/>
        </w:rPr>
      </w:pPr>
      <w:r>
        <w:rPr>
          <w:rFonts w:cs="Arial"/>
        </w:rPr>
        <w:t>–</w:t>
      </w:r>
      <w:r>
        <w:rPr>
          <w:rFonts w:cs="Arial"/>
        </w:rPr>
        <w:tab/>
        <w:t>Lieferung VOC-haltiger Materialien am Aufbringungspunkt über ein geschlossenes System</w:t>
      </w:r>
    </w:p>
    <w:p>
      <w:pPr>
        <w:pStyle w:val="GesAbsatz"/>
        <w:tabs>
          <w:tab w:val="clear" w:pos="425"/>
          <w:tab w:val="left" w:pos="567"/>
        </w:tabs>
        <w:ind w:left="993" w:hanging="426"/>
        <w:rPr>
          <w:rFonts w:cs="Arial"/>
        </w:rPr>
      </w:pPr>
      <w:r>
        <w:rPr>
          <w:rFonts w:cs="Arial"/>
        </w:rPr>
        <w:t>–</w:t>
      </w:r>
      <w:r>
        <w:rPr>
          <w:rFonts w:cs="Arial"/>
        </w:rPr>
        <w:tab/>
        <w:t>Automatisierung des Farbwechsels</w:t>
      </w:r>
    </w:p>
    <w:p>
      <w:pPr>
        <w:pStyle w:val="GesAbsatz"/>
        <w:tabs>
          <w:tab w:val="clear" w:pos="425"/>
          <w:tab w:val="left" w:pos="567"/>
        </w:tabs>
        <w:ind w:left="993" w:hanging="426"/>
        <w:rPr>
          <w:rFonts w:cs="Arial"/>
        </w:rPr>
      </w:pPr>
      <w:r>
        <w:rPr>
          <w:rFonts w:cs="Arial"/>
        </w:rPr>
        <w:t>–</w:t>
      </w:r>
      <w:r>
        <w:rPr>
          <w:rFonts w:cs="Arial"/>
        </w:rPr>
        <w:tab/>
        <w:t>Farbgruppierung für größere Sequenzen mit gleicher Farbe</w:t>
      </w:r>
    </w:p>
    <w:p>
      <w:pPr>
        <w:pStyle w:val="GesAbsatz"/>
        <w:tabs>
          <w:tab w:val="clear" w:pos="425"/>
          <w:tab w:val="left" w:pos="567"/>
        </w:tabs>
        <w:ind w:left="993" w:hanging="426"/>
        <w:rPr>
          <w:rFonts w:cs="Arial"/>
        </w:rPr>
      </w:pPr>
      <w:r>
        <w:rPr>
          <w:rFonts w:cs="Arial"/>
        </w:rPr>
        <w:t>–</w:t>
      </w:r>
      <w:r>
        <w:rPr>
          <w:rFonts w:cs="Arial"/>
        </w:rPr>
        <w:tab/>
        <w:t>Sanftes Spülen nach dem Spritzen ohne Zwischenspülen</w:t>
      </w:r>
    </w:p>
    <w:p>
      <w:pPr>
        <w:pStyle w:val="GesAbsatz"/>
        <w:tabs>
          <w:tab w:val="clear" w:pos="425"/>
          <w:tab w:val="left" w:pos="567"/>
          <w:tab w:val="left" w:pos="1134"/>
        </w:tabs>
        <w:ind w:left="567" w:hanging="567"/>
        <w:rPr>
          <w:rFonts w:cs="Arial"/>
        </w:rPr>
      </w:pPr>
      <w:r>
        <w:rPr>
          <w:rFonts w:cs="Arial"/>
        </w:rPr>
        <w:t>2.</w:t>
      </w:r>
      <w:r>
        <w:rPr>
          <w:rFonts w:cs="Arial"/>
        </w:rPr>
        <w:tab/>
        <w:t>Beste verfügbare Techniken für Aufbringtechniken ohne Spritzen:</w:t>
      </w:r>
    </w:p>
    <w:p>
      <w:pPr>
        <w:pStyle w:val="GesAbsatz"/>
        <w:tabs>
          <w:tab w:val="clear" w:pos="425"/>
          <w:tab w:val="left" w:pos="567"/>
        </w:tabs>
        <w:ind w:left="993" w:hanging="426"/>
        <w:rPr>
          <w:rFonts w:cs="Arial"/>
        </w:rPr>
      </w:pPr>
      <w:r>
        <w:rPr>
          <w:rFonts w:cs="Arial"/>
        </w:rPr>
        <w:t>–</w:t>
      </w:r>
      <w:r>
        <w:rPr>
          <w:rFonts w:cs="Arial"/>
        </w:rPr>
        <w:tab/>
        <w:t>Walzbeschichtung</w:t>
      </w:r>
    </w:p>
    <w:p>
      <w:pPr>
        <w:pStyle w:val="GesAbsatz"/>
        <w:tabs>
          <w:tab w:val="clear" w:pos="425"/>
          <w:tab w:val="left" w:pos="567"/>
        </w:tabs>
        <w:ind w:left="993" w:hanging="426"/>
        <w:rPr>
          <w:rFonts w:cs="Arial"/>
        </w:rPr>
      </w:pPr>
      <w:r>
        <w:rPr>
          <w:rFonts w:cs="Arial"/>
        </w:rPr>
        <w:t>–</w:t>
      </w:r>
      <w:r>
        <w:rPr>
          <w:rFonts w:cs="Arial"/>
        </w:rPr>
        <w:tab/>
        <w:t>Rakel über Walzen</w:t>
      </w:r>
    </w:p>
    <w:p>
      <w:pPr>
        <w:pStyle w:val="GesAbsatz"/>
        <w:tabs>
          <w:tab w:val="clear" w:pos="425"/>
          <w:tab w:val="left" w:pos="567"/>
        </w:tabs>
        <w:ind w:left="993" w:hanging="426"/>
        <w:rPr>
          <w:rFonts w:cs="Arial"/>
        </w:rPr>
      </w:pPr>
      <w:r>
        <w:rPr>
          <w:rFonts w:cs="Arial"/>
        </w:rPr>
        <w:t>–</w:t>
      </w:r>
      <w:r>
        <w:rPr>
          <w:rFonts w:cs="Arial"/>
        </w:rPr>
        <w:tab/>
        <w:t>Spülungsfreies Aufbringen der Beschichtung von Bandblechen</w:t>
      </w:r>
    </w:p>
    <w:p>
      <w:pPr>
        <w:pStyle w:val="GesAbsatz"/>
        <w:tabs>
          <w:tab w:val="clear" w:pos="425"/>
          <w:tab w:val="left" w:pos="567"/>
        </w:tabs>
        <w:ind w:left="993" w:hanging="426"/>
        <w:rPr>
          <w:rFonts w:cs="Arial"/>
        </w:rPr>
      </w:pPr>
      <w:r>
        <w:rPr>
          <w:rFonts w:cs="Arial"/>
        </w:rPr>
        <w:t>–</w:t>
      </w:r>
      <w:r>
        <w:rPr>
          <w:rFonts w:cs="Arial"/>
        </w:rPr>
        <w:tab/>
        <w:t>Vorhangbeschichten mittels Gießen</w:t>
      </w:r>
    </w:p>
    <w:p>
      <w:pPr>
        <w:pStyle w:val="GesAbsatz"/>
        <w:tabs>
          <w:tab w:val="clear" w:pos="425"/>
          <w:tab w:val="left" w:pos="567"/>
        </w:tabs>
        <w:ind w:left="993" w:hanging="426"/>
        <w:rPr>
          <w:rFonts w:cs="Arial"/>
        </w:rPr>
      </w:pPr>
      <w:r>
        <w:rPr>
          <w:rFonts w:cs="Arial"/>
        </w:rPr>
        <w:t>–</w:t>
      </w:r>
      <w:r>
        <w:rPr>
          <w:rFonts w:cs="Arial"/>
        </w:rPr>
        <w:tab/>
        <w:t>Fluten</w:t>
      </w:r>
    </w:p>
    <w:p>
      <w:pPr>
        <w:pStyle w:val="GesAbsatz"/>
        <w:tabs>
          <w:tab w:val="clear" w:pos="425"/>
          <w:tab w:val="left" w:pos="567"/>
        </w:tabs>
        <w:ind w:left="993" w:hanging="426"/>
        <w:rPr>
          <w:rFonts w:cs="Arial"/>
        </w:rPr>
      </w:pPr>
      <w:r>
        <w:rPr>
          <w:rFonts w:cs="Arial"/>
        </w:rPr>
        <w:t>–</w:t>
      </w:r>
      <w:r>
        <w:rPr>
          <w:rFonts w:cs="Arial"/>
        </w:rPr>
        <w:tab/>
        <w:t>Co-Extrusion</w:t>
      </w:r>
    </w:p>
    <w:p>
      <w:pPr>
        <w:pStyle w:val="GesAbsatz"/>
        <w:tabs>
          <w:tab w:val="clear" w:pos="425"/>
          <w:tab w:val="left" w:pos="567"/>
          <w:tab w:val="left" w:pos="1134"/>
        </w:tabs>
        <w:ind w:left="567" w:hanging="567"/>
        <w:rPr>
          <w:rFonts w:cs="Arial"/>
        </w:rPr>
      </w:pPr>
      <w:r>
        <w:rPr>
          <w:rFonts w:cs="Arial"/>
        </w:rPr>
        <w:t>3.</w:t>
      </w:r>
      <w:r>
        <w:rPr>
          <w:rFonts w:cs="Arial"/>
        </w:rPr>
        <w:tab/>
        <w:t>Beste verfügbare Techniken für Sprühzerstäubungstechniken:</w:t>
      </w:r>
    </w:p>
    <w:p>
      <w:pPr>
        <w:pStyle w:val="GesAbsatz"/>
        <w:tabs>
          <w:tab w:val="clear" w:pos="425"/>
          <w:tab w:val="left" w:pos="567"/>
        </w:tabs>
        <w:ind w:left="993" w:hanging="426"/>
        <w:rPr>
          <w:rFonts w:cs="Arial"/>
        </w:rPr>
      </w:pPr>
      <w:r>
        <w:rPr>
          <w:rFonts w:cs="Arial"/>
        </w:rPr>
        <w:t>–</w:t>
      </w:r>
      <w:r>
        <w:rPr>
          <w:rFonts w:cs="Arial"/>
        </w:rPr>
        <w:tab/>
        <w:t>Luftunterstütztes Airless-Spritzen</w:t>
      </w:r>
    </w:p>
    <w:p>
      <w:pPr>
        <w:pStyle w:val="GesAbsatz"/>
        <w:tabs>
          <w:tab w:val="clear" w:pos="425"/>
          <w:tab w:val="left" w:pos="567"/>
        </w:tabs>
        <w:ind w:left="993" w:hanging="426"/>
        <w:rPr>
          <w:rFonts w:cs="Arial"/>
        </w:rPr>
      </w:pPr>
      <w:r>
        <w:rPr>
          <w:rFonts w:cs="Arial"/>
        </w:rPr>
        <w:t>–</w:t>
      </w:r>
      <w:r>
        <w:rPr>
          <w:rFonts w:cs="Arial"/>
        </w:rPr>
        <w:tab/>
        <w:t>Druckluftzerstäubung mit Inertgasen</w:t>
      </w:r>
    </w:p>
    <w:p>
      <w:pPr>
        <w:pStyle w:val="GesAbsatz"/>
        <w:tabs>
          <w:tab w:val="clear" w:pos="425"/>
          <w:tab w:val="left" w:pos="567"/>
        </w:tabs>
        <w:ind w:left="993" w:hanging="426"/>
        <w:rPr>
          <w:rFonts w:cs="Arial"/>
        </w:rPr>
      </w:pPr>
      <w:r>
        <w:rPr>
          <w:rFonts w:cs="Arial"/>
        </w:rPr>
        <w:t>–</w:t>
      </w:r>
      <w:r>
        <w:rPr>
          <w:rFonts w:cs="Arial"/>
        </w:rPr>
        <w:tab/>
        <w:t>Zerstäubung mit hohem Volumen und niedrigem Druck (HVLP)</w:t>
      </w:r>
    </w:p>
    <w:p>
      <w:pPr>
        <w:pStyle w:val="GesAbsatz"/>
        <w:tabs>
          <w:tab w:val="clear" w:pos="425"/>
          <w:tab w:val="left" w:pos="567"/>
        </w:tabs>
        <w:ind w:left="993" w:hanging="426"/>
        <w:rPr>
          <w:rFonts w:cs="Arial"/>
        </w:rPr>
      </w:pPr>
      <w:r>
        <w:rPr>
          <w:rFonts w:cs="Arial"/>
        </w:rPr>
        <w:t>–</w:t>
      </w:r>
      <w:r>
        <w:rPr>
          <w:rFonts w:cs="Arial"/>
        </w:rPr>
        <w:tab/>
        <w:t>Vollautomatisierte elektrostatische Zerstäubung</w:t>
      </w:r>
    </w:p>
    <w:p>
      <w:pPr>
        <w:pStyle w:val="GesAbsatz"/>
        <w:tabs>
          <w:tab w:val="clear" w:pos="425"/>
          <w:tab w:val="left" w:pos="567"/>
        </w:tabs>
        <w:ind w:left="993" w:hanging="426"/>
        <w:rPr>
          <w:rFonts w:cs="Arial"/>
        </w:rPr>
      </w:pPr>
      <w:r>
        <w:rPr>
          <w:rFonts w:cs="Arial"/>
        </w:rPr>
        <w:t>–</w:t>
      </w:r>
      <w:r>
        <w:rPr>
          <w:rFonts w:cs="Arial"/>
        </w:rPr>
        <w:tab/>
        <w:t>Elektrostatisch unterstütztes Airless-Spritzen</w:t>
      </w:r>
    </w:p>
    <w:p>
      <w:pPr>
        <w:pStyle w:val="GesAbsatz"/>
        <w:tabs>
          <w:tab w:val="clear" w:pos="425"/>
          <w:tab w:val="left" w:pos="567"/>
        </w:tabs>
        <w:ind w:left="993" w:hanging="426"/>
        <w:rPr>
          <w:rFonts w:cs="Arial"/>
        </w:rPr>
      </w:pPr>
      <w:r>
        <w:rPr>
          <w:rFonts w:cs="Arial"/>
        </w:rPr>
        <w:t>–</w:t>
      </w:r>
      <w:r>
        <w:rPr>
          <w:rFonts w:cs="Arial"/>
        </w:rPr>
        <w:tab/>
        <w:t>Heißspritzen</w:t>
      </w:r>
    </w:p>
    <w:p>
      <w:pPr>
        <w:pStyle w:val="GesAbsatz"/>
        <w:tabs>
          <w:tab w:val="clear" w:pos="425"/>
          <w:tab w:val="left" w:pos="567"/>
          <w:tab w:val="left" w:pos="1134"/>
        </w:tabs>
        <w:ind w:left="567" w:hanging="567"/>
        <w:rPr>
          <w:rFonts w:cs="Arial"/>
        </w:rPr>
      </w:pPr>
      <w:r>
        <w:rPr>
          <w:rFonts w:cs="Arial"/>
        </w:rPr>
        <w:t>4.</w:t>
      </w:r>
      <w:r>
        <w:rPr>
          <w:rFonts w:cs="Arial"/>
        </w:rPr>
        <w:tab/>
        <w:t>Beste verfügbare Techniken für das Aufbringen mittels Spritzen, Rakeln und Spülen bei der Beschichtung von Bandblechen:</w:t>
      </w:r>
    </w:p>
    <w:p>
      <w:pPr>
        <w:pStyle w:val="GesAbsatz"/>
        <w:tabs>
          <w:tab w:val="clear" w:pos="425"/>
          <w:tab w:val="left" w:pos="567"/>
        </w:tabs>
        <w:ind w:left="993" w:hanging="426"/>
        <w:rPr>
          <w:rFonts w:cs="Arial"/>
        </w:rPr>
      </w:pPr>
      <w:r>
        <w:rPr>
          <w:rFonts w:cs="Arial"/>
        </w:rPr>
        <w:lastRenderedPageBreak/>
        <w:t>–</w:t>
      </w:r>
      <w:r>
        <w:rPr>
          <w:rFonts w:cs="Arial"/>
        </w:rPr>
        <w:tab/>
        <w:t>Automatisierung der Spritzaufbringung</w:t>
      </w:r>
    </w:p>
    <w:p>
      <w:pPr>
        <w:pStyle w:val="GesAbsatz"/>
        <w:tabs>
          <w:tab w:val="clear" w:pos="425"/>
          <w:tab w:val="left" w:pos="567"/>
        </w:tabs>
        <w:ind w:left="993" w:hanging="426"/>
        <w:rPr>
          <w:rFonts w:cs="Arial"/>
        </w:rPr>
      </w:pPr>
      <w:r>
        <w:rPr>
          <w:rFonts w:cs="Arial"/>
        </w:rPr>
        <w:t>–</w:t>
      </w:r>
      <w:r>
        <w:rPr>
          <w:rFonts w:cs="Arial"/>
        </w:rPr>
        <w:tab/>
        <w:t>Roboteranwendungen</w:t>
      </w:r>
    </w:p>
    <w:p>
      <w:pPr>
        <w:pStyle w:val="GesAbsatz"/>
        <w:tabs>
          <w:tab w:val="clear" w:pos="425"/>
          <w:tab w:val="left" w:pos="567"/>
        </w:tabs>
        <w:ind w:left="993" w:hanging="426"/>
        <w:rPr>
          <w:rFonts w:cs="Arial"/>
        </w:rPr>
      </w:pPr>
      <w:r>
        <w:rPr>
          <w:rFonts w:cs="Arial"/>
        </w:rPr>
        <w:t>–</w:t>
      </w:r>
      <w:r>
        <w:rPr>
          <w:rFonts w:cs="Arial"/>
        </w:rPr>
        <w:tab/>
        <w:t>Maschinelles Aufbringen</w:t>
      </w:r>
    </w:p>
    <w:p>
      <w:pPr>
        <w:pStyle w:val="GesAbsatz"/>
        <w:tabs>
          <w:tab w:val="clear" w:pos="425"/>
          <w:tab w:val="left" w:pos="567"/>
          <w:tab w:val="left" w:pos="1134"/>
        </w:tabs>
        <w:ind w:left="567" w:hanging="567"/>
        <w:rPr>
          <w:rFonts w:cs="Arial"/>
        </w:rPr>
      </w:pPr>
      <w:r>
        <w:rPr>
          <w:rFonts w:cs="Arial"/>
        </w:rPr>
        <w:t>5.</w:t>
      </w:r>
      <w:r>
        <w:rPr>
          <w:rFonts w:cs="Arial"/>
        </w:rPr>
        <w:tab/>
        <w:t>Beste verfügbare Techniken zum Trocknungs-/Aushärteverfahren:</w:t>
      </w:r>
    </w:p>
    <w:p>
      <w:pPr>
        <w:pStyle w:val="GesAbsatz"/>
        <w:tabs>
          <w:tab w:val="clear" w:pos="425"/>
          <w:tab w:val="left" w:pos="567"/>
        </w:tabs>
        <w:ind w:left="993" w:hanging="426"/>
        <w:rPr>
          <w:rFonts w:cs="Arial"/>
        </w:rPr>
      </w:pPr>
      <w:r>
        <w:rPr>
          <w:rFonts w:cs="Arial"/>
        </w:rPr>
        <w:t>–</w:t>
      </w:r>
      <w:r>
        <w:rPr>
          <w:rFonts w:cs="Arial"/>
        </w:rPr>
        <w:tab/>
        <w:t>Trocknung und Aushärtung durch Inertgaskonvektion</w:t>
      </w:r>
    </w:p>
    <w:p>
      <w:pPr>
        <w:pStyle w:val="GesAbsatz"/>
        <w:tabs>
          <w:tab w:val="clear" w:pos="425"/>
          <w:tab w:val="left" w:pos="567"/>
        </w:tabs>
        <w:ind w:left="993" w:hanging="426"/>
        <w:rPr>
          <w:rFonts w:cs="Arial"/>
        </w:rPr>
      </w:pPr>
      <w:r>
        <w:rPr>
          <w:rFonts w:cs="Arial"/>
        </w:rPr>
        <w:t>–</w:t>
      </w:r>
      <w:r>
        <w:rPr>
          <w:rFonts w:cs="Arial"/>
        </w:rPr>
        <w:tab/>
        <w:t>Induktionstrocknung/-aushärtung</w:t>
      </w:r>
    </w:p>
    <w:p>
      <w:pPr>
        <w:pStyle w:val="GesAbsatz"/>
        <w:tabs>
          <w:tab w:val="clear" w:pos="425"/>
          <w:tab w:val="left" w:pos="567"/>
        </w:tabs>
        <w:ind w:left="993" w:hanging="426"/>
        <w:rPr>
          <w:rFonts w:cs="Arial"/>
        </w:rPr>
      </w:pPr>
      <w:r>
        <w:rPr>
          <w:rFonts w:cs="Arial"/>
        </w:rPr>
        <w:t>–</w:t>
      </w:r>
      <w:r>
        <w:rPr>
          <w:rFonts w:cs="Arial"/>
        </w:rPr>
        <w:tab/>
        <w:t>Mikrowellen- und Hochfrequenztrocknung</w:t>
      </w:r>
    </w:p>
    <w:p>
      <w:pPr>
        <w:pStyle w:val="GesAbsatz"/>
        <w:tabs>
          <w:tab w:val="clear" w:pos="425"/>
          <w:tab w:val="left" w:pos="567"/>
        </w:tabs>
        <w:ind w:left="993" w:hanging="426"/>
        <w:rPr>
          <w:rFonts w:cs="Arial"/>
        </w:rPr>
      </w:pPr>
      <w:r>
        <w:rPr>
          <w:rFonts w:cs="Arial"/>
        </w:rPr>
        <w:t>–</w:t>
      </w:r>
      <w:r>
        <w:rPr>
          <w:rFonts w:cs="Arial"/>
        </w:rPr>
        <w:tab/>
        <w:t>Strahlungshärtung</w:t>
      </w:r>
    </w:p>
    <w:p>
      <w:pPr>
        <w:pStyle w:val="GesAbsatz"/>
        <w:tabs>
          <w:tab w:val="clear" w:pos="425"/>
          <w:tab w:val="left" w:pos="567"/>
        </w:tabs>
        <w:ind w:left="993" w:hanging="426"/>
        <w:rPr>
          <w:rFonts w:cs="Arial"/>
        </w:rPr>
      </w:pPr>
      <w:r>
        <w:rPr>
          <w:rFonts w:cs="Arial"/>
        </w:rPr>
        <w:t>–</w:t>
      </w:r>
      <w:r>
        <w:rPr>
          <w:rFonts w:cs="Arial"/>
        </w:rPr>
        <w:tab/>
        <w:t>Kombinierte Konvektions-/Infrarot-Strahlungstrocknung</w:t>
      </w:r>
    </w:p>
    <w:p>
      <w:pPr>
        <w:pStyle w:val="GesAbsatz"/>
        <w:tabs>
          <w:tab w:val="clear" w:pos="425"/>
          <w:tab w:val="left" w:pos="567"/>
        </w:tabs>
        <w:ind w:left="993" w:hanging="426"/>
        <w:rPr>
          <w:rFonts w:cs="Arial"/>
        </w:rPr>
      </w:pPr>
      <w:r>
        <w:rPr>
          <w:rFonts w:cs="Arial"/>
        </w:rPr>
        <w:t>–</w:t>
      </w:r>
      <w:r>
        <w:rPr>
          <w:rFonts w:cs="Arial"/>
        </w:rPr>
        <w:tab/>
        <w:t>Konvektionstrocknung/-härtung kombiniert mit Wärmerückgewinnung</w:t>
      </w:r>
    </w:p>
    <w:p>
      <w:pPr>
        <w:pStyle w:val="GesAbsatz"/>
        <w:tabs>
          <w:tab w:val="clear" w:pos="425"/>
          <w:tab w:val="left" w:pos="567"/>
          <w:tab w:val="left" w:pos="1134"/>
        </w:tabs>
        <w:ind w:left="567" w:hanging="567"/>
        <w:rPr>
          <w:rFonts w:cs="Arial"/>
        </w:rPr>
      </w:pPr>
    </w:p>
    <w:p>
      <w:pPr>
        <w:pStyle w:val="GesAbsatz"/>
        <w:tabs>
          <w:tab w:val="clear" w:pos="425"/>
          <w:tab w:val="left" w:pos="567"/>
          <w:tab w:val="left" w:pos="1134"/>
        </w:tabs>
        <w:ind w:left="567" w:hanging="567"/>
        <w:rPr>
          <w:rFonts w:cs="Arial"/>
        </w:rPr>
      </w:pPr>
    </w:p>
    <w:p>
      <w:pPr>
        <w:pStyle w:val="GesAbsatz"/>
        <w:tabs>
          <w:tab w:val="clear" w:pos="425"/>
          <w:tab w:val="left" w:pos="567"/>
          <w:tab w:val="left" w:pos="1134"/>
        </w:tabs>
        <w:ind w:left="567" w:hanging="567"/>
        <w:rPr>
          <w:rFonts w:cs="Arial"/>
        </w:rPr>
      </w:pPr>
    </w:p>
    <w:p>
      <w:pPr>
        <w:pStyle w:val="GesAbsatz"/>
        <w:tabs>
          <w:tab w:val="clear" w:pos="425"/>
          <w:tab w:val="left" w:pos="567"/>
          <w:tab w:val="left" w:pos="1134"/>
        </w:tabs>
        <w:ind w:left="567" w:hanging="567"/>
        <w:rPr>
          <w:rFonts w:cs="Arial"/>
        </w:rPr>
      </w:pPr>
    </w:p>
    <w:p>
      <w:pPr>
        <w:pStyle w:val="GesAbsatz"/>
        <w:tabs>
          <w:tab w:val="clear" w:pos="425"/>
          <w:tab w:val="left" w:pos="567"/>
          <w:tab w:val="left" w:pos="1134"/>
        </w:tabs>
        <w:ind w:left="567" w:hanging="567"/>
        <w:rPr>
          <w:rFonts w:cs="Arial"/>
        </w:rPr>
      </w:pPr>
    </w:p>
    <w:p>
      <w:pPr>
        <w:pStyle w:val="GesAbsatz"/>
        <w:tabs>
          <w:tab w:val="clear" w:pos="425"/>
          <w:tab w:val="left" w:pos="567"/>
          <w:tab w:val="left" w:pos="1134"/>
        </w:tabs>
        <w:ind w:left="567" w:hanging="567"/>
        <w:rPr>
          <w:rFonts w:cs="Arial"/>
          <w:b/>
          <w:sz w:val="22"/>
          <w:szCs w:val="22"/>
          <w:lang w:val="sv-SE"/>
        </w:rPr>
      </w:pPr>
      <w:bookmarkStart w:id="27" w:name="Gesetzeshistorie"/>
      <w:bookmarkEnd w:id="27"/>
      <w:r>
        <w:rPr>
          <w:rFonts w:cs="Arial"/>
          <w:b/>
          <w:sz w:val="22"/>
          <w:szCs w:val="22"/>
          <w:lang w:val="sv-SE"/>
        </w:rPr>
        <w:t>Änderungen:</w:t>
      </w:r>
    </w:p>
    <w:p>
      <w:pPr>
        <w:pStyle w:val="GesAbsatz"/>
        <w:tabs>
          <w:tab w:val="clear" w:pos="425"/>
          <w:tab w:val="left" w:pos="2552"/>
        </w:tabs>
        <w:ind w:left="2268" w:hanging="2268"/>
        <w:jc w:val="left"/>
      </w:pPr>
      <w:r>
        <w:rPr>
          <w:lang w:val="sv-SE"/>
        </w:rPr>
        <w:t>10.01.2024</w:t>
      </w:r>
      <w:r>
        <w:rPr>
          <w:lang w:val="sv-SE"/>
        </w:rPr>
        <w:tab/>
      </w:r>
      <w:hyperlink r:id="rId7" w:history="1">
        <w:r>
          <w:rPr>
            <w:rStyle w:val="Hyperlink"/>
            <w:lang w:val="sv-SE"/>
          </w:rPr>
          <w:t>BGBl. I 2024 Nr. 7</w:t>
        </w:r>
      </w:hyperlink>
      <w:r>
        <w:rPr>
          <w:lang w:val="sv-SE"/>
        </w:rPr>
        <w:t xml:space="preserve"> Ursprungsfassung</w:t>
      </w:r>
    </w:p>
    <w:p>
      <w:pPr>
        <w:pStyle w:val="GesAbsatz"/>
        <w:tabs>
          <w:tab w:val="clear" w:pos="425"/>
          <w:tab w:val="left" w:pos="2552"/>
        </w:tabs>
      </w:pPr>
    </w:p>
    <w:p>
      <w:pPr>
        <w:pStyle w:val="GesAbsatz"/>
        <w:tabs>
          <w:tab w:val="clear" w:pos="425"/>
          <w:tab w:val="left" w:pos="2552"/>
        </w:tabs>
      </w:pPr>
    </w:p>
    <w:p>
      <w:pPr>
        <w:pStyle w:val="GesAbsatz"/>
        <w:tabs>
          <w:tab w:val="clear" w:pos="425"/>
          <w:tab w:val="left" w:pos="2552"/>
        </w:tabs>
      </w:pPr>
    </w:p>
    <w:sectPr>
      <w:headerReference w:type="default" r:id="rId8"/>
      <w:footerReference w:type="even" r:id="rId9"/>
      <w:footerReference w:type="default" r:id="rId10"/>
      <w:type w:val="continuous"/>
      <w:pgSz w:w="11906" w:h="16838" w:code="9"/>
      <w:pgMar w:top="1134" w:right="851" w:bottom="1134" w:left="1418" w:header="567" w:footer="851" w:gutter="0"/>
      <w:cols w:space="720" w:equalWidth="0">
        <w:col w:w="9637" w:space="63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framePr w:wrap="around" w:vAnchor="text" w:hAnchor="margin" w:xAlign="right" w:y="1"/>
    </w:pPr>
    <w:r>
      <w:fldChar w:fldCharType="begin"/>
    </w:r>
    <w:r>
      <w:instrText xml:space="preserve">PAGE  </w:instrText>
    </w:r>
    <w:r>
      <w:fldChar w:fldCharType="end"/>
    </w:r>
  </w:p>
  <w:p>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lang w:val="sv-SE"/>
      </w:rPr>
    </w:pPr>
    <w:r>
      <w:tab/>
      <w:t xml:space="preserve">Stand </w:t>
    </w:r>
    <w:r>
      <w:rPr>
        <w:lang w:val="sv-SE"/>
      </w:rPr>
      <w:t>10.01.2024 (BGBl. I 2024 Nr. 7 / FNA 2129-8-31)</w:t>
    </w:r>
    <w:r>
      <w:rPr>
        <w:lang w:val="sv-SE"/>
      </w:rPr>
      <w:tab/>
      <w:t xml:space="preserve">Seite </w:t>
    </w:r>
    <w:r>
      <w:fldChar w:fldCharType="begin"/>
    </w:r>
    <w:r>
      <w:rPr>
        <w:lang w:val="sv-SE"/>
      </w:rPr>
      <w:instrText xml:space="preserve"> PAGE </w:instrText>
    </w:r>
    <w:r>
      <w:fldChar w:fldCharType="separate"/>
    </w:r>
    <w:r>
      <w:rPr>
        <w:noProof/>
        <w:lang w:val="sv-SE"/>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60.1-115</w:t>
    </w:r>
  </w:p>
  <w:p>
    <w:pPr>
      <w:pStyle w:val="Kopfzeile"/>
      <w:tabs>
        <w:tab w:val="clear" w:pos="4536"/>
      </w:tabs>
      <w:spacing w:after="0"/>
    </w:pPr>
    <w:r>
      <w:t>31. BImSchV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B52E030E-179F-4ABF-A85E-B7C108D87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esAbsatz">
    <w:name w:val="GesAbsatz"/>
    <w:basedOn w:val="Standard"/>
    <w:link w:val="GesAbsatzZchn"/>
    <w:qFormat/>
    <w:pPr>
      <w:spacing w:before="100"/>
    </w:pPr>
    <w:rPr>
      <w:color w:val="000000"/>
    </w:rPr>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 w:type="paragraph" w:styleId="Verzeichnis1">
    <w:name w:val="toc 1"/>
    <w:basedOn w:val="Verzeichnis3"/>
    <w:next w:val="Standard"/>
    <w:uiPriority w:val="39"/>
    <w:pPr>
      <w:spacing w:before="120" w:after="120"/>
      <w:ind w:left="0"/>
    </w:pPr>
    <w:rPr>
      <w:b/>
      <w:i w:val="0"/>
      <w:caps/>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rPr>
      <w:color w:val="800080"/>
      <w:u w:val="single"/>
    </w:rPr>
  </w:style>
  <w:style w:type="character" w:styleId="Seitenzahl">
    <w:name w:val="page number"/>
    <w:rPr>
      <w:rFonts w:ascii="Arial" w:hAnsi="Arial"/>
      <w:sz w:val="16"/>
    </w:rPr>
  </w:style>
  <w:style w:type="paragraph" w:styleId="Funotentext">
    <w:name w:val="footnote text"/>
    <w:basedOn w:val="Standard"/>
    <w:qFormat/>
    <w:pPr>
      <w:spacing w:before="0" w:after="0"/>
    </w:pPr>
    <w:rPr>
      <w:sz w:val="16"/>
    </w:rPr>
  </w:style>
  <w:style w:type="character" w:customStyle="1" w:styleId="berschrift5Zchn">
    <w:name w:val="Überschrift 5 Zchn"/>
    <w:basedOn w:val="Absatz-Standardschriftart"/>
    <w:link w:val="berschrift5"/>
    <w:rPr>
      <w:rFonts w:ascii="Arial" w:hAnsi="Arial"/>
    </w:rPr>
  </w:style>
  <w:style w:type="character" w:customStyle="1" w:styleId="GesAbsatzZchn">
    <w:name w:val="GesAbsatz Zchn"/>
    <w:link w:val="GesAbsatz"/>
    <w:rPr>
      <w:rFonts w:ascii="Arial" w:hAnsi="Arial"/>
      <w:color w:val="000000"/>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recht.bund.de/eli/bund/bgbl_1/2024/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2CCDE-5BA6-4E10-916C-D51BD1021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39</Pages>
  <Words>14587</Words>
  <Characters>98044</Characters>
  <Application>Microsoft Office Word</Application>
  <DocSecurity>0</DocSecurity>
  <Lines>817</Lines>
  <Paragraphs>224</Paragraphs>
  <ScaleCrop>false</ScaleCrop>
  <HeadingPairs>
    <vt:vector size="2" baseType="variant">
      <vt:variant>
        <vt:lpstr>Titel</vt:lpstr>
      </vt:variant>
      <vt:variant>
        <vt:i4>1</vt:i4>
      </vt:variant>
    </vt:vector>
  </HeadingPairs>
  <TitlesOfParts>
    <vt:vector size="1" baseType="lpstr">
      <vt:lpstr>31. BImSchV</vt:lpstr>
    </vt:vector>
  </TitlesOfParts>
  <Company>LANUV NRW</Company>
  <LinksUpToDate>false</LinksUpToDate>
  <CharactersWithSpaces>112407</CharactersWithSpaces>
  <SharedDoc>false</SharedDoc>
  <HLinks>
    <vt:vector size="186" baseType="variant">
      <vt:variant>
        <vt:i4>4587557</vt:i4>
      </vt:variant>
      <vt:variant>
        <vt:i4>174</vt:i4>
      </vt:variant>
      <vt:variant>
        <vt:i4>0</vt:i4>
      </vt:variant>
      <vt:variant>
        <vt:i4>5</vt:i4>
      </vt:variant>
      <vt:variant>
        <vt:lpwstr>http://www.bgbl.de/Xaver/start.xav?startbk=Bundesanzeiger_BGBl&amp;col=CollBGBl</vt:lpwstr>
      </vt:variant>
      <vt:variant>
        <vt:lpwstr>__Bundesanzeiger_BGBl__%2F%2F*%5B%40attr_id%3D'bgbl113s3754.pdf'%5D__1381385214819</vt:lpwstr>
      </vt:variant>
      <vt:variant>
        <vt:i4>5111919</vt:i4>
      </vt:variant>
      <vt:variant>
        <vt:i4>171</vt:i4>
      </vt:variant>
      <vt:variant>
        <vt:i4>0</vt:i4>
      </vt:variant>
      <vt:variant>
        <vt:i4>5</vt:i4>
      </vt:variant>
      <vt:variant>
        <vt:lpwstr>http://www.bgbl.de/Xaver/start.xav?startbk=Bundesanzeiger_BGBl&amp;start=//*%5b@attr_id='bgbl113s1021.pdf'%5d</vt:lpwstr>
      </vt:variant>
      <vt:variant>
        <vt:lpwstr/>
      </vt:variant>
      <vt:variant>
        <vt:i4>4522091</vt:i4>
      </vt:variant>
      <vt:variant>
        <vt:i4>168</vt:i4>
      </vt:variant>
      <vt:variant>
        <vt:i4>0</vt:i4>
      </vt:variant>
      <vt:variant>
        <vt:i4>5</vt:i4>
      </vt:variant>
      <vt:variant>
        <vt:lpwstr>http://www.bgbl.de/Xaver/start.xav?startbk=Bundesanzeiger_BGBl&amp;start=//*%5b@attr_id='bgbl110s2194.pdf'%5d</vt:lpwstr>
      </vt:variant>
      <vt:variant>
        <vt:lpwstr/>
      </vt:variant>
      <vt:variant>
        <vt:i4>4915307</vt:i4>
      </vt:variant>
      <vt:variant>
        <vt:i4>165</vt:i4>
      </vt:variant>
      <vt:variant>
        <vt:i4>0</vt:i4>
      </vt:variant>
      <vt:variant>
        <vt:i4>5</vt:i4>
      </vt:variant>
      <vt:variant>
        <vt:lpwstr>http://www.bgbl.de/Xaver/start.xav?startbk=Bundesanzeiger_BGBl&amp;start=//*%5b@attr_id='bgbl110s1643.pdf'%5d</vt:lpwstr>
      </vt:variant>
      <vt:variant>
        <vt:lpwstr/>
      </vt:variant>
      <vt:variant>
        <vt:i4>4784224</vt:i4>
      </vt:variant>
      <vt:variant>
        <vt:i4>162</vt:i4>
      </vt:variant>
      <vt:variant>
        <vt:i4>0</vt:i4>
      </vt:variant>
      <vt:variant>
        <vt:i4>5</vt:i4>
      </vt:variant>
      <vt:variant>
        <vt:lpwstr>http://www.bgbl.de/Xaver/start.xav?startbk=Bundesanzeiger_BGBl&amp;start=//*%5b@attr_id='bgbl104s3807.pdf'%5d</vt:lpwstr>
      </vt:variant>
      <vt:variant>
        <vt:lpwstr/>
      </vt:variant>
      <vt:variant>
        <vt:i4>1376314</vt:i4>
      </vt:variant>
      <vt:variant>
        <vt:i4>149</vt:i4>
      </vt:variant>
      <vt:variant>
        <vt:i4>0</vt:i4>
      </vt:variant>
      <vt:variant>
        <vt:i4>5</vt:i4>
      </vt:variant>
      <vt:variant>
        <vt:lpwstr/>
      </vt:variant>
      <vt:variant>
        <vt:lpwstr>_Toc356284714</vt:lpwstr>
      </vt:variant>
      <vt:variant>
        <vt:i4>1376314</vt:i4>
      </vt:variant>
      <vt:variant>
        <vt:i4>143</vt:i4>
      </vt:variant>
      <vt:variant>
        <vt:i4>0</vt:i4>
      </vt:variant>
      <vt:variant>
        <vt:i4>5</vt:i4>
      </vt:variant>
      <vt:variant>
        <vt:lpwstr/>
      </vt:variant>
      <vt:variant>
        <vt:lpwstr>_Toc356284713</vt:lpwstr>
      </vt:variant>
      <vt:variant>
        <vt:i4>1376314</vt:i4>
      </vt:variant>
      <vt:variant>
        <vt:i4>137</vt:i4>
      </vt:variant>
      <vt:variant>
        <vt:i4>0</vt:i4>
      </vt:variant>
      <vt:variant>
        <vt:i4>5</vt:i4>
      </vt:variant>
      <vt:variant>
        <vt:lpwstr/>
      </vt:variant>
      <vt:variant>
        <vt:lpwstr>_Toc356284712</vt:lpwstr>
      </vt:variant>
      <vt:variant>
        <vt:i4>1376314</vt:i4>
      </vt:variant>
      <vt:variant>
        <vt:i4>131</vt:i4>
      </vt:variant>
      <vt:variant>
        <vt:i4>0</vt:i4>
      </vt:variant>
      <vt:variant>
        <vt:i4>5</vt:i4>
      </vt:variant>
      <vt:variant>
        <vt:lpwstr/>
      </vt:variant>
      <vt:variant>
        <vt:lpwstr>_Toc356284711</vt:lpwstr>
      </vt:variant>
      <vt:variant>
        <vt:i4>1376314</vt:i4>
      </vt:variant>
      <vt:variant>
        <vt:i4>125</vt:i4>
      </vt:variant>
      <vt:variant>
        <vt:i4>0</vt:i4>
      </vt:variant>
      <vt:variant>
        <vt:i4>5</vt:i4>
      </vt:variant>
      <vt:variant>
        <vt:lpwstr/>
      </vt:variant>
      <vt:variant>
        <vt:lpwstr>_Toc356284710</vt:lpwstr>
      </vt:variant>
      <vt:variant>
        <vt:i4>1310778</vt:i4>
      </vt:variant>
      <vt:variant>
        <vt:i4>119</vt:i4>
      </vt:variant>
      <vt:variant>
        <vt:i4>0</vt:i4>
      </vt:variant>
      <vt:variant>
        <vt:i4>5</vt:i4>
      </vt:variant>
      <vt:variant>
        <vt:lpwstr/>
      </vt:variant>
      <vt:variant>
        <vt:lpwstr>_Toc356284709</vt:lpwstr>
      </vt:variant>
      <vt:variant>
        <vt:i4>1310778</vt:i4>
      </vt:variant>
      <vt:variant>
        <vt:i4>113</vt:i4>
      </vt:variant>
      <vt:variant>
        <vt:i4>0</vt:i4>
      </vt:variant>
      <vt:variant>
        <vt:i4>5</vt:i4>
      </vt:variant>
      <vt:variant>
        <vt:lpwstr/>
      </vt:variant>
      <vt:variant>
        <vt:lpwstr>_Toc356284708</vt:lpwstr>
      </vt:variant>
      <vt:variant>
        <vt:i4>1310778</vt:i4>
      </vt:variant>
      <vt:variant>
        <vt:i4>107</vt:i4>
      </vt:variant>
      <vt:variant>
        <vt:i4>0</vt:i4>
      </vt:variant>
      <vt:variant>
        <vt:i4>5</vt:i4>
      </vt:variant>
      <vt:variant>
        <vt:lpwstr/>
      </vt:variant>
      <vt:variant>
        <vt:lpwstr>_Toc356284707</vt:lpwstr>
      </vt:variant>
      <vt:variant>
        <vt:i4>1310778</vt:i4>
      </vt:variant>
      <vt:variant>
        <vt:i4>101</vt:i4>
      </vt:variant>
      <vt:variant>
        <vt:i4>0</vt:i4>
      </vt:variant>
      <vt:variant>
        <vt:i4>5</vt:i4>
      </vt:variant>
      <vt:variant>
        <vt:lpwstr/>
      </vt:variant>
      <vt:variant>
        <vt:lpwstr>_Toc356284706</vt:lpwstr>
      </vt:variant>
      <vt:variant>
        <vt:i4>1310778</vt:i4>
      </vt:variant>
      <vt:variant>
        <vt:i4>95</vt:i4>
      </vt:variant>
      <vt:variant>
        <vt:i4>0</vt:i4>
      </vt:variant>
      <vt:variant>
        <vt:i4>5</vt:i4>
      </vt:variant>
      <vt:variant>
        <vt:lpwstr/>
      </vt:variant>
      <vt:variant>
        <vt:lpwstr>_Toc356284705</vt:lpwstr>
      </vt:variant>
      <vt:variant>
        <vt:i4>1310778</vt:i4>
      </vt:variant>
      <vt:variant>
        <vt:i4>89</vt:i4>
      </vt:variant>
      <vt:variant>
        <vt:i4>0</vt:i4>
      </vt:variant>
      <vt:variant>
        <vt:i4>5</vt:i4>
      </vt:variant>
      <vt:variant>
        <vt:lpwstr/>
      </vt:variant>
      <vt:variant>
        <vt:lpwstr>_Toc356284704</vt:lpwstr>
      </vt:variant>
      <vt:variant>
        <vt:i4>1310778</vt:i4>
      </vt:variant>
      <vt:variant>
        <vt:i4>83</vt:i4>
      </vt:variant>
      <vt:variant>
        <vt:i4>0</vt:i4>
      </vt:variant>
      <vt:variant>
        <vt:i4>5</vt:i4>
      </vt:variant>
      <vt:variant>
        <vt:lpwstr/>
      </vt:variant>
      <vt:variant>
        <vt:lpwstr>_Toc356284703</vt:lpwstr>
      </vt:variant>
      <vt:variant>
        <vt:i4>1310778</vt:i4>
      </vt:variant>
      <vt:variant>
        <vt:i4>77</vt:i4>
      </vt:variant>
      <vt:variant>
        <vt:i4>0</vt:i4>
      </vt:variant>
      <vt:variant>
        <vt:i4>5</vt:i4>
      </vt:variant>
      <vt:variant>
        <vt:lpwstr/>
      </vt:variant>
      <vt:variant>
        <vt:lpwstr>_Toc356284702</vt:lpwstr>
      </vt:variant>
      <vt:variant>
        <vt:i4>1310778</vt:i4>
      </vt:variant>
      <vt:variant>
        <vt:i4>71</vt:i4>
      </vt:variant>
      <vt:variant>
        <vt:i4>0</vt:i4>
      </vt:variant>
      <vt:variant>
        <vt:i4>5</vt:i4>
      </vt:variant>
      <vt:variant>
        <vt:lpwstr/>
      </vt:variant>
      <vt:variant>
        <vt:lpwstr>_Toc356284701</vt:lpwstr>
      </vt:variant>
      <vt:variant>
        <vt:i4>1310778</vt:i4>
      </vt:variant>
      <vt:variant>
        <vt:i4>65</vt:i4>
      </vt:variant>
      <vt:variant>
        <vt:i4>0</vt:i4>
      </vt:variant>
      <vt:variant>
        <vt:i4>5</vt:i4>
      </vt:variant>
      <vt:variant>
        <vt:lpwstr/>
      </vt:variant>
      <vt:variant>
        <vt:lpwstr>_Toc356284700</vt:lpwstr>
      </vt:variant>
      <vt:variant>
        <vt:i4>1900603</vt:i4>
      </vt:variant>
      <vt:variant>
        <vt:i4>59</vt:i4>
      </vt:variant>
      <vt:variant>
        <vt:i4>0</vt:i4>
      </vt:variant>
      <vt:variant>
        <vt:i4>5</vt:i4>
      </vt:variant>
      <vt:variant>
        <vt:lpwstr/>
      </vt:variant>
      <vt:variant>
        <vt:lpwstr>_Toc356284699</vt:lpwstr>
      </vt:variant>
      <vt:variant>
        <vt:i4>1900603</vt:i4>
      </vt:variant>
      <vt:variant>
        <vt:i4>53</vt:i4>
      </vt:variant>
      <vt:variant>
        <vt:i4>0</vt:i4>
      </vt:variant>
      <vt:variant>
        <vt:i4>5</vt:i4>
      </vt:variant>
      <vt:variant>
        <vt:lpwstr/>
      </vt:variant>
      <vt:variant>
        <vt:lpwstr>_Toc356284698</vt:lpwstr>
      </vt:variant>
      <vt:variant>
        <vt:i4>1900603</vt:i4>
      </vt:variant>
      <vt:variant>
        <vt:i4>47</vt:i4>
      </vt:variant>
      <vt:variant>
        <vt:i4>0</vt:i4>
      </vt:variant>
      <vt:variant>
        <vt:i4>5</vt:i4>
      </vt:variant>
      <vt:variant>
        <vt:lpwstr/>
      </vt:variant>
      <vt:variant>
        <vt:lpwstr>_Toc356284697</vt:lpwstr>
      </vt:variant>
      <vt:variant>
        <vt:i4>1900603</vt:i4>
      </vt:variant>
      <vt:variant>
        <vt:i4>41</vt:i4>
      </vt:variant>
      <vt:variant>
        <vt:i4>0</vt:i4>
      </vt:variant>
      <vt:variant>
        <vt:i4>5</vt:i4>
      </vt:variant>
      <vt:variant>
        <vt:lpwstr/>
      </vt:variant>
      <vt:variant>
        <vt:lpwstr>_Toc356284696</vt:lpwstr>
      </vt:variant>
      <vt:variant>
        <vt:i4>1900603</vt:i4>
      </vt:variant>
      <vt:variant>
        <vt:i4>35</vt:i4>
      </vt:variant>
      <vt:variant>
        <vt:i4>0</vt:i4>
      </vt:variant>
      <vt:variant>
        <vt:i4>5</vt:i4>
      </vt:variant>
      <vt:variant>
        <vt:lpwstr/>
      </vt:variant>
      <vt:variant>
        <vt:lpwstr>_Toc356284695</vt:lpwstr>
      </vt:variant>
      <vt:variant>
        <vt:i4>1900603</vt:i4>
      </vt:variant>
      <vt:variant>
        <vt:i4>29</vt:i4>
      </vt:variant>
      <vt:variant>
        <vt:i4>0</vt:i4>
      </vt:variant>
      <vt:variant>
        <vt:i4>5</vt:i4>
      </vt:variant>
      <vt:variant>
        <vt:lpwstr/>
      </vt:variant>
      <vt:variant>
        <vt:lpwstr>_Toc356284694</vt:lpwstr>
      </vt:variant>
      <vt:variant>
        <vt:i4>1900603</vt:i4>
      </vt:variant>
      <vt:variant>
        <vt:i4>23</vt:i4>
      </vt:variant>
      <vt:variant>
        <vt:i4>0</vt:i4>
      </vt:variant>
      <vt:variant>
        <vt:i4>5</vt:i4>
      </vt:variant>
      <vt:variant>
        <vt:lpwstr/>
      </vt:variant>
      <vt:variant>
        <vt:lpwstr>_Toc356284693</vt:lpwstr>
      </vt:variant>
      <vt:variant>
        <vt:i4>1900603</vt:i4>
      </vt:variant>
      <vt:variant>
        <vt:i4>17</vt:i4>
      </vt:variant>
      <vt:variant>
        <vt:i4>0</vt:i4>
      </vt:variant>
      <vt:variant>
        <vt:i4>5</vt:i4>
      </vt:variant>
      <vt:variant>
        <vt:lpwstr/>
      </vt:variant>
      <vt:variant>
        <vt:lpwstr>_Toc356284692</vt:lpwstr>
      </vt:variant>
      <vt:variant>
        <vt:i4>1900603</vt:i4>
      </vt:variant>
      <vt:variant>
        <vt:i4>11</vt:i4>
      </vt:variant>
      <vt:variant>
        <vt:i4>0</vt:i4>
      </vt:variant>
      <vt:variant>
        <vt:i4>5</vt:i4>
      </vt:variant>
      <vt:variant>
        <vt:lpwstr/>
      </vt:variant>
      <vt:variant>
        <vt:lpwstr>_Toc356284691</vt:lpwstr>
      </vt:variant>
      <vt:variant>
        <vt:i4>1900603</vt:i4>
      </vt:variant>
      <vt:variant>
        <vt:i4>5</vt:i4>
      </vt:variant>
      <vt:variant>
        <vt:i4>0</vt:i4>
      </vt:variant>
      <vt:variant>
        <vt:i4>5</vt:i4>
      </vt:variant>
      <vt:variant>
        <vt:lpwstr/>
      </vt:variant>
      <vt:variant>
        <vt:lpwstr>_Toc356284690</vt:lpwstr>
      </vt:variant>
      <vt:variant>
        <vt:i4>196632</vt:i4>
      </vt:variant>
      <vt:variant>
        <vt:i4>0</vt:i4>
      </vt:variant>
      <vt:variant>
        <vt:i4>0</vt:i4>
      </vt:variant>
      <vt:variant>
        <vt:i4>5</vt:i4>
      </vt:variant>
      <vt:variant>
        <vt:lpwstr/>
      </vt:variant>
      <vt:variant>
        <vt:lpwstr>Gesetzeshistorie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 BImSchV</dc:title>
  <dc:creator>Np</dc:creator>
  <dc:description>durchgesehen: 08.2006</dc:description>
  <cp:lastModifiedBy>Rüter, Dr., Ingo</cp:lastModifiedBy>
  <cp:revision>104</cp:revision>
  <cp:lastPrinted>1900-12-31T22:00:00Z</cp:lastPrinted>
  <dcterms:created xsi:type="dcterms:W3CDTF">2024-01-19T10:25:00Z</dcterms:created>
  <dcterms:modified xsi:type="dcterms:W3CDTF">2024-11-05T08:52:00Z</dcterms:modified>
</cp:coreProperties>
</file>