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49111737"/>
      <w:r>
        <w:t>Allgemei</w:t>
      </w:r>
      <w:bookmarkStart w:id="1" w:name="_GoBack"/>
      <w:bookmarkEnd w:id="1"/>
      <w:r>
        <w:t>ne Verwaltungsvorschrift zur Durchführung der</w:t>
      </w:r>
      <w:r>
        <w:br/>
        <w:t>Verordnung über die Beschaffenheit und die Auszeichnung</w:t>
      </w:r>
      <w:r>
        <w:br/>
        <w:t>der Qualit</w:t>
      </w:r>
      <w:r>
        <w:t>ä</w:t>
      </w:r>
      <w:r>
        <w:t>ten von Kraft- und Brennstoffen</w:t>
      </w:r>
      <w:bookmarkEnd w:id="0"/>
    </w:p>
    <w:p>
      <w:pPr>
        <w:pStyle w:val="GesAbsatz"/>
        <w:jc w:val="center"/>
      </w:pPr>
      <w:r>
        <w:t>vom 4. September 2012</w:t>
      </w:r>
    </w:p>
    <w:p>
      <w:pPr>
        <w:pStyle w:val="GesAbsatz"/>
      </w:pPr>
    </w:p>
    <w:p>
      <w:pPr>
        <w:pStyle w:val="GesAbsatz"/>
        <w:jc w:val="center"/>
        <w:rPr>
          <w:noProof/>
        </w:rPr>
      </w:pPr>
      <w:r>
        <w:rPr>
          <w:b/>
          <w:sz w:val="22"/>
        </w:rPr>
        <w:t>Inhalt:</w:t>
      </w:r>
      <w:r>
        <w:rPr>
          <w:b/>
          <w:sz w:val="22"/>
        </w:rPr>
        <w:fldChar w:fldCharType="begin"/>
      </w:r>
      <w:r>
        <w:rPr>
          <w:b/>
          <w:sz w:val="22"/>
        </w:rPr>
        <w:instrText xml:space="preserve"> TOC \o "1-3" \h \z \u </w:instrText>
      </w:r>
      <w:r>
        <w:rPr>
          <w:b/>
          <w:sz w:val="22"/>
        </w:rPr>
        <w:fldChar w:fldCharType="separate"/>
      </w:r>
    </w:p>
    <w:p>
      <w:pPr>
        <w:pStyle w:val="Verzeichnis1"/>
        <w:tabs>
          <w:tab w:val="right" w:leader="dot" w:pos="9628"/>
        </w:tabs>
        <w:rPr>
          <w:rFonts w:cs="Times New Roman"/>
          <w:b w:val="0"/>
          <w:bCs w:val="0"/>
          <w:caps w:val="0"/>
          <w:noProof/>
          <w:sz w:val="22"/>
          <w:szCs w:val="22"/>
        </w:rPr>
      </w:pPr>
      <w:hyperlink w:anchor="_Toc349111737" w:history="1">
        <w:r>
          <w:rPr>
            <w:rStyle w:val="Hyperlink"/>
            <w:noProof/>
          </w:rPr>
          <w:t>Allgemeine Verwaltungsvorschrift zur Durchführung der Verordnung über die Beschaffenheit und die Auszeichnung der Qualitäten von Kraft- und Brennstoffen</w:t>
        </w:r>
        <w:r>
          <w:rPr>
            <w:noProof/>
            <w:webHidden/>
          </w:rPr>
          <w:tab/>
        </w:r>
        <w:r>
          <w:rPr>
            <w:noProof/>
            <w:webHidden/>
          </w:rPr>
          <w:fldChar w:fldCharType="begin"/>
        </w:r>
        <w:r>
          <w:rPr>
            <w:noProof/>
            <w:webHidden/>
          </w:rPr>
          <w:instrText xml:space="preserve"> PAGEREF _Toc349111737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38" w:history="1">
        <w:r>
          <w:rPr>
            <w:rStyle w:val="Hyperlink"/>
            <w:noProof/>
          </w:rPr>
          <w:t>1 Anwendungsbereich</w:t>
        </w:r>
        <w:r>
          <w:rPr>
            <w:noProof/>
            <w:webHidden/>
          </w:rPr>
          <w:tab/>
        </w:r>
        <w:r>
          <w:rPr>
            <w:noProof/>
            <w:webHidden/>
          </w:rPr>
          <w:fldChar w:fldCharType="begin"/>
        </w:r>
        <w:r>
          <w:rPr>
            <w:noProof/>
            <w:webHidden/>
          </w:rPr>
          <w:instrText xml:space="preserve"> PAGEREF _Toc349111738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39" w:history="1">
        <w:r>
          <w:rPr>
            <w:rStyle w:val="Hyperlink"/>
            <w:noProof/>
          </w:rPr>
          <w:t>2 Überwachung der Auszeichnung (zu § 13 der 10. BImSchV)</w:t>
        </w:r>
        <w:r>
          <w:rPr>
            <w:noProof/>
            <w:webHidden/>
          </w:rPr>
          <w:tab/>
        </w:r>
        <w:r>
          <w:rPr>
            <w:noProof/>
            <w:webHidden/>
          </w:rPr>
          <w:fldChar w:fldCharType="begin"/>
        </w:r>
        <w:r>
          <w:rPr>
            <w:noProof/>
            <w:webHidden/>
          </w:rPr>
          <w:instrText xml:space="preserve"> PAGEREF _Toc349111739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0" w:history="1">
        <w:r>
          <w:rPr>
            <w:rStyle w:val="Hyperlink"/>
            <w:noProof/>
          </w:rPr>
          <w:t>3 Nachweisführung (zu § 14 der 10. BImSchV)</w:t>
        </w:r>
        <w:r>
          <w:rPr>
            <w:noProof/>
            <w:webHidden/>
          </w:rPr>
          <w:tab/>
        </w:r>
        <w:r>
          <w:rPr>
            <w:noProof/>
            <w:webHidden/>
          </w:rPr>
          <w:fldChar w:fldCharType="begin"/>
        </w:r>
        <w:r>
          <w:rPr>
            <w:noProof/>
            <w:webHidden/>
          </w:rPr>
          <w:instrText xml:space="preserve"> PAGEREF _Toc349111740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1" w:history="1">
        <w:r>
          <w:rPr>
            <w:rStyle w:val="Hyperlink"/>
            <w:noProof/>
          </w:rPr>
          <w:t>4 Entnahme und Untersuchung von Proben von Kraftstoffen im Rahmen der §§ 13 und 14 der 10. BImSchV</w:t>
        </w:r>
        <w:r>
          <w:rPr>
            <w:noProof/>
            <w:webHidden/>
          </w:rPr>
          <w:tab/>
        </w:r>
        <w:r>
          <w:rPr>
            <w:noProof/>
            <w:webHidden/>
          </w:rPr>
          <w:fldChar w:fldCharType="begin"/>
        </w:r>
        <w:r>
          <w:rPr>
            <w:noProof/>
            <w:webHidden/>
          </w:rPr>
          <w:instrText xml:space="preserve"> PAGEREF _Toc349111741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2" w:history="1">
        <w:r>
          <w:rPr>
            <w:rStyle w:val="Hyperlink"/>
            <w:noProof/>
          </w:rPr>
          <w:t>5 Entnahme und Untersuchung von Proben für Kraft- und Brennstoffe nach § 1 Absatz 4, 6, 7, 9 und 10 der 10. BImSchV</w:t>
        </w:r>
        <w:r>
          <w:rPr>
            <w:noProof/>
            <w:webHidden/>
          </w:rPr>
          <w:tab/>
        </w:r>
        <w:r>
          <w:rPr>
            <w:noProof/>
            <w:webHidden/>
          </w:rPr>
          <w:fldChar w:fldCharType="begin"/>
        </w:r>
        <w:r>
          <w:rPr>
            <w:noProof/>
            <w:webHidden/>
          </w:rPr>
          <w:instrText xml:space="preserve"> PAGEREF _Toc349111742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3" w:history="1">
        <w:r>
          <w:rPr>
            <w:rStyle w:val="Hyperlink"/>
            <w:noProof/>
          </w:rPr>
          <w:t>6 Maßnahmen bei Verstößen</w:t>
        </w:r>
        <w:r>
          <w:rPr>
            <w:noProof/>
            <w:webHidden/>
          </w:rPr>
          <w:tab/>
        </w:r>
        <w:r>
          <w:rPr>
            <w:noProof/>
            <w:webHidden/>
          </w:rPr>
          <w:fldChar w:fldCharType="begin"/>
        </w:r>
        <w:r>
          <w:rPr>
            <w:noProof/>
            <w:webHidden/>
          </w:rPr>
          <w:instrText xml:space="preserve"> PAGEREF _Toc349111743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4" w:history="1">
        <w:r>
          <w:rPr>
            <w:rStyle w:val="Hyperlink"/>
            <w:noProof/>
          </w:rPr>
          <w:t>7 Kosten</w:t>
        </w:r>
        <w:r>
          <w:rPr>
            <w:noProof/>
            <w:webHidden/>
          </w:rPr>
          <w:tab/>
        </w:r>
        <w:r>
          <w:rPr>
            <w:noProof/>
            <w:webHidden/>
          </w:rPr>
          <w:fldChar w:fldCharType="begin"/>
        </w:r>
        <w:r>
          <w:rPr>
            <w:noProof/>
            <w:webHidden/>
          </w:rPr>
          <w:instrText xml:space="preserve"> PAGEREF _Toc349111744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5" w:history="1">
        <w:r>
          <w:rPr>
            <w:rStyle w:val="Hyperlink"/>
            <w:noProof/>
          </w:rPr>
          <w:t>8 Bearbeitung von Beschwerden</w:t>
        </w:r>
        <w:r>
          <w:rPr>
            <w:noProof/>
            <w:webHidden/>
          </w:rPr>
          <w:tab/>
        </w:r>
        <w:r>
          <w:rPr>
            <w:noProof/>
            <w:webHidden/>
          </w:rPr>
          <w:fldChar w:fldCharType="begin"/>
        </w:r>
        <w:r>
          <w:rPr>
            <w:noProof/>
            <w:webHidden/>
          </w:rPr>
          <w:instrText xml:space="preserve"> PAGEREF _Toc349111745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6" w:history="1">
        <w:r>
          <w:rPr>
            <w:rStyle w:val="Hyperlink"/>
            <w:noProof/>
          </w:rPr>
          <w:t>9 Inkrafttreten, Außerkrafttreten</w:t>
        </w:r>
        <w:r>
          <w:rPr>
            <w:noProof/>
            <w:webHidden/>
          </w:rPr>
          <w:tab/>
        </w:r>
        <w:r>
          <w:rPr>
            <w:noProof/>
            <w:webHidden/>
          </w:rPr>
          <w:fldChar w:fldCharType="begin"/>
        </w:r>
        <w:r>
          <w:rPr>
            <w:noProof/>
            <w:webHidden/>
          </w:rPr>
          <w:instrText xml:space="preserve"> PAGEREF _Toc349111746 \h </w:instrText>
        </w:r>
        <w:r>
          <w:rPr>
            <w:noProof/>
            <w:webHidden/>
          </w:rPr>
        </w:r>
        <w:r>
          <w:rPr>
            <w:noProof/>
            <w:webHidden/>
          </w:rPr>
          <w:fldChar w:fldCharType="separate"/>
        </w:r>
        <w:r>
          <w:rPr>
            <w:noProof/>
            <w:webHidden/>
          </w:rPr>
          <w:t>6</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7" w:history="1">
        <w:r>
          <w:rPr>
            <w:rStyle w:val="Hyperlink"/>
            <w:noProof/>
          </w:rPr>
          <w:t>Anlage 1</w:t>
        </w:r>
        <w:r>
          <w:rPr>
            <w:noProof/>
            <w:webHidden/>
          </w:rPr>
          <w:tab/>
        </w:r>
        <w:r>
          <w:rPr>
            <w:noProof/>
            <w:webHidden/>
          </w:rPr>
          <w:fldChar w:fldCharType="begin"/>
        </w:r>
        <w:r>
          <w:rPr>
            <w:noProof/>
            <w:webHidden/>
          </w:rPr>
          <w:instrText xml:space="preserve"> PAGEREF _Toc349111747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8" w:history="1">
        <w:r>
          <w:rPr>
            <w:rStyle w:val="Hyperlink"/>
            <w:noProof/>
          </w:rPr>
          <w:t>Anlage 2</w:t>
        </w:r>
        <w:r>
          <w:rPr>
            <w:noProof/>
            <w:webHidden/>
          </w:rPr>
          <w:tab/>
        </w:r>
        <w:r>
          <w:rPr>
            <w:noProof/>
            <w:webHidden/>
          </w:rPr>
          <w:fldChar w:fldCharType="begin"/>
        </w:r>
        <w:r>
          <w:rPr>
            <w:noProof/>
            <w:webHidden/>
          </w:rPr>
          <w:instrText xml:space="preserve"> PAGEREF _Toc349111748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49" w:history="1">
        <w:r>
          <w:rPr>
            <w:rStyle w:val="Hyperlink"/>
            <w:noProof/>
          </w:rPr>
          <w:t>Anlage 3</w:t>
        </w:r>
        <w:r>
          <w:rPr>
            <w:noProof/>
            <w:webHidden/>
          </w:rPr>
          <w:tab/>
        </w:r>
        <w:r>
          <w:rPr>
            <w:noProof/>
            <w:webHidden/>
          </w:rPr>
          <w:fldChar w:fldCharType="begin"/>
        </w:r>
        <w:r>
          <w:rPr>
            <w:noProof/>
            <w:webHidden/>
          </w:rPr>
          <w:instrText xml:space="preserve"> PAGEREF _Toc349111749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0" w:history="1">
        <w:r>
          <w:rPr>
            <w:rStyle w:val="Hyperlink"/>
            <w:noProof/>
          </w:rPr>
          <w:t>Anlage 4</w:t>
        </w:r>
        <w:r>
          <w:rPr>
            <w:noProof/>
            <w:webHidden/>
          </w:rPr>
          <w:tab/>
        </w:r>
        <w:r>
          <w:rPr>
            <w:noProof/>
            <w:webHidden/>
          </w:rPr>
          <w:fldChar w:fldCharType="begin"/>
        </w:r>
        <w:r>
          <w:rPr>
            <w:noProof/>
            <w:webHidden/>
          </w:rPr>
          <w:instrText xml:space="preserve"> PAGEREF _Toc349111750 \h </w:instrText>
        </w:r>
        <w:r>
          <w:rPr>
            <w:noProof/>
            <w:webHidden/>
          </w:rPr>
        </w:r>
        <w:r>
          <w:rPr>
            <w:noProof/>
            <w:webHidden/>
          </w:rPr>
          <w:fldChar w:fldCharType="separate"/>
        </w:r>
        <w:r>
          <w:rPr>
            <w:noProof/>
            <w:webHidden/>
          </w:rPr>
          <w:t>11</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1" w:history="1">
        <w:r>
          <w:rPr>
            <w:rStyle w:val="Hyperlink"/>
            <w:noProof/>
          </w:rPr>
          <w:t>Anlage 5</w:t>
        </w:r>
        <w:r>
          <w:rPr>
            <w:noProof/>
            <w:webHidden/>
          </w:rPr>
          <w:tab/>
        </w:r>
        <w:r>
          <w:rPr>
            <w:noProof/>
            <w:webHidden/>
          </w:rPr>
          <w:fldChar w:fldCharType="begin"/>
        </w:r>
        <w:r>
          <w:rPr>
            <w:noProof/>
            <w:webHidden/>
          </w:rPr>
          <w:instrText xml:space="preserve"> PAGEREF _Toc349111751 \h </w:instrText>
        </w:r>
        <w:r>
          <w:rPr>
            <w:noProof/>
            <w:webHidden/>
          </w:rPr>
        </w:r>
        <w:r>
          <w:rPr>
            <w:noProof/>
            <w:webHidden/>
          </w:rPr>
          <w:fldChar w:fldCharType="separate"/>
        </w:r>
        <w:r>
          <w:rPr>
            <w:noProof/>
            <w:webHidden/>
          </w:rPr>
          <w:t>13</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2" w:history="1">
        <w:r>
          <w:rPr>
            <w:rStyle w:val="Hyperlink"/>
            <w:noProof/>
          </w:rPr>
          <w:t>Anlage 6</w:t>
        </w:r>
        <w:r>
          <w:rPr>
            <w:noProof/>
            <w:webHidden/>
          </w:rPr>
          <w:tab/>
        </w:r>
        <w:r>
          <w:rPr>
            <w:noProof/>
            <w:webHidden/>
          </w:rPr>
          <w:fldChar w:fldCharType="begin"/>
        </w:r>
        <w:r>
          <w:rPr>
            <w:noProof/>
            <w:webHidden/>
          </w:rPr>
          <w:instrText xml:space="preserve"> PAGEREF _Toc349111752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3" w:history="1">
        <w:r>
          <w:rPr>
            <w:rStyle w:val="Hyperlink"/>
            <w:noProof/>
          </w:rPr>
          <w:t>Anlage 7</w:t>
        </w:r>
        <w:r>
          <w:rPr>
            <w:noProof/>
            <w:webHidden/>
          </w:rPr>
          <w:tab/>
        </w:r>
        <w:r>
          <w:rPr>
            <w:noProof/>
            <w:webHidden/>
          </w:rPr>
          <w:fldChar w:fldCharType="begin"/>
        </w:r>
        <w:r>
          <w:rPr>
            <w:noProof/>
            <w:webHidden/>
          </w:rPr>
          <w:instrText xml:space="preserve"> PAGEREF _Toc349111753 \h </w:instrText>
        </w:r>
        <w:r>
          <w:rPr>
            <w:noProof/>
            <w:webHidden/>
          </w:rPr>
        </w:r>
        <w:r>
          <w:rPr>
            <w:noProof/>
            <w:webHidden/>
          </w:rPr>
          <w:fldChar w:fldCharType="separate"/>
        </w:r>
        <w:r>
          <w:rPr>
            <w:noProof/>
            <w:webHidden/>
          </w:rPr>
          <w:t>16</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4" w:history="1">
        <w:r>
          <w:rPr>
            <w:rStyle w:val="Hyperlink"/>
            <w:noProof/>
          </w:rPr>
          <w:t>Anlage 8</w:t>
        </w:r>
        <w:r>
          <w:rPr>
            <w:noProof/>
            <w:webHidden/>
          </w:rPr>
          <w:tab/>
        </w:r>
        <w:r>
          <w:rPr>
            <w:noProof/>
            <w:webHidden/>
          </w:rPr>
          <w:fldChar w:fldCharType="begin"/>
        </w:r>
        <w:r>
          <w:rPr>
            <w:noProof/>
            <w:webHidden/>
          </w:rPr>
          <w:instrText xml:space="preserve"> PAGEREF _Toc349111754 \h </w:instrText>
        </w:r>
        <w:r>
          <w:rPr>
            <w:noProof/>
            <w:webHidden/>
          </w:rPr>
        </w:r>
        <w:r>
          <w:rPr>
            <w:noProof/>
            <w:webHidden/>
          </w:rPr>
          <w:fldChar w:fldCharType="separate"/>
        </w:r>
        <w:r>
          <w:rPr>
            <w:noProof/>
            <w:webHidden/>
          </w:rPr>
          <w:t>18</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5" w:history="1">
        <w:r>
          <w:rPr>
            <w:rStyle w:val="Hyperlink"/>
            <w:noProof/>
          </w:rPr>
          <w:t>Anlage 9</w:t>
        </w:r>
        <w:r>
          <w:rPr>
            <w:noProof/>
            <w:webHidden/>
          </w:rPr>
          <w:tab/>
        </w:r>
        <w:r>
          <w:rPr>
            <w:noProof/>
            <w:webHidden/>
          </w:rPr>
          <w:fldChar w:fldCharType="begin"/>
        </w:r>
        <w:r>
          <w:rPr>
            <w:noProof/>
            <w:webHidden/>
          </w:rPr>
          <w:instrText xml:space="preserve"> PAGEREF _Toc349111755 \h </w:instrText>
        </w:r>
        <w:r>
          <w:rPr>
            <w:noProof/>
            <w:webHidden/>
          </w:rPr>
        </w:r>
        <w:r>
          <w:rPr>
            <w:noProof/>
            <w:webHidden/>
          </w:rPr>
          <w:fldChar w:fldCharType="separate"/>
        </w:r>
        <w:r>
          <w:rPr>
            <w:noProof/>
            <w:webHidden/>
          </w:rPr>
          <w:t>20</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6" w:history="1">
        <w:r>
          <w:rPr>
            <w:rStyle w:val="Hyperlink"/>
            <w:noProof/>
          </w:rPr>
          <w:t>Anlage 10</w:t>
        </w:r>
        <w:r>
          <w:rPr>
            <w:noProof/>
            <w:webHidden/>
          </w:rPr>
          <w:tab/>
        </w:r>
        <w:r>
          <w:rPr>
            <w:noProof/>
            <w:webHidden/>
          </w:rPr>
          <w:fldChar w:fldCharType="begin"/>
        </w:r>
        <w:r>
          <w:rPr>
            <w:noProof/>
            <w:webHidden/>
          </w:rPr>
          <w:instrText xml:space="preserve"> PAGEREF _Toc349111756 \h </w:instrText>
        </w:r>
        <w:r>
          <w:rPr>
            <w:noProof/>
            <w:webHidden/>
          </w:rPr>
        </w:r>
        <w:r>
          <w:rPr>
            <w:noProof/>
            <w:webHidden/>
          </w:rPr>
          <w:fldChar w:fldCharType="separate"/>
        </w:r>
        <w:r>
          <w:rPr>
            <w:noProof/>
            <w:webHidden/>
          </w:rPr>
          <w:t>21</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7" w:history="1">
        <w:r>
          <w:rPr>
            <w:rStyle w:val="Hyperlink"/>
            <w:noProof/>
          </w:rPr>
          <w:t>Anlage 11</w:t>
        </w:r>
        <w:r>
          <w:rPr>
            <w:noProof/>
            <w:webHidden/>
          </w:rPr>
          <w:tab/>
        </w:r>
        <w:r>
          <w:rPr>
            <w:noProof/>
            <w:webHidden/>
          </w:rPr>
          <w:fldChar w:fldCharType="begin"/>
        </w:r>
        <w:r>
          <w:rPr>
            <w:noProof/>
            <w:webHidden/>
          </w:rPr>
          <w:instrText xml:space="preserve"> PAGEREF _Toc349111757 \h </w:instrText>
        </w:r>
        <w:r>
          <w:rPr>
            <w:noProof/>
            <w:webHidden/>
          </w:rPr>
        </w:r>
        <w:r>
          <w:rPr>
            <w:noProof/>
            <w:webHidden/>
          </w:rPr>
          <w:fldChar w:fldCharType="separate"/>
        </w:r>
        <w:r>
          <w:rPr>
            <w:noProof/>
            <w:webHidden/>
          </w:rPr>
          <w:t>22</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8" w:history="1">
        <w:r>
          <w:rPr>
            <w:rStyle w:val="Hyperlink"/>
            <w:noProof/>
          </w:rPr>
          <w:t>Anlage 12</w:t>
        </w:r>
        <w:r>
          <w:rPr>
            <w:noProof/>
            <w:webHidden/>
          </w:rPr>
          <w:tab/>
        </w:r>
        <w:r>
          <w:rPr>
            <w:noProof/>
            <w:webHidden/>
          </w:rPr>
          <w:fldChar w:fldCharType="begin"/>
        </w:r>
        <w:r>
          <w:rPr>
            <w:noProof/>
            <w:webHidden/>
          </w:rPr>
          <w:instrText xml:space="preserve"> PAGEREF _Toc349111758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59" w:history="1">
        <w:r>
          <w:rPr>
            <w:rStyle w:val="Hyperlink"/>
            <w:noProof/>
          </w:rPr>
          <w:t>Anlage 13</w:t>
        </w:r>
        <w:r>
          <w:rPr>
            <w:noProof/>
            <w:webHidden/>
          </w:rPr>
          <w:tab/>
        </w:r>
        <w:r>
          <w:rPr>
            <w:noProof/>
            <w:webHidden/>
          </w:rPr>
          <w:fldChar w:fldCharType="begin"/>
        </w:r>
        <w:r>
          <w:rPr>
            <w:noProof/>
            <w:webHidden/>
          </w:rPr>
          <w:instrText xml:space="preserve"> PAGEREF _Toc349111759 \h </w:instrText>
        </w:r>
        <w:r>
          <w:rPr>
            <w:noProof/>
            <w:webHidden/>
          </w:rPr>
        </w:r>
        <w:r>
          <w:rPr>
            <w:noProof/>
            <w:webHidden/>
          </w:rPr>
          <w:fldChar w:fldCharType="separate"/>
        </w:r>
        <w:r>
          <w:rPr>
            <w:noProof/>
            <w:webHidden/>
          </w:rPr>
          <w:t>23</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60" w:history="1">
        <w:r>
          <w:rPr>
            <w:rStyle w:val="Hyperlink"/>
            <w:noProof/>
          </w:rPr>
          <w:t>Anlage 14</w:t>
        </w:r>
        <w:r>
          <w:rPr>
            <w:noProof/>
            <w:webHidden/>
          </w:rPr>
          <w:tab/>
        </w:r>
        <w:r>
          <w:rPr>
            <w:noProof/>
            <w:webHidden/>
          </w:rPr>
          <w:fldChar w:fldCharType="begin"/>
        </w:r>
        <w:r>
          <w:rPr>
            <w:noProof/>
            <w:webHidden/>
          </w:rPr>
          <w:instrText xml:space="preserve"> PAGEREF _Toc349111760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61" w:history="1">
        <w:r>
          <w:rPr>
            <w:rStyle w:val="Hyperlink"/>
            <w:noProof/>
          </w:rPr>
          <w:t>Anlage 15</w:t>
        </w:r>
        <w:r>
          <w:rPr>
            <w:noProof/>
            <w:webHidden/>
          </w:rPr>
          <w:tab/>
        </w:r>
        <w:r>
          <w:rPr>
            <w:noProof/>
            <w:webHidden/>
          </w:rPr>
          <w:fldChar w:fldCharType="begin"/>
        </w:r>
        <w:r>
          <w:rPr>
            <w:noProof/>
            <w:webHidden/>
          </w:rPr>
          <w:instrText xml:space="preserve"> PAGEREF _Toc349111761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62" w:history="1">
        <w:r>
          <w:rPr>
            <w:rStyle w:val="Hyperlink"/>
            <w:noProof/>
          </w:rPr>
          <w:t>Anlage 16</w:t>
        </w:r>
        <w:r>
          <w:rPr>
            <w:noProof/>
            <w:webHidden/>
          </w:rPr>
          <w:tab/>
        </w:r>
        <w:r>
          <w:rPr>
            <w:noProof/>
            <w:webHidden/>
          </w:rPr>
          <w:fldChar w:fldCharType="begin"/>
        </w:r>
        <w:r>
          <w:rPr>
            <w:noProof/>
            <w:webHidden/>
          </w:rPr>
          <w:instrText xml:space="preserve"> PAGEREF _Toc349111762 \h </w:instrText>
        </w:r>
        <w:r>
          <w:rPr>
            <w:noProof/>
            <w:webHidden/>
          </w:rPr>
        </w:r>
        <w:r>
          <w:rPr>
            <w:noProof/>
            <w:webHidden/>
          </w:rPr>
          <w:fldChar w:fldCharType="separate"/>
        </w:r>
        <w:r>
          <w:rPr>
            <w:noProof/>
            <w:webHidden/>
          </w:rPr>
          <w:t>24</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63" w:history="1">
        <w:r>
          <w:rPr>
            <w:rStyle w:val="Hyperlink"/>
            <w:noProof/>
          </w:rPr>
          <w:t>Anlage 17</w:t>
        </w:r>
        <w:r>
          <w:rPr>
            <w:noProof/>
            <w:webHidden/>
          </w:rPr>
          <w:tab/>
        </w:r>
        <w:r>
          <w:rPr>
            <w:noProof/>
            <w:webHidden/>
          </w:rPr>
          <w:fldChar w:fldCharType="begin"/>
        </w:r>
        <w:r>
          <w:rPr>
            <w:noProof/>
            <w:webHidden/>
          </w:rPr>
          <w:instrText xml:space="preserve"> PAGEREF _Toc349111763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64" w:history="1">
        <w:r>
          <w:rPr>
            <w:rStyle w:val="Hyperlink"/>
            <w:noProof/>
          </w:rPr>
          <w:t>Anlage 18</w:t>
        </w:r>
        <w:r>
          <w:rPr>
            <w:noProof/>
            <w:webHidden/>
          </w:rPr>
          <w:tab/>
        </w:r>
        <w:r>
          <w:rPr>
            <w:noProof/>
            <w:webHidden/>
          </w:rPr>
          <w:fldChar w:fldCharType="begin"/>
        </w:r>
        <w:r>
          <w:rPr>
            <w:noProof/>
            <w:webHidden/>
          </w:rPr>
          <w:instrText xml:space="preserve"> PAGEREF _Toc349111764 \h </w:instrText>
        </w:r>
        <w:r>
          <w:rPr>
            <w:noProof/>
            <w:webHidden/>
          </w:rPr>
        </w:r>
        <w:r>
          <w:rPr>
            <w:noProof/>
            <w:webHidden/>
          </w:rPr>
          <w:fldChar w:fldCharType="separate"/>
        </w:r>
        <w:r>
          <w:rPr>
            <w:noProof/>
            <w:webHidden/>
          </w:rPr>
          <w:t>25</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65" w:history="1">
        <w:r>
          <w:rPr>
            <w:rStyle w:val="Hyperlink"/>
            <w:noProof/>
          </w:rPr>
          <w:t>Anlage 19</w:t>
        </w:r>
        <w:r>
          <w:rPr>
            <w:noProof/>
            <w:webHidden/>
          </w:rPr>
          <w:tab/>
        </w:r>
        <w:r>
          <w:rPr>
            <w:noProof/>
            <w:webHidden/>
          </w:rPr>
          <w:fldChar w:fldCharType="begin"/>
        </w:r>
        <w:r>
          <w:rPr>
            <w:noProof/>
            <w:webHidden/>
          </w:rPr>
          <w:instrText xml:space="preserve"> PAGEREF _Toc349111765 \h </w:instrText>
        </w:r>
        <w:r>
          <w:rPr>
            <w:noProof/>
            <w:webHidden/>
          </w:rPr>
        </w:r>
        <w:r>
          <w:rPr>
            <w:noProof/>
            <w:webHidden/>
          </w:rPr>
          <w:fldChar w:fldCharType="separate"/>
        </w:r>
        <w:r>
          <w:rPr>
            <w:noProof/>
            <w:webHidden/>
          </w:rPr>
          <w:t>26</w:t>
        </w:r>
        <w:r>
          <w:rPr>
            <w:noProof/>
            <w:webHidden/>
          </w:rPr>
          <w:fldChar w:fldCharType="end"/>
        </w:r>
      </w:hyperlink>
    </w:p>
    <w:p>
      <w:pPr>
        <w:pStyle w:val="Verzeichnis2"/>
        <w:tabs>
          <w:tab w:val="right" w:leader="dot" w:pos="9628"/>
        </w:tabs>
        <w:rPr>
          <w:rFonts w:cs="Times New Roman"/>
          <w:smallCaps w:val="0"/>
          <w:noProof/>
          <w:sz w:val="22"/>
          <w:szCs w:val="22"/>
        </w:rPr>
      </w:pPr>
      <w:hyperlink w:anchor="_Toc349111766" w:history="1">
        <w:r>
          <w:rPr>
            <w:rStyle w:val="Hyperlink"/>
            <w:noProof/>
          </w:rPr>
          <w:t>Anlage 20</w:t>
        </w:r>
        <w:r>
          <w:rPr>
            <w:noProof/>
            <w:webHidden/>
          </w:rPr>
          <w:tab/>
        </w:r>
        <w:r>
          <w:rPr>
            <w:noProof/>
            <w:webHidden/>
          </w:rPr>
          <w:fldChar w:fldCharType="begin"/>
        </w:r>
        <w:r>
          <w:rPr>
            <w:noProof/>
            <w:webHidden/>
          </w:rPr>
          <w:instrText xml:space="preserve"> PAGEREF _Toc349111766 \h </w:instrText>
        </w:r>
        <w:r>
          <w:rPr>
            <w:noProof/>
            <w:webHidden/>
          </w:rPr>
        </w:r>
        <w:r>
          <w:rPr>
            <w:noProof/>
            <w:webHidden/>
          </w:rPr>
          <w:fldChar w:fldCharType="separate"/>
        </w:r>
        <w:r>
          <w:rPr>
            <w:noProof/>
            <w:webHidden/>
          </w:rPr>
          <w:t>26</w:t>
        </w:r>
        <w:r>
          <w:rPr>
            <w:noProof/>
            <w:webHidden/>
          </w:rPr>
          <w:fldChar w:fldCharType="end"/>
        </w:r>
      </w:hyperlink>
    </w:p>
    <w:p>
      <w:pPr>
        <w:pStyle w:val="GesAbsatz"/>
        <w:jc w:val="center"/>
        <w:rPr>
          <w:b/>
          <w:sz w:val="22"/>
        </w:rPr>
      </w:pPr>
      <w:r>
        <w:rPr>
          <w:b/>
          <w:sz w:val="22"/>
        </w:rPr>
        <w:fldChar w:fldCharType="end"/>
      </w:r>
    </w:p>
    <w:p>
      <w:pPr>
        <w:pStyle w:val="GesAbsatz"/>
      </w:pPr>
      <w:r>
        <w:t>Nach § 48 Absatz 1 des Bundes-Immissionsschutzgesetzes in der Fassung vom 26. September 2002 (BGBl. I S. 3830), der durch Artikel 3 Nummer 5 Buchstabe a des Gesetzes vom 18. Dezember 2006 (BGBl. I S. 3180) geä</w:t>
      </w:r>
      <w:r>
        <w:t>n</w:t>
      </w:r>
      <w:r>
        <w:t>dert worden ist, erlässt die Bundesregierung nach Anhörung der beteiligten Kreise folgende allgemeine Verwaltungsvo</w:t>
      </w:r>
      <w:r>
        <w:t>r</w:t>
      </w:r>
      <w:r>
        <w:t>schrift:</w:t>
      </w:r>
    </w:p>
    <w:p>
      <w:pPr>
        <w:pStyle w:val="berschrift2"/>
        <w:jc w:val="left"/>
      </w:pPr>
      <w:bookmarkStart w:id="2" w:name="_Toc349111738"/>
      <w:r>
        <w:t>1 Anwendungsbereich</w:t>
      </w:r>
      <w:bookmarkEnd w:id="2"/>
    </w:p>
    <w:p>
      <w:pPr>
        <w:pStyle w:val="GesAbsatz"/>
      </w:pPr>
      <w:r>
        <w:t>Diese allgemeine Verwaltungsvorschrift gilt für die Durchführung und Überwachung der Verordnung über die Beschaffenheit und die Auszeichnung der Qualitäten von Kraft- und Brennstoffen (10. BImSchV) vom 8. D</w:t>
      </w:r>
      <w:r>
        <w:t>e</w:t>
      </w:r>
      <w:r>
        <w:t>zember 2010 (BGBl. I S. 1849).</w:t>
      </w:r>
    </w:p>
    <w:p>
      <w:pPr>
        <w:pStyle w:val="berschrift2"/>
        <w:jc w:val="left"/>
      </w:pPr>
      <w:bookmarkStart w:id="3" w:name="_Toc349111739"/>
      <w:r>
        <w:t>2 Überwachung der Auszeichnung (zu § 13 der 10. BImSchV)</w:t>
      </w:r>
      <w:bookmarkEnd w:id="3"/>
    </w:p>
    <w:p>
      <w:pPr>
        <w:pStyle w:val="GesAbsatz"/>
      </w:pPr>
      <w:r>
        <w:t>Die zuständige Behörde soll die ordnungsgemäße Auszeichnung von Kraftstoffen stichprobenweise überpr</w:t>
      </w:r>
      <w:r>
        <w:t>ü</w:t>
      </w:r>
      <w:r>
        <w:t>fen.</w:t>
      </w:r>
    </w:p>
    <w:p>
      <w:pPr>
        <w:pStyle w:val="berschrift2"/>
        <w:jc w:val="left"/>
      </w:pPr>
      <w:bookmarkStart w:id="4" w:name="_Toc349111740"/>
      <w:r>
        <w:lastRenderedPageBreak/>
        <w:t>3 Nachweisführung (zu § 14 der 10. BImSchV)</w:t>
      </w:r>
      <w:bookmarkEnd w:id="4"/>
    </w:p>
    <w:p>
      <w:pPr>
        <w:pStyle w:val="GesAbsatz"/>
      </w:pPr>
      <w:r>
        <w:rPr>
          <w:b/>
        </w:rPr>
        <w:t>3.1</w:t>
      </w:r>
      <w:r>
        <w:t xml:space="preserve"> Die zuständige Behörde soll stichprobenweise prüfen, ob die Auszeichnung mit der Unterrichtung durch den Lieferanten übereinstimmt.</w:t>
      </w:r>
    </w:p>
    <w:p>
      <w:pPr>
        <w:pStyle w:val="GesAbsatz"/>
      </w:pPr>
      <w:r>
        <w:rPr>
          <w:b/>
        </w:rPr>
        <w:t>3.2</w:t>
      </w:r>
      <w:r>
        <w:t xml:space="preserve"> Verweigert der Auskunftspflichtige die Auskunft oder liegen die Lieferzeugnisse an der Tankstelle nicht zur Einsicht vor, sollen zur Feststellung der Kraftstoffqualität Stichproben gemäß Nummer 4 entnommen we</w:t>
      </w:r>
      <w:r>
        <w:t>r</w:t>
      </w:r>
      <w:r>
        <w:t>den.</w:t>
      </w:r>
    </w:p>
    <w:p>
      <w:pPr>
        <w:pStyle w:val="GesAbsatz"/>
      </w:pPr>
      <w:r>
        <w:rPr>
          <w:b/>
        </w:rPr>
        <w:t>3.3</w:t>
      </w:r>
      <w:r>
        <w:t xml:space="preserve"> Die zuständige Behörde hat anhand der vorgelegten Unterlagen des Auszeichnungspflichtigen stichpr</w:t>
      </w:r>
      <w:r>
        <w:t>o</w:t>
      </w:r>
      <w:r>
        <w:t>benweise zu prüfen, ob der Lieferant den Auszeichnungspflichtigen zutreffend über die Qualität der angeli</w:t>
      </w:r>
      <w:r>
        <w:t>e</w:t>
      </w:r>
      <w:r>
        <w:t>ferten Kraf</w:t>
      </w:r>
      <w:r>
        <w:t>t</w:t>
      </w:r>
      <w:r>
        <w:t>stoffe unterrichtet hat.</w:t>
      </w:r>
    </w:p>
    <w:p>
      <w:pPr>
        <w:pStyle w:val="berschrift2"/>
        <w:jc w:val="left"/>
      </w:pPr>
      <w:bookmarkStart w:id="5" w:name="_Toc349111741"/>
      <w:r>
        <w:t>4 Entnahme und Untersuchung von Proben von Kraftstoffen im Rahmen der §§ 13 und 14 der 10. BImSchV</w:t>
      </w:r>
      <w:bookmarkEnd w:id="5"/>
    </w:p>
    <w:p>
      <w:pPr>
        <w:pStyle w:val="GesAbsatz"/>
      </w:pPr>
      <w:r>
        <w:rPr>
          <w:b/>
        </w:rPr>
        <w:t>4.1</w:t>
      </w:r>
      <w:r>
        <w:t xml:space="preserve"> Um festzustellen, ob die im Rahmen der Auszeichnungs- und Unterrichtungspflichten gemachten Ang</w:t>
      </w:r>
      <w:r>
        <w:t>a</w:t>
      </w:r>
      <w:r>
        <w:t>ben zutreffen und die Kraftstoffe den Anforderungen der 10. BImSchV entsprechen, sollen Stichproben en</w:t>
      </w:r>
      <w:r>
        <w:t>t</w:t>
      </w:r>
      <w:r>
        <w:t>nommen werden. Dies gilt insbesondere dann, wenn Anhaltspunkte dafür vorliegen, dass eine Qualitätsa</w:t>
      </w:r>
      <w:r>
        <w:t>n</w:t>
      </w:r>
      <w:r>
        <w:t>gabe vorliegt, die den Vorschriften der 10. BImSchV nicht entspricht. Solche Anhaltspunkte können sich be</w:t>
      </w:r>
      <w:r>
        <w:t>i</w:t>
      </w:r>
      <w:r>
        <w:t>spielsweise aus dem Ergebnis von Überwachungsmaßnahmen bei anderen Tankstellen oder aus begründet erscheinenden Beschwerden erg</w:t>
      </w:r>
      <w:r>
        <w:t>e</w:t>
      </w:r>
      <w:r>
        <w:t>ben.</w:t>
      </w:r>
    </w:p>
    <w:p>
      <w:pPr>
        <w:pStyle w:val="GesAbsatz"/>
      </w:pPr>
      <w:r>
        <w:rPr>
          <w:b/>
        </w:rPr>
        <w:t>4.2</w:t>
      </w:r>
      <w:r>
        <w:t xml:space="preserve"> Die Mindestzahl der zu nehmenden Stichproben für die jeweiligen Kraftstoffsorten ergibt sich aus den Nummern 5.3 bis 5.5 der DIN EN 14274 „Kraftstoffe für Kraftfahrzeuge – Ermittlung der Qualität von Ott</w:t>
      </w:r>
      <w:r>
        <w:t>o</w:t>
      </w:r>
      <w:r>
        <w:t>kraftstoff und Dieselkraftstoff – System zum Kraftstoffqualitätsnachweis (FQMS); Deutsche Fassung EN 14274:2003“, Ausgabe Mai 2004. Bei der Berechnung der Mindestzahl von Stichproben der Kraftstoffe Eth</w:t>
      </w:r>
      <w:r>
        <w:t>a</w:t>
      </w:r>
      <w:r>
        <w:t>nol (E85), Flüssiggas und Erdgas wird der Verbrauch von Ottokraftstoff (alle Sorten) als Bezugsgröße, das heißt Eltern-Kraftstoff-Sorte, herangezogen. Bei der Berechnung der Mindestzahl von Stichproben von Bi</w:t>
      </w:r>
      <w:r>
        <w:t>o</w:t>
      </w:r>
      <w:r>
        <w:t>diesel und Pflanzenölkraftstoff wird der Verbrauch von Dieselkraftstoff (alle Sorten) als Bezugsgröße, das heißt, Eltern-Kraftstoff-Sorte, herangezogen. Der Marktanteil der Kraf</w:t>
      </w:r>
      <w:r>
        <w:t>t</w:t>
      </w:r>
      <w:r>
        <w:t>stoffe aus dem Vorjahr ist maßgeblich für die Berechnung der Mindestzahl der Stichproben, die im laufenden Jahr zu nehmen sind. Als Orientierung für die Mindestzahl der zu nehmenden Stichproben dienen die Tabellen I und II in Anlage 20.</w:t>
      </w:r>
    </w:p>
    <w:p>
      <w:pPr>
        <w:pStyle w:val="GesAbsatz"/>
        <w:rPr>
          <w:b/>
        </w:rPr>
      </w:pPr>
      <w:r>
        <w:rPr>
          <w:b/>
        </w:rPr>
        <w:t>4.3 Die entnommene Probe dient in der Regel</w:t>
      </w:r>
    </w:p>
    <w:p>
      <w:pPr>
        <w:pStyle w:val="GesAbsatz"/>
        <w:ind w:left="426" w:hanging="426"/>
      </w:pPr>
      <w:r>
        <w:t>a)</w:t>
      </w:r>
      <w:r>
        <w:tab/>
        <w:t>bei Ottokraftstoffen der Bestimmung des Schwefelgehalts, der Klopffestigkeit, des Dampfdrucks, des Siedeverlaufs und der Dichte bei 15 °C als wichtigste Kenngrößen der Mindestanforderungen sowie des Ethanol-, Benzol-, Mangan- und Aromatengehaltes,</w:t>
      </w:r>
    </w:p>
    <w:p>
      <w:pPr>
        <w:pStyle w:val="GesAbsatz"/>
        <w:ind w:left="426" w:hanging="426"/>
      </w:pPr>
      <w:r>
        <w:t>b)</w:t>
      </w:r>
      <w:r>
        <w:tab/>
        <w:t>bei Dieselkraftstoff der Bestimmung der Oxidationsstabilität, des Schwefelgehalts, der Cetanzahl, des Temperaturgrenzwerts der Filtrierbarkeit, des Siedeverlaufs, des Flammpunktes, der Dichte bei 15 °C und des Fettsäuremethylestergehalts (FAME-Gehalts) als wichtigste Kenngrößen der Mindestanford</w:t>
      </w:r>
      <w:r>
        <w:t>e</w:t>
      </w:r>
      <w:r>
        <w:t>rungen,</w:t>
      </w:r>
    </w:p>
    <w:p>
      <w:pPr>
        <w:pStyle w:val="GesAbsatz"/>
        <w:ind w:left="426" w:hanging="426"/>
      </w:pPr>
      <w:r>
        <w:t>c)</w:t>
      </w:r>
      <w:r>
        <w:tab/>
        <w:t>bei Biodiesel der Bestimmung der Oxidationsstabilität, der Dichte bei 15 °C, des Schwefelgehalts, des Temperaturgrenzwerts der Filtrierbarkeit, des Wassergehalts, des Monoglyzerid-Gehalts, des Diglyzerid-Gehalts, des Triglyzerid-Gehalts, des Gehalts an freiem Glycerin, des Summengehalts an Alkali-Elementen (Natrium und Kalium), des Summengehalts an Erdalkali-Elementen (Calcium und Magnes</w:t>
      </w:r>
      <w:r>
        <w:t>i</w:t>
      </w:r>
      <w:r>
        <w:t>um), des Pho</w:t>
      </w:r>
      <w:r>
        <w:t>s</w:t>
      </w:r>
      <w:r>
        <w:t>phorgehalts und der Jodzahl,</w:t>
      </w:r>
    </w:p>
    <w:p>
      <w:pPr>
        <w:pStyle w:val="GesAbsatz"/>
        <w:ind w:left="426" w:hanging="426"/>
      </w:pPr>
      <w:r>
        <w:t>d)</w:t>
      </w:r>
      <w:r>
        <w:tab/>
        <w:t>bei Ethanolkraftstoff (E85) der Bestimmung des Ethanolgehalts, des Dampfdrucks, der Leitfähigkeit und des Wassergehalts,</w:t>
      </w:r>
    </w:p>
    <w:p>
      <w:pPr>
        <w:pStyle w:val="GesAbsatz"/>
        <w:ind w:left="426" w:hanging="426"/>
      </w:pPr>
      <w:r>
        <w:t>e)</w:t>
      </w:r>
      <w:r>
        <w:tab/>
        <w:t>bei Flüssiggaskraftstoff der Bestimmung der Klopffestigkeit als wichtigste Kenngröße der Mindestanfo</w:t>
      </w:r>
      <w:r>
        <w:t>r</w:t>
      </w:r>
      <w:r>
        <w:t>derungen; zur Bestimmung der Klopffestigkeit genügt in der Regel die Bestimmung der Motoroktanzahl,</w:t>
      </w:r>
    </w:p>
    <w:p>
      <w:pPr>
        <w:pStyle w:val="GesAbsatz"/>
        <w:ind w:left="426" w:hanging="426"/>
      </w:pPr>
      <w:r>
        <w:t>f)</w:t>
      </w:r>
      <w:r>
        <w:tab/>
        <w:t>bei Erdgas als Kraftstoff der Bestimmung des Heizwerts, der Methanzahl, des Summengehalts &gt; C2-KW, des Gesamtschwefelgehalts und des Wassergehalts und</w:t>
      </w:r>
    </w:p>
    <w:p>
      <w:pPr>
        <w:pStyle w:val="GesAbsatz"/>
        <w:ind w:left="426" w:hanging="426"/>
      </w:pPr>
      <w:r>
        <w:t>g)</w:t>
      </w:r>
      <w:r>
        <w:tab/>
        <w:t>bei Pflanzenölkraftstoff der Bestimmung der Oxidationsstabilität, der Dichte bei 15 °C, des Schwefelg</w:t>
      </w:r>
      <w:r>
        <w:t>e</w:t>
      </w:r>
      <w:r>
        <w:t>halts, des Wassergehalts, der Säurezahl, des Phosphorgehalts, des Summengehalts an Calcium und Magnesium s</w:t>
      </w:r>
      <w:r>
        <w:t>o</w:t>
      </w:r>
      <w:r>
        <w:t>wie der Jodzahl.</w:t>
      </w:r>
    </w:p>
    <w:p>
      <w:pPr>
        <w:pStyle w:val="GesAbsatz"/>
      </w:pPr>
      <w:r>
        <w:t>Bei der Prüfung der geforderten Produkteigenschaften sind die Prüfverfahren anzuwenden, die der Au</w:t>
      </w:r>
      <w:r>
        <w:t>s</w:t>
      </w:r>
      <w:r>
        <w:t>zeichnung des Kraftstoffes entsprechen (siehe Anlagen 3, 4, 5, 6, 7, 8, 9, 10 oder 11). Bei Ottokraftstoffen ist zusätzlich der Mangangehalt gemäß DIN EN 16135, Ausgabe Februar 2012 oder DIN EN 16136, Ausgabe Februar 2012, zu prüfen.</w:t>
      </w:r>
    </w:p>
    <w:p>
      <w:pPr>
        <w:pStyle w:val="GesAbsatz"/>
        <w:rPr>
          <w:b/>
        </w:rPr>
      </w:pPr>
      <w:r>
        <w:rPr>
          <w:b/>
        </w:rPr>
        <w:t>4.4 Ort der Probenahme</w:t>
      </w:r>
    </w:p>
    <w:p>
      <w:pPr>
        <w:pStyle w:val="GesAbsatz"/>
        <w:ind w:left="426" w:hanging="426"/>
      </w:pPr>
      <w:r>
        <w:lastRenderedPageBreak/>
        <w:t>a)</w:t>
      </w:r>
      <w:r>
        <w:tab/>
        <w:t>Bei Ottokraftstoffen, Dieselkraftstoff, Biodiesel, Ethanolkraftstoff (E85) und Pflanzenölkraftstoff sind Kraftstoffproben an der Tankstelle als Auslaufprobe aus dem Zapfventil zu entnehmen. Die Probe muss nach DIN EN 14275, Ausgabe Dezember 2003, entnommen werden. Auf einen 4-Liter-Vorlauf kann ve</w:t>
      </w:r>
      <w:r>
        <w:t>r</w:t>
      </w:r>
      <w:r>
        <w:t>zichtet werden, wenn die Probe</w:t>
      </w:r>
      <w:r>
        <w:t>n</w:t>
      </w:r>
      <w:r>
        <w:t>ahme direkt im Anschluss an einen Betankungsvorgang erfolgt. Für die Beprobung von Tanklagern sind Durchzugsproben oder entsprechend repräsentative und mengenpr</w:t>
      </w:r>
      <w:r>
        <w:t>o</w:t>
      </w:r>
      <w:r>
        <w:t>portionale Proben gemäß DIN 51750 Teil 1, Ausgabe Dezember 1990, und Teil 2, Ausgabe Deze</w:t>
      </w:r>
      <w:r>
        <w:t>m</w:t>
      </w:r>
      <w:r>
        <w:t>ber 1990, zu nehmen.</w:t>
      </w:r>
    </w:p>
    <w:p>
      <w:pPr>
        <w:pStyle w:val="GesAbsatz"/>
        <w:ind w:left="426" w:hanging="426"/>
      </w:pPr>
      <w:r>
        <w:t>b)</w:t>
      </w:r>
      <w:r>
        <w:tab/>
        <w:t>Bei Flüssiggaskraftstoff hat die Probenahme nach DIN 51610, Ausgabe Juni 1983, zu erfolgen. Aus einem Lagertank des Lieferanten – der Lieferant kann gleichzeitig Hersteller sein – sollen nur dann Pr</w:t>
      </w:r>
      <w:r>
        <w:t>o</w:t>
      </w:r>
      <w:r>
        <w:t>ben entnommen werden, wenn der Auszeichnungspflichtige bereits über die Qualität dieses Kraftstoffes unte</w:t>
      </w:r>
      <w:r>
        <w:t>r</w:t>
      </w:r>
      <w:r>
        <w:t>richtet worden ist oder aus den Unterlagen Rückschlüsse auf die Qualität gezogen werden können.</w:t>
      </w:r>
    </w:p>
    <w:p>
      <w:pPr>
        <w:pStyle w:val="GesAbsatz"/>
        <w:ind w:left="426" w:hanging="426"/>
      </w:pPr>
      <w:r>
        <w:t>c)</w:t>
      </w:r>
      <w:r>
        <w:tab/>
        <w:t>Bei Erdgas als Kraftstoff ist die Probe an der Zapfpistole über ein Adapterstück nach DVGW Arbeitsblatt G 264, Ausgabe Mai 2009, zu nehmen. Auf die Befüllung eines zusätzlichen Probebehälters als Vorlauf kann verzichtet werden, wenn die Probenahme direkt im Anschluss an einen Betankungsvorgang e</w:t>
      </w:r>
      <w:r>
        <w:t>r</w:t>
      </w:r>
      <w:r>
        <w:t>folgt. Die Vo</w:t>
      </w:r>
      <w:r>
        <w:t>r</w:t>
      </w:r>
      <w:r>
        <w:t>laufprobe ist nicht zur Prüfung der Kraftstoffqualität geeignet.</w:t>
      </w:r>
    </w:p>
    <w:p>
      <w:pPr>
        <w:pStyle w:val="GesAbsatz"/>
      </w:pPr>
      <w:r>
        <w:rPr>
          <w:b/>
        </w:rPr>
        <w:t>4.5</w:t>
      </w:r>
      <w:r>
        <w:t xml:space="preserve"> Für die Probenahme und den Umgang mit den Proben gelten die Vorschriften der Normen DIN 51750 Teil 1, Ausgabe Dezember 1990 und Teil 2, Ausgabe Dezember 1990, DIN 51610, Ausgabe Juni 1983, DIN EN 14275, Ausgabe Dezember 2003 sowie DVGW Arbeitsblatt G 264, Ausgabe Mai 2009. Ergänzend wird auf Folgendes hing</w:t>
      </w:r>
      <w:r>
        <w:t>e</w:t>
      </w:r>
      <w:r>
        <w:t>wiesen:</w:t>
      </w:r>
    </w:p>
    <w:p>
      <w:pPr>
        <w:pStyle w:val="GesAbsatz"/>
        <w:ind w:left="426" w:hanging="426"/>
      </w:pPr>
      <w:r>
        <w:t>a)</w:t>
      </w:r>
      <w:r>
        <w:tab/>
        <w:t>Die jeweilige Probemenge bei Ottokraftstoffen, Dieselkraftstoffen, Biodiesel, Ethanolkraftstoff (E85) und Pflanzenölkraftstoff wird in mindestens drei gasdicht verschließbaren Behältern zu ungefähr 4 Litern mit einem Befüllungsgrad entsprechend der jeweilig anzuwendenden Norm abgefüllt. Bei Flüssiggaskraf</w:t>
      </w:r>
      <w:r>
        <w:t>t</w:t>
      </w:r>
      <w:r>
        <w:t>stoff g</w:t>
      </w:r>
      <w:r>
        <w:t>e</w:t>
      </w:r>
      <w:r>
        <w:t>nügen nach DIN 51610, Ausgabe Juni 1983, geringere Probemengen.</w:t>
      </w:r>
    </w:p>
    <w:p>
      <w:pPr>
        <w:pStyle w:val="GesAbsatz"/>
        <w:ind w:left="426"/>
      </w:pPr>
      <w:r>
        <w:t>Bei Erdgas als Kraftstoff werden mindestens drei Aluminium-Druckgasflaschen mit einem Volumen von 2 Litern auf einen Enddruck von 150 bar befüllt. Es können auch oberflächendeaktivierte Stahlzylinder mit geringerem Volumen und höherem Druck verwendet werden, wenn mindestens 200 Liter Gasvol</w:t>
      </w:r>
      <w:r>
        <w:t>u</w:t>
      </w:r>
      <w:r>
        <w:t>men für die Analytik zur Verfügung gestellt werden. Der maximal zulässige Fülldruck der Druckgasfl</w:t>
      </w:r>
      <w:r>
        <w:t>a</w:t>
      </w:r>
      <w:r>
        <w:t>schen beziehungsweise Probenahmezyli</w:t>
      </w:r>
      <w:r>
        <w:t>n</w:t>
      </w:r>
      <w:r>
        <w:t>der ist stets zu beachten.</w:t>
      </w:r>
    </w:p>
    <w:p>
      <w:pPr>
        <w:pStyle w:val="GesAbsatz"/>
        <w:ind w:left="426"/>
      </w:pPr>
      <w:r>
        <w:t>Bei allen Kraftstoffproben dient jeweils ein Behälter als Analyseprobe und ein Behälter als Schiedsprobe. Zusätzlich wird eine Rückstellprobe gefüllt, die bei dem Auskunftspflichtigen bleibt. Bei Flüssiggaskraf</w:t>
      </w:r>
      <w:r>
        <w:t>t</w:t>
      </w:r>
      <w:r>
        <w:t>stoff und bei Erdgas als Kraftstoff kann aus Sicherheitsgründen darauf verzichtet werden, eine Rüc</w:t>
      </w:r>
      <w:r>
        <w:t>k</w:t>
      </w:r>
      <w:r>
        <w:t>stellprobe zu entnehmen. In diesem Fall ist dem Auskunftspflichtigen im Streitfall für eine weitere Anal</w:t>
      </w:r>
      <w:r>
        <w:t>y</w:t>
      </w:r>
      <w:r>
        <w:t>se eine hinreiche</w:t>
      </w:r>
      <w:r>
        <w:t>n</w:t>
      </w:r>
      <w:r>
        <w:t>de Menge der Analyseprobe zur Verfügung zu stellen. Die entnommenen Proben sind so zu sichern, dass die Probemenge unverändert bleibt sowie Ort und Zeit der Entnahme jederzeit nachgewiesen werden können. Dies kann beispielsweise durch Plombieren und eine Bestätigung se</w:t>
      </w:r>
      <w:r>
        <w:t>i</w:t>
      </w:r>
      <w:r>
        <w:t>tens des Tankstellenpersonals über die vorgenommene Sicherung gewährleistet werden.</w:t>
      </w:r>
    </w:p>
    <w:p>
      <w:pPr>
        <w:pStyle w:val="GesAbsatz"/>
        <w:ind w:left="426" w:hanging="426"/>
      </w:pPr>
      <w:r>
        <w:t>b)</w:t>
      </w:r>
      <w:r>
        <w:tab/>
        <w:t>Nach der Probennahme müssen die Proben vor übermäßiger Erwärmung geschützt werden, beispiel</w:t>
      </w:r>
      <w:r>
        <w:t>s</w:t>
      </w:r>
      <w:r>
        <w:t>weise durch die Aufbewahrung in Isolierbehältern, und sie müssen möglichst umgehend der Prüfstelle zugeleitet werden. Auch die Schiedsprobe und die Rückstellprobe sind so zu lagern, dass eine überm</w:t>
      </w:r>
      <w:r>
        <w:t>ä</w:t>
      </w:r>
      <w:r>
        <w:t>ßige Erwärmung ausgeschlo</w:t>
      </w:r>
      <w:r>
        <w:t>s</w:t>
      </w:r>
      <w:r>
        <w:t>sen ist.</w:t>
      </w:r>
    </w:p>
    <w:p>
      <w:pPr>
        <w:pStyle w:val="GesAbsatz"/>
        <w:ind w:left="426" w:hanging="426"/>
      </w:pPr>
      <w:r>
        <w:t>c)</w:t>
      </w:r>
      <w:r>
        <w:tab/>
        <w:t>Mit der Untersuchung der Proben sind nur unabhängige Prüfstellen zu beauftragen, die zumindest nach DIN EN ISO/IEC 17025, Ausgabe August 2005, für Kraftstoffuntersuchungen akkreditiert worden sind. Zudem müssen sich diese Prüfstellen regelmäßig an den Ringversuchen des Fachausschusses Min</w:t>
      </w:r>
      <w:r>
        <w:t>e</w:t>
      </w:r>
      <w:r>
        <w:t>ralöl- und Brennstoffnormung des Normenausschusses Materialprüfung im Deutschen Institut für No</w:t>
      </w:r>
      <w:r>
        <w:t>r</w:t>
      </w:r>
      <w:r>
        <w:t>mung e.V. oder an anderen europäischen oder internationalen Ringversuchen beteiligen. Die Ergebni</w:t>
      </w:r>
      <w:r>
        <w:t>s</w:t>
      </w:r>
      <w:r>
        <w:t>se der Ringversuche müssen im Rahmen der Vergleichbarkeit liegen.</w:t>
      </w:r>
    </w:p>
    <w:p>
      <w:pPr>
        <w:pStyle w:val="GesAbsatz"/>
        <w:ind w:left="426" w:hanging="426"/>
      </w:pPr>
      <w:r>
        <w:t>d)</w:t>
      </w:r>
      <w:r>
        <w:tab/>
        <w:t>Bei der Probenahme sowie beim Umgang mit der Probe sind die einschlägigen Bestimmungen für den Arbeitsschutz und die Arbeitssicherheit sowie den Umweltschutz zu beachten.</w:t>
      </w:r>
    </w:p>
    <w:p>
      <w:pPr>
        <w:pStyle w:val="GesAbsatz"/>
        <w:ind w:left="426" w:hanging="426"/>
      </w:pPr>
      <w:r>
        <w:t>e)</w:t>
      </w:r>
      <w:r>
        <w:tab/>
        <w:t>Über die Probenahme ist für jeden Kraftstoff ein Protokoll nach dem Muster der Anlage 1 zu fertigen. Der Auszeichnungspflichtige erhält eine Ausfertigung des Protokolls. Eine weitere Ausfertigung bleibt bei der zuständigen Behörde. Die der Prüfstelle zugehende Probe ist mit der Angabe der Probennummer so zu kennzeichnen, dass die zuständige Behörde die Herkunft der Probe erkennen und somit das Prüfpr</w:t>
      </w:r>
      <w:r>
        <w:t>o</w:t>
      </w:r>
      <w:r>
        <w:t>tokoll nach Anlage 3, 4, 5, 6, 7, 8, 9, 10 oder 11 der Probenahme zuordnen kann.</w:t>
      </w:r>
    </w:p>
    <w:p>
      <w:pPr>
        <w:pStyle w:val="GesAbsatz"/>
        <w:ind w:left="426" w:hanging="426"/>
      </w:pPr>
      <w:r>
        <w:t>f)</w:t>
      </w:r>
      <w:r>
        <w:tab/>
        <w:t>Die Prüfstelle hat die Probe unverzüglich zu untersuchen. Bei Ottokraftstoffen und bei Ethanolkraftstoff ist zuerst die Probemenge für die Bestimmung des Dampfdrucks aus dem jeweiligen Probebehälter zu en</w:t>
      </w:r>
      <w:r>
        <w:t>t</w:t>
      </w:r>
      <w:r>
        <w:t>nehmen.</w:t>
      </w:r>
    </w:p>
    <w:p>
      <w:pPr>
        <w:pStyle w:val="GesAbsatz"/>
        <w:ind w:left="426" w:hanging="426"/>
      </w:pPr>
      <w:r>
        <w:lastRenderedPageBreak/>
        <w:t>g)</w:t>
      </w:r>
      <w:r>
        <w:tab/>
        <w:t>Die Prüfstelle erstellt ein Prüfprotokoll über die Untersuchungsergebnisse nach dem Muster der Anlagen 3, 4, 5, 6, 7, 8, 9, 10 oder 11 und übersendet es der zuständigen Behörde, die dem Auskunftspflichtigen eine Kopie des Protokolls zukommen lässt. Bei einer Einzelmessung festgestellte Abweichungen sind unschä</w:t>
      </w:r>
      <w:r>
        <w:t>d</w:t>
      </w:r>
      <w:r>
        <w:t>lich, wenn die in den Anlagen 3, 4, 5, 6, 7, 8, 9, 10 oder 11 aufgeführten Ablehnungsgrenzwerte unter Anwendung der in der DIN EN ISO 4259, Deutsche Fassung EN ISO 4259:2006, Ausgabe Okt</w:t>
      </w:r>
      <w:r>
        <w:t>o</w:t>
      </w:r>
      <w:r>
        <w:t>ber 2006, b</w:t>
      </w:r>
      <w:r>
        <w:t>e</w:t>
      </w:r>
      <w:r>
        <w:t>schriebenen Verfahren eingehalten werden.</w:t>
      </w:r>
    </w:p>
    <w:p>
      <w:pPr>
        <w:pStyle w:val="GesAbsatz"/>
        <w:ind w:left="426" w:hanging="426"/>
      </w:pPr>
      <w:r>
        <w:t>h)</w:t>
      </w:r>
      <w:r>
        <w:tab/>
        <w:t>Im Falle eines Straf- oder Bußgeldverfahrens sind die Proben, die für die Schiedsprobe nach DIN EN ISO 4259, Ausgabe Oktober 2006, vorgesehen sind, bis zum Abschluss des rechtskräftigen Verfahrens au</w:t>
      </w:r>
      <w:r>
        <w:t>f</w:t>
      </w:r>
      <w:r>
        <w:t>zubewahren.</w:t>
      </w:r>
    </w:p>
    <w:p>
      <w:pPr>
        <w:pStyle w:val="berschrift2"/>
        <w:jc w:val="left"/>
      </w:pPr>
      <w:bookmarkStart w:id="6" w:name="_Toc349111742"/>
      <w:r>
        <w:t>5 Entnahme und Untersuchung von Proben für Kraft- und Brennstoffe nach § 1 A</w:t>
      </w:r>
      <w:r>
        <w:t>b</w:t>
      </w:r>
      <w:r>
        <w:t>satz 4, 6, 7, 9 und 10 der 10. BImSchV</w:t>
      </w:r>
      <w:bookmarkEnd w:id="6"/>
    </w:p>
    <w:p>
      <w:pPr>
        <w:pStyle w:val="GesAbsatz"/>
      </w:pPr>
      <w:r>
        <w:rPr>
          <w:b/>
        </w:rPr>
        <w:t>5.1</w:t>
      </w:r>
      <w:r>
        <w:t xml:space="preserve"> Um festzustellen, ob die Kraft- und Brennstoffe nach § 1 Absatz 4, 6, 7, 9 und 10 der 10. BImSchV der jeweiligen Mindestanforderung an den Schwefelgehalt der 10. BImSchV entsprechen, sollen Stichproben entnommen werden. Dies gilt insbesondere dann, wenn Anhaltspunkte dafür vorliegen, dass der Gehalt an Schwefelverbindungen, berechnet als Schwefel, den Vorschriften der 10. BImSchV nicht entspricht. Solche Anhaltspunkte können sich be</w:t>
      </w:r>
      <w:r>
        <w:t>i</w:t>
      </w:r>
      <w:r>
        <w:t>spielsweise aus begründet erscheinenden Beschwerden ergeben.</w:t>
      </w:r>
    </w:p>
    <w:p>
      <w:pPr>
        <w:pStyle w:val="GesAbsatz"/>
      </w:pPr>
      <w:r>
        <w:rPr>
          <w:b/>
        </w:rPr>
        <w:t>5.2</w:t>
      </w:r>
      <w:r>
        <w:t xml:space="preserve"> Als Orientierung für die Mindestzahl der zu nehmenden Stichproben dient Tabelle III in Anlage 20.</w:t>
      </w:r>
    </w:p>
    <w:p>
      <w:pPr>
        <w:pStyle w:val="GesAbsatz"/>
      </w:pPr>
      <w:r>
        <w:rPr>
          <w:b/>
        </w:rPr>
        <w:t>5.3</w:t>
      </w:r>
      <w:r>
        <w:t xml:space="preserve"> Die entnommene Probe dient der Bestimmung des Schwefelgehalts.</w:t>
      </w:r>
    </w:p>
    <w:p>
      <w:pPr>
        <w:pStyle w:val="GesAbsatz"/>
      </w:pPr>
      <w:r>
        <w:rPr>
          <w:b/>
        </w:rPr>
        <w:t>5.4</w:t>
      </w:r>
      <w:r>
        <w:t xml:space="preserve"> Probenahme</w:t>
      </w:r>
    </w:p>
    <w:p>
      <w:pPr>
        <w:pStyle w:val="GesAbsatz"/>
        <w:ind w:left="426" w:hanging="426"/>
      </w:pPr>
      <w:r>
        <w:t>a)</w:t>
      </w:r>
      <w:r>
        <w:tab/>
        <w:t>Die Proben sind gemäß DIN 51750 Teil 1, Ausgabe Dezember 1990, und Teil 2, Ausgabe Deze</w:t>
      </w:r>
      <w:r>
        <w:t>m</w:t>
      </w:r>
      <w:r>
        <w:t>ber 1990, zu nehmen. Sie sind im Regelfall von Auskunftspflichtigen in Gegenwart der Person zu en</w:t>
      </w:r>
      <w:r>
        <w:t>t</w:t>
      </w:r>
      <w:r>
        <w:t>nehmen, die die B</w:t>
      </w:r>
      <w:r>
        <w:t>e</w:t>
      </w:r>
      <w:r>
        <w:t>hörde vertritt oder von ihr beauftragt wurde. Von jeder Probe sind drei Gefäße mit je einem Liter Inhalt abzufüllen und zu versiegeln. Bei allen Kraft- und Brennstoffproben dient jeweils ein Behälter als Analyseprobe und ein Behälter als Schiedsprobe. Zusätzlich wird eine Rückstellprobe g</w:t>
      </w:r>
      <w:r>
        <w:t>e</w:t>
      </w:r>
      <w:r>
        <w:t>füllt, die bei dem Auskunftspflichtigen bleibt. Die entnommenen Proben sind so zu sichern, dass die Probemenge unverändert bleibt sowie Ort und Zeit der Entnahme jederzeit nachgewiesen werden kö</w:t>
      </w:r>
      <w:r>
        <w:t>n</w:t>
      </w:r>
      <w:r>
        <w:t>nen.</w:t>
      </w:r>
    </w:p>
    <w:p>
      <w:pPr>
        <w:pStyle w:val="GesAbsatz"/>
        <w:ind w:left="426" w:hanging="426"/>
      </w:pPr>
      <w:r>
        <w:t>b)</w:t>
      </w:r>
      <w:r>
        <w:tab/>
        <w:t>Nach der Probennahme müssen die Proben vor übermäßiger Erwärmung geschützt werden, beispiel</w:t>
      </w:r>
      <w:r>
        <w:t>s</w:t>
      </w:r>
      <w:r>
        <w:t>weise durch die Aufbewahrung in Isolierbehältern, und sie müssen möglichst umgehend der Prüfstelle zugeleitet werden. Auch die Schiedsprobe und die Rückstellprobe sind so zu lagern, dass eine überm</w:t>
      </w:r>
      <w:r>
        <w:t>ä</w:t>
      </w:r>
      <w:r>
        <w:t>ßige Erwärmung ausgeschlo</w:t>
      </w:r>
      <w:r>
        <w:t>s</w:t>
      </w:r>
      <w:r>
        <w:t>sen ist.</w:t>
      </w:r>
    </w:p>
    <w:p>
      <w:pPr>
        <w:pStyle w:val="GesAbsatz"/>
      </w:pPr>
      <w:r>
        <w:t>c)</w:t>
      </w:r>
      <w:r>
        <w:tab/>
        <w:t>Nummer 4.5 Buchstabe c und d gelten entsprechend.</w:t>
      </w:r>
    </w:p>
    <w:p>
      <w:pPr>
        <w:pStyle w:val="GesAbsatz"/>
        <w:ind w:left="426" w:hanging="426"/>
      </w:pPr>
      <w:r>
        <w:t>d)</w:t>
      </w:r>
      <w:r>
        <w:tab/>
        <w:t>Über die Probenahme ist für jeden Kraft- und Brennstoff ein Protokoll nach dem Muster der Anlage 2 zu fertigen. Der Auskunftspflichtige erhält eine Ausfertigung des Protokolls. Eine weitere Ausfertigung bleibt bei der zuständigen Behörde. Die der Prüfstelle zugehende Probe ist mit der Angabe der Probennu</w:t>
      </w:r>
      <w:r>
        <w:t>m</w:t>
      </w:r>
      <w:r>
        <w:t>mer so zu kennzeichnen, dass die zuständige Behörde die Herkunft der Probe erkennen und somit das Prüfprotokoll nach Anlage 12, 13, 14, 15, 16, 17, 18 oder 19 der Probenahme zuordnen kann.</w:t>
      </w:r>
    </w:p>
    <w:p>
      <w:pPr>
        <w:pStyle w:val="GesAbsatz"/>
      </w:pPr>
      <w:r>
        <w:t>e)</w:t>
      </w:r>
      <w:r>
        <w:tab/>
        <w:t>Die Prüfstelle hat die Probe unverzüglich zu untersuchen.</w:t>
      </w:r>
    </w:p>
    <w:p>
      <w:pPr>
        <w:pStyle w:val="GesAbsatz"/>
        <w:ind w:left="426" w:hanging="426"/>
      </w:pPr>
      <w:r>
        <w:t>f)</w:t>
      </w:r>
      <w:r>
        <w:tab/>
        <w:t>Die Prüfstelle erstellt ein Prüfprotokoll nach dem Muster der Anlagen 12, 13, 14, 15, 16, 17, 18 oder 19 und übersendet es der zuständigen Behörde, die dem Auskunftspflichtigen eine Kopie des Protokolls zukommen lässt. Bei einer Einzelmessung festgestellte Abweichungen sind unschädlich, wenn die in den Anlagen 12, 13, 14, 15, 16, 17, 18, oder 19 aufgeführten Ablehnungsgrenzwerte unter Anwendung der in der DIN EN ISO 14596, Ausgabe Dezember 2007, beschriebenen Verfahren eingehalten werden.</w:t>
      </w:r>
    </w:p>
    <w:p>
      <w:pPr>
        <w:pStyle w:val="GesAbsatz"/>
        <w:ind w:left="426" w:hanging="426"/>
      </w:pPr>
      <w:r>
        <w:t>g)</w:t>
      </w:r>
      <w:r>
        <w:tab/>
        <w:t>Im Falle eines Straf- oder Bußgeldverfahrens sind die Proben, die für die Schiedsprobe nach DIN EN ISO 14596, Ausgabe Dezember 2007 vorgesehen sind, bis zum Abschluss des rechtskräftigen Verfa</w:t>
      </w:r>
      <w:r>
        <w:t>h</w:t>
      </w:r>
      <w:r>
        <w:t>rens aufzubewa</w:t>
      </w:r>
      <w:r>
        <w:t>h</w:t>
      </w:r>
      <w:r>
        <w:t>ren.</w:t>
      </w:r>
    </w:p>
    <w:p>
      <w:pPr>
        <w:pStyle w:val="berschrift2"/>
        <w:jc w:val="left"/>
      </w:pPr>
      <w:bookmarkStart w:id="7" w:name="_Toc349111743"/>
      <w:r>
        <w:t>6 Maßnahmen bei Verstößen</w:t>
      </w:r>
      <w:bookmarkEnd w:id="7"/>
    </w:p>
    <w:p>
      <w:pPr>
        <w:pStyle w:val="GesAbsatz"/>
      </w:pPr>
      <w:r>
        <w:rPr>
          <w:b/>
        </w:rPr>
        <w:t>6.1</w:t>
      </w:r>
      <w:r>
        <w:t xml:space="preserve"> Ein Verstoß gegen die Auszeichnungspflicht nach § 13 der 10. BImSchV oder gegen die Unterrichtung</w:t>
      </w:r>
      <w:r>
        <w:t>s</w:t>
      </w:r>
      <w:r>
        <w:t>pflicht nach § 14 der 10. BImSchV ist anzunehmen, wenn die festgestellten Werte entgegen der Auszeic</w:t>
      </w:r>
      <w:r>
        <w:t>h</w:t>
      </w:r>
      <w:r>
        <w:t>nung (§ 13 der 10. BImSchV) nicht den Mindestanforderungen der 10. BImSchV entsprechen. Ein Verstoß im Bereich der Kraft- und Brennstoffe nach § 1 Absatz 4, 6, 7, 9 und 10 der 10. BImSchV ist anzunehmen, wenn die festgestellten Werte nicht der jeweiligen Mindestanforderung an den Schwefelgehalt der 10. BImSchV entsprechen.</w:t>
      </w:r>
    </w:p>
    <w:p>
      <w:pPr>
        <w:pStyle w:val="GesAbsatz"/>
      </w:pPr>
      <w:r>
        <w:rPr>
          <w:b/>
        </w:rPr>
        <w:lastRenderedPageBreak/>
        <w:t>6.2</w:t>
      </w:r>
      <w:r>
        <w:t xml:space="preserve"> Bei einem Verstoß ist wie folgt zu verfahren:</w:t>
      </w:r>
    </w:p>
    <w:p>
      <w:pPr>
        <w:pStyle w:val="GesAbsatz"/>
        <w:ind w:left="426" w:hanging="426"/>
      </w:pPr>
      <w:r>
        <w:t>a)</w:t>
      </w:r>
      <w:r>
        <w:tab/>
        <w:t>Entspricht die Qualität der abgegebenen Ware nicht den Eigenschaften der Mindestanforderungen der 10. BImSchV, so ist zu veranlassen, dass die Abgabe dieser Ware sofort eingestellt wird.</w:t>
      </w:r>
    </w:p>
    <w:p>
      <w:pPr>
        <w:pStyle w:val="GesAbsatz"/>
        <w:ind w:left="426" w:hanging="426"/>
      </w:pPr>
      <w:r>
        <w:t>b)</w:t>
      </w:r>
      <w:r>
        <w:tab/>
        <w:t>Der Veräußerer ist verpflichtet, durch Vorlage der Lieferzeugnisse die Herkunft der angebotenen Ware eindeutig zu belegen. Ist er dazu nicht in der Lage oder ist er nicht willens, dies zu tun, wird nach pflich</w:t>
      </w:r>
      <w:r>
        <w:t>t</w:t>
      </w:r>
      <w:r>
        <w:t>gemäßem Erme</w:t>
      </w:r>
      <w:r>
        <w:t>s</w:t>
      </w:r>
      <w:r>
        <w:t>sen ein Bußgeldverfahren eingeleitet.</w:t>
      </w:r>
    </w:p>
    <w:p>
      <w:pPr>
        <w:pStyle w:val="GesAbsatz"/>
        <w:ind w:left="426" w:hanging="426"/>
      </w:pPr>
      <w:r>
        <w:t>c)</w:t>
      </w:r>
      <w:r>
        <w:tab/>
        <w:t>Stehen Verstöße von Auszeichnungspflichtigen gegen die ordnungsgemäße Auszeichnung der Qualität nach § 13 der 10. BImSchV oder Verstöße von Lieferanten gegen die Unterrichtung der Auszeichnung</w:t>
      </w:r>
      <w:r>
        <w:t>s</w:t>
      </w:r>
      <w:r>
        <w:t>pflichtigen nach § 14 der 10. BImSchV fest, muss geprüft werden, ob diese Verstöße vorsätzlich oder fahrlässig begangen wurden und eine Ordnungswidrigkeit nach § 20 Absatz 1 Nummer 4 bis 6 der 10. BImSchV vorliegt. Gegebenenfalls ist ein Bußgeldverfahren einzuleiten. Wenn der Verdacht besteht, dass eine Straftat, insbesondere ein Betrugsdelikt, vorliegt, muss die zuständige Staatsanwaltschaft u</w:t>
      </w:r>
      <w:r>
        <w:t>n</w:t>
      </w:r>
      <w:r>
        <w:t>terrichtet werden. Sind Verstöße eines bestimmten Auszeichnungspflichtigen gegen § 13 oder eines b</w:t>
      </w:r>
      <w:r>
        <w:t>e</w:t>
      </w:r>
      <w:r>
        <w:t>stimmten Lieferanten gegen § 14 ermittelt worden, so ist nach § 20 der 10. BImSchV ein Bußgeldverfa</w:t>
      </w:r>
      <w:r>
        <w:t>h</w:t>
      </w:r>
      <w:r>
        <w:t>ren einzuleiten. Außerdem sind die Überwachungsmaßnahmen diesen Personen gegenüber kurzfristig zu wiederholen.</w:t>
      </w:r>
    </w:p>
    <w:p>
      <w:pPr>
        <w:pStyle w:val="GesAbsatz"/>
        <w:ind w:left="426" w:hanging="426"/>
      </w:pPr>
      <w:r>
        <w:t>d)</w:t>
      </w:r>
      <w:r>
        <w:tab/>
        <w:t>Wenn im Bereich der Kraft- und Brennstoffe nach § 1 Absatz 4, 6, 7, 9 und 10 der 10. BImSchV die festgestellten Werte nicht der jeweiligen Mindestanforderung an den Schwefelgehalt der 10. BImSchV en</w:t>
      </w:r>
      <w:r>
        <w:t>t</w:t>
      </w:r>
      <w:r>
        <w:t>sprechen, muss geprüft werden, ob diese Verstöße vorsätzlich oder fahrlässig begangen wurden und eine Ordnungswidrigkeit nach § 20 Absatz 1 Nummer 4 bis 6 der 10. BImSchV vorliegt. Gegebenenfalls ist ein Bußgeldverfahren einzuleiten. Bei Verdacht einer Straftat, insbesondere auf Vorliegen von B</w:t>
      </w:r>
      <w:r>
        <w:t>e</w:t>
      </w:r>
      <w:r>
        <w:t>trugsdelikten, muss die zuständige Staatsanwaltschaft i</w:t>
      </w:r>
      <w:r>
        <w:t>n</w:t>
      </w:r>
      <w:r>
        <w:t>formiert werden.</w:t>
      </w:r>
    </w:p>
    <w:p>
      <w:pPr>
        <w:pStyle w:val="berschrift2"/>
        <w:jc w:val="left"/>
      </w:pPr>
      <w:bookmarkStart w:id="8" w:name="_Toc349111744"/>
      <w:r>
        <w:t>7 Kosten</w:t>
      </w:r>
      <w:bookmarkEnd w:id="8"/>
    </w:p>
    <w:p>
      <w:pPr>
        <w:pStyle w:val="GesAbsatz"/>
      </w:pPr>
      <w:r>
        <w:t>Der Auskunftspflichtige trägt die Kosten für die Probenahme, die entnommene Kraftstoffmenge und das an die Prüfstelle zu entrichtende Entgelt, nicht aber die allgemeinen Verwaltungskosten. Dies gilt nicht, wenn hinsichtlich der allgemeinen Verwaltungskosten anderweitige landesrechtliche Gebührenregelungen best</w:t>
      </w:r>
      <w:r>
        <w:t>e</w:t>
      </w:r>
      <w:r>
        <w:t>hen.</w:t>
      </w:r>
    </w:p>
    <w:p>
      <w:pPr>
        <w:pStyle w:val="GesAbsatz"/>
      </w:pPr>
      <w:r>
        <w:t>Zur Zahlung verpflichtet sind</w:t>
      </w:r>
    </w:p>
    <w:p>
      <w:pPr>
        <w:pStyle w:val="GesAbsatz"/>
        <w:ind w:left="426" w:hanging="426"/>
      </w:pPr>
      <w:r>
        <w:t>a)</w:t>
      </w:r>
      <w:r>
        <w:tab/>
        <w:t>Personen, die Anlagen betreiben oder besitzen, in denen Kraftstoffe gewerbsmäßig oder im Rahmen wir</w:t>
      </w:r>
      <w:r>
        <w:t>t</w:t>
      </w:r>
      <w:r>
        <w:t>schaftlicher Unternehmungen hergestellt werden,</w:t>
      </w:r>
    </w:p>
    <w:p>
      <w:pPr>
        <w:pStyle w:val="GesAbsatz"/>
        <w:ind w:left="426" w:hanging="426"/>
      </w:pPr>
      <w:r>
        <w:t>b)</w:t>
      </w:r>
      <w:r>
        <w:tab/>
        <w:t>Personen, die Eigentümer von Grundstücken sind oder solche besitzen, auf denen Kraftstoffe g</w:t>
      </w:r>
      <w:r>
        <w:t>e</w:t>
      </w:r>
      <w:r>
        <w:t>werbsmäßig oder im Rahmen wirtschaftlicher Unternehmungen gelagert werden, sowie</w:t>
      </w:r>
    </w:p>
    <w:p>
      <w:pPr>
        <w:pStyle w:val="GesAbsatz"/>
        <w:ind w:left="426" w:hanging="426"/>
      </w:pPr>
      <w:r>
        <w:t>c)</w:t>
      </w:r>
      <w:r>
        <w:tab/>
        <w:t>Personen, die Kraftstoffe gewerbsmäßig oder im Rahmen wirtschaftlicher Unternehmungen einführen oder sonst in den Geltungsbereich der 10. BImSchV verbringen.</w:t>
      </w:r>
    </w:p>
    <w:p>
      <w:pPr>
        <w:pStyle w:val="GesAbsatz"/>
      </w:pPr>
      <w:r>
        <w:t>Kommt nach den geltenden kostenrechtlichen Vorschriften eine gesamtschuldnerische Haftung mehrerer Kostenschuldner in Betracht, wird empfohlen, zunächst den Veräußerer der Kraftstoffe in Anspruch zu ne</w:t>
      </w:r>
      <w:r>
        <w:t>h</w:t>
      </w:r>
      <w:r>
        <w:t>men, sofern dem im Einzelfall nicht Gründe entgegenstehen.</w:t>
      </w:r>
    </w:p>
    <w:p>
      <w:pPr>
        <w:pStyle w:val="GesAbsatz"/>
      </w:pPr>
      <w:r>
        <w:t>Soweit Proben im Rahmen eines Bußgeldverfahrens zur Aufklärung des Sachverhalts entnommen werden, gehören sie zu den Kosten des Bußgeldverfahrens (§ 105 Absatz 1 des Gesetzes über Ordnungswidrigkeiten in Verbi</w:t>
      </w:r>
      <w:r>
        <w:t>n</w:t>
      </w:r>
      <w:r>
        <w:t>dung mit § 464a Absatz 1 Satz 2 der Strafprozessordnung).</w:t>
      </w:r>
    </w:p>
    <w:p>
      <w:pPr>
        <w:pStyle w:val="berschrift2"/>
        <w:jc w:val="left"/>
      </w:pPr>
      <w:bookmarkStart w:id="9" w:name="_Toc349111745"/>
      <w:r>
        <w:t>8 Bearbeitung von Beschwerden</w:t>
      </w:r>
      <w:bookmarkEnd w:id="9"/>
    </w:p>
    <w:p>
      <w:pPr>
        <w:pStyle w:val="GesAbsatz"/>
      </w:pPr>
      <w:r>
        <w:t>Gehen Beschwerden wegen möglicher Verstöße gegen die 10. BImSchV ein, können diese Beschwerden zum Anlass für behördliche Überwachungsmaßnahmen genommen werden.</w:t>
      </w:r>
    </w:p>
    <w:p>
      <w:pPr>
        <w:pStyle w:val="GesAbsatz"/>
      </w:pPr>
      <w:r>
        <w:t>Die zuständigen Behörden gehen qualifizierten Beschwerden von Dritten nach, die unter Beachtung der unter Nummer 4 genannten Regeln Proben nehmen und untersuchen oder untersuchen lassen. Zu den Dritten gehören beispielsweise Organisationen des Verbraucherschutzes sowie Firmen und Verbände zur Förderung gewerblicher Intere</w:t>
      </w:r>
      <w:r>
        <w:t>s</w:t>
      </w:r>
      <w:r>
        <w:t>sen. Die Untersuchung von Proben, die einzelne Kraftfahrzeughalter entnommen haben, soll jedoch abgelehnt werden, weil diese Proben wegen mangelnder Beweiskraft nicht als Grundlage von behördlichen Verfügungen oder Bu</w:t>
      </w:r>
      <w:r>
        <w:t>ß</w:t>
      </w:r>
      <w:r>
        <w:t>geldbescheiden verwendbar sind.</w:t>
      </w:r>
    </w:p>
    <w:p>
      <w:pPr>
        <w:pStyle w:val="berschrift2"/>
        <w:jc w:val="left"/>
      </w:pPr>
      <w:bookmarkStart w:id="10" w:name="_Toc349111746"/>
      <w:r>
        <w:t>9 Inkrafttreten, Außerkrafttreten</w:t>
      </w:r>
      <w:bookmarkEnd w:id="10"/>
    </w:p>
    <w:p>
      <w:pPr>
        <w:pStyle w:val="GesAbsatz"/>
      </w:pPr>
      <w:r>
        <w:t xml:space="preserve">Diese allgemeine Verwaltungsvorschrift tritt sechs Wochen nach der Veröffentlichung im Bundesanzeiger in Kraft. Gleichzeitig treten die Allgemeine Verwaltungsvorschrift zur Durchführung der Zehnten Verordnung zur </w:t>
      </w:r>
      <w:r>
        <w:lastRenderedPageBreak/>
        <w:t>Durchführung des Bundes-Immissionsschutzgesetzes vom 17. Juli 2009 (BAnz. S. 2483) und die Erste al</w:t>
      </w:r>
      <w:r>
        <w:t>l</w:t>
      </w:r>
      <w:r>
        <w:t>gemeine Verwa</w:t>
      </w:r>
      <w:r>
        <w:t>l</w:t>
      </w:r>
      <w:r>
        <w:t>tungsvorschrift zur Dritten Verordnung zur Durchführung des Bundes-Immissionsschutzgesetzes vom 23. Juni 1978 (BAnz. Nr. 117 vom 28. Juni 1978) außer Kraft.</w:t>
      </w:r>
    </w:p>
    <w:p>
      <w:pPr>
        <w:pStyle w:val="berschrift2"/>
        <w:jc w:val="left"/>
      </w:pPr>
      <w:r>
        <w:br w:type="page"/>
      </w:r>
      <w:bookmarkStart w:id="11" w:name="_Toc349111747"/>
      <w:r>
        <w:lastRenderedPageBreak/>
        <w:t>Anlage 1</w:t>
      </w:r>
      <w:bookmarkEnd w:id="11"/>
    </w:p>
    <w:p>
      <w:pPr>
        <w:pStyle w:val="GesAbsatz"/>
        <w:jc w:val="center"/>
        <w:rPr>
          <w:b/>
        </w:rPr>
      </w:pPr>
      <w:r>
        <w:rPr>
          <w:b/>
        </w:rPr>
        <w:t>Protokoll</w:t>
      </w:r>
      <w:r>
        <w:rPr>
          <w:b/>
        </w:rPr>
        <w:br/>
        <w:t>über die Probenahme von Kraftstoffen zur Überwachung der Verordnung über</w:t>
      </w:r>
      <w:r>
        <w:rPr>
          <w:b/>
        </w:rPr>
        <w:br/>
        <w:t>die Bescha</w:t>
      </w:r>
      <w:r>
        <w:rPr>
          <w:b/>
        </w:rPr>
        <w:t>f</w:t>
      </w:r>
      <w:r>
        <w:rPr>
          <w:b/>
        </w:rPr>
        <w:t>fenheit und die Auszeichnung der Qualitäten von Kraft- und Brennstoffen</w:t>
      </w:r>
      <w:r>
        <w:rPr>
          <w:b/>
        </w:rPr>
        <w:br/>
        <w:t>– 10. BImSchV vom 8. Dezember 2010</w:t>
      </w:r>
    </w:p>
    <w:p>
      <w:pPr>
        <w:pStyle w:val="GesAbsatz"/>
        <w:rPr>
          <w:b/>
          <w:bCs/>
        </w:rPr>
      </w:pPr>
    </w:p>
    <w:p>
      <w:pPr>
        <w:pStyle w:val="GesAbsatz"/>
        <w:rPr>
          <w:b/>
          <w:bCs/>
        </w:rPr>
      </w:pPr>
      <w:r>
        <w:rPr>
          <w:b/>
          <w:bCs/>
          <w:noProof/>
        </w:rPr>
        <w:drawing>
          <wp:inline distT="0" distB="0" distL="0" distR="0">
            <wp:extent cx="5998210" cy="76733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8210" cy="7673340"/>
                    </a:xfrm>
                    <a:prstGeom prst="rect">
                      <a:avLst/>
                    </a:prstGeom>
                    <a:noFill/>
                    <a:ln>
                      <a:noFill/>
                    </a:ln>
                  </pic:spPr>
                </pic:pic>
              </a:graphicData>
            </a:graphic>
          </wp:inline>
        </w:drawing>
      </w:r>
    </w:p>
    <w:p>
      <w:pPr>
        <w:pStyle w:val="GesAbsatz"/>
        <w:rPr>
          <w:b/>
          <w:bCs/>
        </w:rPr>
      </w:pPr>
    </w:p>
    <w:p>
      <w:pPr>
        <w:pStyle w:val="berschrift2"/>
        <w:jc w:val="left"/>
      </w:pPr>
      <w:bookmarkStart w:id="12" w:name="_Toc349111748"/>
      <w:r>
        <w:lastRenderedPageBreak/>
        <w:t>Anlage 2</w:t>
      </w:r>
      <w:bookmarkEnd w:id="12"/>
    </w:p>
    <w:p>
      <w:pPr>
        <w:pStyle w:val="GesAbsatz"/>
        <w:jc w:val="center"/>
        <w:rPr>
          <w:b/>
        </w:rPr>
      </w:pPr>
      <w:r>
        <w:rPr>
          <w:b/>
        </w:rPr>
        <w:t>Protokoll</w:t>
      </w:r>
    </w:p>
    <w:p>
      <w:pPr>
        <w:pStyle w:val="GesAbsatz"/>
        <w:jc w:val="center"/>
        <w:rPr>
          <w:b/>
        </w:rPr>
      </w:pPr>
      <w:r>
        <w:rPr>
          <w:b/>
        </w:rPr>
        <w:t>über die Probenahme von Brenn- und Kraftstoffen gemäß § 1 Absatz 4, 6, 7, 9 und 10 der</w:t>
      </w:r>
      <w:r>
        <w:rPr>
          <w:b/>
        </w:rPr>
        <w:br/>
        <w:t>Verordnung über die Beschaffenheit und die Auszeichnung der Qualitäten von Kraft- und</w:t>
      </w:r>
      <w:r>
        <w:rPr>
          <w:b/>
        </w:rPr>
        <w:br/>
        <w:t>Brennsto</w:t>
      </w:r>
      <w:r>
        <w:rPr>
          <w:b/>
        </w:rPr>
        <w:t>f</w:t>
      </w:r>
      <w:r>
        <w:rPr>
          <w:b/>
        </w:rPr>
        <w:t>fen – 10. BImSchV vom 8. Dezember 2010</w:t>
      </w:r>
    </w:p>
    <w:p>
      <w:pPr>
        <w:pStyle w:val="GesAbsatz"/>
        <w:rPr>
          <w:b/>
          <w:bCs/>
        </w:rPr>
      </w:pPr>
    </w:p>
    <w:p>
      <w:pPr>
        <w:pStyle w:val="GesAbsatz"/>
        <w:rPr>
          <w:b/>
          <w:bCs/>
        </w:rPr>
      </w:pPr>
      <w:r>
        <w:rPr>
          <w:b/>
          <w:bCs/>
          <w:noProof/>
        </w:rPr>
        <w:drawing>
          <wp:inline distT="0" distB="0" distL="0" distR="0">
            <wp:extent cx="6049645" cy="76809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9645" cy="7680960"/>
                    </a:xfrm>
                    <a:prstGeom prst="rect">
                      <a:avLst/>
                    </a:prstGeom>
                    <a:noFill/>
                    <a:ln>
                      <a:noFill/>
                    </a:ln>
                  </pic:spPr>
                </pic:pic>
              </a:graphicData>
            </a:graphic>
          </wp:inline>
        </w:drawing>
      </w:r>
    </w:p>
    <w:p>
      <w:pPr>
        <w:pStyle w:val="GesAbsatz"/>
        <w:rPr>
          <w:b/>
          <w:bCs/>
        </w:rPr>
      </w:pPr>
    </w:p>
    <w:p>
      <w:pPr>
        <w:pStyle w:val="berschrift2"/>
        <w:jc w:val="left"/>
      </w:pPr>
      <w:bookmarkStart w:id="13" w:name="_Toc349111749"/>
      <w:r>
        <w:lastRenderedPageBreak/>
        <w:t>Anlage 3</w:t>
      </w:r>
      <w:bookmarkEnd w:id="13"/>
    </w:p>
    <w:p>
      <w:pPr>
        <w:pStyle w:val="GesAbsatz"/>
        <w:jc w:val="center"/>
        <w:rPr>
          <w:b/>
        </w:rPr>
      </w:pPr>
      <w:r>
        <w:rPr>
          <w:b/>
        </w:rPr>
        <w:t>Prüfprotokoll zur Überwachung der Einhaltung</w:t>
      </w:r>
      <w:r>
        <w:rPr>
          <w:b/>
        </w:rPr>
        <w:br/>
        <w:t>von Anforderungswerten bei einmaliger Prüfung von Ottokraftstoff E5 nach DIN EN 228:2008</w:t>
      </w:r>
    </w:p>
    <w:p>
      <w:pPr>
        <w:pStyle w:val="GesAbsatz"/>
      </w:pPr>
      <w:r>
        <w:t>Überprüfte Firma:</w:t>
      </w:r>
    </w:p>
    <w:p>
      <w:pPr>
        <w:pStyle w:val="GesAbsatz"/>
      </w:pPr>
      <w:r>
        <w:t>Probenbehälternummer: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jc w:val="center"/>
              <w:rPr>
                <w:sz w:val="18"/>
                <w:szCs w:val="18"/>
              </w:rPr>
            </w:pPr>
            <w:r>
              <w:rPr>
                <w:sz w:val="18"/>
                <w:szCs w:val="18"/>
              </w:rPr>
              <w:t>Nr.</w:t>
            </w:r>
          </w:p>
        </w:tc>
        <w:tc>
          <w:tcPr>
            <w:tcW w:w="2977" w:type="dxa"/>
            <w:vMerge w:val="restart"/>
            <w:shd w:val="clear" w:color="auto" w:fill="auto"/>
            <w:vAlign w:val="center"/>
          </w:tcPr>
          <w:p>
            <w:pPr>
              <w:pStyle w:val="GesAbsatz"/>
              <w:jc w:val="center"/>
              <w:rPr>
                <w:sz w:val="18"/>
                <w:szCs w:val="18"/>
              </w:rPr>
            </w:pPr>
            <w:r>
              <w:rPr>
                <w:sz w:val="18"/>
                <w:szCs w:val="18"/>
              </w:rPr>
              <w:t>Stoffeige</w:t>
            </w:r>
            <w:r>
              <w:rPr>
                <w:sz w:val="18"/>
                <w:szCs w:val="18"/>
              </w:rPr>
              <w:t>n</w:t>
            </w:r>
            <w:r>
              <w:rPr>
                <w:sz w:val="18"/>
                <w:szCs w:val="18"/>
              </w:rPr>
              <w:t>schaft</w:t>
            </w:r>
          </w:p>
        </w:tc>
        <w:tc>
          <w:tcPr>
            <w:tcW w:w="2267" w:type="dxa"/>
            <w:vMerge w:val="restart"/>
            <w:shd w:val="clear" w:color="auto" w:fill="auto"/>
            <w:vAlign w:val="center"/>
          </w:tcPr>
          <w:p>
            <w:pPr>
              <w:pStyle w:val="GesAbsatz"/>
              <w:jc w:val="center"/>
              <w:rPr>
                <w:sz w:val="18"/>
                <w:szCs w:val="18"/>
              </w:rPr>
            </w:pPr>
            <w:r>
              <w:rPr>
                <w:sz w:val="18"/>
                <w:szCs w:val="18"/>
              </w:rPr>
              <w:t>Prüfverfa</w:t>
            </w:r>
            <w:r>
              <w:rPr>
                <w:sz w:val="18"/>
                <w:szCs w:val="18"/>
              </w:rPr>
              <w:t>h</w:t>
            </w:r>
            <w:r>
              <w:rPr>
                <w:sz w:val="18"/>
                <w:szCs w:val="18"/>
              </w:rPr>
              <w:t>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jc w:val="center"/>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rPr>
                <w:sz w:val="18"/>
                <w:szCs w:val="18"/>
              </w:rPr>
            </w:pPr>
          </w:p>
        </w:tc>
        <w:tc>
          <w:tcPr>
            <w:tcW w:w="2977" w:type="dxa"/>
            <w:vMerge/>
            <w:tcBorders>
              <w:bottom w:val="single" w:sz="4" w:space="0" w:color="auto"/>
            </w:tcBorders>
            <w:shd w:val="clear" w:color="auto" w:fill="auto"/>
          </w:tcPr>
          <w:p>
            <w:pPr>
              <w:pStyle w:val="GesAbsatz"/>
              <w:rPr>
                <w:sz w:val="18"/>
                <w:szCs w:val="18"/>
              </w:rPr>
            </w:pPr>
          </w:p>
        </w:tc>
        <w:tc>
          <w:tcPr>
            <w:tcW w:w="2267" w:type="dxa"/>
            <w:vMerge/>
            <w:shd w:val="clear" w:color="auto" w:fill="auto"/>
          </w:tcPr>
          <w:p>
            <w:pPr>
              <w:pStyle w:val="GesAbsatz"/>
              <w:rPr>
                <w:sz w:val="18"/>
                <w:szCs w:val="18"/>
              </w:rPr>
            </w:pPr>
          </w:p>
        </w:tc>
        <w:tc>
          <w:tcPr>
            <w:tcW w:w="1134" w:type="dxa"/>
            <w:vMerge/>
            <w:tcBorders>
              <w:bottom w:val="single" w:sz="4" w:space="0" w:color="auto"/>
            </w:tcBorders>
            <w:shd w:val="clear" w:color="auto" w:fill="auto"/>
          </w:tcPr>
          <w:p>
            <w:pPr>
              <w:pStyle w:val="GesAbsatz"/>
              <w:jc w:val="center"/>
              <w:rPr>
                <w:sz w:val="18"/>
                <w:szCs w:val="18"/>
              </w:rPr>
            </w:pPr>
          </w:p>
        </w:tc>
        <w:tc>
          <w:tcPr>
            <w:tcW w:w="1033" w:type="dxa"/>
            <w:tcBorders>
              <w:bottom w:val="single" w:sz="4" w:space="0" w:color="auto"/>
            </w:tcBorders>
            <w:shd w:val="clear" w:color="auto" w:fill="auto"/>
          </w:tcPr>
          <w:p>
            <w:pPr>
              <w:pStyle w:val="GesAbsatz"/>
              <w:jc w:val="center"/>
              <w:rPr>
                <w:sz w:val="18"/>
                <w:szCs w:val="18"/>
              </w:rPr>
            </w:pPr>
            <w:r>
              <w:rPr>
                <w:sz w:val="18"/>
                <w:szCs w:val="18"/>
              </w:rPr>
              <w:t>min.</w:t>
            </w:r>
          </w:p>
        </w:tc>
        <w:tc>
          <w:tcPr>
            <w:tcW w:w="1094"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w:t>
            </w:r>
          </w:p>
        </w:tc>
        <w:tc>
          <w:tcPr>
            <w:tcW w:w="2977" w:type="dxa"/>
            <w:tcBorders>
              <w:bottom w:val="nil"/>
            </w:tcBorders>
            <w:shd w:val="clear" w:color="auto" w:fill="auto"/>
          </w:tcPr>
          <w:p>
            <w:pPr>
              <w:pStyle w:val="GesAbsatz"/>
              <w:tabs>
                <w:tab w:val="right" w:pos="2586"/>
              </w:tabs>
              <w:rPr>
                <w:sz w:val="18"/>
                <w:szCs w:val="18"/>
              </w:rPr>
            </w:pPr>
            <w:r>
              <w:rPr>
                <w:sz w:val="18"/>
                <w:szCs w:val="18"/>
              </w:rPr>
              <w:t>Klopffestigkeit: ROZ</w:t>
            </w:r>
            <w:r>
              <w:rPr>
                <w:sz w:val="18"/>
                <w:szCs w:val="18"/>
                <w:vertAlign w:val="superscript"/>
              </w:rPr>
              <w:t>a)</w:t>
            </w:r>
            <w:r>
              <w:rPr>
                <w:sz w:val="18"/>
                <w:szCs w:val="18"/>
              </w:rPr>
              <w:tab/>
              <w:t>Normal</w:t>
            </w:r>
          </w:p>
        </w:tc>
        <w:tc>
          <w:tcPr>
            <w:tcW w:w="2267" w:type="dxa"/>
            <w:vMerge w:val="restart"/>
            <w:shd w:val="clear" w:color="auto" w:fill="auto"/>
          </w:tcPr>
          <w:p>
            <w:pPr>
              <w:pStyle w:val="GesAbsatz"/>
              <w:rPr>
                <w:sz w:val="18"/>
                <w:szCs w:val="18"/>
              </w:rPr>
            </w:pPr>
            <w:r>
              <w:rPr>
                <w:sz w:val="18"/>
                <w:szCs w:val="18"/>
              </w:rPr>
              <w:t>DIN EN ISO 5164:2006</w:t>
            </w:r>
          </w:p>
        </w:tc>
        <w:tc>
          <w:tcPr>
            <w:tcW w:w="1134" w:type="dxa"/>
            <w:tcBorders>
              <w:bottom w:val="nil"/>
            </w:tcBorders>
            <w:shd w:val="clear" w:color="auto" w:fill="auto"/>
          </w:tcPr>
          <w:p>
            <w:pPr>
              <w:pStyle w:val="GesAbsatz"/>
              <w:jc w:val="center"/>
              <w:rPr>
                <w:sz w:val="18"/>
                <w:szCs w:val="18"/>
              </w:rPr>
            </w:pPr>
            <w:r>
              <w:rPr>
                <w:sz w:val="18"/>
                <w:szCs w:val="18"/>
              </w:rPr>
              <w:t>–</w:t>
            </w:r>
          </w:p>
        </w:tc>
        <w:tc>
          <w:tcPr>
            <w:tcW w:w="1033" w:type="dxa"/>
            <w:tcBorders>
              <w:bottom w:val="nil"/>
            </w:tcBorders>
            <w:shd w:val="clear" w:color="auto" w:fill="auto"/>
          </w:tcPr>
          <w:p>
            <w:pPr>
              <w:pStyle w:val="GesAbsatz"/>
              <w:jc w:val="center"/>
              <w:rPr>
                <w:sz w:val="18"/>
                <w:szCs w:val="18"/>
              </w:rPr>
            </w:pPr>
            <w:r>
              <w:rPr>
                <w:sz w:val="18"/>
                <w:szCs w:val="18"/>
              </w:rPr>
              <w:t>90,6</w:t>
            </w:r>
          </w:p>
        </w:tc>
        <w:tc>
          <w:tcPr>
            <w:tcW w:w="1094"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6"/>
              </w:tabs>
              <w:rPr>
                <w:sz w:val="18"/>
                <w:szCs w:val="18"/>
              </w:rPr>
            </w:pPr>
            <w:r>
              <w:rPr>
                <w:sz w:val="18"/>
                <w:szCs w:val="18"/>
              </w:rPr>
              <w:tab/>
              <w:t>Super</w:t>
            </w:r>
          </w:p>
        </w:tc>
        <w:tc>
          <w:tcPr>
            <w:tcW w:w="2267" w:type="dxa"/>
            <w:vMerge/>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w:t>
            </w:r>
          </w:p>
        </w:tc>
        <w:tc>
          <w:tcPr>
            <w:tcW w:w="1033" w:type="dxa"/>
            <w:tcBorders>
              <w:top w:val="nil"/>
              <w:bottom w:val="nil"/>
            </w:tcBorders>
            <w:shd w:val="clear" w:color="auto" w:fill="auto"/>
          </w:tcPr>
          <w:p>
            <w:pPr>
              <w:pStyle w:val="GesAbsatz"/>
              <w:jc w:val="center"/>
              <w:rPr>
                <w:sz w:val="18"/>
                <w:szCs w:val="18"/>
              </w:rPr>
            </w:pPr>
            <w:r>
              <w:rPr>
                <w:sz w:val="18"/>
                <w:szCs w:val="18"/>
              </w:rPr>
              <w:t>94,6</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tabs>
                <w:tab w:val="clear" w:pos="425"/>
                <w:tab w:val="right" w:pos="2586"/>
              </w:tabs>
              <w:rPr>
                <w:sz w:val="18"/>
                <w:szCs w:val="18"/>
              </w:rPr>
            </w:pPr>
            <w:r>
              <w:rPr>
                <w:sz w:val="18"/>
                <w:szCs w:val="18"/>
              </w:rPr>
              <w:tab/>
              <w:t>Super Plus</w:t>
            </w:r>
          </w:p>
        </w:tc>
        <w:tc>
          <w:tcPr>
            <w:tcW w:w="2267" w:type="dxa"/>
            <w:vMerge/>
            <w:tcBorders>
              <w:bottom w:val="single" w:sz="4" w:space="0" w:color="auto"/>
            </w:tcBorders>
            <w:shd w:val="clear" w:color="auto" w:fill="auto"/>
          </w:tcPr>
          <w:p>
            <w:pPr>
              <w:pStyle w:val="GesAbsatz"/>
              <w:rPr>
                <w:sz w:val="18"/>
                <w:szCs w:val="18"/>
              </w:rPr>
            </w:pPr>
          </w:p>
        </w:tc>
        <w:tc>
          <w:tcPr>
            <w:tcW w:w="1134" w:type="dxa"/>
            <w:tcBorders>
              <w:top w:val="nil"/>
              <w:bottom w:val="single" w:sz="4" w:space="0" w:color="auto"/>
            </w:tcBorders>
            <w:shd w:val="clear" w:color="auto" w:fill="auto"/>
          </w:tcPr>
          <w:p>
            <w:pPr>
              <w:pStyle w:val="GesAbsatz"/>
              <w:jc w:val="center"/>
              <w:rPr>
                <w:sz w:val="18"/>
                <w:szCs w:val="18"/>
              </w:rPr>
            </w:pPr>
            <w:r>
              <w:rPr>
                <w:sz w:val="18"/>
                <w:szCs w:val="18"/>
              </w:rPr>
              <w:t>–</w:t>
            </w: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97,6</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w:t>
            </w:r>
          </w:p>
        </w:tc>
        <w:tc>
          <w:tcPr>
            <w:tcW w:w="2977" w:type="dxa"/>
            <w:tcBorders>
              <w:bottom w:val="nil"/>
            </w:tcBorders>
            <w:shd w:val="clear" w:color="auto" w:fill="auto"/>
          </w:tcPr>
          <w:p>
            <w:pPr>
              <w:pStyle w:val="GesAbsatz"/>
              <w:tabs>
                <w:tab w:val="clear" w:pos="425"/>
                <w:tab w:val="right" w:pos="2586"/>
              </w:tabs>
              <w:rPr>
                <w:sz w:val="18"/>
                <w:szCs w:val="18"/>
              </w:rPr>
            </w:pPr>
            <w:r>
              <w:rPr>
                <w:sz w:val="18"/>
                <w:szCs w:val="18"/>
              </w:rPr>
              <w:t>Klopffestigkeit: MOZ</w:t>
            </w:r>
            <w:r>
              <w:rPr>
                <w:sz w:val="18"/>
                <w:szCs w:val="18"/>
                <w:vertAlign w:val="superscript"/>
              </w:rPr>
              <w:t>a)</w:t>
            </w:r>
            <w:r>
              <w:rPr>
                <w:sz w:val="18"/>
                <w:szCs w:val="18"/>
                <w:vertAlign w:val="superscript"/>
              </w:rPr>
              <w:tab/>
            </w:r>
            <w:r>
              <w:rPr>
                <w:sz w:val="18"/>
                <w:szCs w:val="18"/>
              </w:rPr>
              <w:t>Normal</w:t>
            </w:r>
          </w:p>
        </w:tc>
        <w:tc>
          <w:tcPr>
            <w:tcW w:w="2267" w:type="dxa"/>
            <w:vMerge w:val="restart"/>
            <w:tcBorders>
              <w:bottom w:val="nil"/>
            </w:tcBorders>
            <w:shd w:val="clear" w:color="auto" w:fill="auto"/>
          </w:tcPr>
          <w:p>
            <w:pPr>
              <w:pStyle w:val="GesAbsatz"/>
              <w:rPr>
                <w:sz w:val="18"/>
                <w:szCs w:val="18"/>
              </w:rPr>
            </w:pPr>
            <w:r>
              <w:rPr>
                <w:sz w:val="18"/>
                <w:szCs w:val="18"/>
              </w:rPr>
              <w:t>DIN EN ISO 5163:2006</w:t>
            </w:r>
          </w:p>
        </w:tc>
        <w:tc>
          <w:tcPr>
            <w:tcW w:w="1134" w:type="dxa"/>
            <w:tcBorders>
              <w:bottom w:val="nil"/>
            </w:tcBorders>
            <w:shd w:val="clear" w:color="auto" w:fill="auto"/>
          </w:tcPr>
          <w:p>
            <w:pPr>
              <w:pStyle w:val="GesAbsatz"/>
              <w:jc w:val="center"/>
              <w:rPr>
                <w:sz w:val="18"/>
                <w:szCs w:val="18"/>
              </w:rPr>
            </w:pPr>
            <w:r>
              <w:rPr>
                <w:sz w:val="18"/>
                <w:szCs w:val="18"/>
              </w:rPr>
              <w:t>–</w:t>
            </w:r>
          </w:p>
        </w:tc>
        <w:tc>
          <w:tcPr>
            <w:tcW w:w="1033" w:type="dxa"/>
            <w:tcBorders>
              <w:bottom w:val="nil"/>
            </w:tcBorders>
            <w:shd w:val="clear" w:color="auto" w:fill="auto"/>
          </w:tcPr>
          <w:p>
            <w:pPr>
              <w:pStyle w:val="GesAbsatz"/>
              <w:jc w:val="center"/>
              <w:rPr>
                <w:sz w:val="18"/>
                <w:szCs w:val="18"/>
              </w:rPr>
            </w:pPr>
            <w:r>
              <w:rPr>
                <w:sz w:val="18"/>
                <w:szCs w:val="18"/>
              </w:rPr>
              <w:t>82,0</w:t>
            </w:r>
          </w:p>
        </w:tc>
        <w:tc>
          <w:tcPr>
            <w:tcW w:w="1094"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6"/>
              </w:tabs>
              <w:rPr>
                <w:sz w:val="18"/>
                <w:szCs w:val="18"/>
              </w:rPr>
            </w:pPr>
            <w:r>
              <w:rPr>
                <w:sz w:val="18"/>
                <w:szCs w:val="18"/>
              </w:rPr>
              <w:tab/>
              <w:t>Super</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w:t>
            </w:r>
          </w:p>
        </w:tc>
        <w:tc>
          <w:tcPr>
            <w:tcW w:w="1033" w:type="dxa"/>
            <w:tcBorders>
              <w:top w:val="nil"/>
              <w:bottom w:val="nil"/>
            </w:tcBorders>
            <w:shd w:val="clear" w:color="auto" w:fill="auto"/>
          </w:tcPr>
          <w:p>
            <w:pPr>
              <w:pStyle w:val="GesAbsatz"/>
              <w:jc w:val="center"/>
              <w:rPr>
                <w:sz w:val="18"/>
                <w:szCs w:val="18"/>
              </w:rPr>
            </w:pPr>
            <w:r>
              <w:rPr>
                <w:sz w:val="18"/>
                <w:szCs w:val="18"/>
              </w:rPr>
              <w:t>84,5</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tabs>
                <w:tab w:val="clear" w:pos="425"/>
                <w:tab w:val="right" w:pos="2586"/>
              </w:tabs>
              <w:rPr>
                <w:sz w:val="18"/>
                <w:szCs w:val="18"/>
              </w:rPr>
            </w:pPr>
            <w:r>
              <w:rPr>
                <w:sz w:val="18"/>
                <w:szCs w:val="18"/>
              </w:rPr>
              <w:tab/>
              <w:t>Super Plus</w:t>
            </w:r>
          </w:p>
        </w:tc>
        <w:tc>
          <w:tcPr>
            <w:tcW w:w="2267" w:type="dxa"/>
            <w:vMerge/>
            <w:tcBorders>
              <w:top w:val="nil"/>
            </w:tcBorders>
            <w:shd w:val="clear" w:color="auto" w:fill="auto"/>
          </w:tcPr>
          <w:p>
            <w:pPr>
              <w:pStyle w:val="GesAbsatz"/>
              <w:rPr>
                <w:sz w:val="18"/>
                <w:szCs w:val="18"/>
              </w:rPr>
            </w:pPr>
          </w:p>
        </w:tc>
        <w:tc>
          <w:tcPr>
            <w:tcW w:w="1134" w:type="dxa"/>
            <w:tcBorders>
              <w:top w:val="nil"/>
            </w:tcBorders>
            <w:shd w:val="clear" w:color="auto" w:fill="auto"/>
          </w:tcPr>
          <w:p>
            <w:pPr>
              <w:pStyle w:val="GesAbsatz"/>
              <w:jc w:val="center"/>
              <w:rPr>
                <w:sz w:val="18"/>
                <w:szCs w:val="18"/>
              </w:rPr>
            </w:pPr>
            <w:r>
              <w:rPr>
                <w:sz w:val="18"/>
                <w:szCs w:val="18"/>
              </w:rPr>
              <w:t>–</w:t>
            </w:r>
          </w:p>
        </w:tc>
        <w:tc>
          <w:tcPr>
            <w:tcW w:w="1033" w:type="dxa"/>
            <w:tcBorders>
              <w:top w:val="nil"/>
            </w:tcBorders>
            <w:shd w:val="clear" w:color="auto" w:fill="auto"/>
          </w:tcPr>
          <w:p>
            <w:pPr>
              <w:pStyle w:val="GesAbsatz"/>
              <w:jc w:val="center"/>
              <w:rPr>
                <w:sz w:val="18"/>
                <w:szCs w:val="18"/>
              </w:rPr>
            </w:pPr>
            <w:r>
              <w:rPr>
                <w:sz w:val="18"/>
                <w:szCs w:val="18"/>
              </w:rPr>
              <w:t>87,5</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3</w:t>
            </w:r>
          </w:p>
        </w:tc>
        <w:tc>
          <w:tcPr>
            <w:tcW w:w="2977" w:type="dxa"/>
            <w:shd w:val="clear" w:color="auto" w:fill="auto"/>
          </w:tcPr>
          <w:p>
            <w:pPr>
              <w:pStyle w:val="GesAbsatz"/>
              <w:tabs>
                <w:tab w:val="clear" w:pos="425"/>
                <w:tab w:val="right" w:pos="2586"/>
              </w:tabs>
              <w:rPr>
                <w:sz w:val="18"/>
                <w:szCs w:val="18"/>
              </w:rPr>
            </w:pPr>
            <w:r>
              <w:rPr>
                <w:sz w:val="18"/>
                <w:szCs w:val="18"/>
              </w:rPr>
              <w:t>Bleigehalt</w:t>
            </w:r>
          </w:p>
        </w:tc>
        <w:tc>
          <w:tcPr>
            <w:tcW w:w="2267" w:type="dxa"/>
            <w:tcBorders>
              <w:bottom w:val="single" w:sz="4" w:space="0" w:color="auto"/>
            </w:tcBorders>
            <w:shd w:val="clear" w:color="auto" w:fill="auto"/>
          </w:tcPr>
          <w:p>
            <w:pPr>
              <w:pStyle w:val="GesAbsatz"/>
              <w:rPr>
                <w:sz w:val="18"/>
                <w:szCs w:val="18"/>
              </w:rPr>
            </w:pPr>
            <w:r>
              <w:rPr>
                <w:sz w:val="18"/>
                <w:szCs w:val="18"/>
              </w:rPr>
              <w:t>DIN EN 237:2004</w:t>
            </w:r>
          </w:p>
        </w:tc>
        <w:tc>
          <w:tcPr>
            <w:tcW w:w="1134" w:type="dxa"/>
            <w:tcBorders>
              <w:bottom w:val="single" w:sz="4" w:space="0" w:color="auto"/>
            </w:tcBorders>
            <w:shd w:val="clear" w:color="auto" w:fill="auto"/>
          </w:tcPr>
          <w:p>
            <w:pPr>
              <w:pStyle w:val="GesAbsatz"/>
              <w:jc w:val="center"/>
              <w:rPr>
                <w:sz w:val="18"/>
                <w:szCs w:val="18"/>
              </w:rPr>
            </w:pPr>
            <w:r>
              <w:rPr>
                <w:sz w:val="18"/>
                <w:szCs w:val="18"/>
              </w:rPr>
              <w:t>mg/l</w:t>
            </w:r>
          </w:p>
        </w:tc>
        <w:tc>
          <w:tcPr>
            <w:tcW w:w="1033" w:type="dxa"/>
            <w:tcBorders>
              <w:bottom w:val="single" w:sz="4" w:space="0" w:color="auto"/>
            </w:tcBorders>
            <w:shd w:val="clear" w:color="auto" w:fill="auto"/>
          </w:tcPr>
          <w:p>
            <w:pPr>
              <w:pStyle w:val="GesAbsatz"/>
              <w:jc w:val="center"/>
              <w:rPr>
                <w:sz w:val="18"/>
                <w:szCs w:val="18"/>
              </w:rPr>
            </w:pPr>
          </w:p>
        </w:tc>
        <w:tc>
          <w:tcPr>
            <w:tcW w:w="1094" w:type="dxa"/>
            <w:tcBorders>
              <w:bottom w:val="single" w:sz="4" w:space="0" w:color="auto"/>
            </w:tcBorders>
            <w:shd w:val="clear" w:color="auto" w:fill="auto"/>
          </w:tcPr>
          <w:p>
            <w:pPr>
              <w:pStyle w:val="GesAbsatz"/>
              <w:jc w:val="center"/>
              <w:rPr>
                <w:sz w:val="18"/>
                <w:szCs w:val="18"/>
              </w:rPr>
            </w:pPr>
            <w:r>
              <w:rPr>
                <w:sz w:val="18"/>
                <w:szCs w:val="18"/>
              </w:rPr>
              <w:t>5,4</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4</w:t>
            </w:r>
          </w:p>
        </w:tc>
        <w:tc>
          <w:tcPr>
            <w:tcW w:w="2977" w:type="dxa"/>
            <w:vMerge w:val="restart"/>
            <w:shd w:val="clear" w:color="auto" w:fill="auto"/>
          </w:tcPr>
          <w:p>
            <w:pPr>
              <w:pStyle w:val="GesAbsatz"/>
              <w:tabs>
                <w:tab w:val="clear" w:pos="425"/>
                <w:tab w:val="right" w:pos="2586"/>
              </w:tabs>
              <w:rPr>
                <w:sz w:val="18"/>
                <w:szCs w:val="18"/>
              </w:rPr>
            </w:pPr>
            <w:r>
              <w:rPr>
                <w:sz w:val="18"/>
                <w:szCs w:val="18"/>
              </w:rPr>
              <w:t>Dichte bei 15 °C</w:t>
            </w:r>
            <w:r>
              <w:rPr>
                <w:sz w:val="18"/>
                <w:szCs w:val="18"/>
                <w:vertAlign w:val="superscript"/>
              </w:rPr>
              <w:t>b)</w:t>
            </w:r>
          </w:p>
        </w:tc>
        <w:tc>
          <w:tcPr>
            <w:tcW w:w="2267" w:type="dxa"/>
            <w:tcBorders>
              <w:bottom w:val="nil"/>
            </w:tcBorders>
            <w:shd w:val="clear" w:color="auto" w:fill="auto"/>
          </w:tcPr>
          <w:p>
            <w:pPr>
              <w:pStyle w:val="GesAbsatz"/>
              <w:rPr>
                <w:sz w:val="18"/>
                <w:szCs w:val="18"/>
              </w:rPr>
            </w:pPr>
            <w:r>
              <w:rPr>
                <w:sz w:val="18"/>
                <w:szCs w:val="18"/>
              </w:rPr>
              <w:t>DIN EN ISO 3675:1999</w:t>
            </w:r>
          </w:p>
        </w:tc>
        <w:tc>
          <w:tcPr>
            <w:tcW w:w="1134" w:type="dxa"/>
            <w:tcBorders>
              <w:bottom w:val="nil"/>
            </w:tcBorders>
            <w:shd w:val="clear" w:color="auto" w:fill="auto"/>
          </w:tcPr>
          <w:p>
            <w:pPr>
              <w:pStyle w:val="GesAbsatz"/>
              <w:jc w:val="center"/>
              <w:rPr>
                <w:sz w:val="18"/>
                <w:szCs w:val="18"/>
              </w:rPr>
            </w:pPr>
            <w:r>
              <w:rPr>
                <w:sz w:val="18"/>
                <w:szCs w:val="18"/>
              </w:rPr>
              <w:t>kg/m³</w:t>
            </w:r>
          </w:p>
        </w:tc>
        <w:tc>
          <w:tcPr>
            <w:tcW w:w="1033" w:type="dxa"/>
            <w:tcBorders>
              <w:bottom w:val="nil"/>
            </w:tcBorders>
            <w:shd w:val="clear" w:color="auto" w:fill="auto"/>
          </w:tcPr>
          <w:p>
            <w:pPr>
              <w:pStyle w:val="GesAbsatz"/>
              <w:jc w:val="center"/>
              <w:rPr>
                <w:sz w:val="18"/>
                <w:szCs w:val="18"/>
              </w:rPr>
            </w:pPr>
            <w:r>
              <w:rPr>
                <w:sz w:val="18"/>
                <w:szCs w:val="18"/>
              </w:rPr>
              <w:t>719,3</w:t>
            </w:r>
          </w:p>
        </w:tc>
        <w:tc>
          <w:tcPr>
            <w:tcW w:w="1094" w:type="dxa"/>
            <w:tcBorders>
              <w:bottom w:val="nil"/>
            </w:tcBorders>
            <w:shd w:val="clear" w:color="auto" w:fill="auto"/>
          </w:tcPr>
          <w:p>
            <w:pPr>
              <w:pStyle w:val="GesAbsatz"/>
              <w:jc w:val="center"/>
              <w:rPr>
                <w:sz w:val="18"/>
                <w:szCs w:val="18"/>
              </w:rPr>
            </w:pPr>
            <w:r>
              <w:rPr>
                <w:sz w:val="18"/>
                <w:szCs w:val="18"/>
              </w:rPr>
              <w:t>775,7</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tabs>
                <w:tab w:val="clear" w:pos="425"/>
                <w:tab w:val="right" w:pos="2586"/>
              </w:tabs>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ISO 12185:1997</w:t>
            </w:r>
          </w:p>
        </w:tc>
        <w:tc>
          <w:tcPr>
            <w:tcW w:w="1134" w:type="dxa"/>
            <w:tcBorders>
              <w:top w:val="nil"/>
              <w:bottom w:val="single" w:sz="4" w:space="0" w:color="auto"/>
            </w:tcBorders>
            <w:shd w:val="clear" w:color="auto" w:fill="auto"/>
          </w:tcPr>
          <w:p>
            <w:pPr>
              <w:pStyle w:val="GesAbsatz"/>
              <w:jc w:val="center"/>
              <w:rPr>
                <w:sz w:val="18"/>
                <w:szCs w:val="18"/>
              </w:rPr>
            </w:pPr>
            <w:r>
              <w:rPr>
                <w:sz w:val="18"/>
                <w:szCs w:val="18"/>
              </w:rPr>
              <w:t>kg/m³</w:t>
            </w: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719,7</w:t>
            </w: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775,3</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5</w:t>
            </w:r>
          </w:p>
        </w:tc>
        <w:tc>
          <w:tcPr>
            <w:tcW w:w="2977" w:type="dxa"/>
            <w:vMerge w:val="restart"/>
            <w:shd w:val="clear" w:color="auto" w:fill="auto"/>
          </w:tcPr>
          <w:p>
            <w:pPr>
              <w:pStyle w:val="GesAbsatz"/>
              <w:tabs>
                <w:tab w:val="clear" w:pos="425"/>
                <w:tab w:val="right" w:pos="2586"/>
              </w:tabs>
              <w:rPr>
                <w:sz w:val="18"/>
                <w:szCs w:val="18"/>
              </w:rPr>
            </w:pPr>
            <w:r>
              <w:rPr>
                <w:sz w:val="18"/>
                <w:szCs w:val="18"/>
              </w:rPr>
              <w:t>Schwefelgehalt („schwefelfrei“)</w:t>
            </w:r>
          </w:p>
        </w:tc>
        <w:tc>
          <w:tcPr>
            <w:tcW w:w="2267" w:type="dxa"/>
            <w:tcBorders>
              <w:bottom w:val="nil"/>
            </w:tcBorders>
            <w:shd w:val="clear" w:color="auto" w:fill="auto"/>
          </w:tcPr>
          <w:p>
            <w:pPr>
              <w:pStyle w:val="GesAbsatz"/>
              <w:rPr>
                <w:sz w:val="18"/>
                <w:szCs w:val="18"/>
              </w:rPr>
            </w:pPr>
            <w:r>
              <w:rPr>
                <w:sz w:val="18"/>
                <w:szCs w:val="18"/>
              </w:rPr>
              <w:t>DIN EN ISO 20846:2004</w:t>
            </w:r>
          </w:p>
        </w:tc>
        <w:tc>
          <w:tcPr>
            <w:tcW w:w="1134" w:type="dxa"/>
            <w:tcBorders>
              <w:bottom w:val="nil"/>
            </w:tcBorders>
            <w:shd w:val="clear" w:color="auto" w:fill="auto"/>
          </w:tcPr>
          <w:p>
            <w:pPr>
              <w:pStyle w:val="GesAbsatz"/>
              <w:jc w:val="center"/>
              <w:rPr>
                <w:sz w:val="18"/>
                <w:szCs w:val="18"/>
              </w:rPr>
            </w:pPr>
            <w:r>
              <w:rPr>
                <w:sz w:val="18"/>
                <w:szCs w:val="18"/>
              </w:rPr>
              <w:t>mg/kg</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11,6</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tabs>
                <w:tab w:val="clear" w:pos="425"/>
                <w:tab w:val="right" w:pos="2586"/>
              </w:tabs>
              <w:rPr>
                <w:sz w:val="18"/>
                <w:szCs w:val="18"/>
              </w:rPr>
            </w:pPr>
          </w:p>
        </w:tc>
        <w:tc>
          <w:tcPr>
            <w:tcW w:w="2267" w:type="dxa"/>
            <w:tcBorders>
              <w:top w:val="nil"/>
            </w:tcBorders>
            <w:shd w:val="clear" w:color="auto" w:fill="auto"/>
          </w:tcPr>
          <w:p>
            <w:pPr>
              <w:pStyle w:val="GesAbsatz"/>
              <w:rPr>
                <w:sz w:val="18"/>
                <w:szCs w:val="18"/>
              </w:rPr>
            </w:pPr>
            <w:r>
              <w:rPr>
                <w:sz w:val="18"/>
                <w:szCs w:val="18"/>
              </w:rPr>
              <w:t>DIN EN ISO 20884:2004</w:t>
            </w:r>
          </w:p>
        </w:tc>
        <w:tc>
          <w:tcPr>
            <w:tcW w:w="1134" w:type="dxa"/>
            <w:tcBorders>
              <w:top w:val="nil"/>
            </w:tcBorders>
            <w:shd w:val="clear" w:color="auto" w:fill="auto"/>
          </w:tcPr>
          <w:p>
            <w:pPr>
              <w:pStyle w:val="GesAbsatz"/>
              <w:jc w:val="center"/>
              <w:rPr>
                <w:sz w:val="18"/>
                <w:szCs w:val="18"/>
              </w:rPr>
            </w:pPr>
            <w:r>
              <w:rPr>
                <w:sz w:val="18"/>
                <w:szCs w:val="18"/>
              </w:rPr>
              <w:t>mg/kg</w:t>
            </w:r>
          </w:p>
        </w:tc>
        <w:tc>
          <w:tcPr>
            <w:tcW w:w="1033" w:type="dxa"/>
            <w:vMerge/>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11,8</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6</w:t>
            </w:r>
          </w:p>
        </w:tc>
        <w:tc>
          <w:tcPr>
            <w:tcW w:w="2977" w:type="dxa"/>
            <w:shd w:val="clear" w:color="auto" w:fill="auto"/>
          </w:tcPr>
          <w:p>
            <w:pPr>
              <w:pStyle w:val="GesAbsatz"/>
              <w:tabs>
                <w:tab w:val="clear" w:pos="425"/>
                <w:tab w:val="right" w:pos="2586"/>
              </w:tabs>
              <w:rPr>
                <w:sz w:val="18"/>
                <w:szCs w:val="18"/>
              </w:rPr>
            </w:pPr>
            <w:r>
              <w:rPr>
                <w:sz w:val="18"/>
                <w:szCs w:val="18"/>
              </w:rPr>
              <w:t>Oxidationsstabilität</w:t>
            </w:r>
          </w:p>
        </w:tc>
        <w:tc>
          <w:tcPr>
            <w:tcW w:w="2267" w:type="dxa"/>
            <w:shd w:val="clear" w:color="auto" w:fill="auto"/>
          </w:tcPr>
          <w:p>
            <w:pPr>
              <w:pStyle w:val="GesAbsatz"/>
              <w:rPr>
                <w:sz w:val="18"/>
                <w:szCs w:val="18"/>
              </w:rPr>
            </w:pPr>
            <w:r>
              <w:rPr>
                <w:sz w:val="18"/>
                <w:szCs w:val="18"/>
              </w:rPr>
              <w:t>DIN EN ISO 7536:1996</w:t>
            </w:r>
          </w:p>
        </w:tc>
        <w:tc>
          <w:tcPr>
            <w:tcW w:w="1134" w:type="dxa"/>
            <w:shd w:val="clear" w:color="auto" w:fill="auto"/>
          </w:tcPr>
          <w:p>
            <w:pPr>
              <w:pStyle w:val="GesAbsatz"/>
              <w:jc w:val="center"/>
              <w:rPr>
                <w:sz w:val="18"/>
                <w:szCs w:val="18"/>
              </w:rPr>
            </w:pPr>
            <w:r>
              <w:rPr>
                <w:sz w:val="18"/>
                <w:szCs w:val="18"/>
              </w:rPr>
              <w:t>min</w:t>
            </w:r>
          </w:p>
        </w:tc>
        <w:tc>
          <w:tcPr>
            <w:tcW w:w="1033" w:type="dxa"/>
            <w:shd w:val="clear" w:color="auto" w:fill="auto"/>
          </w:tcPr>
          <w:p>
            <w:pPr>
              <w:pStyle w:val="GesAbsatz"/>
              <w:jc w:val="center"/>
              <w:rPr>
                <w:sz w:val="18"/>
                <w:szCs w:val="18"/>
              </w:rPr>
            </w:pPr>
            <w:r>
              <w:rPr>
                <w:sz w:val="18"/>
                <w:szCs w:val="18"/>
              </w:rPr>
              <w:t>339</w:t>
            </w:r>
          </w:p>
        </w:tc>
        <w:tc>
          <w:tcPr>
            <w:tcW w:w="1094"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7</w:t>
            </w:r>
          </w:p>
        </w:tc>
        <w:tc>
          <w:tcPr>
            <w:tcW w:w="2977" w:type="dxa"/>
            <w:shd w:val="clear" w:color="auto" w:fill="auto"/>
          </w:tcPr>
          <w:p>
            <w:pPr>
              <w:pStyle w:val="GesAbsatz"/>
              <w:tabs>
                <w:tab w:val="clear" w:pos="425"/>
                <w:tab w:val="right" w:pos="2586"/>
              </w:tabs>
              <w:rPr>
                <w:sz w:val="18"/>
                <w:szCs w:val="18"/>
              </w:rPr>
            </w:pPr>
            <w:r>
              <w:rPr>
                <w:sz w:val="18"/>
                <w:szCs w:val="18"/>
              </w:rPr>
              <w:t>Abdampfrückstand (gewaschen)</w:t>
            </w:r>
          </w:p>
        </w:tc>
        <w:tc>
          <w:tcPr>
            <w:tcW w:w="2267" w:type="dxa"/>
            <w:shd w:val="clear" w:color="auto" w:fill="auto"/>
          </w:tcPr>
          <w:p>
            <w:pPr>
              <w:pStyle w:val="GesAbsatz"/>
              <w:rPr>
                <w:sz w:val="18"/>
                <w:szCs w:val="18"/>
              </w:rPr>
            </w:pPr>
            <w:r>
              <w:rPr>
                <w:sz w:val="18"/>
                <w:szCs w:val="18"/>
              </w:rPr>
              <w:t>DIN EN ISO 6246:1998</w:t>
            </w:r>
          </w:p>
        </w:tc>
        <w:tc>
          <w:tcPr>
            <w:tcW w:w="1134" w:type="dxa"/>
            <w:shd w:val="clear" w:color="auto" w:fill="auto"/>
          </w:tcPr>
          <w:p>
            <w:pPr>
              <w:pStyle w:val="GesAbsatz"/>
              <w:jc w:val="center"/>
              <w:rPr>
                <w:sz w:val="18"/>
                <w:szCs w:val="18"/>
              </w:rPr>
            </w:pPr>
            <w:r>
              <w:rPr>
                <w:sz w:val="18"/>
                <w:szCs w:val="18"/>
              </w:rPr>
              <w:t>mg/100 ml</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7,4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8</w:t>
            </w:r>
          </w:p>
        </w:tc>
        <w:tc>
          <w:tcPr>
            <w:tcW w:w="2977" w:type="dxa"/>
            <w:shd w:val="clear" w:color="auto" w:fill="auto"/>
          </w:tcPr>
          <w:p>
            <w:pPr>
              <w:pStyle w:val="GesAbsatz"/>
              <w:tabs>
                <w:tab w:val="clear" w:pos="425"/>
                <w:tab w:val="right" w:pos="2586"/>
              </w:tabs>
              <w:rPr>
                <w:sz w:val="18"/>
                <w:szCs w:val="18"/>
              </w:rPr>
            </w:pPr>
            <w:r>
              <w:rPr>
                <w:sz w:val="18"/>
                <w:szCs w:val="18"/>
              </w:rPr>
              <w:t>Korrosionswirkung auf Kupfer (3 h bei 50 °C)</w:t>
            </w:r>
          </w:p>
        </w:tc>
        <w:tc>
          <w:tcPr>
            <w:tcW w:w="2267" w:type="dxa"/>
            <w:shd w:val="clear" w:color="auto" w:fill="auto"/>
          </w:tcPr>
          <w:p>
            <w:pPr>
              <w:pStyle w:val="GesAbsatz"/>
              <w:rPr>
                <w:sz w:val="18"/>
                <w:szCs w:val="18"/>
              </w:rPr>
            </w:pPr>
            <w:r>
              <w:rPr>
                <w:sz w:val="18"/>
                <w:szCs w:val="18"/>
              </w:rPr>
              <w:t>DIN EN ISO 2160:1999</w:t>
            </w:r>
          </w:p>
        </w:tc>
        <w:tc>
          <w:tcPr>
            <w:tcW w:w="1134" w:type="dxa"/>
            <w:shd w:val="clear" w:color="auto" w:fill="auto"/>
          </w:tcPr>
          <w:p>
            <w:pPr>
              <w:pStyle w:val="GesAbsatz"/>
              <w:jc w:val="center"/>
              <w:rPr>
                <w:sz w:val="18"/>
                <w:szCs w:val="18"/>
              </w:rPr>
            </w:pPr>
            <w:r>
              <w:rPr>
                <w:sz w:val="18"/>
                <w:szCs w:val="18"/>
              </w:rPr>
              <w:t>Korros</w:t>
            </w:r>
            <w:r>
              <w:rPr>
                <w:sz w:val="18"/>
                <w:szCs w:val="18"/>
              </w:rPr>
              <w:t>i</w:t>
            </w:r>
            <w:r>
              <w:rPr>
                <w:sz w:val="18"/>
                <w:szCs w:val="18"/>
              </w:rPr>
              <w:t>onsgrad</w:t>
            </w:r>
          </w:p>
        </w:tc>
        <w:tc>
          <w:tcPr>
            <w:tcW w:w="2127" w:type="dxa"/>
            <w:gridSpan w:val="2"/>
            <w:shd w:val="clear" w:color="auto" w:fill="auto"/>
          </w:tcPr>
          <w:p>
            <w:pPr>
              <w:pStyle w:val="GesAbsatz"/>
              <w:jc w:val="center"/>
              <w:rPr>
                <w:sz w:val="18"/>
                <w:szCs w:val="18"/>
              </w:rPr>
            </w:pPr>
            <w:r>
              <w:rPr>
                <w:sz w:val="18"/>
                <w:szCs w:val="18"/>
              </w:rPr>
              <w:t>Klasse 1</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9</w:t>
            </w:r>
          </w:p>
        </w:tc>
        <w:tc>
          <w:tcPr>
            <w:tcW w:w="2977" w:type="dxa"/>
            <w:tcBorders>
              <w:bottom w:val="single" w:sz="4" w:space="0" w:color="auto"/>
            </w:tcBorders>
            <w:shd w:val="clear" w:color="auto" w:fill="auto"/>
          </w:tcPr>
          <w:p>
            <w:pPr>
              <w:pStyle w:val="GesAbsatz"/>
              <w:tabs>
                <w:tab w:val="clear" w:pos="425"/>
                <w:tab w:val="right" w:pos="2586"/>
              </w:tabs>
              <w:rPr>
                <w:sz w:val="18"/>
                <w:szCs w:val="18"/>
              </w:rPr>
            </w:pPr>
            <w:r>
              <w:rPr>
                <w:sz w:val="18"/>
                <w:szCs w:val="18"/>
              </w:rPr>
              <w:t>Aussehen</w:t>
            </w:r>
          </w:p>
        </w:tc>
        <w:tc>
          <w:tcPr>
            <w:tcW w:w="2267" w:type="dxa"/>
            <w:tcBorders>
              <w:bottom w:val="single" w:sz="4" w:space="0" w:color="auto"/>
            </w:tcBorders>
            <w:shd w:val="clear" w:color="auto" w:fill="auto"/>
          </w:tcPr>
          <w:p>
            <w:pPr>
              <w:pStyle w:val="GesAbsatz"/>
              <w:rPr>
                <w:sz w:val="18"/>
                <w:szCs w:val="18"/>
              </w:rPr>
            </w:pPr>
            <w:r>
              <w:rPr>
                <w:sz w:val="18"/>
                <w:szCs w:val="18"/>
              </w:rPr>
              <w:t>visuell</w:t>
            </w:r>
          </w:p>
        </w:tc>
        <w:tc>
          <w:tcPr>
            <w:tcW w:w="1134" w:type="dxa"/>
            <w:tcBorders>
              <w:bottom w:val="single" w:sz="4" w:space="0" w:color="auto"/>
            </w:tcBorders>
            <w:shd w:val="clear" w:color="auto" w:fill="auto"/>
          </w:tcPr>
          <w:p>
            <w:pPr>
              <w:pStyle w:val="GesAbsatz"/>
              <w:jc w:val="center"/>
              <w:rPr>
                <w:sz w:val="18"/>
                <w:szCs w:val="18"/>
              </w:rPr>
            </w:pPr>
            <w:r>
              <w:rPr>
                <w:sz w:val="18"/>
                <w:szCs w:val="18"/>
              </w:rPr>
              <w:t>–</w:t>
            </w:r>
          </w:p>
        </w:tc>
        <w:tc>
          <w:tcPr>
            <w:tcW w:w="2127" w:type="dxa"/>
            <w:gridSpan w:val="2"/>
            <w:tcBorders>
              <w:bottom w:val="single" w:sz="4" w:space="0" w:color="auto"/>
            </w:tcBorders>
            <w:shd w:val="clear" w:color="auto" w:fill="auto"/>
          </w:tcPr>
          <w:p>
            <w:pPr>
              <w:pStyle w:val="GesAbsatz"/>
              <w:jc w:val="center"/>
              <w:rPr>
                <w:sz w:val="18"/>
                <w:szCs w:val="18"/>
              </w:rPr>
            </w:pPr>
            <w:r>
              <w:rPr>
                <w:sz w:val="18"/>
                <w:szCs w:val="18"/>
              </w:rPr>
              <w:t>klar und trübung</w:t>
            </w:r>
            <w:r>
              <w:rPr>
                <w:sz w:val="18"/>
                <w:szCs w:val="18"/>
              </w:rPr>
              <w:t>s</w:t>
            </w:r>
            <w:r>
              <w:rPr>
                <w:sz w:val="18"/>
                <w:szCs w:val="18"/>
              </w:rPr>
              <w:t>frei</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10</w:t>
            </w:r>
          </w:p>
        </w:tc>
        <w:tc>
          <w:tcPr>
            <w:tcW w:w="2977" w:type="dxa"/>
            <w:tcBorders>
              <w:bottom w:val="nil"/>
            </w:tcBorders>
            <w:shd w:val="clear" w:color="auto" w:fill="auto"/>
          </w:tcPr>
          <w:p>
            <w:pPr>
              <w:pStyle w:val="GesAbsatz"/>
              <w:tabs>
                <w:tab w:val="clear" w:pos="425"/>
                <w:tab w:val="right" w:pos="2586"/>
              </w:tabs>
              <w:rPr>
                <w:sz w:val="18"/>
                <w:szCs w:val="18"/>
              </w:rPr>
            </w:pPr>
            <w:r>
              <w:rPr>
                <w:sz w:val="18"/>
                <w:szCs w:val="18"/>
              </w:rPr>
              <w:t>Gehalt an Kohlenwasserstoff-Gruppen</w:t>
            </w:r>
            <w:r>
              <w:rPr>
                <w:sz w:val="18"/>
                <w:szCs w:val="18"/>
                <w:vertAlign w:val="superscript"/>
              </w:rPr>
              <w:t>c)</w:t>
            </w:r>
          </w:p>
        </w:tc>
        <w:tc>
          <w:tcPr>
            <w:tcW w:w="2267" w:type="dxa"/>
            <w:vMerge w:val="restart"/>
            <w:tcBorders>
              <w:bottom w:val="nil"/>
            </w:tcBorders>
            <w:shd w:val="clear" w:color="auto" w:fill="auto"/>
          </w:tcPr>
          <w:p>
            <w:pPr>
              <w:pStyle w:val="GesAbsatz"/>
              <w:rPr>
                <w:sz w:val="18"/>
                <w:szCs w:val="18"/>
              </w:rPr>
            </w:pPr>
            <w:r>
              <w:rPr>
                <w:sz w:val="18"/>
                <w:szCs w:val="18"/>
              </w:rPr>
              <w:t>DIN EN 14517:2004</w:t>
            </w:r>
          </w:p>
        </w:tc>
        <w:tc>
          <w:tcPr>
            <w:tcW w:w="1134" w:type="dxa"/>
            <w:vMerge w:val="restart"/>
            <w:tcBorders>
              <w:bottom w:val="nil"/>
            </w:tcBorders>
            <w:shd w:val="clear" w:color="auto" w:fill="auto"/>
          </w:tcPr>
          <w:p>
            <w:pPr>
              <w:pStyle w:val="GesAbsatz"/>
              <w:jc w:val="center"/>
              <w:rPr>
                <w:sz w:val="18"/>
                <w:szCs w:val="18"/>
              </w:rPr>
            </w:pPr>
            <w:r>
              <w:rPr>
                <w:sz w:val="18"/>
                <w:szCs w:val="18"/>
              </w:rPr>
              <w:t>% (V/V)</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6"/>
              </w:tabs>
              <w:rPr>
                <w:sz w:val="18"/>
                <w:szCs w:val="18"/>
              </w:rPr>
            </w:pPr>
            <w:r>
              <w:rPr>
                <w:sz w:val="18"/>
                <w:szCs w:val="18"/>
              </w:rPr>
              <w:t>– Olefine</w:t>
            </w:r>
            <w:r>
              <w:rPr>
                <w:sz w:val="18"/>
                <w:szCs w:val="18"/>
              </w:rPr>
              <w:tab/>
              <w:t>alle Qualitäten</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19,5</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6"/>
              </w:tabs>
              <w:rPr>
                <w:sz w:val="18"/>
                <w:szCs w:val="18"/>
              </w:rPr>
            </w:pPr>
            <w:r>
              <w:rPr>
                <w:sz w:val="18"/>
                <w:szCs w:val="18"/>
              </w:rPr>
              <w:t>– Aromaten</w:t>
            </w:r>
            <w:r>
              <w:rPr>
                <w:sz w:val="18"/>
                <w:szCs w:val="18"/>
              </w:rPr>
              <w:tab/>
              <w:t>alle Qualitäten</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36,0</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6"/>
              </w:tabs>
              <w:rPr>
                <w:sz w:val="18"/>
                <w:szCs w:val="18"/>
              </w:rPr>
            </w:pPr>
            <w:r>
              <w:rPr>
                <w:sz w:val="18"/>
                <w:szCs w:val="18"/>
              </w:rPr>
              <w:t>– Olefine</w:t>
            </w:r>
            <w:r>
              <w:rPr>
                <w:sz w:val="18"/>
                <w:szCs w:val="18"/>
              </w:rPr>
              <w:tab/>
              <w:t>alle Qualitäten</w:t>
            </w:r>
          </w:p>
        </w:tc>
        <w:tc>
          <w:tcPr>
            <w:tcW w:w="2267" w:type="dxa"/>
            <w:vMerge w:val="restart"/>
            <w:tcBorders>
              <w:top w:val="nil"/>
              <w:bottom w:val="nil"/>
            </w:tcBorders>
            <w:shd w:val="clear" w:color="auto" w:fill="auto"/>
          </w:tcPr>
          <w:p>
            <w:pPr>
              <w:pStyle w:val="GesAbsatz"/>
              <w:rPr>
                <w:sz w:val="18"/>
                <w:szCs w:val="18"/>
              </w:rPr>
            </w:pPr>
            <w:r>
              <w:rPr>
                <w:sz w:val="18"/>
                <w:szCs w:val="18"/>
              </w:rPr>
              <w:t>DIN EN 15553:2007</w:t>
            </w:r>
          </w:p>
        </w:tc>
        <w:tc>
          <w:tcPr>
            <w:tcW w:w="1134" w:type="dxa"/>
            <w:vMerge w:val="restart"/>
            <w:tcBorders>
              <w:top w:val="nil"/>
              <w:bottom w:val="nil"/>
            </w:tcBorders>
            <w:shd w:val="clear" w:color="auto" w:fill="auto"/>
          </w:tcPr>
          <w:p>
            <w:pPr>
              <w:pStyle w:val="GesAbsatz"/>
              <w:jc w:val="center"/>
              <w:rPr>
                <w:sz w:val="18"/>
                <w:szCs w:val="18"/>
              </w:rPr>
            </w:pPr>
            <w:r>
              <w:rPr>
                <w:sz w:val="18"/>
                <w:szCs w:val="18"/>
              </w:rPr>
              <w:t>% (V/V)</w:t>
            </w: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20,7</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tabs>
                <w:tab w:val="clear" w:pos="425"/>
                <w:tab w:val="right" w:pos="2586"/>
              </w:tabs>
              <w:rPr>
                <w:sz w:val="18"/>
                <w:szCs w:val="18"/>
              </w:rPr>
            </w:pPr>
            <w:r>
              <w:rPr>
                <w:sz w:val="18"/>
                <w:szCs w:val="18"/>
              </w:rPr>
              <w:t>– Aromaten</w:t>
            </w:r>
            <w:r>
              <w:rPr>
                <w:sz w:val="18"/>
                <w:szCs w:val="18"/>
              </w:rPr>
              <w:tab/>
              <w:t>alle Qualitäten</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37,2</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11</w:t>
            </w:r>
          </w:p>
        </w:tc>
        <w:tc>
          <w:tcPr>
            <w:tcW w:w="2977" w:type="dxa"/>
            <w:vMerge w:val="restart"/>
            <w:shd w:val="clear" w:color="auto" w:fill="auto"/>
          </w:tcPr>
          <w:p>
            <w:pPr>
              <w:pStyle w:val="GesAbsatz"/>
              <w:tabs>
                <w:tab w:val="clear" w:pos="425"/>
                <w:tab w:val="right" w:pos="2586"/>
              </w:tabs>
              <w:rPr>
                <w:sz w:val="18"/>
                <w:szCs w:val="18"/>
              </w:rPr>
            </w:pPr>
            <w:r>
              <w:rPr>
                <w:sz w:val="18"/>
                <w:szCs w:val="18"/>
              </w:rPr>
              <w:t>Benzolgehalt</w:t>
            </w:r>
            <w:r>
              <w:rPr>
                <w:sz w:val="18"/>
                <w:szCs w:val="18"/>
                <w:vertAlign w:val="superscript"/>
              </w:rPr>
              <w:t>d)</w:t>
            </w:r>
          </w:p>
        </w:tc>
        <w:tc>
          <w:tcPr>
            <w:tcW w:w="2267" w:type="dxa"/>
            <w:tcBorders>
              <w:bottom w:val="nil"/>
            </w:tcBorders>
            <w:shd w:val="clear" w:color="auto" w:fill="auto"/>
          </w:tcPr>
          <w:p>
            <w:pPr>
              <w:pStyle w:val="GesAbsatz"/>
              <w:rPr>
                <w:sz w:val="18"/>
                <w:szCs w:val="18"/>
              </w:rPr>
            </w:pPr>
            <w:r>
              <w:rPr>
                <w:sz w:val="18"/>
                <w:szCs w:val="18"/>
              </w:rPr>
              <w:t>DIN EN 238:2004</w:t>
            </w:r>
          </w:p>
        </w:tc>
        <w:tc>
          <w:tcPr>
            <w:tcW w:w="1134" w:type="dxa"/>
            <w:vMerge w:val="restart"/>
            <w:tcBorders>
              <w:bottom w:val="nil"/>
            </w:tcBorders>
            <w:shd w:val="clear" w:color="auto" w:fill="auto"/>
          </w:tcPr>
          <w:p>
            <w:pPr>
              <w:pStyle w:val="GesAbsatz"/>
              <w:jc w:val="center"/>
              <w:rPr>
                <w:sz w:val="18"/>
                <w:szCs w:val="18"/>
              </w:rPr>
            </w:pPr>
            <w:r>
              <w:rPr>
                <w:sz w:val="18"/>
                <w:szCs w:val="18"/>
              </w:rPr>
              <w:t>% (V/V)</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1,10</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tabs>
                <w:tab w:val="clear" w:pos="425"/>
                <w:tab w:val="right" w:pos="2586"/>
              </w:tabs>
              <w:rPr>
                <w:sz w:val="18"/>
                <w:szCs w:val="18"/>
              </w:rPr>
            </w:pPr>
          </w:p>
        </w:tc>
        <w:tc>
          <w:tcPr>
            <w:tcW w:w="2267" w:type="dxa"/>
            <w:tcBorders>
              <w:top w:val="nil"/>
              <w:bottom w:val="nil"/>
            </w:tcBorders>
            <w:shd w:val="clear" w:color="auto" w:fill="auto"/>
          </w:tcPr>
          <w:p>
            <w:pPr>
              <w:pStyle w:val="GesAbsatz"/>
              <w:rPr>
                <w:sz w:val="18"/>
                <w:szCs w:val="18"/>
              </w:rPr>
            </w:pPr>
            <w:r>
              <w:rPr>
                <w:sz w:val="18"/>
                <w:szCs w:val="18"/>
              </w:rPr>
              <w:t>DIN EN 12177:1998</w:t>
            </w: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1,06</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tabs>
                <w:tab w:val="clear" w:pos="425"/>
                <w:tab w:val="right" w:pos="2586"/>
              </w:tabs>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14517:2004</w:t>
            </w:r>
            <w:r>
              <w:rPr>
                <w:sz w:val="18"/>
                <w:szCs w:val="18"/>
                <w:vertAlign w:val="superscript"/>
              </w:rPr>
              <w:t>c)</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1,03</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12</w:t>
            </w:r>
          </w:p>
        </w:tc>
        <w:tc>
          <w:tcPr>
            <w:tcW w:w="2977" w:type="dxa"/>
            <w:vMerge w:val="restart"/>
            <w:shd w:val="clear" w:color="auto" w:fill="auto"/>
          </w:tcPr>
          <w:p>
            <w:pPr>
              <w:pStyle w:val="GesAbsatz"/>
              <w:tabs>
                <w:tab w:val="clear" w:pos="425"/>
                <w:tab w:val="right" w:pos="2586"/>
              </w:tabs>
              <w:rPr>
                <w:sz w:val="18"/>
                <w:szCs w:val="18"/>
              </w:rPr>
            </w:pPr>
            <w:r>
              <w:rPr>
                <w:sz w:val="18"/>
                <w:szCs w:val="18"/>
              </w:rPr>
              <w:t>Sauerstoffgehalt</w:t>
            </w:r>
            <w:r>
              <w:rPr>
                <w:sz w:val="18"/>
                <w:szCs w:val="18"/>
                <w:vertAlign w:val="superscript"/>
              </w:rPr>
              <w:t>d)</w:t>
            </w:r>
          </w:p>
        </w:tc>
        <w:tc>
          <w:tcPr>
            <w:tcW w:w="2267" w:type="dxa"/>
            <w:tcBorders>
              <w:bottom w:val="nil"/>
            </w:tcBorders>
            <w:shd w:val="clear" w:color="auto" w:fill="auto"/>
          </w:tcPr>
          <w:p>
            <w:pPr>
              <w:pStyle w:val="GesAbsatz"/>
              <w:rPr>
                <w:sz w:val="18"/>
                <w:szCs w:val="18"/>
              </w:rPr>
            </w:pPr>
            <w:r>
              <w:rPr>
                <w:sz w:val="18"/>
                <w:szCs w:val="18"/>
              </w:rPr>
              <w:t>DIN EN 1601:1997</w:t>
            </w:r>
          </w:p>
        </w:tc>
        <w:tc>
          <w:tcPr>
            <w:tcW w:w="1134" w:type="dxa"/>
            <w:vMerge w:val="restart"/>
            <w:tcBorders>
              <w:bottom w:val="nil"/>
            </w:tcBorders>
            <w:shd w:val="clear" w:color="auto" w:fill="auto"/>
          </w:tcPr>
          <w:p>
            <w:pPr>
              <w:pStyle w:val="GesAbsatz"/>
              <w:jc w:val="center"/>
              <w:rPr>
                <w:sz w:val="18"/>
                <w:szCs w:val="18"/>
              </w:rPr>
            </w:pPr>
            <w:r>
              <w:rPr>
                <w:sz w:val="18"/>
                <w:szCs w:val="18"/>
              </w:rPr>
              <w:t>% (m/m)</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2,88</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tabs>
                <w:tab w:val="clear" w:pos="425"/>
                <w:tab w:val="right" w:pos="2586"/>
              </w:tabs>
              <w:rPr>
                <w:sz w:val="18"/>
                <w:szCs w:val="18"/>
              </w:rPr>
            </w:pPr>
          </w:p>
        </w:tc>
        <w:tc>
          <w:tcPr>
            <w:tcW w:w="2267" w:type="dxa"/>
            <w:tcBorders>
              <w:top w:val="nil"/>
              <w:bottom w:val="nil"/>
            </w:tcBorders>
            <w:shd w:val="clear" w:color="auto" w:fill="auto"/>
          </w:tcPr>
          <w:p>
            <w:pPr>
              <w:pStyle w:val="GesAbsatz"/>
              <w:rPr>
                <w:sz w:val="18"/>
                <w:szCs w:val="18"/>
              </w:rPr>
            </w:pPr>
            <w:r>
              <w:rPr>
                <w:sz w:val="18"/>
                <w:szCs w:val="18"/>
              </w:rPr>
              <w:t>DIN EN 13132:2002</w:t>
            </w: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2,88</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tcBorders>
              <w:bottom w:val="single" w:sz="4" w:space="0" w:color="auto"/>
            </w:tcBorders>
            <w:shd w:val="clear" w:color="auto" w:fill="auto"/>
          </w:tcPr>
          <w:p>
            <w:pPr>
              <w:pStyle w:val="GesAbsatz"/>
              <w:tabs>
                <w:tab w:val="clear" w:pos="425"/>
                <w:tab w:val="right" w:pos="2586"/>
              </w:tabs>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14517:2004c)</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2,88</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13</w:t>
            </w:r>
          </w:p>
        </w:tc>
        <w:tc>
          <w:tcPr>
            <w:tcW w:w="2977" w:type="dxa"/>
            <w:tcBorders>
              <w:bottom w:val="nil"/>
            </w:tcBorders>
            <w:shd w:val="clear" w:color="auto" w:fill="auto"/>
          </w:tcPr>
          <w:p>
            <w:pPr>
              <w:pStyle w:val="GesAbsatz"/>
              <w:rPr>
                <w:sz w:val="18"/>
                <w:szCs w:val="18"/>
              </w:rPr>
            </w:pPr>
            <w:r>
              <w:rPr>
                <w:sz w:val="18"/>
                <w:szCs w:val="18"/>
              </w:rPr>
              <w:t>Gehalt an sauerstoffhaltigen o</w:t>
            </w:r>
            <w:r>
              <w:rPr>
                <w:sz w:val="18"/>
                <w:szCs w:val="18"/>
              </w:rPr>
              <w:t>r</w:t>
            </w:r>
            <w:r>
              <w:rPr>
                <w:sz w:val="18"/>
                <w:szCs w:val="18"/>
              </w:rPr>
              <w:t>ganischen Verbindungen</w:t>
            </w:r>
            <w:r>
              <w:rPr>
                <w:sz w:val="18"/>
                <w:szCs w:val="18"/>
                <w:vertAlign w:val="superscript"/>
              </w:rPr>
              <w:t>d)</w:t>
            </w:r>
          </w:p>
        </w:tc>
        <w:tc>
          <w:tcPr>
            <w:tcW w:w="2267" w:type="dxa"/>
            <w:tcBorders>
              <w:bottom w:val="nil"/>
            </w:tcBorders>
            <w:shd w:val="clear" w:color="auto" w:fill="auto"/>
          </w:tcPr>
          <w:p>
            <w:pPr>
              <w:pStyle w:val="GesAbsatz"/>
              <w:rPr>
                <w:sz w:val="18"/>
                <w:szCs w:val="18"/>
              </w:rPr>
            </w:pPr>
            <w:r>
              <w:rPr>
                <w:sz w:val="18"/>
                <w:szCs w:val="18"/>
              </w:rPr>
              <w:t>DIN EN 1601:1997/</w:t>
            </w:r>
          </w:p>
        </w:tc>
        <w:tc>
          <w:tcPr>
            <w:tcW w:w="1134" w:type="dxa"/>
            <w:tcBorders>
              <w:bottom w:val="nil"/>
            </w:tcBorders>
            <w:shd w:val="clear" w:color="auto" w:fill="auto"/>
          </w:tcPr>
          <w:p>
            <w:pPr>
              <w:pStyle w:val="GesAbsatz"/>
              <w:jc w:val="center"/>
              <w:rPr>
                <w:sz w:val="18"/>
                <w:szCs w:val="18"/>
              </w:rPr>
            </w:pPr>
            <w:r>
              <w:rPr>
                <w:sz w:val="18"/>
                <w:szCs w:val="18"/>
              </w:rPr>
              <w:t>% (V/V)</w:t>
            </w: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Methanol (Stabilisierungsmittel müssen verwendet werden)</w:t>
            </w:r>
          </w:p>
        </w:tc>
        <w:tc>
          <w:tcPr>
            <w:tcW w:w="2267" w:type="dxa"/>
            <w:tcBorders>
              <w:top w:val="nil"/>
              <w:bottom w:val="nil"/>
            </w:tcBorders>
            <w:shd w:val="clear" w:color="auto" w:fill="auto"/>
          </w:tcPr>
          <w:p>
            <w:pPr>
              <w:pStyle w:val="GesAbsatz"/>
              <w:rPr>
                <w:sz w:val="18"/>
                <w:szCs w:val="18"/>
              </w:rPr>
            </w:pPr>
            <w:r>
              <w:rPr>
                <w:sz w:val="18"/>
                <w:szCs w:val="18"/>
              </w:rPr>
              <w:t>DIN EN 13132:2002/</w:t>
            </w:r>
          </w:p>
        </w:tc>
        <w:tc>
          <w:tcPr>
            <w:tcW w:w="1134" w:type="dxa"/>
            <w:vMerge w:val="restart"/>
            <w:tcBorders>
              <w:top w:val="nil"/>
              <w:bottom w:val="nil"/>
            </w:tcBorders>
            <w:shd w:val="clear" w:color="auto" w:fill="auto"/>
          </w:tcPr>
          <w:p>
            <w:pPr>
              <w:pStyle w:val="GesAbsatz"/>
              <w:jc w:val="center"/>
              <w:rPr>
                <w:sz w:val="18"/>
                <w:szCs w:val="18"/>
              </w:rPr>
            </w:pPr>
          </w:p>
        </w:tc>
        <w:tc>
          <w:tcPr>
            <w:tcW w:w="1033" w:type="dxa"/>
            <w:vMerge w:val="restart"/>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3,2/3,2/3,3</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Ethanol (Stabilisierungsmittel können notwendig sein)</w:t>
            </w:r>
          </w:p>
        </w:tc>
        <w:tc>
          <w:tcPr>
            <w:tcW w:w="2267" w:type="dxa"/>
            <w:vMerge w:val="restart"/>
            <w:tcBorders>
              <w:top w:val="nil"/>
              <w:bottom w:val="nil"/>
            </w:tcBorders>
            <w:shd w:val="clear" w:color="auto" w:fill="auto"/>
          </w:tcPr>
          <w:p>
            <w:pPr>
              <w:pStyle w:val="GesAbsatz"/>
              <w:rPr>
                <w:sz w:val="18"/>
                <w:szCs w:val="18"/>
              </w:rPr>
            </w:pPr>
            <w:r>
              <w:rPr>
                <w:sz w:val="18"/>
                <w:szCs w:val="18"/>
              </w:rPr>
              <w:t>DIN EN 14517:2004</w:t>
            </w: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5,2/5,2/5,3</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2-Propanol, Iso-propyl-Alkohol (IPA)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10,5/10,5/10,4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2-Methyl-1-propanol, Isobutyl-Alkohol (IBA)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10,5/10,5/10,4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2-Methyl-2-propanol, t-Butyl-Alkohol (TBA)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7,3/7,3/7,3</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Ether (5 oder mehr C-Atome)</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15,6/15,6/15,4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rPr>
                <w:sz w:val="18"/>
                <w:szCs w:val="18"/>
              </w:rPr>
            </w:pPr>
            <w:r>
              <w:rPr>
                <w:sz w:val="18"/>
                <w:szCs w:val="18"/>
              </w:rPr>
              <w:t>– andere sauerstoffhaltige organ</w:t>
            </w:r>
            <w:r>
              <w:rPr>
                <w:sz w:val="18"/>
                <w:szCs w:val="18"/>
              </w:rPr>
              <w:t>i</w:t>
            </w:r>
            <w:r>
              <w:rPr>
                <w:sz w:val="18"/>
                <w:szCs w:val="18"/>
              </w:rPr>
              <w:t>sche Verbindungen</w:t>
            </w:r>
            <w:r>
              <w:rPr>
                <w:sz w:val="18"/>
                <w:szCs w:val="18"/>
                <w:vertAlign w:val="superscript"/>
              </w:rPr>
              <w:t>e)</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10,5/10,5/10,4</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14</w:t>
            </w:r>
          </w:p>
        </w:tc>
        <w:tc>
          <w:tcPr>
            <w:tcW w:w="2977" w:type="dxa"/>
            <w:tcBorders>
              <w:bottom w:val="nil"/>
            </w:tcBorders>
            <w:shd w:val="clear" w:color="auto" w:fill="auto"/>
          </w:tcPr>
          <w:p>
            <w:pPr>
              <w:pStyle w:val="GesAbsatz"/>
              <w:rPr>
                <w:sz w:val="18"/>
                <w:szCs w:val="18"/>
              </w:rPr>
            </w:pPr>
            <w:r>
              <w:rPr>
                <w:sz w:val="18"/>
                <w:szCs w:val="18"/>
              </w:rPr>
              <w:t>Dampfdruck (DVPE)</w:t>
            </w:r>
          </w:p>
        </w:tc>
        <w:tc>
          <w:tcPr>
            <w:tcW w:w="2267" w:type="dxa"/>
            <w:tcBorders>
              <w:bottom w:val="nil"/>
            </w:tcBorders>
            <w:shd w:val="clear" w:color="auto" w:fill="auto"/>
          </w:tcPr>
          <w:p>
            <w:pPr>
              <w:pStyle w:val="GesAbsatz"/>
              <w:rPr>
                <w:sz w:val="18"/>
                <w:szCs w:val="18"/>
              </w:rPr>
            </w:pPr>
            <w:r>
              <w:rPr>
                <w:sz w:val="18"/>
                <w:szCs w:val="18"/>
              </w:rPr>
              <w:t>DIN EN 13016-1:2007</w:t>
            </w:r>
          </w:p>
        </w:tc>
        <w:tc>
          <w:tcPr>
            <w:tcW w:w="1134" w:type="dxa"/>
            <w:tcBorders>
              <w:bottom w:val="nil"/>
            </w:tcBorders>
            <w:shd w:val="clear" w:color="auto" w:fill="auto"/>
          </w:tcPr>
          <w:p>
            <w:pPr>
              <w:pStyle w:val="GesAbsatz"/>
              <w:jc w:val="center"/>
              <w:rPr>
                <w:sz w:val="18"/>
                <w:szCs w:val="18"/>
              </w:rPr>
            </w:pPr>
            <w:r>
              <w:rPr>
                <w:sz w:val="18"/>
                <w:szCs w:val="18"/>
              </w:rPr>
              <w:t>kPa</w:t>
            </w: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tcBorders>
              <w:top w:val="nil"/>
              <w:bottom w:val="nil"/>
            </w:tcBorders>
            <w:shd w:val="clear" w:color="auto" w:fill="auto"/>
          </w:tcPr>
          <w:p>
            <w:pPr>
              <w:pStyle w:val="GesAbsatz"/>
              <w:rPr>
                <w:sz w:val="18"/>
                <w:szCs w:val="18"/>
              </w:rPr>
            </w:pPr>
            <w:r>
              <w:rPr>
                <w:sz w:val="18"/>
                <w:szCs w:val="18"/>
              </w:rPr>
              <w:t>1 Liter</w:t>
            </w:r>
          </w:p>
        </w:tc>
        <w:tc>
          <w:tcPr>
            <w:tcW w:w="1134" w:type="dxa"/>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43,8</w:t>
            </w:r>
          </w:p>
        </w:tc>
        <w:tc>
          <w:tcPr>
            <w:tcW w:w="1094" w:type="dxa"/>
            <w:tcBorders>
              <w:top w:val="nil"/>
              <w:bottom w:val="nil"/>
            </w:tcBorders>
            <w:shd w:val="clear" w:color="auto" w:fill="auto"/>
          </w:tcPr>
          <w:p>
            <w:pPr>
              <w:pStyle w:val="GesAbsatz"/>
              <w:jc w:val="center"/>
              <w:rPr>
                <w:sz w:val="18"/>
                <w:szCs w:val="18"/>
              </w:rPr>
            </w:pPr>
            <w:r>
              <w:rPr>
                <w:sz w:val="18"/>
                <w:szCs w:val="18"/>
              </w:rPr>
              <w:t>61,3</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250 ml</w:t>
            </w:r>
          </w:p>
        </w:tc>
        <w:tc>
          <w:tcPr>
            <w:tcW w:w="1134" w:type="dxa"/>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43,4</w:t>
            </w:r>
          </w:p>
        </w:tc>
        <w:tc>
          <w:tcPr>
            <w:tcW w:w="1094" w:type="dxa"/>
            <w:tcBorders>
              <w:top w:val="nil"/>
              <w:bottom w:val="nil"/>
            </w:tcBorders>
            <w:shd w:val="clear" w:color="auto" w:fill="auto"/>
          </w:tcPr>
          <w:p>
            <w:pPr>
              <w:pStyle w:val="GesAbsatz"/>
              <w:jc w:val="center"/>
              <w:rPr>
                <w:sz w:val="18"/>
                <w:szCs w:val="18"/>
              </w:rPr>
            </w:pPr>
            <w:r>
              <w:rPr>
                <w:sz w:val="18"/>
                <w:szCs w:val="18"/>
              </w:rPr>
              <w:t>61,6</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tcBorders>
              <w:top w:val="nil"/>
              <w:bottom w:val="nil"/>
            </w:tcBorders>
            <w:shd w:val="clear" w:color="auto" w:fill="auto"/>
          </w:tcPr>
          <w:p>
            <w:pPr>
              <w:pStyle w:val="GesAbsatz"/>
              <w:rPr>
                <w:sz w:val="18"/>
                <w:szCs w:val="18"/>
              </w:rPr>
            </w:pPr>
            <w:r>
              <w:rPr>
                <w:sz w:val="18"/>
                <w:szCs w:val="18"/>
              </w:rPr>
              <w:t>1 Liter</w:t>
            </w:r>
          </w:p>
        </w:tc>
        <w:tc>
          <w:tcPr>
            <w:tcW w:w="1134" w:type="dxa"/>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58,7</w:t>
            </w:r>
          </w:p>
        </w:tc>
        <w:tc>
          <w:tcPr>
            <w:tcW w:w="1094" w:type="dxa"/>
            <w:tcBorders>
              <w:top w:val="nil"/>
              <w:bottom w:val="nil"/>
            </w:tcBorders>
            <w:shd w:val="clear" w:color="auto" w:fill="auto"/>
          </w:tcPr>
          <w:p>
            <w:pPr>
              <w:pStyle w:val="GesAbsatz"/>
              <w:jc w:val="center"/>
              <w:rPr>
                <w:sz w:val="18"/>
                <w:szCs w:val="18"/>
              </w:rPr>
            </w:pPr>
            <w:r>
              <w:rPr>
                <w:sz w:val="18"/>
                <w:szCs w:val="18"/>
              </w:rPr>
              <w:t>91,5</w:t>
            </w:r>
          </w:p>
        </w:tc>
        <w:tc>
          <w:tcPr>
            <w:tcW w:w="911" w:type="dxa"/>
            <w:vMerge/>
            <w:tcBorders>
              <w:bottom w:val="nil"/>
            </w:tcBorders>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250 ml</w:t>
            </w:r>
          </w:p>
        </w:tc>
        <w:tc>
          <w:tcPr>
            <w:tcW w:w="1134" w:type="dxa"/>
            <w:tcBorders>
              <w:top w:val="nil"/>
              <w:bottom w:val="single" w:sz="4" w:space="0" w:color="auto"/>
            </w:tcBorders>
            <w:shd w:val="clear" w:color="auto" w:fill="auto"/>
          </w:tcPr>
          <w:p>
            <w:pPr>
              <w:pStyle w:val="GesAbsatz"/>
              <w:jc w:val="center"/>
              <w:rPr>
                <w:sz w:val="18"/>
                <w:szCs w:val="18"/>
              </w:rPr>
            </w:pP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58,4</w:t>
            </w: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91,6</w:t>
            </w:r>
          </w:p>
        </w:tc>
        <w:tc>
          <w:tcPr>
            <w:tcW w:w="911" w:type="dxa"/>
            <w:tcBorders>
              <w:top w:val="nil"/>
            </w:tcBorders>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15</w:t>
            </w:r>
          </w:p>
        </w:tc>
        <w:tc>
          <w:tcPr>
            <w:tcW w:w="2977" w:type="dxa"/>
            <w:tcBorders>
              <w:bottom w:val="nil"/>
            </w:tcBorders>
            <w:shd w:val="clear" w:color="auto" w:fill="auto"/>
          </w:tcPr>
          <w:p>
            <w:pPr>
              <w:pStyle w:val="GesAbsatz"/>
              <w:rPr>
                <w:sz w:val="18"/>
                <w:szCs w:val="18"/>
              </w:rPr>
            </w:pPr>
            <w:r>
              <w:rPr>
                <w:sz w:val="18"/>
                <w:szCs w:val="18"/>
              </w:rPr>
              <w:t>Destillation</w:t>
            </w:r>
          </w:p>
        </w:tc>
        <w:tc>
          <w:tcPr>
            <w:tcW w:w="2267" w:type="dxa"/>
            <w:vMerge w:val="restart"/>
            <w:tcBorders>
              <w:bottom w:val="nil"/>
            </w:tcBorders>
            <w:shd w:val="clear" w:color="auto" w:fill="auto"/>
          </w:tcPr>
          <w:p>
            <w:pPr>
              <w:pStyle w:val="GesAbsatz"/>
              <w:rPr>
                <w:sz w:val="18"/>
                <w:szCs w:val="18"/>
              </w:rPr>
            </w:pPr>
            <w:r>
              <w:rPr>
                <w:sz w:val="18"/>
                <w:szCs w:val="18"/>
              </w:rPr>
              <w:t>DIN EN ISO 3405:2001</w:t>
            </w:r>
          </w:p>
        </w:tc>
        <w:tc>
          <w:tcPr>
            <w:tcW w:w="1134" w:type="dxa"/>
            <w:tcBorders>
              <w:bottom w:val="nil"/>
            </w:tcBorders>
            <w:shd w:val="clear" w:color="auto" w:fill="auto"/>
          </w:tcPr>
          <w:p>
            <w:pPr>
              <w:pStyle w:val="GesAbsatz"/>
              <w:jc w:val="center"/>
              <w:rPr>
                <w:sz w:val="18"/>
                <w:szCs w:val="18"/>
              </w:rPr>
            </w:pP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70 °C (E70)</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16,5</w:t>
            </w:r>
          </w:p>
        </w:tc>
        <w:tc>
          <w:tcPr>
            <w:tcW w:w="1094" w:type="dxa"/>
            <w:tcBorders>
              <w:top w:val="nil"/>
              <w:bottom w:val="nil"/>
            </w:tcBorders>
            <w:shd w:val="clear" w:color="auto" w:fill="auto"/>
          </w:tcPr>
          <w:p>
            <w:pPr>
              <w:pStyle w:val="GesAbsatz"/>
              <w:jc w:val="center"/>
              <w:rPr>
                <w:sz w:val="18"/>
                <w:szCs w:val="18"/>
              </w:rPr>
            </w:pPr>
            <w:r>
              <w:rPr>
                <w:sz w:val="18"/>
                <w:szCs w:val="18"/>
              </w:rPr>
              <w:t>52,1</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18,5</w:t>
            </w:r>
          </w:p>
        </w:tc>
        <w:tc>
          <w:tcPr>
            <w:tcW w:w="1094" w:type="dxa"/>
            <w:tcBorders>
              <w:top w:val="nil"/>
              <w:bottom w:val="nil"/>
            </w:tcBorders>
            <w:shd w:val="clear" w:color="auto" w:fill="auto"/>
          </w:tcPr>
          <w:p>
            <w:pPr>
              <w:pStyle w:val="GesAbsatz"/>
              <w:jc w:val="center"/>
              <w:rPr>
                <w:sz w:val="18"/>
                <w:szCs w:val="18"/>
              </w:rPr>
            </w:pPr>
            <w:r>
              <w:rPr>
                <w:sz w:val="18"/>
                <w:szCs w:val="18"/>
              </w:rPr>
              <w:t>52,7</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100 °C (E100)</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41,9</w:t>
            </w:r>
          </w:p>
        </w:tc>
        <w:tc>
          <w:tcPr>
            <w:tcW w:w="1094" w:type="dxa"/>
            <w:tcBorders>
              <w:top w:val="nil"/>
              <w:bottom w:val="nil"/>
            </w:tcBorders>
            <w:shd w:val="clear" w:color="auto" w:fill="auto"/>
          </w:tcPr>
          <w:p>
            <w:pPr>
              <w:pStyle w:val="GesAbsatz"/>
              <w:jc w:val="center"/>
              <w:rPr>
                <w:sz w:val="18"/>
                <w:szCs w:val="18"/>
              </w:rPr>
            </w:pPr>
            <w:r>
              <w:rPr>
                <w:sz w:val="18"/>
                <w:szCs w:val="18"/>
              </w:rPr>
              <w:t>74,4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41,9</w:t>
            </w:r>
          </w:p>
        </w:tc>
        <w:tc>
          <w:tcPr>
            <w:tcW w:w="1094" w:type="dxa"/>
            <w:tcBorders>
              <w:top w:val="nil"/>
              <w:bottom w:val="nil"/>
            </w:tcBorders>
            <w:shd w:val="clear" w:color="auto" w:fill="auto"/>
          </w:tcPr>
          <w:p>
            <w:pPr>
              <w:pStyle w:val="GesAbsatz"/>
              <w:jc w:val="center"/>
              <w:rPr>
                <w:sz w:val="18"/>
                <w:szCs w:val="18"/>
              </w:rPr>
            </w:pPr>
            <w:r>
              <w:rPr>
                <w:sz w:val="18"/>
                <w:szCs w:val="18"/>
              </w:rPr>
              <w:t>73,2</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150 °C (E150)</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72,2</w:t>
            </w:r>
          </w:p>
        </w:tc>
        <w:tc>
          <w:tcPr>
            <w:tcW w:w="1094" w:type="dxa"/>
            <w:vMerge w:val="restart"/>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72,2</w:t>
            </w:r>
          </w:p>
        </w:tc>
        <w:tc>
          <w:tcPr>
            <w:tcW w:w="1094" w:type="dxa"/>
            <w:vMerge/>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Siedeendpunkt</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°C</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216,2</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rPr>
                <w:sz w:val="18"/>
                <w:szCs w:val="18"/>
              </w:rPr>
            </w:pPr>
            <w:r>
              <w:rPr>
                <w:sz w:val="18"/>
                <w:szCs w:val="18"/>
              </w:rPr>
              <w:t>Destillationsrückstand</w:t>
            </w:r>
          </w:p>
        </w:tc>
        <w:tc>
          <w:tcPr>
            <w:tcW w:w="2267" w:type="dxa"/>
            <w:vMerge/>
            <w:tcBorders>
              <w:top w:val="nil"/>
            </w:tcBorders>
            <w:shd w:val="clear" w:color="auto" w:fill="auto"/>
          </w:tcPr>
          <w:p>
            <w:pPr>
              <w:pStyle w:val="GesAbsatz"/>
              <w:rPr>
                <w:sz w:val="18"/>
                <w:szCs w:val="18"/>
              </w:rPr>
            </w:pPr>
          </w:p>
        </w:tc>
        <w:tc>
          <w:tcPr>
            <w:tcW w:w="1134" w:type="dxa"/>
            <w:tcBorders>
              <w:top w:val="nil"/>
            </w:tcBorders>
            <w:shd w:val="clear" w:color="auto" w:fill="auto"/>
          </w:tcPr>
          <w:p>
            <w:pPr>
              <w:pStyle w:val="GesAbsatz"/>
              <w:jc w:val="center"/>
              <w:rPr>
                <w:sz w:val="18"/>
                <w:szCs w:val="18"/>
              </w:rPr>
            </w:pPr>
            <w:r>
              <w:rPr>
                <w:sz w:val="18"/>
                <w:szCs w:val="18"/>
              </w:rPr>
              <w:t>% (V/V)</w:t>
            </w:r>
          </w:p>
        </w:tc>
        <w:tc>
          <w:tcPr>
            <w:tcW w:w="1033" w:type="dxa"/>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2,0</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16</w:t>
            </w:r>
          </w:p>
        </w:tc>
        <w:tc>
          <w:tcPr>
            <w:tcW w:w="2977" w:type="dxa"/>
            <w:tcBorders>
              <w:bottom w:val="single" w:sz="4" w:space="0" w:color="auto"/>
            </w:tcBorders>
            <w:shd w:val="clear" w:color="auto" w:fill="auto"/>
          </w:tcPr>
          <w:p>
            <w:pPr>
              <w:pStyle w:val="GesAbsatz"/>
              <w:rPr>
                <w:sz w:val="18"/>
                <w:szCs w:val="18"/>
              </w:rPr>
            </w:pPr>
            <w:r>
              <w:rPr>
                <w:sz w:val="18"/>
                <w:szCs w:val="18"/>
              </w:rPr>
              <w:t>VLI (10*VP + 7*E70) Klasse D1</w:t>
            </w:r>
          </w:p>
        </w:tc>
        <w:tc>
          <w:tcPr>
            <w:tcW w:w="2267" w:type="dxa"/>
            <w:shd w:val="clear" w:color="auto" w:fill="auto"/>
          </w:tcPr>
          <w:p>
            <w:pPr>
              <w:pStyle w:val="GesAbsatz"/>
              <w:rPr>
                <w:sz w:val="18"/>
                <w:szCs w:val="18"/>
              </w:rPr>
            </w:pPr>
            <w:r>
              <w:rPr>
                <w:sz w:val="18"/>
                <w:szCs w:val="18"/>
              </w:rPr>
              <w:t>(Berechnung)</w:t>
            </w:r>
          </w:p>
        </w:tc>
        <w:tc>
          <w:tcPr>
            <w:tcW w:w="1134" w:type="dxa"/>
            <w:shd w:val="clear" w:color="auto" w:fill="auto"/>
          </w:tcPr>
          <w:p>
            <w:pPr>
              <w:pStyle w:val="GesAbsatz"/>
              <w:jc w:val="center"/>
              <w:rPr>
                <w:sz w:val="18"/>
                <w:szCs w:val="18"/>
              </w:rPr>
            </w:pPr>
            <w:r>
              <w:rPr>
                <w:sz w:val="18"/>
                <w:szCs w:val="18"/>
              </w:rPr>
              <w:t>–</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1 179</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17</w:t>
            </w:r>
          </w:p>
        </w:tc>
        <w:tc>
          <w:tcPr>
            <w:tcW w:w="2977" w:type="dxa"/>
            <w:tcBorders>
              <w:bottom w:val="nil"/>
            </w:tcBorders>
            <w:shd w:val="clear" w:color="auto" w:fill="auto"/>
          </w:tcPr>
          <w:p>
            <w:pPr>
              <w:pStyle w:val="GesAbsatz"/>
              <w:rPr>
                <w:sz w:val="18"/>
                <w:szCs w:val="18"/>
              </w:rPr>
            </w:pPr>
            <w:r>
              <w:rPr>
                <w:sz w:val="18"/>
                <w:szCs w:val="18"/>
              </w:rPr>
              <w:t>Mangangehalt</w:t>
            </w:r>
          </w:p>
        </w:tc>
        <w:tc>
          <w:tcPr>
            <w:tcW w:w="2267" w:type="dxa"/>
            <w:vMerge w:val="restart"/>
            <w:shd w:val="clear" w:color="auto" w:fill="auto"/>
          </w:tcPr>
          <w:p>
            <w:pPr>
              <w:pStyle w:val="GesAbsatz"/>
              <w:rPr>
                <w:sz w:val="18"/>
                <w:szCs w:val="18"/>
              </w:rPr>
            </w:pPr>
            <w:r>
              <w:rPr>
                <w:sz w:val="18"/>
                <w:szCs w:val="18"/>
              </w:rPr>
              <w:t>DIN EN 16135:2012-02/</w:t>
            </w:r>
          </w:p>
          <w:p>
            <w:pPr>
              <w:pStyle w:val="GesAbsatz"/>
              <w:rPr>
                <w:sz w:val="18"/>
                <w:szCs w:val="18"/>
              </w:rPr>
            </w:pPr>
            <w:r>
              <w:rPr>
                <w:sz w:val="18"/>
                <w:szCs w:val="18"/>
              </w:rPr>
              <w:t>DIN EN 16136:2012-02</w:t>
            </w:r>
          </w:p>
        </w:tc>
        <w:tc>
          <w:tcPr>
            <w:tcW w:w="1134" w:type="dxa"/>
            <w:vMerge w:val="restart"/>
            <w:shd w:val="clear" w:color="auto" w:fill="auto"/>
          </w:tcPr>
          <w:p>
            <w:pPr>
              <w:pStyle w:val="GesAbsatz"/>
              <w:jc w:val="center"/>
              <w:rPr>
                <w:sz w:val="18"/>
                <w:szCs w:val="18"/>
              </w:rPr>
            </w:pPr>
            <w:r>
              <w:rPr>
                <w:sz w:val="18"/>
                <w:szCs w:val="18"/>
              </w:rPr>
              <w:t>mg/l</w:t>
            </w:r>
          </w:p>
        </w:tc>
        <w:tc>
          <w:tcPr>
            <w:tcW w:w="1033" w:type="dxa"/>
            <w:vMerge w:val="restart"/>
            <w:shd w:val="clear" w:color="auto" w:fill="auto"/>
          </w:tcPr>
          <w:p>
            <w:pPr>
              <w:pStyle w:val="GesAbsatz"/>
              <w:jc w:val="center"/>
              <w:rPr>
                <w:sz w:val="18"/>
                <w:szCs w:val="18"/>
              </w:rPr>
            </w:pPr>
          </w:p>
        </w:tc>
        <w:tc>
          <w:tcPr>
            <w:tcW w:w="1094" w:type="dxa"/>
            <w:vMerge w:val="restart"/>
            <w:shd w:val="clear" w:color="auto" w:fill="auto"/>
          </w:tcPr>
          <w:p>
            <w:pPr>
              <w:pStyle w:val="GesAbsatz"/>
              <w:jc w:val="center"/>
              <w:rPr>
                <w:sz w:val="18"/>
                <w:szCs w:val="18"/>
              </w:rPr>
            </w:pPr>
            <w:r>
              <w:rPr>
                <w:sz w:val="18"/>
                <w:szCs w:val="18"/>
              </w:rPr>
              <w:t>6,9/7,0</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vom 1.1 2011 bis 31.12. 2013</w:t>
            </w:r>
          </w:p>
        </w:tc>
        <w:tc>
          <w:tcPr>
            <w:tcW w:w="2267" w:type="dxa"/>
            <w:vMerge/>
            <w:shd w:val="clear" w:color="auto" w:fill="auto"/>
          </w:tcPr>
          <w:p>
            <w:pPr>
              <w:pStyle w:val="GesAbsatz"/>
              <w:rPr>
                <w:sz w:val="18"/>
                <w:szCs w:val="18"/>
              </w:rPr>
            </w:pPr>
          </w:p>
        </w:tc>
        <w:tc>
          <w:tcPr>
            <w:tcW w:w="1134" w:type="dxa"/>
            <w:vMerge/>
            <w:shd w:val="clear" w:color="auto" w:fill="auto"/>
          </w:tcPr>
          <w:p>
            <w:pPr>
              <w:pStyle w:val="GesAbsatz"/>
              <w:jc w:val="center"/>
              <w:rPr>
                <w:sz w:val="18"/>
                <w:szCs w:val="18"/>
              </w:rPr>
            </w:pPr>
          </w:p>
        </w:tc>
        <w:tc>
          <w:tcPr>
            <w:tcW w:w="1033" w:type="dxa"/>
            <w:vMerge/>
            <w:shd w:val="clear" w:color="auto" w:fill="auto"/>
          </w:tcPr>
          <w:p>
            <w:pPr>
              <w:pStyle w:val="GesAbsatz"/>
              <w:jc w:val="center"/>
              <w:rPr>
                <w:sz w:val="18"/>
                <w:szCs w:val="18"/>
              </w:rPr>
            </w:pP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rPr>
                <w:sz w:val="18"/>
                <w:szCs w:val="18"/>
              </w:rPr>
            </w:pPr>
            <w:r>
              <w:rPr>
                <w:sz w:val="18"/>
                <w:szCs w:val="18"/>
              </w:rPr>
              <w:t>– ab 1.1.2014</w:t>
            </w:r>
            <w:r>
              <w:rPr>
                <w:sz w:val="18"/>
                <w:szCs w:val="18"/>
                <w:vertAlign w:val="superscript"/>
              </w:rPr>
              <w:t>f)</w:t>
            </w:r>
          </w:p>
        </w:tc>
        <w:tc>
          <w:tcPr>
            <w:tcW w:w="2267" w:type="dxa"/>
            <w:vMerge/>
            <w:shd w:val="clear" w:color="auto" w:fill="auto"/>
          </w:tcPr>
          <w:p>
            <w:pPr>
              <w:pStyle w:val="GesAbsatz"/>
              <w:rPr>
                <w:sz w:val="18"/>
                <w:szCs w:val="18"/>
              </w:rPr>
            </w:pPr>
          </w:p>
        </w:tc>
        <w:tc>
          <w:tcPr>
            <w:tcW w:w="1134" w:type="dxa"/>
            <w:vMerge/>
            <w:shd w:val="clear" w:color="auto" w:fill="auto"/>
          </w:tcPr>
          <w:p>
            <w:pPr>
              <w:pStyle w:val="GesAbsatz"/>
              <w:jc w:val="center"/>
              <w:rPr>
                <w:sz w:val="18"/>
                <w:szCs w:val="18"/>
              </w:rPr>
            </w:pPr>
          </w:p>
        </w:tc>
        <w:tc>
          <w:tcPr>
            <w:tcW w:w="1033" w:type="dxa"/>
            <w:vMerge/>
            <w:shd w:val="clear" w:color="auto" w:fill="auto"/>
          </w:tcPr>
          <w:p>
            <w:pPr>
              <w:pStyle w:val="GesAbsatz"/>
              <w:jc w:val="center"/>
              <w:rPr>
                <w:sz w:val="18"/>
                <w:szCs w:val="18"/>
              </w:rPr>
            </w:pP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ind w:left="426" w:hanging="426"/>
      </w:pPr>
      <w:r>
        <w:t>a)</w:t>
      </w:r>
      <w:r>
        <w:tab/>
        <w:t>Bei der Berechnung des Endergebnisses ist ein Wert von 0,2 vom Messwert zu subtrahieren, damit das Endergebnis in Übereinstimmung mit den Anforderungen der Richtlinie 98/70 EG steht.</w:t>
      </w:r>
    </w:p>
    <w:p>
      <w:pPr>
        <w:pStyle w:val="GesAbsatz"/>
        <w:ind w:left="426" w:hanging="426"/>
      </w:pPr>
      <w:r>
        <w:t>b)</w:t>
      </w:r>
      <w:r>
        <w:tab/>
        <w:t>Im Streitfall ist DIN EN ISO 3675 anzuwenden.</w:t>
      </w:r>
    </w:p>
    <w:p>
      <w:pPr>
        <w:pStyle w:val="GesAbsatz"/>
        <w:ind w:left="426" w:hanging="426"/>
      </w:pPr>
      <w:r>
        <w:t>c)</w:t>
      </w:r>
      <w:r>
        <w:tab/>
        <w:t>Im Streitfall bezüglich der Kohlenwasserstoffgruppen ist DIN EN 14517:2004 einzusetzen. Diese Prü</w:t>
      </w:r>
      <w:r>
        <w:t>f</w:t>
      </w:r>
      <w:r>
        <w:t>norm wird in einer Folgeausgabe von EN 228 durch DIN EN ISO 22854 formal ersetzt, enthält aber das gleiche Prüfve</w:t>
      </w:r>
      <w:r>
        <w:t>r</w:t>
      </w:r>
      <w:r>
        <w:t>fahren.</w:t>
      </w:r>
    </w:p>
    <w:p>
      <w:pPr>
        <w:pStyle w:val="GesAbsatz"/>
        <w:ind w:left="426" w:hanging="426"/>
      </w:pPr>
      <w:r>
        <w:t>d)</w:t>
      </w:r>
      <w:r>
        <w:tab/>
        <w:t>Im Streitfall bezüglich des Sauerstoffgehaltes ist DIN EN 1601:1997 einzusetzen. Für den Streitfall b</w:t>
      </w:r>
      <w:r>
        <w:t>e</w:t>
      </w:r>
      <w:r>
        <w:t>züglich Benzol ist EN 238 als Schiedsverfahren nicht geeignet. Für den Streitfall bezüglich des Gehaltes an sauerstoffhalt</w:t>
      </w:r>
      <w:r>
        <w:t>i</w:t>
      </w:r>
      <w:r>
        <w:t>gen Verbindungen ist DIN EN 13132 als Schiedsverfahren nicht geeignet.</w:t>
      </w:r>
    </w:p>
    <w:p>
      <w:pPr>
        <w:pStyle w:val="GesAbsatz"/>
      </w:pPr>
      <w:r>
        <w:t>e)</w:t>
      </w:r>
      <w:r>
        <w:tab/>
        <w:t>Andere Mono-Alkohole und Ether mit einem Siedeendpunkt nicht höher als 210 °C.</w:t>
      </w:r>
    </w:p>
    <w:p>
      <w:pPr>
        <w:pStyle w:val="GesAbsatz"/>
      </w:pPr>
      <w:r>
        <w:t>f)</w:t>
      </w:r>
      <w:r>
        <w:tab/>
        <w:t>Für den Grenzwert 2,0 (ab 1. Januar 2014) gibt es noch keine Präzisionsdaten.</w:t>
      </w:r>
    </w:p>
    <w:p>
      <w:pPr>
        <w:pStyle w:val="berschrift2"/>
        <w:jc w:val="left"/>
      </w:pPr>
      <w:bookmarkStart w:id="14" w:name="_Toc349111750"/>
      <w:r>
        <w:lastRenderedPageBreak/>
        <w:t>Anlage 4</w:t>
      </w:r>
      <w:bookmarkEnd w:id="14"/>
    </w:p>
    <w:p>
      <w:pPr>
        <w:pStyle w:val="GesAbsatz"/>
        <w:jc w:val="center"/>
        <w:rPr>
          <w:b/>
        </w:rPr>
      </w:pPr>
      <w:r>
        <w:rPr>
          <w:b/>
        </w:rPr>
        <w:t>Prüfprotokoll zur Überwachung der Einhaltung von Anforderungswerten bei einmaliger</w:t>
      </w:r>
      <w:r>
        <w:rPr>
          <w:b/>
        </w:rPr>
        <w:br/>
        <w:t>Prüfung von Ottokraftstoff E5 nach E DIN 51626-1:2010</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jc w:val="center"/>
              <w:rPr>
                <w:sz w:val="18"/>
                <w:szCs w:val="18"/>
              </w:rPr>
            </w:pPr>
            <w:r>
              <w:rPr>
                <w:sz w:val="18"/>
                <w:szCs w:val="18"/>
              </w:rPr>
              <w:t>Nr.</w:t>
            </w:r>
          </w:p>
        </w:tc>
        <w:tc>
          <w:tcPr>
            <w:tcW w:w="2977" w:type="dxa"/>
            <w:vMerge w:val="restart"/>
            <w:shd w:val="clear" w:color="auto" w:fill="auto"/>
            <w:vAlign w:val="center"/>
          </w:tcPr>
          <w:p>
            <w:pPr>
              <w:pStyle w:val="GesAbsatz"/>
              <w:jc w:val="center"/>
              <w:rPr>
                <w:sz w:val="18"/>
                <w:szCs w:val="18"/>
              </w:rPr>
            </w:pPr>
            <w:r>
              <w:rPr>
                <w:sz w:val="18"/>
                <w:szCs w:val="18"/>
              </w:rPr>
              <w:t>Stoffeige</w:t>
            </w:r>
            <w:r>
              <w:rPr>
                <w:sz w:val="18"/>
                <w:szCs w:val="18"/>
              </w:rPr>
              <w:t>n</w:t>
            </w:r>
            <w:r>
              <w:rPr>
                <w:sz w:val="18"/>
                <w:szCs w:val="18"/>
              </w:rPr>
              <w:t>schaft</w:t>
            </w:r>
          </w:p>
        </w:tc>
        <w:tc>
          <w:tcPr>
            <w:tcW w:w="2267" w:type="dxa"/>
            <w:vMerge w:val="restart"/>
            <w:shd w:val="clear" w:color="auto" w:fill="auto"/>
            <w:vAlign w:val="center"/>
          </w:tcPr>
          <w:p>
            <w:pPr>
              <w:pStyle w:val="GesAbsatz"/>
              <w:jc w:val="center"/>
              <w:rPr>
                <w:sz w:val="18"/>
                <w:szCs w:val="18"/>
              </w:rPr>
            </w:pPr>
            <w:r>
              <w:rPr>
                <w:sz w:val="18"/>
                <w:szCs w:val="18"/>
              </w:rPr>
              <w:t>Prüfverfa</w:t>
            </w:r>
            <w:r>
              <w:rPr>
                <w:sz w:val="18"/>
                <w:szCs w:val="18"/>
              </w:rPr>
              <w:t>h</w:t>
            </w:r>
            <w:r>
              <w:rPr>
                <w:sz w:val="18"/>
                <w:szCs w:val="18"/>
              </w:rPr>
              <w:t>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jc w:val="center"/>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rPr>
                <w:sz w:val="18"/>
                <w:szCs w:val="18"/>
              </w:rPr>
            </w:pPr>
          </w:p>
        </w:tc>
        <w:tc>
          <w:tcPr>
            <w:tcW w:w="2977" w:type="dxa"/>
            <w:vMerge/>
            <w:tcBorders>
              <w:bottom w:val="single" w:sz="4" w:space="0" w:color="auto"/>
            </w:tcBorders>
            <w:shd w:val="clear" w:color="auto" w:fill="auto"/>
          </w:tcPr>
          <w:p>
            <w:pPr>
              <w:pStyle w:val="GesAbsatz"/>
              <w:rPr>
                <w:sz w:val="18"/>
                <w:szCs w:val="18"/>
              </w:rPr>
            </w:pPr>
          </w:p>
        </w:tc>
        <w:tc>
          <w:tcPr>
            <w:tcW w:w="2267" w:type="dxa"/>
            <w:vMerge/>
            <w:tcBorders>
              <w:bottom w:val="single" w:sz="4" w:space="0" w:color="auto"/>
            </w:tcBorders>
            <w:shd w:val="clear" w:color="auto" w:fill="auto"/>
          </w:tcPr>
          <w:p>
            <w:pPr>
              <w:pStyle w:val="GesAbsatz"/>
              <w:rPr>
                <w:sz w:val="18"/>
                <w:szCs w:val="18"/>
              </w:rPr>
            </w:pPr>
          </w:p>
        </w:tc>
        <w:tc>
          <w:tcPr>
            <w:tcW w:w="1134" w:type="dxa"/>
            <w:vMerge/>
            <w:tcBorders>
              <w:bottom w:val="single" w:sz="4" w:space="0" w:color="auto"/>
            </w:tcBorders>
            <w:shd w:val="clear" w:color="auto" w:fill="auto"/>
          </w:tcPr>
          <w:p>
            <w:pPr>
              <w:pStyle w:val="GesAbsatz"/>
              <w:jc w:val="center"/>
              <w:rPr>
                <w:sz w:val="18"/>
                <w:szCs w:val="18"/>
              </w:rPr>
            </w:pPr>
          </w:p>
        </w:tc>
        <w:tc>
          <w:tcPr>
            <w:tcW w:w="1033" w:type="dxa"/>
            <w:tcBorders>
              <w:bottom w:val="single" w:sz="4" w:space="0" w:color="auto"/>
            </w:tcBorders>
            <w:shd w:val="clear" w:color="auto" w:fill="auto"/>
          </w:tcPr>
          <w:p>
            <w:pPr>
              <w:pStyle w:val="GesAbsatz"/>
              <w:jc w:val="center"/>
              <w:rPr>
                <w:sz w:val="18"/>
                <w:szCs w:val="18"/>
              </w:rPr>
            </w:pPr>
            <w:r>
              <w:rPr>
                <w:sz w:val="18"/>
                <w:szCs w:val="18"/>
              </w:rPr>
              <w:t>min.</w:t>
            </w:r>
          </w:p>
        </w:tc>
        <w:tc>
          <w:tcPr>
            <w:tcW w:w="1094"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w:t>
            </w:r>
          </w:p>
        </w:tc>
        <w:tc>
          <w:tcPr>
            <w:tcW w:w="2977" w:type="dxa"/>
            <w:tcBorders>
              <w:bottom w:val="nil"/>
            </w:tcBorders>
            <w:shd w:val="clear" w:color="auto" w:fill="auto"/>
          </w:tcPr>
          <w:p>
            <w:pPr>
              <w:pStyle w:val="GesAbsatz"/>
              <w:tabs>
                <w:tab w:val="right" w:pos="2577"/>
              </w:tabs>
              <w:rPr>
                <w:sz w:val="18"/>
                <w:szCs w:val="18"/>
              </w:rPr>
            </w:pPr>
            <w:r>
              <w:rPr>
                <w:sz w:val="18"/>
                <w:szCs w:val="18"/>
              </w:rPr>
              <w:t>Klopffestigkeit: ROZ</w:t>
            </w:r>
            <w:r>
              <w:rPr>
                <w:sz w:val="18"/>
                <w:szCs w:val="18"/>
                <w:vertAlign w:val="superscript"/>
              </w:rPr>
              <w:t>a)</w:t>
            </w:r>
            <w:r>
              <w:rPr>
                <w:sz w:val="18"/>
                <w:szCs w:val="18"/>
                <w:vertAlign w:val="superscript"/>
              </w:rPr>
              <w:tab/>
            </w:r>
            <w:r>
              <w:rPr>
                <w:sz w:val="18"/>
                <w:szCs w:val="18"/>
              </w:rPr>
              <w:t>Normal</w:t>
            </w:r>
          </w:p>
        </w:tc>
        <w:tc>
          <w:tcPr>
            <w:tcW w:w="2267" w:type="dxa"/>
            <w:vMerge w:val="restart"/>
            <w:tcBorders>
              <w:bottom w:val="nil"/>
            </w:tcBorders>
            <w:shd w:val="clear" w:color="auto" w:fill="auto"/>
          </w:tcPr>
          <w:p>
            <w:pPr>
              <w:pStyle w:val="GesAbsatz"/>
              <w:rPr>
                <w:sz w:val="18"/>
                <w:szCs w:val="18"/>
              </w:rPr>
            </w:pPr>
            <w:r>
              <w:rPr>
                <w:sz w:val="18"/>
                <w:szCs w:val="18"/>
              </w:rPr>
              <w:t>DIN EN ISO 5164:2006</w:t>
            </w:r>
          </w:p>
        </w:tc>
        <w:tc>
          <w:tcPr>
            <w:tcW w:w="1134" w:type="dxa"/>
            <w:tcBorders>
              <w:bottom w:val="nil"/>
            </w:tcBorders>
            <w:shd w:val="clear" w:color="auto" w:fill="auto"/>
          </w:tcPr>
          <w:p>
            <w:pPr>
              <w:pStyle w:val="GesAbsatz"/>
              <w:jc w:val="center"/>
              <w:rPr>
                <w:sz w:val="18"/>
                <w:szCs w:val="18"/>
              </w:rPr>
            </w:pPr>
            <w:r>
              <w:rPr>
                <w:sz w:val="18"/>
                <w:szCs w:val="18"/>
              </w:rPr>
              <w:t>–</w:t>
            </w:r>
          </w:p>
        </w:tc>
        <w:tc>
          <w:tcPr>
            <w:tcW w:w="1033" w:type="dxa"/>
            <w:tcBorders>
              <w:bottom w:val="nil"/>
            </w:tcBorders>
            <w:shd w:val="clear" w:color="auto" w:fill="auto"/>
          </w:tcPr>
          <w:p>
            <w:pPr>
              <w:pStyle w:val="GesAbsatz"/>
              <w:jc w:val="center"/>
              <w:rPr>
                <w:sz w:val="18"/>
                <w:szCs w:val="18"/>
              </w:rPr>
            </w:pPr>
            <w:r>
              <w:rPr>
                <w:sz w:val="18"/>
                <w:szCs w:val="18"/>
              </w:rPr>
              <w:t>90,6</w:t>
            </w:r>
          </w:p>
        </w:tc>
        <w:tc>
          <w:tcPr>
            <w:tcW w:w="1094"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77"/>
                <w:tab w:val="right" w:pos="2727"/>
              </w:tabs>
              <w:rPr>
                <w:sz w:val="18"/>
                <w:szCs w:val="18"/>
              </w:rPr>
            </w:pPr>
            <w:r>
              <w:rPr>
                <w:sz w:val="18"/>
                <w:szCs w:val="18"/>
              </w:rPr>
              <w:tab/>
              <w:t>Super</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w:t>
            </w:r>
          </w:p>
        </w:tc>
        <w:tc>
          <w:tcPr>
            <w:tcW w:w="1033" w:type="dxa"/>
            <w:tcBorders>
              <w:top w:val="nil"/>
              <w:bottom w:val="nil"/>
            </w:tcBorders>
            <w:shd w:val="clear" w:color="auto" w:fill="auto"/>
          </w:tcPr>
          <w:p>
            <w:pPr>
              <w:pStyle w:val="GesAbsatz"/>
              <w:jc w:val="center"/>
              <w:rPr>
                <w:sz w:val="18"/>
                <w:szCs w:val="18"/>
              </w:rPr>
            </w:pPr>
            <w:r>
              <w:rPr>
                <w:sz w:val="18"/>
                <w:szCs w:val="18"/>
              </w:rPr>
              <w:t>94,6</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tabs>
                <w:tab w:val="clear" w:pos="425"/>
                <w:tab w:val="right" w:pos="2577"/>
              </w:tabs>
              <w:rPr>
                <w:sz w:val="18"/>
                <w:szCs w:val="18"/>
              </w:rPr>
            </w:pPr>
            <w:r>
              <w:rPr>
                <w:sz w:val="18"/>
                <w:szCs w:val="18"/>
              </w:rPr>
              <w:tab/>
              <w:t>Super Plus</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tcBorders>
              <w:top w:val="nil"/>
              <w:bottom w:val="single" w:sz="4" w:space="0" w:color="auto"/>
            </w:tcBorders>
            <w:shd w:val="clear" w:color="auto" w:fill="auto"/>
          </w:tcPr>
          <w:p>
            <w:pPr>
              <w:pStyle w:val="GesAbsatz"/>
              <w:jc w:val="center"/>
              <w:rPr>
                <w:sz w:val="18"/>
                <w:szCs w:val="18"/>
              </w:rPr>
            </w:pPr>
            <w:r>
              <w:rPr>
                <w:sz w:val="18"/>
                <w:szCs w:val="18"/>
              </w:rPr>
              <w:t>–</w:t>
            </w: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97,6</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w:t>
            </w:r>
          </w:p>
        </w:tc>
        <w:tc>
          <w:tcPr>
            <w:tcW w:w="2977" w:type="dxa"/>
            <w:tcBorders>
              <w:bottom w:val="nil"/>
            </w:tcBorders>
            <w:shd w:val="clear" w:color="auto" w:fill="auto"/>
          </w:tcPr>
          <w:p>
            <w:pPr>
              <w:pStyle w:val="GesAbsatz"/>
              <w:tabs>
                <w:tab w:val="clear" w:pos="425"/>
                <w:tab w:val="right" w:pos="2585"/>
              </w:tabs>
              <w:rPr>
                <w:sz w:val="18"/>
                <w:szCs w:val="18"/>
              </w:rPr>
            </w:pPr>
            <w:r>
              <w:rPr>
                <w:sz w:val="18"/>
                <w:szCs w:val="18"/>
              </w:rPr>
              <w:t>Klopffestigkeit : MOZ</w:t>
            </w:r>
            <w:r>
              <w:rPr>
                <w:sz w:val="18"/>
                <w:szCs w:val="18"/>
                <w:vertAlign w:val="superscript"/>
              </w:rPr>
              <w:t>a)</w:t>
            </w:r>
            <w:r>
              <w:rPr>
                <w:sz w:val="18"/>
                <w:szCs w:val="18"/>
                <w:vertAlign w:val="superscript"/>
              </w:rPr>
              <w:tab/>
            </w:r>
            <w:r>
              <w:rPr>
                <w:sz w:val="18"/>
                <w:szCs w:val="18"/>
              </w:rPr>
              <w:t>Normal</w:t>
            </w:r>
          </w:p>
        </w:tc>
        <w:tc>
          <w:tcPr>
            <w:tcW w:w="2267" w:type="dxa"/>
            <w:vMerge w:val="restart"/>
            <w:tcBorders>
              <w:bottom w:val="nil"/>
            </w:tcBorders>
            <w:shd w:val="clear" w:color="auto" w:fill="auto"/>
          </w:tcPr>
          <w:p>
            <w:pPr>
              <w:pStyle w:val="GesAbsatz"/>
              <w:rPr>
                <w:sz w:val="18"/>
                <w:szCs w:val="18"/>
              </w:rPr>
            </w:pPr>
            <w:r>
              <w:rPr>
                <w:sz w:val="18"/>
                <w:szCs w:val="18"/>
              </w:rPr>
              <w:t>DIN EN ISO 5163:2006</w:t>
            </w:r>
          </w:p>
        </w:tc>
        <w:tc>
          <w:tcPr>
            <w:tcW w:w="1134" w:type="dxa"/>
            <w:tcBorders>
              <w:bottom w:val="nil"/>
            </w:tcBorders>
            <w:shd w:val="clear" w:color="auto" w:fill="auto"/>
          </w:tcPr>
          <w:p>
            <w:pPr>
              <w:pStyle w:val="GesAbsatz"/>
              <w:jc w:val="center"/>
              <w:rPr>
                <w:sz w:val="18"/>
                <w:szCs w:val="18"/>
              </w:rPr>
            </w:pPr>
            <w:r>
              <w:rPr>
                <w:sz w:val="18"/>
                <w:szCs w:val="18"/>
              </w:rPr>
              <w:t>–</w:t>
            </w:r>
          </w:p>
        </w:tc>
        <w:tc>
          <w:tcPr>
            <w:tcW w:w="1033" w:type="dxa"/>
            <w:tcBorders>
              <w:bottom w:val="nil"/>
            </w:tcBorders>
            <w:shd w:val="clear" w:color="auto" w:fill="auto"/>
          </w:tcPr>
          <w:p>
            <w:pPr>
              <w:pStyle w:val="GesAbsatz"/>
              <w:jc w:val="center"/>
              <w:rPr>
                <w:sz w:val="18"/>
                <w:szCs w:val="18"/>
              </w:rPr>
            </w:pPr>
            <w:r>
              <w:rPr>
                <w:sz w:val="18"/>
                <w:szCs w:val="18"/>
              </w:rPr>
              <w:t>82,0</w:t>
            </w:r>
          </w:p>
        </w:tc>
        <w:tc>
          <w:tcPr>
            <w:tcW w:w="1094"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5"/>
              </w:tabs>
              <w:rPr>
                <w:sz w:val="18"/>
                <w:szCs w:val="18"/>
              </w:rPr>
            </w:pPr>
            <w:r>
              <w:rPr>
                <w:sz w:val="18"/>
                <w:szCs w:val="18"/>
              </w:rPr>
              <w:tab/>
              <w:t>Super</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w:t>
            </w:r>
          </w:p>
        </w:tc>
        <w:tc>
          <w:tcPr>
            <w:tcW w:w="1033" w:type="dxa"/>
            <w:tcBorders>
              <w:top w:val="nil"/>
              <w:bottom w:val="nil"/>
            </w:tcBorders>
            <w:shd w:val="clear" w:color="auto" w:fill="auto"/>
          </w:tcPr>
          <w:p>
            <w:pPr>
              <w:pStyle w:val="GesAbsatz"/>
              <w:jc w:val="center"/>
              <w:rPr>
                <w:sz w:val="18"/>
                <w:szCs w:val="18"/>
              </w:rPr>
            </w:pPr>
            <w:r>
              <w:rPr>
                <w:sz w:val="18"/>
                <w:szCs w:val="18"/>
              </w:rPr>
              <w:t>84,5</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tabs>
                <w:tab w:val="clear" w:pos="425"/>
                <w:tab w:val="right" w:pos="2585"/>
              </w:tabs>
              <w:rPr>
                <w:sz w:val="18"/>
                <w:szCs w:val="18"/>
              </w:rPr>
            </w:pPr>
            <w:r>
              <w:rPr>
                <w:sz w:val="18"/>
                <w:szCs w:val="18"/>
              </w:rPr>
              <w:tab/>
              <w:t>Super Plus</w:t>
            </w:r>
          </w:p>
        </w:tc>
        <w:tc>
          <w:tcPr>
            <w:tcW w:w="2267" w:type="dxa"/>
            <w:vMerge/>
            <w:tcBorders>
              <w:top w:val="nil"/>
            </w:tcBorders>
            <w:shd w:val="clear" w:color="auto" w:fill="auto"/>
          </w:tcPr>
          <w:p>
            <w:pPr>
              <w:pStyle w:val="GesAbsatz"/>
              <w:rPr>
                <w:sz w:val="18"/>
                <w:szCs w:val="18"/>
              </w:rPr>
            </w:pPr>
          </w:p>
        </w:tc>
        <w:tc>
          <w:tcPr>
            <w:tcW w:w="1134" w:type="dxa"/>
            <w:tcBorders>
              <w:top w:val="nil"/>
            </w:tcBorders>
            <w:shd w:val="clear" w:color="auto" w:fill="auto"/>
          </w:tcPr>
          <w:p>
            <w:pPr>
              <w:pStyle w:val="GesAbsatz"/>
              <w:jc w:val="center"/>
              <w:rPr>
                <w:sz w:val="18"/>
                <w:szCs w:val="18"/>
              </w:rPr>
            </w:pPr>
            <w:r>
              <w:rPr>
                <w:sz w:val="18"/>
                <w:szCs w:val="18"/>
              </w:rPr>
              <w:t>–</w:t>
            </w:r>
          </w:p>
        </w:tc>
        <w:tc>
          <w:tcPr>
            <w:tcW w:w="1033" w:type="dxa"/>
            <w:tcBorders>
              <w:top w:val="nil"/>
            </w:tcBorders>
            <w:shd w:val="clear" w:color="auto" w:fill="auto"/>
          </w:tcPr>
          <w:p>
            <w:pPr>
              <w:pStyle w:val="GesAbsatz"/>
              <w:jc w:val="center"/>
              <w:rPr>
                <w:sz w:val="18"/>
                <w:szCs w:val="18"/>
              </w:rPr>
            </w:pPr>
            <w:r>
              <w:rPr>
                <w:sz w:val="18"/>
                <w:szCs w:val="18"/>
              </w:rPr>
              <w:t>87,5</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3</w:t>
            </w:r>
          </w:p>
        </w:tc>
        <w:tc>
          <w:tcPr>
            <w:tcW w:w="2977" w:type="dxa"/>
            <w:shd w:val="clear" w:color="auto" w:fill="auto"/>
          </w:tcPr>
          <w:p>
            <w:pPr>
              <w:pStyle w:val="GesAbsatz"/>
              <w:rPr>
                <w:sz w:val="18"/>
                <w:szCs w:val="18"/>
              </w:rPr>
            </w:pPr>
            <w:r>
              <w:rPr>
                <w:sz w:val="18"/>
                <w:szCs w:val="18"/>
              </w:rPr>
              <w:t>Bleigehalt</w:t>
            </w:r>
          </w:p>
        </w:tc>
        <w:tc>
          <w:tcPr>
            <w:tcW w:w="2267" w:type="dxa"/>
            <w:tcBorders>
              <w:bottom w:val="single" w:sz="4" w:space="0" w:color="auto"/>
            </w:tcBorders>
            <w:shd w:val="clear" w:color="auto" w:fill="auto"/>
          </w:tcPr>
          <w:p>
            <w:pPr>
              <w:pStyle w:val="GesAbsatz"/>
              <w:rPr>
                <w:sz w:val="18"/>
                <w:szCs w:val="18"/>
              </w:rPr>
            </w:pPr>
            <w:r>
              <w:rPr>
                <w:sz w:val="18"/>
                <w:szCs w:val="18"/>
              </w:rPr>
              <w:t>DIN EN 237:2004</w:t>
            </w:r>
          </w:p>
        </w:tc>
        <w:tc>
          <w:tcPr>
            <w:tcW w:w="1134" w:type="dxa"/>
            <w:tcBorders>
              <w:bottom w:val="single" w:sz="4" w:space="0" w:color="auto"/>
            </w:tcBorders>
            <w:shd w:val="clear" w:color="auto" w:fill="auto"/>
          </w:tcPr>
          <w:p>
            <w:pPr>
              <w:pStyle w:val="GesAbsatz"/>
              <w:jc w:val="center"/>
              <w:rPr>
                <w:sz w:val="18"/>
                <w:szCs w:val="18"/>
              </w:rPr>
            </w:pPr>
            <w:r>
              <w:rPr>
                <w:sz w:val="18"/>
                <w:szCs w:val="18"/>
              </w:rPr>
              <w:t>mg/l</w:t>
            </w:r>
          </w:p>
        </w:tc>
        <w:tc>
          <w:tcPr>
            <w:tcW w:w="1033" w:type="dxa"/>
            <w:tcBorders>
              <w:bottom w:val="single" w:sz="4" w:space="0" w:color="auto"/>
            </w:tcBorders>
            <w:shd w:val="clear" w:color="auto" w:fill="auto"/>
          </w:tcPr>
          <w:p>
            <w:pPr>
              <w:pStyle w:val="GesAbsatz"/>
              <w:jc w:val="center"/>
              <w:rPr>
                <w:sz w:val="18"/>
                <w:szCs w:val="18"/>
              </w:rPr>
            </w:pPr>
          </w:p>
        </w:tc>
        <w:tc>
          <w:tcPr>
            <w:tcW w:w="1094" w:type="dxa"/>
            <w:tcBorders>
              <w:bottom w:val="single" w:sz="4" w:space="0" w:color="auto"/>
            </w:tcBorders>
            <w:shd w:val="clear" w:color="auto" w:fill="auto"/>
          </w:tcPr>
          <w:p>
            <w:pPr>
              <w:pStyle w:val="GesAbsatz"/>
              <w:jc w:val="center"/>
              <w:rPr>
                <w:sz w:val="18"/>
                <w:szCs w:val="18"/>
              </w:rPr>
            </w:pPr>
            <w:r>
              <w:rPr>
                <w:sz w:val="18"/>
                <w:szCs w:val="18"/>
              </w:rPr>
              <w:t>5,4</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4</w:t>
            </w:r>
          </w:p>
        </w:tc>
        <w:tc>
          <w:tcPr>
            <w:tcW w:w="2977" w:type="dxa"/>
            <w:vMerge w:val="restart"/>
            <w:shd w:val="clear" w:color="auto" w:fill="auto"/>
          </w:tcPr>
          <w:p>
            <w:pPr>
              <w:pStyle w:val="GesAbsatz"/>
              <w:rPr>
                <w:sz w:val="18"/>
                <w:szCs w:val="18"/>
              </w:rPr>
            </w:pPr>
            <w:r>
              <w:rPr>
                <w:sz w:val="18"/>
                <w:szCs w:val="18"/>
              </w:rPr>
              <w:t>Dichte bei 15 °C</w:t>
            </w:r>
            <w:r>
              <w:rPr>
                <w:sz w:val="18"/>
                <w:szCs w:val="18"/>
                <w:vertAlign w:val="superscript"/>
              </w:rPr>
              <w:t>b)</w:t>
            </w:r>
          </w:p>
        </w:tc>
        <w:tc>
          <w:tcPr>
            <w:tcW w:w="2267" w:type="dxa"/>
            <w:tcBorders>
              <w:bottom w:val="nil"/>
            </w:tcBorders>
            <w:shd w:val="clear" w:color="auto" w:fill="auto"/>
          </w:tcPr>
          <w:p>
            <w:pPr>
              <w:pStyle w:val="GesAbsatz"/>
              <w:rPr>
                <w:sz w:val="18"/>
                <w:szCs w:val="18"/>
              </w:rPr>
            </w:pPr>
            <w:r>
              <w:rPr>
                <w:sz w:val="18"/>
                <w:szCs w:val="18"/>
              </w:rPr>
              <w:t>DIN EN ISO 3675:1999</w:t>
            </w:r>
          </w:p>
        </w:tc>
        <w:tc>
          <w:tcPr>
            <w:tcW w:w="1134" w:type="dxa"/>
            <w:tcBorders>
              <w:bottom w:val="nil"/>
            </w:tcBorders>
            <w:shd w:val="clear" w:color="auto" w:fill="auto"/>
          </w:tcPr>
          <w:p>
            <w:pPr>
              <w:pStyle w:val="GesAbsatz"/>
              <w:jc w:val="center"/>
              <w:rPr>
                <w:sz w:val="18"/>
                <w:szCs w:val="18"/>
              </w:rPr>
            </w:pPr>
            <w:r>
              <w:rPr>
                <w:sz w:val="18"/>
                <w:szCs w:val="18"/>
              </w:rPr>
              <w:t>kg/m³</w:t>
            </w:r>
          </w:p>
        </w:tc>
        <w:tc>
          <w:tcPr>
            <w:tcW w:w="1033" w:type="dxa"/>
            <w:tcBorders>
              <w:bottom w:val="nil"/>
            </w:tcBorders>
            <w:shd w:val="clear" w:color="auto" w:fill="auto"/>
          </w:tcPr>
          <w:p>
            <w:pPr>
              <w:pStyle w:val="GesAbsatz"/>
              <w:jc w:val="center"/>
              <w:rPr>
                <w:sz w:val="18"/>
                <w:szCs w:val="18"/>
              </w:rPr>
            </w:pPr>
            <w:r>
              <w:rPr>
                <w:sz w:val="18"/>
                <w:szCs w:val="18"/>
              </w:rPr>
              <w:t>719,3</w:t>
            </w:r>
          </w:p>
        </w:tc>
        <w:tc>
          <w:tcPr>
            <w:tcW w:w="1094" w:type="dxa"/>
            <w:tcBorders>
              <w:bottom w:val="nil"/>
            </w:tcBorders>
            <w:shd w:val="clear" w:color="auto" w:fill="auto"/>
          </w:tcPr>
          <w:p>
            <w:pPr>
              <w:pStyle w:val="GesAbsatz"/>
              <w:jc w:val="center"/>
              <w:rPr>
                <w:sz w:val="18"/>
                <w:szCs w:val="18"/>
              </w:rPr>
            </w:pPr>
            <w:r>
              <w:rPr>
                <w:sz w:val="18"/>
                <w:szCs w:val="18"/>
              </w:rPr>
              <w:t>775,7</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ISO 12185:1997</w:t>
            </w:r>
          </w:p>
        </w:tc>
        <w:tc>
          <w:tcPr>
            <w:tcW w:w="1134" w:type="dxa"/>
            <w:tcBorders>
              <w:top w:val="nil"/>
              <w:bottom w:val="single" w:sz="4" w:space="0" w:color="auto"/>
            </w:tcBorders>
            <w:shd w:val="clear" w:color="auto" w:fill="auto"/>
          </w:tcPr>
          <w:p>
            <w:pPr>
              <w:pStyle w:val="GesAbsatz"/>
              <w:jc w:val="center"/>
              <w:rPr>
                <w:sz w:val="18"/>
                <w:szCs w:val="18"/>
              </w:rPr>
            </w:pPr>
            <w:r>
              <w:rPr>
                <w:sz w:val="18"/>
                <w:szCs w:val="18"/>
              </w:rPr>
              <w:t>kg/m³</w:t>
            </w: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719,7</w:t>
            </w: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775,3</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5</w:t>
            </w:r>
          </w:p>
        </w:tc>
        <w:tc>
          <w:tcPr>
            <w:tcW w:w="2977" w:type="dxa"/>
            <w:vMerge w:val="restart"/>
            <w:shd w:val="clear" w:color="auto" w:fill="auto"/>
          </w:tcPr>
          <w:p>
            <w:pPr>
              <w:pStyle w:val="GesAbsatz"/>
              <w:rPr>
                <w:sz w:val="18"/>
                <w:szCs w:val="18"/>
              </w:rPr>
            </w:pPr>
            <w:r>
              <w:rPr>
                <w:sz w:val="18"/>
                <w:szCs w:val="18"/>
              </w:rPr>
              <w:t>Schwefelgehalt („schwefelfrei“)</w:t>
            </w:r>
          </w:p>
        </w:tc>
        <w:tc>
          <w:tcPr>
            <w:tcW w:w="2267" w:type="dxa"/>
            <w:tcBorders>
              <w:bottom w:val="nil"/>
            </w:tcBorders>
            <w:shd w:val="clear" w:color="auto" w:fill="auto"/>
          </w:tcPr>
          <w:p>
            <w:pPr>
              <w:pStyle w:val="GesAbsatz"/>
              <w:rPr>
                <w:sz w:val="18"/>
                <w:szCs w:val="18"/>
              </w:rPr>
            </w:pPr>
            <w:r>
              <w:rPr>
                <w:sz w:val="18"/>
                <w:szCs w:val="18"/>
              </w:rPr>
              <w:t>DIN EN ISO 20846:2004</w:t>
            </w:r>
          </w:p>
        </w:tc>
        <w:tc>
          <w:tcPr>
            <w:tcW w:w="1134" w:type="dxa"/>
            <w:tcBorders>
              <w:bottom w:val="nil"/>
            </w:tcBorders>
            <w:shd w:val="clear" w:color="auto" w:fill="auto"/>
          </w:tcPr>
          <w:p>
            <w:pPr>
              <w:pStyle w:val="GesAbsatz"/>
              <w:jc w:val="center"/>
              <w:rPr>
                <w:sz w:val="18"/>
                <w:szCs w:val="18"/>
              </w:rPr>
            </w:pPr>
            <w:r>
              <w:rPr>
                <w:sz w:val="18"/>
                <w:szCs w:val="18"/>
              </w:rPr>
              <w:t>mg/kg</w:t>
            </w: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11,6</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tcBorders>
            <w:shd w:val="clear" w:color="auto" w:fill="auto"/>
          </w:tcPr>
          <w:p>
            <w:pPr>
              <w:pStyle w:val="GesAbsatz"/>
              <w:rPr>
                <w:sz w:val="18"/>
                <w:szCs w:val="18"/>
              </w:rPr>
            </w:pPr>
            <w:r>
              <w:rPr>
                <w:sz w:val="18"/>
                <w:szCs w:val="18"/>
              </w:rPr>
              <w:t>DIN EN ISO 20884:2004</w:t>
            </w:r>
          </w:p>
        </w:tc>
        <w:tc>
          <w:tcPr>
            <w:tcW w:w="1134" w:type="dxa"/>
            <w:tcBorders>
              <w:top w:val="nil"/>
            </w:tcBorders>
            <w:shd w:val="clear" w:color="auto" w:fill="auto"/>
          </w:tcPr>
          <w:p>
            <w:pPr>
              <w:pStyle w:val="GesAbsatz"/>
              <w:jc w:val="center"/>
              <w:rPr>
                <w:sz w:val="18"/>
                <w:szCs w:val="18"/>
              </w:rPr>
            </w:pPr>
            <w:r>
              <w:rPr>
                <w:sz w:val="18"/>
                <w:szCs w:val="18"/>
              </w:rPr>
              <w:t>mg/kg</w:t>
            </w:r>
          </w:p>
        </w:tc>
        <w:tc>
          <w:tcPr>
            <w:tcW w:w="1033" w:type="dxa"/>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11,8</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6</w:t>
            </w:r>
          </w:p>
        </w:tc>
        <w:tc>
          <w:tcPr>
            <w:tcW w:w="2977" w:type="dxa"/>
            <w:shd w:val="clear" w:color="auto" w:fill="auto"/>
          </w:tcPr>
          <w:p>
            <w:pPr>
              <w:pStyle w:val="GesAbsatz"/>
              <w:rPr>
                <w:sz w:val="18"/>
                <w:szCs w:val="18"/>
              </w:rPr>
            </w:pPr>
            <w:r>
              <w:rPr>
                <w:sz w:val="18"/>
                <w:szCs w:val="18"/>
              </w:rPr>
              <w:t>Oxidationsstabilität</w:t>
            </w:r>
          </w:p>
        </w:tc>
        <w:tc>
          <w:tcPr>
            <w:tcW w:w="2267" w:type="dxa"/>
            <w:shd w:val="clear" w:color="auto" w:fill="auto"/>
          </w:tcPr>
          <w:p>
            <w:pPr>
              <w:pStyle w:val="GesAbsatz"/>
              <w:rPr>
                <w:sz w:val="18"/>
                <w:szCs w:val="18"/>
              </w:rPr>
            </w:pPr>
            <w:r>
              <w:rPr>
                <w:sz w:val="18"/>
                <w:szCs w:val="18"/>
              </w:rPr>
              <w:t>DIN EN ISO 7536:1996</w:t>
            </w:r>
          </w:p>
        </w:tc>
        <w:tc>
          <w:tcPr>
            <w:tcW w:w="1134" w:type="dxa"/>
            <w:shd w:val="clear" w:color="auto" w:fill="auto"/>
          </w:tcPr>
          <w:p>
            <w:pPr>
              <w:pStyle w:val="GesAbsatz"/>
              <w:jc w:val="center"/>
              <w:rPr>
                <w:sz w:val="18"/>
                <w:szCs w:val="18"/>
              </w:rPr>
            </w:pPr>
            <w:r>
              <w:rPr>
                <w:sz w:val="18"/>
                <w:szCs w:val="18"/>
              </w:rPr>
              <w:t>min</w:t>
            </w:r>
          </w:p>
        </w:tc>
        <w:tc>
          <w:tcPr>
            <w:tcW w:w="1033" w:type="dxa"/>
            <w:shd w:val="clear" w:color="auto" w:fill="auto"/>
          </w:tcPr>
          <w:p>
            <w:pPr>
              <w:pStyle w:val="GesAbsatz"/>
              <w:jc w:val="center"/>
              <w:rPr>
                <w:sz w:val="18"/>
                <w:szCs w:val="18"/>
              </w:rPr>
            </w:pPr>
            <w:r>
              <w:rPr>
                <w:sz w:val="18"/>
                <w:szCs w:val="18"/>
              </w:rPr>
              <w:t>339</w:t>
            </w:r>
          </w:p>
        </w:tc>
        <w:tc>
          <w:tcPr>
            <w:tcW w:w="1094"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7</w:t>
            </w:r>
          </w:p>
        </w:tc>
        <w:tc>
          <w:tcPr>
            <w:tcW w:w="2977" w:type="dxa"/>
            <w:shd w:val="clear" w:color="auto" w:fill="auto"/>
          </w:tcPr>
          <w:p>
            <w:pPr>
              <w:pStyle w:val="GesAbsatz"/>
              <w:rPr>
                <w:sz w:val="18"/>
                <w:szCs w:val="18"/>
              </w:rPr>
            </w:pPr>
            <w:r>
              <w:rPr>
                <w:sz w:val="18"/>
                <w:szCs w:val="18"/>
              </w:rPr>
              <w:t>Abdampfrückstand (gewaschen)</w:t>
            </w:r>
          </w:p>
        </w:tc>
        <w:tc>
          <w:tcPr>
            <w:tcW w:w="2267" w:type="dxa"/>
            <w:shd w:val="clear" w:color="auto" w:fill="auto"/>
          </w:tcPr>
          <w:p>
            <w:pPr>
              <w:pStyle w:val="GesAbsatz"/>
              <w:rPr>
                <w:sz w:val="18"/>
                <w:szCs w:val="18"/>
              </w:rPr>
            </w:pPr>
            <w:r>
              <w:rPr>
                <w:sz w:val="18"/>
                <w:szCs w:val="18"/>
              </w:rPr>
              <w:t>DIN EN ISO 6246:1998</w:t>
            </w:r>
          </w:p>
        </w:tc>
        <w:tc>
          <w:tcPr>
            <w:tcW w:w="1134" w:type="dxa"/>
            <w:shd w:val="clear" w:color="auto" w:fill="auto"/>
          </w:tcPr>
          <w:p>
            <w:pPr>
              <w:pStyle w:val="GesAbsatz"/>
              <w:jc w:val="center"/>
              <w:rPr>
                <w:sz w:val="18"/>
                <w:szCs w:val="18"/>
              </w:rPr>
            </w:pPr>
            <w:r>
              <w:rPr>
                <w:sz w:val="18"/>
                <w:szCs w:val="18"/>
              </w:rPr>
              <w:t>mg/100 ml</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7,4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8</w:t>
            </w:r>
          </w:p>
        </w:tc>
        <w:tc>
          <w:tcPr>
            <w:tcW w:w="2977" w:type="dxa"/>
            <w:shd w:val="clear" w:color="auto" w:fill="auto"/>
          </w:tcPr>
          <w:p>
            <w:pPr>
              <w:pStyle w:val="GesAbsatz"/>
              <w:rPr>
                <w:sz w:val="18"/>
                <w:szCs w:val="18"/>
              </w:rPr>
            </w:pPr>
            <w:r>
              <w:rPr>
                <w:sz w:val="18"/>
                <w:szCs w:val="18"/>
              </w:rPr>
              <w:t>Korrosionswirkung auf Kupfer (3 h bei 50 °C)</w:t>
            </w:r>
          </w:p>
        </w:tc>
        <w:tc>
          <w:tcPr>
            <w:tcW w:w="2267" w:type="dxa"/>
            <w:shd w:val="clear" w:color="auto" w:fill="auto"/>
          </w:tcPr>
          <w:p>
            <w:pPr>
              <w:pStyle w:val="GesAbsatz"/>
              <w:rPr>
                <w:sz w:val="18"/>
                <w:szCs w:val="18"/>
              </w:rPr>
            </w:pPr>
            <w:r>
              <w:rPr>
                <w:sz w:val="18"/>
                <w:szCs w:val="18"/>
              </w:rPr>
              <w:t>DIN EN ISO 2160:1999</w:t>
            </w:r>
          </w:p>
        </w:tc>
        <w:tc>
          <w:tcPr>
            <w:tcW w:w="1134" w:type="dxa"/>
            <w:shd w:val="clear" w:color="auto" w:fill="auto"/>
          </w:tcPr>
          <w:p>
            <w:pPr>
              <w:pStyle w:val="GesAbsatz"/>
              <w:jc w:val="center"/>
              <w:rPr>
                <w:sz w:val="18"/>
                <w:szCs w:val="18"/>
              </w:rPr>
            </w:pPr>
            <w:r>
              <w:rPr>
                <w:sz w:val="18"/>
                <w:szCs w:val="18"/>
              </w:rPr>
              <w:t>Korros</w:t>
            </w:r>
            <w:r>
              <w:rPr>
                <w:sz w:val="18"/>
                <w:szCs w:val="18"/>
              </w:rPr>
              <w:t>i</w:t>
            </w:r>
            <w:r>
              <w:rPr>
                <w:sz w:val="18"/>
                <w:szCs w:val="18"/>
              </w:rPr>
              <w:t>onsgrad</w:t>
            </w:r>
          </w:p>
        </w:tc>
        <w:tc>
          <w:tcPr>
            <w:tcW w:w="2127" w:type="dxa"/>
            <w:gridSpan w:val="2"/>
            <w:shd w:val="clear" w:color="auto" w:fill="auto"/>
          </w:tcPr>
          <w:p>
            <w:pPr>
              <w:pStyle w:val="GesAbsatz"/>
              <w:jc w:val="center"/>
              <w:rPr>
                <w:sz w:val="18"/>
                <w:szCs w:val="18"/>
              </w:rPr>
            </w:pPr>
            <w:r>
              <w:rPr>
                <w:sz w:val="18"/>
                <w:szCs w:val="18"/>
              </w:rPr>
              <w:t>Klasse 1</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9</w:t>
            </w:r>
          </w:p>
        </w:tc>
        <w:tc>
          <w:tcPr>
            <w:tcW w:w="2977" w:type="dxa"/>
            <w:tcBorders>
              <w:bottom w:val="single" w:sz="4" w:space="0" w:color="auto"/>
            </w:tcBorders>
            <w:shd w:val="clear" w:color="auto" w:fill="auto"/>
          </w:tcPr>
          <w:p>
            <w:pPr>
              <w:pStyle w:val="GesAbsatz"/>
              <w:rPr>
                <w:sz w:val="18"/>
                <w:szCs w:val="18"/>
              </w:rPr>
            </w:pPr>
            <w:r>
              <w:rPr>
                <w:sz w:val="18"/>
                <w:szCs w:val="18"/>
              </w:rPr>
              <w:t>Aussehen</w:t>
            </w:r>
          </w:p>
        </w:tc>
        <w:tc>
          <w:tcPr>
            <w:tcW w:w="2267" w:type="dxa"/>
            <w:tcBorders>
              <w:bottom w:val="single" w:sz="4" w:space="0" w:color="auto"/>
            </w:tcBorders>
            <w:shd w:val="clear" w:color="auto" w:fill="auto"/>
          </w:tcPr>
          <w:p>
            <w:pPr>
              <w:pStyle w:val="GesAbsatz"/>
              <w:rPr>
                <w:sz w:val="18"/>
                <w:szCs w:val="18"/>
              </w:rPr>
            </w:pPr>
            <w:r>
              <w:rPr>
                <w:sz w:val="18"/>
                <w:szCs w:val="18"/>
              </w:rPr>
              <w:t>visuell</w:t>
            </w:r>
          </w:p>
        </w:tc>
        <w:tc>
          <w:tcPr>
            <w:tcW w:w="1134" w:type="dxa"/>
            <w:tcBorders>
              <w:bottom w:val="single" w:sz="4" w:space="0" w:color="auto"/>
            </w:tcBorders>
            <w:shd w:val="clear" w:color="auto" w:fill="auto"/>
          </w:tcPr>
          <w:p>
            <w:pPr>
              <w:pStyle w:val="GesAbsatz"/>
              <w:jc w:val="center"/>
              <w:rPr>
                <w:sz w:val="18"/>
                <w:szCs w:val="18"/>
              </w:rPr>
            </w:pPr>
            <w:r>
              <w:rPr>
                <w:sz w:val="18"/>
                <w:szCs w:val="18"/>
              </w:rPr>
              <w:t>–</w:t>
            </w:r>
          </w:p>
        </w:tc>
        <w:tc>
          <w:tcPr>
            <w:tcW w:w="2127" w:type="dxa"/>
            <w:gridSpan w:val="2"/>
            <w:tcBorders>
              <w:bottom w:val="single" w:sz="4" w:space="0" w:color="auto"/>
            </w:tcBorders>
            <w:shd w:val="clear" w:color="auto" w:fill="auto"/>
          </w:tcPr>
          <w:p>
            <w:pPr>
              <w:pStyle w:val="GesAbsatz"/>
              <w:jc w:val="center"/>
              <w:rPr>
                <w:sz w:val="18"/>
                <w:szCs w:val="18"/>
              </w:rPr>
            </w:pPr>
            <w:r>
              <w:rPr>
                <w:sz w:val="18"/>
                <w:szCs w:val="18"/>
              </w:rPr>
              <w:t>klar und trübung</w:t>
            </w:r>
            <w:r>
              <w:rPr>
                <w:sz w:val="18"/>
                <w:szCs w:val="18"/>
              </w:rPr>
              <w:t>s</w:t>
            </w:r>
            <w:r>
              <w:rPr>
                <w:sz w:val="18"/>
                <w:szCs w:val="18"/>
              </w:rPr>
              <w:t>frei</w:t>
            </w:r>
          </w:p>
        </w:tc>
        <w:tc>
          <w:tcPr>
            <w:tcW w:w="911" w:type="dxa"/>
            <w:tcBorders>
              <w:bottom w:val="single" w:sz="4" w:space="0" w:color="auto"/>
            </w:tcBorders>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10</w:t>
            </w:r>
          </w:p>
        </w:tc>
        <w:tc>
          <w:tcPr>
            <w:tcW w:w="2977" w:type="dxa"/>
            <w:tcBorders>
              <w:bottom w:val="nil"/>
            </w:tcBorders>
            <w:shd w:val="clear" w:color="auto" w:fill="auto"/>
          </w:tcPr>
          <w:p>
            <w:pPr>
              <w:pStyle w:val="GesAbsatz"/>
              <w:rPr>
                <w:sz w:val="18"/>
                <w:szCs w:val="18"/>
              </w:rPr>
            </w:pPr>
            <w:r>
              <w:rPr>
                <w:sz w:val="18"/>
                <w:szCs w:val="18"/>
              </w:rPr>
              <w:t>Gehalt an Kohlenwasserstoff-Gruppen</w:t>
            </w:r>
          </w:p>
        </w:tc>
        <w:tc>
          <w:tcPr>
            <w:tcW w:w="2267" w:type="dxa"/>
            <w:tcBorders>
              <w:bottom w:val="nil"/>
            </w:tcBorders>
            <w:shd w:val="clear" w:color="auto" w:fill="auto"/>
          </w:tcPr>
          <w:p>
            <w:pPr>
              <w:pStyle w:val="GesAbsatz"/>
              <w:rPr>
                <w:sz w:val="18"/>
                <w:szCs w:val="18"/>
              </w:rPr>
            </w:pPr>
          </w:p>
        </w:tc>
        <w:tc>
          <w:tcPr>
            <w:tcW w:w="1134" w:type="dxa"/>
            <w:tcBorders>
              <w:bottom w:val="nil"/>
            </w:tcBorders>
            <w:shd w:val="clear" w:color="auto" w:fill="auto"/>
          </w:tcPr>
          <w:p>
            <w:pPr>
              <w:pStyle w:val="GesAbsatz"/>
              <w:jc w:val="center"/>
              <w:rPr>
                <w:sz w:val="18"/>
                <w:szCs w:val="18"/>
              </w:rPr>
            </w:pPr>
          </w:p>
        </w:tc>
        <w:tc>
          <w:tcPr>
            <w:tcW w:w="1033" w:type="dxa"/>
            <w:vMerge w:val="restart"/>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right" w:pos="2604"/>
              </w:tabs>
              <w:rPr>
                <w:sz w:val="18"/>
                <w:szCs w:val="18"/>
              </w:rPr>
            </w:pPr>
            <w:r>
              <w:rPr>
                <w:sz w:val="18"/>
                <w:szCs w:val="18"/>
              </w:rPr>
              <w:t>– Olefine</w:t>
            </w:r>
            <w:r>
              <w:rPr>
                <w:sz w:val="18"/>
                <w:szCs w:val="18"/>
              </w:rPr>
              <w:tab/>
              <w:t>alle Qualitäten</w:t>
            </w:r>
          </w:p>
        </w:tc>
        <w:tc>
          <w:tcPr>
            <w:tcW w:w="2267" w:type="dxa"/>
            <w:vMerge w:val="restart"/>
            <w:tcBorders>
              <w:top w:val="nil"/>
            </w:tcBorders>
            <w:shd w:val="clear" w:color="auto" w:fill="auto"/>
          </w:tcPr>
          <w:p>
            <w:pPr>
              <w:pStyle w:val="GesAbsatz"/>
              <w:rPr>
                <w:sz w:val="18"/>
                <w:szCs w:val="18"/>
              </w:rPr>
            </w:pPr>
            <w:r>
              <w:rPr>
                <w:sz w:val="18"/>
                <w:szCs w:val="18"/>
              </w:rPr>
              <w:t>DIN EN ISO 22854:2009</w:t>
            </w:r>
          </w:p>
        </w:tc>
        <w:tc>
          <w:tcPr>
            <w:tcW w:w="1134" w:type="dxa"/>
            <w:vMerge w:val="restart"/>
            <w:tcBorders>
              <w:top w:val="nil"/>
            </w:tcBorders>
            <w:shd w:val="clear" w:color="auto" w:fill="auto"/>
          </w:tcPr>
          <w:p>
            <w:pPr>
              <w:pStyle w:val="GesAbsatz"/>
              <w:jc w:val="center"/>
              <w:rPr>
                <w:sz w:val="18"/>
                <w:szCs w:val="18"/>
              </w:rPr>
            </w:pPr>
            <w:r>
              <w:rPr>
                <w:sz w:val="18"/>
                <w:szCs w:val="18"/>
              </w:rPr>
              <w:t>% (V/V)</w:t>
            </w:r>
          </w:p>
        </w:tc>
        <w:tc>
          <w:tcPr>
            <w:tcW w:w="1033" w:type="dxa"/>
            <w:vMerge/>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19,5</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right" w:pos="2604"/>
              </w:tabs>
              <w:rPr>
                <w:sz w:val="18"/>
                <w:szCs w:val="18"/>
              </w:rPr>
            </w:pPr>
            <w:r>
              <w:rPr>
                <w:sz w:val="18"/>
                <w:szCs w:val="18"/>
              </w:rPr>
              <w:t>– Aromaten</w:t>
            </w:r>
            <w:r>
              <w:rPr>
                <w:sz w:val="18"/>
                <w:szCs w:val="18"/>
              </w:rPr>
              <w:tab/>
              <w:t>alle Qualitäten</w:t>
            </w:r>
          </w:p>
        </w:tc>
        <w:tc>
          <w:tcPr>
            <w:tcW w:w="2267" w:type="dxa"/>
            <w:vMerge/>
            <w:tcBorders>
              <w:bottom w:val="nil"/>
            </w:tcBorders>
            <w:shd w:val="clear" w:color="auto" w:fill="auto"/>
          </w:tcPr>
          <w:p>
            <w:pPr>
              <w:pStyle w:val="GesAbsatz"/>
              <w:rPr>
                <w:sz w:val="18"/>
                <w:szCs w:val="18"/>
              </w:rPr>
            </w:pPr>
          </w:p>
        </w:tc>
        <w:tc>
          <w:tcPr>
            <w:tcW w:w="1134" w:type="dxa"/>
            <w:vMerge/>
            <w:tcBorders>
              <w:bottom w:val="nil"/>
            </w:tcBorders>
            <w:shd w:val="clear" w:color="auto" w:fill="auto"/>
          </w:tcPr>
          <w:p>
            <w:pPr>
              <w:pStyle w:val="GesAbsatz"/>
              <w:jc w:val="center"/>
              <w:rPr>
                <w:sz w:val="18"/>
                <w:szCs w:val="18"/>
              </w:rPr>
            </w:pPr>
          </w:p>
        </w:tc>
        <w:tc>
          <w:tcPr>
            <w:tcW w:w="1033" w:type="dxa"/>
            <w:vMerge/>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36,0</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right" w:pos="2604"/>
              </w:tabs>
              <w:rPr>
                <w:sz w:val="18"/>
                <w:szCs w:val="18"/>
              </w:rPr>
            </w:pPr>
            <w:r>
              <w:rPr>
                <w:sz w:val="18"/>
                <w:szCs w:val="18"/>
              </w:rPr>
              <w:t>– Olefine</w:t>
            </w:r>
            <w:r>
              <w:rPr>
                <w:sz w:val="18"/>
                <w:szCs w:val="18"/>
              </w:rPr>
              <w:tab/>
              <w:t>alle Qualitäten</w:t>
            </w:r>
          </w:p>
        </w:tc>
        <w:tc>
          <w:tcPr>
            <w:tcW w:w="2267" w:type="dxa"/>
            <w:vMerge w:val="restart"/>
            <w:tcBorders>
              <w:top w:val="nil"/>
            </w:tcBorders>
            <w:shd w:val="clear" w:color="auto" w:fill="auto"/>
          </w:tcPr>
          <w:p>
            <w:pPr>
              <w:pStyle w:val="GesAbsatz"/>
              <w:rPr>
                <w:sz w:val="18"/>
                <w:szCs w:val="18"/>
              </w:rPr>
            </w:pPr>
            <w:r>
              <w:rPr>
                <w:sz w:val="18"/>
                <w:szCs w:val="18"/>
              </w:rPr>
              <w:t>DIN EN 15553:2007</w:t>
            </w:r>
          </w:p>
        </w:tc>
        <w:tc>
          <w:tcPr>
            <w:tcW w:w="1134" w:type="dxa"/>
            <w:vMerge w:val="restart"/>
            <w:tcBorders>
              <w:top w:val="nil"/>
            </w:tcBorders>
            <w:shd w:val="clear" w:color="auto" w:fill="auto"/>
          </w:tcPr>
          <w:p>
            <w:pPr>
              <w:pStyle w:val="GesAbsatz"/>
              <w:jc w:val="center"/>
              <w:rPr>
                <w:sz w:val="18"/>
                <w:szCs w:val="18"/>
              </w:rPr>
            </w:pPr>
            <w:r>
              <w:rPr>
                <w:sz w:val="18"/>
                <w:szCs w:val="18"/>
              </w:rPr>
              <w:t>% (V/V)</w:t>
            </w:r>
          </w:p>
        </w:tc>
        <w:tc>
          <w:tcPr>
            <w:tcW w:w="1033" w:type="dxa"/>
            <w:vMerge/>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20,7</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tabs>
                <w:tab w:val="right" w:pos="2604"/>
              </w:tabs>
              <w:rPr>
                <w:sz w:val="18"/>
                <w:szCs w:val="18"/>
              </w:rPr>
            </w:pPr>
            <w:r>
              <w:rPr>
                <w:sz w:val="18"/>
                <w:szCs w:val="18"/>
              </w:rPr>
              <w:t>– Aromaten</w:t>
            </w:r>
            <w:r>
              <w:rPr>
                <w:sz w:val="18"/>
                <w:szCs w:val="18"/>
              </w:rPr>
              <w:tab/>
              <w:t>alle Qualitäten</w:t>
            </w:r>
          </w:p>
        </w:tc>
        <w:tc>
          <w:tcPr>
            <w:tcW w:w="2267" w:type="dxa"/>
            <w:vMerge/>
            <w:tcBorders>
              <w:bottom w:val="single" w:sz="4" w:space="0" w:color="auto"/>
            </w:tcBorders>
            <w:shd w:val="clear" w:color="auto" w:fill="auto"/>
          </w:tcPr>
          <w:p>
            <w:pPr>
              <w:pStyle w:val="GesAbsatz"/>
              <w:rPr>
                <w:sz w:val="18"/>
                <w:szCs w:val="18"/>
              </w:rPr>
            </w:pPr>
          </w:p>
        </w:tc>
        <w:tc>
          <w:tcPr>
            <w:tcW w:w="1134" w:type="dxa"/>
            <w:vMerge/>
            <w:tcBorders>
              <w:bottom w:val="single" w:sz="4" w:space="0" w:color="auto"/>
            </w:tcBorders>
            <w:shd w:val="clear" w:color="auto" w:fill="auto"/>
          </w:tcPr>
          <w:p>
            <w:pPr>
              <w:pStyle w:val="GesAbsatz"/>
              <w:jc w:val="center"/>
              <w:rPr>
                <w:sz w:val="18"/>
                <w:szCs w:val="18"/>
              </w:rPr>
            </w:pPr>
          </w:p>
        </w:tc>
        <w:tc>
          <w:tcPr>
            <w:tcW w:w="1033" w:type="dxa"/>
            <w:vMerge/>
            <w:tcBorders>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37,2</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11</w:t>
            </w:r>
          </w:p>
        </w:tc>
        <w:tc>
          <w:tcPr>
            <w:tcW w:w="2977" w:type="dxa"/>
            <w:vMerge w:val="restart"/>
            <w:shd w:val="clear" w:color="auto" w:fill="auto"/>
          </w:tcPr>
          <w:p>
            <w:pPr>
              <w:pStyle w:val="GesAbsatz"/>
              <w:rPr>
                <w:sz w:val="18"/>
                <w:szCs w:val="18"/>
              </w:rPr>
            </w:pPr>
            <w:r>
              <w:rPr>
                <w:sz w:val="18"/>
                <w:szCs w:val="18"/>
              </w:rPr>
              <w:t>Benzolgehalt</w:t>
            </w:r>
          </w:p>
        </w:tc>
        <w:tc>
          <w:tcPr>
            <w:tcW w:w="2267" w:type="dxa"/>
            <w:tcBorders>
              <w:bottom w:val="nil"/>
            </w:tcBorders>
            <w:shd w:val="clear" w:color="auto" w:fill="auto"/>
          </w:tcPr>
          <w:p>
            <w:pPr>
              <w:pStyle w:val="GesAbsatz"/>
              <w:rPr>
                <w:sz w:val="18"/>
                <w:szCs w:val="18"/>
              </w:rPr>
            </w:pPr>
            <w:r>
              <w:rPr>
                <w:sz w:val="18"/>
                <w:szCs w:val="18"/>
              </w:rPr>
              <w:t>DIN EN 238:2004</w:t>
            </w:r>
          </w:p>
        </w:tc>
        <w:tc>
          <w:tcPr>
            <w:tcW w:w="1134" w:type="dxa"/>
            <w:vMerge w:val="restart"/>
            <w:tcBorders>
              <w:bottom w:val="nil"/>
            </w:tcBorders>
            <w:shd w:val="clear" w:color="auto" w:fill="auto"/>
          </w:tcPr>
          <w:p>
            <w:pPr>
              <w:pStyle w:val="GesAbsatz"/>
              <w:jc w:val="center"/>
              <w:rPr>
                <w:sz w:val="18"/>
                <w:szCs w:val="18"/>
              </w:rPr>
            </w:pPr>
            <w:r>
              <w:rPr>
                <w:sz w:val="18"/>
                <w:szCs w:val="18"/>
              </w:rPr>
              <w:t>% (V/V)</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1,10</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DIN EN 12177:1998</w:t>
            </w: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1,06</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ISO 22854:2009</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1,03</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12</w:t>
            </w:r>
          </w:p>
        </w:tc>
        <w:tc>
          <w:tcPr>
            <w:tcW w:w="2977" w:type="dxa"/>
            <w:vMerge w:val="restart"/>
            <w:shd w:val="clear" w:color="auto" w:fill="auto"/>
          </w:tcPr>
          <w:p>
            <w:pPr>
              <w:pStyle w:val="GesAbsatz"/>
              <w:rPr>
                <w:sz w:val="18"/>
                <w:szCs w:val="18"/>
              </w:rPr>
            </w:pPr>
            <w:r>
              <w:rPr>
                <w:sz w:val="18"/>
                <w:szCs w:val="18"/>
              </w:rPr>
              <w:t>Sauerstoffgehalt</w:t>
            </w:r>
            <w:r>
              <w:rPr>
                <w:sz w:val="18"/>
                <w:szCs w:val="18"/>
                <w:vertAlign w:val="superscript"/>
              </w:rPr>
              <w:t>c)</w:t>
            </w:r>
          </w:p>
        </w:tc>
        <w:tc>
          <w:tcPr>
            <w:tcW w:w="2267" w:type="dxa"/>
            <w:tcBorders>
              <w:bottom w:val="nil"/>
            </w:tcBorders>
            <w:shd w:val="clear" w:color="auto" w:fill="auto"/>
          </w:tcPr>
          <w:p>
            <w:pPr>
              <w:pStyle w:val="GesAbsatz"/>
              <w:rPr>
                <w:sz w:val="18"/>
                <w:szCs w:val="18"/>
              </w:rPr>
            </w:pPr>
            <w:r>
              <w:rPr>
                <w:sz w:val="18"/>
                <w:szCs w:val="18"/>
              </w:rPr>
              <w:t>DIN EN 1601:1997</w:t>
            </w:r>
          </w:p>
        </w:tc>
        <w:tc>
          <w:tcPr>
            <w:tcW w:w="1134" w:type="dxa"/>
            <w:vMerge w:val="restart"/>
            <w:tcBorders>
              <w:bottom w:val="nil"/>
            </w:tcBorders>
            <w:shd w:val="clear" w:color="auto" w:fill="auto"/>
          </w:tcPr>
          <w:p>
            <w:pPr>
              <w:pStyle w:val="GesAbsatz"/>
              <w:jc w:val="center"/>
              <w:rPr>
                <w:sz w:val="18"/>
                <w:szCs w:val="18"/>
              </w:rPr>
            </w:pPr>
            <w:r>
              <w:rPr>
                <w:sz w:val="18"/>
                <w:szCs w:val="18"/>
              </w:rPr>
              <w:t>% (m/m)</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2,88</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DIN EN 13132:2002</w:t>
            </w: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2,88</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tcBorders>
              <w:bottom w:val="single" w:sz="4" w:space="0" w:color="auto"/>
            </w:tcBorders>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ISO 22854:2009</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2,88</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13</w:t>
            </w:r>
          </w:p>
        </w:tc>
        <w:tc>
          <w:tcPr>
            <w:tcW w:w="2977" w:type="dxa"/>
            <w:tcBorders>
              <w:bottom w:val="nil"/>
            </w:tcBorders>
            <w:shd w:val="clear" w:color="auto" w:fill="auto"/>
          </w:tcPr>
          <w:p>
            <w:pPr>
              <w:pStyle w:val="GesAbsatz"/>
              <w:rPr>
                <w:sz w:val="18"/>
                <w:szCs w:val="18"/>
              </w:rPr>
            </w:pPr>
            <w:r>
              <w:rPr>
                <w:sz w:val="18"/>
                <w:szCs w:val="18"/>
              </w:rPr>
              <w:t>Gehalt an sauerstoffhaltigen o</w:t>
            </w:r>
            <w:r>
              <w:rPr>
                <w:sz w:val="18"/>
                <w:szCs w:val="18"/>
              </w:rPr>
              <w:t>r</w:t>
            </w:r>
            <w:r>
              <w:rPr>
                <w:sz w:val="18"/>
                <w:szCs w:val="18"/>
              </w:rPr>
              <w:t>ganischen Verbindungen</w:t>
            </w:r>
            <w:r>
              <w:rPr>
                <w:sz w:val="18"/>
                <w:szCs w:val="18"/>
                <w:vertAlign w:val="superscript"/>
              </w:rPr>
              <w:t>c)</w:t>
            </w:r>
          </w:p>
        </w:tc>
        <w:tc>
          <w:tcPr>
            <w:tcW w:w="2267" w:type="dxa"/>
            <w:vMerge w:val="restart"/>
            <w:tcBorders>
              <w:bottom w:val="nil"/>
            </w:tcBorders>
            <w:shd w:val="clear" w:color="auto" w:fill="auto"/>
          </w:tcPr>
          <w:p>
            <w:pPr>
              <w:pStyle w:val="GesAbsatz"/>
              <w:rPr>
                <w:sz w:val="18"/>
                <w:szCs w:val="18"/>
              </w:rPr>
            </w:pPr>
            <w:r>
              <w:rPr>
                <w:sz w:val="18"/>
                <w:szCs w:val="18"/>
              </w:rPr>
              <w:t>DIN EN 1601:1997/</w:t>
            </w:r>
          </w:p>
          <w:p>
            <w:pPr>
              <w:pStyle w:val="GesAbsatz"/>
              <w:rPr>
                <w:sz w:val="18"/>
                <w:szCs w:val="18"/>
              </w:rPr>
            </w:pPr>
            <w:r>
              <w:rPr>
                <w:sz w:val="18"/>
                <w:szCs w:val="18"/>
              </w:rPr>
              <w:t>DIN EN 13132:2002/</w:t>
            </w:r>
          </w:p>
          <w:p>
            <w:pPr>
              <w:pStyle w:val="GesAbsatz"/>
              <w:rPr>
                <w:sz w:val="18"/>
                <w:szCs w:val="18"/>
              </w:rPr>
            </w:pPr>
            <w:r>
              <w:rPr>
                <w:sz w:val="18"/>
                <w:szCs w:val="18"/>
              </w:rPr>
              <w:t>DIN EN ISO 22854:2009</w:t>
            </w:r>
          </w:p>
        </w:tc>
        <w:tc>
          <w:tcPr>
            <w:tcW w:w="1134" w:type="dxa"/>
            <w:vMerge w:val="restart"/>
            <w:tcBorders>
              <w:bottom w:val="nil"/>
            </w:tcBorders>
            <w:shd w:val="clear" w:color="auto" w:fill="auto"/>
          </w:tcPr>
          <w:p>
            <w:pPr>
              <w:pStyle w:val="GesAbsatz"/>
              <w:jc w:val="center"/>
              <w:rPr>
                <w:sz w:val="18"/>
                <w:szCs w:val="18"/>
              </w:rPr>
            </w:pPr>
            <w:r>
              <w:rPr>
                <w:sz w:val="18"/>
                <w:szCs w:val="18"/>
              </w:rPr>
              <w:t>% (V/V)</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Methanol (Stabilisierungsmittel müssen verwendet werden)</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3,2/3,2/3,3</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Ethanol (Stabilisierungsmittel können notwendig sein)</w:t>
            </w:r>
            <w:r>
              <w:rPr>
                <w:sz w:val="18"/>
                <w:szCs w:val="18"/>
                <w:vertAlign w:val="superscript"/>
              </w:rPr>
              <w:t>e)</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5,2/5,2/5,3</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2-Propanol, Iso-propyl-Alkohol (IPA)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12,5/12,5/12,4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2-Methyl-1-propanol, Isobutyl-Alkohol (IBA)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15,6/15,6/15,4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Methyl-2-propanol, t-Butyl-Alkohol (TBA)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15,6/15,6/15,4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Ether (5 oder mehr C-Atome)</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–/–/22,5</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rPr>
                <w:sz w:val="18"/>
                <w:szCs w:val="18"/>
              </w:rPr>
            </w:pPr>
            <w:r>
              <w:rPr>
                <w:sz w:val="18"/>
                <w:szCs w:val="18"/>
              </w:rPr>
              <w:t>– andere sauerstoffhaltige organ</w:t>
            </w:r>
            <w:r>
              <w:rPr>
                <w:sz w:val="18"/>
                <w:szCs w:val="18"/>
              </w:rPr>
              <w:t>i</w:t>
            </w:r>
            <w:r>
              <w:rPr>
                <w:sz w:val="18"/>
                <w:szCs w:val="18"/>
              </w:rPr>
              <w:t>sche Verbindungen</w:t>
            </w:r>
            <w:r>
              <w:rPr>
                <w:sz w:val="18"/>
                <w:szCs w:val="18"/>
                <w:vertAlign w:val="superscript"/>
              </w:rPr>
              <w:t>d)</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15,6/15,6/15,4</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14</w:t>
            </w:r>
          </w:p>
        </w:tc>
        <w:tc>
          <w:tcPr>
            <w:tcW w:w="2977" w:type="dxa"/>
            <w:tcBorders>
              <w:bottom w:val="nil"/>
            </w:tcBorders>
            <w:shd w:val="clear" w:color="auto" w:fill="auto"/>
          </w:tcPr>
          <w:p>
            <w:pPr>
              <w:pStyle w:val="GesAbsatz"/>
              <w:rPr>
                <w:sz w:val="18"/>
                <w:szCs w:val="18"/>
              </w:rPr>
            </w:pPr>
            <w:r>
              <w:rPr>
                <w:sz w:val="18"/>
                <w:szCs w:val="18"/>
              </w:rPr>
              <w:t>Dampfdruck (DVPE)</w:t>
            </w:r>
          </w:p>
        </w:tc>
        <w:tc>
          <w:tcPr>
            <w:tcW w:w="2267" w:type="dxa"/>
            <w:tcBorders>
              <w:bottom w:val="nil"/>
            </w:tcBorders>
            <w:shd w:val="clear" w:color="auto" w:fill="auto"/>
          </w:tcPr>
          <w:p>
            <w:pPr>
              <w:pStyle w:val="GesAbsatz"/>
              <w:rPr>
                <w:sz w:val="18"/>
                <w:szCs w:val="18"/>
              </w:rPr>
            </w:pPr>
            <w:r>
              <w:rPr>
                <w:sz w:val="18"/>
                <w:szCs w:val="18"/>
              </w:rPr>
              <w:t>DIN EN 13016-1:2007</w:t>
            </w:r>
          </w:p>
        </w:tc>
        <w:tc>
          <w:tcPr>
            <w:tcW w:w="1134" w:type="dxa"/>
            <w:vMerge w:val="restart"/>
            <w:tcBorders>
              <w:bottom w:val="nil"/>
            </w:tcBorders>
            <w:shd w:val="clear" w:color="auto" w:fill="auto"/>
          </w:tcPr>
          <w:p>
            <w:pPr>
              <w:pStyle w:val="GesAbsatz"/>
              <w:jc w:val="center"/>
              <w:rPr>
                <w:sz w:val="18"/>
                <w:szCs w:val="18"/>
              </w:rPr>
            </w:pPr>
            <w:r>
              <w:rPr>
                <w:sz w:val="18"/>
                <w:szCs w:val="18"/>
              </w:rPr>
              <w:t>kPa</w:t>
            </w: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val="restart"/>
            <w:tcBorders>
              <w:top w:val="nil"/>
              <w:bottom w:val="nil"/>
            </w:tcBorders>
            <w:shd w:val="clear" w:color="auto" w:fill="auto"/>
          </w:tcPr>
          <w:p>
            <w:pPr>
              <w:pStyle w:val="GesAbsatz"/>
              <w:rPr>
                <w:sz w:val="18"/>
                <w:szCs w:val="18"/>
              </w:rPr>
            </w:pPr>
            <w:r>
              <w:rPr>
                <w:sz w:val="18"/>
                <w:szCs w:val="18"/>
              </w:rPr>
              <w:t>Klasse A</w:t>
            </w:r>
          </w:p>
        </w:tc>
        <w:tc>
          <w:tcPr>
            <w:tcW w:w="2267" w:type="dxa"/>
            <w:tcBorders>
              <w:top w:val="nil"/>
              <w:bottom w:val="nil"/>
            </w:tcBorders>
            <w:shd w:val="clear" w:color="auto" w:fill="auto"/>
          </w:tcPr>
          <w:p>
            <w:pPr>
              <w:pStyle w:val="GesAbsatz"/>
              <w:rPr>
                <w:sz w:val="18"/>
                <w:szCs w:val="18"/>
              </w:rPr>
            </w:pPr>
            <w:r>
              <w:rPr>
                <w:sz w:val="18"/>
                <w:szCs w:val="18"/>
              </w:rPr>
              <w:t>(1 Liter)</w:t>
            </w: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43,8</w:t>
            </w:r>
          </w:p>
        </w:tc>
        <w:tc>
          <w:tcPr>
            <w:tcW w:w="1094" w:type="dxa"/>
            <w:tcBorders>
              <w:top w:val="nil"/>
              <w:bottom w:val="nil"/>
            </w:tcBorders>
            <w:shd w:val="clear" w:color="auto" w:fill="auto"/>
          </w:tcPr>
          <w:p>
            <w:pPr>
              <w:pStyle w:val="GesAbsatz"/>
              <w:jc w:val="center"/>
              <w:rPr>
                <w:sz w:val="18"/>
                <w:szCs w:val="18"/>
              </w:rPr>
            </w:pPr>
            <w:r>
              <w:rPr>
                <w:sz w:val="18"/>
                <w:szCs w:val="18"/>
              </w:rPr>
              <w:t>61,3</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tcBorders>
              <w:top w:val="nil"/>
              <w:bottom w:val="nil"/>
            </w:tcBorders>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(250 ml)</w:t>
            </w: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43,4</w:t>
            </w:r>
          </w:p>
        </w:tc>
        <w:tc>
          <w:tcPr>
            <w:tcW w:w="1094" w:type="dxa"/>
            <w:tcBorders>
              <w:top w:val="nil"/>
              <w:bottom w:val="nil"/>
            </w:tcBorders>
            <w:shd w:val="clear" w:color="auto" w:fill="auto"/>
          </w:tcPr>
          <w:p>
            <w:pPr>
              <w:pStyle w:val="GesAbsatz"/>
              <w:jc w:val="center"/>
              <w:rPr>
                <w:sz w:val="18"/>
                <w:szCs w:val="18"/>
              </w:rPr>
            </w:pPr>
            <w:r>
              <w:rPr>
                <w:sz w:val="18"/>
                <w:szCs w:val="18"/>
              </w:rPr>
              <w:t>61,6</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val="restart"/>
            <w:tcBorders>
              <w:top w:val="nil"/>
              <w:bottom w:val="nil"/>
            </w:tcBorders>
            <w:shd w:val="clear" w:color="auto" w:fill="auto"/>
          </w:tcPr>
          <w:p>
            <w:pPr>
              <w:pStyle w:val="GesAbsatz"/>
              <w:rPr>
                <w:sz w:val="18"/>
                <w:szCs w:val="18"/>
              </w:rPr>
            </w:pPr>
            <w:r>
              <w:rPr>
                <w:sz w:val="18"/>
                <w:szCs w:val="18"/>
              </w:rPr>
              <w:t>Klasse D</w:t>
            </w:r>
          </w:p>
        </w:tc>
        <w:tc>
          <w:tcPr>
            <w:tcW w:w="2267" w:type="dxa"/>
            <w:tcBorders>
              <w:top w:val="nil"/>
              <w:bottom w:val="nil"/>
            </w:tcBorders>
            <w:shd w:val="clear" w:color="auto" w:fill="auto"/>
          </w:tcPr>
          <w:p>
            <w:pPr>
              <w:pStyle w:val="GesAbsatz"/>
              <w:rPr>
                <w:sz w:val="18"/>
                <w:szCs w:val="18"/>
              </w:rPr>
            </w:pPr>
            <w:r>
              <w:rPr>
                <w:sz w:val="18"/>
                <w:szCs w:val="18"/>
              </w:rPr>
              <w:t>(1 Liter)</w:t>
            </w: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58,7</w:t>
            </w:r>
          </w:p>
        </w:tc>
        <w:tc>
          <w:tcPr>
            <w:tcW w:w="1094" w:type="dxa"/>
            <w:tcBorders>
              <w:top w:val="nil"/>
              <w:bottom w:val="nil"/>
            </w:tcBorders>
            <w:shd w:val="clear" w:color="auto" w:fill="auto"/>
          </w:tcPr>
          <w:p>
            <w:pPr>
              <w:pStyle w:val="GesAbsatz"/>
              <w:jc w:val="center"/>
              <w:rPr>
                <w:sz w:val="18"/>
                <w:szCs w:val="18"/>
              </w:rPr>
            </w:pPr>
            <w:r>
              <w:rPr>
                <w:sz w:val="18"/>
                <w:szCs w:val="18"/>
              </w:rPr>
              <w:t>91,5</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vMerge/>
            <w:tcBorders>
              <w:top w:val="nil"/>
              <w:bottom w:val="single" w:sz="4" w:space="0" w:color="auto"/>
            </w:tcBorders>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(250 ml)</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58,4</w:t>
            </w: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91,6</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15</w:t>
            </w:r>
          </w:p>
        </w:tc>
        <w:tc>
          <w:tcPr>
            <w:tcW w:w="2977" w:type="dxa"/>
            <w:tcBorders>
              <w:bottom w:val="nil"/>
            </w:tcBorders>
            <w:shd w:val="clear" w:color="auto" w:fill="auto"/>
          </w:tcPr>
          <w:p>
            <w:pPr>
              <w:pStyle w:val="GesAbsatz"/>
              <w:rPr>
                <w:sz w:val="18"/>
                <w:szCs w:val="18"/>
              </w:rPr>
            </w:pPr>
            <w:r>
              <w:rPr>
                <w:sz w:val="18"/>
                <w:szCs w:val="18"/>
              </w:rPr>
              <w:t>Destillation</w:t>
            </w:r>
          </w:p>
        </w:tc>
        <w:tc>
          <w:tcPr>
            <w:tcW w:w="2267" w:type="dxa"/>
            <w:vMerge w:val="restart"/>
            <w:tcBorders>
              <w:bottom w:val="nil"/>
            </w:tcBorders>
            <w:shd w:val="clear" w:color="auto" w:fill="auto"/>
          </w:tcPr>
          <w:p>
            <w:pPr>
              <w:pStyle w:val="GesAbsatz"/>
              <w:rPr>
                <w:sz w:val="18"/>
                <w:szCs w:val="18"/>
              </w:rPr>
            </w:pPr>
            <w:r>
              <w:rPr>
                <w:sz w:val="18"/>
                <w:szCs w:val="18"/>
              </w:rPr>
              <w:t>DIN EN ISO 3405:2001</w:t>
            </w:r>
          </w:p>
        </w:tc>
        <w:tc>
          <w:tcPr>
            <w:tcW w:w="1134" w:type="dxa"/>
            <w:tcBorders>
              <w:bottom w:val="nil"/>
            </w:tcBorders>
            <w:shd w:val="clear" w:color="auto" w:fill="auto"/>
          </w:tcPr>
          <w:p>
            <w:pPr>
              <w:pStyle w:val="GesAbsatz"/>
              <w:jc w:val="center"/>
              <w:rPr>
                <w:sz w:val="18"/>
                <w:szCs w:val="18"/>
              </w:rPr>
            </w:pP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70 °C (E70)</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16,5</w:t>
            </w:r>
          </w:p>
        </w:tc>
        <w:tc>
          <w:tcPr>
            <w:tcW w:w="1094" w:type="dxa"/>
            <w:tcBorders>
              <w:top w:val="nil"/>
              <w:bottom w:val="nil"/>
            </w:tcBorders>
            <w:shd w:val="clear" w:color="auto" w:fill="auto"/>
          </w:tcPr>
          <w:p>
            <w:pPr>
              <w:pStyle w:val="GesAbsatz"/>
              <w:jc w:val="center"/>
              <w:rPr>
                <w:sz w:val="18"/>
                <w:szCs w:val="18"/>
              </w:rPr>
            </w:pPr>
            <w:r>
              <w:rPr>
                <w:sz w:val="18"/>
                <w:szCs w:val="18"/>
              </w:rPr>
              <w:t>52,1</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18,5</w:t>
            </w:r>
          </w:p>
        </w:tc>
        <w:tc>
          <w:tcPr>
            <w:tcW w:w="1094" w:type="dxa"/>
            <w:tcBorders>
              <w:top w:val="nil"/>
              <w:bottom w:val="nil"/>
            </w:tcBorders>
            <w:shd w:val="clear" w:color="auto" w:fill="auto"/>
          </w:tcPr>
          <w:p>
            <w:pPr>
              <w:pStyle w:val="GesAbsatz"/>
              <w:jc w:val="center"/>
              <w:rPr>
                <w:sz w:val="18"/>
                <w:szCs w:val="18"/>
              </w:rPr>
            </w:pPr>
            <w:r>
              <w:rPr>
                <w:sz w:val="18"/>
                <w:szCs w:val="18"/>
              </w:rPr>
              <w:t>52,7</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100 °C (E100)</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41,9</w:t>
            </w:r>
          </w:p>
        </w:tc>
        <w:tc>
          <w:tcPr>
            <w:tcW w:w="1094" w:type="dxa"/>
            <w:tcBorders>
              <w:top w:val="nil"/>
              <w:bottom w:val="nil"/>
            </w:tcBorders>
            <w:shd w:val="clear" w:color="auto" w:fill="auto"/>
          </w:tcPr>
          <w:p>
            <w:pPr>
              <w:pStyle w:val="GesAbsatz"/>
              <w:jc w:val="center"/>
              <w:rPr>
                <w:sz w:val="18"/>
                <w:szCs w:val="18"/>
              </w:rPr>
            </w:pPr>
            <w:r>
              <w:rPr>
                <w:sz w:val="18"/>
                <w:szCs w:val="18"/>
              </w:rPr>
              <w:t>74,4</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41,9</w:t>
            </w:r>
          </w:p>
        </w:tc>
        <w:tc>
          <w:tcPr>
            <w:tcW w:w="1094" w:type="dxa"/>
            <w:tcBorders>
              <w:top w:val="nil"/>
              <w:bottom w:val="nil"/>
            </w:tcBorders>
            <w:shd w:val="clear" w:color="auto" w:fill="auto"/>
          </w:tcPr>
          <w:p>
            <w:pPr>
              <w:pStyle w:val="GesAbsatz"/>
              <w:jc w:val="center"/>
              <w:rPr>
                <w:sz w:val="18"/>
                <w:szCs w:val="18"/>
              </w:rPr>
            </w:pPr>
            <w:r>
              <w:rPr>
                <w:sz w:val="18"/>
                <w:szCs w:val="18"/>
              </w:rPr>
              <w:t>73,2</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150 °C (E150)</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72,2</w:t>
            </w: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72,2</w:t>
            </w: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Siedeendpunkt</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°C</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216,2</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rPr>
                <w:sz w:val="18"/>
                <w:szCs w:val="18"/>
              </w:rPr>
            </w:pPr>
            <w:r>
              <w:rPr>
                <w:sz w:val="18"/>
                <w:szCs w:val="18"/>
              </w:rPr>
              <w:t>Destillationsrückstand</w:t>
            </w:r>
          </w:p>
        </w:tc>
        <w:tc>
          <w:tcPr>
            <w:tcW w:w="2267" w:type="dxa"/>
            <w:vMerge/>
            <w:tcBorders>
              <w:top w:val="nil"/>
            </w:tcBorders>
            <w:shd w:val="clear" w:color="auto" w:fill="auto"/>
          </w:tcPr>
          <w:p>
            <w:pPr>
              <w:pStyle w:val="GesAbsatz"/>
              <w:rPr>
                <w:sz w:val="18"/>
                <w:szCs w:val="18"/>
              </w:rPr>
            </w:pPr>
          </w:p>
        </w:tc>
        <w:tc>
          <w:tcPr>
            <w:tcW w:w="1134" w:type="dxa"/>
            <w:tcBorders>
              <w:top w:val="nil"/>
            </w:tcBorders>
            <w:shd w:val="clear" w:color="auto" w:fill="auto"/>
          </w:tcPr>
          <w:p>
            <w:pPr>
              <w:pStyle w:val="GesAbsatz"/>
              <w:jc w:val="center"/>
              <w:rPr>
                <w:sz w:val="18"/>
                <w:szCs w:val="18"/>
              </w:rPr>
            </w:pPr>
            <w:r>
              <w:rPr>
                <w:sz w:val="18"/>
                <w:szCs w:val="18"/>
              </w:rPr>
              <w:t>% (V/V)</w:t>
            </w:r>
          </w:p>
        </w:tc>
        <w:tc>
          <w:tcPr>
            <w:tcW w:w="1033" w:type="dxa"/>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2,0</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16</w:t>
            </w:r>
          </w:p>
        </w:tc>
        <w:tc>
          <w:tcPr>
            <w:tcW w:w="2977" w:type="dxa"/>
            <w:tcBorders>
              <w:bottom w:val="single" w:sz="4" w:space="0" w:color="auto"/>
            </w:tcBorders>
            <w:shd w:val="clear" w:color="auto" w:fill="auto"/>
          </w:tcPr>
          <w:p>
            <w:pPr>
              <w:pStyle w:val="GesAbsatz"/>
              <w:rPr>
                <w:sz w:val="18"/>
                <w:szCs w:val="18"/>
              </w:rPr>
            </w:pPr>
            <w:r>
              <w:rPr>
                <w:sz w:val="18"/>
                <w:szCs w:val="18"/>
              </w:rPr>
              <w:t>VLI (10*VP + 7*E70) Klasse D1</w:t>
            </w:r>
          </w:p>
        </w:tc>
        <w:tc>
          <w:tcPr>
            <w:tcW w:w="2267" w:type="dxa"/>
            <w:shd w:val="clear" w:color="auto" w:fill="auto"/>
          </w:tcPr>
          <w:p>
            <w:pPr>
              <w:pStyle w:val="GesAbsatz"/>
              <w:rPr>
                <w:sz w:val="18"/>
                <w:szCs w:val="18"/>
              </w:rPr>
            </w:pPr>
            <w:r>
              <w:rPr>
                <w:sz w:val="18"/>
                <w:szCs w:val="18"/>
              </w:rPr>
              <w:t>(Berechnung)</w:t>
            </w:r>
          </w:p>
        </w:tc>
        <w:tc>
          <w:tcPr>
            <w:tcW w:w="1134" w:type="dxa"/>
            <w:shd w:val="clear" w:color="auto" w:fill="auto"/>
          </w:tcPr>
          <w:p>
            <w:pPr>
              <w:pStyle w:val="GesAbsatz"/>
              <w:jc w:val="center"/>
              <w:rPr>
                <w:sz w:val="18"/>
                <w:szCs w:val="18"/>
              </w:rPr>
            </w:pPr>
            <w:r>
              <w:rPr>
                <w:sz w:val="18"/>
                <w:szCs w:val="18"/>
              </w:rPr>
              <w:t>–</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1 179</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17</w:t>
            </w:r>
          </w:p>
        </w:tc>
        <w:tc>
          <w:tcPr>
            <w:tcW w:w="2977" w:type="dxa"/>
            <w:tcBorders>
              <w:bottom w:val="nil"/>
            </w:tcBorders>
            <w:shd w:val="clear" w:color="auto" w:fill="auto"/>
          </w:tcPr>
          <w:p>
            <w:pPr>
              <w:pStyle w:val="GesAbsatz"/>
              <w:rPr>
                <w:sz w:val="18"/>
                <w:szCs w:val="18"/>
              </w:rPr>
            </w:pPr>
            <w:r>
              <w:rPr>
                <w:sz w:val="18"/>
                <w:szCs w:val="18"/>
              </w:rPr>
              <w:t>Mangangehalt</w:t>
            </w:r>
          </w:p>
        </w:tc>
        <w:tc>
          <w:tcPr>
            <w:tcW w:w="2267" w:type="dxa"/>
            <w:vMerge w:val="restart"/>
            <w:shd w:val="clear" w:color="auto" w:fill="auto"/>
          </w:tcPr>
          <w:p>
            <w:pPr>
              <w:pStyle w:val="GesAbsatz"/>
              <w:rPr>
                <w:sz w:val="18"/>
                <w:szCs w:val="18"/>
              </w:rPr>
            </w:pPr>
            <w:r>
              <w:rPr>
                <w:sz w:val="18"/>
                <w:szCs w:val="18"/>
              </w:rPr>
              <w:t>DIN EN 16135:2012-02/</w:t>
            </w:r>
          </w:p>
          <w:p>
            <w:pPr>
              <w:pStyle w:val="GesAbsatz"/>
              <w:rPr>
                <w:sz w:val="18"/>
                <w:szCs w:val="18"/>
              </w:rPr>
            </w:pPr>
            <w:r>
              <w:rPr>
                <w:sz w:val="18"/>
                <w:szCs w:val="18"/>
              </w:rPr>
              <w:t>DIN EN 16136:2012-02</w:t>
            </w:r>
          </w:p>
        </w:tc>
        <w:tc>
          <w:tcPr>
            <w:tcW w:w="1134" w:type="dxa"/>
            <w:vMerge w:val="restart"/>
            <w:shd w:val="clear" w:color="auto" w:fill="auto"/>
          </w:tcPr>
          <w:p>
            <w:pPr>
              <w:pStyle w:val="GesAbsatz"/>
              <w:jc w:val="center"/>
              <w:rPr>
                <w:sz w:val="18"/>
                <w:szCs w:val="18"/>
              </w:rPr>
            </w:pPr>
            <w:r>
              <w:rPr>
                <w:sz w:val="18"/>
                <w:szCs w:val="18"/>
              </w:rPr>
              <w:t>mg/l</w:t>
            </w:r>
          </w:p>
        </w:tc>
        <w:tc>
          <w:tcPr>
            <w:tcW w:w="1033" w:type="dxa"/>
            <w:vMerge w:val="restart"/>
            <w:shd w:val="clear" w:color="auto" w:fill="auto"/>
          </w:tcPr>
          <w:p>
            <w:pPr>
              <w:pStyle w:val="GesAbsatz"/>
              <w:jc w:val="center"/>
              <w:rPr>
                <w:sz w:val="18"/>
                <w:szCs w:val="18"/>
              </w:rPr>
            </w:pPr>
          </w:p>
        </w:tc>
        <w:tc>
          <w:tcPr>
            <w:tcW w:w="1094" w:type="dxa"/>
            <w:vMerge w:val="restart"/>
            <w:shd w:val="clear" w:color="auto" w:fill="auto"/>
          </w:tcPr>
          <w:p>
            <w:pPr>
              <w:pStyle w:val="GesAbsatz"/>
              <w:jc w:val="center"/>
              <w:rPr>
                <w:sz w:val="18"/>
                <w:szCs w:val="18"/>
              </w:rPr>
            </w:pPr>
            <w:r>
              <w:rPr>
                <w:sz w:val="18"/>
                <w:szCs w:val="18"/>
              </w:rPr>
              <w:t>6,9/7,0</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vom 1.1.2011 bis 31.12.2013</w:t>
            </w:r>
          </w:p>
        </w:tc>
        <w:tc>
          <w:tcPr>
            <w:tcW w:w="2267" w:type="dxa"/>
            <w:vMerge/>
            <w:shd w:val="clear" w:color="auto" w:fill="auto"/>
          </w:tcPr>
          <w:p>
            <w:pPr>
              <w:pStyle w:val="GesAbsatz"/>
              <w:rPr>
                <w:sz w:val="18"/>
                <w:szCs w:val="18"/>
              </w:rPr>
            </w:pPr>
          </w:p>
        </w:tc>
        <w:tc>
          <w:tcPr>
            <w:tcW w:w="1134" w:type="dxa"/>
            <w:vMerge/>
            <w:shd w:val="clear" w:color="auto" w:fill="auto"/>
          </w:tcPr>
          <w:p>
            <w:pPr>
              <w:pStyle w:val="GesAbsatz"/>
              <w:jc w:val="center"/>
              <w:rPr>
                <w:sz w:val="18"/>
                <w:szCs w:val="18"/>
              </w:rPr>
            </w:pPr>
          </w:p>
        </w:tc>
        <w:tc>
          <w:tcPr>
            <w:tcW w:w="1033" w:type="dxa"/>
            <w:vMerge/>
            <w:shd w:val="clear" w:color="auto" w:fill="auto"/>
          </w:tcPr>
          <w:p>
            <w:pPr>
              <w:pStyle w:val="GesAbsatz"/>
              <w:jc w:val="center"/>
              <w:rPr>
                <w:sz w:val="18"/>
                <w:szCs w:val="18"/>
              </w:rPr>
            </w:pP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rPr>
                <w:sz w:val="18"/>
                <w:szCs w:val="18"/>
              </w:rPr>
            </w:pPr>
            <w:r>
              <w:rPr>
                <w:sz w:val="18"/>
                <w:szCs w:val="18"/>
              </w:rPr>
              <w:t>– ab 1.1.2014</w:t>
            </w:r>
            <w:r>
              <w:rPr>
                <w:sz w:val="18"/>
                <w:szCs w:val="18"/>
                <w:vertAlign w:val="superscript"/>
              </w:rPr>
              <w:t>f)</w:t>
            </w:r>
          </w:p>
        </w:tc>
        <w:tc>
          <w:tcPr>
            <w:tcW w:w="2267" w:type="dxa"/>
            <w:vMerge/>
            <w:shd w:val="clear" w:color="auto" w:fill="auto"/>
          </w:tcPr>
          <w:p>
            <w:pPr>
              <w:pStyle w:val="GesAbsatz"/>
              <w:rPr>
                <w:sz w:val="18"/>
                <w:szCs w:val="18"/>
              </w:rPr>
            </w:pPr>
          </w:p>
        </w:tc>
        <w:tc>
          <w:tcPr>
            <w:tcW w:w="1134" w:type="dxa"/>
            <w:vMerge/>
            <w:tcBorders>
              <w:bottom w:val="single" w:sz="4" w:space="0" w:color="auto"/>
            </w:tcBorders>
            <w:shd w:val="clear" w:color="auto" w:fill="auto"/>
          </w:tcPr>
          <w:p>
            <w:pPr>
              <w:pStyle w:val="GesAbsatz"/>
              <w:jc w:val="center"/>
              <w:rPr>
                <w:sz w:val="18"/>
                <w:szCs w:val="18"/>
              </w:rPr>
            </w:pPr>
          </w:p>
        </w:tc>
        <w:tc>
          <w:tcPr>
            <w:tcW w:w="1033" w:type="dxa"/>
            <w:vMerge/>
            <w:tcBorders>
              <w:bottom w:val="single" w:sz="4" w:space="0" w:color="auto"/>
            </w:tcBorders>
            <w:shd w:val="clear" w:color="auto" w:fill="auto"/>
          </w:tcPr>
          <w:p>
            <w:pPr>
              <w:pStyle w:val="GesAbsatz"/>
              <w:jc w:val="center"/>
              <w:rPr>
                <w:sz w:val="18"/>
                <w:szCs w:val="18"/>
              </w:rPr>
            </w:pP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bl>
    <w:p>
      <w:pPr>
        <w:pStyle w:val="GesAbsatz"/>
        <w:rPr>
          <w:sz w:val="18"/>
          <w:szCs w:val="18"/>
        </w:rPr>
      </w:pPr>
    </w:p>
    <w:p>
      <w:pPr>
        <w:pStyle w:val="GesAbsatz"/>
      </w:pPr>
      <w:r>
        <w:t>Anmerkungen:</w:t>
      </w:r>
    </w:p>
    <w:p>
      <w:pPr>
        <w:pStyle w:val="GesAbsatz"/>
        <w:ind w:left="426" w:hanging="426"/>
      </w:pPr>
      <w:r>
        <w:t>a)</w:t>
      </w:r>
      <w:r>
        <w:tab/>
        <w:t>Bei der Berechnung des Endergebnisses ist ein Wert von 0,2 vom Messwert zu subtrahieren, damit das Endergebnis in Übereinstimmung mit den Anforderungen der Richtlinie 98/70/EG steht.</w:t>
      </w:r>
    </w:p>
    <w:p>
      <w:pPr>
        <w:pStyle w:val="GesAbsatz"/>
        <w:ind w:left="426" w:hanging="426"/>
      </w:pPr>
      <w:r>
        <w:t>b)</w:t>
      </w:r>
      <w:r>
        <w:tab/>
        <w:t>Im Streitfall ist DIN EN ISO 12185:1997-11 zusammen mit ISO 1215 Technical Corrigendum 1:2001 anz</w:t>
      </w:r>
      <w:r>
        <w:t>u</w:t>
      </w:r>
      <w:r>
        <w:t>wenden.</w:t>
      </w:r>
    </w:p>
    <w:p>
      <w:pPr>
        <w:pStyle w:val="GesAbsatz"/>
        <w:ind w:left="426" w:hanging="426"/>
      </w:pPr>
      <w:r>
        <w:t>c)</w:t>
      </w:r>
      <w:r>
        <w:tab/>
        <w:t>Im Streitfall bezüglich des Sauerstoffgehaltes und der sauerstoffhaltigen Verbindungen ist DIN EN ISO 22854:2009-01 anzuwenden.</w:t>
      </w:r>
    </w:p>
    <w:p>
      <w:pPr>
        <w:pStyle w:val="GesAbsatz"/>
      </w:pPr>
      <w:r>
        <w:t>d)</w:t>
      </w:r>
      <w:r>
        <w:tab/>
        <w:t>Andere Mono-Alkohole und Ether mit einem Siedeendpunkt nicht höher als 210 °C.</w:t>
      </w:r>
    </w:p>
    <w:p>
      <w:pPr>
        <w:pStyle w:val="GesAbsatz"/>
      </w:pPr>
      <w:r>
        <w:t>e)</w:t>
      </w:r>
      <w:r>
        <w:tab/>
        <w:t>Zum Blenden muss DIN EN 15376:2009-11 eingehalten werden.</w:t>
      </w:r>
    </w:p>
    <w:p>
      <w:pPr>
        <w:pStyle w:val="GesAbsatz"/>
      </w:pPr>
      <w:r>
        <w:t>f)</w:t>
      </w:r>
      <w:r>
        <w:tab/>
        <w:t>Für den Grenzwert 2,0 (ab 1. Januar 2014) gibt es noch keine Präzisionsangaben.</w:t>
      </w:r>
    </w:p>
    <w:p>
      <w:pPr>
        <w:pStyle w:val="berschrift2"/>
        <w:jc w:val="left"/>
      </w:pPr>
      <w:r>
        <w:br w:type="page"/>
      </w:r>
      <w:bookmarkStart w:id="15" w:name="_Toc349111751"/>
      <w:r>
        <w:lastRenderedPageBreak/>
        <w:t>Anlage 5</w:t>
      </w:r>
      <w:bookmarkEnd w:id="15"/>
    </w:p>
    <w:p>
      <w:pPr>
        <w:pStyle w:val="GesAbsatz"/>
        <w:jc w:val="center"/>
        <w:rPr>
          <w:b/>
        </w:rPr>
      </w:pPr>
      <w:r>
        <w:rPr>
          <w:b/>
        </w:rPr>
        <w:t>Prüfprotokoll zur Überwachung der Einhaltung von Anforderungswerten bei einmaliger</w:t>
      </w:r>
      <w:r>
        <w:rPr>
          <w:b/>
        </w:rPr>
        <w:br/>
        <w:t>Prüfung von Ottokraftstoff E10 nach E DIN 51626-1:2010</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7" w:type="dxa"/>
            <w:vMerge w:val="restart"/>
            <w:shd w:val="clear" w:color="auto" w:fill="auto"/>
            <w:vAlign w:val="center"/>
          </w:tcPr>
          <w:p>
            <w:pPr>
              <w:pStyle w:val="GesAbsatz"/>
              <w:rPr>
                <w:sz w:val="18"/>
                <w:szCs w:val="18"/>
              </w:rPr>
            </w:pPr>
            <w:r>
              <w:rPr>
                <w:sz w:val="18"/>
                <w:szCs w:val="18"/>
              </w:rPr>
              <w:t>Stoffeigenschaft</w:t>
            </w:r>
          </w:p>
        </w:tc>
        <w:tc>
          <w:tcPr>
            <w:tcW w:w="2267" w:type="dxa"/>
            <w:vMerge w:val="restart"/>
            <w:shd w:val="clear" w:color="auto" w:fill="auto"/>
            <w:vAlign w:val="center"/>
          </w:tcPr>
          <w:p>
            <w:pPr>
              <w:pStyle w:val="GesAbsatz"/>
              <w:rPr>
                <w:sz w:val="18"/>
                <w:szCs w:val="18"/>
              </w:rPr>
            </w:pPr>
            <w:r>
              <w:rPr>
                <w:sz w:val="18"/>
                <w:szCs w:val="18"/>
              </w:rPr>
              <w:t>Prüfverfahren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jc w:val="center"/>
              <w:rPr>
                <w:sz w:val="18"/>
                <w:szCs w:val="18"/>
              </w:rPr>
            </w:pPr>
            <w:r>
              <w:rPr>
                <w:sz w:val="18"/>
                <w:szCs w:val="18"/>
              </w:rPr>
              <w:t>Ablehnungsgren</w:t>
            </w:r>
            <w:r>
              <w:rPr>
                <w:sz w:val="18"/>
                <w:szCs w:val="18"/>
              </w:rPr>
              <w:t>z</w:t>
            </w:r>
            <w:r>
              <w:rPr>
                <w:sz w:val="18"/>
                <w:szCs w:val="18"/>
              </w:rPr>
              <w:t>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7" w:type="dxa"/>
            <w:vMerge/>
            <w:tcBorders>
              <w:bottom w:val="single" w:sz="4" w:space="0" w:color="auto"/>
            </w:tcBorders>
            <w:shd w:val="clear" w:color="auto" w:fill="auto"/>
          </w:tcPr>
          <w:p>
            <w:pPr>
              <w:pStyle w:val="GesAbsatz"/>
            </w:pPr>
          </w:p>
        </w:tc>
        <w:tc>
          <w:tcPr>
            <w:tcW w:w="2267" w:type="dxa"/>
            <w:vMerge/>
            <w:tcBorders>
              <w:bottom w:val="single" w:sz="4" w:space="0" w:color="auto"/>
            </w:tcBorders>
            <w:shd w:val="clear" w:color="auto" w:fill="auto"/>
          </w:tcPr>
          <w:p>
            <w:pPr>
              <w:pStyle w:val="GesAbsatz"/>
            </w:pPr>
          </w:p>
        </w:tc>
        <w:tc>
          <w:tcPr>
            <w:tcW w:w="1134" w:type="dxa"/>
            <w:vMerge/>
            <w:tcBorders>
              <w:bottom w:val="single" w:sz="4" w:space="0" w:color="auto"/>
            </w:tcBorders>
            <w:shd w:val="clear" w:color="auto" w:fill="auto"/>
          </w:tcPr>
          <w:p>
            <w:pPr>
              <w:pStyle w:val="GesAbsatz"/>
              <w:jc w:val="center"/>
            </w:pPr>
          </w:p>
        </w:tc>
        <w:tc>
          <w:tcPr>
            <w:tcW w:w="1033" w:type="dxa"/>
            <w:tcBorders>
              <w:bottom w:val="single" w:sz="4" w:space="0" w:color="auto"/>
            </w:tcBorders>
            <w:shd w:val="clear" w:color="auto" w:fill="auto"/>
          </w:tcPr>
          <w:p>
            <w:pPr>
              <w:pStyle w:val="GesAbsatz"/>
              <w:jc w:val="center"/>
              <w:rPr>
                <w:sz w:val="18"/>
                <w:szCs w:val="18"/>
              </w:rPr>
            </w:pPr>
            <w:r>
              <w:rPr>
                <w:sz w:val="18"/>
                <w:szCs w:val="18"/>
              </w:rPr>
              <w:t>min.</w:t>
            </w:r>
          </w:p>
        </w:tc>
        <w:tc>
          <w:tcPr>
            <w:tcW w:w="1094"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pPr>
          </w:p>
        </w:tc>
      </w:tr>
      <w:tr>
        <w:tc>
          <w:tcPr>
            <w:tcW w:w="534" w:type="dxa"/>
            <w:vMerge w:val="restart"/>
            <w:shd w:val="clear" w:color="auto" w:fill="auto"/>
          </w:tcPr>
          <w:p>
            <w:pPr>
              <w:pStyle w:val="GesAbsatz"/>
            </w:pPr>
            <w:r>
              <w:rPr>
                <w:sz w:val="18"/>
                <w:szCs w:val="18"/>
              </w:rPr>
              <w:t>1</w:t>
            </w:r>
          </w:p>
        </w:tc>
        <w:tc>
          <w:tcPr>
            <w:tcW w:w="2977" w:type="dxa"/>
            <w:tcBorders>
              <w:bottom w:val="nil"/>
            </w:tcBorders>
            <w:shd w:val="clear" w:color="auto" w:fill="auto"/>
          </w:tcPr>
          <w:p>
            <w:pPr>
              <w:pStyle w:val="GesAbsatz"/>
              <w:tabs>
                <w:tab w:val="clear" w:pos="425"/>
                <w:tab w:val="right" w:pos="2585"/>
              </w:tabs>
            </w:pPr>
            <w:r>
              <w:rPr>
                <w:sz w:val="18"/>
                <w:szCs w:val="18"/>
              </w:rPr>
              <w:t>Klopffestigkeit: ROZ</w:t>
            </w:r>
            <w:r>
              <w:rPr>
                <w:sz w:val="18"/>
                <w:szCs w:val="18"/>
                <w:vertAlign w:val="superscript"/>
              </w:rPr>
              <w:t>a)</w:t>
            </w:r>
            <w:r>
              <w:rPr>
                <w:sz w:val="18"/>
                <w:szCs w:val="18"/>
              </w:rPr>
              <w:tab/>
              <w:t>Normal</w:t>
            </w:r>
          </w:p>
        </w:tc>
        <w:tc>
          <w:tcPr>
            <w:tcW w:w="2267" w:type="dxa"/>
            <w:vMerge w:val="restart"/>
            <w:tcBorders>
              <w:bottom w:val="nil"/>
            </w:tcBorders>
            <w:shd w:val="clear" w:color="auto" w:fill="auto"/>
          </w:tcPr>
          <w:p>
            <w:pPr>
              <w:pStyle w:val="GesAbsatz"/>
            </w:pPr>
            <w:r>
              <w:rPr>
                <w:sz w:val="18"/>
                <w:szCs w:val="18"/>
              </w:rPr>
              <w:t>DIN EN ISO 5164:2006</w:t>
            </w:r>
          </w:p>
        </w:tc>
        <w:tc>
          <w:tcPr>
            <w:tcW w:w="1134" w:type="dxa"/>
            <w:tcBorders>
              <w:bottom w:val="nil"/>
            </w:tcBorders>
            <w:shd w:val="clear" w:color="auto" w:fill="auto"/>
          </w:tcPr>
          <w:p>
            <w:pPr>
              <w:pStyle w:val="GesAbsatz"/>
              <w:jc w:val="center"/>
            </w:pPr>
            <w:r>
              <w:rPr>
                <w:sz w:val="18"/>
                <w:szCs w:val="18"/>
              </w:rPr>
              <w:t>–</w:t>
            </w:r>
          </w:p>
        </w:tc>
        <w:tc>
          <w:tcPr>
            <w:tcW w:w="1033" w:type="dxa"/>
            <w:tcBorders>
              <w:bottom w:val="nil"/>
            </w:tcBorders>
            <w:shd w:val="clear" w:color="auto" w:fill="auto"/>
          </w:tcPr>
          <w:p>
            <w:pPr>
              <w:pStyle w:val="GesAbsatz"/>
              <w:jc w:val="center"/>
              <w:rPr>
                <w:sz w:val="18"/>
                <w:szCs w:val="18"/>
              </w:rPr>
            </w:pPr>
            <w:r>
              <w:rPr>
                <w:sz w:val="18"/>
                <w:szCs w:val="18"/>
              </w:rPr>
              <w:t>90,6</w:t>
            </w:r>
          </w:p>
        </w:tc>
        <w:tc>
          <w:tcPr>
            <w:tcW w:w="1094"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5"/>
              </w:tabs>
              <w:rPr>
                <w:sz w:val="18"/>
                <w:szCs w:val="18"/>
              </w:rPr>
            </w:pPr>
            <w:r>
              <w:rPr>
                <w:sz w:val="18"/>
                <w:szCs w:val="18"/>
              </w:rPr>
              <w:tab/>
              <w:t>Super</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w:t>
            </w:r>
          </w:p>
        </w:tc>
        <w:tc>
          <w:tcPr>
            <w:tcW w:w="1033" w:type="dxa"/>
            <w:tcBorders>
              <w:top w:val="nil"/>
              <w:bottom w:val="nil"/>
            </w:tcBorders>
            <w:shd w:val="clear" w:color="auto" w:fill="auto"/>
          </w:tcPr>
          <w:p>
            <w:pPr>
              <w:pStyle w:val="GesAbsatz"/>
              <w:jc w:val="center"/>
              <w:rPr>
                <w:sz w:val="18"/>
                <w:szCs w:val="18"/>
              </w:rPr>
            </w:pPr>
            <w:r>
              <w:rPr>
                <w:sz w:val="18"/>
                <w:szCs w:val="18"/>
              </w:rPr>
              <w:t>94,6</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tabs>
                <w:tab w:val="clear" w:pos="425"/>
                <w:tab w:val="right" w:pos="2585"/>
              </w:tabs>
              <w:rPr>
                <w:sz w:val="18"/>
                <w:szCs w:val="18"/>
              </w:rPr>
            </w:pPr>
            <w:r>
              <w:rPr>
                <w:sz w:val="18"/>
                <w:szCs w:val="18"/>
              </w:rPr>
              <w:tab/>
              <w:t>Super Plus</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tcBorders>
              <w:top w:val="nil"/>
              <w:bottom w:val="single" w:sz="4" w:space="0" w:color="auto"/>
            </w:tcBorders>
            <w:shd w:val="clear" w:color="auto" w:fill="auto"/>
          </w:tcPr>
          <w:p>
            <w:pPr>
              <w:pStyle w:val="GesAbsatz"/>
              <w:jc w:val="center"/>
              <w:rPr>
                <w:sz w:val="18"/>
                <w:szCs w:val="18"/>
              </w:rPr>
            </w:pPr>
            <w:r>
              <w:rPr>
                <w:sz w:val="18"/>
                <w:szCs w:val="18"/>
              </w:rPr>
              <w:t>–</w:t>
            </w: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97,6</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2</w:t>
            </w:r>
          </w:p>
        </w:tc>
        <w:tc>
          <w:tcPr>
            <w:tcW w:w="2977" w:type="dxa"/>
            <w:tcBorders>
              <w:bottom w:val="nil"/>
            </w:tcBorders>
            <w:shd w:val="clear" w:color="auto" w:fill="auto"/>
          </w:tcPr>
          <w:p>
            <w:pPr>
              <w:pStyle w:val="GesAbsatz"/>
              <w:tabs>
                <w:tab w:val="clear" w:pos="425"/>
                <w:tab w:val="right" w:pos="2585"/>
              </w:tabs>
              <w:rPr>
                <w:sz w:val="18"/>
                <w:szCs w:val="18"/>
              </w:rPr>
            </w:pPr>
            <w:r>
              <w:rPr>
                <w:sz w:val="18"/>
                <w:szCs w:val="18"/>
              </w:rPr>
              <w:t>Klopffestigkeit: MOZ</w:t>
            </w:r>
            <w:r>
              <w:rPr>
                <w:sz w:val="18"/>
                <w:szCs w:val="18"/>
                <w:vertAlign w:val="superscript"/>
              </w:rPr>
              <w:t>a)</w:t>
            </w:r>
            <w:r>
              <w:rPr>
                <w:sz w:val="18"/>
                <w:szCs w:val="18"/>
              </w:rPr>
              <w:tab/>
              <w:t>Normal</w:t>
            </w:r>
          </w:p>
        </w:tc>
        <w:tc>
          <w:tcPr>
            <w:tcW w:w="2267" w:type="dxa"/>
            <w:vMerge w:val="restart"/>
            <w:tcBorders>
              <w:bottom w:val="nil"/>
            </w:tcBorders>
            <w:shd w:val="clear" w:color="auto" w:fill="auto"/>
          </w:tcPr>
          <w:p>
            <w:pPr>
              <w:pStyle w:val="GesAbsatz"/>
              <w:rPr>
                <w:sz w:val="18"/>
                <w:szCs w:val="18"/>
              </w:rPr>
            </w:pPr>
            <w:r>
              <w:rPr>
                <w:sz w:val="18"/>
                <w:szCs w:val="18"/>
              </w:rPr>
              <w:t>DIN EN ISO 5163:2006</w:t>
            </w:r>
          </w:p>
        </w:tc>
        <w:tc>
          <w:tcPr>
            <w:tcW w:w="1134" w:type="dxa"/>
            <w:tcBorders>
              <w:bottom w:val="nil"/>
            </w:tcBorders>
            <w:shd w:val="clear" w:color="auto" w:fill="auto"/>
          </w:tcPr>
          <w:p>
            <w:pPr>
              <w:pStyle w:val="GesAbsatz"/>
              <w:jc w:val="center"/>
              <w:rPr>
                <w:sz w:val="18"/>
                <w:szCs w:val="18"/>
              </w:rPr>
            </w:pPr>
            <w:r>
              <w:rPr>
                <w:sz w:val="18"/>
                <w:szCs w:val="18"/>
              </w:rPr>
              <w:t>–</w:t>
            </w:r>
          </w:p>
        </w:tc>
        <w:tc>
          <w:tcPr>
            <w:tcW w:w="1033" w:type="dxa"/>
            <w:tcBorders>
              <w:bottom w:val="nil"/>
            </w:tcBorders>
            <w:shd w:val="clear" w:color="auto" w:fill="auto"/>
          </w:tcPr>
          <w:p>
            <w:pPr>
              <w:pStyle w:val="GesAbsatz"/>
              <w:jc w:val="center"/>
              <w:rPr>
                <w:sz w:val="18"/>
                <w:szCs w:val="18"/>
              </w:rPr>
            </w:pPr>
            <w:r>
              <w:rPr>
                <w:sz w:val="18"/>
                <w:szCs w:val="18"/>
              </w:rPr>
              <w:t>82,0</w:t>
            </w:r>
          </w:p>
        </w:tc>
        <w:tc>
          <w:tcPr>
            <w:tcW w:w="1094"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clear" w:pos="425"/>
                <w:tab w:val="right" w:pos="2585"/>
              </w:tabs>
              <w:rPr>
                <w:sz w:val="18"/>
                <w:szCs w:val="18"/>
              </w:rPr>
            </w:pPr>
            <w:r>
              <w:rPr>
                <w:sz w:val="18"/>
                <w:szCs w:val="18"/>
              </w:rPr>
              <w:tab/>
              <w:t>Super</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w:t>
            </w:r>
          </w:p>
        </w:tc>
        <w:tc>
          <w:tcPr>
            <w:tcW w:w="1033" w:type="dxa"/>
            <w:tcBorders>
              <w:top w:val="nil"/>
              <w:bottom w:val="nil"/>
            </w:tcBorders>
            <w:shd w:val="clear" w:color="auto" w:fill="auto"/>
          </w:tcPr>
          <w:p>
            <w:pPr>
              <w:pStyle w:val="GesAbsatz"/>
              <w:jc w:val="center"/>
              <w:rPr>
                <w:sz w:val="18"/>
                <w:szCs w:val="18"/>
              </w:rPr>
            </w:pPr>
            <w:r>
              <w:rPr>
                <w:sz w:val="18"/>
                <w:szCs w:val="18"/>
              </w:rPr>
              <w:t>84,5</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tabs>
                <w:tab w:val="clear" w:pos="425"/>
                <w:tab w:val="right" w:pos="2585"/>
              </w:tabs>
              <w:rPr>
                <w:sz w:val="18"/>
                <w:szCs w:val="18"/>
              </w:rPr>
            </w:pPr>
            <w:r>
              <w:rPr>
                <w:sz w:val="18"/>
                <w:szCs w:val="18"/>
              </w:rPr>
              <w:tab/>
              <w:t>Super Plus</w:t>
            </w:r>
          </w:p>
        </w:tc>
        <w:tc>
          <w:tcPr>
            <w:tcW w:w="2267" w:type="dxa"/>
            <w:vMerge/>
            <w:tcBorders>
              <w:top w:val="nil"/>
            </w:tcBorders>
            <w:shd w:val="clear" w:color="auto" w:fill="auto"/>
          </w:tcPr>
          <w:p>
            <w:pPr>
              <w:pStyle w:val="GesAbsatz"/>
              <w:rPr>
                <w:sz w:val="18"/>
                <w:szCs w:val="18"/>
              </w:rPr>
            </w:pPr>
          </w:p>
        </w:tc>
        <w:tc>
          <w:tcPr>
            <w:tcW w:w="1134" w:type="dxa"/>
            <w:tcBorders>
              <w:top w:val="nil"/>
            </w:tcBorders>
            <w:shd w:val="clear" w:color="auto" w:fill="auto"/>
          </w:tcPr>
          <w:p>
            <w:pPr>
              <w:pStyle w:val="GesAbsatz"/>
              <w:jc w:val="center"/>
              <w:rPr>
                <w:sz w:val="18"/>
                <w:szCs w:val="18"/>
              </w:rPr>
            </w:pPr>
            <w:r>
              <w:rPr>
                <w:sz w:val="18"/>
                <w:szCs w:val="18"/>
              </w:rPr>
              <w:t>–</w:t>
            </w:r>
          </w:p>
        </w:tc>
        <w:tc>
          <w:tcPr>
            <w:tcW w:w="1033" w:type="dxa"/>
            <w:tcBorders>
              <w:top w:val="nil"/>
            </w:tcBorders>
            <w:shd w:val="clear" w:color="auto" w:fill="auto"/>
          </w:tcPr>
          <w:p>
            <w:pPr>
              <w:pStyle w:val="GesAbsatz"/>
              <w:jc w:val="center"/>
              <w:rPr>
                <w:sz w:val="18"/>
                <w:szCs w:val="18"/>
              </w:rPr>
            </w:pPr>
            <w:r>
              <w:rPr>
                <w:sz w:val="18"/>
                <w:szCs w:val="18"/>
              </w:rPr>
              <w:t>87,5</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shd w:val="clear" w:color="auto" w:fill="auto"/>
          </w:tcPr>
          <w:p>
            <w:pPr>
              <w:pStyle w:val="GesAbsatz"/>
              <w:rPr>
                <w:sz w:val="18"/>
                <w:szCs w:val="18"/>
              </w:rPr>
            </w:pPr>
            <w:r>
              <w:rPr>
                <w:sz w:val="18"/>
                <w:szCs w:val="18"/>
              </w:rPr>
              <w:t>3</w:t>
            </w:r>
          </w:p>
        </w:tc>
        <w:tc>
          <w:tcPr>
            <w:tcW w:w="2977" w:type="dxa"/>
            <w:shd w:val="clear" w:color="auto" w:fill="auto"/>
          </w:tcPr>
          <w:p>
            <w:pPr>
              <w:pStyle w:val="GesAbsatz"/>
              <w:rPr>
                <w:sz w:val="18"/>
                <w:szCs w:val="18"/>
              </w:rPr>
            </w:pPr>
            <w:r>
              <w:rPr>
                <w:sz w:val="18"/>
                <w:szCs w:val="18"/>
              </w:rPr>
              <w:t>Bleigehalt</w:t>
            </w:r>
          </w:p>
        </w:tc>
        <w:tc>
          <w:tcPr>
            <w:tcW w:w="2267" w:type="dxa"/>
            <w:tcBorders>
              <w:bottom w:val="single" w:sz="4" w:space="0" w:color="auto"/>
            </w:tcBorders>
            <w:shd w:val="clear" w:color="auto" w:fill="auto"/>
          </w:tcPr>
          <w:p>
            <w:pPr>
              <w:pStyle w:val="GesAbsatz"/>
              <w:rPr>
                <w:sz w:val="18"/>
                <w:szCs w:val="18"/>
              </w:rPr>
            </w:pPr>
            <w:r>
              <w:rPr>
                <w:sz w:val="18"/>
                <w:szCs w:val="18"/>
              </w:rPr>
              <w:t>DIN EN 237:2004</w:t>
            </w:r>
          </w:p>
        </w:tc>
        <w:tc>
          <w:tcPr>
            <w:tcW w:w="1134" w:type="dxa"/>
            <w:tcBorders>
              <w:bottom w:val="single" w:sz="4" w:space="0" w:color="auto"/>
            </w:tcBorders>
            <w:shd w:val="clear" w:color="auto" w:fill="auto"/>
          </w:tcPr>
          <w:p>
            <w:pPr>
              <w:pStyle w:val="GesAbsatz"/>
              <w:jc w:val="center"/>
              <w:rPr>
                <w:sz w:val="18"/>
                <w:szCs w:val="18"/>
              </w:rPr>
            </w:pPr>
            <w:r>
              <w:rPr>
                <w:sz w:val="18"/>
                <w:szCs w:val="18"/>
              </w:rPr>
              <w:t>mg/l</w:t>
            </w:r>
          </w:p>
        </w:tc>
        <w:tc>
          <w:tcPr>
            <w:tcW w:w="1033" w:type="dxa"/>
            <w:tcBorders>
              <w:bottom w:val="single" w:sz="4" w:space="0" w:color="auto"/>
            </w:tcBorders>
            <w:shd w:val="clear" w:color="auto" w:fill="auto"/>
          </w:tcPr>
          <w:p>
            <w:pPr>
              <w:pStyle w:val="GesAbsatz"/>
              <w:jc w:val="center"/>
              <w:rPr>
                <w:sz w:val="18"/>
                <w:szCs w:val="18"/>
              </w:rPr>
            </w:pPr>
          </w:p>
        </w:tc>
        <w:tc>
          <w:tcPr>
            <w:tcW w:w="1094" w:type="dxa"/>
            <w:tcBorders>
              <w:bottom w:val="single" w:sz="4" w:space="0" w:color="auto"/>
            </w:tcBorders>
            <w:shd w:val="clear" w:color="auto" w:fill="auto"/>
          </w:tcPr>
          <w:p>
            <w:pPr>
              <w:pStyle w:val="GesAbsatz"/>
              <w:jc w:val="center"/>
              <w:rPr>
                <w:sz w:val="18"/>
                <w:szCs w:val="18"/>
              </w:rPr>
            </w:pPr>
            <w:r>
              <w:rPr>
                <w:sz w:val="18"/>
                <w:szCs w:val="18"/>
              </w:rPr>
              <w:t>5,4</w:t>
            </w:r>
          </w:p>
        </w:tc>
        <w:tc>
          <w:tcPr>
            <w:tcW w:w="911" w:type="dxa"/>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4</w:t>
            </w:r>
          </w:p>
        </w:tc>
        <w:tc>
          <w:tcPr>
            <w:tcW w:w="2977" w:type="dxa"/>
            <w:vMerge w:val="restart"/>
            <w:shd w:val="clear" w:color="auto" w:fill="auto"/>
          </w:tcPr>
          <w:p>
            <w:pPr>
              <w:pStyle w:val="GesAbsatz"/>
              <w:rPr>
                <w:sz w:val="18"/>
                <w:szCs w:val="18"/>
              </w:rPr>
            </w:pPr>
            <w:r>
              <w:rPr>
                <w:sz w:val="18"/>
                <w:szCs w:val="18"/>
              </w:rPr>
              <w:t>Dichte bei 15°C</w:t>
            </w:r>
            <w:r>
              <w:rPr>
                <w:sz w:val="18"/>
                <w:szCs w:val="18"/>
                <w:vertAlign w:val="superscript"/>
              </w:rPr>
              <w:t>b)</w:t>
            </w:r>
          </w:p>
        </w:tc>
        <w:tc>
          <w:tcPr>
            <w:tcW w:w="2267" w:type="dxa"/>
            <w:tcBorders>
              <w:bottom w:val="nil"/>
            </w:tcBorders>
            <w:shd w:val="clear" w:color="auto" w:fill="auto"/>
          </w:tcPr>
          <w:p>
            <w:pPr>
              <w:pStyle w:val="GesAbsatz"/>
              <w:rPr>
                <w:sz w:val="18"/>
                <w:szCs w:val="18"/>
              </w:rPr>
            </w:pPr>
            <w:r>
              <w:rPr>
                <w:sz w:val="18"/>
                <w:szCs w:val="18"/>
              </w:rPr>
              <w:t>DIN EN ISO 3675:1999</w:t>
            </w:r>
          </w:p>
        </w:tc>
        <w:tc>
          <w:tcPr>
            <w:tcW w:w="1134" w:type="dxa"/>
            <w:tcBorders>
              <w:bottom w:val="nil"/>
            </w:tcBorders>
            <w:shd w:val="clear" w:color="auto" w:fill="auto"/>
          </w:tcPr>
          <w:p>
            <w:pPr>
              <w:pStyle w:val="GesAbsatz"/>
              <w:jc w:val="center"/>
              <w:rPr>
                <w:sz w:val="18"/>
                <w:szCs w:val="18"/>
              </w:rPr>
            </w:pPr>
            <w:r>
              <w:rPr>
                <w:sz w:val="18"/>
                <w:szCs w:val="18"/>
              </w:rPr>
              <w:t>kg/m³</w:t>
            </w:r>
          </w:p>
        </w:tc>
        <w:tc>
          <w:tcPr>
            <w:tcW w:w="1033" w:type="dxa"/>
            <w:tcBorders>
              <w:bottom w:val="nil"/>
            </w:tcBorders>
            <w:shd w:val="clear" w:color="auto" w:fill="auto"/>
          </w:tcPr>
          <w:p>
            <w:pPr>
              <w:pStyle w:val="GesAbsatz"/>
              <w:jc w:val="center"/>
              <w:rPr>
                <w:sz w:val="18"/>
                <w:szCs w:val="18"/>
              </w:rPr>
            </w:pPr>
            <w:r>
              <w:rPr>
                <w:sz w:val="18"/>
                <w:szCs w:val="18"/>
              </w:rPr>
              <w:t>719,3</w:t>
            </w:r>
          </w:p>
        </w:tc>
        <w:tc>
          <w:tcPr>
            <w:tcW w:w="1094" w:type="dxa"/>
            <w:tcBorders>
              <w:bottom w:val="nil"/>
            </w:tcBorders>
            <w:shd w:val="clear" w:color="auto" w:fill="auto"/>
          </w:tcPr>
          <w:p>
            <w:pPr>
              <w:pStyle w:val="GesAbsatz"/>
              <w:jc w:val="center"/>
              <w:rPr>
                <w:sz w:val="18"/>
                <w:szCs w:val="18"/>
              </w:rPr>
            </w:pPr>
            <w:r>
              <w:rPr>
                <w:sz w:val="18"/>
                <w:szCs w:val="18"/>
              </w:rPr>
              <w:t>775,7</w:t>
            </w: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ISO 12185:1997</w:t>
            </w:r>
          </w:p>
        </w:tc>
        <w:tc>
          <w:tcPr>
            <w:tcW w:w="1134" w:type="dxa"/>
            <w:tcBorders>
              <w:top w:val="nil"/>
              <w:bottom w:val="single" w:sz="4" w:space="0" w:color="auto"/>
            </w:tcBorders>
            <w:shd w:val="clear" w:color="auto" w:fill="auto"/>
          </w:tcPr>
          <w:p>
            <w:pPr>
              <w:pStyle w:val="GesAbsatz"/>
              <w:jc w:val="center"/>
              <w:rPr>
                <w:sz w:val="18"/>
                <w:szCs w:val="18"/>
              </w:rPr>
            </w:pPr>
            <w:r>
              <w:rPr>
                <w:sz w:val="18"/>
                <w:szCs w:val="18"/>
              </w:rPr>
              <w:t>kg/m³</w:t>
            </w: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719,7</w:t>
            </w: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775,3</w:t>
            </w:r>
          </w:p>
        </w:tc>
        <w:tc>
          <w:tcPr>
            <w:tcW w:w="911" w:type="dxa"/>
            <w:vMerge/>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5</w:t>
            </w:r>
          </w:p>
        </w:tc>
        <w:tc>
          <w:tcPr>
            <w:tcW w:w="2977" w:type="dxa"/>
            <w:vMerge w:val="restart"/>
            <w:shd w:val="clear" w:color="auto" w:fill="auto"/>
          </w:tcPr>
          <w:p>
            <w:pPr>
              <w:pStyle w:val="GesAbsatz"/>
              <w:rPr>
                <w:sz w:val="18"/>
                <w:szCs w:val="18"/>
              </w:rPr>
            </w:pPr>
            <w:r>
              <w:rPr>
                <w:sz w:val="18"/>
                <w:szCs w:val="18"/>
              </w:rPr>
              <w:t>Schwefelgehalt („schwefelfrei“)</w:t>
            </w:r>
          </w:p>
        </w:tc>
        <w:tc>
          <w:tcPr>
            <w:tcW w:w="2267" w:type="dxa"/>
            <w:tcBorders>
              <w:bottom w:val="nil"/>
            </w:tcBorders>
            <w:shd w:val="clear" w:color="auto" w:fill="auto"/>
          </w:tcPr>
          <w:p>
            <w:pPr>
              <w:pStyle w:val="GesAbsatz"/>
              <w:rPr>
                <w:sz w:val="18"/>
                <w:szCs w:val="18"/>
              </w:rPr>
            </w:pPr>
            <w:r>
              <w:rPr>
                <w:sz w:val="18"/>
                <w:szCs w:val="18"/>
              </w:rPr>
              <w:t>DIN EN ISO 20846:2004</w:t>
            </w:r>
          </w:p>
        </w:tc>
        <w:tc>
          <w:tcPr>
            <w:tcW w:w="1134" w:type="dxa"/>
            <w:tcBorders>
              <w:bottom w:val="nil"/>
            </w:tcBorders>
            <w:shd w:val="clear" w:color="auto" w:fill="auto"/>
          </w:tcPr>
          <w:p>
            <w:pPr>
              <w:pStyle w:val="GesAbsatz"/>
              <w:jc w:val="center"/>
              <w:rPr>
                <w:sz w:val="18"/>
                <w:szCs w:val="18"/>
              </w:rPr>
            </w:pPr>
            <w:r>
              <w:rPr>
                <w:sz w:val="18"/>
                <w:szCs w:val="18"/>
              </w:rPr>
              <w:t>mg/kg</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11,6</w:t>
            </w: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tcBorders>
            <w:shd w:val="clear" w:color="auto" w:fill="auto"/>
          </w:tcPr>
          <w:p>
            <w:pPr>
              <w:pStyle w:val="GesAbsatz"/>
              <w:rPr>
                <w:sz w:val="18"/>
                <w:szCs w:val="18"/>
              </w:rPr>
            </w:pPr>
            <w:r>
              <w:rPr>
                <w:sz w:val="18"/>
                <w:szCs w:val="18"/>
              </w:rPr>
              <w:t>DIN EN ISO 20884:2004</w:t>
            </w:r>
          </w:p>
        </w:tc>
        <w:tc>
          <w:tcPr>
            <w:tcW w:w="1134" w:type="dxa"/>
            <w:tcBorders>
              <w:top w:val="nil"/>
            </w:tcBorders>
            <w:shd w:val="clear" w:color="auto" w:fill="auto"/>
          </w:tcPr>
          <w:p>
            <w:pPr>
              <w:pStyle w:val="GesAbsatz"/>
              <w:jc w:val="center"/>
              <w:rPr>
                <w:sz w:val="18"/>
                <w:szCs w:val="18"/>
              </w:rPr>
            </w:pPr>
            <w:r>
              <w:rPr>
                <w:sz w:val="18"/>
                <w:szCs w:val="18"/>
              </w:rPr>
              <w:t>mg/kg</w:t>
            </w:r>
          </w:p>
        </w:tc>
        <w:tc>
          <w:tcPr>
            <w:tcW w:w="1033" w:type="dxa"/>
            <w:vMerge/>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11,8</w:t>
            </w:r>
          </w:p>
        </w:tc>
        <w:tc>
          <w:tcPr>
            <w:tcW w:w="911" w:type="dxa"/>
            <w:vMerge/>
            <w:shd w:val="clear" w:color="auto" w:fill="auto"/>
          </w:tcPr>
          <w:p>
            <w:pPr>
              <w:pStyle w:val="GesAbsatz"/>
            </w:pPr>
          </w:p>
        </w:tc>
      </w:tr>
      <w:tr>
        <w:tc>
          <w:tcPr>
            <w:tcW w:w="534" w:type="dxa"/>
            <w:shd w:val="clear" w:color="auto" w:fill="auto"/>
          </w:tcPr>
          <w:p>
            <w:pPr>
              <w:pStyle w:val="GesAbsatz"/>
              <w:rPr>
                <w:sz w:val="18"/>
                <w:szCs w:val="18"/>
              </w:rPr>
            </w:pPr>
            <w:r>
              <w:rPr>
                <w:sz w:val="18"/>
                <w:szCs w:val="18"/>
              </w:rPr>
              <w:t>6</w:t>
            </w:r>
          </w:p>
        </w:tc>
        <w:tc>
          <w:tcPr>
            <w:tcW w:w="2977" w:type="dxa"/>
            <w:shd w:val="clear" w:color="auto" w:fill="auto"/>
          </w:tcPr>
          <w:p>
            <w:pPr>
              <w:pStyle w:val="GesAbsatz"/>
              <w:rPr>
                <w:sz w:val="18"/>
                <w:szCs w:val="18"/>
              </w:rPr>
            </w:pPr>
            <w:r>
              <w:rPr>
                <w:sz w:val="18"/>
                <w:szCs w:val="18"/>
              </w:rPr>
              <w:t>Oxidationsstabilität</w:t>
            </w:r>
          </w:p>
        </w:tc>
        <w:tc>
          <w:tcPr>
            <w:tcW w:w="2267" w:type="dxa"/>
            <w:shd w:val="clear" w:color="auto" w:fill="auto"/>
          </w:tcPr>
          <w:p>
            <w:pPr>
              <w:pStyle w:val="GesAbsatz"/>
              <w:rPr>
                <w:sz w:val="18"/>
                <w:szCs w:val="18"/>
              </w:rPr>
            </w:pPr>
            <w:r>
              <w:rPr>
                <w:sz w:val="18"/>
                <w:szCs w:val="18"/>
              </w:rPr>
              <w:t>DIN EN ISO 7536:1996</w:t>
            </w:r>
          </w:p>
        </w:tc>
        <w:tc>
          <w:tcPr>
            <w:tcW w:w="1134" w:type="dxa"/>
            <w:shd w:val="clear" w:color="auto" w:fill="auto"/>
          </w:tcPr>
          <w:p>
            <w:pPr>
              <w:pStyle w:val="GesAbsatz"/>
              <w:jc w:val="center"/>
              <w:rPr>
                <w:sz w:val="18"/>
                <w:szCs w:val="18"/>
              </w:rPr>
            </w:pPr>
            <w:r>
              <w:rPr>
                <w:sz w:val="18"/>
                <w:szCs w:val="18"/>
              </w:rPr>
              <w:t>min</w:t>
            </w:r>
          </w:p>
        </w:tc>
        <w:tc>
          <w:tcPr>
            <w:tcW w:w="1033" w:type="dxa"/>
            <w:shd w:val="clear" w:color="auto" w:fill="auto"/>
          </w:tcPr>
          <w:p>
            <w:pPr>
              <w:pStyle w:val="GesAbsatz"/>
              <w:jc w:val="center"/>
              <w:rPr>
                <w:sz w:val="18"/>
                <w:szCs w:val="18"/>
              </w:rPr>
            </w:pPr>
            <w:r>
              <w:rPr>
                <w:sz w:val="18"/>
                <w:szCs w:val="18"/>
              </w:rPr>
              <w:t>339</w:t>
            </w:r>
          </w:p>
        </w:tc>
        <w:tc>
          <w:tcPr>
            <w:tcW w:w="1094" w:type="dxa"/>
            <w:shd w:val="clear" w:color="auto" w:fill="auto"/>
          </w:tcPr>
          <w:p>
            <w:pPr>
              <w:pStyle w:val="GesAbsatz"/>
              <w:jc w:val="center"/>
              <w:rPr>
                <w:sz w:val="18"/>
                <w:szCs w:val="18"/>
              </w:rPr>
            </w:pPr>
          </w:p>
        </w:tc>
        <w:tc>
          <w:tcPr>
            <w:tcW w:w="911" w:type="dxa"/>
            <w:shd w:val="clear" w:color="auto" w:fill="auto"/>
          </w:tcPr>
          <w:p>
            <w:pPr>
              <w:pStyle w:val="GesAbsatz"/>
            </w:pPr>
          </w:p>
        </w:tc>
      </w:tr>
      <w:tr>
        <w:tc>
          <w:tcPr>
            <w:tcW w:w="534" w:type="dxa"/>
            <w:shd w:val="clear" w:color="auto" w:fill="auto"/>
          </w:tcPr>
          <w:p>
            <w:pPr>
              <w:pStyle w:val="GesAbsatz"/>
              <w:rPr>
                <w:sz w:val="18"/>
                <w:szCs w:val="18"/>
              </w:rPr>
            </w:pPr>
            <w:r>
              <w:rPr>
                <w:sz w:val="18"/>
                <w:szCs w:val="18"/>
              </w:rPr>
              <w:t>7</w:t>
            </w:r>
          </w:p>
        </w:tc>
        <w:tc>
          <w:tcPr>
            <w:tcW w:w="2977" w:type="dxa"/>
            <w:shd w:val="clear" w:color="auto" w:fill="auto"/>
          </w:tcPr>
          <w:p>
            <w:pPr>
              <w:pStyle w:val="GesAbsatz"/>
              <w:rPr>
                <w:sz w:val="18"/>
                <w:szCs w:val="18"/>
              </w:rPr>
            </w:pPr>
            <w:r>
              <w:rPr>
                <w:sz w:val="18"/>
                <w:szCs w:val="18"/>
              </w:rPr>
              <w:t>Abdampfrückstand (gewaschen)</w:t>
            </w:r>
          </w:p>
        </w:tc>
        <w:tc>
          <w:tcPr>
            <w:tcW w:w="2267" w:type="dxa"/>
            <w:shd w:val="clear" w:color="auto" w:fill="auto"/>
          </w:tcPr>
          <w:p>
            <w:pPr>
              <w:pStyle w:val="GesAbsatz"/>
              <w:rPr>
                <w:sz w:val="18"/>
                <w:szCs w:val="18"/>
              </w:rPr>
            </w:pPr>
            <w:r>
              <w:rPr>
                <w:sz w:val="18"/>
                <w:szCs w:val="18"/>
              </w:rPr>
              <w:t>DIN EN ISO 6246:1998</w:t>
            </w:r>
          </w:p>
        </w:tc>
        <w:tc>
          <w:tcPr>
            <w:tcW w:w="1134" w:type="dxa"/>
            <w:shd w:val="clear" w:color="auto" w:fill="auto"/>
          </w:tcPr>
          <w:p>
            <w:pPr>
              <w:pStyle w:val="GesAbsatz"/>
              <w:jc w:val="center"/>
              <w:rPr>
                <w:sz w:val="18"/>
                <w:szCs w:val="18"/>
              </w:rPr>
            </w:pPr>
            <w:r>
              <w:rPr>
                <w:sz w:val="18"/>
                <w:szCs w:val="18"/>
              </w:rPr>
              <w:t>mg/100 ml</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7,4</w:t>
            </w:r>
          </w:p>
        </w:tc>
        <w:tc>
          <w:tcPr>
            <w:tcW w:w="911" w:type="dxa"/>
            <w:shd w:val="clear" w:color="auto" w:fill="auto"/>
          </w:tcPr>
          <w:p>
            <w:pPr>
              <w:pStyle w:val="GesAbsatz"/>
            </w:pPr>
          </w:p>
        </w:tc>
      </w:tr>
      <w:tr>
        <w:tc>
          <w:tcPr>
            <w:tcW w:w="534" w:type="dxa"/>
            <w:shd w:val="clear" w:color="auto" w:fill="auto"/>
          </w:tcPr>
          <w:p>
            <w:pPr>
              <w:pStyle w:val="GesAbsatz"/>
              <w:rPr>
                <w:sz w:val="18"/>
                <w:szCs w:val="18"/>
              </w:rPr>
            </w:pPr>
            <w:r>
              <w:rPr>
                <w:sz w:val="18"/>
                <w:szCs w:val="18"/>
              </w:rPr>
              <w:t>8</w:t>
            </w:r>
          </w:p>
        </w:tc>
        <w:tc>
          <w:tcPr>
            <w:tcW w:w="2977" w:type="dxa"/>
            <w:shd w:val="clear" w:color="auto" w:fill="auto"/>
          </w:tcPr>
          <w:p>
            <w:pPr>
              <w:pStyle w:val="GesAbsatz"/>
              <w:rPr>
                <w:sz w:val="18"/>
                <w:szCs w:val="18"/>
              </w:rPr>
            </w:pPr>
            <w:r>
              <w:rPr>
                <w:sz w:val="18"/>
                <w:szCs w:val="18"/>
              </w:rPr>
              <w:t>Korrosionswirkung auf Kupfer (3 h bei 50 °C)</w:t>
            </w:r>
          </w:p>
        </w:tc>
        <w:tc>
          <w:tcPr>
            <w:tcW w:w="2267" w:type="dxa"/>
            <w:shd w:val="clear" w:color="auto" w:fill="auto"/>
          </w:tcPr>
          <w:p>
            <w:pPr>
              <w:pStyle w:val="GesAbsatz"/>
              <w:rPr>
                <w:sz w:val="18"/>
                <w:szCs w:val="18"/>
              </w:rPr>
            </w:pPr>
            <w:r>
              <w:rPr>
                <w:sz w:val="18"/>
                <w:szCs w:val="18"/>
              </w:rPr>
              <w:t>DIN EN ISO 2160:1999</w:t>
            </w:r>
          </w:p>
        </w:tc>
        <w:tc>
          <w:tcPr>
            <w:tcW w:w="1134" w:type="dxa"/>
            <w:shd w:val="clear" w:color="auto" w:fill="auto"/>
          </w:tcPr>
          <w:p>
            <w:pPr>
              <w:pStyle w:val="GesAbsatz"/>
              <w:jc w:val="center"/>
              <w:rPr>
                <w:sz w:val="18"/>
                <w:szCs w:val="18"/>
              </w:rPr>
            </w:pPr>
            <w:r>
              <w:rPr>
                <w:sz w:val="18"/>
                <w:szCs w:val="18"/>
              </w:rPr>
              <w:t>Korros</w:t>
            </w:r>
            <w:r>
              <w:rPr>
                <w:sz w:val="18"/>
                <w:szCs w:val="18"/>
              </w:rPr>
              <w:t>i</w:t>
            </w:r>
            <w:r>
              <w:rPr>
                <w:sz w:val="18"/>
                <w:szCs w:val="18"/>
              </w:rPr>
              <w:t>onsgrad</w:t>
            </w:r>
          </w:p>
        </w:tc>
        <w:tc>
          <w:tcPr>
            <w:tcW w:w="2127" w:type="dxa"/>
            <w:gridSpan w:val="2"/>
            <w:shd w:val="clear" w:color="auto" w:fill="auto"/>
          </w:tcPr>
          <w:p>
            <w:pPr>
              <w:pStyle w:val="GesAbsatz"/>
              <w:jc w:val="center"/>
              <w:rPr>
                <w:sz w:val="18"/>
                <w:szCs w:val="18"/>
              </w:rPr>
            </w:pPr>
            <w:r>
              <w:rPr>
                <w:sz w:val="18"/>
                <w:szCs w:val="18"/>
              </w:rPr>
              <w:t>Klasse 1</w:t>
            </w:r>
          </w:p>
        </w:tc>
        <w:tc>
          <w:tcPr>
            <w:tcW w:w="911" w:type="dxa"/>
            <w:shd w:val="clear" w:color="auto" w:fill="auto"/>
          </w:tcPr>
          <w:p>
            <w:pPr>
              <w:pStyle w:val="GesAbsatz"/>
            </w:pPr>
          </w:p>
        </w:tc>
      </w:tr>
      <w:tr>
        <w:tc>
          <w:tcPr>
            <w:tcW w:w="534" w:type="dxa"/>
            <w:shd w:val="clear" w:color="auto" w:fill="auto"/>
          </w:tcPr>
          <w:p>
            <w:pPr>
              <w:pStyle w:val="GesAbsatz"/>
              <w:rPr>
                <w:sz w:val="18"/>
                <w:szCs w:val="18"/>
              </w:rPr>
            </w:pPr>
            <w:r>
              <w:rPr>
                <w:sz w:val="18"/>
                <w:szCs w:val="18"/>
              </w:rPr>
              <w:t>9</w:t>
            </w:r>
          </w:p>
        </w:tc>
        <w:tc>
          <w:tcPr>
            <w:tcW w:w="2977" w:type="dxa"/>
            <w:tcBorders>
              <w:bottom w:val="single" w:sz="4" w:space="0" w:color="auto"/>
            </w:tcBorders>
            <w:shd w:val="clear" w:color="auto" w:fill="auto"/>
          </w:tcPr>
          <w:p>
            <w:pPr>
              <w:pStyle w:val="GesAbsatz"/>
              <w:rPr>
                <w:sz w:val="18"/>
                <w:szCs w:val="18"/>
              </w:rPr>
            </w:pPr>
            <w:r>
              <w:rPr>
                <w:sz w:val="18"/>
                <w:szCs w:val="18"/>
              </w:rPr>
              <w:t>Aussehen</w:t>
            </w:r>
          </w:p>
        </w:tc>
        <w:tc>
          <w:tcPr>
            <w:tcW w:w="2267" w:type="dxa"/>
            <w:tcBorders>
              <w:bottom w:val="single" w:sz="4" w:space="0" w:color="auto"/>
            </w:tcBorders>
            <w:shd w:val="clear" w:color="auto" w:fill="auto"/>
          </w:tcPr>
          <w:p>
            <w:pPr>
              <w:pStyle w:val="GesAbsatz"/>
              <w:rPr>
                <w:sz w:val="18"/>
                <w:szCs w:val="18"/>
              </w:rPr>
            </w:pPr>
            <w:r>
              <w:rPr>
                <w:sz w:val="18"/>
                <w:szCs w:val="18"/>
              </w:rPr>
              <w:t>visuell</w:t>
            </w:r>
          </w:p>
        </w:tc>
        <w:tc>
          <w:tcPr>
            <w:tcW w:w="1134" w:type="dxa"/>
            <w:tcBorders>
              <w:bottom w:val="single" w:sz="4" w:space="0" w:color="auto"/>
            </w:tcBorders>
            <w:shd w:val="clear" w:color="auto" w:fill="auto"/>
          </w:tcPr>
          <w:p>
            <w:pPr>
              <w:pStyle w:val="GesAbsatz"/>
              <w:jc w:val="center"/>
              <w:rPr>
                <w:sz w:val="18"/>
                <w:szCs w:val="18"/>
              </w:rPr>
            </w:pPr>
            <w:r>
              <w:rPr>
                <w:sz w:val="18"/>
                <w:szCs w:val="18"/>
              </w:rPr>
              <w:t>–</w:t>
            </w:r>
          </w:p>
        </w:tc>
        <w:tc>
          <w:tcPr>
            <w:tcW w:w="2127" w:type="dxa"/>
            <w:gridSpan w:val="2"/>
            <w:tcBorders>
              <w:bottom w:val="single" w:sz="4" w:space="0" w:color="auto"/>
            </w:tcBorders>
            <w:shd w:val="clear" w:color="auto" w:fill="auto"/>
          </w:tcPr>
          <w:p>
            <w:pPr>
              <w:pStyle w:val="GesAbsatz"/>
              <w:jc w:val="center"/>
              <w:rPr>
                <w:sz w:val="18"/>
                <w:szCs w:val="18"/>
              </w:rPr>
            </w:pPr>
            <w:r>
              <w:rPr>
                <w:sz w:val="18"/>
                <w:szCs w:val="18"/>
              </w:rPr>
              <w:t>klar und trübung</w:t>
            </w:r>
            <w:r>
              <w:rPr>
                <w:sz w:val="18"/>
                <w:szCs w:val="18"/>
              </w:rPr>
              <w:t>s</w:t>
            </w:r>
            <w:r>
              <w:rPr>
                <w:sz w:val="18"/>
                <w:szCs w:val="18"/>
              </w:rPr>
              <w:t>frei</w:t>
            </w:r>
          </w:p>
        </w:tc>
        <w:tc>
          <w:tcPr>
            <w:tcW w:w="911" w:type="dxa"/>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10</w:t>
            </w:r>
          </w:p>
        </w:tc>
        <w:tc>
          <w:tcPr>
            <w:tcW w:w="2977" w:type="dxa"/>
            <w:tcBorders>
              <w:bottom w:val="nil"/>
            </w:tcBorders>
            <w:shd w:val="clear" w:color="auto" w:fill="auto"/>
          </w:tcPr>
          <w:p>
            <w:pPr>
              <w:pStyle w:val="GesAbsatz"/>
              <w:rPr>
                <w:sz w:val="18"/>
                <w:szCs w:val="18"/>
              </w:rPr>
            </w:pPr>
            <w:r>
              <w:rPr>
                <w:sz w:val="18"/>
                <w:szCs w:val="18"/>
              </w:rPr>
              <w:t>Gehalt an Kohlenwasserstoff-Gruppen</w:t>
            </w:r>
          </w:p>
        </w:tc>
        <w:tc>
          <w:tcPr>
            <w:tcW w:w="2267" w:type="dxa"/>
            <w:tcBorders>
              <w:bottom w:val="nil"/>
            </w:tcBorders>
            <w:shd w:val="clear" w:color="auto" w:fill="auto"/>
          </w:tcPr>
          <w:p>
            <w:pPr>
              <w:pStyle w:val="GesAbsatz"/>
              <w:rPr>
                <w:sz w:val="18"/>
                <w:szCs w:val="18"/>
              </w:rPr>
            </w:pPr>
          </w:p>
        </w:tc>
        <w:tc>
          <w:tcPr>
            <w:tcW w:w="1134" w:type="dxa"/>
            <w:tcBorders>
              <w:bottom w:val="nil"/>
            </w:tcBorders>
            <w:shd w:val="clear" w:color="auto" w:fill="auto"/>
          </w:tcPr>
          <w:p>
            <w:pPr>
              <w:pStyle w:val="GesAbsatz"/>
              <w:jc w:val="center"/>
              <w:rPr>
                <w:sz w:val="18"/>
                <w:szCs w:val="18"/>
              </w:rPr>
            </w:pP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right" w:pos="2577"/>
              </w:tabs>
              <w:rPr>
                <w:sz w:val="18"/>
                <w:szCs w:val="18"/>
              </w:rPr>
            </w:pPr>
            <w:r>
              <w:rPr>
                <w:sz w:val="18"/>
                <w:szCs w:val="18"/>
              </w:rPr>
              <w:t>– Olefine</w:t>
            </w:r>
            <w:r>
              <w:rPr>
                <w:sz w:val="18"/>
                <w:szCs w:val="18"/>
              </w:rPr>
              <w:tab/>
              <w:t>alle Qualitäten</w:t>
            </w:r>
          </w:p>
        </w:tc>
        <w:tc>
          <w:tcPr>
            <w:tcW w:w="2267" w:type="dxa"/>
            <w:vMerge w:val="restart"/>
            <w:tcBorders>
              <w:top w:val="nil"/>
              <w:bottom w:val="nil"/>
            </w:tcBorders>
            <w:shd w:val="clear" w:color="auto" w:fill="auto"/>
          </w:tcPr>
          <w:p>
            <w:pPr>
              <w:pStyle w:val="GesAbsatz"/>
              <w:rPr>
                <w:sz w:val="18"/>
                <w:szCs w:val="18"/>
              </w:rPr>
            </w:pPr>
            <w:r>
              <w:rPr>
                <w:sz w:val="18"/>
                <w:szCs w:val="18"/>
              </w:rPr>
              <w:t>DIN EN ISO 22854:2009</w:t>
            </w:r>
          </w:p>
        </w:tc>
        <w:tc>
          <w:tcPr>
            <w:tcW w:w="1134" w:type="dxa"/>
            <w:vMerge w:val="restart"/>
            <w:tcBorders>
              <w:top w:val="nil"/>
              <w:bottom w:val="nil"/>
            </w:tcBorders>
            <w:shd w:val="clear" w:color="auto" w:fill="auto"/>
          </w:tcPr>
          <w:p>
            <w:pPr>
              <w:pStyle w:val="GesAbsatz"/>
              <w:jc w:val="center"/>
              <w:rPr>
                <w:sz w:val="18"/>
                <w:szCs w:val="18"/>
              </w:rPr>
            </w:pPr>
            <w:r>
              <w:rPr>
                <w:sz w:val="18"/>
                <w:szCs w:val="18"/>
              </w:rPr>
              <w:t>% (V/V)</w:t>
            </w:r>
          </w:p>
        </w:tc>
        <w:tc>
          <w:tcPr>
            <w:tcW w:w="1033" w:type="dxa"/>
            <w:vMerge w:val="restart"/>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19,5</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right" w:pos="2577"/>
              </w:tabs>
              <w:rPr>
                <w:sz w:val="18"/>
                <w:szCs w:val="18"/>
              </w:rPr>
            </w:pPr>
            <w:r>
              <w:rPr>
                <w:sz w:val="18"/>
                <w:szCs w:val="18"/>
              </w:rPr>
              <w:t>– Aromaten</w:t>
            </w:r>
            <w:r>
              <w:rPr>
                <w:sz w:val="18"/>
                <w:szCs w:val="18"/>
              </w:rPr>
              <w:tab/>
              <w:t>alle Qualitäten</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36,0</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tabs>
                <w:tab w:val="right" w:pos="2577"/>
              </w:tabs>
              <w:rPr>
                <w:sz w:val="18"/>
                <w:szCs w:val="18"/>
              </w:rPr>
            </w:pPr>
            <w:r>
              <w:rPr>
                <w:sz w:val="18"/>
                <w:szCs w:val="18"/>
              </w:rPr>
              <w:t>– Olefine</w:t>
            </w:r>
            <w:r>
              <w:rPr>
                <w:sz w:val="18"/>
                <w:szCs w:val="18"/>
              </w:rPr>
              <w:tab/>
              <w:t>alle Qualitäten</w:t>
            </w:r>
          </w:p>
        </w:tc>
        <w:tc>
          <w:tcPr>
            <w:tcW w:w="2267" w:type="dxa"/>
            <w:vMerge w:val="restart"/>
            <w:tcBorders>
              <w:top w:val="nil"/>
              <w:bottom w:val="nil"/>
            </w:tcBorders>
            <w:shd w:val="clear" w:color="auto" w:fill="auto"/>
          </w:tcPr>
          <w:p>
            <w:pPr>
              <w:pStyle w:val="GesAbsatz"/>
              <w:rPr>
                <w:sz w:val="18"/>
                <w:szCs w:val="18"/>
              </w:rPr>
            </w:pPr>
            <w:r>
              <w:rPr>
                <w:sz w:val="18"/>
                <w:szCs w:val="18"/>
              </w:rPr>
              <w:t>DIN EN 15553:2007</w:t>
            </w:r>
          </w:p>
        </w:tc>
        <w:tc>
          <w:tcPr>
            <w:tcW w:w="1134" w:type="dxa"/>
            <w:vMerge w:val="restart"/>
            <w:tcBorders>
              <w:top w:val="nil"/>
              <w:bottom w:val="nil"/>
            </w:tcBorders>
            <w:shd w:val="clear" w:color="auto" w:fill="auto"/>
          </w:tcPr>
          <w:p>
            <w:pPr>
              <w:pStyle w:val="GesAbsatz"/>
              <w:jc w:val="center"/>
              <w:rPr>
                <w:sz w:val="18"/>
                <w:szCs w:val="18"/>
              </w:rPr>
            </w:pPr>
            <w:r>
              <w:rPr>
                <w:sz w:val="18"/>
                <w:szCs w:val="18"/>
              </w:rPr>
              <w:t>% (V/V)</w:t>
            </w:r>
          </w:p>
        </w:tc>
        <w:tc>
          <w:tcPr>
            <w:tcW w:w="1033" w:type="dxa"/>
            <w:vMerge w:val="restart"/>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20,7</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tabs>
                <w:tab w:val="right" w:pos="2577"/>
              </w:tabs>
              <w:rPr>
                <w:sz w:val="18"/>
                <w:szCs w:val="18"/>
              </w:rPr>
            </w:pPr>
            <w:r>
              <w:rPr>
                <w:sz w:val="18"/>
                <w:szCs w:val="18"/>
              </w:rPr>
              <w:t>– Aromaten</w:t>
            </w:r>
            <w:r>
              <w:rPr>
                <w:sz w:val="18"/>
                <w:szCs w:val="18"/>
              </w:rPr>
              <w:tab/>
              <w:t>alle Qualitäten</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37,2</w:t>
            </w:r>
          </w:p>
        </w:tc>
        <w:tc>
          <w:tcPr>
            <w:tcW w:w="911" w:type="dxa"/>
            <w:vMerge/>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11</w:t>
            </w:r>
          </w:p>
        </w:tc>
        <w:tc>
          <w:tcPr>
            <w:tcW w:w="2977" w:type="dxa"/>
            <w:vMerge w:val="restart"/>
            <w:shd w:val="clear" w:color="auto" w:fill="auto"/>
          </w:tcPr>
          <w:p>
            <w:pPr>
              <w:pStyle w:val="GesAbsatz"/>
              <w:rPr>
                <w:sz w:val="18"/>
                <w:szCs w:val="18"/>
              </w:rPr>
            </w:pPr>
            <w:r>
              <w:rPr>
                <w:sz w:val="18"/>
                <w:szCs w:val="18"/>
              </w:rPr>
              <w:t>Benzolgehalt</w:t>
            </w:r>
          </w:p>
        </w:tc>
        <w:tc>
          <w:tcPr>
            <w:tcW w:w="2267" w:type="dxa"/>
            <w:tcBorders>
              <w:bottom w:val="nil"/>
            </w:tcBorders>
            <w:shd w:val="clear" w:color="auto" w:fill="auto"/>
          </w:tcPr>
          <w:p>
            <w:pPr>
              <w:pStyle w:val="GesAbsatz"/>
              <w:rPr>
                <w:sz w:val="18"/>
                <w:szCs w:val="18"/>
              </w:rPr>
            </w:pPr>
            <w:r>
              <w:rPr>
                <w:sz w:val="18"/>
                <w:szCs w:val="18"/>
              </w:rPr>
              <w:t>DIN EN 238:2004</w:t>
            </w:r>
          </w:p>
        </w:tc>
        <w:tc>
          <w:tcPr>
            <w:tcW w:w="1134" w:type="dxa"/>
            <w:vMerge w:val="restart"/>
            <w:tcBorders>
              <w:bottom w:val="nil"/>
            </w:tcBorders>
            <w:shd w:val="clear" w:color="auto" w:fill="auto"/>
          </w:tcPr>
          <w:p>
            <w:pPr>
              <w:pStyle w:val="GesAbsatz"/>
              <w:jc w:val="center"/>
              <w:rPr>
                <w:sz w:val="18"/>
                <w:szCs w:val="18"/>
              </w:rPr>
            </w:pPr>
            <w:r>
              <w:rPr>
                <w:sz w:val="18"/>
                <w:szCs w:val="18"/>
              </w:rPr>
              <w:t>% (V/V)</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1,10</w:t>
            </w: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DIN EN 12177:1998</w:t>
            </w: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1,06</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ISO 22854:2009</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1,03</w:t>
            </w:r>
          </w:p>
        </w:tc>
        <w:tc>
          <w:tcPr>
            <w:tcW w:w="911" w:type="dxa"/>
            <w:vMerge/>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12</w:t>
            </w:r>
          </w:p>
        </w:tc>
        <w:tc>
          <w:tcPr>
            <w:tcW w:w="2977" w:type="dxa"/>
            <w:vMerge w:val="restart"/>
            <w:shd w:val="clear" w:color="auto" w:fill="auto"/>
          </w:tcPr>
          <w:p>
            <w:pPr>
              <w:pStyle w:val="GesAbsatz"/>
              <w:rPr>
                <w:sz w:val="18"/>
                <w:szCs w:val="18"/>
              </w:rPr>
            </w:pPr>
            <w:r>
              <w:rPr>
                <w:sz w:val="18"/>
                <w:szCs w:val="18"/>
              </w:rPr>
              <w:t>Sauerstoffgehalt</w:t>
            </w:r>
            <w:r>
              <w:rPr>
                <w:sz w:val="18"/>
                <w:szCs w:val="18"/>
                <w:vertAlign w:val="superscript"/>
              </w:rPr>
              <w:t>c)</w:t>
            </w:r>
          </w:p>
        </w:tc>
        <w:tc>
          <w:tcPr>
            <w:tcW w:w="2267" w:type="dxa"/>
            <w:tcBorders>
              <w:bottom w:val="nil"/>
            </w:tcBorders>
            <w:shd w:val="clear" w:color="auto" w:fill="auto"/>
          </w:tcPr>
          <w:p>
            <w:pPr>
              <w:pStyle w:val="GesAbsatz"/>
              <w:rPr>
                <w:sz w:val="18"/>
                <w:szCs w:val="18"/>
              </w:rPr>
            </w:pPr>
            <w:r>
              <w:rPr>
                <w:sz w:val="18"/>
                <w:szCs w:val="18"/>
              </w:rPr>
              <w:t>DIN EN 1601:1997</w:t>
            </w:r>
          </w:p>
        </w:tc>
        <w:tc>
          <w:tcPr>
            <w:tcW w:w="1134" w:type="dxa"/>
            <w:vMerge w:val="restart"/>
            <w:tcBorders>
              <w:bottom w:val="nil"/>
            </w:tcBorders>
            <w:shd w:val="clear" w:color="auto" w:fill="auto"/>
          </w:tcPr>
          <w:p>
            <w:pPr>
              <w:pStyle w:val="GesAbsatz"/>
              <w:jc w:val="center"/>
              <w:rPr>
                <w:sz w:val="18"/>
                <w:szCs w:val="18"/>
              </w:rPr>
            </w:pPr>
            <w:r>
              <w:rPr>
                <w:sz w:val="18"/>
                <w:szCs w:val="18"/>
              </w:rPr>
              <w:t>% (m/m)</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4,04</w:t>
            </w: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DIN EN 13132:2002</w:t>
            </w: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4,21</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tcBorders>
              <w:bottom w:val="single" w:sz="4" w:space="0" w:color="auto"/>
            </w:tcBorders>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DIN EN ISO 22854:2009</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4,01</w:t>
            </w:r>
          </w:p>
        </w:tc>
        <w:tc>
          <w:tcPr>
            <w:tcW w:w="911" w:type="dxa"/>
            <w:vMerge/>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13</w:t>
            </w:r>
          </w:p>
        </w:tc>
        <w:tc>
          <w:tcPr>
            <w:tcW w:w="2977" w:type="dxa"/>
            <w:tcBorders>
              <w:bottom w:val="nil"/>
            </w:tcBorders>
            <w:shd w:val="clear" w:color="auto" w:fill="auto"/>
          </w:tcPr>
          <w:p>
            <w:pPr>
              <w:pStyle w:val="GesAbsatz"/>
              <w:rPr>
                <w:sz w:val="18"/>
                <w:szCs w:val="18"/>
              </w:rPr>
            </w:pPr>
            <w:r>
              <w:rPr>
                <w:sz w:val="18"/>
                <w:szCs w:val="18"/>
              </w:rPr>
              <w:t>Gehalt an sauerstoffhaltigen o</w:t>
            </w:r>
            <w:r>
              <w:rPr>
                <w:sz w:val="18"/>
                <w:szCs w:val="18"/>
              </w:rPr>
              <w:t>r</w:t>
            </w:r>
            <w:r>
              <w:rPr>
                <w:sz w:val="18"/>
                <w:szCs w:val="18"/>
              </w:rPr>
              <w:t>ganischen Verbindungen</w:t>
            </w:r>
            <w:r>
              <w:rPr>
                <w:sz w:val="18"/>
                <w:szCs w:val="18"/>
                <w:vertAlign w:val="superscript"/>
              </w:rPr>
              <w:t>c)</w:t>
            </w:r>
          </w:p>
        </w:tc>
        <w:tc>
          <w:tcPr>
            <w:tcW w:w="2267" w:type="dxa"/>
            <w:vMerge w:val="restart"/>
            <w:tcBorders>
              <w:bottom w:val="nil"/>
            </w:tcBorders>
            <w:shd w:val="clear" w:color="auto" w:fill="auto"/>
          </w:tcPr>
          <w:p>
            <w:pPr>
              <w:pStyle w:val="GesAbsatz"/>
              <w:rPr>
                <w:sz w:val="18"/>
                <w:szCs w:val="18"/>
              </w:rPr>
            </w:pPr>
            <w:r>
              <w:rPr>
                <w:sz w:val="18"/>
                <w:szCs w:val="18"/>
              </w:rPr>
              <w:t>DIN EN 1601:1997/</w:t>
            </w:r>
          </w:p>
          <w:p>
            <w:pPr>
              <w:pStyle w:val="GesAbsatz"/>
              <w:rPr>
                <w:sz w:val="18"/>
                <w:szCs w:val="18"/>
              </w:rPr>
            </w:pPr>
            <w:r>
              <w:rPr>
                <w:sz w:val="18"/>
                <w:szCs w:val="18"/>
              </w:rPr>
              <w:t>DIN EN 13132:2002/</w:t>
            </w:r>
          </w:p>
          <w:p>
            <w:pPr>
              <w:pStyle w:val="GesAbsatz"/>
              <w:rPr>
                <w:sz w:val="18"/>
                <w:szCs w:val="18"/>
              </w:rPr>
            </w:pPr>
            <w:r>
              <w:rPr>
                <w:sz w:val="18"/>
                <w:szCs w:val="18"/>
              </w:rPr>
              <w:t>DIN EN ISO 22854:2009</w:t>
            </w:r>
          </w:p>
        </w:tc>
        <w:tc>
          <w:tcPr>
            <w:tcW w:w="1134" w:type="dxa"/>
            <w:vMerge w:val="restart"/>
            <w:tcBorders>
              <w:bottom w:val="nil"/>
            </w:tcBorders>
            <w:shd w:val="clear" w:color="auto" w:fill="auto"/>
          </w:tcPr>
          <w:p>
            <w:pPr>
              <w:pStyle w:val="GesAbsatz"/>
              <w:jc w:val="center"/>
              <w:rPr>
                <w:sz w:val="18"/>
                <w:szCs w:val="18"/>
              </w:rPr>
            </w:pPr>
            <w:r>
              <w:rPr>
                <w:sz w:val="18"/>
                <w:szCs w:val="18"/>
              </w:rPr>
              <w:t>% (V/V)</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Methanol (Stabilisierungsmittel müssen verwendet werden)</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3,2/3,2/3,3</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Ethanol (Stabilisierungsmittel können notwendig sein)</w:t>
            </w:r>
            <w:r>
              <w:rPr>
                <w:sz w:val="18"/>
                <w:szCs w:val="18"/>
                <w:vertAlign w:val="superscript"/>
              </w:rPr>
              <w:t>e)</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10,5/10,5/10,3</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2-Propanol, Iso-propyl-Alkohol (IPA)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12,5/12,5/12,4</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2-Methyl-1-propanol, Isobutyl-Alkohol (IBA)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15,6/15,6/15,4</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2-Methyl-2-propanol, t-Butyl-Alkohol (TBA)</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15,6/15,6/15,4</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 Ether (5 oder mehr C-Atome)</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–/–/22,5</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rPr>
                <w:sz w:val="18"/>
                <w:szCs w:val="18"/>
              </w:rPr>
            </w:pPr>
            <w:r>
              <w:rPr>
                <w:sz w:val="18"/>
                <w:szCs w:val="18"/>
              </w:rPr>
              <w:t>– andere sauerstoffhaltige organ</w:t>
            </w:r>
            <w:r>
              <w:rPr>
                <w:sz w:val="18"/>
                <w:szCs w:val="18"/>
              </w:rPr>
              <w:t>i</w:t>
            </w:r>
            <w:r>
              <w:rPr>
                <w:sz w:val="18"/>
                <w:szCs w:val="18"/>
              </w:rPr>
              <w:t>sche Verbindungen</w:t>
            </w:r>
            <w:r>
              <w:rPr>
                <w:sz w:val="18"/>
                <w:szCs w:val="18"/>
                <w:vertAlign w:val="superscript"/>
              </w:rPr>
              <w:t>d)</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15,6/15,6/15,4</w:t>
            </w:r>
          </w:p>
        </w:tc>
        <w:tc>
          <w:tcPr>
            <w:tcW w:w="911" w:type="dxa"/>
            <w:vMerge/>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14</w:t>
            </w:r>
          </w:p>
        </w:tc>
        <w:tc>
          <w:tcPr>
            <w:tcW w:w="2977" w:type="dxa"/>
            <w:tcBorders>
              <w:bottom w:val="nil"/>
            </w:tcBorders>
            <w:shd w:val="clear" w:color="auto" w:fill="auto"/>
          </w:tcPr>
          <w:p>
            <w:pPr>
              <w:pStyle w:val="GesAbsatz"/>
              <w:rPr>
                <w:sz w:val="18"/>
                <w:szCs w:val="18"/>
              </w:rPr>
            </w:pPr>
            <w:r>
              <w:rPr>
                <w:sz w:val="18"/>
                <w:szCs w:val="18"/>
              </w:rPr>
              <w:t>Dampfdruck (DVPE)</w:t>
            </w:r>
          </w:p>
        </w:tc>
        <w:tc>
          <w:tcPr>
            <w:tcW w:w="2267" w:type="dxa"/>
            <w:tcBorders>
              <w:bottom w:val="nil"/>
            </w:tcBorders>
            <w:shd w:val="clear" w:color="auto" w:fill="auto"/>
          </w:tcPr>
          <w:p>
            <w:pPr>
              <w:pStyle w:val="GesAbsatz"/>
              <w:rPr>
                <w:sz w:val="18"/>
                <w:szCs w:val="18"/>
              </w:rPr>
            </w:pPr>
            <w:r>
              <w:rPr>
                <w:sz w:val="18"/>
                <w:szCs w:val="18"/>
              </w:rPr>
              <w:t>DIN EN 13016-1:2007</w:t>
            </w:r>
          </w:p>
        </w:tc>
        <w:tc>
          <w:tcPr>
            <w:tcW w:w="1134" w:type="dxa"/>
            <w:vMerge w:val="restart"/>
            <w:tcBorders>
              <w:bottom w:val="nil"/>
            </w:tcBorders>
            <w:shd w:val="clear" w:color="auto" w:fill="auto"/>
          </w:tcPr>
          <w:p>
            <w:pPr>
              <w:pStyle w:val="GesAbsatz"/>
              <w:jc w:val="center"/>
              <w:rPr>
                <w:sz w:val="18"/>
                <w:szCs w:val="18"/>
              </w:rPr>
            </w:pPr>
            <w:r>
              <w:rPr>
                <w:sz w:val="18"/>
                <w:szCs w:val="18"/>
              </w:rPr>
              <w:t>kPa</w:t>
            </w: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val="restart"/>
            <w:tcBorders>
              <w:top w:val="nil"/>
              <w:bottom w:val="nil"/>
            </w:tcBorders>
            <w:shd w:val="clear" w:color="auto" w:fill="auto"/>
          </w:tcPr>
          <w:p>
            <w:pPr>
              <w:pStyle w:val="GesAbsatz"/>
              <w:rPr>
                <w:sz w:val="18"/>
                <w:szCs w:val="18"/>
              </w:rPr>
            </w:pPr>
            <w:r>
              <w:rPr>
                <w:sz w:val="18"/>
                <w:szCs w:val="18"/>
              </w:rPr>
              <w:t>Klasse A</w:t>
            </w:r>
          </w:p>
        </w:tc>
        <w:tc>
          <w:tcPr>
            <w:tcW w:w="2267" w:type="dxa"/>
            <w:tcBorders>
              <w:top w:val="nil"/>
              <w:bottom w:val="nil"/>
            </w:tcBorders>
            <w:shd w:val="clear" w:color="auto" w:fill="auto"/>
          </w:tcPr>
          <w:p>
            <w:pPr>
              <w:pStyle w:val="GesAbsatz"/>
              <w:rPr>
                <w:sz w:val="18"/>
                <w:szCs w:val="18"/>
              </w:rPr>
            </w:pPr>
            <w:r>
              <w:rPr>
                <w:sz w:val="18"/>
                <w:szCs w:val="18"/>
              </w:rPr>
              <w:t>(1 Liter)</w:t>
            </w: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43,8</w:t>
            </w:r>
          </w:p>
        </w:tc>
        <w:tc>
          <w:tcPr>
            <w:tcW w:w="1094" w:type="dxa"/>
            <w:tcBorders>
              <w:top w:val="nil"/>
              <w:bottom w:val="nil"/>
            </w:tcBorders>
            <w:shd w:val="clear" w:color="auto" w:fill="auto"/>
          </w:tcPr>
          <w:p>
            <w:pPr>
              <w:pStyle w:val="GesAbsatz"/>
              <w:jc w:val="center"/>
              <w:rPr>
                <w:sz w:val="18"/>
                <w:szCs w:val="18"/>
              </w:rPr>
            </w:pPr>
            <w:r>
              <w:rPr>
                <w:sz w:val="18"/>
                <w:szCs w:val="18"/>
              </w:rPr>
              <w:t>61,3</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tcBorders>
              <w:top w:val="nil"/>
              <w:bottom w:val="nil"/>
            </w:tcBorders>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(250 ml)</w:t>
            </w: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43,4</w:t>
            </w:r>
          </w:p>
        </w:tc>
        <w:tc>
          <w:tcPr>
            <w:tcW w:w="1094" w:type="dxa"/>
            <w:tcBorders>
              <w:top w:val="nil"/>
              <w:bottom w:val="nil"/>
            </w:tcBorders>
            <w:shd w:val="clear" w:color="auto" w:fill="auto"/>
          </w:tcPr>
          <w:p>
            <w:pPr>
              <w:pStyle w:val="GesAbsatz"/>
              <w:jc w:val="center"/>
              <w:rPr>
                <w:sz w:val="18"/>
                <w:szCs w:val="18"/>
              </w:rPr>
            </w:pPr>
            <w:r>
              <w:rPr>
                <w:sz w:val="18"/>
                <w:szCs w:val="18"/>
              </w:rPr>
              <w:t>61,6</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val="restart"/>
            <w:tcBorders>
              <w:top w:val="nil"/>
              <w:bottom w:val="nil"/>
            </w:tcBorders>
            <w:shd w:val="clear" w:color="auto" w:fill="auto"/>
          </w:tcPr>
          <w:p>
            <w:pPr>
              <w:pStyle w:val="GesAbsatz"/>
              <w:rPr>
                <w:sz w:val="18"/>
                <w:szCs w:val="18"/>
              </w:rPr>
            </w:pPr>
            <w:r>
              <w:rPr>
                <w:sz w:val="18"/>
                <w:szCs w:val="18"/>
              </w:rPr>
              <w:t>Klasse D</w:t>
            </w:r>
          </w:p>
        </w:tc>
        <w:tc>
          <w:tcPr>
            <w:tcW w:w="2267" w:type="dxa"/>
            <w:tcBorders>
              <w:top w:val="nil"/>
              <w:bottom w:val="nil"/>
            </w:tcBorders>
            <w:shd w:val="clear" w:color="auto" w:fill="auto"/>
          </w:tcPr>
          <w:p>
            <w:pPr>
              <w:pStyle w:val="GesAbsatz"/>
              <w:rPr>
                <w:sz w:val="18"/>
                <w:szCs w:val="18"/>
              </w:rPr>
            </w:pPr>
            <w:r>
              <w:rPr>
                <w:sz w:val="18"/>
                <w:szCs w:val="18"/>
              </w:rPr>
              <w:t>(1 Liter)</w:t>
            </w: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58,7</w:t>
            </w:r>
          </w:p>
        </w:tc>
        <w:tc>
          <w:tcPr>
            <w:tcW w:w="1094" w:type="dxa"/>
            <w:tcBorders>
              <w:top w:val="nil"/>
              <w:bottom w:val="nil"/>
            </w:tcBorders>
            <w:shd w:val="clear" w:color="auto" w:fill="auto"/>
          </w:tcPr>
          <w:p>
            <w:pPr>
              <w:pStyle w:val="GesAbsatz"/>
              <w:jc w:val="center"/>
              <w:rPr>
                <w:sz w:val="18"/>
                <w:szCs w:val="18"/>
              </w:rPr>
            </w:pPr>
            <w:r>
              <w:rPr>
                <w:sz w:val="18"/>
                <w:szCs w:val="18"/>
              </w:rPr>
              <w:t>91,5</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vMerge/>
            <w:tcBorders>
              <w:top w:val="nil"/>
              <w:bottom w:val="single" w:sz="4" w:space="0" w:color="auto"/>
            </w:tcBorders>
            <w:shd w:val="clear" w:color="auto" w:fill="auto"/>
          </w:tcPr>
          <w:p>
            <w:pPr>
              <w:pStyle w:val="GesAbsatz"/>
              <w:rPr>
                <w:sz w:val="18"/>
                <w:szCs w:val="18"/>
              </w:rPr>
            </w:pPr>
          </w:p>
        </w:tc>
        <w:tc>
          <w:tcPr>
            <w:tcW w:w="2267" w:type="dxa"/>
            <w:tcBorders>
              <w:top w:val="nil"/>
              <w:bottom w:val="single" w:sz="4" w:space="0" w:color="auto"/>
            </w:tcBorders>
            <w:shd w:val="clear" w:color="auto" w:fill="auto"/>
          </w:tcPr>
          <w:p>
            <w:pPr>
              <w:pStyle w:val="GesAbsatz"/>
              <w:rPr>
                <w:sz w:val="18"/>
                <w:szCs w:val="18"/>
              </w:rPr>
            </w:pPr>
            <w:r>
              <w:rPr>
                <w:sz w:val="18"/>
                <w:szCs w:val="18"/>
              </w:rPr>
              <w:t>(250 ml)</w:t>
            </w: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tcBorders>
              <w:top w:val="nil"/>
              <w:bottom w:val="single" w:sz="4" w:space="0" w:color="auto"/>
            </w:tcBorders>
            <w:shd w:val="clear" w:color="auto" w:fill="auto"/>
          </w:tcPr>
          <w:p>
            <w:pPr>
              <w:pStyle w:val="GesAbsatz"/>
              <w:jc w:val="center"/>
              <w:rPr>
                <w:sz w:val="18"/>
                <w:szCs w:val="18"/>
              </w:rPr>
            </w:pPr>
            <w:r>
              <w:rPr>
                <w:sz w:val="18"/>
                <w:szCs w:val="18"/>
              </w:rPr>
              <w:t>58,4</w:t>
            </w: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91,6</w:t>
            </w:r>
          </w:p>
        </w:tc>
        <w:tc>
          <w:tcPr>
            <w:tcW w:w="911" w:type="dxa"/>
            <w:vMerge/>
            <w:shd w:val="clear" w:color="auto" w:fill="auto"/>
          </w:tcPr>
          <w:p>
            <w:pPr>
              <w:pStyle w:val="GesAbsatz"/>
            </w:pPr>
          </w:p>
        </w:tc>
      </w:tr>
      <w:tr>
        <w:tc>
          <w:tcPr>
            <w:tcW w:w="534" w:type="dxa"/>
            <w:vMerge w:val="restart"/>
            <w:shd w:val="clear" w:color="auto" w:fill="auto"/>
          </w:tcPr>
          <w:p>
            <w:pPr>
              <w:pStyle w:val="GesAbsatz"/>
              <w:rPr>
                <w:sz w:val="18"/>
                <w:szCs w:val="18"/>
              </w:rPr>
            </w:pPr>
            <w:r>
              <w:rPr>
                <w:sz w:val="18"/>
                <w:szCs w:val="18"/>
              </w:rPr>
              <w:t>15</w:t>
            </w:r>
          </w:p>
        </w:tc>
        <w:tc>
          <w:tcPr>
            <w:tcW w:w="2977" w:type="dxa"/>
            <w:tcBorders>
              <w:bottom w:val="nil"/>
            </w:tcBorders>
            <w:shd w:val="clear" w:color="auto" w:fill="auto"/>
          </w:tcPr>
          <w:p>
            <w:pPr>
              <w:pStyle w:val="GesAbsatz"/>
              <w:rPr>
                <w:sz w:val="18"/>
                <w:szCs w:val="18"/>
              </w:rPr>
            </w:pPr>
            <w:r>
              <w:rPr>
                <w:sz w:val="18"/>
                <w:szCs w:val="18"/>
              </w:rPr>
              <w:t>Destillation</w:t>
            </w:r>
          </w:p>
        </w:tc>
        <w:tc>
          <w:tcPr>
            <w:tcW w:w="2267" w:type="dxa"/>
            <w:vMerge w:val="restart"/>
            <w:tcBorders>
              <w:bottom w:val="nil"/>
            </w:tcBorders>
            <w:shd w:val="clear" w:color="auto" w:fill="auto"/>
          </w:tcPr>
          <w:p>
            <w:pPr>
              <w:pStyle w:val="GesAbsatz"/>
              <w:rPr>
                <w:sz w:val="18"/>
                <w:szCs w:val="18"/>
              </w:rPr>
            </w:pPr>
            <w:r>
              <w:rPr>
                <w:sz w:val="18"/>
                <w:szCs w:val="18"/>
              </w:rPr>
              <w:t>DIN EN ISO 3405:2001</w:t>
            </w:r>
          </w:p>
        </w:tc>
        <w:tc>
          <w:tcPr>
            <w:tcW w:w="1134" w:type="dxa"/>
            <w:tcBorders>
              <w:bottom w:val="nil"/>
            </w:tcBorders>
            <w:shd w:val="clear" w:color="auto" w:fill="auto"/>
          </w:tcPr>
          <w:p>
            <w:pPr>
              <w:pStyle w:val="GesAbsatz"/>
              <w:jc w:val="center"/>
              <w:rPr>
                <w:sz w:val="18"/>
                <w:szCs w:val="18"/>
              </w:rPr>
            </w:pP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70 °C (E70)</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16,5</w:t>
            </w:r>
          </w:p>
        </w:tc>
        <w:tc>
          <w:tcPr>
            <w:tcW w:w="1094" w:type="dxa"/>
            <w:tcBorders>
              <w:top w:val="nil"/>
              <w:bottom w:val="nil"/>
            </w:tcBorders>
            <w:shd w:val="clear" w:color="auto" w:fill="auto"/>
          </w:tcPr>
          <w:p>
            <w:pPr>
              <w:pStyle w:val="GesAbsatz"/>
              <w:jc w:val="center"/>
              <w:rPr>
                <w:sz w:val="18"/>
                <w:szCs w:val="18"/>
              </w:rPr>
            </w:pPr>
            <w:r>
              <w:rPr>
                <w:sz w:val="18"/>
                <w:szCs w:val="18"/>
              </w:rPr>
              <w:t>52,1</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18,5</w:t>
            </w:r>
          </w:p>
        </w:tc>
        <w:tc>
          <w:tcPr>
            <w:tcW w:w="1094" w:type="dxa"/>
            <w:tcBorders>
              <w:top w:val="nil"/>
              <w:bottom w:val="nil"/>
            </w:tcBorders>
            <w:shd w:val="clear" w:color="auto" w:fill="auto"/>
          </w:tcPr>
          <w:p>
            <w:pPr>
              <w:pStyle w:val="GesAbsatz"/>
              <w:jc w:val="center"/>
              <w:rPr>
                <w:sz w:val="18"/>
                <w:szCs w:val="18"/>
              </w:rPr>
            </w:pPr>
            <w:r>
              <w:rPr>
                <w:sz w:val="18"/>
                <w:szCs w:val="18"/>
              </w:rPr>
              <w:t>52,7</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100 °C (E100)</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41,9</w:t>
            </w:r>
          </w:p>
        </w:tc>
        <w:tc>
          <w:tcPr>
            <w:tcW w:w="1094" w:type="dxa"/>
            <w:tcBorders>
              <w:top w:val="nil"/>
              <w:bottom w:val="nil"/>
            </w:tcBorders>
            <w:shd w:val="clear" w:color="auto" w:fill="auto"/>
          </w:tcPr>
          <w:p>
            <w:pPr>
              <w:pStyle w:val="GesAbsatz"/>
              <w:jc w:val="center"/>
              <w:rPr>
                <w:sz w:val="18"/>
                <w:szCs w:val="18"/>
              </w:rPr>
            </w:pPr>
            <w:r>
              <w:rPr>
                <w:sz w:val="18"/>
                <w:szCs w:val="18"/>
              </w:rPr>
              <w:t>74,4</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41,9</w:t>
            </w:r>
          </w:p>
        </w:tc>
        <w:tc>
          <w:tcPr>
            <w:tcW w:w="1094" w:type="dxa"/>
            <w:tcBorders>
              <w:top w:val="nil"/>
              <w:bottom w:val="nil"/>
            </w:tcBorders>
            <w:shd w:val="clear" w:color="auto" w:fill="auto"/>
          </w:tcPr>
          <w:p>
            <w:pPr>
              <w:pStyle w:val="GesAbsatz"/>
              <w:jc w:val="center"/>
              <w:rPr>
                <w:sz w:val="18"/>
                <w:szCs w:val="18"/>
              </w:rPr>
            </w:pPr>
            <w:r>
              <w:rPr>
                <w:sz w:val="18"/>
                <w:szCs w:val="18"/>
              </w:rPr>
              <w:t>73,2</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verdampfte Menge bei 150 °C (E150)</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A</w:t>
            </w:r>
          </w:p>
        </w:tc>
        <w:tc>
          <w:tcPr>
            <w:tcW w:w="2267" w:type="dxa"/>
            <w:vMerge/>
            <w:tcBorders>
              <w:top w:val="nil"/>
              <w:bottom w:val="nil"/>
            </w:tcBorders>
            <w:shd w:val="clear" w:color="auto" w:fill="auto"/>
          </w:tcPr>
          <w:p>
            <w:pPr>
              <w:pStyle w:val="GesAbsatz"/>
              <w:rPr>
                <w:sz w:val="18"/>
                <w:szCs w:val="18"/>
              </w:rPr>
            </w:pPr>
          </w:p>
        </w:tc>
        <w:tc>
          <w:tcPr>
            <w:tcW w:w="1134" w:type="dxa"/>
            <w:vMerge w:val="restart"/>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72,2</w:t>
            </w:r>
          </w:p>
        </w:tc>
        <w:tc>
          <w:tcPr>
            <w:tcW w:w="1094" w:type="dxa"/>
            <w:vMerge w:val="restart"/>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r>
              <w:rPr>
                <w:sz w:val="18"/>
                <w:szCs w:val="18"/>
              </w:rPr>
              <w:t>72,2</w:t>
            </w:r>
          </w:p>
        </w:tc>
        <w:tc>
          <w:tcPr>
            <w:tcW w:w="1094" w:type="dxa"/>
            <w:vMerge/>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Siedeendpunkt °C</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216,2</w:t>
            </w:r>
          </w:p>
        </w:tc>
        <w:tc>
          <w:tcPr>
            <w:tcW w:w="911" w:type="dxa"/>
            <w:vMerge/>
            <w:shd w:val="clear" w:color="auto" w:fill="auto"/>
          </w:tcPr>
          <w:p>
            <w:pPr>
              <w:pStyle w:val="GesAbsatz"/>
            </w:pPr>
          </w:p>
        </w:tc>
      </w:tr>
      <w:tr>
        <w:tc>
          <w:tcPr>
            <w:tcW w:w="534" w:type="dxa"/>
            <w:vMerge/>
            <w:shd w:val="clear" w:color="auto" w:fill="auto"/>
          </w:tcPr>
          <w:p>
            <w:pPr>
              <w:pStyle w:val="GesAbsatz"/>
              <w:rPr>
                <w:sz w:val="18"/>
                <w:szCs w:val="18"/>
              </w:rPr>
            </w:pPr>
          </w:p>
        </w:tc>
        <w:tc>
          <w:tcPr>
            <w:tcW w:w="2977" w:type="dxa"/>
            <w:tcBorders>
              <w:top w:val="nil"/>
            </w:tcBorders>
            <w:shd w:val="clear" w:color="auto" w:fill="auto"/>
          </w:tcPr>
          <w:p>
            <w:pPr>
              <w:pStyle w:val="GesAbsatz"/>
              <w:rPr>
                <w:sz w:val="18"/>
                <w:szCs w:val="18"/>
              </w:rPr>
            </w:pPr>
            <w:r>
              <w:rPr>
                <w:sz w:val="18"/>
                <w:szCs w:val="18"/>
              </w:rPr>
              <w:t>Destillationsrückstand</w:t>
            </w:r>
          </w:p>
        </w:tc>
        <w:tc>
          <w:tcPr>
            <w:tcW w:w="2267" w:type="dxa"/>
            <w:vMerge/>
            <w:tcBorders>
              <w:top w:val="nil"/>
            </w:tcBorders>
            <w:shd w:val="clear" w:color="auto" w:fill="auto"/>
          </w:tcPr>
          <w:p>
            <w:pPr>
              <w:pStyle w:val="GesAbsatz"/>
              <w:rPr>
                <w:sz w:val="18"/>
                <w:szCs w:val="18"/>
              </w:rPr>
            </w:pPr>
          </w:p>
        </w:tc>
        <w:tc>
          <w:tcPr>
            <w:tcW w:w="1134" w:type="dxa"/>
            <w:tcBorders>
              <w:top w:val="nil"/>
            </w:tcBorders>
            <w:shd w:val="clear" w:color="auto" w:fill="auto"/>
          </w:tcPr>
          <w:p>
            <w:pPr>
              <w:pStyle w:val="GesAbsatz"/>
              <w:jc w:val="center"/>
              <w:rPr>
                <w:sz w:val="18"/>
                <w:szCs w:val="18"/>
              </w:rPr>
            </w:pPr>
            <w:r>
              <w:rPr>
                <w:sz w:val="18"/>
                <w:szCs w:val="18"/>
              </w:rPr>
              <w:t>% (V/V)</w:t>
            </w:r>
          </w:p>
        </w:tc>
        <w:tc>
          <w:tcPr>
            <w:tcW w:w="1033" w:type="dxa"/>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2,0</w:t>
            </w:r>
          </w:p>
        </w:tc>
        <w:tc>
          <w:tcPr>
            <w:tcW w:w="911" w:type="dxa"/>
            <w:vMerge/>
            <w:shd w:val="clear" w:color="auto" w:fill="auto"/>
          </w:tcPr>
          <w:p>
            <w:pPr>
              <w:pStyle w:val="GesAbsatz"/>
            </w:pPr>
          </w:p>
        </w:tc>
      </w:tr>
      <w:tr>
        <w:tc>
          <w:tcPr>
            <w:tcW w:w="534" w:type="dxa"/>
            <w:shd w:val="clear" w:color="auto" w:fill="auto"/>
          </w:tcPr>
          <w:p>
            <w:pPr>
              <w:pStyle w:val="GesAbsatz"/>
              <w:rPr>
                <w:sz w:val="18"/>
                <w:szCs w:val="18"/>
              </w:rPr>
            </w:pPr>
            <w:r>
              <w:rPr>
                <w:sz w:val="18"/>
                <w:szCs w:val="18"/>
              </w:rPr>
              <w:t>16</w:t>
            </w:r>
          </w:p>
        </w:tc>
        <w:tc>
          <w:tcPr>
            <w:tcW w:w="2977" w:type="dxa"/>
            <w:shd w:val="clear" w:color="auto" w:fill="auto"/>
          </w:tcPr>
          <w:p>
            <w:pPr>
              <w:pStyle w:val="GesAbsatz"/>
              <w:rPr>
                <w:sz w:val="18"/>
                <w:szCs w:val="18"/>
              </w:rPr>
            </w:pPr>
            <w:r>
              <w:rPr>
                <w:sz w:val="18"/>
                <w:szCs w:val="18"/>
              </w:rPr>
              <w:t>VLI (10*VP + 7*E70) Klasse D1</w:t>
            </w:r>
          </w:p>
        </w:tc>
        <w:tc>
          <w:tcPr>
            <w:tcW w:w="2267" w:type="dxa"/>
            <w:shd w:val="clear" w:color="auto" w:fill="auto"/>
          </w:tcPr>
          <w:p>
            <w:pPr>
              <w:pStyle w:val="GesAbsatz"/>
              <w:rPr>
                <w:sz w:val="18"/>
                <w:szCs w:val="18"/>
              </w:rPr>
            </w:pPr>
            <w:r>
              <w:rPr>
                <w:sz w:val="18"/>
                <w:szCs w:val="18"/>
              </w:rPr>
              <w:t>(Berechnung)</w:t>
            </w:r>
          </w:p>
        </w:tc>
        <w:tc>
          <w:tcPr>
            <w:tcW w:w="1134" w:type="dxa"/>
            <w:shd w:val="clear" w:color="auto" w:fill="auto"/>
          </w:tcPr>
          <w:p>
            <w:pPr>
              <w:pStyle w:val="GesAbsatz"/>
              <w:jc w:val="center"/>
              <w:rPr>
                <w:sz w:val="18"/>
                <w:szCs w:val="18"/>
              </w:rPr>
            </w:pPr>
            <w:r>
              <w:rPr>
                <w:sz w:val="18"/>
                <w:szCs w:val="18"/>
              </w:rPr>
              <w:t>–</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1 179</w:t>
            </w:r>
          </w:p>
        </w:tc>
        <w:tc>
          <w:tcPr>
            <w:tcW w:w="911" w:type="dxa"/>
            <w:shd w:val="clear" w:color="auto" w:fill="auto"/>
          </w:tcPr>
          <w:p>
            <w:pPr>
              <w:pStyle w:val="GesAbsatz"/>
            </w:pPr>
          </w:p>
        </w:tc>
      </w:tr>
      <w:tr>
        <w:tc>
          <w:tcPr>
            <w:tcW w:w="534" w:type="dxa"/>
            <w:shd w:val="clear" w:color="auto" w:fill="auto"/>
          </w:tcPr>
          <w:p>
            <w:pPr>
              <w:pStyle w:val="GesAbsatz"/>
              <w:rPr>
                <w:sz w:val="18"/>
                <w:szCs w:val="18"/>
              </w:rPr>
            </w:pPr>
            <w:r>
              <w:rPr>
                <w:sz w:val="18"/>
                <w:szCs w:val="18"/>
              </w:rPr>
              <w:t>17</w:t>
            </w:r>
          </w:p>
        </w:tc>
        <w:tc>
          <w:tcPr>
            <w:tcW w:w="2977" w:type="dxa"/>
            <w:tcBorders>
              <w:bottom w:val="single" w:sz="4" w:space="0" w:color="auto"/>
            </w:tcBorders>
            <w:shd w:val="clear" w:color="auto" w:fill="auto"/>
          </w:tcPr>
          <w:p>
            <w:pPr>
              <w:pStyle w:val="GesAbsatz"/>
              <w:rPr>
                <w:sz w:val="18"/>
                <w:szCs w:val="18"/>
              </w:rPr>
            </w:pPr>
            <w:r>
              <w:rPr>
                <w:sz w:val="18"/>
                <w:szCs w:val="18"/>
              </w:rPr>
              <w:t>Mangangehalt</w:t>
            </w:r>
          </w:p>
          <w:p>
            <w:pPr>
              <w:pStyle w:val="GesAbsatz"/>
              <w:rPr>
                <w:sz w:val="18"/>
                <w:szCs w:val="18"/>
              </w:rPr>
            </w:pPr>
            <w:r>
              <w:rPr>
                <w:sz w:val="18"/>
                <w:szCs w:val="18"/>
              </w:rPr>
              <w:t>– vom 1.1. 2011 bis 31.12.2013</w:t>
            </w:r>
          </w:p>
          <w:p>
            <w:pPr>
              <w:pStyle w:val="GesAbsatz"/>
              <w:rPr>
                <w:sz w:val="18"/>
                <w:szCs w:val="18"/>
              </w:rPr>
            </w:pPr>
            <w:r>
              <w:rPr>
                <w:sz w:val="18"/>
                <w:szCs w:val="18"/>
              </w:rPr>
              <w:t>– ab 1.1.2014</w:t>
            </w:r>
            <w:r>
              <w:rPr>
                <w:sz w:val="18"/>
                <w:szCs w:val="18"/>
                <w:vertAlign w:val="superscript"/>
              </w:rPr>
              <w:t>f)</w:t>
            </w:r>
          </w:p>
        </w:tc>
        <w:tc>
          <w:tcPr>
            <w:tcW w:w="2267" w:type="dxa"/>
            <w:tcBorders>
              <w:bottom w:val="single" w:sz="4" w:space="0" w:color="auto"/>
            </w:tcBorders>
            <w:shd w:val="clear" w:color="auto" w:fill="auto"/>
          </w:tcPr>
          <w:p>
            <w:pPr>
              <w:pStyle w:val="GesAbsatz"/>
              <w:rPr>
                <w:sz w:val="18"/>
                <w:szCs w:val="18"/>
              </w:rPr>
            </w:pPr>
            <w:r>
              <w:rPr>
                <w:sz w:val="18"/>
                <w:szCs w:val="18"/>
              </w:rPr>
              <w:t>DIN EN 16135:2012-02/</w:t>
            </w:r>
          </w:p>
          <w:p>
            <w:pPr>
              <w:pStyle w:val="GesAbsatz"/>
              <w:rPr>
                <w:sz w:val="18"/>
                <w:szCs w:val="18"/>
              </w:rPr>
            </w:pPr>
            <w:r>
              <w:rPr>
                <w:sz w:val="18"/>
                <w:szCs w:val="18"/>
              </w:rPr>
              <w:t>DIN EN 16136:2012-02</w:t>
            </w:r>
          </w:p>
        </w:tc>
        <w:tc>
          <w:tcPr>
            <w:tcW w:w="1134" w:type="dxa"/>
            <w:tcBorders>
              <w:bottom w:val="single" w:sz="4" w:space="0" w:color="auto"/>
            </w:tcBorders>
            <w:shd w:val="clear" w:color="auto" w:fill="auto"/>
          </w:tcPr>
          <w:p>
            <w:pPr>
              <w:pStyle w:val="GesAbsatz"/>
              <w:jc w:val="center"/>
              <w:rPr>
                <w:sz w:val="18"/>
                <w:szCs w:val="18"/>
              </w:rPr>
            </w:pPr>
            <w:r>
              <w:rPr>
                <w:sz w:val="18"/>
                <w:szCs w:val="18"/>
              </w:rPr>
              <w:t>mg/l</w:t>
            </w:r>
          </w:p>
        </w:tc>
        <w:tc>
          <w:tcPr>
            <w:tcW w:w="1033" w:type="dxa"/>
            <w:tcBorders>
              <w:bottom w:val="single" w:sz="4" w:space="0" w:color="auto"/>
            </w:tcBorders>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6,9/7,0</w:t>
            </w:r>
          </w:p>
        </w:tc>
        <w:tc>
          <w:tcPr>
            <w:tcW w:w="911" w:type="dxa"/>
            <w:shd w:val="clear" w:color="auto" w:fill="auto"/>
          </w:tcPr>
          <w:p>
            <w:pPr>
              <w:pStyle w:val="GesAbsatz"/>
            </w:pPr>
          </w:p>
        </w:tc>
      </w:tr>
    </w:tbl>
    <w:p>
      <w:pPr>
        <w:pStyle w:val="GesAbsatz"/>
      </w:pPr>
    </w:p>
    <w:p>
      <w:pPr>
        <w:pStyle w:val="GesAbsatz"/>
      </w:pPr>
      <w:r>
        <w:t>Anmerkungen:</w:t>
      </w:r>
    </w:p>
    <w:p>
      <w:pPr>
        <w:pStyle w:val="GesAbsatz"/>
        <w:ind w:left="426" w:hanging="426"/>
      </w:pPr>
      <w:r>
        <w:t>a)</w:t>
      </w:r>
      <w:r>
        <w:tab/>
        <w:t>Bei der Berechnung des Endergebnisses ist ein Wert von 0,2 vom Messwert zu subtrahieren, damit das Endergebnis in Übereinstimmung mit den Anforderungen der Richtlinie 98/70/EG steht.</w:t>
      </w:r>
    </w:p>
    <w:p>
      <w:pPr>
        <w:pStyle w:val="GesAbsatz"/>
        <w:ind w:left="426" w:hanging="426"/>
      </w:pPr>
      <w:r>
        <w:t>b)</w:t>
      </w:r>
      <w:r>
        <w:tab/>
        <w:t>Im Streitfall ist DIN EN ISO 12185:1997-11 zusammen mit ISO 12184 Technical Corrigendum 1:2001 a</w:t>
      </w:r>
      <w:r>
        <w:t>n</w:t>
      </w:r>
      <w:r>
        <w:t>zuwenden.</w:t>
      </w:r>
    </w:p>
    <w:p>
      <w:pPr>
        <w:pStyle w:val="GesAbsatz"/>
        <w:ind w:left="426" w:hanging="426"/>
      </w:pPr>
      <w:r>
        <w:t>c)</w:t>
      </w:r>
      <w:r>
        <w:tab/>
        <w:t>Im Streitfall bezüglich des Sauerstoffgehaltes und der sauerstoffhaltigen Verbindungen ist DIN EN ISO 22854:2009-01 anzuwenden.</w:t>
      </w:r>
    </w:p>
    <w:p>
      <w:pPr>
        <w:pStyle w:val="GesAbsatz"/>
      </w:pPr>
      <w:r>
        <w:t>d)</w:t>
      </w:r>
      <w:r>
        <w:tab/>
        <w:t>Andere Mono-Alkohole und Ether mit einem Siedeendpunkt nicht höher als 210 °C.</w:t>
      </w:r>
    </w:p>
    <w:p>
      <w:pPr>
        <w:pStyle w:val="GesAbsatz"/>
      </w:pPr>
      <w:r>
        <w:t>e)</w:t>
      </w:r>
      <w:r>
        <w:tab/>
        <w:t>Zum Blenden muss DIN 15376:2009-11 eingehalten werden.</w:t>
      </w:r>
    </w:p>
    <w:p>
      <w:pPr>
        <w:pStyle w:val="GesAbsatz"/>
      </w:pPr>
      <w:r>
        <w:t>f)</w:t>
      </w:r>
      <w:r>
        <w:tab/>
        <w:t>Für den Grenzwert 2,0 (ab 1. Januar 2014) gibt es noch keine Präzisionsangaben.</w:t>
      </w:r>
    </w:p>
    <w:p>
      <w:pPr>
        <w:pStyle w:val="berschrift2"/>
        <w:jc w:val="left"/>
      </w:pPr>
      <w:bookmarkStart w:id="16" w:name="_Toc349111752"/>
      <w:r>
        <w:br w:type="page"/>
      </w:r>
      <w:r>
        <w:lastRenderedPageBreak/>
        <w:t>Anlage 6</w:t>
      </w:r>
      <w:bookmarkEnd w:id="16"/>
    </w:p>
    <w:p>
      <w:pPr>
        <w:pStyle w:val="GesAbsatz"/>
        <w:jc w:val="center"/>
        <w:rPr>
          <w:b/>
        </w:rPr>
      </w:pPr>
      <w:r>
        <w:rPr>
          <w:b/>
        </w:rPr>
        <w:t>Prüfprotokoll zur Überwachung der Einhaltung von Anforderungswerten bei einmaliger</w:t>
      </w:r>
      <w:r>
        <w:rPr>
          <w:b/>
        </w:rPr>
        <w:br/>
        <w:t>Prüfung von Dieselkraftstoff nach DIN EN 590:2010</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7" w:type="dxa"/>
            <w:vMerge w:val="restart"/>
            <w:shd w:val="clear" w:color="auto" w:fill="auto"/>
            <w:vAlign w:val="center"/>
          </w:tcPr>
          <w:p>
            <w:pPr>
              <w:pStyle w:val="GesAbsatz"/>
              <w:rPr>
                <w:sz w:val="18"/>
                <w:szCs w:val="18"/>
              </w:rPr>
            </w:pPr>
            <w:r>
              <w:rPr>
                <w:sz w:val="18"/>
                <w:szCs w:val="18"/>
              </w:rPr>
              <w:t>Stoffeigenschaft</w:t>
            </w:r>
          </w:p>
        </w:tc>
        <w:tc>
          <w:tcPr>
            <w:tcW w:w="2267" w:type="dxa"/>
            <w:vMerge w:val="restart"/>
            <w:shd w:val="clear" w:color="auto" w:fill="auto"/>
            <w:vAlign w:val="center"/>
          </w:tcPr>
          <w:p>
            <w:pPr>
              <w:pStyle w:val="GesAbsatz"/>
              <w:rPr>
                <w:sz w:val="18"/>
                <w:szCs w:val="18"/>
              </w:rPr>
            </w:pPr>
            <w:r>
              <w:rPr>
                <w:sz w:val="18"/>
                <w:szCs w:val="18"/>
              </w:rPr>
              <w:t>Prüfverfahren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rPr>
                <w:sz w:val="18"/>
                <w:szCs w:val="18"/>
              </w:rPr>
            </w:pPr>
            <w:r>
              <w:rPr>
                <w:sz w:val="18"/>
                <w:szCs w:val="18"/>
              </w:rPr>
              <w:t>Ablehnungsgren</w:t>
            </w:r>
            <w:r>
              <w:rPr>
                <w:sz w:val="18"/>
                <w:szCs w:val="18"/>
              </w:rPr>
              <w:t>z</w:t>
            </w:r>
            <w:r>
              <w:rPr>
                <w:sz w:val="18"/>
                <w:szCs w:val="18"/>
              </w:rPr>
              <w:t>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7" w:type="dxa"/>
            <w:vMerge/>
            <w:tcBorders>
              <w:bottom w:val="single" w:sz="4" w:space="0" w:color="auto"/>
            </w:tcBorders>
            <w:shd w:val="clear" w:color="auto" w:fill="auto"/>
          </w:tcPr>
          <w:p>
            <w:pPr>
              <w:pStyle w:val="GesAbsatz"/>
            </w:pPr>
          </w:p>
        </w:tc>
        <w:tc>
          <w:tcPr>
            <w:tcW w:w="2267" w:type="dxa"/>
            <w:vMerge/>
            <w:tcBorders>
              <w:bottom w:val="single" w:sz="4" w:space="0" w:color="auto"/>
            </w:tcBorders>
            <w:shd w:val="clear" w:color="auto" w:fill="auto"/>
          </w:tcPr>
          <w:p>
            <w:pPr>
              <w:pStyle w:val="GesAbsatz"/>
            </w:pPr>
          </w:p>
        </w:tc>
        <w:tc>
          <w:tcPr>
            <w:tcW w:w="1134" w:type="dxa"/>
            <w:vMerge/>
            <w:tcBorders>
              <w:bottom w:val="single" w:sz="4" w:space="0" w:color="auto"/>
            </w:tcBorders>
            <w:shd w:val="clear" w:color="auto" w:fill="auto"/>
          </w:tcPr>
          <w:p>
            <w:pPr>
              <w:pStyle w:val="GesAbsatz"/>
              <w:jc w:val="center"/>
            </w:pPr>
          </w:p>
        </w:tc>
        <w:tc>
          <w:tcPr>
            <w:tcW w:w="1033" w:type="dxa"/>
            <w:tcBorders>
              <w:bottom w:val="single" w:sz="4" w:space="0" w:color="auto"/>
            </w:tcBorders>
            <w:shd w:val="clear" w:color="auto" w:fill="auto"/>
          </w:tcPr>
          <w:p>
            <w:pPr>
              <w:pStyle w:val="GesAbsatz"/>
              <w:jc w:val="center"/>
              <w:rPr>
                <w:sz w:val="18"/>
                <w:szCs w:val="18"/>
              </w:rPr>
            </w:pPr>
            <w:r>
              <w:rPr>
                <w:sz w:val="18"/>
                <w:szCs w:val="18"/>
              </w:rPr>
              <w:t>min.</w:t>
            </w:r>
          </w:p>
        </w:tc>
        <w:tc>
          <w:tcPr>
            <w:tcW w:w="1094"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pPr>
            <w:r>
              <w:rPr>
                <w:sz w:val="18"/>
                <w:szCs w:val="18"/>
              </w:rPr>
              <w:t>1</w:t>
            </w:r>
          </w:p>
        </w:tc>
        <w:tc>
          <w:tcPr>
            <w:tcW w:w="2977" w:type="dxa"/>
            <w:vMerge w:val="restart"/>
            <w:shd w:val="clear" w:color="auto" w:fill="auto"/>
          </w:tcPr>
          <w:p>
            <w:pPr>
              <w:pStyle w:val="GesAbsatz"/>
            </w:pPr>
            <w:r>
              <w:rPr>
                <w:sz w:val="18"/>
                <w:szCs w:val="18"/>
              </w:rPr>
              <w:t>Cetanzahl (CFR)</w:t>
            </w:r>
          </w:p>
        </w:tc>
        <w:tc>
          <w:tcPr>
            <w:tcW w:w="2267" w:type="dxa"/>
            <w:tcBorders>
              <w:bottom w:val="nil"/>
            </w:tcBorders>
            <w:shd w:val="clear" w:color="auto" w:fill="auto"/>
          </w:tcPr>
          <w:p>
            <w:pPr>
              <w:pStyle w:val="GesAbsatz"/>
            </w:pPr>
            <w:r>
              <w:rPr>
                <w:sz w:val="18"/>
                <w:szCs w:val="18"/>
              </w:rPr>
              <w:t>DIN EN ISO 5165:1999</w:t>
            </w:r>
          </w:p>
        </w:tc>
        <w:tc>
          <w:tcPr>
            <w:tcW w:w="1134" w:type="dxa"/>
            <w:vMerge w:val="restart"/>
            <w:tcBorders>
              <w:bottom w:val="nil"/>
            </w:tcBorders>
            <w:shd w:val="clear" w:color="auto" w:fill="auto"/>
          </w:tcPr>
          <w:p>
            <w:pPr>
              <w:pStyle w:val="GesAbsatz"/>
              <w:jc w:val="center"/>
            </w:pPr>
          </w:p>
        </w:tc>
        <w:tc>
          <w:tcPr>
            <w:tcW w:w="1033" w:type="dxa"/>
            <w:tcBorders>
              <w:bottom w:val="nil"/>
            </w:tcBorders>
            <w:shd w:val="clear" w:color="auto" w:fill="auto"/>
          </w:tcPr>
          <w:p>
            <w:pPr>
              <w:pStyle w:val="GesAbsatz"/>
              <w:jc w:val="center"/>
              <w:rPr>
                <w:sz w:val="18"/>
                <w:szCs w:val="18"/>
              </w:rPr>
            </w:pPr>
            <w:r>
              <w:rPr>
                <w:sz w:val="18"/>
                <w:szCs w:val="18"/>
              </w:rPr>
              <w:t>48,5</w:t>
            </w:r>
          </w:p>
        </w:tc>
        <w:tc>
          <w:tcPr>
            <w:tcW w:w="1094"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bottom w:val="nil"/>
            </w:tcBorders>
            <w:shd w:val="clear" w:color="auto" w:fill="auto"/>
          </w:tcPr>
          <w:p>
            <w:pPr>
              <w:pStyle w:val="GesAbsatz"/>
              <w:rPr>
                <w:sz w:val="18"/>
                <w:szCs w:val="18"/>
              </w:rPr>
            </w:pPr>
            <w:r>
              <w:rPr>
                <w:sz w:val="18"/>
                <w:szCs w:val="18"/>
              </w:rPr>
              <w:t>DIN EN 15195:2007</w:t>
            </w:r>
          </w:p>
        </w:tc>
        <w:tc>
          <w:tcPr>
            <w:tcW w:w="1134" w:type="dxa"/>
            <w:vMerge/>
            <w:tcBorders>
              <w:top w:val="nil"/>
              <w:bottom w:val="nil"/>
            </w:tcBorders>
            <w:shd w:val="clear" w:color="auto" w:fill="auto"/>
          </w:tcPr>
          <w:p>
            <w:pPr>
              <w:pStyle w:val="GesAbsatz"/>
              <w:jc w:val="center"/>
            </w:pPr>
          </w:p>
        </w:tc>
        <w:tc>
          <w:tcPr>
            <w:tcW w:w="1033" w:type="dxa"/>
            <w:tcBorders>
              <w:top w:val="nil"/>
              <w:bottom w:val="nil"/>
            </w:tcBorders>
            <w:shd w:val="clear" w:color="auto" w:fill="auto"/>
          </w:tcPr>
          <w:p>
            <w:pPr>
              <w:pStyle w:val="GesAbsatz"/>
              <w:jc w:val="center"/>
              <w:rPr>
                <w:sz w:val="18"/>
                <w:szCs w:val="18"/>
              </w:rPr>
            </w:pPr>
            <w:r>
              <w:rPr>
                <w:sz w:val="18"/>
                <w:szCs w:val="18"/>
              </w:rPr>
              <w:t>49,1</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tcBorders>
            <w:shd w:val="clear" w:color="auto" w:fill="auto"/>
          </w:tcPr>
          <w:p>
            <w:pPr>
              <w:pStyle w:val="GesAbsatz"/>
              <w:rPr>
                <w:sz w:val="18"/>
                <w:szCs w:val="18"/>
              </w:rPr>
            </w:pPr>
            <w:r>
              <w:rPr>
                <w:sz w:val="18"/>
                <w:szCs w:val="18"/>
              </w:rPr>
              <w:t>DIN 51773:2010</w:t>
            </w:r>
          </w:p>
        </w:tc>
        <w:tc>
          <w:tcPr>
            <w:tcW w:w="1134" w:type="dxa"/>
            <w:vMerge/>
            <w:tcBorders>
              <w:top w:val="nil"/>
            </w:tcBorders>
            <w:shd w:val="clear" w:color="auto" w:fill="auto"/>
          </w:tcPr>
          <w:p>
            <w:pPr>
              <w:pStyle w:val="GesAbsatz"/>
              <w:jc w:val="center"/>
            </w:pPr>
          </w:p>
        </w:tc>
        <w:tc>
          <w:tcPr>
            <w:tcW w:w="1033" w:type="dxa"/>
            <w:tcBorders>
              <w:top w:val="nil"/>
            </w:tcBorders>
            <w:shd w:val="clear" w:color="auto" w:fill="auto"/>
          </w:tcPr>
          <w:p>
            <w:pPr>
              <w:pStyle w:val="GesAbsatz"/>
              <w:jc w:val="center"/>
              <w:rPr>
                <w:sz w:val="18"/>
                <w:szCs w:val="18"/>
              </w:rPr>
            </w:pPr>
            <w:r>
              <w:rPr>
                <w:sz w:val="18"/>
                <w:szCs w:val="18"/>
              </w:rPr>
              <w:t>49,9</w:t>
            </w:r>
          </w:p>
        </w:tc>
        <w:tc>
          <w:tcPr>
            <w:tcW w:w="1094"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2</w:t>
            </w:r>
          </w:p>
        </w:tc>
        <w:tc>
          <w:tcPr>
            <w:tcW w:w="2977" w:type="dxa"/>
            <w:shd w:val="clear" w:color="auto" w:fill="auto"/>
          </w:tcPr>
          <w:p>
            <w:pPr>
              <w:pStyle w:val="GesAbsatz"/>
              <w:rPr>
                <w:sz w:val="18"/>
                <w:szCs w:val="18"/>
              </w:rPr>
            </w:pPr>
            <w:r>
              <w:rPr>
                <w:sz w:val="18"/>
                <w:szCs w:val="18"/>
              </w:rPr>
              <w:t>Cetanindex</w:t>
            </w:r>
          </w:p>
        </w:tc>
        <w:tc>
          <w:tcPr>
            <w:tcW w:w="2267" w:type="dxa"/>
            <w:tcBorders>
              <w:bottom w:val="single" w:sz="4" w:space="0" w:color="auto"/>
            </w:tcBorders>
            <w:shd w:val="clear" w:color="auto" w:fill="auto"/>
          </w:tcPr>
          <w:p>
            <w:pPr>
              <w:pStyle w:val="GesAbsatz"/>
              <w:rPr>
                <w:sz w:val="18"/>
                <w:szCs w:val="18"/>
              </w:rPr>
            </w:pPr>
            <w:r>
              <w:rPr>
                <w:sz w:val="18"/>
                <w:szCs w:val="18"/>
              </w:rPr>
              <w:t>DIN EN ISO 4264:2007</w:t>
            </w:r>
          </w:p>
        </w:tc>
        <w:tc>
          <w:tcPr>
            <w:tcW w:w="1134" w:type="dxa"/>
            <w:tcBorders>
              <w:bottom w:val="single" w:sz="4" w:space="0" w:color="auto"/>
            </w:tcBorders>
            <w:shd w:val="clear" w:color="auto" w:fill="auto"/>
          </w:tcPr>
          <w:p>
            <w:pPr>
              <w:pStyle w:val="GesAbsatz"/>
              <w:jc w:val="center"/>
            </w:pPr>
          </w:p>
        </w:tc>
        <w:tc>
          <w:tcPr>
            <w:tcW w:w="1033" w:type="dxa"/>
            <w:tcBorders>
              <w:bottom w:val="single" w:sz="4" w:space="0" w:color="auto"/>
            </w:tcBorders>
            <w:shd w:val="clear" w:color="auto" w:fill="auto"/>
          </w:tcPr>
          <w:p>
            <w:pPr>
              <w:pStyle w:val="GesAbsatz"/>
              <w:jc w:val="center"/>
              <w:rPr>
                <w:sz w:val="18"/>
                <w:szCs w:val="18"/>
              </w:rPr>
            </w:pPr>
            <w:r>
              <w:rPr>
                <w:sz w:val="18"/>
                <w:szCs w:val="18"/>
              </w:rPr>
              <w:t>44,6</w:t>
            </w:r>
          </w:p>
        </w:tc>
        <w:tc>
          <w:tcPr>
            <w:tcW w:w="1094" w:type="dxa"/>
            <w:tcBorders>
              <w:bottom w:val="single" w:sz="4" w:space="0" w:color="auto"/>
            </w:tcBorders>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3</w:t>
            </w:r>
          </w:p>
        </w:tc>
        <w:tc>
          <w:tcPr>
            <w:tcW w:w="2977" w:type="dxa"/>
            <w:vMerge w:val="restart"/>
            <w:shd w:val="clear" w:color="auto" w:fill="auto"/>
          </w:tcPr>
          <w:p>
            <w:pPr>
              <w:pStyle w:val="GesAbsatz"/>
              <w:rPr>
                <w:sz w:val="18"/>
                <w:szCs w:val="18"/>
              </w:rPr>
            </w:pPr>
            <w:r>
              <w:rPr>
                <w:sz w:val="18"/>
                <w:szCs w:val="18"/>
              </w:rPr>
              <w:t>Dichte bei 15 °C</w:t>
            </w:r>
            <w:r>
              <w:rPr>
                <w:sz w:val="18"/>
                <w:szCs w:val="18"/>
                <w:vertAlign w:val="superscript"/>
              </w:rPr>
              <w:t>a)</w:t>
            </w:r>
          </w:p>
        </w:tc>
        <w:tc>
          <w:tcPr>
            <w:tcW w:w="2267" w:type="dxa"/>
            <w:tcBorders>
              <w:bottom w:val="nil"/>
            </w:tcBorders>
            <w:shd w:val="clear" w:color="auto" w:fill="auto"/>
          </w:tcPr>
          <w:p>
            <w:pPr>
              <w:pStyle w:val="GesAbsatz"/>
              <w:rPr>
                <w:sz w:val="18"/>
                <w:szCs w:val="18"/>
              </w:rPr>
            </w:pPr>
            <w:r>
              <w:rPr>
                <w:sz w:val="18"/>
                <w:szCs w:val="18"/>
              </w:rPr>
              <w:t>DIN EN ISO 3675:1999</w:t>
            </w:r>
          </w:p>
        </w:tc>
        <w:tc>
          <w:tcPr>
            <w:tcW w:w="1134" w:type="dxa"/>
            <w:vMerge w:val="restart"/>
            <w:tcBorders>
              <w:bottom w:val="nil"/>
            </w:tcBorders>
            <w:shd w:val="clear" w:color="auto" w:fill="auto"/>
          </w:tcPr>
          <w:p>
            <w:pPr>
              <w:pStyle w:val="GesAbsatz"/>
              <w:jc w:val="center"/>
            </w:pPr>
            <w:r>
              <w:rPr>
                <w:sz w:val="18"/>
                <w:szCs w:val="18"/>
              </w:rPr>
              <w:t>kg/m³</w:t>
            </w:r>
          </w:p>
        </w:tc>
        <w:tc>
          <w:tcPr>
            <w:tcW w:w="1033" w:type="dxa"/>
            <w:tcBorders>
              <w:bottom w:val="nil"/>
            </w:tcBorders>
            <w:shd w:val="clear" w:color="auto" w:fill="auto"/>
          </w:tcPr>
          <w:p>
            <w:pPr>
              <w:pStyle w:val="GesAbsatz"/>
              <w:jc w:val="center"/>
              <w:rPr>
                <w:sz w:val="18"/>
                <w:szCs w:val="18"/>
              </w:rPr>
            </w:pPr>
            <w:r>
              <w:rPr>
                <w:sz w:val="18"/>
                <w:szCs w:val="18"/>
              </w:rPr>
              <w:t>819,3</w:t>
            </w:r>
          </w:p>
        </w:tc>
        <w:tc>
          <w:tcPr>
            <w:tcW w:w="1094" w:type="dxa"/>
            <w:tcBorders>
              <w:bottom w:val="nil"/>
            </w:tcBorders>
            <w:shd w:val="clear" w:color="auto" w:fill="auto"/>
          </w:tcPr>
          <w:p>
            <w:pPr>
              <w:pStyle w:val="GesAbsatz"/>
              <w:jc w:val="center"/>
              <w:rPr>
                <w:sz w:val="18"/>
                <w:szCs w:val="18"/>
              </w:rPr>
            </w:pPr>
            <w:r>
              <w:rPr>
                <w:sz w:val="18"/>
                <w:szCs w:val="18"/>
              </w:rPr>
              <w:t>845,7</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tcBorders>
            <w:shd w:val="clear" w:color="auto" w:fill="auto"/>
          </w:tcPr>
          <w:p>
            <w:pPr>
              <w:pStyle w:val="GesAbsatz"/>
              <w:rPr>
                <w:sz w:val="18"/>
                <w:szCs w:val="18"/>
              </w:rPr>
            </w:pPr>
            <w:r>
              <w:rPr>
                <w:sz w:val="18"/>
                <w:szCs w:val="18"/>
              </w:rPr>
              <w:t>DIN EN ISO 12185:1997</w:t>
            </w:r>
          </w:p>
        </w:tc>
        <w:tc>
          <w:tcPr>
            <w:tcW w:w="1134" w:type="dxa"/>
            <w:vMerge/>
            <w:tcBorders>
              <w:top w:val="nil"/>
            </w:tcBorders>
            <w:shd w:val="clear" w:color="auto" w:fill="auto"/>
          </w:tcPr>
          <w:p>
            <w:pPr>
              <w:pStyle w:val="GesAbsatz"/>
              <w:jc w:val="center"/>
              <w:rPr>
                <w:sz w:val="18"/>
                <w:szCs w:val="18"/>
              </w:rPr>
            </w:pPr>
          </w:p>
        </w:tc>
        <w:tc>
          <w:tcPr>
            <w:tcW w:w="1033" w:type="dxa"/>
            <w:tcBorders>
              <w:top w:val="nil"/>
            </w:tcBorders>
            <w:shd w:val="clear" w:color="auto" w:fill="auto"/>
          </w:tcPr>
          <w:p>
            <w:pPr>
              <w:pStyle w:val="GesAbsatz"/>
              <w:jc w:val="center"/>
              <w:rPr>
                <w:sz w:val="18"/>
                <w:szCs w:val="18"/>
              </w:rPr>
            </w:pPr>
            <w:r>
              <w:rPr>
                <w:sz w:val="18"/>
                <w:szCs w:val="18"/>
              </w:rPr>
              <w:t>819,7</w:t>
            </w:r>
          </w:p>
        </w:tc>
        <w:tc>
          <w:tcPr>
            <w:tcW w:w="1094" w:type="dxa"/>
            <w:tcBorders>
              <w:top w:val="nil"/>
            </w:tcBorders>
            <w:shd w:val="clear" w:color="auto" w:fill="auto"/>
          </w:tcPr>
          <w:p>
            <w:pPr>
              <w:pStyle w:val="GesAbsatz"/>
              <w:jc w:val="center"/>
              <w:rPr>
                <w:sz w:val="18"/>
                <w:szCs w:val="18"/>
              </w:rPr>
            </w:pPr>
            <w:r>
              <w:rPr>
                <w:sz w:val="18"/>
                <w:szCs w:val="18"/>
              </w:rPr>
              <w:t>845,3</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4</w:t>
            </w:r>
          </w:p>
        </w:tc>
        <w:tc>
          <w:tcPr>
            <w:tcW w:w="2977" w:type="dxa"/>
            <w:shd w:val="clear" w:color="auto" w:fill="auto"/>
          </w:tcPr>
          <w:p>
            <w:pPr>
              <w:pStyle w:val="GesAbsatz"/>
              <w:rPr>
                <w:sz w:val="18"/>
                <w:szCs w:val="18"/>
              </w:rPr>
            </w:pPr>
            <w:r>
              <w:rPr>
                <w:sz w:val="18"/>
                <w:szCs w:val="18"/>
              </w:rPr>
              <w:t>Polycyclische aromatische Ko</w:t>
            </w:r>
            <w:r>
              <w:rPr>
                <w:sz w:val="18"/>
                <w:szCs w:val="18"/>
              </w:rPr>
              <w:t>h</w:t>
            </w:r>
            <w:r>
              <w:rPr>
                <w:sz w:val="18"/>
                <w:szCs w:val="18"/>
              </w:rPr>
              <w:t>lenwasserstoffe</w:t>
            </w:r>
          </w:p>
        </w:tc>
        <w:tc>
          <w:tcPr>
            <w:tcW w:w="2267" w:type="dxa"/>
            <w:tcBorders>
              <w:bottom w:val="single" w:sz="4" w:space="0" w:color="auto"/>
            </w:tcBorders>
            <w:shd w:val="clear" w:color="auto" w:fill="auto"/>
          </w:tcPr>
          <w:p>
            <w:pPr>
              <w:pStyle w:val="GesAbsatz"/>
              <w:rPr>
                <w:sz w:val="18"/>
                <w:szCs w:val="18"/>
              </w:rPr>
            </w:pPr>
            <w:r>
              <w:rPr>
                <w:sz w:val="18"/>
                <w:szCs w:val="18"/>
              </w:rPr>
              <w:t>DIN EN 12916:2006</w:t>
            </w:r>
          </w:p>
        </w:tc>
        <w:tc>
          <w:tcPr>
            <w:tcW w:w="1134" w:type="dxa"/>
            <w:tcBorders>
              <w:bottom w:val="single" w:sz="4" w:space="0" w:color="auto"/>
            </w:tcBorders>
            <w:shd w:val="clear" w:color="auto" w:fill="auto"/>
          </w:tcPr>
          <w:p>
            <w:pPr>
              <w:pStyle w:val="GesAbsatz"/>
              <w:jc w:val="center"/>
              <w:rPr>
                <w:sz w:val="18"/>
                <w:szCs w:val="18"/>
              </w:rPr>
            </w:pPr>
            <w:r>
              <w:rPr>
                <w:sz w:val="18"/>
                <w:szCs w:val="18"/>
              </w:rPr>
              <w:t>% (m/m)</w:t>
            </w:r>
          </w:p>
        </w:tc>
        <w:tc>
          <w:tcPr>
            <w:tcW w:w="1033" w:type="dxa"/>
            <w:tcBorders>
              <w:bottom w:val="single" w:sz="4" w:space="0" w:color="auto"/>
            </w:tcBorders>
            <w:shd w:val="clear" w:color="auto" w:fill="auto"/>
          </w:tcPr>
          <w:p>
            <w:pPr>
              <w:pStyle w:val="GesAbsatz"/>
              <w:jc w:val="center"/>
              <w:rPr>
                <w:sz w:val="18"/>
                <w:szCs w:val="18"/>
              </w:rPr>
            </w:pPr>
          </w:p>
        </w:tc>
        <w:tc>
          <w:tcPr>
            <w:tcW w:w="1094" w:type="dxa"/>
            <w:tcBorders>
              <w:bottom w:val="single" w:sz="4" w:space="0" w:color="auto"/>
            </w:tcBorders>
            <w:shd w:val="clear" w:color="auto" w:fill="auto"/>
          </w:tcPr>
          <w:p>
            <w:pPr>
              <w:pStyle w:val="GesAbsatz"/>
              <w:jc w:val="center"/>
              <w:rPr>
                <w:sz w:val="18"/>
                <w:szCs w:val="18"/>
              </w:rPr>
            </w:pPr>
            <w:r>
              <w:rPr>
                <w:sz w:val="18"/>
                <w:szCs w:val="18"/>
              </w:rPr>
              <w:t>9,15</w:t>
            </w:r>
          </w:p>
        </w:tc>
        <w:tc>
          <w:tcPr>
            <w:tcW w:w="911" w:type="dxa"/>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5</w:t>
            </w:r>
          </w:p>
        </w:tc>
        <w:tc>
          <w:tcPr>
            <w:tcW w:w="2977" w:type="dxa"/>
            <w:vMerge w:val="restart"/>
            <w:shd w:val="clear" w:color="auto" w:fill="auto"/>
          </w:tcPr>
          <w:p>
            <w:pPr>
              <w:pStyle w:val="GesAbsatz"/>
              <w:rPr>
                <w:sz w:val="18"/>
                <w:szCs w:val="18"/>
              </w:rPr>
            </w:pPr>
            <w:r>
              <w:rPr>
                <w:sz w:val="18"/>
                <w:szCs w:val="18"/>
              </w:rPr>
              <w:t>Schwefelgehalt („schwefelfrei“)</w:t>
            </w:r>
          </w:p>
        </w:tc>
        <w:tc>
          <w:tcPr>
            <w:tcW w:w="2267" w:type="dxa"/>
            <w:tcBorders>
              <w:bottom w:val="nil"/>
            </w:tcBorders>
            <w:shd w:val="clear" w:color="auto" w:fill="auto"/>
          </w:tcPr>
          <w:p>
            <w:pPr>
              <w:pStyle w:val="GesAbsatz"/>
              <w:rPr>
                <w:sz w:val="18"/>
                <w:szCs w:val="18"/>
              </w:rPr>
            </w:pPr>
            <w:r>
              <w:rPr>
                <w:sz w:val="18"/>
                <w:szCs w:val="18"/>
              </w:rPr>
              <w:t>DIN EN ISO 20846:2004</w:t>
            </w:r>
          </w:p>
        </w:tc>
        <w:tc>
          <w:tcPr>
            <w:tcW w:w="1134" w:type="dxa"/>
            <w:vMerge w:val="restart"/>
            <w:tcBorders>
              <w:bottom w:val="nil"/>
            </w:tcBorders>
            <w:shd w:val="clear" w:color="auto" w:fill="auto"/>
          </w:tcPr>
          <w:p>
            <w:pPr>
              <w:pStyle w:val="GesAbsatz"/>
              <w:jc w:val="center"/>
              <w:rPr>
                <w:sz w:val="18"/>
                <w:szCs w:val="18"/>
              </w:rPr>
            </w:pPr>
            <w:r>
              <w:rPr>
                <w:sz w:val="18"/>
                <w:szCs w:val="18"/>
              </w:rPr>
              <w:t>mg/kg</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11,3</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tcBorders>
            <w:shd w:val="clear" w:color="auto" w:fill="auto"/>
          </w:tcPr>
          <w:p>
            <w:pPr>
              <w:pStyle w:val="GesAbsatz"/>
              <w:rPr>
                <w:sz w:val="18"/>
                <w:szCs w:val="18"/>
              </w:rPr>
            </w:pPr>
            <w:r>
              <w:rPr>
                <w:sz w:val="18"/>
                <w:szCs w:val="18"/>
              </w:rPr>
              <w:t>DIN EN ISO 20884:2004</w:t>
            </w:r>
          </w:p>
        </w:tc>
        <w:tc>
          <w:tcPr>
            <w:tcW w:w="1134" w:type="dxa"/>
            <w:vMerge/>
            <w:tcBorders>
              <w:top w:val="nil"/>
            </w:tcBorders>
            <w:shd w:val="clear" w:color="auto" w:fill="auto"/>
          </w:tcPr>
          <w:p>
            <w:pPr>
              <w:pStyle w:val="GesAbsatz"/>
              <w:jc w:val="center"/>
              <w:rPr>
                <w:sz w:val="18"/>
                <w:szCs w:val="18"/>
              </w:rPr>
            </w:pPr>
          </w:p>
        </w:tc>
        <w:tc>
          <w:tcPr>
            <w:tcW w:w="1033" w:type="dxa"/>
            <w:vMerge/>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11,8</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6</w:t>
            </w:r>
          </w:p>
        </w:tc>
        <w:tc>
          <w:tcPr>
            <w:tcW w:w="2977" w:type="dxa"/>
            <w:shd w:val="clear" w:color="auto" w:fill="auto"/>
          </w:tcPr>
          <w:p>
            <w:pPr>
              <w:pStyle w:val="GesAbsatz"/>
              <w:rPr>
                <w:sz w:val="18"/>
                <w:szCs w:val="18"/>
              </w:rPr>
            </w:pPr>
            <w:r>
              <w:rPr>
                <w:sz w:val="18"/>
                <w:szCs w:val="18"/>
              </w:rPr>
              <w:t>Flammpunkt</w:t>
            </w:r>
          </w:p>
        </w:tc>
        <w:tc>
          <w:tcPr>
            <w:tcW w:w="2267" w:type="dxa"/>
            <w:shd w:val="clear" w:color="auto" w:fill="auto"/>
          </w:tcPr>
          <w:p>
            <w:pPr>
              <w:pStyle w:val="GesAbsatz"/>
              <w:rPr>
                <w:sz w:val="18"/>
                <w:szCs w:val="18"/>
              </w:rPr>
            </w:pPr>
            <w:r>
              <w:rPr>
                <w:sz w:val="18"/>
                <w:szCs w:val="18"/>
              </w:rPr>
              <w:t>DIN EN ISO 2719:2003</w:t>
            </w:r>
          </w:p>
        </w:tc>
        <w:tc>
          <w:tcPr>
            <w:tcW w:w="1134" w:type="dxa"/>
            <w:shd w:val="clear" w:color="auto" w:fill="auto"/>
          </w:tcPr>
          <w:p>
            <w:pPr>
              <w:pStyle w:val="GesAbsatz"/>
              <w:jc w:val="center"/>
              <w:rPr>
                <w:sz w:val="18"/>
                <w:szCs w:val="18"/>
              </w:rPr>
            </w:pPr>
            <w:r>
              <w:rPr>
                <w:sz w:val="18"/>
                <w:szCs w:val="18"/>
              </w:rPr>
              <w:t>°C</w:t>
            </w:r>
          </w:p>
        </w:tc>
        <w:tc>
          <w:tcPr>
            <w:tcW w:w="1033" w:type="dxa"/>
            <w:shd w:val="clear" w:color="auto" w:fill="auto"/>
          </w:tcPr>
          <w:p>
            <w:pPr>
              <w:pStyle w:val="GesAbsatz"/>
              <w:jc w:val="center"/>
              <w:rPr>
                <w:sz w:val="18"/>
                <w:szCs w:val="18"/>
              </w:rPr>
            </w:pPr>
            <w:r>
              <w:rPr>
                <w:sz w:val="18"/>
                <w:szCs w:val="18"/>
              </w:rPr>
              <w:t>über 53</w:t>
            </w:r>
          </w:p>
        </w:tc>
        <w:tc>
          <w:tcPr>
            <w:tcW w:w="1094"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7</w:t>
            </w:r>
          </w:p>
        </w:tc>
        <w:tc>
          <w:tcPr>
            <w:tcW w:w="2977" w:type="dxa"/>
            <w:shd w:val="clear" w:color="auto" w:fill="auto"/>
          </w:tcPr>
          <w:p>
            <w:pPr>
              <w:pStyle w:val="GesAbsatz"/>
              <w:rPr>
                <w:sz w:val="18"/>
                <w:szCs w:val="18"/>
              </w:rPr>
            </w:pPr>
            <w:r>
              <w:rPr>
                <w:sz w:val="18"/>
                <w:szCs w:val="18"/>
              </w:rPr>
              <w:t>Koksrückstand (von 10% Destill</w:t>
            </w:r>
            <w:r>
              <w:rPr>
                <w:sz w:val="18"/>
                <w:szCs w:val="18"/>
              </w:rPr>
              <w:t>a</w:t>
            </w:r>
            <w:r>
              <w:rPr>
                <w:sz w:val="18"/>
                <w:szCs w:val="18"/>
              </w:rPr>
              <w:t>tionsrückstand)</w:t>
            </w:r>
            <w:r>
              <w:rPr>
                <w:sz w:val="18"/>
                <w:szCs w:val="18"/>
                <w:vertAlign w:val="superscript"/>
              </w:rPr>
              <w:t>b)</w:t>
            </w:r>
          </w:p>
        </w:tc>
        <w:tc>
          <w:tcPr>
            <w:tcW w:w="2267" w:type="dxa"/>
            <w:shd w:val="clear" w:color="auto" w:fill="auto"/>
          </w:tcPr>
          <w:p>
            <w:pPr>
              <w:pStyle w:val="GesAbsatz"/>
              <w:rPr>
                <w:sz w:val="18"/>
                <w:szCs w:val="18"/>
              </w:rPr>
            </w:pPr>
            <w:r>
              <w:rPr>
                <w:sz w:val="18"/>
                <w:szCs w:val="18"/>
              </w:rPr>
              <w:t>DIN EN ISO 10370:1995</w:t>
            </w:r>
          </w:p>
        </w:tc>
        <w:tc>
          <w:tcPr>
            <w:tcW w:w="1134" w:type="dxa"/>
            <w:shd w:val="clear" w:color="auto" w:fill="auto"/>
          </w:tcPr>
          <w:p>
            <w:pPr>
              <w:pStyle w:val="GesAbsatz"/>
              <w:jc w:val="center"/>
              <w:rPr>
                <w:sz w:val="18"/>
                <w:szCs w:val="18"/>
              </w:rPr>
            </w:pPr>
            <w:r>
              <w:rPr>
                <w:sz w:val="18"/>
                <w:szCs w:val="18"/>
              </w:rPr>
              <w:t>% (m/m)</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0,37</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8</w:t>
            </w:r>
          </w:p>
        </w:tc>
        <w:tc>
          <w:tcPr>
            <w:tcW w:w="2977" w:type="dxa"/>
            <w:shd w:val="clear" w:color="auto" w:fill="auto"/>
          </w:tcPr>
          <w:p>
            <w:pPr>
              <w:pStyle w:val="GesAbsatz"/>
              <w:rPr>
                <w:sz w:val="18"/>
                <w:szCs w:val="18"/>
              </w:rPr>
            </w:pPr>
            <w:r>
              <w:rPr>
                <w:sz w:val="18"/>
                <w:szCs w:val="18"/>
              </w:rPr>
              <w:t>Aschegehalt</w:t>
            </w:r>
          </w:p>
        </w:tc>
        <w:tc>
          <w:tcPr>
            <w:tcW w:w="2267" w:type="dxa"/>
            <w:shd w:val="clear" w:color="auto" w:fill="auto"/>
          </w:tcPr>
          <w:p>
            <w:pPr>
              <w:pStyle w:val="GesAbsatz"/>
              <w:rPr>
                <w:sz w:val="18"/>
                <w:szCs w:val="18"/>
              </w:rPr>
            </w:pPr>
            <w:r>
              <w:rPr>
                <w:sz w:val="18"/>
                <w:szCs w:val="18"/>
              </w:rPr>
              <w:t>DIN EN ISO 6245:2003</w:t>
            </w:r>
          </w:p>
        </w:tc>
        <w:tc>
          <w:tcPr>
            <w:tcW w:w="1134" w:type="dxa"/>
            <w:shd w:val="clear" w:color="auto" w:fill="auto"/>
          </w:tcPr>
          <w:p>
            <w:pPr>
              <w:pStyle w:val="GesAbsatz"/>
              <w:jc w:val="center"/>
              <w:rPr>
                <w:sz w:val="18"/>
                <w:szCs w:val="18"/>
              </w:rPr>
            </w:pPr>
            <w:r>
              <w:rPr>
                <w:sz w:val="18"/>
                <w:szCs w:val="18"/>
              </w:rPr>
              <w:t>% (m/m)</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0,013</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9</w:t>
            </w:r>
          </w:p>
        </w:tc>
        <w:tc>
          <w:tcPr>
            <w:tcW w:w="2977" w:type="dxa"/>
            <w:shd w:val="clear" w:color="auto" w:fill="auto"/>
          </w:tcPr>
          <w:p>
            <w:pPr>
              <w:pStyle w:val="GesAbsatz"/>
              <w:rPr>
                <w:sz w:val="18"/>
                <w:szCs w:val="18"/>
              </w:rPr>
            </w:pPr>
            <w:r>
              <w:rPr>
                <w:sz w:val="18"/>
                <w:szCs w:val="18"/>
              </w:rPr>
              <w:t>Wassergehalt</w:t>
            </w:r>
          </w:p>
        </w:tc>
        <w:tc>
          <w:tcPr>
            <w:tcW w:w="2267" w:type="dxa"/>
            <w:shd w:val="clear" w:color="auto" w:fill="auto"/>
          </w:tcPr>
          <w:p>
            <w:pPr>
              <w:pStyle w:val="GesAbsatz"/>
              <w:rPr>
                <w:sz w:val="18"/>
                <w:szCs w:val="18"/>
              </w:rPr>
            </w:pPr>
            <w:r>
              <w:rPr>
                <w:sz w:val="18"/>
                <w:szCs w:val="18"/>
              </w:rPr>
              <w:t>DIN EN ISO 12937:2002</w:t>
            </w:r>
          </w:p>
        </w:tc>
        <w:tc>
          <w:tcPr>
            <w:tcW w:w="1134" w:type="dxa"/>
            <w:shd w:val="clear" w:color="auto" w:fill="auto"/>
          </w:tcPr>
          <w:p>
            <w:pPr>
              <w:pStyle w:val="GesAbsatz"/>
              <w:jc w:val="center"/>
              <w:rPr>
                <w:sz w:val="18"/>
                <w:szCs w:val="18"/>
              </w:rPr>
            </w:pPr>
            <w:r>
              <w:rPr>
                <w:sz w:val="18"/>
                <w:szCs w:val="18"/>
              </w:rPr>
              <w:t>mg/kg</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257</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10</w:t>
            </w:r>
          </w:p>
        </w:tc>
        <w:tc>
          <w:tcPr>
            <w:tcW w:w="2977" w:type="dxa"/>
            <w:shd w:val="clear" w:color="auto" w:fill="auto"/>
          </w:tcPr>
          <w:p>
            <w:pPr>
              <w:pStyle w:val="GesAbsatz"/>
              <w:rPr>
                <w:sz w:val="18"/>
                <w:szCs w:val="18"/>
              </w:rPr>
            </w:pPr>
            <w:r>
              <w:rPr>
                <w:sz w:val="18"/>
                <w:szCs w:val="18"/>
              </w:rPr>
              <w:t>Gesamtverschmutzung</w:t>
            </w:r>
          </w:p>
        </w:tc>
        <w:tc>
          <w:tcPr>
            <w:tcW w:w="2267" w:type="dxa"/>
            <w:shd w:val="clear" w:color="auto" w:fill="auto"/>
          </w:tcPr>
          <w:p>
            <w:pPr>
              <w:pStyle w:val="GesAbsatz"/>
              <w:rPr>
                <w:sz w:val="18"/>
                <w:szCs w:val="18"/>
              </w:rPr>
            </w:pPr>
            <w:r>
              <w:rPr>
                <w:sz w:val="18"/>
                <w:szCs w:val="18"/>
              </w:rPr>
              <w:t>DIN EN 12662:2008</w:t>
            </w:r>
          </w:p>
        </w:tc>
        <w:tc>
          <w:tcPr>
            <w:tcW w:w="1134" w:type="dxa"/>
            <w:shd w:val="clear" w:color="auto" w:fill="auto"/>
          </w:tcPr>
          <w:p>
            <w:pPr>
              <w:pStyle w:val="GesAbsatz"/>
              <w:jc w:val="center"/>
              <w:rPr>
                <w:sz w:val="18"/>
                <w:szCs w:val="18"/>
              </w:rPr>
            </w:pPr>
            <w:r>
              <w:rPr>
                <w:sz w:val="18"/>
                <w:szCs w:val="18"/>
              </w:rPr>
              <w:t>mg/kg</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28</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11</w:t>
            </w:r>
          </w:p>
        </w:tc>
        <w:tc>
          <w:tcPr>
            <w:tcW w:w="2977" w:type="dxa"/>
            <w:shd w:val="clear" w:color="auto" w:fill="auto"/>
          </w:tcPr>
          <w:p>
            <w:pPr>
              <w:pStyle w:val="GesAbsatz"/>
              <w:rPr>
                <w:sz w:val="18"/>
                <w:szCs w:val="18"/>
              </w:rPr>
            </w:pPr>
            <w:r>
              <w:rPr>
                <w:sz w:val="18"/>
                <w:szCs w:val="18"/>
              </w:rPr>
              <w:t>Korrosionswirkung auf Kupfer (3 h bei 50 °C)</w:t>
            </w:r>
          </w:p>
        </w:tc>
        <w:tc>
          <w:tcPr>
            <w:tcW w:w="2267" w:type="dxa"/>
            <w:shd w:val="clear" w:color="auto" w:fill="auto"/>
          </w:tcPr>
          <w:p>
            <w:pPr>
              <w:pStyle w:val="GesAbsatz"/>
              <w:rPr>
                <w:sz w:val="18"/>
                <w:szCs w:val="18"/>
              </w:rPr>
            </w:pPr>
            <w:r>
              <w:rPr>
                <w:sz w:val="18"/>
                <w:szCs w:val="18"/>
              </w:rPr>
              <w:t>DIN EN ISO 2160:1999</w:t>
            </w:r>
          </w:p>
        </w:tc>
        <w:tc>
          <w:tcPr>
            <w:tcW w:w="1134" w:type="dxa"/>
            <w:shd w:val="clear" w:color="auto" w:fill="auto"/>
          </w:tcPr>
          <w:p>
            <w:pPr>
              <w:pStyle w:val="GesAbsatz"/>
              <w:jc w:val="center"/>
              <w:rPr>
                <w:sz w:val="18"/>
                <w:szCs w:val="18"/>
              </w:rPr>
            </w:pPr>
            <w:r>
              <w:rPr>
                <w:sz w:val="18"/>
                <w:szCs w:val="18"/>
              </w:rPr>
              <w:t>Korros</w:t>
            </w:r>
            <w:r>
              <w:rPr>
                <w:sz w:val="18"/>
                <w:szCs w:val="18"/>
              </w:rPr>
              <w:t>i</w:t>
            </w:r>
            <w:r>
              <w:rPr>
                <w:sz w:val="18"/>
                <w:szCs w:val="18"/>
              </w:rPr>
              <w:t>onsgrad</w:t>
            </w:r>
          </w:p>
        </w:tc>
        <w:tc>
          <w:tcPr>
            <w:tcW w:w="2127" w:type="dxa"/>
            <w:gridSpan w:val="2"/>
            <w:shd w:val="clear" w:color="auto" w:fill="auto"/>
          </w:tcPr>
          <w:p>
            <w:pPr>
              <w:pStyle w:val="GesAbsatz"/>
              <w:jc w:val="center"/>
              <w:rPr>
                <w:sz w:val="18"/>
                <w:szCs w:val="18"/>
              </w:rPr>
            </w:pPr>
            <w:r>
              <w:rPr>
                <w:sz w:val="18"/>
                <w:szCs w:val="18"/>
              </w:rPr>
              <w:t>1</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12</w:t>
            </w:r>
          </w:p>
        </w:tc>
        <w:tc>
          <w:tcPr>
            <w:tcW w:w="2977" w:type="dxa"/>
            <w:shd w:val="clear" w:color="auto" w:fill="auto"/>
          </w:tcPr>
          <w:p>
            <w:pPr>
              <w:pStyle w:val="GesAbsatz"/>
              <w:rPr>
                <w:sz w:val="18"/>
                <w:szCs w:val="18"/>
              </w:rPr>
            </w:pPr>
            <w:r>
              <w:rPr>
                <w:sz w:val="18"/>
                <w:szCs w:val="18"/>
              </w:rPr>
              <w:t>Fettsäure-Methylestergehalt (F</w:t>
            </w:r>
            <w:r>
              <w:rPr>
                <w:sz w:val="18"/>
                <w:szCs w:val="18"/>
              </w:rPr>
              <w:t>A</w:t>
            </w:r>
            <w:r>
              <w:rPr>
                <w:sz w:val="18"/>
                <w:szCs w:val="18"/>
              </w:rPr>
              <w:t>ME)</w:t>
            </w:r>
            <w:r>
              <w:rPr>
                <w:sz w:val="18"/>
                <w:szCs w:val="18"/>
                <w:vertAlign w:val="superscript"/>
              </w:rPr>
              <w:t>d)</w:t>
            </w:r>
          </w:p>
        </w:tc>
        <w:tc>
          <w:tcPr>
            <w:tcW w:w="2267" w:type="dxa"/>
            <w:tcBorders>
              <w:bottom w:val="single" w:sz="4" w:space="0" w:color="auto"/>
            </w:tcBorders>
            <w:shd w:val="clear" w:color="auto" w:fill="auto"/>
          </w:tcPr>
          <w:p>
            <w:pPr>
              <w:pStyle w:val="GesAbsatz"/>
              <w:rPr>
                <w:sz w:val="18"/>
                <w:szCs w:val="18"/>
              </w:rPr>
            </w:pPr>
            <w:r>
              <w:rPr>
                <w:sz w:val="18"/>
                <w:szCs w:val="18"/>
              </w:rPr>
              <w:t>DIN EN 14078:2010</w:t>
            </w:r>
          </w:p>
        </w:tc>
        <w:tc>
          <w:tcPr>
            <w:tcW w:w="1134" w:type="dxa"/>
            <w:tcBorders>
              <w:bottom w:val="single" w:sz="4" w:space="0" w:color="auto"/>
            </w:tcBorders>
            <w:shd w:val="clear" w:color="auto" w:fill="auto"/>
          </w:tcPr>
          <w:p>
            <w:pPr>
              <w:pStyle w:val="GesAbsatz"/>
              <w:jc w:val="center"/>
              <w:rPr>
                <w:sz w:val="18"/>
                <w:szCs w:val="18"/>
              </w:rPr>
            </w:pPr>
            <w:r>
              <w:rPr>
                <w:sz w:val="18"/>
                <w:szCs w:val="18"/>
              </w:rPr>
              <w:t>% (V/V)</w:t>
            </w:r>
          </w:p>
        </w:tc>
        <w:tc>
          <w:tcPr>
            <w:tcW w:w="1033" w:type="dxa"/>
            <w:tcBorders>
              <w:bottom w:val="single" w:sz="4" w:space="0" w:color="auto"/>
            </w:tcBorders>
            <w:shd w:val="clear" w:color="auto" w:fill="auto"/>
          </w:tcPr>
          <w:p>
            <w:pPr>
              <w:pStyle w:val="GesAbsatz"/>
              <w:jc w:val="center"/>
              <w:rPr>
                <w:sz w:val="18"/>
                <w:szCs w:val="18"/>
              </w:rPr>
            </w:pPr>
          </w:p>
        </w:tc>
        <w:tc>
          <w:tcPr>
            <w:tcW w:w="1094" w:type="dxa"/>
            <w:tcBorders>
              <w:bottom w:val="single" w:sz="4" w:space="0" w:color="auto"/>
            </w:tcBorders>
            <w:shd w:val="clear" w:color="auto" w:fill="auto"/>
          </w:tcPr>
          <w:p>
            <w:pPr>
              <w:pStyle w:val="GesAbsatz"/>
              <w:jc w:val="center"/>
              <w:rPr>
                <w:sz w:val="18"/>
                <w:szCs w:val="18"/>
              </w:rPr>
            </w:pPr>
            <w:r>
              <w:rPr>
                <w:sz w:val="18"/>
                <w:szCs w:val="18"/>
              </w:rPr>
              <w:t>7,3</w:t>
            </w:r>
          </w:p>
        </w:tc>
        <w:tc>
          <w:tcPr>
            <w:tcW w:w="911" w:type="dxa"/>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13</w:t>
            </w:r>
          </w:p>
        </w:tc>
        <w:tc>
          <w:tcPr>
            <w:tcW w:w="2977" w:type="dxa"/>
            <w:vMerge w:val="restart"/>
            <w:shd w:val="clear" w:color="auto" w:fill="auto"/>
          </w:tcPr>
          <w:p>
            <w:pPr>
              <w:pStyle w:val="GesAbsatz"/>
              <w:rPr>
                <w:sz w:val="18"/>
                <w:szCs w:val="18"/>
              </w:rPr>
            </w:pPr>
            <w:r>
              <w:rPr>
                <w:sz w:val="18"/>
                <w:szCs w:val="18"/>
              </w:rPr>
              <w:t>Oxidationsstabilität</w:t>
            </w:r>
          </w:p>
        </w:tc>
        <w:tc>
          <w:tcPr>
            <w:tcW w:w="2267" w:type="dxa"/>
            <w:tcBorders>
              <w:bottom w:val="nil"/>
            </w:tcBorders>
            <w:shd w:val="clear" w:color="auto" w:fill="auto"/>
          </w:tcPr>
          <w:p>
            <w:pPr>
              <w:pStyle w:val="GesAbsatz"/>
              <w:rPr>
                <w:sz w:val="18"/>
                <w:szCs w:val="18"/>
              </w:rPr>
            </w:pPr>
            <w:r>
              <w:rPr>
                <w:sz w:val="18"/>
                <w:szCs w:val="18"/>
              </w:rPr>
              <w:t>DIN EN ISO 12205:1996</w:t>
            </w:r>
          </w:p>
        </w:tc>
        <w:tc>
          <w:tcPr>
            <w:tcW w:w="1134" w:type="dxa"/>
            <w:tcBorders>
              <w:bottom w:val="nil"/>
            </w:tcBorders>
            <w:shd w:val="clear" w:color="auto" w:fill="auto"/>
          </w:tcPr>
          <w:p>
            <w:pPr>
              <w:pStyle w:val="GesAbsatz"/>
              <w:jc w:val="center"/>
              <w:rPr>
                <w:sz w:val="18"/>
                <w:szCs w:val="18"/>
              </w:rPr>
            </w:pPr>
            <w:r>
              <w:rPr>
                <w:sz w:val="18"/>
                <w:szCs w:val="18"/>
              </w:rPr>
              <w:t>g/m</w:t>
            </w:r>
            <w:r>
              <w:rPr>
                <w:sz w:val="18"/>
                <w:szCs w:val="18"/>
                <w:vertAlign w:val="superscript"/>
              </w:rPr>
              <w:t>3</w:t>
            </w: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szCs w:val="18"/>
              </w:rPr>
              <w:t>33</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vMerge/>
            <w:shd w:val="clear" w:color="auto" w:fill="auto"/>
          </w:tcPr>
          <w:p>
            <w:pPr>
              <w:pStyle w:val="GesAbsatz"/>
              <w:rPr>
                <w:sz w:val="18"/>
                <w:szCs w:val="18"/>
              </w:rPr>
            </w:pPr>
          </w:p>
        </w:tc>
        <w:tc>
          <w:tcPr>
            <w:tcW w:w="2267" w:type="dxa"/>
            <w:tcBorders>
              <w:top w:val="nil"/>
            </w:tcBorders>
            <w:shd w:val="clear" w:color="auto" w:fill="auto"/>
          </w:tcPr>
          <w:p>
            <w:pPr>
              <w:pStyle w:val="GesAbsatz"/>
              <w:rPr>
                <w:sz w:val="18"/>
                <w:szCs w:val="18"/>
              </w:rPr>
            </w:pPr>
            <w:r>
              <w:rPr>
                <w:sz w:val="18"/>
                <w:szCs w:val="18"/>
              </w:rPr>
              <w:t>DIN EN 15751:2009</w:t>
            </w:r>
          </w:p>
        </w:tc>
        <w:tc>
          <w:tcPr>
            <w:tcW w:w="1134" w:type="dxa"/>
            <w:tcBorders>
              <w:top w:val="nil"/>
            </w:tcBorders>
            <w:shd w:val="clear" w:color="auto" w:fill="auto"/>
          </w:tcPr>
          <w:p>
            <w:pPr>
              <w:pStyle w:val="GesAbsatz"/>
              <w:jc w:val="center"/>
              <w:rPr>
                <w:sz w:val="18"/>
                <w:szCs w:val="18"/>
              </w:rPr>
            </w:pPr>
            <w:r>
              <w:rPr>
                <w:sz w:val="18"/>
                <w:szCs w:val="18"/>
              </w:rPr>
              <w:t>h</w:t>
            </w:r>
          </w:p>
        </w:tc>
        <w:tc>
          <w:tcPr>
            <w:tcW w:w="1033" w:type="dxa"/>
            <w:tcBorders>
              <w:top w:val="nil"/>
            </w:tcBorders>
            <w:shd w:val="clear" w:color="auto" w:fill="auto"/>
          </w:tcPr>
          <w:p>
            <w:pPr>
              <w:pStyle w:val="GesAbsatz"/>
              <w:jc w:val="center"/>
              <w:rPr>
                <w:sz w:val="18"/>
                <w:szCs w:val="18"/>
              </w:rPr>
            </w:pPr>
            <w:r>
              <w:rPr>
                <w:sz w:val="18"/>
                <w:szCs w:val="18"/>
              </w:rPr>
              <w:t>17,5</w:t>
            </w:r>
          </w:p>
        </w:tc>
        <w:tc>
          <w:tcPr>
            <w:tcW w:w="1094" w:type="dxa"/>
            <w:tcBorders>
              <w:top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14</w:t>
            </w:r>
          </w:p>
        </w:tc>
        <w:tc>
          <w:tcPr>
            <w:tcW w:w="2977" w:type="dxa"/>
            <w:shd w:val="clear" w:color="auto" w:fill="auto"/>
          </w:tcPr>
          <w:p>
            <w:pPr>
              <w:pStyle w:val="GesAbsatz"/>
              <w:rPr>
                <w:sz w:val="18"/>
                <w:szCs w:val="18"/>
              </w:rPr>
            </w:pPr>
            <w:r>
              <w:rPr>
                <w:sz w:val="18"/>
                <w:szCs w:val="18"/>
              </w:rPr>
              <w:t>Schmierfähigkeit, korrigierter „wear scar diameter“ (wsd 1,4) bei 60 °C</w:t>
            </w:r>
          </w:p>
        </w:tc>
        <w:tc>
          <w:tcPr>
            <w:tcW w:w="2267" w:type="dxa"/>
            <w:shd w:val="clear" w:color="auto" w:fill="auto"/>
          </w:tcPr>
          <w:p>
            <w:pPr>
              <w:pStyle w:val="GesAbsatz"/>
              <w:rPr>
                <w:sz w:val="18"/>
                <w:szCs w:val="18"/>
              </w:rPr>
            </w:pPr>
            <w:r>
              <w:rPr>
                <w:sz w:val="18"/>
                <w:szCs w:val="18"/>
              </w:rPr>
              <w:t>DIN ISO 12156-1:2008</w:t>
            </w:r>
          </w:p>
        </w:tc>
        <w:tc>
          <w:tcPr>
            <w:tcW w:w="1134" w:type="dxa"/>
            <w:shd w:val="clear" w:color="auto" w:fill="auto"/>
          </w:tcPr>
          <w:p>
            <w:pPr>
              <w:pStyle w:val="GesAbsatz"/>
              <w:jc w:val="center"/>
              <w:rPr>
                <w:sz w:val="18"/>
                <w:szCs w:val="18"/>
              </w:rPr>
            </w:pPr>
            <w:r>
              <w:rPr>
                <w:sz w:val="18"/>
                <w:szCs w:val="18"/>
              </w:rPr>
              <w:t>μm</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szCs w:val="18"/>
              </w:rPr>
              <w:t>531</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15</w:t>
            </w:r>
          </w:p>
        </w:tc>
        <w:tc>
          <w:tcPr>
            <w:tcW w:w="2977" w:type="dxa"/>
            <w:tcBorders>
              <w:bottom w:val="single" w:sz="4" w:space="0" w:color="auto"/>
            </w:tcBorders>
            <w:shd w:val="clear" w:color="auto" w:fill="auto"/>
          </w:tcPr>
          <w:p>
            <w:pPr>
              <w:pStyle w:val="GesAbsatz"/>
              <w:rPr>
                <w:sz w:val="18"/>
                <w:szCs w:val="18"/>
              </w:rPr>
            </w:pPr>
            <w:r>
              <w:rPr>
                <w:sz w:val="18"/>
                <w:szCs w:val="18"/>
              </w:rPr>
              <w:t>Viskosität bei 40 °C</w:t>
            </w:r>
          </w:p>
        </w:tc>
        <w:tc>
          <w:tcPr>
            <w:tcW w:w="2267" w:type="dxa"/>
            <w:tcBorders>
              <w:bottom w:val="single" w:sz="4" w:space="0" w:color="auto"/>
            </w:tcBorders>
            <w:shd w:val="clear" w:color="auto" w:fill="auto"/>
          </w:tcPr>
          <w:p>
            <w:pPr>
              <w:pStyle w:val="GesAbsatz"/>
              <w:rPr>
                <w:sz w:val="18"/>
                <w:szCs w:val="18"/>
              </w:rPr>
            </w:pPr>
            <w:r>
              <w:rPr>
                <w:sz w:val="18"/>
                <w:szCs w:val="18"/>
              </w:rPr>
              <w:t>DIN EN ISO 3104:1999</w:t>
            </w:r>
          </w:p>
        </w:tc>
        <w:tc>
          <w:tcPr>
            <w:tcW w:w="1134" w:type="dxa"/>
            <w:tcBorders>
              <w:bottom w:val="single" w:sz="4" w:space="0" w:color="auto"/>
            </w:tcBorders>
            <w:shd w:val="clear" w:color="auto" w:fill="auto"/>
          </w:tcPr>
          <w:p>
            <w:pPr>
              <w:pStyle w:val="GesAbsatz"/>
              <w:jc w:val="center"/>
              <w:rPr>
                <w:sz w:val="18"/>
                <w:szCs w:val="18"/>
              </w:rPr>
            </w:pPr>
            <w:r>
              <w:rPr>
                <w:sz w:val="18"/>
                <w:szCs w:val="18"/>
              </w:rPr>
              <w:t>mm²/s</w:t>
            </w:r>
          </w:p>
        </w:tc>
        <w:tc>
          <w:tcPr>
            <w:tcW w:w="1033" w:type="dxa"/>
            <w:tcBorders>
              <w:bottom w:val="single" w:sz="4" w:space="0" w:color="auto"/>
            </w:tcBorders>
            <w:shd w:val="clear" w:color="auto" w:fill="auto"/>
          </w:tcPr>
          <w:p>
            <w:pPr>
              <w:pStyle w:val="GesAbsatz"/>
              <w:jc w:val="center"/>
              <w:rPr>
                <w:sz w:val="18"/>
                <w:szCs w:val="18"/>
              </w:rPr>
            </w:pPr>
            <w:r>
              <w:rPr>
                <w:sz w:val="18"/>
                <w:szCs w:val="18"/>
              </w:rPr>
              <w:t>1,99</w:t>
            </w:r>
          </w:p>
        </w:tc>
        <w:tc>
          <w:tcPr>
            <w:tcW w:w="1094" w:type="dxa"/>
            <w:tcBorders>
              <w:bottom w:val="single" w:sz="4" w:space="0" w:color="auto"/>
            </w:tcBorders>
            <w:shd w:val="clear" w:color="auto" w:fill="auto"/>
          </w:tcPr>
          <w:p>
            <w:pPr>
              <w:pStyle w:val="GesAbsatz"/>
              <w:jc w:val="center"/>
              <w:rPr>
                <w:sz w:val="18"/>
                <w:szCs w:val="18"/>
              </w:rPr>
            </w:pPr>
            <w:r>
              <w:rPr>
                <w:sz w:val="18"/>
                <w:szCs w:val="18"/>
              </w:rPr>
              <w:t>4,53</w:t>
            </w:r>
          </w:p>
        </w:tc>
        <w:tc>
          <w:tcPr>
            <w:tcW w:w="911" w:type="dxa"/>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16</w:t>
            </w:r>
          </w:p>
        </w:tc>
        <w:tc>
          <w:tcPr>
            <w:tcW w:w="2977" w:type="dxa"/>
            <w:tcBorders>
              <w:bottom w:val="nil"/>
            </w:tcBorders>
            <w:shd w:val="clear" w:color="auto" w:fill="auto"/>
          </w:tcPr>
          <w:p>
            <w:pPr>
              <w:pStyle w:val="GesAbsatz"/>
              <w:rPr>
                <w:sz w:val="18"/>
                <w:szCs w:val="18"/>
              </w:rPr>
            </w:pPr>
            <w:r>
              <w:rPr>
                <w:sz w:val="18"/>
                <w:szCs w:val="18"/>
              </w:rPr>
              <w:t>Destillation</w:t>
            </w:r>
            <w:r>
              <w:rPr>
                <w:sz w:val="18"/>
                <w:szCs w:val="18"/>
                <w:vertAlign w:val="superscript"/>
              </w:rPr>
              <w:t>c)</w:t>
            </w:r>
          </w:p>
        </w:tc>
        <w:tc>
          <w:tcPr>
            <w:tcW w:w="2267" w:type="dxa"/>
            <w:vMerge w:val="restart"/>
            <w:tcBorders>
              <w:bottom w:val="nil"/>
            </w:tcBorders>
            <w:shd w:val="clear" w:color="auto" w:fill="auto"/>
          </w:tcPr>
          <w:p>
            <w:pPr>
              <w:pStyle w:val="GesAbsatz"/>
              <w:rPr>
                <w:sz w:val="18"/>
                <w:szCs w:val="18"/>
              </w:rPr>
            </w:pPr>
            <w:r>
              <w:rPr>
                <w:sz w:val="18"/>
                <w:szCs w:val="18"/>
              </w:rPr>
              <w:t>DIN EN ISO 3405:2001</w:t>
            </w:r>
          </w:p>
        </w:tc>
        <w:tc>
          <w:tcPr>
            <w:tcW w:w="1134" w:type="dxa"/>
            <w:tcBorders>
              <w:bottom w:val="nil"/>
            </w:tcBorders>
            <w:shd w:val="clear" w:color="auto" w:fill="auto"/>
          </w:tcPr>
          <w:p>
            <w:pPr>
              <w:pStyle w:val="GesAbsatz"/>
              <w:jc w:val="center"/>
              <w:rPr>
                <w:sz w:val="18"/>
                <w:szCs w:val="18"/>
              </w:rPr>
            </w:pP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Volumenanteil, aufgefangen bei 250 °C</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69,1</w:t>
            </w:r>
          </w:p>
        </w:tc>
        <w:tc>
          <w:tcPr>
            <w:tcW w:w="911" w:type="dxa"/>
            <w:vMerge/>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Volumenanteil, aufgefangen bei 350 °C</w:t>
            </w:r>
          </w:p>
        </w:tc>
        <w:tc>
          <w:tcPr>
            <w:tcW w:w="2267" w:type="dxa"/>
            <w:vMerge/>
            <w:tcBorders>
              <w:top w:val="nil"/>
              <w:bottom w:val="nil"/>
            </w:tcBorders>
            <w:shd w:val="clear" w:color="auto" w:fill="auto"/>
          </w:tcPr>
          <w:p>
            <w:pPr>
              <w:pStyle w:val="GesAbsatz"/>
              <w:rPr>
                <w:sz w:val="18"/>
                <w:szCs w:val="18"/>
              </w:rPr>
            </w:pPr>
          </w:p>
        </w:tc>
        <w:tc>
          <w:tcPr>
            <w:tcW w:w="1134" w:type="dxa"/>
            <w:tcBorders>
              <w:top w:val="nil"/>
              <w:bottom w:val="nil"/>
            </w:tcBorders>
            <w:shd w:val="clear" w:color="auto" w:fill="auto"/>
          </w:tcPr>
          <w:p>
            <w:pPr>
              <w:pStyle w:val="GesAbsatz"/>
              <w:jc w:val="center"/>
              <w:rPr>
                <w:sz w:val="18"/>
                <w:szCs w:val="18"/>
              </w:rPr>
            </w:pPr>
            <w:r>
              <w:rPr>
                <w:sz w:val="18"/>
                <w:szCs w:val="18"/>
              </w:rPr>
              <w:t>% (V/V)</w:t>
            </w:r>
          </w:p>
        </w:tc>
        <w:tc>
          <w:tcPr>
            <w:tcW w:w="1033" w:type="dxa"/>
            <w:tcBorders>
              <w:top w:val="nil"/>
              <w:bottom w:val="nil"/>
            </w:tcBorders>
            <w:shd w:val="clear" w:color="auto" w:fill="auto"/>
          </w:tcPr>
          <w:p>
            <w:pPr>
              <w:pStyle w:val="GesAbsatz"/>
              <w:jc w:val="center"/>
              <w:rPr>
                <w:sz w:val="18"/>
                <w:szCs w:val="18"/>
              </w:rPr>
            </w:pPr>
            <w:r>
              <w:rPr>
                <w:sz w:val="18"/>
                <w:szCs w:val="18"/>
              </w:rPr>
              <w:t>82,2</w:t>
            </w:r>
          </w:p>
        </w:tc>
        <w:tc>
          <w:tcPr>
            <w:tcW w:w="1094" w:type="dxa"/>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rPr>
                <w:sz w:val="18"/>
                <w:szCs w:val="18"/>
              </w:rPr>
            </w:pPr>
            <w:r>
              <w:rPr>
                <w:sz w:val="18"/>
                <w:szCs w:val="18"/>
              </w:rPr>
              <w:t>95% (V/V) aufgefangen bei</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tcBorders>
              <w:top w:val="nil"/>
              <w:bottom w:val="single" w:sz="4" w:space="0" w:color="auto"/>
            </w:tcBorders>
            <w:shd w:val="clear" w:color="auto" w:fill="auto"/>
          </w:tcPr>
          <w:p>
            <w:pPr>
              <w:pStyle w:val="GesAbsatz"/>
              <w:jc w:val="center"/>
              <w:rPr>
                <w:sz w:val="18"/>
                <w:szCs w:val="18"/>
              </w:rPr>
            </w:pPr>
            <w:r>
              <w:rPr>
                <w:sz w:val="18"/>
                <w:szCs w:val="18"/>
              </w:rPr>
              <w:t>°C</w:t>
            </w:r>
          </w:p>
        </w:tc>
        <w:tc>
          <w:tcPr>
            <w:tcW w:w="1033" w:type="dxa"/>
            <w:tcBorders>
              <w:top w:val="nil"/>
              <w:bottom w:val="single" w:sz="4" w:space="0" w:color="auto"/>
            </w:tcBorders>
            <w:shd w:val="clear" w:color="auto" w:fill="auto"/>
          </w:tcPr>
          <w:p>
            <w:pPr>
              <w:pStyle w:val="GesAbsatz"/>
              <w:jc w:val="center"/>
              <w:rPr>
                <w:sz w:val="18"/>
                <w:szCs w:val="18"/>
              </w:rPr>
            </w:pPr>
          </w:p>
        </w:tc>
        <w:tc>
          <w:tcPr>
            <w:tcW w:w="1094" w:type="dxa"/>
            <w:tcBorders>
              <w:top w:val="nil"/>
              <w:bottom w:val="single" w:sz="4" w:space="0" w:color="auto"/>
            </w:tcBorders>
            <w:shd w:val="clear" w:color="auto" w:fill="auto"/>
          </w:tcPr>
          <w:p>
            <w:pPr>
              <w:pStyle w:val="GesAbsatz"/>
              <w:jc w:val="center"/>
              <w:rPr>
                <w:sz w:val="18"/>
                <w:szCs w:val="18"/>
              </w:rPr>
            </w:pPr>
            <w:r>
              <w:rPr>
                <w:sz w:val="18"/>
                <w:szCs w:val="18"/>
              </w:rPr>
              <w:t>366</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17</w:t>
            </w:r>
          </w:p>
        </w:tc>
        <w:tc>
          <w:tcPr>
            <w:tcW w:w="2977" w:type="dxa"/>
            <w:tcBorders>
              <w:bottom w:val="nil"/>
            </w:tcBorders>
            <w:shd w:val="clear" w:color="auto" w:fill="auto"/>
          </w:tcPr>
          <w:p>
            <w:pPr>
              <w:pStyle w:val="GesAbsatz"/>
              <w:rPr>
                <w:sz w:val="18"/>
                <w:szCs w:val="18"/>
              </w:rPr>
            </w:pPr>
            <w:r>
              <w:rPr>
                <w:sz w:val="18"/>
                <w:szCs w:val="18"/>
              </w:rPr>
              <w:t>CFPP</w:t>
            </w:r>
          </w:p>
        </w:tc>
        <w:tc>
          <w:tcPr>
            <w:tcW w:w="2267" w:type="dxa"/>
            <w:vMerge w:val="restart"/>
            <w:tcBorders>
              <w:bottom w:val="nil"/>
            </w:tcBorders>
            <w:shd w:val="clear" w:color="auto" w:fill="auto"/>
          </w:tcPr>
          <w:p>
            <w:pPr>
              <w:pStyle w:val="GesAbsatz"/>
              <w:rPr>
                <w:sz w:val="18"/>
                <w:szCs w:val="18"/>
              </w:rPr>
            </w:pPr>
            <w:r>
              <w:rPr>
                <w:sz w:val="18"/>
                <w:szCs w:val="18"/>
              </w:rPr>
              <w:t>DIN EN 116:1998</w:t>
            </w:r>
          </w:p>
        </w:tc>
        <w:tc>
          <w:tcPr>
            <w:tcW w:w="1134" w:type="dxa"/>
            <w:vMerge w:val="restart"/>
            <w:tcBorders>
              <w:bottom w:val="nil"/>
            </w:tcBorders>
            <w:shd w:val="clear" w:color="auto" w:fill="auto"/>
          </w:tcPr>
          <w:p>
            <w:pPr>
              <w:pStyle w:val="GesAbsatz"/>
              <w:jc w:val="center"/>
              <w:rPr>
                <w:sz w:val="18"/>
                <w:szCs w:val="18"/>
              </w:rPr>
            </w:pPr>
            <w:r>
              <w:rPr>
                <w:sz w:val="18"/>
                <w:szCs w:val="18"/>
              </w:rPr>
              <w:t>°C</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B</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1,5</w:t>
            </w:r>
          </w:p>
        </w:tc>
        <w:tc>
          <w:tcPr>
            <w:tcW w:w="911" w:type="dxa"/>
            <w:vMerge/>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tcBorders>
              <w:top w:val="nil"/>
              <w:bottom w:val="nil"/>
            </w:tcBorders>
            <w:shd w:val="clear" w:color="auto" w:fill="auto"/>
          </w:tcPr>
          <w:p>
            <w:pPr>
              <w:pStyle w:val="GesAbsatz"/>
              <w:rPr>
                <w:sz w:val="18"/>
                <w:szCs w:val="18"/>
              </w:rPr>
            </w:pPr>
            <w:r>
              <w:rPr>
                <w:sz w:val="18"/>
                <w:szCs w:val="18"/>
              </w:rPr>
              <w:t>Klasse D</w:t>
            </w:r>
          </w:p>
        </w:tc>
        <w:tc>
          <w:tcPr>
            <w:tcW w:w="2267" w:type="dxa"/>
            <w:vMerge/>
            <w:tcBorders>
              <w:top w:val="nil"/>
              <w:bottom w:val="nil"/>
            </w:tcBorders>
            <w:shd w:val="clear" w:color="auto" w:fill="auto"/>
          </w:tcPr>
          <w:p>
            <w:pPr>
              <w:pStyle w:val="GesAbsatz"/>
              <w:rPr>
                <w:sz w:val="18"/>
                <w:szCs w:val="18"/>
              </w:rPr>
            </w:pPr>
          </w:p>
        </w:tc>
        <w:tc>
          <w:tcPr>
            <w:tcW w:w="1134" w:type="dxa"/>
            <w:vMerge/>
            <w:tcBorders>
              <w:top w:val="nil"/>
              <w:bottom w:val="nil"/>
            </w:tcBorders>
            <w:shd w:val="clear" w:color="auto" w:fill="auto"/>
          </w:tcPr>
          <w:p>
            <w:pPr>
              <w:pStyle w:val="GesAbsatz"/>
              <w:jc w:val="center"/>
              <w:rPr>
                <w:sz w:val="18"/>
                <w:szCs w:val="18"/>
              </w:rPr>
            </w:pPr>
          </w:p>
        </w:tc>
        <w:tc>
          <w:tcPr>
            <w:tcW w:w="1033" w:type="dxa"/>
            <w:vMerge/>
            <w:tcBorders>
              <w:top w:val="nil"/>
              <w:bottom w:val="nil"/>
            </w:tcBorders>
            <w:shd w:val="clear" w:color="auto" w:fill="auto"/>
          </w:tcPr>
          <w:p>
            <w:pPr>
              <w:pStyle w:val="GesAbsatz"/>
              <w:jc w:val="center"/>
              <w:rPr>
                <w:sz w:val="18"/>
                <w:szCs w:val="18"/>
              </w:rPr>
            </w:pPr>
          </w:p>
        </w:tc>
        <w:tc>
          <w:tcPr>
            <w:tcW w:w="1094" w:type="dxa"/>
            <w:tcBorders>
              <w:top w:val="nil"/>
              <w:bottom w:val="nil"/>
            </w:tcBorders>
            <w:shd w:val="clear" w:color="auto" w:fill="auto"/>
          </w:tcPr>
          <w:p>
            <w:pPr>
              <w:pStyle w:val="GesAbsatz"/>
              <w:jc w:val="center"/>
              <w:rPr>
                <w:sz w:val="18"/>
                <w:szCs w:val="18"/>
              </w:rPr>
            </w:pPr>
            <w:r>
              <w:rPr>
                <w:sz w:val="18"/>
                <w:szCs w:val="18"/>
              </w:rPr>
              <w:t>–7,9</w:t>
            </w:r>
          </w:p>
        </w:tc>
        <w:tc>
          <w:tcPr>
            <w:tcW w:w="911" w:type="dxa"/>
            <w:vMerge/>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7" w:type="dxa"/>
            <w:tcBorders>
              <w:top w:val="nil"/>
              <w:bottom w:val="single" w:sz="4" w:space="0" w:color="auto"/>
            </w:tcBorders>
            <w:shd w:val="clear" w:color="auto" w:fill="auto"/>
          </w:tcPr>
          <w:p>
            <w:pPr>
              <w:pStyle w:val="GesAbsatz"/>
              <w:rPr>
                <w:sz w:val="18"/>
                <w:szCs w:val="18"/>
              </w:rPr>
            </w:pPr>
            <w:r>
              <w:rPr>
                <w:sz w:val="18"/>
                <w:szCs w:val="18"/>
              </w:rPr>
              <w:t>Klasse F</w:t>
            </w:r>
          </w:p>
        </w:tc>
        <w:tc>
          <w:tcPr>
            <w:tcW w:w="2267" w:type="dxa"/>
            <w:vMerge/>
            <w:tcBorders>
              <w:top w:val="nil"/>
              <w:bottom w:val="single" w:sz="4" w:space="0" w:color="auto"/>
            </w:tcBorders>
            <w:shd w:val="clear" w:color="auto" w:fill="auto"/>
          </w:tcPr>
          <w:p>
            <w:pPr>
              <w:pStyle w:val="GesAbsatz"/>
              <w:rPr>
                <w:sz w:val="18"/>
                <w:szCs w:val="18"/>
              </w:rPr>
            </w:pPr>
          </w:p>
        </w:tc>
        <w:tc>
          <w:tcPr>
            <w:tcW w:w="1134" w:type="dxa"/>
            <w:vMerge/>
            <w:tcBorders>
              <w:top w:val="nil"/>
              <w:bottom w:val="single" w:sz="4" w:space="0" w:color="auto"/>
            </w:tcBorders>
            <w:shd w:val="clear" w:color="auto" w:fill="auto"/>
          </w:tcPr>
          <w:p>
            <w:pPr>
              <w:pStyle w:val="GesAbsatz"/>
              <w:jc w:val="center"/>
              <w:rPr>
                <w:sz w:val="18"/>
                <w:szCs w:val="18"/>
              </w:rPr>
            </w:pPr>
          </w:p>
        </w:tc>
        <w:tc>
          <w:tcPr>
            <w:tcW w:w="1033" w:type="dxa"/>
            <w:vMerge/>
            <w:tcBorders>
              <w:top w:val="nil"/>
              <w:bottom w:val="single" w:sz="4" w:space="0" w:color="auto"/>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szCs w:val="18"/>
              </w:rPr>
            </w:pPr>
            <w:r>
              <w:rPr>
                <w:sz w:val="18"/>
                <w:szCs w:val="18"/>
              </w:rPr>
              <w:t>–17,3</w:t>
            </w: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pPr>
      <w:r>
        <w:lastRenderedPageBreak/>
        <w:t>a)</w:t>
      </w:r>
      <w:r>
        <w:tab/>
        <w:t>Im Streitfall ist DIN EN ISO 3675:1998 einzusetzen.</w:t>
      </w:r>
    </w:p>
    <w:p>
      <w:pPr>
        <w:pStyle w:val="GesAbsatz"/>
        <w:ind w:left="426" w:hanging="426"/>
      </w:pPr>
      <w:r>
        <w:t>b)</w:t>
      </w:r>
      <w:r>
        <w:tab/>
        <w:t>Der Grenzwert für den Koksrückstand in der Tabelle 1 gilt für Produkte ohne zugesetzte Zündwilligkeit</w:t>
      </w:r>
      <w:r>
        <w:t>s</w:t>
      </w:r>
      <w:r>
        <w:t>verbesserer. Falls für einen Fertigkraftstoff ein höherer Wert ermittelt wird, ist DIN EN ISO 13759:1996 als Indikator für die Gegenwart von nitrathaltigen Komponenten anzuwenden. Für den Fall, dass dabei ein Zündwilligkeitsverbesserer nachgewiesen wird, ist der Grenzwert für den Koksrückstand bei dem geprüften Produkt nicht anwendbar. Der Einsatz von Additiven befreit den Hersteller davon, die Anford</w:t>
      </w:r>
      <w:r>
        <w:t>e</w:t>
      </w:r>
      <w:r>
        <w:t>rung von max. 0,30% (m/m) Koksrückstand vor Z</w:t>
      </w:r>
      <w:r>
        <w:t>u</w:t>
      </w:r>
      <w:r>
        <w:t>gabe von Additiven zu erfüllen.</w:t>
      </w:r>
    </w:p>
    <w:p>
      <w:pPr>
        <w:pStyle w:val="GesAbsatz"/>
        <w:ind w:left="426" w:hanging="426"/>
      </w:pPr>
      <w:r>
        <w:t>c)</w:t>
      </w:r>
      <w:r>
        <w:tab/>
        <w:t>Zur Berechnung des Cetanindexes sind auch die Angaben für 10%, 50% und 90% Volumenanteil erfo</w:t>
      </w:r>
      <w:r>
        <w:t>r</w:t>
      </w:r>
      <w:r>
        <w:t>derlich.</w:t>
      </w:r>
    </w:p>
    <w:p>
      <w:pPr>
        <w:pStyle w:val="GesAbsatz"/>
      </w:pPr>
      <w:r>
        <w:t>d)</w:t>
      </w:r>
      <w:r>
        <w:tab/>
        <w:t>FAME muss den Anforderungen nach DIN EN 14214:2010 entsprechen.</w:t>
      </w:r>
    </w:p>
    <w:p>
      <w:pPr>
        <w:pStyle w:val="berschrift2"/>
        <w:jc w:val="left"/>
      </w:pPr>
      <w:bookmarkStart w:id="17" w:name="_Toc349111753"/>
      <w:r>
        <w:t>Anlage 7</w:t>
      </w:r>
      <w:bookmarkEnd w:id="17"/>
    </w:p>
    <w:p>
      <w:pPr>
        <w:pStyle w:val="GesAbsatz"/>
        <w:jc w:val="center"/>
        <w:rPr>
          <w:b/>
        </w:rPr>
      </w:pPr>
      <w:r>
        <w:rPr>
          <w:b/>
        </w:rPr>
        <w:t>Prüfprotokoll zur Überwachung der Einhaltung von Anforderungsgrenzwerten bei einmaliger</w:t>
      </w:r>
      <w:r>
        <w:rPr>
          <w:b/>
        </w:rPr>
        <w:br/>
        <w:t>Prüfung von Biodiesel nach DIN EN 14214:2010</w:t>
      </w:r>
    </w:p>
    <w:p>
      <w:pPr>
        <w:pStyle w:val="GesAbsatz"/>
      </w:pPr>
      <w:r>
        <w:t>Überprüfte Firma:</w:t>
      </w:r>
    </w:p>
    <w:p>
      <w:pPr>
        <w:pStyle w:val="GesAbsatz"/>
      </w:pPr>
      <w:r>
        <w:t>Probebehälternummer: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shd w:val="clear" w:color="auto" w:fill="auto"/>
          </w:tcPr>
          <w:p>
            <w:pPr>
              <w:pStyle w:val="GesAbsatz"/>
              <w:jc w:val="center"/>
              <w:rPr>
                <w:sz w:val="18"/>
                <w:szCs w:val="18"/>
              </w:rPr>
            </w:pPr>
            <w:r>
              <w:rPr>
                <w:sz w:val="18"/>
                <w:szCs w:val="18"/>
              </w:rPr>
              <w:t>min.</w:t>
            </w:r>
          </w:p>
        </w:tc>
        <w:tc>
          <w:tcPr>
            <w:tcW w:w="851"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pPr>
            <w:r>
              <w:rPr>
                <w:sz w:val="18"/>
                <w:szCs w:val="18"/>
              </w:rPr>
              <w:t>1</w:t>
            </w:r>
          </w:p>
        </w:tc>
        <w:tc>
          <w:tcPr>
            <w:tcW w:w="2976" w:type="dxa"/>
            <w:shd w:val="clear" w:color="auto" w:fill="auto"/>
          </w:tcPr>
          <w:p>
            <w:pPr>
              <w:pStyle w:val="GesAbsatz"/>
            </w:pPr>
            <w:r>
              <w:rPr>
                <w:sz w:val="18"/>
                <w:szCs w:val="18"/>
              </w:rPr>
              <w:t>Fettsäure-Methylester-Gehalt</w:t>
            </w:r>
          </w:p>
        </w:tc>
        <w:tc>
          <w:tcPr>
            <w:tcW w:w="1984" w:type="dxa"/>
            <w:tcBorders>
              <w:bottom w:val="single" w:sz="4" w:space="0" w:color="auto"/>
            </w:tcBorders>
            <w:shd w:val="clear" w:color="auto" w:fill="auto"/>
          </w:tcPr>
          <w:p>
            <w:pPr>
              <w:pStyle w:val="GesAbsatz"/>
            </w:pPr>
            <w:r>
              <w:rPr>
                <w:sz w:val="18"/>
                <w:szCs w:val="18"/>
              </w:rPr>
              <w:t>DIN EN 14103:2003</w:t>
            </w:r>
          </w:p>
        </w:tc>
        <w:tc>
          <w:tcPr>
            <w:tcW w:w="709" w:type="dxa"/>
            <w:tcBorders>
              <w:bottom w:val="single" w:sz="4" w:space="0" w:color="auto"/>
            </w:tcBorders>
          </w:tcPr>
          <w:p>
            <w:pPr>
              <w:pStyle w:val="GesAbsatz"/>
              <w:jc w:val="center"/>
            </w:pPr>
            <w:r>
              <w:rPr>
                <w:sz w:val="18"/>
                <w:szCs w:val="18"/>
              </w:rPr>
              <w:t>a)</w:t>
            </w:r>
          </w:p>
        </w:tc>
        <w:tc>
          <w:tcPr>
            <w:tcW w:w="992" w:type="dxa"/>
            <w:tcBorders>
              <w:bottom w:val="single" w:sz="4" w:space="0" w:color="auto"/>
            </w:tcBorders>
            <w:shd w:val="clear" w:color="auto" w:fill="auto"/>
          </w:tcPr>
          <w:p>
            <w:pPr>
              <w:pStyle w:val="GesAbsatz"/>
              <w:jc w:val="center"/>
            </w:pPr>
            <w:r>
              <w:rPr>
                <w:sz w:val="18"/>
                <w:szCs w:val="18"/>
              </w:rPr>
              <w:t>% (m/m)</w:t>
            </w:r>
          </w:p>
        </w:tc>
        <w:tc>
          <w:tcPr>
            <w:tcW w:w="850" w:type="dxa"/>
            <w:tcBorders>
              <w:bottom w:val="single" w:sz="4" w:space="0" w:color="auto"/>
            </w:tcBorders>
            <w:shd w:val="clear" w:color="auto" w:fill="auto"/>
          </w:tcPr>
          <w:p>
            <w:pPr>
              <w:pStyle w:val="GesAbsatz"/>
              <w:jc w:val="center"/>
              <w:rPr>
                <w:sz w:val="18"/>
                <w:szCs w:val="18"/>
              </w:rPr>
            </w:pPr>
            <w:r>
              <w:rPr>
                <w:sz w:val="18"/>
                <w:szCs w:val="18"/>
              </w:rPr>
              <w:t>94,7</w:t>
            </w:r>
          </w:p>
        </w:tc>
        <w:tc>
          <w:tcPr>
            <w:tcW w:w="851" w:type="dxa"/>
            <w:tcBorders>
              <w:bottom w:val="single" w:sz="4" w:space="0" w:color="auto"/>
            </w:tcBorders>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w:t>
            </w:r>
          </w:p>
        </w:tc>
        <w:tc>
          <w:tcPr>
            <w:tcW w:w="2976" w:type="dxa"/>
            <w:vMerge w:val="restart"/>
            <w:shd w:val="clear" w:color="auto" w:fill="auto"/>
          </w:tcPr>
          <w:p>
            <w:pPr>
              <w:pStyle w:val="GesAbsatz"/>
              <w:rPr>
                <w:sz w:val="18"/>
                <w:szCs w:val="18"/>
              </w:rPr>
            </w:pPr>
            <w:r>
              <w:rPr>
                <w:sz w:val="18"/>
                <w:szCs w:val="18"/>
              </w:rPr>
              <w:t>Dichte bei 15 °C</w:t>
            </w:r>
          </w:p>
        </w:tc>
        <w:tc>
          <w:tcPr>
            <w:tcW w:w="1984" w:type="dxa"/>
            <w:tcBorders>
              <w:bottom w:val="nil"/>
            </w:tcBorders>
            <w:shd w:val="clear" w:color="auto" w:fill="auto"/>
          </w:tcPr>
          <w:p>
            <w:pPr>
              <w:pStyle w:val="GesAbsatz"/>
              <w:rPr>
                <w:sz w:val="18"/>
                <w:szCs w:val="18"/>
              </w:rPr>
            </w:pPr>
            <w:r>
              <w:rPr>
                <w:sz w:val="18"/>
                <w:szCs w:val="18"/>
              </w:rPr>
              <w:t>DIN EN ISO 3675:1999</w:t>
            </w:r>
          </w:p>
        </w:tc>
        <w:tc>
          <w:tcPr>
            <w:tcW w:w="709" w:type="dxa"/>
            <w:vMerge w:val="restart"/>
            <w:tcBorders>
              <w:bottom w:val="nil"/>
            </w:tcBorders>
          </w:tcPr>
          <w:p>
            <w:pPr>
              <w:pStyle w:val="GesAbsatz"/>
              <w:jc w:val="center"/>
              <w:rPr>
                <w:sz w:val="18"/>
                <w:szCs w:val="18"/>
              </w:rPr>
            </w:pPr>
            <w:r>
              <w:rPr>
                <w:sz w:val="18"/>
                <w:szCs w:val="18"/>
              </w:rPr>
              <w:t>b), c)</w:t>
            </w:r>
          </w:p>
        </w:tc>
        <w:tc>
          <w:tcPr>
            <w:tcW w:w="992" w:type="dxa"/>
            <w:tcBorders>
              <w:bottom w:val="nil"/>
            </w:tcBorders>
            <w:shd w:val="clear" w:color="auto" w:fill="auto"/>
          </w:tcPr>
          <w:p>
            <w:pPr>
              <w:pStyle w:val="GesAbsatz"/>
              <w:jc w:val="center"/>
              <w:rPr>
                <w:sz w:val="18"/>
                <w:szCs w:val="18"/>
              </w:rPr>
            </w:pPr>
            <w:r>
              <w:rPr>
                <w:sz w:val="18"/>
                <w:szCs w:val="18"/>
              </w:rPr>
              <w:t>kg/m³</w:t>
            </w:r>
          </w:p>
        </w:tc>
        <w:tc>
          <w:tcPr>
            <w:tcW w:w="850" w:type="dxa"/>
            <w:tcBorders>
              <w:bottom w:val="nil"/>
            </w:tcBorders>
            <w:shd w:val="clear" w:color="auto" w:fill="auto"/>
          </w:tcPr>
          <w:p>
            <w:pPr>
              <w:pStyle w:val="GesAbsatz"/>
              <w:jc w:val="center"/>
              <w:rPr>
                <w:sz w:val="18"/>
                <w:szCs w:val="18"/>
              </w:rPr>
            </w:pPr>
            <w:r>
              <w:rPr>
                <w:sz w:val="18"/>
                <w:szCs w:val="18"/>
              </w:rPr>
              <w:t>859,3</w:t>
            </w:r>
          </w:p>
        </w:tc>
        <w:tc>
          <w:tcPr>
            <w:tcW w:w="851" w:type="dxa"/>
            <w:tcBorders>
              <w:bottom w:val="nil"/>
            </w:tcBorders>
            <w:shd w:val="clear" w:color="auto" w:fill="auto"/>
          </w:tcPr>
          <w:p>
            <w:pPr>
              <w:pStyle w:val="GesAbsatz"/>
              <w:jc w:val="center"/>
              <w:rPr>
                <w:sz w:val="18"/>
                <w:szCs w:val="18"/>
              </w:rPr>
            </w:pPr>
            <w:r>
              <w:rPr>
                <w:sz w:val="18"/>
                <w:szCs w:val="18"/>
              </w:rPr>
              <w:t>900,7</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DIN EN ISO 12185:1997</w:t>
            </w:r>
          </w:p>
        </w:tc>
        <w:tc>
          <w:tcPr>
            <w:tcW w:w="709" w:type="dxa"/>
            <w:vMerge/>
            <w:tcBorders>
              <w:top w:val="nil"/>
            </w:tcBorders>
          </w:tcPr>
          <w:p>
            <w:pPr>
              <w:pStyle w:val="GesAbsatz"/>
              <w:jc w:val="center"/>
              <w:rPr>
                <w:sz w:val="18"/>
                <w:szCs w:val="18"/>
              </w:rPr>
            </w:pPr>
          </w:p>
        </w:tc>
        <w:tc>
          <w:tcPr>
            <w:tcW w:w="992" w:type="dxa"/>
            <w:tcBorders>
              <w:top w:val="nil"/>
            </w:tcBorders>
            <w:shd w:val="clear" w:color="auto" w:fill="auto"/>
          </w:tcPr>
          <w:p>
            <w:pPr>
              <w:pStyle w:val="GesAbsatz"/>
              <w:jc w:val="center"/>
              <w:rPr>
                <w:sz w:val="18"/>
                <w:szCs w:val="18"/>
              </w:rPr>
            </w:pPr>
            <w:r>
              <w:rPr>
                <w:sz w:val="18"/>
                <w:szCs w:val="18"/>
              </w:rPr>
              <w:t>kg/m³</w:t>
            </w:r>
          </w:p>
        </w:tc>
        <w:tc>
          <w:tcPr>
            <w:tcW w:w="850" w:type="dxa"/>
            <w:tcBorders>
              <w:top w:val="nil"/>
            </w:tcBorders>
            <w:shd w:val="clear" w:color="auto" w:fill="auto"/>
          </w:tcPr>
          <w:p>
            <w:pPr>
              <w:pStyle w:val="GesAbsatz"/>
              <w:jc w:val="center"/>
              <w:rPr>
                <w:sz w:val="18"/>
                <w:szCs w:val="18"/>
              </w:rPr>
            </w:pPr>
            <w:r>
              <w:rPr>
                <w:sz w:val="18"/>
                <w:szCs w:val="18"/>
              </w:rPr>
              <w:t>859,7</w:t>
            </w:r>
          </w:p>
        </w:tc>
        <w:tc>
          <w:tcPr>
            <w:tcW w:w="851" w:type="dxa"/>
            <w:tcBorders>
              <w:top w:val="nil"/>
            </w:tcBorders>
            <w:shd w:val="clear" w:color="auto" w:fill="auto"/>
          </w:tcPr>
          <w:p>
            <w:pPr>
              <w:pStyle w:val="GesAbsatz"/>
              <w:jc w:val="center"/>
              <w:rPr>
                <w:sz w:val="18"/>
                <w:szCs w:val="18"/>
              </w:rPr>
            </w:pPr>
            <w:r>
              <w:rPr>
                <w:sz w:val="18"/>
                <w:szCs w:val="18"/>
              </w:rPr>
              <w:t>900,3</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3</w:t>
            </w:r>
          </w:p>
        </w:tc>
        <w:tc>
          <w:tcPr>
            <w:tcW w:w="2976" w:type="dxa"/>
            <w:shd w:val="clear" w:color="auto" w:fill="auto"/>
          </w:tcPr>
          <w:p>
            <w:pPr>
              <w:pStyle w:val="GesAbsatz"/>
              <w:rPr>
                <w:sz w:val="18"/>
                <w:szCs w:val="18"/>
              </w:rPr>
            </w:pPr>
            <w:r>
              <w:rPr>
                <w:sz w:val="18"/>
                <w:szCs w:val="18"/>
              </w:rPr>
              <w:t>Viskosität bei 40 °C</w:t>
            </w:r>
          </w:p>
        </w:tc>
        <w:tc>
          <w:tcPr>
            <w:tcW w:w="1984" w:type="dxa"/>
            <w:tcBorders>
              <w:bottom w:val="single" w:sz="4" w:space="0" w:color="auto"/>
            </w:tcBorders>
            <w:shd w:val="clear" w:color="auto" w:fill="auto"/>
          </w:tcPr>
          <w:p>
            <w:pPr>
              <w:pStyle w:val="GesAbsatz"/>
              <w:rPr>
                <w:sz w:val="18"/>
                <w:szCs w:val="18"/>
              </w:rPr>
            </w:pPr>
            <w:r>
              <w:rPr>
                <w:sz w:val="18"/>
                <w:szCs w:val="18"/>
              </w:rPr>
              <w:t>DIN EN ISO 3104:1996+AC 99</w:t>
            </w:r>
          </w:p>
        </w:tc>
        <w:tc>
          <w:tcPr>
            <w:tcW w:w="709" w:type="dxa"/>
            <w:tcBorders>
              <w:bottom w:val="single" w:sz="4" w:space="0" w:color="auto"/>
            </w:tcBorders>
          </w:tcPr>
          <w:p>
            <w:pPr>
              <w:pStyle w:val="GesAbsatz"/>
              <w:jc w:val="center"/>
              <w:rPr>
                <w:sz w:val="18"/>
                <w:szCs w:val="18"/>
              </w:rPr>
            </w:pPr>
          </w:p>
        </w:tc>
        <w:tc>
          <w:tcPr>
            <w:tcW w:w="992" w:type="dxa"/>
            <w:tcBorders>
              <w:bottom w:val="single" w:sz="4" w:space="0" w:color="auto"/>
            </w:tcBorders>
            <w:shd w:val="clear" w:color="auto" w:fill="auto"/>
          </w:tcPr>
          <w:p>
            <w:pPr>
              <w:pStyle w:val="GesAbsatz"/>
              <w:jc w:val="center"/>
              <w:rPr>
                <w:sz w:val="18"/>
                <w:szCs w:val="18"/>
              </w:rPr>
            </w:pPr>
            <w:r>
              <w:rPr>
                <w:sz w:val="18"/>
                <w:szCs w:val="18"/>
              </w:rPr>
              <w:t>mm²/s</w:t>
            </w:r>
          </w:p>
        </w:tc>
        <w:tc>
          <w:tcPr>
            <w:tcW w:w="850" w:type="dxa"/>
            <w:tcBorders>
              <w:bottom w:val="single" w:sz="4" w:space="0" w:color="auto"/>
            </w:tcBorders>
            <w:shd w:val="clear" w:color="auto" w:fill="auto"/>
          </w:tcPr>
          <w:p>
            <w:pPr>
              <w:pStyle w:val="GesAbsatz"/>
              <w:jc w:val="center"/>
              <w:rPr>
                <w:sz w:val="18"/>
                <w:szCs w:val="18"/>
              </w:rPr>
            </w:pPr>
            <w:r>
              <w:rPr>
                <w:sz w:val="18"/>
                <w:szCs w:val="18"/>
              </w:rPr>
              <w:t>3,46</w:t>
            </w:r>
          </w:p>
        </w:tc>
        <w:tc>
          <w:tcPr>
            <w:tcW w:w="851" w:type="dxa"/>
            <w:shd w:val="clear" w:color="auto" w:fill="auto"/>
          </w:tcPr>
          <w:p>
            <w:pPr>
              <w:pStyle w:val="GesAbsatz"/>
              <w:jc w:val="center"/>
              <w:rPr>
                <w:sz w:val="18"/>
                <w:szCs w:val="18"/>
              </w:rPr>
            </w:pPr>
            <w:r>
              <w:rPr>
                <w:sz w:val="18"/>
                <w:szCs w:val="18"/>
              </w:rPr>
              <w:t>5,05</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4</w:t>
            </w:r>
          </w:p>
        </w:tc>
        <w:tc>
          <w:tcPr>
            <w:tcW w:w="2976" w:type="dxa"/>
            <w:vMerge w:val="restart"/>
            <w:shd w:val="clear" w:color="auto" w:fill="auto"/>
          </w:tcPr>
          <w:p>
            <w:pPr>
              <w:pStyle w:val="GesAbsatz"/>
              <w:rPr>
                <w:sz w:val="18"/>
                <w:szCs w:val="18"/>
              </w:rPr>
            </w:pPr>
            <w:r>
              <w:rPr>
                <w:sz w:val="18"/>
                <w:szCs w:val="18"/>
              </w:rPr>
              <w:t>Flammpunkt</w:t>
            </w:r>
          </w:p>
        </w:tc>
        <w:tc>
          <w:tcPr>
            <w:tcW w:w="1984" w:type="dxa"/>
            <w:tcBorders>
              <w:bottom w:val="nil"/>
            </w:tcBorders>
            <w:shd w:val="clear" w:color="auto" w:fill="auto"/>
          </w:tcPr>
          <w:p>
            <w:pPr>
              <w:pStyle w:val="GesAbsatz"/>
              <w:rPr>
                <w:sz w:val="18"/>
                <w:szCs w:val="18"/>
              </w:rPr>
            </w:pPr>
            <w:r>
              <w:rPr>
                <w:sz w:val="18"/>
                <w:szCs w:val="18"/>
              </w:rPr>
              <w:t>DIN EN ISO 2719:2003</w:t>
            </w:r>
          </w:p>
        </w:tc>
        <w:tc>
          <w:tcPr>
            <w:tcW w:w="709" w:type="dxa"/>
            <w:vMerge w:val="restart"/>
            <w:tcBorders>
              <w:bottom w:val="nil"/>
            </w:tcBorders>
          </w:tcPr>
          <w:p>
            <w:pPr>
              <w:pStyle w:val="GesAbsatz"/>
              <w:jc w:val="center"/>
              <w:rPr>
                <w:sz w:val="18"/>
                <w:szCs w:val="18"/>
              </w:rPr>
            </w:pPr>
            <w:r>
              <w:rPr>
                <w:sz w:val="18"/>
                <w:szCs w:val="18"/>
              </w:rPr>
              <w:t>d)</w:t>
            </w:r>
          </w:p>
        </w:tc>
        <w:tc>
          <w:tcPr>
            <w:tcW w:w="992" w:type="dxa"/>
            <w:vMerge w:val="restart"/>
            <w:tcBorders>
              <w:bottom w:val="nil"/>
            </w:tcBorders>
            <w:shd w:val="clear" w:color="auto" w:fill="auto"/>
          </w:tcPr>
          <w:p>
            <w:pPr>
              <w:pStyle w:val="GesAbsatz"/>
              <w:jc w:val="center"/>
              <w:rPr>
                <w:sz w:val="18"/>
                <w:szCs w:val="18"/>
              </w:rPr>
            </w:pPr>
            <w:r>
              <w:rPr>
                <w:sz w:val="18"/>
                <w:szCs w:val="18"/>
              </w:rPr>
              <w:t>°C</w:t>
            </w:r>
          </w:p>
        </w:tc>
        <w:tc>
          <w:tcPr>
            <w:tcW w:w="850" w:type="dxa"/>
            <w:tcBorders>
              <w:bottom w:val="nil"/>
            </w:tcBorders>
            <w:shd w:val="clear" w:color="auto" w:fill="auto"/>
          </w:tcPr>
          <w:p>
            <w:pPr>
              <w:pStyle w:val="GesAbsatz"/>
              <w:jc w:val="center"/>
              <w:rPr>
                <w:sz w:val="18"/>
                <w:szCs w:val="18"/>
              </w:rPr>
            </w:pPr>
            <w:r>
              <w:rPr>
                <w:sz w:val="18"/>
                <w:szCs w:val="18"/>
              </w:rPr>
              <w:t>97,0</w:t>
            </w:r>
          </w:p>
        </w:tc>
        <w:tc>
          <w:tcPr>
            <w:tcW w:w="851"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tcBorders>
              <w:bottom w:val="single" w:sz="4" w:space="0" w:color="auto"/>
            </w:tcBorders>
            <w:shd w:val="clear" w:color="auto" w:fill="auto"/>
          </w:tcPr>
          <w:p>
            <w:pPr>
              <w:pStyle w:val="GesAbsatz"/>
              <w:rPr>
                <w:sz w:val="18"/>
                <w:szCs w:val="18"/>
              </w:rPr>
            </w:pPr>
          </w:p>
        </w:tc>
        <w:tc>
          <w:tcPr>
            <w:tcW w:w="1984" w:type="dxa"/>
            <w:tcBorders>
              <w:top w:val="nil"/>
              <w:bottom w:val="single" w:sz="4" w:space="0" w:color="auto"/>
            </w:tcBorders>
            <w:shd w:val="clear" w:color="auto" w:fill="auto"/>
          </w:tcPr>
          <w:p>
            <w:pPr>
              <w:pStyle w:val="GesAbsatz"/>
              <w:rPr>
                <w:sz w:val="18"/>
                <w:szCs w:val="18"/>
              </w:rPr>
            </w:pPr>
            <w:r>
              <w:rPr>
                <w:sz w:val="18"/>
                <w:szCs w:val="18"/>
              </w:rPr>
              <w:t>DIN EN ISO 3679:2004</w:t>
            </w:r>
          </w:p>
        </w:tc>
        <w:tc>
          <w:tcPr>
            <w:tcW w:w="709" w:type="dxa"/>
            <w:vMerge/>
            <w:tcBorders>
              <w:top w:val="nil"/>
              <w:bottom w:val="single" w:sz="4" w:space="0" w:color="auto"/>
            </w:tcBorders>
          </w:tcPr>
          <w:p>
            <w:pPr>
              <w:pStyle w:val="GesAbsatz"/>
              <w:jc w:val="center"/>
              <w:rPr>
                <w:sz w:val="18"/>
                <w:szCs w:val="18"/>
              </w:rPr>
            </w:pPr>
          </w:p>
        </w:tc>
        <w:tc>
          <w:tcPr>
            <w:tcW w:w="992" w:type="dxa"/>
            <w:vMerge/>
            <w:tcBorders>
              <w:top w:val="nil"/>
              <w:bottom w:val="single" w:sz="4" w:space="0" w:color="auto"/>
            </w:tcBorders>
            <w:shd w:val="clear" w:color="auto" w:fill="auto"/>
          </w:tcPr>
          <w:p>
            <w:pPr>
              <w:pStyle w:val="GesAbsatz"/>
              <w:jc w:val="center"/>
              <w:rPr>
                <w:sz w:val="18"/>
                <w:szCs w:val="18"/>
              </w:rPr>
            </w:pPr>
          </w:p>
        </w:tc>
        <w:tc>
          <w:tcPr>
            <w:tcW w:w="850" w:type="dxa"/>
            <w:tcBorders>
              <w:top w:val="nil"/>
              <w:bottom w:val="single" w:sz="4" w:space="0" w:color="auto"/>
            </w:tcBorders>
            <w:shd w:val="clear" w:color="auto" w:fill="auto"/>
          </w:tcPr>
          <w:p>
            <w:pPr>
              <w:pStyle w:val="GesAbsatz"/>
              <w:jc w:val="center"/>
              <w:rPr>
                <w:sz w:val="18"/>
                <w:szCs w:val="18"/>
              </w:rPr>
            </w:pPr>
            <w:r>
              <w:rPr>
                <w:sz w:val="18"/>
                <w:szCs w:val="18"/>
              </w:rPr>
              <w:t>92,0</w:t>
            </w:r>
          </w:p>
        </w:tc>
        <w:tc>
          <w:tcPr>
            <w:tcW w:w="851" w:type="dxa"/>
            <w:vMerge/>
            <w:tcBorders>
              <w:bottom w:val="single" w:sz="4" w:space="0" w:color="auto"/>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5</w:t>
            </w:r>
          </w:p>
        </w:tc>
        <w:tc>
          <w:tcPr>
            <w:tcW w:w="2976" w:type="dxa"/>
            <w:vMerge w:val="restart"/>
            <w:shd w:val="clear" w:color="auto" w:fill="auto"/>
          </w:tcPr>
          <w:p>
            <w:pPr>
              <w:pStyle w:val="GesAbsatz"/>
              <w:rPr>
                <w:sz w:val="18"/>
                <w:szCs w:val="18"/>
              </w:rPr>
            </w:pPr>
            <w:r>
              <w:rPr>
                <w:sz w:val="18"/>
                <w:szCs w:val="18"/>
              </w:rPr>
              <w:t>Schwefelgehalt</w:t>
            </w:r>
          </w:p>
        </w:tc>
        <w:tc>
          <w:tcPr>
            <w:tcW w:w="1984" w:type="dxa"/>
            <w:tcBorders>
              <w:bottom w:val="nil"/>
            </w:tcBorders>
            <w:shd w:val="clear" w:color="auto" w:fill="auto"/>
          </w:tcPr>
          <w:p>
            <w:pPr>
              <w:pStyle w:val="GesAbsatz"/>
              <w:rPr>
                <w:sz w:val="18"/>
                <w:szCs w:val="18"/>
              </w:rPr>
            </w:pPr>
            <w:r>
              <w:rPr>
                <w:sz w:val="18"/>
                <w:szCs w:val="18"/>
              </w:rPr>
              <w:t>DIN EN ISO 20846:2004</w:t>
            </w:r>
          </w:p>
        </w:tc>
        <w:tc>
          <w:tcPr>
            <w:tcW w:w="709" w:type="dxa"/>
            <w:vMerge w:val="restart"/>
            <w:tcBorders>
              <w:bottom w:val="nil"/>
            </w:tcBorders>
          </w:tcPr>
          <w:p>
            <w:pPr>
              <w:pStyle w:val="GesAbsatz"/>
              <w:jc w:val="center"/>
              <w:rPr>
                <w:sz w:val="18"/>
                <w:szCs w:val="18"/>
              </w:rPr>
            </w:pPr>
          </w:p>
        </w:tc>
        <w:tc>
          <w:tcPr>
            <w:tcW w:w="992" w:type="dxa"/>
            <w:tcBorders>
              <w:bottom w:val="nil"/>
            </w:tcBorders>
            <w:shd w:val="clear" w:color="auto" w:fill="auto"/>
          </w:tcPr>
          <w:p>
            <w:pPr>
              <w:pStyle w:val="GesAbsatz"/>
              <w:jc w:val="center"/>
              <w:rPr>
                <w:sz w:val="18"/>
                <w:szCs w:val="18"/>
              </w:rPr>
            </w:pPr>
            <w:r>
              <w:rPr>
                <w:sz w:val="18"/>
                <w:szCs w:val="18"/>
              </w:rPr>
              <w:t>mg/kg</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11,3</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DIN EN ISO 20884:2004</w:t>
            </w:r>
          </w:p>
        </w:tc>
        <w:tc>
          <w:tcPr>
            <w:tcW w:w="709" w:type="dxa"/>
            <w:vMerge/>
            <w:tcBorders>
              <w:top w:val="nil"/>
            </w:tcBorders>
          </w:tcPr>
          <w:p>
            <w:pPr>
              <w:pStyle w:val="GesAbsatz"/>
              <w:jc w:val="center"/>
              <w:rPr>
                <w:sz w:val="18"/>
                <w:szCs w:val="18"/>
              </w:rPr>
            </w:pPr>
          </w:p>
        </w:tc>
        <w:tc>
          <w:tcPr>
            <w:tcW w:w="992" w:type="dxa"/>
            <w:tcBorders>
              <w:top w:val="nil"/>
            </w:tcBorders>
            <w:shd w:val="clear" w:color="auto" w:fill="auto"/>
          </w:tcPr>
          <w:p>
            <w:pPr>
              <w:pStyle w:val="GesAbsatz"/>
              <w:jc w:val="center"/>
              <w:rPr>
                <w:sz w:val="18"/>
                <w:szCs w:val="18"/>
              </w:rPr>
            </w:pPr>
            <w:r>
              <w:rPr>
                <w:sz w:val="18"/>
                <w:szCs w:val="18"/>
              </w:rPr>
              <w:t>mg/kg</w:t>
            </w: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r>
              <w:rPr>
                <w:sz w:val="18"/>
                <w:szCs w:val="18"/>
              </w:rPr>
              <w:t>11,8</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6</w:t>
            </w:r>
          </w:p>
        </w:tc>
        <w:tc>
          <w:tcPr>
            <w:tcW w:w="2976" w:type="dxa"/>
            <w:shd w:val="clear" w:color="auto" w:fill="auto"/>
          </w:tcPr>
          <w:p>
            <w:pPr>
              <w:pStyle w:val="GesAbsatz"/>
              <w:rPr>
                <w:sz w:val="18"/>
                <w:szCs w:val="18"/>
              </w:rPr>
            </w:pPr>
            <w:r>
              <w:rPr>
                <w:sz w:val="18"/>
                <w:szCs w:val="18"/>
              </w:rPr>
              <w:t>Koksrückstand (von 10 % Destill</w:t>
            </w:r>
            <w:r>
              <w:rPr>
                <w:sz w:val="18"/>
                <w:szCs w:val="18"/>
              </w:rPr>
              <w:t>a</w:t>
            </w:r>
            <w:r>
              <w:rPr>
                <w:sz w:val="18"/>
                <w:szCs w:val="18"/>
              </w:rPr>
              <w:t>tionsrückstand)</w:t>
            </w:r>
          </w:p>
        </w:tc>
        <w:tc>
          <w:tcPr>
            <w:tcW w:w="1984" w:type="dxa"/>
            <w:tcBorders>
              <w:bottom w:val="single" w:sz="4" w:space="0" w:color="auto"/>
            </w:tcBorders>
            <w:shd w:val="clear" w:color="auto" w:fill="auto"/>
          </w:tcPr>
          <w:p>
            <w:pPr>
              <w:pStyle w:val="GesAbsatz"/>
              <w:rPr>
                <w:sz w:val="18"/>
                <w:szCs w:val="18"/>
              </w:rPr>
            </w:pPr>
            <w:r>
              <w:rPr>
                <w:sz w:val="18"/>
                <w:szCs w:val="18"/>
              </w:rPr>
              <w:t>DIN EN ISO 10370:1995</w:t>
            </w:r>
          </w:p>
        </w:tc>
        <w:tc>
          <w:tcPr>
            <w:tcW w:w="709" w:type="dxa"/>
            <w:tcBorders>
              <w:bottom w:val="single" w:sz="4" w:space="0" w:color="auto"/>
            </w:tcBorders>
          </w:tcPr>
          <w:p>
            <w:pPr>
              <w:pStyle w:val="GesAbsatz"/>
              <w:jc w:val="center"/>
              <w:rPr>
                <w:sz w:val="18"/>
                <w:szCs w:val="18"/>
              </w:rPr>
            </w:pPr>
            <w:r>
              <w:rPr>
                <w:sz w:val="18"/>
                <w:szCs w:val="18"/>
              </w:rPr>
              <w:t>e)</w:t>
            </w:r>
          </w:p>
        </w:tc>
        <w:tc>
          <w:tcPr>
            <w:tcW w:w="992" w:type="dxa"/>
            <w:tcBorders>
              <w:bottom w:val="single" w:sz="4" w:space="0" w:color="auto"/>
            </w:tcBorders>
            <w:shd w:val="clear" w:color="auto" w:fill="auto"/>
          </w:tcPr>
          <w:p>
            <w:pPr>
              <w:pStyle w:val="GesAbsatz"/>
              <w:jc w:val="center"/>
              <w:rPr>
                <w:sz w:val="18"/>
                <w:szCs w:val="18"/>
              </w:rPr>
            </w:pPr>
            <w:r>
              <w:rPr>
                <w:sz w:val="18"/>
                <w:szCs w:val="18"/>
              </w:rPr>
              <w:t>% (m/m)</w:t>
            </w:r>
          </w:p>
        </w:tc>
        <w:tc>
          <w:tcPr>
            <w:tcW w:w="850" w:type="dxa"/>
            <w:tcBorders>
              <w:bottom w:val="single" w:sz="4" w:space="0" w:color="auto"/>
            </w:tcBorders>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0,37</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7</w:t>
            </w:r>
          </w:p>
        </w:tc>
        <w:tc>
          <w:tcPr>
            <w:tcW w:w="2976" w:type="dxa"/>
            <w:vMerge w:val="restart"/>
            <w:shd w:val="clear" w:color="auto" w:fill="auto"/>
          </w:tcPr>
          <w:p>
            <w:pPr>
              <w:pStyle w:val="GesAbsatz"/>
              <w:rPr>
                <w:sz w:val="18"/>
                <w:szCs w:val="18"/>
              </w:rPr>
            </w:pPr>
            <w:r>
              <w:rPr>
                <w:sz w:val="18"/>
                <w:szCs w:val="18"/>
              </w:rPr>
              <w:t>Cetanzahl (CFR)</w:t>
            </w:r>
          </w:p>
        </w:tc>
        <w:tc>
          <w:tcPr>
            <w:tcW w:w="1984" w:type="dxa"/>
            <w:tcBorders>
              <w:bottom w:val="nil"/>
            </w:tcBorders>
            <w:shd w:val="clear" w:color="auto" w:fill="auto"/>
          </w:tcPr>
          <w:p>
            <w:pPr>
              <w:pStyle w:val="GesAbsatz"/>
              <w:rPr>
                <w:sz w:val="18"/>
                <w:szCs w:val="18"/>
              </w:rPr>
            </w:pPr>
            <w:r>
              <w:rPr>
                <w:sz w:val="18"/>
                <w:szCs w:val="18"/>
              </w:rPr>
              <w:t>DIN EN ISO 5165:1998</w:t>
            </w:r>
          </w:p>
        </w:tc>
        <w:tc>
          <w:tcPr>
            <w:tcW w:w="709" w:type="dxa"/>
            <w:vMerge w:val="restart"/>
            <w:tcBorders>
              <w:bottom w:val="nil"/>
            </w:tcBorders>
          </w:tcPr>
          <w:p>
            <w:pPr>
              <w:pStyle w:val="GesAbsatz"/>
              <w:jc w:val="center"/>
              <w:rPr>
                <w:sz w:val="18"/>
                <w:szCs w:val="18"/>
              </w:rPr>
            </w:pPr>
          </w:p>
        </w:tc>
        <w:tc>
          <w:tcPr>
            <w:tcW w:w="992" w:type="dxa"/>
            <w:vMerge w:val="restart"/>
            <w:tcBorders>
              <w:bottom w:val="nil"/>
            </w:tcBorders>
            <w:shd w:val="clear" w:color="auto" w:fill="auto"/>
          </w:tcPr>
          <w:p>
            <w:pPr>
              <w:pStyle w:val="GesAbsatz"/>
              <w:jc w:val="center"/>
              <w:rPr>
                <w:sz w:val="18"/>
                <w:szCs w:val="18"/>
              </w:rPr>
            </w:pPr>
            <w:r>
              <w:rPr>
                <w:sz w:val="18"/>
                <w:szCs w:val="18"/>
              </w:rPr>
              <w:t>–</w:t>
            </w:r>
          </w:p>
        </w:tc>
        <w:tc>
          <w:tcPr>
            <w:tcW w:w="850" w:type="dxa"/>
            <w:tcBorders>
              <w:bottom w:val="nil"/>
            </w:tcBorders>
            <w:shd w:val="clear" w:color="auto" w:fill="auto"/>
          </w:tcPr>
          <w:p>
            <w:pPr>
              <w:pStyle w:val="GesAbsatz"/>
              <w:jc w:val="center"/>
              <w:rPr>
                <w:sz w:val="18"/>
                <w:szCs w:val="18"/>
              </w:rPr>
            </w:pPr>
            <w:r>
              <w:rPr>
                <w:sz w:val="18"/>
                <w:szCs w:val="18"/>
              </w:rPr>
              <w:t>48,5</w:t>
            </w:r>
          </w:p>
        </w:tc>
        <w:tc>
          <w:tcPr>
            <w:tcW w:w="851"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DIN 51773:1996</w:t>
            </w:r>
          </w:p>
        </w:tc>
        <w:tc>
          <w:tcPr>
            <w:tcW w:w="709" w:type="dxa"/>
            <w:vMerge/>
            <w:tcBorders>
              <w:top w:val="nil"/>
            </w:tcBorders>
          </w:tcPr>
          <w:p>
            <w:pPr>
              <w:pStyle w:val="GesAbsatz"/>
              <w:jc w:val="center"/>
              <w:rPr>
                <w:sz w:val="18"/>
                <w:szCs w:val="18"/>
              </w:rPr>
            </w:pPr>
          </w:p>
        </w:tc>
        <w:tc>
          <w:tcPr>
            <w:tcW w:w="992" w:type="dxa"/>
            <w:vMerge/>
            <w:tcBorders>
              <w:top w:val="nil"/>
            </w:tcBorders>
            <w:shd w:val="clear" w:color="auto" w:fill="auto"/>
          </w:tcPr>
          <w:p>
            <w:pPr>
              <w:pStyle w:val="GesAbsatz"/>
              <w:jc w:val="center"/>
              <w:rPr>
                <w:sz w:val="18"/>
                <w:szCs w:val="18"/>
              </w:rPr>
            </w:pPr>
          </w:p>
        </w:tc>
        <w:tc>
          <w:tcPr>
            <w:tcW w:w="850" w:type="dxa"/>
            <w:tcBorders>
              <w:top w:val="nil"/>
            </w:tcBorders>
            <w:shd w:val="clear" w:color="auto" w:fill="auto"/>
          </w:tcPr>
          <w:p>
            <w:pPr>
              <w:pStyle w:val="GesAbsatz"/>
              <w:jc w:val="center"/>
              <w:rPr>
                <w:sz w:val="18"/>
                <w:szCs w:val="18"/>
              </w:rPr>
            </w:pPr>
            <w:r>
              <w:rPr>
                <w:sz w:val="18"/>
                <w:szCs w:val="18"/>
              </w:rPr>
              <w:t>50,7</w:t>
            </w:r>
          </w:p>
        </w:tc>
        <w:tc>
          <w:tcPr>
            <w:tcW w:w="851"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8</w:t>
            </w:r>
          </w:p>
        </w:tc>
        <w:tc>
          <w:tcPr>
            <w:tcW w:w="2976" w:type="dxa"/>
            <w:shd w:val="clear" w:color="auto" w:fill="auto"/>
          </w:tcPr>
          <w:p>
            <w:pPr>
              <w:pStyle w:val="GesAbsatz"/>
              <w:rPr>
                <w:sz w:val="18"/>
                <w:szCs w:val="18"/>
              </w:rPr>
            </w:pPr>
            <w:r>
              <w:rPr>
                <w:sz w:val="18"/>
                <w:szCs w:val="18"/>
              </w:rPr>
              <w:t>Asche-Gehalt (Sulfat-Asche)</w:t>
            </w:r>
          </w:p>
        </w:tc>
        <w:tc>
          <w:tcPr>
            <w:tcW w:w="1984" w:type="dxa"/>
            <w:shd w:val="clear" w:color="auto" w:fill="auto"/>
          </w:tcPr>
          <w:p>
            <w:pPr>
              <w:pStyle w:val="GesAbsatz"/>
              <w:rPr>
                <w:sz w:val="18"/>
                <w:szCs w:val="18"/>
              </w:rPr>
            </w:pPr>
            <w:r>
              <w:rPr>
                <w:sz w:val="18"/>
                <w:szCs w:val="18"/>
              </w:rPr>
              <w:t>ISO 3987:1994</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 (m/m)</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0,02</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9</w:t>
            </w:r>
          </w:p>
        </w:tc>
        <w:tc>
          <w:tcPr>
            <w:tcW w:w="2976" w:type="dxa"/>
            <w:shd w:val="clear" w:color="auto" w:fill="auto"/>
          </w:tcPr>
          <w:p>
            <w:pPr>
              <w:pStyle w:val="GesAbsatz"/>
              <w:rPr>
                <w:sz w:val="18"/>
                <w:szCs w:val="18"/>
              </w:rPr>
            </w:pPr>
            <w:r>
              <w:rPr>
                <w:sz w:val="18"/>
                <w:szCs w:val="18"/>
              </w:rPr>
              <w:t>Wassergehalt</w:t>
            </w:r>
          </w:p>
        </w:tc>
        <w:tc>
          <w:tcPr>
            <w:tcW w:w="1984" w:type="dxa"/>
            <w:shd w:val="clear" w:color="auto" w:fill="auto"/>
          </w:tcPr>
          <w:p>
            <w:pPr>
              <w:pStyle w:val="GesAbsatz"/>
              <w:rPr>
                <w:sz w:val="18"/>
                <w:szCs w:val="18"/>
              </w:rPr>
            </w:pPr>
            <w:r>
              <w:rPr>
                <w:sz w:val="18"/>
                <w:szCs w:val="18"/>
              </w:rPr>
              <w:t>DIN EN ISO 12937:2000</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mg/kg</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591</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10</w:t>
            </w:r>
          </w:p>
        </w:tc>
        <w:tc>
          <w:tcPr>
            <w:tcW w:w="2976" w:type="dxa"/>
            <w:shd w:val="clear" w:color="auto" w:fill="auto"/>
          </w:tcPr>
          <w:p>
            <w:pPr>
              <w:pStyle w:val="GesAbsatz"/>
              <w:rPr>
                <w:sz w:val="18"/>
                <w:szCs w:val="18"/>
              </w:rPr>
            </w:pPr>
            <w:r>
              <w:rPr>
                <w:sz w:val="18"/>
                <w:szCs w:val="18"/>
              </w:rPr>
              <w:t>Gesamtverschmutzung</w:t>
            </w:r>
          </w:p>
        </w:tc>
        <w:tc>
          <w:tcPr>
            <w:tcW w:w="1984" w:type="dxa"/>
            <w:shd w:val="clear" w:color="auto" w:fill="auto"/>
          </w:tcPr>
          <w:p>
            <w:pPr>
              <w:pStyle w:val="GesAbsatz"/>
              <w:rPr>
                <w:sz w:val="18"/>
                <w:szCs w:val="18"/>
              </w:rPr>
            </w:pPr>
            <w:r>
              <w:rPr>
                <w:sz w:val="18"/>
                <w:szCs w:val="18"/>
              </w:rPr>
              <w:t>DIN EN 12662:2008</w:t>
            </w:r>
          </w:p>
        </w:tc>
        <w:tc>
          <w:tcPr>
            <w:tcW w:w="709" w:type="dxa"/>
          </w:tcPr>
          <w:p>
            <w:pPr>
              <w:pStyle w:val="GesAbsatz"/>
              <w:jc w:val="center"/>
              <w:rPr>
                <w:sz w:val="18"/>
                <w:szCs w:val="18"/>
              </w:rPr>
            </w:pPr>
            <w:r>
              <w:rPr>
                <w:sz w:val="18"/>
                <w:szCs w:val="18"/>
              </w:rPr>
              <w:t>a), f)</w:t>
            </w:r>
          </w:p>
        </w:tc>
        <w:tc>
          <w:tcPr>
            <w:tcW w:w="992" w:type="dxa"/>
            <w:shd w:val="clear" w:color="auto" w:fill="auto"/>
          </w:tcPr>
          <w:p>
            <w:pPr>
              <w:pStyle w:val="GesAbsatz"/>
              <w:jc w:val="center"/>
              <w:rPr>
                <w:sz w:val="18"/>
                <w:szCs w:val="18"/>
              </w:rPr>
            </w:pPr>
            <w:r>
              <w:rPr>
                <w:sz w:val="18"/>
                <w:szCs w:val="18"/>
              </w:rPr>
              <w:t>mg/kg</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28</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11</w:t>
            </w:r>
          </w:p>
        </w:tc>
        <w:tc>
          <w:tcPr>
            <w:tcW w:w="2976" w:type="dxa"/>
            <w:shd w:val="clear" w:color="auto" w:fill="auto"/>
          </w:tcPr>
          <w:p>
            <w:pPr>
              <w:pStyle w:val="GesAbsatz"/>
              <w:rPr>
                <w:sz w:val="18"/>
                <w:szCs w:val="18"/>
              </w:rPr>
            </w:pPr>
            <w:r>
              <w:rPr>
                <w:sz w:val="18"/>
                <w:szCs w:val="18"/>
              </w:rPr>
              <w:t>Korrosionswirkung auf Kupfer (3 h bei 50 °C)</w:t>
            </w:r>
          </w:p>
        </w:tc>
        <w:tc>
          <w:tcPr>
            <w:tcW w:w="1984" w:type="dxa"/>
            <w:tcBorders>
              <w:bottom w:val="single" w:sz="4" w:space="0" w:color="auto"/>
            </w:tcBorders>
            <w:shd w:val="clear" w:color="auto" w:fill="auto"/>
          </w:tcPr>
          <w:p>
            <w:pPr>
              <w:pStyle w:val="GesAbsatz"/>
              <w:rPr>
                <w:sz w:val="18"/>
                <w:szCs w:val="18"/>
              </w:rPr>
            </w:pPr>
            <w:r>
              <w:rPr>
                <w:sz w:val="18"/>
                <w:szCs w:val="18"/>
              </w:rPr>
              <w:t>DIN EN ISO 2160:1999</w:t>
            </w:r>
          </w:p>
        </w:tc>
        <w:tc>
          <w:tcPr>
            <w:tcW w:w="709" w:type="dxa"/>
            <w:tcBorders>
              <w:bottom w:val="single" w:sz="4" w:space="0" w:color="auto"/>
            </w:tcBorders>
          </w:tcPr>
          <w:p>
            <w:pPr>
              <w:pStyle w:val="GesAbsatz"/>
              <w:jc w:val="center"/>
              <w:rPr>
                <w:sz w:val="18"/>
                <w:szCs w:val="18"/>
              </w:rPr>
            </w:pPr>
          </w:p>
        </w:tc>
        <w:tc>
          <w:tcPr>
            <w:tcW w:w="992" w:type="dxa"/>
            <w:tcBorders>
              <w:bottom w:val="single" w:sz="4" w:space="0" w:color="auto"/>
            </w:tcBorders>
            <w:shd w:val="clear" w:color="auto" w:fill="auto"/>
          </w:tcPr>
          <w:p>
            <w:pPr>
              <w:pStyle w:val="GesAbsatz"/>
              <w:jc w:val="center"/>
              <w:rPr>
                <w:sz w:val="18"/>
                <w:szCs w:val="18"/>
              </w:rPr>
            </w:pPr>
            <w:r>
              <w:rPr>
                <w:sz w:val="18"/>
                <w:szCs w:val="18"/>
              </w:rPr>
              <w:t>Korros</w:t>
            </w:r>
            <w:r>
              <w:rPr>
                <w:sz w:val="18"/>
                <w:szCs w:val="18"/>
              </w:rPr>
              <w:t>i</w:t>
            </w:r>
            <w:r>
              <w:rPr>
                <w:sz w:val="18"/>
                <w:szCs w:val="18"/>
              </w:rPr>
              <w:t>onsgrad</w:t>
            </w:r>
          </w:p>
        </w:tc>
        <w:tc>
          <w:tcPr>
            <w:tcW w:w="850" w:type="dxa"/>
            <w:tcBorders>
              <w:bottom w:val="single" w:sz="4" w:space="0" w:color="auto"/>
            </w:tcBorders>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1</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12</w:t>
            </w:r>
          </w:p>
        </w:tc>
        <w:tc>
          <w:tcPr>
            <w:tcW w:w="2976" w:type="dxa"/>
            <w:vMerge w:val="restart"/>
            <w:shd w:val="clear" w:color="auto" w:fill="auto"/>
          </w:tcPr>
          <w:p>
            <w:pPr>
              <w:pStyle w:val="GesAbsatz"/>
              <w:rPr>
                <w:sz w:val="18"/>
                <w:szCs w:val="18"/>
              </w:rPr>
            </w:pPr>
            <w:r>
              <w:rPr>
                <w:sz w:val="18"/>
                <w:szCs w:val="18"/>
              </w:rPr>
              <w:t>Oxidationsstabilität, 110 °C</w:t>
            </w:r>
          </w:p>
        </w:tc>
        <w:tc>
          <w:tcPr>
            <w:tcW w:w="1984" w:type="dxa"/>
            <w:tcBorders>
              <w:bottom w:val="nil"/>
            </w:tcBorders>
            <w:shd w:val="clear" w:color="auto" w:fill="auto"/>
          </w:tcPr>
          <w:p>
            <w:pPr>
              <w:pStyle w:val="GesAbsatz"/>
              <w:rPr>
                <w:sz w:val="18"/>
                <w:szCs w:val="18"/>
              </w:rPr>
            </w:pPr>
            <w:r>
              <w:rPr>
                <w:sz w:val="18"/>
                <w:szCs w:val="18"/>
              </w:rPr>
              <w:t>DIN EN 15751:2009</w:t>
            </w:r>
          </w:p>
        </w:tc>
        <w:tc>
          <w:tcPr>
            <w:tcW w:w="709" w:type="dxa"/>
            <w:vMerge w:val="restart"/>
            <w:tcBorders>
              <w:bottom w:val="nil"/>
            </w:tcBorders>
          </w:tcPr>
          <w:p>
            <w:pPr>
              <w:pStyle w:val="GesAbsatz"/>
              <w:jc w:val="center"/>
              <w:rPr>
                <w:sz w:val="18"/>
                <w:szCs w:val="18"/>
              </w:rPr>
            </w:pPr>
          </w:p>
        </w:tc>
        <w:tc>
          <w:tcPr>
            <w:tcW w:w="992" w:type="dxa"/>
            <w:vMerge w:val="restart"/>
            <w:tcBorders>
              <w:bottom w:val="nil"/>
            </w:tcBorders>
            <w:shd w:val="clear" w:color="auto" w:fill="auto"/>
          </w:tcPr>
          <w:p>
            <w:pPr>
              <w:pStyle w:val="GesAbsatz"/>
              <w:jc w:val="center"/>
              <w:rPr>
                <w:sz w:val="18"/>
                <w:szCs w:val="18"/>
              </w:rPr>
            </w:pPr>
            <w:r>
              <w:rPr>
                <w:sz w:val="18"/>
                <w:szCs w:val="18"/>
              </w:rPr>
              <w:t>Stunden</w:t>
            </w:r>
          </w:p>
        </w:tc>
        <w:tc>
          <w:tcPr>
            <w:tcW w:w="850" w:type="dxa"/>
            <w:tcBorders>
              <w:bottom w:val="nil"/>
            </w:tcBorders>
            <w:shd w:val="clear" w:color="auto" w:fill="auto"/>
          </w:tcPr>
          <w:p>
            <w:pPr>
              <w:pStyle w:val="GesAbsatz"/>
              <w:jc w:val="center"/>
              <w:rPr>
                <w:sz w:val="18"/>
                <w:szCs w:val="18"/>
              </w:rPr>
            </w:pPr>
            <w:r>
              <w:rPr>
                <w:sz w:val="18"/>
                <w:szCs w:val="18"/>
              </w:rPr>
              <w:t>5,1</w:t>
            </w:r>
          </w:p>
        </w:tc>
        <w:tc>
          <w:tcPr>
            <w:tcW w:w="851"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DIN EN 14112:2003</w:t>
            </w:r>
          </w:p>
        </w:tc>
        <w:tc>
          <w:tcPr>
            <w:tcW w:w="709" w:type="dxa"/>
            <w:vMerge/>
            <w:tcBorders>
              <w:top w:val="nil"/>
            </w:tcBorders>
          </w:tcPr>
          <w:p>
            <w:pPr>
              <w:pStyle w:val="GesAbsatz"/>
              <w:jc w:val="center"/>
              <w:rPr>
                <w:sz w:val="18"/>
                <w:szCs w:val="18"/>
              </w:rPr>
            </w:pPr>
          </w:p>
        </w:tc>
        <w:tc>
          <w:tcPr>
            <w:tcW w:w="992" w:type="dxa"/>
            <w:vMerge/>
            <w:tcBorders>
              <w:top w:val="nil"/>
            </w:tcBorders>
            <w:shd w:val="clear" w:color="auto" w:fill="auto"/>
          </w:tcPr>
          <w:p>
            <w:pPr>
              <w:pStyle w:val="GesAbsatz"/>
              <w:jc w:val="center"/>
              <w:rPr>
                <w:sz w:val="18"/>
                <w:szCs w:val="18"/>
              </w:rPr>
            </w:pPr>
          </w:p>
        </w:tc>
        <w:tc>
          <w:tcPr>
            <w:tcW w:w="850" w:type="dxa"/>
            <w:tcBorders>
              <w:top w:val="nil"/>
            </w:tcBorders>
            <w:shd w:val="clear" w:color="auto" w:fill="auto"/>
          </w:tcPr>
          <w:p>
            <w:pPr>
              <w:pStyle w:val="GesAbsatz"/>
              <w:jc w:val="center"/>
              <w:rPr>
                <w:sz w:val="18"/>
                <w:szCs w:val="18"/>
              </w:rPr>
            </w:pPr>
            <w:r>
              <w:rPr>
                <w:sz w:val="18"/>
                <w:szCs w:val="18"/>
              </w:rPr>
              <w:t>4,9</w:t>
            </w:r>
          </w:p>
        </w:tc>
        <w:tc>
          <w:tcPr>
            <w:tcW w:w="851"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13</w:t>
            </w:r>
          </w:p>
        </w:tc>
        <w:tc>
          <w:tcPr>
            <w:tcW w:w="2976" w:type="dxa"/>
            <w:shd w:val="clear" w:color="auto" w:fill="auto"/>
          </w:tcPr>
          <w:p>
            <w:pPr>
              <w:pStyle w:val="GesAbsatz"/>
              <w:rPr>
                <w:sz w:val="18"/>
                <w:szCs w:val="18"/>
              </w:rPr>
            </w:pPr>
            <w:r>
              <w:rPr>
                <w:sz w:val="18"/>
                <w:szCs w:val="18"/>
              </w:rPr>
              <w:t>Säurezahl</w:t>
            </w:r>
          </w:p>
        </w:tc>
        <w:tc>
          <w:tcPr>
            <w:tcW w:w="1984" w:type="dxa"/>
            <w:shd w:val="clear" w:color="auto" w:fill="auto"/>
          </w:tcPr>
          <w:p>
            <w:pPr>
              <w:pStyle w:val="GesAbsatz"/>
              <w:rPr>
                <w:sz w:val="18"/>
                <w:szCs w:val="18"/>
              </w:rPr>
            </w:pPr>
            <w:r>
              <w:rPr>
                <w:sz w:val="18"/>
                <w:szCs w:val="18"/>
              </w:rPr>
              <w:t>DIN EN 14104:2003</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mg KOH/g</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0,54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lastRenderedPageBreak/>
              <w:t>14</w:t>
            </w:r>
          </w:p>
        </w:tc>
        <w:tc>
          <w:tcPr>
            <w:tcW w:w="2976" w:type="dxa"/>
            <w:shd w:val="clear" w:color="auto" w:fill="auto"/>
          </w:tcPr>
          <w:p>
            <w:pPr>
              <w:pStyle w:val="GesAbsatz"/>
              <w:rPr>
                <w:sz w:val="18"/>
                <w:szCs w:val="18"/>
              </w:rPr>
            </w:pPr>
            <w:r>
              <w:rPr>
                <w:sz w:val="18"/>
                <w:szCs w:val="18"/>
              </w:rPr>
              <w:t>Iodzahl</w:t>
            </w:r>
          </w:p>
        </w:tc>
        <w:tc>
          <w:tcPr>
            <w:tcW w:w="1984" w:type="dxa"/>
            <w:shd w:val="clear" w:color="auto" w:fill="auto"/>
          </w:tcPr>
          <w:p>
            <w:pPr>
              <w:pStyle w:val="GesAbsatz"/>
              <w:rPr>
                <w:sz w:val="18"/>
                <w:szCs w:val="18"/>
              </w:rPr>
            </w:pPr>
            <w:r>
              <w:rPr>
                <w:sz w:val="18"/>
                <w:szCs w:val="18"/>
              </w:rPr>
              <w:t>DIN EN 14111:2003</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g (Iod)/100 g</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123</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15</w:t>
            </w:r>
          </w:p>
        </w:tc>
        <w:tc>
          <w:tcPr>
            <w:tcW w:w="2976" w:type="dxa"/>
            <w:shd w:val="clear" w:color="auto" w:fill="auto"/>
          </w:tcPr>
          <w:p>
            <w:pPr>
              <w:pStyle w:val="GesAbsatz"/>
              <w:rPr>
                <w:sz w:val="18"/>
                <w:szCs w:val="18"/>
              </w:rPr>
            </w:pPr>
            <w:r>
              <w:rPr>
                <w:sz w:val="18"/>
                <w:szCs w:val="18"/>
              </w:rPr>
              <w:t>Gehalt an Linolensäure-Methylester</w:t>
            </w:r>
          </w:p>
        </w:tc>
        <w:tc>
          <w:tcPr>
            <w:tcW w:w="1984" w:type="dxa"/>
            <w:shd w:val="clear" w:color="auto" w:fill="auto"/>
          </w:tcPr>
          <w:p>
            <w:pPr>
              <w:pStyle w:val="GesAbsatz"/>
              <w:rPr>
                <w:sz w:val="18"/>
                <w:szCs w:val="18"/>
              </w:rPr>
            </w:pPr>
            <w:r>
              <w:rPr>
                <w:sz w:val="18"/>
                <w:szCs w:val="18"/>
              </w:rPr>
              <w:t>DIN EN 14103:2003</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 (m/m)</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14,2</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16</w:t>
            </w:r>
          </w:p>
        </w:tc>
        <w:tc>
          <w:tcPr>
            <w:tcW w:w="2976" w:type="dxa"/>
            <w:shd w:val="clear" w:color="auto" w:fill="auto"/>
          </w:tcPr>
          <w:p>
            <w:pPr>
              <w:pStyle w:val="GesAbsatz"/>
              <w:rPr>
                <w:sz w:val="18"/>
                <w:szCs w:val="18"/>
              </w:rPr>
            </w:pPr>
            <w:r>
              <w:rPr>
                <w:sz w:val="18"/>
                <w:szCs w:val="18"/>
              </w:rPr>
              <w:t>Gehalt an mehrfach ungesätti</w:t>
            </w:r>
            <w:r>
              <w:rPr>
                <w:sz w:val="18"/>
                <w:szCs w:val="18"/>
              </w:rPr>
              <w:t>g</w:t>
            </w:r>
            <w:r>
              <w:rPr>
                <w:sz w:val="18"/>
                <w:szCs w:val="18"/>
              </w:rPr>
              <w:t>ten Fettsäuremethylestern mit &gt;= 4 Doppelbindungen</w:t>
            </w:r>
          </w:p>
        </w:tc>
        <w:tc>
          <w:tcPr>
            <w:tcW w:w="1984" w:type="dxa"/>
            <w:shd w:val="clear" w:color="auto" w:fill="auto"/>
          </w:tcPr>
          <w:p>
            <w:pPr>
              <w:pStyle w:val="GesAbsatz"/>
              <w:rPr>
                <w:sz w:val="18"/>
                <w:szCs w:val="18"/>
              </w:rPr>
            </w:pPr>
            <w:r>
              <w:rPr>
                <w:sz w:val="18"/>
                <w:szCs w:val="18"/>
              </w:rPr>
              <w:t>DIN EN 15779:2010</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 (m/m)</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1,16</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17</w:t>
            </w:r>
          </w:p>
        </w:tc>
        <w:tc>
          <w:tcPr>
            <w:tcW w:w="2976" w:type="dxa"/>
            <w:shd w:val="clear" w:color="auto" w:fill="auto"/>
          </w:tcPr>
          <w:p>
            <w:pPr>
              <w:pStyle w:val="GesAbsatz"/>
              <w:rPr>
                <w:sz w:val="18"/>
                <w:szCs w:val="18"/>
              </w:rPr>
            </w:pPr>
            <w:r>
              <w:rPr>
                <w:sz w:val="18"/>
                <w:szCs w:val="18"/>
              </w:rPr>
              <w:t>Methanol-Gehalt</w:t>
            </w:r>
          </w:p>
        </w:tc>
        <w:tc>
          <w:tcPr>
            <w:tcW w:w="1984" w:type="dxa"/>
            <w:shd w:val="clear" w:color="auto" w:fill="auto"/>
          </w:tcPr>
          <w:p>
            <w:pPr>
              <w:pStyle w:val="GesAbsatz"/>
              <w:rPr>
                <w:sz w:val="18"/>
                <w:szCs w:val="18"/>
              </w:rPr>
            </w:pPr>
            <w:r>
              <w:rPr>
                <w:sz w:val="18"/>
                <w:szCs w:val="18"/>
              </w:rPr>
              <w:t>DIN EN 14110:2003</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 (m/m)</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0,23</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18</w:t>
            </w:r>
          </w:p>
        </w:tc>
        <w:tc>
          <w:tcPr>
            <w:tcW w:w="2976" w:type="dxa"/>
            <w:shd w:val="clear" w:color="auto" w:fill="auto"/>
          </w:tcPr>
          <w:p>
            <w:pPr>
              <w:pStyle w:val="GesAbsatz"/>
              <w:rPr>
                <w:sz w:val="18"/>
                <w:szCs w:val="18"/>
              </w:rPr>
            </w:pPr>
            <w:r>
              <w:rPr>
                <w:sz w:val="18"/>
                <w:szCs w:val="18"/>
              </w:rPr>
              <w:t>Monoglyzerid-Gehalt</w:t>
            </w:r>
          </w:p>
        </w:tc>
        <w:tc>
          <w:tcPr>
            <w:tcW w:w="1984" w:type="dxa"/>
            <w:shd w:val="clear" w:color="auto" w:fill="auto"/>
          </w:tcPr>
          <w:p>
            <w:pPr>
              <w:pStyle w:val="GesAbsatz"/>
              <w:rPr>
                <w:sz w:val="18"/>
                <w:szCs w:val="18"/>
              </w:rPr>
            </w:pPr>
            <w:r>
              <w:rPr>
                <w:sz w:val="18"/>
                <w:szCs w:val="18"/>
              </w:rPr>
              <w:t>DIN EN 14105:2003</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 (m/m)</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0,94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19</w:t>
            </w:r>
          </w:p>
        </w:tc>
        <w:tc>
          <w:tcPr>
            <w:tcW w:w="2976" w:type="dxa"/>
            <w:shd w:val="clear" w:color="auto" w:fill="auto"/>
          </w:tcPr>
          <w:p>
            <w:pPr>
              <w:pStyle w:val="GesAbsatz"/>
              <w:rPr>
                <w:sz w:val="18"/>
                <w:szCs w:val="18"/>
              </w:rPr>
            </w:pPr>
            <w:r>
              <w:rPr>
                <w:sz w:val="18"/>
                <w:szCs w:val="18"/>
              </w:rPr>
              <w:t>Diglyzerid-Gehalt</w:t>
            </w:r>
          </w:p>
        </w:tc>
        <w:tc>
          <w:tcPr>
            <w:tcW w:w="1984" w:type="dxa"/>
            <w:shd w:val="clear" w:color="auto" w:fill="auto"/>
          </w:tcPr>
          <w:p>
            <w:pPr>
              <w:pStyle w:val="GesAbsatz"/>
              <w:rPr>
                <w:sz w:val="18"/>
                <w:szCs w:val="18"/>
              </w:rPr>
            </w:pPr>
            <w:r>
              <w:rPr>
                <w:sz w:val="18"/>
                <w:szCs w:val="18"/>
              </w:rPr>
              <w:t>DIN EN 14105:2003</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 (m/m)</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0,24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20</w:t>
            </w:r>
          </w:p>
        </w:tc>
        <w:tc>
          <w:tcPr>
            <w:tcW w:w="2976" w:type="dxa"/>
            <w:shd w:val="clear" w:color="auto" w:fill="auto"/>
          </w:tcPr>
          <w:p>
            <w:pPr>
              <w:pStyle w:val="GesAbsatz"/>
              <w:rPr>
                <w:sz w:val="18"/>
                <w:szCs w:val="18"/>
              </w:rPr>
            </w:pPr>
            <w:r>
              <w:rPr>
                <w:sz w:val="18"/>
                <w:szCs w:val="18"/>
              </w:rPr>
              <w:t>Triglyzerid-Gehalt</w:t>
            </w:r>
          </w:p>
        </w:tc>
        <w:tc>
          <w:tcPr>
            <w:tcW w:w="1984" w:type="dxa"/>
            <w:tcBorders>
              <w:bottom w:val="single" w:sz="4" w:space="0" w:color="auto"/>
            </w:tcBorders>
            <w:shd w:val="clear" w:color="auto" w:fill="auto"/>
          </w:tcPr>
          <w:p>
            <w:pPr>
              <w:pStyle w:val="GesAbsatz"/>
              <w:rPr>
                <w:sz w:val="18"/>
                <w:szCs w:val="18"/>
              </w:rPr>
            </w:pPr>
            <w:r>
              <w:rPr>
                <w:sz w:val="18"/>
                <w:szCs w:val="18"/>
              </w:rPr>
              <w:t>DIN EN 14105:2003</w:t>
            </w:r>
          </w:p>
        </w:tc>
        <w:tc>
          <w:tcPr>
            <w:tcW w:w="709" w:type="dxa"/>
            <w:tcBorders>
              <w:bottom w:val="single" w:sz="4" w:space="0" w:color="auto"/>
            </w:tcBorders>
          </w:tcPr>
          <w:p>
            <w:pPr>
              <w:pStyle w:val="GesAbsatz"/>
              <w:jc w:val="center"/>
              <w:rPr>
                <w:sz w:val="18"/>
                <w:szCs w:val="18"/>
              </w:rPr>
            </w:pPr>
            <w:r>
              <w:rPr>
                <w:sz w:val="18"/>
                <w:szCs w:val="18"/>
              </w:rPr>
              <w:t>a)</w:t>
            </w:r>
          </w:p>
        </w:tc>
        <w:tc>
          <w:tcPr>
            <w:tcW w:w="992" w:type="dxa"/>
            <w:tcBorders>
              <w:bottom w:val="single" w:sz="4" w:space="0" w:color="auto"/>
            </w:tcBorders>
            <w:shd w:val="clear" w:color="auto" w:fill="auto"/>
          </w:tcPr>
          <w:p>
            <w:pPr>
              <w:pStyle w:val="GesAbsatz"/>
              <w:jc w:val="center"/>
              <w:rPr>
                <w:sz w:val="18"/>
                <w:szCs w:val="18"/>
              </w:rPr>
            </w:pPr>
            <w:r>
              <w:rPr>
                <w:sz w:val="18"/>
                <w:szCs w:val="18"/>
              </w:rPr>
              <w:t>% (m/m)</w:t>
            </w:r>
          </w:p>
        </w:tc>
        <w:tc>
          <w:tcPr>
            <w:tcW w:w="850" w:type="dxa"/>
            <w:tcBorders>
              <w:bottom w:val="single" w:sz="4" w:space="0" w:color="auto"/>
            </w:tcBorders>
            <w:shd w:val="clear" w:color="auto" w:fill="auto"/>
          </w:tcPr>
          <w:p>
            <w:pPr>
              <w:pStyle w:val="GesAbsatz"/>
              <w:jc w:val="center"/>
              <w:rPr>
                <w:sz w:val="18"/>
                <w:szCs w:val="18"/>
              </w:rPr>
            </w:pPr>
          </w:p>
        </w:tc>
        <w:tc>
          <w:tcPr>
            <w:tcW w:w="851" w:type="dxa"/>
            <w:tcBorders>
              <w:bottom w:val="single" w:sz="4" w:space="0" w:color="auto"/>
            </w:tcBorders>
            <w:shd w:val="clear" w:color="auto" w:fill="auto"/>
          </w:tcPr>
          <w:p>
            <w:pPr>
              <w:pStyle w:val="GesAbsatz"/>
              <w:jc w:val="center"/>
              <w:rPr>
                <w:sz w:val="18"/>
                <w:szCs w:val="18"/>
              </w:rPr>
            </w:pPr>
            <w:r>
              <w:rPr>
                <w:sz w:val="18"/>
                <w:szCs w:val="18"/>
              </w:rPr>
              <w:t>0,26</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21</w:t>
            </w:r>
          </w:p>
        </w:tc>
        <w:tc>
          <w:tcPr>
            <w:tcW w:w="2976" w:type="dxa"/>
            <w:vMerge w:val="restart"/>
            <w:shd w:val="clear" w:color="auto" w:fill="auto"/>
          </w:tcPr>
          <w:p>
            <w:pPr>
              <w:pStyle w:val="GesAbsatz"/>
              <w:rPr>
                <w:sz w:val="18"/>
                <w:szCs w:val="18"/>
              </w:rPr>
            </w:pPr>
            <w:r>
              <w:rPr>
                <w:sz w:val="18"/>
                <w:szCs w:val="18"/>
              </w:rPr>
              <w:t>Gehalt an freiem Glyzerin</w:t>
            </w:r>
          </w:p>
        </w:tc>
        <w:tc>
          <w:tcPr>
            <w:tcW w:w="1984" w:type="dxa"/>
            <w:tcBorders>
              <w:bottom w:val="nil"/>
            </w:tcBorders>
            <w:shd w:val="clear" w:color="auto" w:fill="auto"/>
          </w:tcPr>
          <w:p>
            <w:pPr>
              <w:pStyle w:val="GesAbsatz"/>
              <w:rPr>
                <w:sz w:val="18"/>
                <w:szCs w:val="18"/>
              </w:rPr>
            </w:pPr>
            <w:r>
              <w:rPr>
                <w:sz w:val="18"/>
                <w:szCs w:val="18"/>
              </w:rPr>
              <w:t>DIN EN 14105:2003</w:t>
            </w:r>
          </w:p>
        </w:tc>
        <w:tc>
          <w:tcPr>
            <w:tcW w:w="709" w:type="dxa"/>
            <w:tcBorders>
              <w:bottom w:val="nil"/>
            </w:tcBorders>
          </w:tcPr>
          <w:p>
            <w:pPr>
              <w:pStyle w:val="GesAbsatz"/>
              <w:jc w:val="center"/>
              <w:rPr>
                <w:sz w:val="18"/>
                <w:szCs w:val="18"/>
              </w:rPr>
            </w:pPr>
            <w:r>
              <w:rPr>
                <w:sz w:val="18"/>
                <w:szCs w:val="18"/>
              </w:rPr>
              <w:t>a)</w:t>
            </w:r>
          </w:p>
        </w:tc>
        <w:tc>
          <w:tcPr>
            <w:tcW w:w="992" w:type="dxa"/>
            <w:tcBorders>
              <w:bottom w:val="nil"/>
            </w:tcBorders>
            <w:shd w:val="clear" w:color="auto" w:fill="auto"/>
          </w:tcPr>
          <w:p>
            <w:pPr>
              <w:pStyle w:val="GesAbsatz"/>
              <w:jc w:val="center"/>
              <w:rPr>
                <w:sz w:val="18"/>
                <w:szCs w:val="18"/>
              </w:rPr>
            </w:pPr>
            <w:r>
              <w:rPr>
                <w:sz w:val="18"/>
                <w:szCs w:val="18"/>
              </w:rPr>
              <w:t>% (m/m)</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0,032</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DIN EN 14106:2003</w:t>
            </w:r>
          </w:p>
        </w:tc>
        <w:tc>
          <w:tcPr>
            <w:tcW w:w="709" w:type="dxa"/>
            <w:tcBorders>
              <w:top w:val="nil"/>
            </w:tcBorders>
          </w:tcPr>
          <w:p>
            <w:pPr>
              <w:pStyle w:val="GesAbsatz"/>
              <w:jc w:val="center"/>
              <w:rPr>
                <w:sz w:val="18"/>
                <w:szCs w:val="18"/>
              </w:rPr>
            </w:pPr>
            <w:r>
              <w:rPr>
                <w:sz w:val="18"/>
                <w:szCs w:val="18"/>
              </w:rPr>
              <w:t>a)</w:t>
            </w:r>
          </w:p>
        </w:tc>
        <w:tc>
          <w:tcPr>
            <w:tcW w:w="992" w:type="dxa"/>
            <w:tcBorders>
              <w:top w:val="nil"/>
            </w:tcBorders>
            <w:shd w:val="clear" w:color="auto" w:fill="auto"/>
          </w:tcPr>
          <w:p>
            <w:pPr>
              <w:pStyle w:val="GesAbsatz"/>
              <w:jc w:val="center"/>
              <w:rPr>
                <w:sz w:val="18"/>
                <w:szCs w:val="18"/>
              </w:rPr>
            </w:pPr>
            <w:r>
              <w:rPr>
                <w:sz w:val="18"/>
                <w:szCs w:val="18"/>
              </w:rPr>
              <w:t>% (m/m)</w:t>
            </w: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r>
              <w:rPr>
                <w:sz w:val="18"/>
                <w:szCs w:val="18"/>
              </w:rPr>
              <w:t>0,031</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22</w:t>
            </w:r>
          </w:p>
        </w:tc>
        <w:tc>
          <w:tcPr>
            <w:tcW w:w="2976" w:type="dxa"/>
            <w:shd w:val="clear" w:color="auto" w:fill="auto"/>
          </w:tcPr>
          <w:p>
            <w:pPr>
              <w:pStyle w:val="GesAbsatz"/>
              <w:rPr>
                <w:sz w:val="18"/>
                <w:szCs w:val="18"/>
              </w:rPr>
            </w:pPr>
            <w:r>
              <w:rPr>
                <w:sz w:val="18"/>
                <w:szCs w:val="18"/>
              </w:rPr>
              <w:t>Gehalt an Gesamt-Glyzerin</w:t>
            </w:r>
          </w:p>
        </w:tc>
        <w:tc>
          <w:tcPr>
            <w:tcW w:w="1984" w:type="dxa"/>
            <w:tcBorders>
              <w:bottom w:val="single" w:sz="4" w:space="0" w:color="auto"/>
            </w:tcBorders>
            <w:shd w:val="clear" w:color="auto" w:fill="auto"/>
          </w:tcPr>
          <w:p>
            <w:pPr>
              <w:pStyle w:val="GesAbsatz"/>
              <w:rPr>
                <w:sz w:val="18"/>
                <w:szCs w:val="18"/>
              </w:rPr>
            </w:pPr>
            <w:r>
              <w:rPr>
                <w:sz w:val="18"/>
                <w:szCs w:val="18"/>
              </w:rPr>
              <w:t>DIN EN 14105:2003</w:t>
            </w:r>
          </w:p>
        </w:tc>
        <w:tc>
          <w:tcPr>
            <w:tcW w:w="709" w:type="dxa"/>
            <w:tcBorders>
              <w:bottom w:val="single" w:sz="4" w:space="0" w:color="auto"/>
            </w:tcBorders>
          </w:tcPr>
          <w:p>
            <w:pPr>
              <w:pStyle w:val="GesAbsatz"/>
              <w:jc w:val="center"/>
              <w:rPr>
                <w:sz w:val="18"/>
                <w:szCs w:val="18"/>
              </w:rPr>
            </w:pPr>
          </w:p>
        </w:tc>
        <w:tc>
          <w:tcPr>
            <w:tcW w:w="992" w:type="dxa"/>
            <w:tcBorders>
              <w:bottom w:val="single" w:sz="4" w:space="0" w:color="auto"/>
            </w:tcBorders>
            <w:shd w:val="clear" w:color="auto" w:fill="auto"/>
          </w:tcPr>
          <w:p>
            <w:pPr>
              <w:pStyle w:val="GesAbsatz"/>
              <w:jc w:val="center"/>
              <w:rPr>
                <w:sz w:val="18"/>
                <w:szCs w:val="18"/>
              </w:rPr>
            </w:pPr>
            <w:r>
              <w:rPr>
                <w:sz w:val="18"/>
                <w:szCs w:val="18"/>
              </w:rPr>
              <w:t>% (m/m)</w:t>
            </w:r>
          </w:p>
        </w:tc>
        <w:tc>
          <w:tcPr>
            <w:tcW w:w="850" w:type="dxa"/>
            <w:tcBorders>
              <w:bottom w:val="single" w:sz="4" w:space="0" w:color="auto"/>
            </w:tcBorders>
            <w:shd w:val="clear" w:color="auto" w:fill="auto"/>
          </w:tcPr>
          <w:p>
            <w:pPr>
              <w:pStyle w:val="GesAbsatz"/>
              <w:jc w:val="center"/>
              <w:rPr>
                <w:sz w:val="18"/>
                <w:szCs w:val="18"/>
              </w:rPr>
            </w:pPr>
          </w:p>
        </w:tc>
        <w:tc>
          <w:tcPr>
            <w:tcW w:w="851" w:type="dxa"/>
            <w:tcBorders>
              <w:bottom w:val="single" w:sz="4" w:space="0" w:color="auto"/>
            </w:tcBorders>
            <w:shd w:val="clear" w:color="auto" w:fill="auto"/>
          </w:tcPr>
          <w:p>
            <w:pPr>
              <w:pStyle w:val="GesAbsatz"/>
              <w:jc w:val="center"/>
              <w:rPr>
                <w:sz w:val="18"/>
                <w:szCs w:val="18"/>
              </w:rPr>
            </w:pPr>
            <w:r>
              <w:rPr>
                <w:sz w:val="18"/>
                <w:szCs w:val="18"/>
              </w:rPr>
              <w:t>0,31</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23</w:t>
            </w:r>
          </w:p>
        </w:tc>
        <w:tc>
          <w:tcPr>
            <w:tcW w:w="2976" w:type="dxa"/>
            <w:vMerge w:val="restart"/>
            <w:shd w:val="clear" w:color="auto" w:fill="auto"/>
          </w:tcPr>
          <w:p>
            <w:pPr>
              <w:pStyle w:val="GesAbsatz"/>
              <w:rPr>
                <w:sz w:val="18"/>
                <w:szCs w:val="18"/>
              </w:rPr>
            </w:pPr>
            <w:r>
              <w:rPr>
                <w:sz w:val="18"/>
                <w:szCs w:val="18"/>
              </w:rPr>
              <w:t>Gehalt an Alkali-Metallen (Na + K)</w:t>
            </w:r>
          </w:p>
        </w:tc>
        <w:tc>
          <w:tcPr>
            <w:tcW w:w="1984" w:type="dxa"/>
            <w:tcBorders>
              <w:bottom w:val="nil"/>
            </w:tcBorders>
            <w:shd w:val="clear" w:color="auto" w:fill="auto"/>
          </w:tcPr>
          <w:p>
            <w:pPr>
              <w:pStyle w:val="GesAbsatz"/>
              <w:rPr>
                <w:sz w:val="18"/>
                <w:szCs w:val="18"/>
              </w:rPr>
            </w:pPr>
            <w:r>
              <w:rPr>
                <w:sz w:val="18"/>
                <w:szCs w:val="18"/>
              </w:rPr>
              <w:t>DIN EN 14108:2003 (Na)</w:t>
            </w:r>
          </w:p>
        </w:tc>
        <w:tc>
          <w:tcPr>
            <w:tcW w:w="709" w:type="dxa"/>
            <w:vMerge w:val="restart"/>
            <w:tcBorders>
              <w:bottom w:val="nil"/>
            </w:tcBorders>
          </w:tcPr>
          <w:p>
            <w:pPr>
              <w:pStyle w:val="GesAbsatz"/>
              <w:jc w:val="center"/>
              <w:rPr>
                <w:sz w:val="18"/>
                <w:szCs w:val="18"/>
              </w:rPr>
            </w:pPr>
            <w:r>
              <w:rPr>
                <w:sz w:val="18"/>
                <w:szCs w:val="18"/>
              </w:rPr>
              <w:t>a), g)</w:t>
            </w:r>
          </w:p>
        </w:tc>
        <w:tc>
          <w:tcPr>
            <w:tcW w:w="992" w:type="dxa"/>
            <w:vMerge w:val="restart"/>
            <w:tcBorders>
              <w:bottom w:val="nil"/>
            </w:tcBorders>
            <w:shd w:val="clear" w:color="auto" w:fill="auto"/>
          </w:tcPr>
          <w:p>
            <w:pPr>
              <w:pStyle w:val="GesAbsatz"/>
              <w:jc w:val="center"/>
              <w:rPr>
                <w:sz w:val="18"/>
                <w:szCs w:val="18"/>
              </w:rPr>
            </w:pPr>
            <w:r>
              <w:rPr>
                <w:sz w:val="18"/>
                <w:szCs w:val="18"/>
              </w:rPr>
              <w:t>mg/kg</w:t>
            </w:r>
          </w:p>
        </w:tc>
        <w:tc>
          <w:tcPr>
            <w:tcW w:w="850" w:type="dxa"/>
            <w:vMerge w:val="restart"/>
            <w:tcBorders>
              <w:bottom w:val="nil"/>
            </w:tcBorders>
            <w:shd w:val="clear" w:color="auto" w:fill="auto"/>
          </w:tcPr>
          <w:p>
            <w:pPr>
              <w:pStyle w:val="GesAbsatz"/>
              <w:jc w:val="center"/>
              <w:rPr>
                <w:sz w:val="18"/>
                <w:szCs w:val="18"/>
              </w:rPr>
            </w:pPr>
          </w:p>
        </w:tc>
        <w:tc>
          <w:tcPr>
            <w:tcW w:w="851" w:type="dxa"/>
            <w:vMerge w:val="restart"/>
            <w:tcBorders>
              <w:bottom w:val="nil"/>
            </w:tcBorders>
            <w:shd w:val="clear" w:color="auto" w:fill="auto"/>
          </w:tcPr>
          <w:p>
            <w:pPr>
              <w:pStyle w:val="GesAbsatz"/>
              <w:jc w:val="center"/>
              <w:rPr>
                <w:sz w:val="18"/>
                <w:szCs w:val="18"/>
              </w:rPr>
            </w:pPr>
            <w:r>
              <w:rPr>
                <w:sz w:val="18"/>
                <w:szCs w:val="18"/>
              </w:rPr>
              <w:t>7,1</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bottom w:val="nil"/>
            </w:tcBorders>
            <w:shd w:val="clear" w:color="auto" w:fill="auto"/>
          </w:tcPr>
          <w:p>
            <w:pPr>
              <w:pStyle w:val="GesAbsatz"/>
              <w:rPr>
                <w:sz w:val="18"/>
                <w:szCs w:val="18"/>
              </w:rPr>
            </w:pPr>
            <w:r>
              <w:rPr>
                <w:sz w:val="18"/>
                <w:szCs w:val="18"/>
              </w:rPr>
              <w:t>DIN EN 14109:2003 (K)</w:t>
            </w:r>
          </w:p>
        </w:tc>
        <w:tc>
          <w:tcPr>
            <w:tcW w:w="709" w:type="dxa"/>
            <w:vMerge/>
            <w:tcBorders>
              <w:top w:val="nil"/>
              <w:bottom w:val="nil"/>
            </w:tcBorders>
          </w:tcPr>
          <w:p>
            <w:pPr>
              <w:pStyle w:val="GesAbsatz"/>
              <w:jc w:val="center"/>
              <w:rPr>
                <w:sz w:val="18"/>
                <w:szCs w:val="18"/>
              </w:rPr>
            </w:pPr>
          </w:p>
        </w:tc>
        <w:tc>
          <w:tcPr>
            <w:tcW w:w="992" w:type="dxa"/>
            <w:vMerge/>
            <w:tcBorders>
              <w:top w:val="nil"/>
              <w:bottom w:val="nil"/>
            </w:tcBorders>
            <w:shd w:val="clear" w:color="auto" w:fill="auto"/>
          </w:tcPr>
          <w:p>
            <w:pPr>
              <w:pStyle w:val="GesAbsatz"/>
              <w:jc w:val="center"/>
              <w:rPr>
                <w:sz w:val="18"/>
                <w:szCs w:val="18"/>
              </w:rPr>
            </w:pPr>
          </w:p>
        </w:tc>
        <w:tc>
          <w:tcPr>
            <w:tcW w:w="850" w:type="dxa"/>
            <w:vMerge/>
            <w:tcBorders>
              <w:top w:val="nil"/>
              <w:bottom w:val="nil"/>
            </w:tcBorders>
            <w:shd w:val="clear" w:color="auto" w:fill="auto"/>
          </w:tcPr>
          <w:p>
            <w:pPr>
              <w:pStyle w:val="GesAbsatz"/>
              <w:jc w:val="center"/>
              <w:rPr>
                <w:sz w:val="18"/>
                <w:szCs w:val="18"/>
              </w:rPr>
            </w:pPr>
          </w:p>
        </w:tc>
        <w:tc>
          <w:tcPr>
            <w:tcW w:w="851" w:type="dxa"/>
            <w:vMerge/>
            <w:tcBorders>
              <w:top w:val="nil"/>
              <w:bottom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DIN EN 14538:2006</w:t>
            </w:r>
          </w:p>
        </w:tc>
        <w:tc>
          <w:tcPr>
            <w:tcW w:w="709" w:type="dxa"/>
            <w:vMerge/>
            <w:tcBorders>
              <w:top w:val="nil"/>
            </w:tcBorders>
          </w:tcPr>
          <w:p>
            <w:pPr>
              <w:pStyle w:val="GesAbsatz"/>
              <w:jc w:val="center"/>
              <w:rPr>
                <w:sz w:val="18"/>
                <w:szCs w:val="18"/>
              </w:rPr>
            </w:pPr>
          </w:p>
        </w:tc>
        <w:tc>
          <w:tcPr>
            <w:tcW w:w="992" w:type="dxa"/>
            <w:vMerge/>
            <w:tcBorders>
              <w:top w:val="nil"/>
            </w:tcBorders>
            <w:shd w:val="clear" w:color="auto" w:fill="auto"/>
          </w:tcPr>
          <w:p>
            <w:pPr>
              <w:pStyle w:val="GesAbsatz"/>
              <w:jc w:val="center"/>
              <w:rPr>
                <w:sz w:val="18"/>
                <w:szCs w:val="18"/>
              </w:rPr>
            </w:pP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r>
              <w:rPr>
                <w:sz w:val="18"/>
                <w:szCs w:val="18"/>
              </w:rPr>
              <w:t>6,1</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24</w:t>
            </w:r>
          </w:p>
        </w:tc>
        <w:tc>
          <w:tcPr>
            <w:tcW w:w="2976" w:type="dxa"/>
            <w:shd w:val="clear" w:color="auto" w:fill="auto"/>
          </w:tcPr>
          <w:p>
            <w:pPr>
              <w:pStyle w:val="GesAbsatz"/>
              <w:rPr>
                <w:sz w:val="18"/>
                <w:szCs w:val="18"/>
              </w:rPr>
            </w:pPr>
            <w:r>
              <w:rPr>
                <w:sz w:val="18"/>
                <w:szCs w:val="18"/>
              </w:rPr>
              <w:t>Gehalt an Erdalkali-Metallen (Ca + Mg)</w:t>
            </w:r>
          </w:p>
        </w:tc>
        <w:tc>
          <w:tcPr>
            <w:tcW w:w="1984" w:type="dxa"/>
            <w:shd w:val="clear" w:color="auto" w:fill="auto"/>
          </w:tcPr>
          <w:p>
            <w:pPr>
              <w:pStyle w:val="GesAbsatz"/>
              <w:rPr>
                <w:sz w:val="18"/>
                <w:szCs w:val="18"/>
              </w:rPr>
            </w:pPr>
            <w:r>
              <w:rPr>
                <w:sz w:val="18"/>
                <w:szCs w:val="18"/>
              </w:rPr>
              <w:t>DIN EN 14538:2006</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mg/kg</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6,1</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25</w:t>
            </w:r>
          </w:p>
        </w:tc>
        <w:tc>
          <w:tcPr>
            <w:tcW w:w="2976" w:type="dxa"/>
            <w:tcBorders>
              <w:bottom w:val="single" w:sz="4" w:space="0" w:color="auto"/>
            </w:tcBorders>
            <w:shd w:val="clear" w:color="auto" w:fill="auto"/>
          </w:tcPr>
          <w:p>
            <w:pPr>
              <w:pStyle w:val="GesAbsatz"/>
              <w:rPr>
                <w:sz w:val="18"/>
                <w:szCs w:val="18"/>
              </w:rPr>
            </w:pPr>
            <w:r>
              <w:rPr>
                <w:sz w:val="18"/>
                <w:szCs w:val="18"/>
              </w:rPr>
              <w:t>Phosphor-Gehalt</w:t>
            </w:r>
          </w:p>
        </w:tc>
        <w:tc>
          <w:tcPr>
            <w:tcW w:w="1984" w:type="dxa"/>
            <w:tcBorders>
              <w:bottom w:val="single" w:sz="4" w:space="0" w:color="auto"/>
            </w:tcBorders>
            <w:shd w:val="clear" w:color="auto" w:fill="auto"/>
          </w:tcPr>
          <w:p>
            <w:pPr>
              <w:pStyle w:val="GesAbsatz"/>
              <w:rPr>
                <w:sz w:val="18"/>
                <w:szCs w:val="18"/>
              </w:rPr>
            </w:pPr>
            <w:r>
              <w:rPr>
                <w:sz w:val="18"/>
                <w:szCs w:val="18"/>
              </w:rPr>
              <w:t>DIN EN 14107:2003</w:t>
            </w:r>
          </w:p>
        </w:tc>
        <w:tc>
          <w:tcPr>
            <w:tcW w:w="709" w:type="dxa"/>
            <w:tcBorders>
              <w:bottom w:val="single" w:sz="4" w:space="0" w:color="auto"/>
            </w:tcBorders>
          </w:tcPr>
          <w:p>
            <w:pPr>
              <w:pStyle w:val="GesAbsatz"/>
              <w:jc w:val="center"/>
              <w:rPr>
                <w:sz w:val="18"/>
                <w:szCs w:val="18"/>
              </w:rPr>
            </w:pPr>
          </w:p>
        </w:tc>
        <w:tc>
          <w:tcPr>
            <w:tcW w:w="992" w:type="dxa"/>
            <w:tcBorders>
              <w:bottom w:val="single" w:sz="4" w:space="0" w:color="auto"/>
            </w:tcBorders>
            <w:shd w:val="clear" w:color="auto" w:fill="auto"/>
          </w:tcPr>
          <w:p>
            <w:pPr>
              <w:pStyle w:val="GesAbsatz"/>
              <w:jc w:val="center"/>
              <w:rPr>
                <w:sz w:val="18"/>
                <w:szCs w:val="18"/>
              </w:rPr>
            </w:pPr>
            <w:r>
              <w:rPr>
                <w:sz w:val="18"/>
                <w:szCs w:val="18"/>
              </w:rPr>
              <w:t>mg/kg</w:t>
            </w:r>
          </w:p>
        </w:tc>
        <w:tc>
          <w:tcPr>
            <w:tcW w:w="850" w:type="dxa"/>
            <w:tcBorders>
              <w:bottom w:val="single" w:sz="4" w:space="0" w:color="auto"/>
            </w:tcBorders>
            <w:shd w:val="clear" w:color="auto" w:fill="auto"/>
          </w:tcPr>
          <w:p>
            <w:pPr>
              <w:pStyle w:val="GesAbsatz"/>
              <w:jc w:val="center"/>
              <w:rPr>
                <w:sz w:val="18"/>
                <w:szCs w:val="18"/>
              </w:rPr>
            </w:pPr>
          </w:p>
        </w:tc>
        <w:tc>
          <w:tcPr>
            <w:tcW w:w="851" w:type="dxa"/>
            <w:tcBorders>
              <w:bottom w:val="single" w:sz="4" w:space="0" w:color="auto"/>
            </w:tcBorders>
            <w:shd w:val="clear" w:color="auto" w:fill="auto"/>
          </w:tcPr>
          <w:p>
            <w:pPr>
              <w:pStyle w:val="GesAbsatz"/>
              <w:jc w:val="center"/>
              <w:rPr>
                <w:sz w:val="18"/>
                <w:szCs w:val="18"/>
              </w:rPr>
            </w:pPr>
            <w:r>
              <w:rPr>
                <w:sz w:val="18"/>
                <w:szCs w:val="18"/>
              </w:rPr>
              <w:t>4,5</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26</w:t>
            </w:r>
          </w:p>
        </w:tc>
        <w:tc>
          <w:tcPr>
            <w:tcW w:w="2976" w:type="dxa"/>
            <w:tcBorders>
              <w:bottom w:val="nil"/>
            </w:tcBorders>
            <w:shd w:val="clear" w:color="auto" w:fill="auto"/>
          </w:tcPr>
          <w:p>
            <w:pPr>
              <w:pStyle w:val="GesAbsatz"/>
              <w:rPr>
                <w:sz w:val="18"/>
                <w:szCs w:val="18"/>
              </w:rPr>
            </w:pPr>
            <w:r>
              <w:rPr>
                <w:sz w:val="18"/>
                <w:szCs w:val="18"/>
              </w:rPr>
              <w:t>CFPP</w:t>
            </w:r>
          </w:p>
        </w:tc>
        <w:tc>
          <w:tcPr>
            <w:tcW w:w="1984" w:type="dxa"/>
            <w:tcBorders>
              <w:bottom w:val="nil"/>
            </w:tcBorders>
            <w:shd w:val="clear" w:color="auto" w:fill="auto"/>
          </w:tcPr>
          <w:p>
            <w:pPr>
              <w:pStyle w:val="GesAbsatz"/>
              <w:rPr>
                <w:sz w:val="18"/>
                <w:szCs w:val="18"/>
              </w:rPr>
            </w:pPr>
            <w:r>
              <w:rPr>
                <w:sz w:val="18"/>
                <w:szCs w:val="18"/>
              </w:rPr>
              <w:t>DIN EN 116:1998</w:t>
            </w:r>
          </w:p>
        </w:tc>
        <w:tc>
          <w:tcPr>
            <w:tcW w:w="709" w:type="dxa"/>
            <w:vMerge w:val="restart"/>
            <w:tcBorders>
              <w:bottom w:val="nil"/>
            </w:tcBorders>
          </w:tcPr>
          <w:p>
            <w:pPr>
              <w:pStyle w:val="GesAbsatz"/>
              <w:jc w:val="center"/>
              <w:rPr>
                <w:sz w:val="18"/>
                <w:szCs w:val="18"/>
              </w:rPr>
            </w:pPr>
          </w:p>
        </w:tc>
        <w:tc>
          <w:tcPr>
            <w:tcW w:w="992" w:type="dxa"/>
            <w:tcBorders>
              <w:bottom w:val="nil"/>
            </w:tcBorders>
            <w:shd w:val="clear" w:color="auto" w:fill="auto"/>
          </w:tcPr>
          <w:p>
            <w:pPr>
              <w:pStyle w:val="GesAbsatz"/>
              <w:jc w:val="center"/>
              <w:rPr>
                <w:sz w:val="18"/>
                <w:szCs w:val="18"/>
              </w:rPr>
            </w:pP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tcBorders>
              <w:top w:val="nil"/>
              <w:bottom w:val="nil"/>
            </w:tcBorders>
            <w:shd w:val="clear" w:color="auto" w:fill="auto"/>
          </w:tcPr>
          <w:p>
            <w:pPr>
              <w:pStyle w:val="GesAbsatz"/>
              <w:rPr>
                <w:sz w:val="18"/>
                <w:szCs w:val="18"/>
              </w:rPr>
            </w:pPr>
            <w:r>
              <w:rPr>
                <w:sz w:val="18"/>
                <w:szCs w:val="18"/>
              </w:rPr>
              <w:t>vom 15.4. bis 30.9.</w:t>
            </w:r>
          </w:p>
        </w:tc>
        <w:tc>
          <w:tcPr>
            <w:tcW w:w="1984" w:type="dxa"/>
            <w:tcBorders>
              <w:top w:val="nil"/>
              <w:bottom w:val="nil"/>
            </w:tcBorders>
            <w:shd w:val="clear" w:color="auto" w:fill="auto"/>
          </w:tcPr>
          <w:p>
            <w:pPr>
              <w:pStyle w:val="GesAbsatz"/>
              <w:rPr>
                <w:sz w:val="18"/>
                <w:szCs w:val="18"/>
              </w:rPr>
            </w:pPr>
            <w:r>
              <w:rPr>
                <w:sz w:val="18"/>
                <w:szCs w:val="18"/>
              </w:rPr>
              <w:t>.. Klasse B</w:t>
            </w:r>
          </w:p>
        </w:tc>
        <w:tc>
          <w:tcPr>
            <w:tcW w:w="709" w:type="dxa"/>
            <w:vMerge/>
            <w:tcBorders>
              <w:top w:val="nil"/>
              <w:bottom w:val="nil"/>
            </w:tcBorders>
          </w:tcPr>
          <w:p>
            <w:pPr>
              <w:pStyle w:val="GesAbsatz"/>
              <w:jc w:val="center"/>
              <w:rPr>
                <w:sz w:val="18"/>
                <w:szCs w:val="18"/>
              </w:rPr>
            </w:pPr>
          </w:p>
        </w:tc>
        <w:tc>
          <w:tcPr>
            <w:tcW w:w="992" w:type="dxa"/>
            <w:tcBorders>
              <w:top w:val="nil"/>
              <w:bottom w:val="nil"/>
            </w:tcBorders>
            <w:shd w:val="clear" w:color="auto" w:fill="auto"/>
          </w:tcPr>
          <w:p>
            <w:pPr>
              <w:pStyle w:val="GesAbsatz"/>
              <w:jc w:val="center"/>
              <w:rPr>
                <w:sz w:val="18"/>
                <w:szCs w:val="18"/>
              </w:rPr>
            </w:pPr>
            <w:r>
              <w:rPr>
                <w:sz w:val="18"/>
                <w:szCs w:val="18"/>
              </w:rPr>
              <w:t>°C</w:t>
            </w:r>
          </w:p>
        </w:tc>
        <w:tc>
          <w:tcPr>
            <w:tcW w:w="850" w:type="dxa"/>
            <w:vMerge/>
            <w:tcBorders>
              <w:top w:val="nil"/>
              <w:bottom w:val="nil"/>
            </w:tcBorders>
            <w:shd w:val="clear" w:color="auto" w:fill="auto"/>
          </w:tcPr>
          <w:p>
            <w:pPr>
              <w:pStyle w:val="GesAbsatz"/>
              <w:jc w:val="center"/>
              <w:rPr>
                <w:sz w:val="18"/>
                <w:szCs w:val="18"/>
              </w:rPr>
            </w:pPr>
          </w:p>
        </w:tc>
        <w:tc>
          <w:tcPr>
            <w:tcW w:w="851" w:type="dxa"/>
            <w:tcBorders>
              <w:top w:val="nil"/>
              <w:bottom w:val="nil"/>
            </w:tcBorders>
            <w:shd w:val="clear" w:color="auto" w:fill="auto"/>
          </w:tcPr>
          <w:p>
            <w:pPr>
              <w:pStyle w:val="GesAbsatz"/>
              <w:jc w:val="center"/>
              <w:rPr>
                <w:sz w:val="18"/>
                <w:szCs w:val="18"/>
              </w:rPr>
            </w:pPr>
            <w:r>
              <w:rPr>
                <w:sz w:val="18"/>
                <w:szCs w:val="18"/>
              </w:rPr>
              <w:t>1,5</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tcBorders>
              <w:top w:val="nil"/>
              <w:bottom w:val="nil"/>
            </w:tcBorders>
            <w:shd w:val="clear" w:color="auto" w:fill="auto"/>
          </w:tcPr>
          <w:p>
            <w:pPr>
              <w:pStyle w:val="GesAbsatz"/>
              <w:rPr>
                <w:sz w:val="18"/>
                <w:szCs w:val="18"/>
              </w:rPr>
            </w:pPr>
            <w:r>
              <w:rPr>
                <w:sz w:val="18"/>
                <w:szCs w:val="18"/>
              </w:rPr>
              <w:t>vom 1.10. bis 15.11.</w:t>
            </w:r>
          </w:p>
        </w:tc>
        <w:tc>
          <w:tcPr>
            <w:tcW w:w="1984" w:type="dxa"/>
            <w:tcBorders>
              <w:top w:val="nil"/>
              <w:bottom w:val="nil"/>
            </w:tcBorders>
            <w:shd w:val="clear" w:color="auto" w:fill="auto"/>
          </w:tcPr>
          <w:p>
            <w:pPr>
              <w:pStyle w:val="GesAbsatz"/>
              <w:rPr>
                <w:sz w:val="18"/>
                <w:szCs w:val="18"/>
              </w:rPr>
            </w:pPr>
            <w:r>
              <w:rPr>
                <w:sz w:val="18"/>
                <w:szCs w:val="18"/>
              </w:rPr>
              <w:t>.. Klasse D</w:t>
            </w:r>
          </w:p>
        </w:tc>
        <w:tc>
          <w:tcPr>
            <w:tcW w:w="709" w:type="dxa"/>
            <w:vMerge/>
            <w:tcBorders>
              <w:top w:val="nil"/>
              <w:bottom w:val="nil"/>
            </w:tcBorders>
          </w:tcPr>
          <w:p>
            <w:pPr>
              <w:pStyle w:val="GesAbsatz"/>
              <w:jc w:val="center"/>
              <w:rPr>
                <w:sz w:val="18"/>
                <w:szCs w:val="18"/>
              </w:rPr>
            </w:pPr>
          </w:p>
        </w:tc>
        <w:tc>
          <w:tcPr>
            <w:tcW w:w="992" w:type="dxa"/>
            <w:tcBorders>
              <w:top w:val="nil"/>
              <w:bottom w:val="nil"/>
            </w:tcBorders>
            <w:shd w:val="clear" w:color="auto" w:fill="auto"/>
          </w:tcPr>
          <w:p>
            <w:pPr>
              <w:pStyle w:val="GesAbsatz"/>
              <w:jc w:val="center"/>
              <w:rPr>
                <w:sz w:val="18"/>
                <w:szCs w:val="18"/>
              </w:rPr>
            </w:pPr>
            <w:r>
              <w:rPr>
                <w:sz w:val="18"/>
                <w:szCs w:val="18"/>
              </w:rPr>
              <w:t>°C</w:t>
            </w:r>
          </w:p>
        </w:tc>
        <w:tc>
          <w:tcPr>
            <w:tcW w:w="850" w:type="dxa"/>
            <w:vMerge/>
            <w:tcBorders>
              <w:top w:val="nil"/>
              <w:bottom w:val="nil"/>
            </w:tcBorders>
            <w:shd w:val="clear" w:color="auto" w:fill="auto"/>
          </w:tcPr>
          <w:p>
            <w:pPr>
              <w:pStyle w:val="GesAbsatz"/>
              <w:jc w:val="center"/>
              <w:rPr>
                <w:sz w:val="18"/>
                <w:szCs w:val="18"/>
              </w:rPr>
            </w:pPr>
          </w:p>
        </w:tc>
        <w:tc>
          <w:tcPr>
            <w:tcW w:w="851" w:type="dxa"/>
            <w:tcBorders>
              <w:top w:val="nil"/>
              <w:bottom w:val="nil"/>
            </w:tcBorders>
            <w:shd w:val="clear" w:color="auto" w:fill="auto"/>
          </w:tcPr>
          <w:p>
            <w:pPr>
              <w:pStyle w:val="GesAbsatz"/>
              <w:jc w:val="center"/>
              <w:rPr>
                <w:sz w:val="18"/>
                <w:szCs w:val="18"/>
              </w:rPr>
            </w:pPr>
            <w:r>
              <w:rPr>
                <w:sz w:val="18"/>
                <w:szCs w:val="18"/>
              </w:rPr>
              <w:t>–7,9</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tcBorders>
              <w:top w:val="nil"/>
              <w:bottom w:val="nil"/>
            </w:tcBorders>
            <w:shd w:val="clear" w:color="auto" w:fill="auto"/>
          </w:tcPr>
          <w:p>
            <w:pPr>
              <w:pStyle w:val="GesAbsatz"/>
              <w:rPr>
                <w:sz w:val="18"/>
                <w:szCs w:val="18"/>
              </w:rPr>
            </w:pPr>
            <w:r>
              <w:rPr>
                <w:sz w:val="18"/>
                <w:szCs w:val="18"/>
              </w:rPr>
              <w:t>vom 16.11. bis 28./29.2.</w:t>
            </w:r>
          </w:p>
        </w:tc>
        <w:tc>
          <w:tcPr>
            <w:tcW w:w="1984" w:type="dxa"/>
            <w:tcBorders>
              <w:top w:val="nil"/>
              <w:bottom w:val="nil"/>
            </w:tcBorders>
            <w:shd w:val="clear" w:color="auto" w:fill="auto"/>
          </w:tcPr>
          <w:p>
            <w:pPr>
              <w:pStyle w:val="GesAbsatz"/>
              <w:rPr>
                <w:sz w:val="18"/>
                <w:szCs w:val="18"/>
              </w:rPr>
            </w:pPr>
            <w:r>
              <w:rPr>
                <w:sz w:val="18"/>
                <w:szCs w:val="18"/>
              </w:rPr>
              <w:t>.. Klasse F</w:t>
            </w:r>
          </w:p>
        </w:tc>
        <w:tc>
          <w:tcPr>
            <w:tcW w:w="709" w:type="dxa"/>
            <w:vMerge/>
            <w:tcBorders>
              <w:top w:val="nil"/>
              <w:bottom w:val="nil"/>
            </w:tcBorders>
          </w:tcPr>
          <w:p>
            <w:pPr>
              <w:pStyle w:val="GesAbsatz"/>
              <w:jc w:val="center"/>
              <w:rPr>
                <w:sz w:val="18"/>
                <w:szCs w:val="18"/>
              </w:rPr>
            </w:pPr>
          </w:p>
        </w:tc>
        <w:tc>
          <w:tcPr>
            <w:tcW w:w="992" w:type="dxa"/>
            <w:tcBorders>
              <w:top w:val="nil"/>
              <w:bottom w:val="nil"/>
            </w:tcBorders>
            <w:shd w:val="clear" w:color="auto" w:fill="auto"/>
          </w:tcPr>
          <w:p>
            <w:pPr>
              <w:pStyle w:val="GesAbsatz"/>
              <w:jc w:val="center"/>
              <w:rPr>
                <w:sz w:val="18"/>
                <w:szCs w:val="18"/>
              </w:rPr>
            </w:pPr>
            <w:r>
              <w:rPr>
                <w:sz w:val="18"/>
                <w:szCs w:val="18"/>
              </w:rPr>
              <w:t>°C</w:t>
            </w:r>
          </w:p>
        </w:tc>
        <w:tc>
          <w:tcPr>
            <w:tcW w:w="850" w:type="dxa"/>
            <w:vMerge/>
            <w:tcBorders>
              <w:top w:val="nil"/>
              <w:bottom w:val="nil"/>
            </w:tcBorders>
            <w:shd w:val="clear" w:color="auto" w:fill="auto"/>
          </w:tcPr>
          <w:p>
            <w:pPr>
              <w:pStyle w:val="GesAbsatz"/>
              <w:jc w:val="center"/>
              <w:rPr>
                <w:sz w:val="18"/>
                <w:szCs w:val="18"/>
              </w:rPr>
            </w:pPr>
          </w:p>
        </w:tc>
        <w:tc>
          <w:tcPr>
            <w:tcW w:w="851" w:type="dxa"/>
            <w:tcBorders>
              <w:top w:val="nil"/>
              <w:bottom w:val="nil"/>
            </w:tcBorders>
            <w:shd w:val="clear" w:color="auto" w:fill="auto"/>
          </w:tcPr>
          <w:p>
            <w:pPr>
              <w:pStyle w:val="GesAbsatz"/>
              <w:jc w:val="center"/>
              <w:rPr>
                <w:sz w:val="18"/>
                <w:szCs w:val="18"/>
              </w:rPr>
            </w:pPr>
            <w:r>
              <w:rPr>
                <w:sz w:val="18"/>
                <w:szCs w:val="18"/>
              </w:rPr>
              <w:t>–17,3</w:t>
            </w:r>
          </w:p>
        </w:tc>
        <w:tc>
          <w:tcPr>
            <w:tcW w:w="911" w:type="dxa"/>
            <w:vMerge/>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tcBorders>
              <w:top w:val="nil"/>
              <w:bottom w:val="single" w:sz="4" w:space="0" w:color="auto"/>
            </w:tcBorders>
            <w:shd w:val="clear" w:color="auto" w:fill="auto"/>
          </w:tcPr>
          <w:p>
            <w:pPr>
              <w:pStyle w:val="GesAbsatz"/>
              <w:rPr>
                <w:sz w:val="18"/>
                <w:szCs w:val="18"/>
              </w:rPr>
            </w:pPr>
            <w:r>
              <w:rPr>
                <w:sz w:val="18"/>
                <w:szCs w:val="18"/>
              </w:rPr>
              <w:t>vom 1.3. bis 14.4.</w:t>
            </w:r>
          </w:p>
        </w:tc>
        <w:tc>
          <w:tcPr>
            <w:tcW w:w="1984" w:type="dxa"/>
            <w:tcBorders>
              <w:top w:val="nil"/>
              <w:bottom w:val="single" w:sz="4" w:space="0" w:color="auto"/>
            </w:tcBorders>
            <w:shd w:val="clear" w:color="auto" w:fill="auto"/>
          </w:tcPr>
          <w:p>
            <w:pPr>
              <w:pStyle w:val="GesAbsatz"/>
              <w:rPr>
                <w:sz w:val="18"/>
                <w:szCs w:val="18"/>
              </w:rPr>
            </w:pPr>
            <w:r>
              <w:rPr>
                <w:sz w:val="18"/>
                <w:szCs w:val="18"/>
              </w:rPr>
              <w:t>.. Klasse D</w:t>
            </w:r>
          </w:p>
        </w:tc>
        <w:tc>
          <w:tcPr>
            <w:tcW w:w="709" w:type="dxa"/>
            <w:vMerge/>
            <w:tcBorders>
              <w:top w:val="nil"/>
              <w:bottom w:val="single" w:sz="4" w:space="0" w:color="auto"/>
            </w:tcBorders>
          </w:tcPr>
          <w:p>
            <w:pPr>
              <w:pStyle w:val="GesAbsatz"/>
              <w:jc w:val="center"/>
              <w:rPr>
                <w:sz w:val="18"/>
                <w:szCs w:val="18"/>
              </w:rPr>
            </w:pP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°C</w:t>
            </w:r>
          </w:p>
        </w:tc>
        <w:tc>
          <w:tcPr>
            <w:tcW w:w="850" w:type="dxa"/>
            <w:vMerge/>
            <w:tcBorders>
              <w:top w:val="nil"/>
              <w:bottom w:val="single" w:sz="4" w:space="0" w:color="auto"/>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r>
              <w:rPr>
                <w:sz w:val="18"/>
                <w:szCs w:val="18"/>
              </w:rPr>
              <w:t>–7,9</w:t>
            </w: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ind w:left="426" w:hanging="426"/>
      </w:pPr>
      <w:r>
        <w:t>a)</w:t>
      </w:r>
      <w:r>
        <w:tab/>
        <w:t>Siehe Absatz 5.6 von DIN EN 14214:2010. Die derzeitig verfügbaren Prüfverfahren für die Gesamtve</w:t>
      </w:r>
      <w:r>
        <w:t>r</w:t>
      </w:r>
      <w:r>
        <w:t>schmutzung, Ester-Gehalt, Triglycerid-Gehalt, freies Glycerin und Alkali-Metalle (Na + K) erfüllen hi</w:t>
      </w:r>
      <w:r>
        <w:t>n</w:t>
      </w:r>
      <w:r>
        <w:t>sichtlich ihrer Präzis</w:t>
      </w:r>
      <w:r>
        <w:t>i</w:t>
      </w:r>
      <w:r>
        <w:t>on jedoch bei den in Tabelle 1 aufgeführten Grenzwerten nicht die „2R“-Anforderung aus DIN EN ISO 4159:1995 für die Festlegung von Grenzwerten.</w:t>
      </w:r>
    </w:p>
    <w:p>
      <w:pPr>
        <w:pStyle w:val="GesAbsatz"/>
      </w:pPr>
      <w:r>
        <w:t>b)</w:t>
      </w:r>
      <w:r>
        <w:tab/>
        <w:t>Im Streitfall ist DIN EN ISO 3675:1999 anzuwenden, wobei die Prüftemperatur 15 °C betragen muss.</w:t>
      </w:r>
    </w:p>
    <w:p>
      <w:pPr>
        <w:pStyle w:val="GesAbsatz"/>
        <w:ind w:left="426" w:hanging="426"/>
      </w:pPr>
      <w:r>
        <w:t>c)</w:t>
      </w:r>
      <w:r>
        <w:tab/>
        <w:t>Die Dichte kann nach EN ISO 3675 über einen Temperaturbereich von 20 °C bis 40 °C gemessen we</w:t>
      </w:r>
      <w:r>
        <w:t>r</w:t>
      </w:r>
      <w:r>
        <w:t>den. Die Korrektur auf die Solltemperatur ist nach den Angaben in Anhang C von DIN EN 14214:2010 durc</w:t>
      </w:r>
      <w:r>
        <w:t>h</w:t>
      </w:r>
      <w:r>
        <w:t>zuführen.</w:t>
      </w:r>
    </w:p>
    <w:p>
      <w:pPr>
        <w:pStyle w:val="GesAbsatz"/>
        <w:ind w:left="426" w:hanging="426"/>
      </w:pPr>
      <w:r>
        <w:t>d)</w:t>
      </w:r>
      <w:r>
        <w:tab/>
        <w:t>Für die Untersuchung mit DIN EN ISO 3679 sind 2 ml Probe in einem Gerät mit thermischem Detektor zu verwenden.</w:t>
      </w:r>
    </w:p>
    <w:p>
      <w:pPr>
        <w:pStyle w:val="GesAbsatz"/>
      </w:pPr>
      <w:r>
        <w:t>e)</w:t>
      </w:r>
      <w:r>
        <w:tab/>
        <w:t>Zur Herstellung des 10 %-Rückstandes ist ASTM D 1160 zu benutzen.</w:t>
      </w:r>
    </w:p>
    <w:p>
      <w:pPr>
        <w:pStyle w:val="GesAbsatz"/>
        <w:ind w:left="426" w:hanging="426"/>
      </w:pPr>
      <w:r>
        <w:t>f)</w:t>
      </w:r>
      <w:r>
        <w:tab/>
        <w:t>Siehe auch Anmerkung a). Die Analyse der Gesamtverschmutzung zu FAME wird ausgesetzt, bis ein von den Normungsinstitutionen geeignetes Prüfverfahren der Gesamtverschmutzung für FAME entw</w:t>
      </w:r>
      <w:r>
        <w:t>i</w:t>
      </w:r>
      <w:r>
        <w:t>ckelt worden ist, auf das in der AVV zur 10. BImSchV Bezug genommen wird.</w:t>
      </w:r>
    </w:p>
    <w:p>
      <w:pPr>
        <w:pStyle w:val="GesAbsatz"/>
        <w:ind w:left="426" w:hanging="426"/>
      </w:pPr>
      <w:r>
        <w:t>g)</w:t>
      </w:r>
      <w:r>
        <w:tab/>
        <w:t>Es ist die Summe der Ergebnisse der beiden Prüfverfahren anzugeben. Präzisionsangaben für die Summe (Na + K) befinden sich in Anhang A von DIN EN 14214:2010.</w:t>
      </w:r>
    </w:p>
    <w:p>
      <w:pPr>
        <w:pStyle w:val="berschrift2"/>
        <w:jc w:val="left"/>
      </w:pPr>
      <w:bookmarkStart w:id="18" w:name="_Toc349111754"/>
      <w:r>
        <w:lastRenderedPageBreak/>
        <w:t>Anlage 8</w:t>
      </w:r>
      <w:bookmarkEnd w:id="18"/>
    </w:p>
    <w:p>
      <w:pPr>
        <w:pStyle w:val="GesAbsatz"/>
        <w:jc w:val="center"/>
        <w:rPr>
          <w:b/>
        </w:rPr>
      </w:pPr>
      <w:r>
        <w:rPr>
          <w:b/>
        </w:rPr>
        <w:t>Prüfprotokoll zur Überwachung der Einhaltung von Anforderungswerten bei einmaliger</w:t>
      </w:r>
      <w:r>
        <w:rPr>
          <w:b/>
        </w:rPr>
        <w:br/>
        <w:t>Prüfung von Ethanolkraftstoff E85 nach DIN 51625:2008</w:t>
      </w:r>
    </w:p>
    <w:p>
      <w:pPr>
        <w:pStyle w:val="GesAbsatz"/>
      </w:pPr>
      <w:r>
        <w:t>Überprüfte Firma:</w:t>
      </w:r>
    </w:p>
    <w:p>
      <w:pPr>
        <w:pStyle w:val="GesAbsatz"/>
      </w:pPr>
      <w:r>
        <w:t>Probenbehälternummer: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shd w:val="clear" w:color="auto" w:fill="auto"/>
          </w:tcPr>
          <w:p>
            <w:pPr>
              <w:pStyle w:val="GesAbsatz"/>
              <w:jc w:val="center"/>
              <w:rPr>
                <w:sz w:val="18"/>
                <w:szCs w:val="18"/>
              </w:rPr>
            </w:pPr>
            <w:r>
              <w:rPr>
                <w:sz w:val="18"/>
                <w:szCs w:val="18"/>
              </w:rPr>
              <w:t>min.</w:t>
            </w:r>
          </w:p>
        </w:tc>
        <w:tc>
          <w:tcPr>
            <w:tcW w:w="851"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pPr>
            <w:r>
              <w:rPr>
                <w:sz w:val="18"/>
                <w:szCs w:val="18"/>
              </w:rPr>
              <w:t>1</w:t>
            </w:r>
          </w:p>
        </w:tc>
        <w:tc>
          <w:tcPr>
            <w:tcW w:w="2976" w:type="dxa"/>
            <w:shd w:val="clear" w:color="auto" w:fill="auto"/>
          </w:tcPr>
          <w:p>
            <w:pPr>
              <w:pStyle w:val="GesAbsatz"/>
            </w:pPr>
            <w:r>
              <w:rPr>
                <w:sz w:val="18"/>
                <w:szCs w:val="18"/>
              </w:rPr>
              <w:t>Research-Octanzahl, ROZ</w:t>
            </w:r>
          </w:p>
        </w:tc>
        <w:tc>
          <w:tcPr>
            <w:tcW w:w="1984" w:type="dxa"/>
            <w:shd w:val="clear" w:color="auto" w:fill="auto"/>
          </w:tcPr>
          <w:p>
            <w:pPr>
              <w:pStyle w:val="GesAbsatz"/>
            </w:pPr>
            <w:r>
              <w:rPr>
                <w:sz w:val="18"/>
                <w:szCs w:val="18"/>
              </w:rPr>
              <w:t>DIN EN ISO 5164:2006</w:t>
            </w:r>
          </w:p>
        </w:tc>
        <w:tc>
          <w:tcPr>
            <w:tcW w:w="709" w:type="dxa"/>
          </w:tcPr>
          <w:p>
            <w:pPr>
              <w:pStyle w:val="GesAbsatz"/>
              <w:jc w:val="center"/>
            </w:pPr>
            <w:r>
              <w:rPr>
                <w:sz w:val="18"/>
                <w:szCs w:val="18"/>
              </w:rPr>
              <w:t>a)</w:t>
            </w:r>
          </w:p>
        </w:tc>
        <w:tc>
          <w:tcPr>
            <w:tcW w:w="992" w:type="dxa"/>
            <w:shd w:val="clear" w:color="auto" w:fill="auto"/>
          </w:tcPr>
          <w:p>
            <w:pPr>
              <w:pStyle w:val="GesAbsatz"/>
              <w:jc w:val="center"/>
            </w:pPr>
            <w:r>
              <w:rPr>
                <w:sz w:val="18"/>
                <w:szCs w:val="18"/>
              </w:rPr>
              <w:t>–</w:t>
            </w:r>
          </w:p>
        </w:tc>
        <w:tc>
          <w:tcPr>
            <w:tcW w:w="850" w:type="dxa"/>
            <w:shd w:val="clear" w:color="auto" w:fill="auto"/>
          </w:tcPr>
          <w:p>
            <w:pPr>
              <w:pStyle w:val="GesAbsatz"/>
              <w:jc w:val="center"/>
              <w:rPr>
                <w:sz w:val="18"/>
                <w:szCs w:val="18"/>
              </w:rPr>
            </w:pPr>
            <w:r>
              <w:rPr>
                <w:sz w:val="18"/>
                <w:szCs w:val="18"/>
              </w:rPr>
              <w:t>102,8</w:t>
            </w:r>
          </w:p>
        </w:tc>
        <w:tc>
          <w:tcPr>
            <w:tcW w:w="851"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2</w:t>
            </w:r>
          </w:p>
        </w:tc>
        <w:tc>
          <w:tcPr>
            <w:tcW w:w="2976" w:type="dxa"/>
            <w:shd w:val="clear" w:color="auto" w:fill="auto"/>
          </w:tcPr>
          <w:p>
            <w:pPr>
              <w:pStyle w:val="GesAbsatz"/>
              <w:rPr>
                <w:sz w:val="18"/>
                <w:szCs w:val="18"/>
              </w:rPr>
            </w:pPr>
            <w:r>
              <w:rPr>
                <w:sz w:val="18"/>
                <w:szCs w:val="18"/>
              </w:rPr>
              <w:t>Motor-Octanzahl, MOZ</w:t>
            </w:r>
          </w:p>
        </w:tc>
        <w:tc>
          <w:tcPr>
            <w:tcW w:w="1984" w:type="dxa"/>
            <w:tcBorders>
              <w:bottom w:val="single" w:sz="4" w:space="0" w:color="auto"/>
            </w:tcBorders>
            <w:shd w:val="clear" w:color="auto" w:fill="auto"/>
          </w:tcPr>
          <w:p>
            <w:pPr>
              <w:pStyle w:val="GesAbsatz"/>
              <w:rPr>
                <w:sz w:val="18"/>
                <w:szCs w:val="18"/>
              </w:rPr>
            </w:pPr>
            <w:r>
              <w:rPr>
                <w:sz w:val="18"/>
                <w:szCs w:val="18"/>
              </w:rPr>
              <w:t>DIN EN ISO 5163:2006</w:t>
            </w:r>
          </w:p>
        </w:tc>
        <w:tc>
          <w:tcPr>
            <w:tcW w:w="709" w:type="dxa"/>
            <w:tcBorders>
              <w:bottom w:val="single" w:sz="4" w:space="0" w:color="auto"/>
            </w:tcBorders>
          </w:tcPr>
          <w:p>
            <w:pPr>
              <w:pStyle w:val="GesAbsatz"/>
              <w:jc w:val="center"/>
              <w:rPr>
                <w:sz w:val="18"/>
                <w:szCs w:val="18"/>
              </w:rPr>
            </w:pPr>
            <w:r>
              <w:rPr>
                <w:sz w:val="18"/>
                <w:szCs w:val="18"/>
              </w:rPr>
              <w:t>a)</w:t>
            </w:r>
          </w:p>
        </w:tc>
        <w:tc>
          <w:tcPr>
            <w:tcW w:w="992" w:type="dxa"/>
            <w:tcBorders>
              <w:bottom w:val="single" w:sz="4" w:space="0" w:color="auto"/>
            </w:tcBorders>
            <w:shd w:val="clear" w:color="auto" w:fill="auto"/>
          </w:tcPr>
          <w:p>
            <w:pPr>
              <w:pStyle w:val="GesAbsatz"/>
              <w:jc w:val="center"/>
              <w:rPr>
                <w:sz w:val="18"/>
                <w:szCs w:val="18"/>
              </w:rPr>
            </w:pPr>
            <w:r>
              <w:rPr>
                <w:sz w:val="18"/>
                <w:szCs w:val="18"/>
              </w:rPr>
              <w:t>–</w:t>
            </w:r>
          </w:p>
        </w:tc>
        <w:tc>
          <w:tcPr>
            <w:tcW w:w="850" w:type="dxa"/>
            <w:tcBorders>
              <w:bottom w:val="single" w:sz="4" w:space="0" w:color="auto"/>
            </w:tcBorders>
            <w:shd w:val="clear" w:color="auto" w:fill="auto"/>
          </w:tcPr>
          <w:p>
            <w:pPr>
              <w:pStyle w:val="GesAbsatz"/>
              <w:jc w:val="center"/>
              <w:rPr>
                <w:sz w:val="18"/>
                <w:szCs w:val="18"/>
              </w:rPr>
            </w:pPr>
            <w:r>
              <w:rPr>
                <w:sz w:val="18"/>
                <w:szCs w:val="18"/>
              </w:rPr>
              <w:t>86,8</w:t>
            </w:r>
          </w:p>
        </w:tc>
        <w:tc>
          <w:tcPr>
            <w:tcW w:w="851"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3</w:t>
            </w:r>
          </w:p>
        </w:tc>
        <w:tc>
          <w:tcPr>
            <w:tcW w:w="2976" w:type="dxa"/>
            <w:vMerge w:val="restart"/>
            <w:shd w:val="clear" w:color="auto" w:fill="auto"/>
          </w:tcPr>
          <w:p>
            <w:pPr>
              <w:pStyle w:val="GesAbsatz"/>
              <w:rPr>
                <w:sz w:val="18"/>
                <w:szCs w:val="18"/>
              </w:rPr>
            </w:pPr>
            <w:r>
              <w:rPr>
                <w:sz w:val="18"/>
                <w:szCs w:val="18"/>
              </w:rPr>
              <w:t>Schwefelgehalt</w:t>
            </w:r>
          </w:p>
        </w:tc>
        <w:tc>
          <w:tcPr>
            <w:tcW w:w="1984" w:type="dxa"/>
            <w:tcBorders>
              <w:bottom w:val="nil"/>
            </w:tcBorders>
            <w:shd w:val="clear" w:color="auto" w:fill="auto"/>
          </w:tcPr>
          <w:p>
            <w:pPr>
              <w:pStyle w:val="GesAbsatz"/>
              <w:rPr>
                <w:sz w:val="18"/>
                <w:szCs w:val="18"/>
              </w:rPr>
            </w:pPr>
            <w:r>
              <w:rPr>
                <w:sz w:val="18"/>
                <w:szCs w:val="18"/>
              </w:rPr>
              <w:t>a) DIN EN 15485:2007</w:t>
            </w:r>
          </w:p>
        </w:tc>
        <w:tc>
          <w:tcPr>
            <w:tcW w:w="709" w:type="dxa"/>
            <w:vMerge w:val="restart"/>
            <w:tcBorders>
              <w:bottom w:val="nil"/>
            </w:tcBorders>
          </w:tcPr>
          <w:p>
            <w:pPr>
              <w:pStyle w:val="GesAbsatz"/>
              <w:jc w:val="center"/>
              <w:rPr>
                <w:sz w:val="18"/>
                <w:szCs w:val="18"/>
              </w:rPr>
            </w:pPr>
          </w:p>
        </w:tc>
        <w:tc>
          <w:tcPr>
            <w:tcW w:w="992" w:type="dxa"/>
            <w:vMerge w:val="restart"/>
            <w:tcBorders>
              <w:bottom w:val="nil"/>
            </w:tcBorders>
            <w:shd w:val="clear" w:color="auto" w:fill="auto"/>
            <w:vAlign w:val="center"/>
          </w:tcPr>
          <w:p>
            <w:pPr>
              <w:pStyle w:val="GesAbsatz"/>
              <w:jc w:val="center"/>
              <w:rPr>
                <w:sz w:val="18"/>
                <w:szCs w:val="18"/>
              </w:rPr>
            </w:pPr>
            <w:r>
              <w:rPr>
                <w:sz w:val="18"/>
                <w:szCs w:val="18"/>
              </w:rPr>
              <w:t>mg/kg</w:t>
            </w:r>
          </w:p>
        </w:tc>
        <w:tc>
          <w:tcPr>
            <w:tcW w:w="850" w:type="dxa"/>
            <w:tcBorders>
              <w:bottom w:val="nil"/>
            </w:tcBorders>
            <w:shd w:val="clear" w:color="auto" w:fill="auto"/>
          </w:tcPr>
          <w:p>
            <w:pPr>
              <w:pStyle w:val="GesAbsatz"/>
              <w:jc w:val="center"/>
              <w:rPr>
                <w:sz w:val="18"/>
                <w:szCs w:val="18"/>
              </w:rPr>
            </w:pPr>
            <w:r>
              <w:rPr>
                <w:sz w:val="18"/>
                <w:szCs w:val="18"/>
              </w:rPr>
              <w:t>12,3</w:t>
            </w:r>
          </w:p>
        </w:tc>
        <w:tc>
          <w:tcPr>
            <w:tcW w:w="851" w:type="dxa"/>
            <w:vMerge w:val="restart"/>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b) DIN EN 15486:2007</w:t>
            </w:r>
          </w:p>
        </w:tc>
        <w:tc>
          <w:tcPr>
            <w:tcW w:w="709" w:type="dxa"/>
            <w:vMerge/>
            <w:tcBorders>
              <w:top w:val="nil"/>
            </w:tcBorders>
          </w:tcPr>
          <w:p>
            <w:pPr>
              <w:pStyle w:val="GesAbsatz"/>
              <w:jc w:val="center"/>
              <w:rPr>
                <w:sz w:val="18"/>
                <w:szCs w:val="18"/>
              </w:rPr>
            </w:pPr>
          </w:p>
        </w:tc>
        <w:tc>
          <w:tcPr>
            <w:tcW w:w="992" w:type="dxa"/>
            <w:vMerge/>
            <w:tcBorders>
              <w:top w:val="nil"/>
            </w:tcBorders>
            <w:shd w:val="clear" w:color="auto" w:fill="auto"/>
          </w:tcPr>
          <w:p>
            <w:pPr>
              <w:pStyle w:val="GesAbsatz"/>
              <w:jc w:val="center"/>
              <w:rPr>
                <w:sz w:val="18"/>
                <w:szCs w:val="18"/>
              </w:rPr>
            </w:pPr>
          </w:p>
        </w:tc>
        <w:tc>
          <w:tcPr>
            <w:tcW w:w="850" w:type="dxa"/>
            <w:tcBorders>
              <w:top w:val="nil"/>
            </w:tcBorders>
            <w:shd w:val="clear" w:color="auto" w:fill="auto"/>
          </w:tcPr>
          <w:p>
            <w:pPr>
              <w:pStyle w:val="GesAbsatz"/>
              <w:jc w:val="center"/>
              <w:rPr>
                <w:sz w:val="18"/>
                <w:szCs w:val="18"/>
              </w:rPr>
            </w:pPr>
            <w:r>
              <w:rPr>
                <w:sz w:val="18"/>
                <w:szCs w:val="18"/>
              </w:rPr>
              <w:t>11,9</w:t>
            </w:r>
          </w:p>
        </w:tc>
        <w:tc>
          <w:tcPr>
            <w:tcW w:w="851" w:type="dxa"/>
            <w:vMerge/>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4</w:t>
            </w:r>
          </w:p>
        </w:tc>
        <w:tc>
          <w:tcPr>
            <w:tcW w:w="2976" w:type="dxa"/>
            <w:shd w:val="clear" w:color="auto" w:fill="auto"/>
          </w:tcPr>
          <w:p>
            <w:pPr>
              <w:pStyle w:val="GesAbsatz"/>
              <w:rPr>
                <w:sz w:val="18"/>
                <w:szCs w:val="18"/>
              </w:rPr>
            </w:pPr>
            <w:r>
              <w:rPr>
                <w:sz w:val="18"/>
                <w:szCs w:val="18"/>
              </w:rPr>
              <w:t>Oxidationsstabilität</w:t>
            </w:r>
          </w:p>
        </w:tc>
        <w:tc>
          <w:tcPr>
            <w:tcW w:w="1984" w:type="dxa"/>
            <w:shd w:val="clear" w:color="auto" w:fill="auto"/>
          </w:tcPr>
          <w:p>
            <w:pPr>
              <w:pStyle w:val="GesAbsatz"/>
              <w:rPr>
                <w:sz w:val="18"/>
                <w:szCs w:val="18"/>
              </w:rPr>
            </w:pPr>
            <w:r>
              <w:rPr>
                <w:sz w:val="18"/>
                <w:szCs w:val="18"/>
              </w:rPr>
              <w:t>DIN EN ISO 7536:1996</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Minuten</w:t>
            </w:r>
          </w:p>
        </w:tc>
        <w:tc>
          <w:tcPr>
            <w:tcW w:w="850" w:type="dxa"/>
            <w:shd w:val="clear" w:color="auto" w:fill="auto"/>
          </w:tcPr>
          <w:p>
            <w:pPr>
              <w:pStyle w:val="GesAbsatz"/>
              <w:jc w:val="center"/>
              <w:rPr>
                <w:sz w:val="18"/>
                <w:szCs w:val="18"/>
              </w:rPr>
            </w:pPr>
            <w:r>
              <w:rPr>
                <w:sz w:val="18"/>
                <w:szCs w:val="18"/>
              </w:rPr>
              <w:t>338,8</w:t>
            </w:r>
          </w:p>
        </w:tc>
        <w:tc>
          <w:tcPr>
            <w:tcW w:w="851"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5</w:t>
            </w:r>
          </w:p>
        </w:tc>
        <w:tc>
          <w:tcPr>
            <w:tcW w:w="2976" w:type="dxa"/>
            <w:shd w:val="clear" w:color="auto" w:fill="auto"/>
          </w:tcPr>
          <w:p>
            <w:pPr>
              <w:pStyle w:val="GesAbsatz"/>
              <w:rPr>
                <w:sz w:val="18"/>
                <w:szCs w:val="18"/>
              </w:rPr>
            </w:pPr>
            <w:r>
              <w:rPr>
                <w:sz w:val="18"/>
                <w:szCs w:val="18"/>
              </w:rPr>
              <w:t>Abdampfrückstand (gewaschen)</w:t>
            </w:r>
          </w:p>
        </w:tc>
        <w:tc>
          <w:tcPr>
            <w:tcW w:w="1984" w:type="dxa"/>
            <w:shd w:val="clear" w:color="auto" w:fill="auto"/>
          </w:tcPr>
          <w:p>
            <w:pPr>
              <w:pStyle w:val="GesAbsatz"/>
              <w:rPr>
                <w:sz w:val="18"/>
                <w:szCs w:val="18"/>
              </w:rPr>
            </w:pPr>
            <w:r>
              <w:rPr>
                <w:sz w:val="18"/>
                <w:szCs w:val="18"/>
              </w:rPr>
              <w:t>DIN EN ISO 6246:1998</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mg/100 ml</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7,3</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6</w:t>
            </w:r>
          </w:p>
        </w:tc>
        <w:tc>
          <w:tcPr>
            <w:tcW w:w="2976" w:type="dxa"/>
            <w:shd w:val="clear" w:color="auto" w:fill="auto"/>
          </w:tcPr>
          <w:p>
            <w:pPr>
              <w:pStyle w:val="GesAbsatz"/>
              <w:rPr>
                <w:sz w:val="18"/>
                <w:szCs w:val="18"/>
              </w:rPr>
            </w:pPr>
            <w:r>
              <w:rPr>
                <w:sz w:val="18"/>
                <w:szCs w:val="18"/>
              </w:rPr>
              <w:t>Aussehen</w:t>
            </w:r>
          </w:p>
        </w:tc>
        <w:tc>
          <w:tcPr>
            <w:tcW w:w="1984" w:type="dxa"/>
            <w:shd w:val="clear" w:color="auto" w:fill="auto"/>
          </w:tcPr>
          <w:p>
            <w:pPr>
              <w:pStyle w:val="GesAbsatz"/>
              <w:rPr>
                <w:sz w:val="18"/>
                <w:szCs w:val="18"/>
              </w:rPr>
            </w:pPr>
            <w:r>
              <w:rPr>
                <w:sz w:val="18"/>
                <w:szCs w:val="18"/>
              </w:rPr>
              <w:t>visuelle Begutac</w:t>
            </w:r>
            <w:r>
              <w:rPr>
                <w:sz w:val="18"/>
                <w:szCs w:val="18"/>
              </w:rPr>
              <w:t>h</w:t>
            </w:r>
            <w:r>
              <w:rPr>
                <w:sz w:val="18"/>
                <w:szCs w:val="18"/>
              </w:rPr>
              <w:t>tung</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w:t>
            </w:r>
          </w:p>
        </w:tc>
        <w:tc>
          <w:tcPr>
            <w:tcW w:w="1701" w:type="dxa"/>
            <w:gridSpan w:val="2"/>
            <w:shd w:val="clear" w:color="auto" w:fill="auto"/>
          </w:tcPr>
          <w:p>
            <w:pPr>
              <w:pStyle w:val="GesAbsatz"/>
              <w:jc w:val="center"/>
              <w:rPr>
                <w:sz w:val="18"/>
                <w:szCs w:val="18"/>
              </w:rPr>
            </w:pPr>
            <w:r>
              <w:rPr>
                <w:sz w:val="18"/>
                <w:szCs w:val="18"/>
              </w:rPr>
              <w:t>frei von Wasse</w:t>
            </w:r>
            <w:r>
              <w:rPr>
                <w:sz w:val="18"/>
                <w:szCs w:val="18"/>
              </w:rPr>
              <w:t>r</w:t>
            </w:r>
            <w:r>
              <w:rPr>
                <w:sz w:val="18"/>
                <w:szCs w:val="18"/>
              </w:rPr>
              <w:t>phasen und fe</w:t>
            </w:r>
            <w:r>
              <w:rPr>
                <w:sz w:val="18"/>
                <w:szCs w:val="18"/>
              </w:rPr>
              <w:t>s</w:t>
            </w:r>
            <w:r>
              <w:rPr>
                <w:sz w:val="18"/>
                <w:szCs w:val="18"/>
              </w:rPr>
              <w:t>ten Stoffen</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7</w:t>
            </w:r>
          </w:p>
        </w:tc>
        <w:tc>
          <w:tcPr>
            <w:tcW w:w="2976" w:type="dxa"/>
            <w:shd w:val="clear" w:color="auto" w:fill="auto"/>
          </w:tcPr>
          <w:p>
            <w:pPr>
              <w:pStyle w:val="GesAbsatz"/>
              <w:rPr>
                <w:sz w:val="18"/>
                <w:szCs w:val="18"/>
              </w:rPr>
            </w:pPr>
            <w:r>
              <w:rPr>
                <w:sz w:val="18"/>
                <w:szCs w:val="18"/>
              </w:rPr>
              <w:t>Höhere Alkohole (C3 bis C5)</w:t>
            </w:r>
          </w:p>
        </w:tc>
        <w:tc>
          <w:tcPr>
            <w:tcW w:w="1984" w:type="dxa"/>
            <w:shd w:val="clear" w:color="auto" w:fill="auto"/>
          </w:tcPr>
          <w:p>
            <w:pPr>
              <w:pStyle w:val="GesAbsatz"/>
              <w:rPr>
                <w:sz w:val="18"/>
                <w:szCs w:val="18"/>
              </w:rPr>
            </w:pPr>
            <w:r>
              <w:rPr>
                <w:sz w:val="18"/>
                <w:szCs w:val="18"/>
              </w:rPr>
              <w:t>E DIN 51627-3:2008</w:t>
            </w:r>
          </w:p>
        </w:tc>
        <w:tc>
          <w:tcPr>
            <w:tcW w:w="709" w:type="dxa"/>
          </w:tcPr>
          <w:p>
            <w:pPr>
              <w:pStyle w:val="GesAbsatz"/>
              <w:jc w:val="center"/>
              <w:rPr>
                <w:sz w:val="18"/>
                <w:szCs w:val="18"/>
              </w:rPr>
            </w:pPr>
            <w:r>
              <w:rPr>
                <w:sz w:val="18"/>
                <w:szCs w:val="18"/>
              </w:rPr>
              <w:t>b)</w:t>
            </w:r>
          </w:p>
        </w:tc>
        <w:tc>
          <w:tcPr>
            <w:tcW w:w="992" w:type="dxa"/>
            <w:shd w:val="clear" w:color="auto" w:fill="auto"/>
          </w:tcPr>
          <w:p>
            <w:pPr>
              <w:pStyle w:val="GesAbsatz"/>
              <w:jc w:val="center"/>
              <w:rPr>
                <w:sz w:val="18"/>
                <w:szCs w:val="18"/>
              </w:rPr>
            </w:pPr>
            <w:r>
              <w:rPr>
                <w:sz w:val="18"/>
                <w:szCs w:val="18"/>
              </w:rPr>
              <w:t>% (V/V)</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2,4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8</w:t>
            </w:r>
          </w:p>
        </w:tc>
        <w:tc>
          <w:tcPr>
            <w:tcW w:w="2976" w:type="dxa"/>
            <w:shd w:val="clear" w:color="auto" w:fill="auto"/>
          </w:tcPr>
          <w:p>
            <w:pPr>
              <w:pStyle w:val="GesAbsatz"/>
              <w:rPr>
                <w:sz w:val="18"/>
                <w:szCs w:val="18"/>
              </w:rPr>
            </w:pPr>
            <w:r>
              <w:rPr>
                <w:sz w:val="18"/>
                <w:szCs w:val="18"/>
              </w:rPr>
              <w:t>Methanol</w:t>
            </w:r>
          </w:p>
        </w:tc>
        <w:tc>
          <w:tcPr>
            <w:tcW w:w="1984" w:type="dxa"/>
            <w:shd w:val="clear" w:color="auto" w:fill="auto"/>
          </w:tcPr>
          <w:p>
            <w:pPr>
              <w:pStyle w:val="GesAbsatz"/>
              <w:rPr>
                <w:sz w:val="18"/>
                <w:szCs w:val="18"/>
              </w:rPr>
            </w:pPr>
            <w:r>
              <w:rPr>
                <w:sz w:val="18"/>
                <w:szCs w:val="18"/>
              </w:rPr>
              <w:t>E DIN 51627-3:2008</w:t>
            </w:r>
          </w:p>
        </w:tc>
        <w:tc>
          <w:tcPr>
            <w:tcW w:w="709" w:type="dxa"/>
          </w:tcPr>
          <w:p>
            <w:pPr>
              <w:pStyle w:val="GesAbsatz"/>
              <w:jc w:val="center"/>
              <w:rPr>
                <w:sz w:val="18"/>
                <w:szCs w:val="18"/>
              </w:rPr>
            </w:pPr>
            <w:r>
              <w:rPr>
                <w:sz w:val="18"/>
                <w:szCs w:val="18"/>
              </w:rPr>
              <w:t>b)</w:t>
            </w:r>
          </w:p>
        </w:tc>
        <w:tc>
          <w:tcPr>
            <w:tcW w:w="992" w:type="dxa"/>
            <w:shd w:val="clear" w:color="auto" w:fill="auto"/>
          </w:tcPr>
          <w:p>
            <w:pPr>
              <w:pStyle w:val="GesAbsatz"/>
              <w:jc w:val="center"/>
              <w:rPr>
                <w:sz w:val="18"/>
                <w:szCs w:val="18"/>
              </w:rPr>
            </w:pPr>
            <w:r>
              <w:rPr>
                <w:sz w:val="18"/>
                <w:szCs w:val="18"/>
              </w:rPr>
              <w:t>% (V/V)</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1,4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9</w:t>
            </w:r>
          </w:p>
        </w:tc>
        <w:tc>
          <w:tcPr>
            <w:tcW w:w="2976" w:type="dxa"/>
            <w:shd w:val="clear" w:color="auto" w:fill="auto"/>
          </w:tcPr>
          <w:p>
            <w:pPr>
              <w:pStyle w:val="GesAbsatz"/>
              <w:rPr>
                <w:sz w:val="18"/>
                <w:szCs w:val="18"/>
              </w:rPr>
            </w:pPr>
            <w:r>
              <w:rPr>
                <w:sz w:val="18"/>
                <w:szCs w:val="18"/>
              </w:rPr>
              <w:t>Ether (5 oder mehr C-Atome)</w:t>
            </w:r>
          </w:p>
        </w:tc>
        <w:tc>
          <w:tcPr>
            <w:tcW w:w="1984" w:type="dxa"/>
            <w:shd w:val="clear" w:color="auto" w:fill="auto"/>
          </w:tcPr>
          <w:p>
            <w:pPr>
              <w:pStyle w:val="GesAbsatz"/>
              <w:rPr>
                <w:sz w:val="18"/>
                <w:szCs w:val="18"/>
              </w:rPr>
            </w:pPr>
            <w:r>
              <w:rPr>
                <w:sz w:val="18"/>
                <w:szCs w:val="18"/>
              </w:rPr>
              <w:t>E DIN 51627-3:2008</w:t>
            </w:r>
          </w:p>
        </w:tc>
        <w:tc>
          <w:tcPr>
            <w:tcW w:w="709" w:type="dxa"/>
          </w:tcPr>
          <w:p>
            <w:pPr>
              <w:pStyle w:val="GesAbsatz"/>
              <w:jc w:val="center"/>
              <w:rPr>
                <w:sz w:val="18"/>
                <w:szCs w:val="18"/>
              </w:rPr>
            </w:pPr>
            <w:r>
              <w:rPr>
                <w:sz w:val="18"/>
                <w:szCs w:val="18"/>
              </w:rPr>
              <w:t>b)</w:t>
            </w:r>
          </w:p>
        </w:tc>
        <w:tc>
          <w:tcPr>
            <w:tcW w:w="992" w:type="dxa"/>
            <w:shd w:val="clear" w:color="auto" w:fill="auto"/>
          </w:tcPr>
          <w:p>
            <w:pPr>
              <w:pStyle w:val="GesAbsatz"/>
              <w:jc w:val="center"/>
              <w:rPr>
                <w:sz w:val="18"/>
                <w:szCs w:val="18"/>
              </w:rPr>
            </w:pPr>
            <w:r>
              <w:rPr>
                <w:sz w:val="18"/>
                <w:szCs w:val="18"/>
              </w:rPr>
              <w:t>% (V/V)</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5,9</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10</w:t>
            </w:r>
          </w:p>
        </w:tc>
        <w:tc>
          <w:tcPr>
            <w:tcW w:w="2976" w:type="dxa"/>
            <w:shd w:val="clear" w:color="auto" w:fill="auto"/>
          </w:tcPr>
          <w:p>
            <w:pPr>
              <w:pStyle w:val="GesAbsatz"/>
              <w:rPr>
                <w:sz w:val="18"/>
                <w:szCs w:val="18"/>
              </w:rPr>
            </w:pPr>
            <w:r>
              <w:rPr>
                <w:sz w:val="18"/>
                <w:szCs w:val="18"/>
              </w:rPr>
              <w:t>Phosphor</w:t>
            </w:r>
          </w:p>
        </w:tc>
        <w:tc>
          <w:tcPr>
            <w:tcW w:w="1984" w:type="dxa"/>
            <w:shd w:val="clear" w:color="auto" w:fill="auto"/>
          </w:tcPr>
          <w:p>
            <w:pPr>
              <w:pStyle w:val="GesAbsatz"/>
              <w:rPr>
                <w:sz w:val="18"/>
                <w:szCs w:val="18"/>
              </w:rPr>
            </w:pPr>
            <w:r>
              <w:rPr>
                <w:sz w:val="18"/>
                <w:szCs w:val="18"/>
              </w:rPr>
              <w:t>DIN EN 15487:2007</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mg/l</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0,25</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11</w:t>
            </w:r>
          </w:p>
        </w:tc>
        <w:tc>
          <w:tcPr>
            <w:tcW w:w="2976" w:type="dxa"/>
            <w:shd w:val="clear" w:color="auto" w:fill="auto"/>
          </w:tcPr>
          <w:p>
            <w:pPr>
              <w:pStyle w:val="GesAbsatz"/>
              <w:rPr>
                <w:sz w:val="18"/>
                <w:szCs w:val="18"/>
              </w:rPr>
            </w:pPr>
            <w:r>
              <w:rPr>
                <w:sz w:val="18"/>
                <w:szCs w:val="18"/>
              </w:rPr>
              <w:t>Kupfer</w:t>
            </w:r>
          </w:p>
        </w:tc>
        <w:tc>
          <w:tcPr>
            <w:tcW w:w="1984" w:type="dxa"/>
            <w:tcBorders>
              <w:bottom w:val="single" w:sz="4" w:space="0" w:color="auto"/>
            </w:tcBorders>
            <w:shd w:val="clear" w:color="auto" w:fill="auto"/>
          </w:tcPr>
          <w:p>
            <w:pPr>
              <w:pStyle w:val="GesAbsatz"/>
              <w:rPr>
                <w:sz w:val="18"/>
                <w:szCs w:val="18"/>
              </w:rPr>
            </w:pPr>
            <w:r>
              <w:rPr>
                <w:sz w:val="18"/>
                <w:szCs w:val="18"/>
              </w:rPr>
              <w:t>DIN EN 15488:2007</w:t>
            </w:r>
          </w:p>
        </w:tc>
        <w:tc>
          <w:tcPr>
            <w:tcW w:w="709" w:type="dxa"/>
            <w:tcBorders>
              <w:bottom w:val="single" w:sz="4" w:space="0" w:color="auto"/>
            </w:tcBorders>
          </w:tcPr>
          <w:p>
            <w:pPr>
              <w:pStyle w:val="GesAbsatz"/>
              <w:jc w:val="center"/>
              <w:rPr>
                <w:sz w:val="18"/>
                <w:szCs w:val="18"/>
              </w:rPr>
            </w:pPr>
          </w:p>
        </w:tc>
        <w:tc>
          <w:tcPr>
            <w:tcW w:w="992" w:type="dxa"/>
            <w:tcBorders>
              <w:bottom w:val="single" w:sz="4" w:space="0" w:color="auto"/>
            </w:tcBorders>
            <w:shd w:val="clear" w:color="auto" w:fill="auto"/>
          </w:tcPr>
          <w:p>
            <w:pPr>
              <w:pStyle w:val="GesAbsatz"/>
              <w:jc w:val="center"/>
              <w:rPr>
                <w:sz w:val="18"/>
                <w:szCs w:val="18"/>
              </w:rPr>
            </w:pPr>
            <w:r>
              <w:rPr>
                <w:sz w:val="18"/>
                <w:szCs w:val="18"/>
              </w:rPr>
              <w:t>mg/kg</w:t>
            </w:r>
          </w:p>
        </w:tc>
        <w:tc>
          <w:tcPr>
            <w:tcW w:w="850" w:type="dxa"/>
            <w:tcBorders>
              <w:bottom w:val="single" w:sz="4" w:space="0" w:color="auto"/>
            </w:tcBorders>
            <w:shd w:val="clear" w:color="auto" w:fill="auto"/>
          </w:tcPr>
          <w:p>
            <w:pPr>
              <w:pStyle w:val="GesAbsatz"/>
              <w:jc w:val="center"/>
              <w:rPr>
                <w:sz w:val="18"/>
                <w:szCs w:val="18"/>
              </w:rPr>
            </w:pPr>
          </w:p>
        </w:tc>
        <w:tc>
          <w:tcPr>
            <w:tcW w:w="851" w:type="dxa"/>
            <w:tcBorders>
              <w:bottom w:val="single" w:sz="4" w:space="0" w:color="auto"/>
            </w:tcBorders>
            <w:shd w:val="clear" w:color="auto" w:fill="auto"/>
          </w:tcPr>
          <w:p>
            <w:pPr>
              <w:pStyle w:val="GesAbsatz"/>
              <w:jc w:val="center"/>
              <w:rPr>
                <w:sz w:val="18"/>
                <w:szCs w:val="18"/>
              </w:rPr>
            </w:pPr>
            <w:r>
              <w:rPr>
                <w:sz w:val="18"/>
                <w:szCs w:val="18"/>
              </w:rPr>
              <w:t>0,126</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12</w:t>
            </w:r>
          </w:p>
        </w:tc>
        <w:tc>
          <w:tcPr>
            <w:tcW w:w="2976" w:type="dxa"/>
            <w:vMerge w:val="restart"/>
            <w:shd w:val="clear" w:color="auto" w:fill="auto"/>
          </w:tcPr>
          <w:p>
            <w:pPr>
              <w:pStyle w:val="GesAbsatz"/>
              <w:rPr>
                <w:sz w:val="18"/>
                <w:szCs w:val="18"/>
              </w:rPr>
            </w:pPr>
            <w:r>
              <w:rPr>
                <w:sz w:val="18"/>
                <w:szCs w:val="18"/>
              </w:rPr>
              <w:t>Wassergehalt</w:t>
            </w:r>
          </w:p>
        </w:tc>
        <w:tc>
          <w:tcPr>
            <w:tcW w:w="1984" w:type="dxa"/>
            <w:tcBorders>
              <w:bottom w:val="nil"/>
            </w:tcBorders>
            <w:shd w:val="clear" w:color="auto" w:fill="auto"/>
          </w:tcPr>
          <w:p>
            <w:pPr>
              <w:pStyle w:val="GesAbsatz"/>
              <w:rPr>
                <w:sz w:val="18"/>
                <w:szCs w:val="18"/>
              </w:rPr>
            </w:pPr>
            <w:r>
              <w:rPr>
                <w:sz w:val="18"/>
                <w:szCs w:val="18"/>
              </w:rPr>
              <w:t>a) DIN EN 15489:2007</w:t>
            </w:r>
          </w:p>
        </w:tc>
        <w:tc>
          <w:tcPr>
            <w:tcW w:w="709" w:type="dxa"/>
            <w:tcBorders>
              <w:bottom w:val="nil"/>
            </w:tcBorders>
          </w:tcPr>
          <w:p>
            <w:pPr>
              <w:pStyle w:val="GesAbsatz"/>
              <w:jc w:val="center"/>
              <w:rPr>
                <w:sz w:val="18"/>
                <w:szCs w:val="18"/>
              </w:rPr>
            </w:pPr>
          </w:p>
        </w:tc>
        <w:tc>
          <w:tcPr>
            <w:tcW w:w="992" w:type="dxa"/>
            <w:vMerge w:val="restart"/>
            <w:tcBorders>
              <w:bottom w:val="nil"/>
            </w:tcBorders>
            <w:shd w:val="clear" w:color="auto" w:fill="auto"/>
            <w:vAlign w:val="center"/>
          </w:tcPr>
          <w:p>
            <w:pPr>
              <w:pStyle w:val="GesAbsatz"/>
              <w:jc w:val="center"/>
              <w:rPr>
                <w:sz w:val="18"/>
                <w:szCs w:val="18"/>
              </w:rPr>
            </w:pPr>
            <w:r>
              <w:rPr>
                <w:sz w:val="18"/>
                <w:szCs w:val="18"/>
              </w:rPr>
              <w:t>% (m/m)</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0,314</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b) DIN EN 15692:2009</w:t>
            </w:r>
          </w:p>
        </w:tc>
        <w:tc>
          <w:tcPr>
            <w:tcW w:w="709" w:type="dxa"/>
            <w:tcBorders>
              <w:top w:val="nil"/>
            </w:tcBorders>
          </w:tcPr>
          <w:p>
            <w:pPr>
              <w:pStyle w:val="GesAbsatz"/>
              <w:jc w:val="center"/>
              <w:rPr>
                <w:sz w:val="18"/>
                <w:szCs w:val="18"/>
              </w:rPr>
            </w:pPr>
            <w:r>
              <w:rPr>
                <w:sz w:val="18"/>
                <w:szCs w:val="18"/>
              </w:rPr>
              <w:t>c)</w:t>
            </w:r>
          </w:p>
        </w:tc>
        <w:tc>
          <w:tcPr>
            <w:tcW w:w="992" w:type="dxa"/>
            <w:vMerge/>
            <w:tcBorders>
              <w:top w:val="nil"/>
            </w:tcBorders>
            <w:shd w:val="clear" w:color="auto" w:fill="auto"/>
          </w:tcPr>
          <w:p>
            <w:pPr>
              <w:pStyle w:val="GesAbsatz"/>
              <w:jc w:val="center"/>
              <w:rPr>
                <w:sz w:val="18"/>
                <w:szCs w:val="18"/>
              </w:rPr>
            </w:pP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13</w:t>
            </w:r>
          </w:p>
        </w:tc>
        <w:tc>
          <w:tcPr>
            <w:tcW w:w="2976" w:type="dxa"/>
            <w:shd w:val="clear" w:color="auto" w:fill="auto"/>
          </w:tcPr>
          <w:p>
            <w:pPr>
              <w:pStyle w:val="GesAbsatz"/>
              <w:rPr>
                <w:sz w:val="18"/>
                <w:szCs w:val="18"/>
              </w:rPr>
            </w:pPr>
            <w:r>
              <w:rPr>
                <w:sz w:val="18"/>
                <w:szCs w:val="18"/>
              </w:rPr>
              <w:t>Chlorid</w:t>
            </w:r>
          </w:p>
        </w:tc>
        <w:tc>
          <w:tcPr>
            <w:tcW w:w="1984" w:type="dxa"/>
            <w:shd w:val="clear" w:color="auto" w:fill="auto"/>
          </w:tcPr>
          <w:p>
            <w:pPr>
              <w:pStyle w:val="GesAbsatz"/>
              <w:rPr>
                <w:sz w:val="18"/>
                <w:szCs w:val="18"/>
              </w:rPr>
            </w:pPr>
            <w:r>
              <w:rPr>
                <w:sz w:val="18"/>
                <w:szCs w:val="18"/>
              </w:rPr>
              <w:t>DIN EN 15492:2009</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mg/l</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1,3</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14</w:t>
            </w:r>
          </w:p>
        </w:tc>
        <w:tc>
          <w:tcPr>
            <w:tcW w:w="2976" w:type="dxa"/>
            <w:shd w:val="clear" w:color="auto" w:fill="auto"/>
          </w:tcPr>
          <w:p>
            <w:pPr>
              <w:pStyle w:val="GesAbsatz"/>
              <w:rPr>
                <w:sz w:val="18"/>
                <w:szCs w:val="18"/>
              </w:rPr>
            </w:pPr>
            <w:r>
              <w:rPr>
                <w:sz w:val="18"/>
                <w:szCs w:val="18"/>
              </w:rPr>
              <w:t>Sulfat</w:t>
            </w:r>
          </w:p>
        </w:tc>
        <w:tc>
          <w:tcPr>
            <w:tcW w:w="1984" w:type="dxa"/>
            <w:shd w:val="clear" w:color="auto" w:fill="auto"/>
          </w:tcPr>
          <w:p>
            <w:pPr>
              <w:pStyle w:val="GesAbsatz"/>
              <w:rPr>
                <w:sz w:val="18"/>
                <w:szCs w:val="18"/>
              </w:rPr>
            </w:pPr>
            <w:r>
              <w:rPr>
                <w:sz w:val="18"/>
                <w:szCs w:val="18"/>
              </w:rPr>
              <w:t>DIN EN 15492:2009</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mg/l</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1,2</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15</w:t>
            </w:r>
          </w:p>
        </w:tc>
        <w:tc>
          <w:tcPr>
            <w:tcW w:w="2976" w:type="dxa"/>
            <w:shd w:val="clear" w:color="auto" w:fill="auto"/>
          </w:tcPr>
          <w:p>
            <w:pPr>
              <w:pStyle w:val="GesAbsatz"/>
              <w:rPr>
                <w:sz w:val="18"/>
                <w:szCs w:val="18"/>
              </w:rPr>
            </w:pPr>
            <w:r>
              <w:rPr>
                <w:sz w:val="18"/>
                <w:szCs w:val="18"/>
              </w:rPr>
              <w:t>Leitfähigkeit, ermittelt bei 25 °C</w:t>
            </w:r>
          </w:p>
        </w:tc>
        <w:tc>
          <w:tcPr>
            <w:tcW w:w="1984" w:type="dxa"/>
            <w:shd w:val="clear" w:color="auto" w:fill="auto"/>
          </w:tcPr>
          <w:p>
            <w:pPr>
              <w:pStyle w:val="GesAbsatz"/>
              <w:rPr>
                <w:sz w:val="18"/>
                <w:szCs w:val="18"/>
              </w:rPr>
            </w:pPr>
            <w:r>
              <w:rPr>
                <w:sz w:val="18"/>
                <w:szCs w:val="18"/>
              </w:rPr>
              <w:t>E DIN 51627-4:2008</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r>
              <w:rPr>
                <w:sz w:val="18"/>
                <w:szCs w:val="18"/>
              </w:rPr>
              <w:t>μS/cm</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2,7</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16</w:t>
            </w:r>
          </w:p>
        </w:tc>
        <w:tc>
          <w:tcPr>
            <w:tcW w:w="2976" w:type="dxa"/>
            <w:shd w:val="clear" w:color="auto" w:fill="auto"/>
          </w:tcPr>
          <w:p>
            <w:pPr>
              <w:pStyle w:val="GesAbsatz"/>
              <w:rPr>
                <w:sz w:val="18"/>
                <w:szCs w:val="18"/>
              </w:rPr>
            </w:pPr>
            <w:r>
              <w:rPr>
                <w:sz w:val="18"/>
                <w:szCs w:val="18"/>
              </w:rPr>
              <w:t>Korrosionswirkung auf Kupfer (3 h bei 50 °C)</w:t>
            </w:r>
          </w:p>
        </w:tc>
        <w:tc>
          <w:tcPr>
            <w:tcW w:w="1984" w:type="dxa"/>
            <w:shd w:val="clear" w:color="auto" w:fill="auto"/>
          </w:tcPr>
          <w:p>
            <w:pPr>
              <w:pStyle w:val="GesAbsatz"/>
              <w:rPr>
                <w:sz w:val="18"/>
                <w:szCs w:val="18"/>
              </w:rPr>
            </w:pPr>
            <w:r>
              <w:rPr>
                <w:sz w:val="18"/>
                <w:szCs w:val="18"/>
              </w:rPr>
              <w:t>DIN EN ISO 2160:1999</w:t>
            </w:r>
          </w:p>
        </w:tc>
        <w:tc>
          <w:tcPr>
            <w:tcW w:w="709" w:type="dxa"/>
          </w:tcPr>
          <w:p>
            <w:pPr>
              <w:pStyle w:val="GesAbsatz"/>
              <w:jc w:val="center"/>
              <w:rPr>
                <w:sz w:val="18"/>
                <w:szCs w:val="18"/>
              </w:rPr>
            </w:pPr>
          </w:p>
        </w:tc>
        <w:tc>
          <w:tcPr>
            <w:tcW w:w="992" w:type="dxa"/>
            <w:shd w:val="clear" w:color="auto" w:fill="auto"/>
          </w:tcPr>
          <w:p>
            <w:pPr>
              <w:pStyle w:val="GesAbsatz"/>
              <w:jc w:val="center"/>
              <w:rPr>
                <w:sz w:val="18"/>
                <w:szCs w:val="18"/>
              </w:rPr>
            </w:pPr>
          </w:p>
        </w:tc>
        <w:tc>
          <w:tcPr>
            <w:tcW w:w="1701" w:type="dxa"/>
            <w:gridSpan w:val="2"/>
            <w:shd w:val="clear" w:color="auto" w:fill="auto"/>
          </w:tcPr>
          <w:p>
            <w:pPr>
              <w:pStyle w:val="GesAbsatz"/>
              <w:jc w:val="center"/>
              <w:rPr>
                <w:sz w:val="18"/>
                <w:szCs w:val="18"/>
              </w:rPr>
            </w:pPr>
            <w:r>
              <w:rPr>
                <w:sz w:val="18"/>
                <w:szCs w:val="18"/>
              </w:rPr>
              <w:t>Nicht schlechter als 1</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szCs w:val="18"/>
              </w:rPr>
            </w:pPr>
            <w:r>
              <w:rPr>
                <w:sz w:val="18"/>
                <w:szCs w:val="18"/>
              </w:rPr>
              <w:t>17</w:t>
            </w:r>
          </w:p>
        </w:tc>
        <w:tc>
          <w:tcPr>
            <w:tcW w:w="2976" w:type="dxa"/>
            <w:shd w:val="clear" w:color="auto" w:fill="auto"/>
          </w:tcPr>
          <w:p>
            <w:pPr>
              <w:pStyle w:val="GesAbsatz"/>
              <w:rPr>
                <w:sz w:val="18"/>
                <w:szCs w:val="18"/>
              </w:rPr>
            </w:pPr>
            <w:r>
              <w:rPr>
                <w:sz w:val="18"/>
                <w:szCs w:val="18"/>
              </w:rPr>
              <w:t>Korrosionspotenzial, gemesse</w:t>
            </w:r>
            <w:r>
              <w:rPr>
                <w:sz w:val="18"/>
                <w:szCs w:val="18"/>
              </w:rPr>
              <w:t>n</w:t>
            </w:r>
            <w:r>
              <w:rPr>
                <w:sz w:val="18"/>
                <w:szCs w:val="18"/>
              </w:rPr>
              <w:t xml:space="preserve"> als pH</w:t>
            </w:r>
            <w:r>
              <w:rPr>
                <w:sz w:val="18"/>
                <w:szCs w:val="18"/>
                <w:vertAlign w:val="subscript"/>
              </w:rPr>
              <w:t>E</w:t>
            </w:r>
          </w:p>
        </w:tc>
        <w:tc>
          <w:tcPr>
            <w:tcW w:w="1984" w:type="dxa"/>
            <w:shd w:val="clear" w:color="auto" w:fill="auto"/>
          </w:tcPr>
          <w:p>
            <w:pPr>
              <w:pStyle w:val="GesAbsatz"/>
              <w:rPr>
                <w:sz w:val="18"/>
                <w:szCs w:val="18"/>
              </w:rPr>
            </w:pPr>
            <w:r>
              <w:rPr>
                <w:sz w:val="18"/>
                <w:szCs w:val="18"/>
              </w:rPr>
              <w:t>DIN EN 15490:2007</w:t>
            </w:r>
          </w:p>
        </w:tc>
        <w:tc>
          <w:tcPr>
            <w:tcW w:w="709" w:type="dxa"/>
          </w:tcPr>
          <w:p>
            <w:pPr>
              <w:pStyle w:val="GesAbsatz"/>
              <w:jc w:val="center"/>
              <w:rPr>
                <w:sz w:val="18"/>
                <w:szCs w:val="18"/>
              </w:rPr>
            </w:pPr>
            <w:r>
              <w:rPr>
                <w:sz w:val="18"/>
                <w:szCs w:val="18"/>
              </w:rPr>
              <w:t>d)</w:t>
            </w:r>
          </w:p>
        </w:tc>
        <w:tc>
          <w:tcPr>
            <w:tcW w:w="992" w:type="dxa"/>
            <w:tcBorders>
              <w:bottom w:val="single" w:sz="4" w:space="0" w:color="auto"/>
            </w:tcBorders>
            <w:shd w:val="clear" w:color="auto" w:fill="auto"/>
          </w:tcPr>
          <w:p>
            <w:pPr>
              <w:pStyle w:val="GesAbsatz"/>
              <w:jc w:val="center"/>
              <w:rPr>
                <w:sz w:val="18"/>
                <w:szCs w:val="18"/>
              </w:rPr>
            </w:pPr>
          </w:p>
        </w:tc>
        <w:tc>
          <w:tcPr>
            <w:tcW w:w="850" w:type="dxa"/>
            <w:tcBorders>
              <w:bottom w:val="single" w:sz="4" w:space="0" w:color="auto"/>
            </w:tcBorders>
            <w:shd w:val="clear" w:color="auto" w:fill="auto"/>
          </w:tcPr>
          <w:p>
            <w:pPr>
              <w:pStyle w:val="GesAbsatz"/>
              <w:jc w:val="center"/>
              <w:rPr>
                <w:sz w:val="18"/>
                <w:szCs w:val="18"/>
              </w:rPr>
            </w:pPr>
            <w:r>
              <w:rPr>
                <w:sz w:val="18"/>
                <w:szCs w:val="18"/>
              </w:rPr>
              <w:t>6,1</w:t>
            </w:r>
          </w:p>
        </w:tc>
        <w:tc>
          <w:tcPr>
            <w:tcW w:w="851" w:type="dxa"/>
            <w:tcBorders>
              <w:bottom w:val="single" w:sz="4" w:space="0" w:color="auto"/>
            </w:tcBorders>
            <w:shd w:val="clear" w:color="auto" w:fill="auto"/>
          </w:tcPr>
          <w:p>
            <w:pPr>
              <w:pStyle w:val="GesAbsatz"/>
              <w:jc w:val="center"/>
              <w:rPr>
                <w:sz w:val="18"/>
                <w:szCs w:val="18"/>
              </w:rPr>
            </w:pPr>
            <w:r>
              <w:rPr>
                <w:sz w:val="18"/>
                <w:szCs w:val="18"/>
              </w:rPr>
              <w:t>9,5</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18</w:t>
            </w:r>
          </w:p>
        </w:tc>
        <w:tc>
          <w:tcPr>
            <w:tcW w:w="2976" w:type="dxa"/>
            <w:vMerge w:val="restart"/>
            <w:shd w:val="clear" w:color="auto" w:fill="auto"/>
          </w:tcPr>
          <w:p>
            <w:pPr>
              <w:pStyle w:val="GesAbsatz"/>
              <w:rPr>
                <w:sz w:val="18"/>
                <w:szCs w:val="18"/>
              </w:rPr>
            </w:pPr>
            <w:r>
              <w:rPr>
                <w:sz w:val="18"/>
                <w:szCs w:val="18"/>
              </w:rPr>
              <w:t>Säure (gerechnet als Essigsäure)</w:t>
            </w:r>
          </w:p>
        </w:tc>
        <w:tc>
          <w:tcPr>
            <w:tcW w:w="1984" w:type="dxa"/>
            <w:vMerge w:val="restart"/>
            <w:shd w:val="clear" w:color="auto" w:fill="auto"/>
          </w:tcPr>
          <w:p>
            <w:pPr>
              <w:pStyle w:val="GesAbsatz"/>
              <w:rPr>
                <w:sz w:val="18"/>
                <w:szCs w:val="18"/>
              </w:rPr>
            </w:pPr>
            <w:r>
              <w:rPr>
                <w:sz w:val="18"/>
                <w:szCs w:val="18"/>
              </w:rPr>
              <w:t>DIN EN 15491:2007</w:t>
            </w:r>
          </w:p>
        </w:tc>
        <w:tc>
          <w:tcPr>
            <w:tcW w:w="709" w:type="dxa"/>
            <w:vMerge w:val="restart"/>
          </w:tcPr>
          <w:p>
            <w:pPr>
              <w:pStyle w:val="GesAbsatz"/>
              <w:jc w:val="center"/>
              <w:rPr>
                <w:sz w:val="18"/>
                <w:szCs w:val="18"/>
              </w:rPr>
            </w:pPr>
          </w:p>
        </w:tc>
        <w:tc>
          <w:tcPr>
            <w:tcW w:w="992" w:type="dxa"/>
            <w:tcBorders>
              <w:bottom w:val="nil"/>
            </w:tcBorders>
            <w:shd w:val="clear" w:color="auto" w:fill="auto"/>
          </w:tcPr>
          <w:p>
            <w:pPr>
              <w:pStyle w:val="GesAbsatz"/>
              <w:jc w:val="center"/>
              <w:rPr>
                <w:sz w:val="18"/>
                <w:szCs w:val="18"/>
              </w:rPr>
            </w:pPr>
            <w:r>
              <w:rPr>
                <w:sz w:val="18"/>
                <w:szCs w:val="18"/>
              </w:rPr>
              <w:t>% (m/m)</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0,0058</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vMerge/>
            <w:shd w:val="clear" w:color="auto" w:fill="auto"/>
          </w:tcPr>
          <w:p>
            <w:pPr>
              <w:pStyle w:val="GesAbsatz"/>
              <w:rPr>
                <w:sz w:val="18"/>
                <w:szCs w:val="18"/>
              </w:rPr>
            </w:pPr>
          </w:p>
        </w:tc>
        <w:tc>
          <w:tcPr>
            <w:tcW w:w="709" w:type="dxa"/>
            <w:vMerge/>
            <w:tcBorders>
              <w:bottom w:val="single" w:sz="4" w:space="0" w:color="auto"/>
            </w:tcBorders>
          </w:tcPr>
          <w:p>
            <w:pPr>
              <w:pStyle w:val="GesAbsatz"/>
              <w:jc w:val="center"/>
              <w:rPr>
                <w:sz w:val="18"/>
                <w:szCs w:val="18"/>
              </w:rPr>
            </w:pP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mg/l</w:t>
            </w:r>
          </w:p>
        </w:tc>
        <w:tc>
          <w:tcPr>
            <w:tcW w:w="850" w:type="dxa"/>
            <w:vMerge/>
            <w:tcBorders>
              <w:top w:val="nil"/>
              <w:bottom w:val="single" w:sz="4" w:space="0" w:color="auto"/>
            </w:tcBorders>
            <w:shd w:val="clear" w:color="auto" w:fill="auto"/>
          </w:tcPr>
          <w:p>
            <w:pPr>
              <w:pStyle w:val="GesAbsatz"/>
              <w:jc w:val="center"/>
              <w:rPr>
                <w:sz w:val="18"/>
                <w:szCs w:val="18"/>
              </w:rPr>
            </w:pPr>
          </w:p>
        </w:tc>
        <w:tc>
          <w:tcPr>
            <w:tcW w:w="851" w:type="dxa"/>
            <w:tcBorders>
              <w:top w:val="nil"/>
              <w:bottom w:val="single" w:sz="4" w:space="0" w:color="auto"/>
            </w:tcBorders>
            <w:shd w:val="clear" w:color="auto" w:fill="auto"/>
          </w:tcPr>
          <w:p>
            <w:pPr>
              <w:pStyle w:val="GesAbsatz"/>
              <w:jc w:val="center"/>
              <w:rPr>
                <w:sz w:val="18"/>
                <w:szCs w:val="18"/>
              </w:rPr>
            </w:pPr>
            <w:r>
              <w:rPr>
                <w:sz w:val="18"/>
                <w:szCs w:val="18"/>
              </w:rPr>
              <w:t>46,5</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19</w:t>
            </w:r>
          </w:p>
        </w:tc>
        <w:tc>
          <w:tcPr>
            <w:tcW w:w="2976" w:type="dxa"/>
            <w:vMerge w:val="restart"/>
            <w:shd w:val="clear" w:color="auto" w:fill="auto"/>
          </w:tcPr>
          <w:p>
            <w:pPr>
              <w:pStyle w:val="GesAbsatz"/>
              <w:rPr>
                <w:sz w:val="18"/>
                <w:szCs w:val="18"/>
              </w:rPr>
            </w:pPr>
            <w:r>
              <w:rPr>
                <w:sz w:val="18"/>
                <w:szCs w:val="18"/>
              </w:rPr>
              <w:t>Summengehalt an Ethanol un</w:t>
            </w:r>
            <w:r>
              <w:rPr>
                <w:sz w:val="18"/>
                <w:szCs w:val="18"/>
              </w:rPr>
              <w:t>d</w:t>
            </w:r>
            <w:r>
              <w:rPr>
                <w:sz w:val="18"/>
                <w:szCs w:val="18"/>
              </w:rPr>
              <w:t xml:space="preserve"> höheren Alkoholen gemäß (7)</w:t>
            </w:r>
          </w:p>
        </w:tc>
        <w:tc>
          <w:tcPr>
            <w:tcW w:w="1984" w:type="dxa"/>
            <w:vMerge w:val="restart"/>
            <w:shd w:val="clear" w:color="auto" w:fill="auto"/>
          </w:tcPr>
          <w:p>
            <w:pPr>
              <w:pStyle w:val="GesAbsatz"/>
              <w:rPr>
                <w:sz w:val="18"/>
                <w:szCs w:val="18"/>
              </w:rPr>
            </w:pPr>
            <w:r>
              <w:rPr>
                <w:sz w:val="18"/>
                <w:szCs w:val="18"/>
              </w:rPr>
              <w:t>E DIN 51627-3 (2008)</w:t>
            </w:r>
          </w:p>
        </w:tc>
        <w:tc>
          <w:tcPr>
            <w:tcW w:w="709" w:type="dxa"/>
            <w:tcBorders>
              <w:bottom w:val="nil"/>
            </w:tcBorders>
          </w:tcPr>
          <w:p>
            <w:pPr>
              <w:pStyle w:val="GesAbsatz"/>
              <w:rPr>
                <w:sz w:val="18"/>
                <w:szCs w:val="18"/>
              </w:rPr>
            </w:pPr>
            <w:r>
              <w:rPr>
                <w:sz w:val="18"/>
                <w:szCs w:val="18"/>
              </w:rPr>
              <w:t>Kla</w:t>
            </w:r>
            <w:r>
              <w:rPr>
                <w:sz w:val="18"/>
                <w:szCs w:val="18"/>
              </w:rPr>
              <w:t>s</w:t>
            </w:r>
            <w:r>
              <w:rPr>
                <w:sz w:val="18"/>
                <w:szCs w:val="18"/>
              </w:rPr>
              <w:t>se A (Sommer)</w:t>
            </w:r>
          </w:p>
        </w:tc>
        <w:tc>
          <w:tcPr>
            <w:tcW w:w="992" w:type="dxa"/>
            <w:tcBorders>
              <w:bottom w:val="nil"/>
            </w:tcBorders>
            <w:shd w:val="clear" w:color="auto" w:fill="auto"/>
          </w:tcPr>
          <w:p>
            <w:pPr>
              <w:pStyle w:val="GesAbsatz"/>
              <w:jc w:val="center"/>
              <w:rPr>
                <w:sz w:val="18"/>
                <w:szCs w:val="18"/>
              </w:rPr>
            </w:pPr>
            <w:r>
              <w:rPr>
                <w:sz w:val="18"/>
                <w:szCs w:val="18"/>
              </w:rPr>
              <w:t>% (V/V)</w:t>
            </w:r>
          </w:p>
        </w:tc>
        <w:tc>
          <w:tcPr>
            <w:tcW w:w="850" w:type="dxa"/>
            <w:tcBorders>
              <w:bottom w:val="nil"/>
            </w:tcBorders>
            <w:shd w:val="clear" w:color="auto" w:fill="auto"/>
          </w:tcPr>
          <w:p>
            <w:pPr>
              <w:pStyle w:val="GesAbsatz"/>
              <w:jc w:val="center"/>
              <w:rPr>
                <w:sz w:val="18"/>
                <w:szCs w:val="18"/>
              </w:rPr>
            </w:pPr>
            <w:r>
              <w:rPr>
                <w:sz w:val="18"/>
                <w:szCs w:val="18"/>
              </w:rPr>
              <w:t>71,8</w:t>
            </w:r>
          </w:p>
        </w:tc>
        <w:tc>
          <w:tcPr>
            <w:tcW w:w="851" w:type="dxa"/>
            <w:tcBorders>
              <w:bottom w:val="nil"/>
            </w:tcBorders>
            <w:shd w:val="clear" w:color="auto" w:fill="auto"/>
          </w:tcPr>
          <w:p>
            <w:pPr>
              <w:pStyle w:val="GesAbsatz"/>
              <w:jc w:val="center"/>
              <w:rPr>
                <w:sz w:val="18"/>
                <w:szCs w:val="18"/>
              </w:rPr>
            </w:pPr>
            <w:r>
              <w:rPr>
                <w:sz w:val="18"/>
                <w:szCs w:val="18"/>
              </w:rPr>
              <w:t>89,2</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vMerge/>
            <w:shd w:val="clear" w:color="auto" w:fill="auto"/>
          </w:tcPr>
          <w:p>
            <w:pPr>
              <w:pStyle w:val="GesAbsatz"/>
              <w:rPr>
                <w:sz w:val="18"/>
                <w:szCs w:val="18"/>
              </w:rPr>
            </w:pPr>
          </w:p>
        </w:tc>
        <w:tc>
          <w:tcPr>
            <w:tcW w:w="709" w:type="dxa"/>
            <w:tcBorders>
              <w:top w:val="nil"/>
              <w:bottom w:val="single" w:sz="4" w:space="0" w:color="auto"/>
            </w:tcBorders>
          </w:tcPr>
          <w:p>
            <w:pPr>
              <w:pStyle w:val="GesAbsatz"/>
              <w:rPr>
                <w:sz w:val="18"/>
                <w:szCs w:val="18"/>
              </w:rPr>
            </w:pPr>
            <w:r>
              <w:rPr>
                <w:sz w:val="18"/>
                <w:szCs w:val="18"/>
              </w:rPr>
              <w:t>Kla</w:t>
            </w:r>
            <w:r>
              <w:rPr>
                <w:sz w:val="18"/>
                <w:szCs w:val="18"/>
              </w:rPr>
              <w:t>s</w:t>
            </w:r>
            <w:r>
              <w:rPr>
                <w:sz w:val="18"/>
                <w:szCs w:val="18"/>
              </w:rPr>
              <w:t>se B (Wi</w:t>
            </w:r>
            <w:r>
              <w:rPr>
                <w:sz w:val="18"/>
                <w:szCs w:val="18"/>
              </w:rPr>
              <w:t>n</w:t>
            </w:r>
            <w:r>
              <w:rPr>
                <w:sz w:val="18"/>
                <w:szCs w:val="18"/>
              </w:rPr>
              <w:t>ter)</w:t>
            </w: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 ( V/V)</w:t>
            </w:r>
          </w:p>
        </w:tc>
        <w:tc>
          <w:tcPr>
            <w:tcW w:w="850" w:type="dxa"/>
            <w:tcBorders>
              <w:top w:val="nil"/>
              <w:bottom w:val="single" w:sz="4" w:space="0" w:color="auto"/>
            </w:tcBorders>
            <w:shd w:val="clear" w:color="auto" w:fill="auto"/>
          </w:tcPr>
          <w:p>
            <w:pPr>
              <w:pStyle w:val="GesAbsatz"/>
              <w:jc w:val="center"/>
              <w:rPr>
                <w:sz w:val="18"/>
                <w:szCs w:val="18"/>
              </w:rPr>
            </w:pPr>
            <w:r>
              <w:rPr>
                <w:sz w:val="18"/>
                <w:szCs w:val="18"/>
              </w:rPr>
              <w:t>66,8</w:t>
            </w:r>
          </w:p>
        </w:tc>
        <w:tc>
          <w:tcPr>
            <w:tcW w:w="851" w:type="dxa"/>
            <w:tcBorders>
              <w:top w:val="nil"/>
              <w:bottom w:val="single" w:sz="4" w:space="0" w:color="auto"/>
            </w:tcBorders>
            <w:shd w:val="clear" w:color="auto" w:fill="auto"/>
          </w:tcPr>
          <w:p>
            <w:pPr>
              <w:pStyle w:val="GesAbsatz"/>
              <w:jc w:val="center"/>
              <w:rPr>
                <w:sz w:val="18"/>
                <w:szCs w:val="18"/>
              </w:rPr>
            </w:pPr>
            <w:r>
              <w:rPr>
                <w:sz w:val="18"/>
                <w:szCs w:val="18"/>
              </w:rPr>
              <w:t>83,2</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lastRenderedPageBreak/>
              <w:t>20</w:t>
            </w:r>
          </w:p>
        </w:tc>
        <w:tc>
          <w:tcPr>
            <w:tcW w:w="2976" w:type="dxa"/>
            <w:vMerge w:val="restart"/>
            <w:shd w:val="clear" w:color="auto" w:fill="auto"/>
          </w:tcPr>
          <w:p>
            <w:pPr>
              <w:pStyle w:val="GesAbsatz"/>
              <w:rPr>
                <w:sz w:val="18"/>
                <w:szCs w:val="18"/>
              </w:rPr>
            </w:pPr>
            <w:r>
              <w:rPr>
                <w:sz w:val="18"/>
                <w:szCs w:val="18"/>
              </w:rPr>
              <w:t>Gehalt an unverbleitem Ottokraf</w:t>
            </w:r>
            <w:r>
              <w:rPr>
                <w:sz w:val="18"/>
                <w:szCs w:val="18"/>
              </w:rPr>
              <w:t>t</w:t>
            </w:r>
            <w:r>
              <w:rPr>
                <w:sz w:val="18"/>
                <w:szCs w:val="18"/>
              </w:rPr>
              <w:t>stoffe)</w:t>
            </w:r>
          </w:p>
        </w:tc>
        <w:tc>
          <w:tcPr>
            <w:tcW w:w="1984" w:type="dxa"/>
            <w:vMerge w:val="restart"/>
            <w:shd w:val="clear" w:color="auto" w:fill="auto"/>
          </w:tcPr>
          <w:p>
            <w:pPr>
              <w:pStyle w:val="GesAbsatz"/>
              <w:rPr>
                <w:sz w:val="18"/>
                <w:szCs w:val="18"/>
              </w:rPr>
            </w:pPr>
            <w:r>
              <w:rPr>
                <w:sz w:val="18"/>
                <w:szCs w:val="18"/>
              </w:rPr>
              <w:t>E DIN 51627-3 (2008)</w:t>
            </w:r>
          </w:p>
        </w:tc>
        <w:tc>
          <w:tcPr>
            <w:tcW w:w="709" w:type="dxa"/>
            <w:tcBorders>
              <w:bottom w:val="nil"/>
            </w:tcBorders>
          </w:tcPr>
          <w:p>
            <w:pPr>
              <w:pStyle w:val="GesAbsatz"/>
              <w:rPr>
                <w:sz w:val="18"/>
                <w:szCs w:val="18"/>
              </w:rPr>
            </w:pPr>
            <w:r>
              <w:rPr>
                <w:sz w:val="18"/>
                <w:szCs w:val="18"/>
              </w:rPr>
              <w:t>Kla</w:t>
            </w:r>
            <w:r>
              <w:rPr>
                <w:sz w:val="18"/>
                <w:szCs w:val="18"/>
              </w:rPr>
              <w:t>s</w:t>
            </w:r>
            <w:r>
              <w:rPr>
                <w:sz w:val="18"/>
                <w:szCs w:val="18"/>
              </w:rPr>
              <w:t>se A (Sommer)</w:t>
            </w:r>
          </w:p>
        </w:tc>
        <w:tc>
          <w:tcPr>
            <w:tcW w:w="992" w:type="dxa"/>
            <w:tcBorders>
              <w:bottom w:val="nil"/>
            </w:tcBorders>
            <w:shd w:val="clear" w:color="auto" w:fill="auto"/>
          </w:tcPr>
          <w:p>
            <w:pPr>
              <w:pStyle w:val="GesAbsatz"/>
              <w:jc w:val="center"/>
              <w:rPr>
                <w:sz w:val="18"/>
                <w:szCs w:val="18"/>
              </w:rPr>
            </w:pPr>
            <w:r>
              <w:rPr>
                <w:sz w:val="18"/>
                <w:szCs w:val="18"/>
              </w:rPr>
              <w:t>% (V/V)</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25,2</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vMerge/>
            <w:shd w:val="clear" w:color="auto" w:fill="auto"/>
          </w:tcPr>
          <w:p>
            <w:pPr>
              <w:pStyle w:val="GesAbsatz"/>
              <w:rPr>
                <w:sz w:val="18"/>
                <w:szCs w:val="18"/>
              </w:rPr>
            </w:pPr>
          </w:p>
        </w:tc>
        <w:tc>
          <w:tcPr>
            <w:tcW w:w="709" w:type="dxa"/>
            <w:tcBorders>
              <w:top w:val="nil"/>
              <w:bottom w:val="single" w:sz="4" w:space="0" w:color="auto"/>
            </w:tcBorders>
          </w:tcPr>
          <w:p>
            <w:pPr>
              <w:pStyle w:val="GesAbsatz"/>
              <w:rPr>
                <w:sz w:val="18"/>
                <w:szCs w:val="18"/>
              </w:rPr>
            </w:pPr>
            <w:r>
              <w:rPr>
                <w:sz w:val="18"/>
                <w:szCs w:val="18"/>
              </w:rPr>
              <w:t>Kla</w:t>
            </w:r>
            <w:r>
              <w:rPr>
                <w:sz w:val="18"/>
                <w:szCs w:val="18"/>
              </w:rPr>
              <w:t>s</w:t>
            </w:r>
            <w:r>
              <w:rPr>
                <w:sz w:val="18"/>
                <w:szCs w:val="18"/>
              </w:rPr>
              <w:t>se B (Wi</w:t>
            </w:r>
            <w:r>
              <w:rPr>
                <w:sz w:val="18"/>
                <w:szCs w:val="18"/>
              </w:rPr>
              <w:t>n</w:t>
            </w:r>
            <w:r>
              <w:rPr>
                <w:sz w:val="18"/>
                <w:szCs w:val="18"/>
              </w:rPr>
              <w:t>ter)</w:t>
            </w: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 (V/V)</w:t>
            </w:r>
          </w:p>
        </w:tc>
        <w:tc>
          <w:tcPr>
            <w:tcW w:w="850" w:type="dxa"/>
            <w:vMerge/>
            <w:tcBorders>
              <w:top w:val="nil"/>
              <w:bottom w:val="single" w:sz="4" w:space="0" w:color="auto"/>
            </w:tcBorders>
            <w:shd w:val="clear" w:color="auto" w:fill="auto"/>
          </w:tcPr>
          <w:p>
            <w:pPr>
              <w:pStyle w:val="GesAbsatz"/>
              <w:jc w:val="center"/>
              <w:rPr>
                <w:sz w:val="18"/>
                <w:szCs w:val="18"/>
              </w:rPr>
            </w:pPr>
          </w:p>
        </w:tc>
        <w:tc>
          <w:tcPr>
            <w:tcW w:w="851" w:type="dxa"/>
            <w:tcBorders>
              <w:top w:val="nil"/>
              <w:bottom w:val="single" w:sz="4" w:space="0" w:color="auto"/>
            </w:tcBorders>
            <w:shd w:val="clear" w:color="auto" w:fill="auto"/>
          </w:tcPr>
          <w:p>
            <w:pPr>
              <w:pStyle w:val="GesAbsatz"/>
              <w:jc w:val="center"/>
              <w:rPr>
                <w:sz w:val="18"/>
                <w:szCs w:val="18"/>
              </w:rPr>
            </w:pPr>
            <w:r>
              <w:rPr>
                <w:sz w:val="18"/>
                <w:szCs w:val="18"/>
              </w:rPr>
              <w:t>30,2</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21</w:t>
            </w:r>
          </w:p>
        </w:tc>
        <w:tc>
          <w:tcPr>
            <w:tcW w:w="2976" w:type="dxa"/>
            <w:vMerge w:val="restart"/>
            <w:shd w:val="clear" w:color="auto" w:fill="auto"/>
          </w:tcPr>
          <w:p>
            <w:pPr>
              <w:pStyle w:val="GesAbsatz"/>
              <w:rPr>
                <w:sz w:val="18"/>
                <w:szCs w:val="18"/>
              </w:rPr>
            </w:pPr>
            <w:r>
              <w:rPr>
                <w:sz w:val="18"/>
                <w:szCs w:val="18"/>
              </w:rPr>
              <w:t>Dampfdruck (DVPE)</w:t>
            </w:r>
          </w:p>
        </w:tc>
        <w:tc>
          <w:tcPr>
            <w:tcW w:w="1984" w:type="dxa"/>
            <w:vMerge w:val="restart"/>
            <w:shd w:val="clear" w:color="auto" w:fill="auto"/>
          </w:tcPr>
          <w:p>
            <w:pPr>
              <w:pStyle w:val="GesAbsatz"/>
              <w:rPr>
                <w:sz w:val="18"/>
                <w:szCs w:val="18"/>
              </w:rPr>
            </w:pPr>
            <w:r>
              <w:rPr>
                <w:sz w:val="18"/>
                <w:szCs w:val="18"/>
              </w:rPr>
              <w:t>DIN EN 13016-1:2007</w:t>
            </w:r>
          </w:p>
        </w:tc>
        <w:tc>
          <w:tcPr>
            <w:tcW w:w="709" w:type="dxa"/>
            <w:tcBorders>
              <w:bottom w:val="nil"/>
            </w:tcBorders>
          </w:tcPr>
          <w:p>
            <w:pPr>
              <w:pStyle w:val="GesAbsatz"/>
              <w:rPr>
                <w:sz w:val="18"/>
                <w:szCs w:val="18"/>
              </w:rPr>
            </w:pPr>
            <w:r>
              <w:rPr>
                <w:sz w:val="18"/>
                <w:szCs w:val="18"/>
              </w:rPr>
              <w:t>Kla</w:t>
            </w:r>
            <w:r>
              <w:rPr>
                <w:sz w:val="18"/>
                <w:szCs w:val="18"/>
              </w:rPr>
              <w:t>s</w:t>
            </w:r>
            <w:r>
              <w:rPr>
                <w:sz w:val="18"/>
                <w:szCs w:val="18"/>
              </w:rPr>
              <w:t>se A (Sommer)</w:t>
            </w:r>
          </w:p>
        </w:tc>
        <w:tc>
          <w:tcPr>
            <w:tcW w:w="992" w:type="dxa"/>
            <w:tcBorders>
              <w:bottom w:val="nil"/>
            </w:tcBorders>
            <w:shd w:val="clear" w:color="auto" w:fill="auto"/>
          </w:tcPr>
          <w:p>
            <w:pPr>
              <w:pStyle w:val="GesAbsatz"/>
              <w:jc w:val="center"/>
              <w:rPr>
                <w:sz w:val="18"/>
                <w:szCs w:val="18"/>
              </w:rPr>
            </w:pPr>
            <w:r>
              <w:rPr>
                <w:sz w:val="18"/>
                <w:szCs w:val="18"/>
              </w:rPr>
              <w:t>kPa</w:t>
            </w:r>
          </w:p>
        </w:tc>
        <w:tc>
          <w:tcPr>
            <w:tcW w:w="850" w:type="dxa"/>
            <w:tcBorders>
              <w:bottom w:val="nil"/>
            </w:tcBorders>
            <w:shd w:val="clear" w:color="auto" w:fill="auto"/>
          </w:tcPr>
          <w:p>
            <w:pPr>
              <w:pStyle w:val="GesAbsatz"/>
              <w:jc w:val="center"/>
              <w:rPr>
                <w:sz w:val="18"/>
                <w:szCs w:val="18"/>
              </w:rPr>
            </w:pPr>
            <w:r>
              <w:rPr>
                <w:sz w:val="18"/>
                <w:szCs w:val="18"/>
              </w:rPr>
              <w:t>33,8</w:t>
            </w:r>
          </w:p>
        </w:tc>
        <w:tc>
          <w:tcPr>
            <w:tcW w:w="851" w:type="dxa"/>
            <w:tcBorders>
              <w:bottom w:val="nil"/>
            </w:tcBorders>
            <w:shd w:val="clear" w:color="auto" w:fill="auto"/>
          </w:tcPr>
          <w:p>
            <w:pPr>
              <w:pStyle w:val="GesAbsatz"/>
              <w:jc w:val="center"/>
              <w:rPr>
                <w:sz w:val="18"/>
                <w:szCs w:val="18"/>
              </w:rPr>
            </w:pPr>
            <w:r>
              <w:rPr>
                <w:sz w:val="18"/>
                <w:szCs w:val="18"/>
              </w:rPr>
              <w:t>61,3</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vMerge/>
            <w:shd w:val="clear" w:color="auto" w:fill="auto"/>
          </w:tcPr>
          <w:p>
            <w:pPr>
              <w:pStyle w:val="GesAbsatz"/>
              <w:rPr>
                <w:sz w:val="18"/>
                <w:szCs w:val="18"/>
              </w:rPr>
            </w:pPr>
          </w:p>
        </w:tc>
        <w:tc>
          <w:tcPr>
            <w:tcW w:w="709" w:type="dxa"/>
            <w:tcBorders>
              <w:top w:val="nil"/>
              <w:bottom w:val="single" w:sz="4" w:space="0" w:color="auto"/>
            </w:tcBorders>
          </w:tcPr>
          <w:p>
            <w:pPr>
              <w:pStyle w:val="GesAbsatz"/>
              <w:rPr>
                <w:sz w:val="18"/>
                <w:szCs w:val="18"/>
              </w:rPr>
            </w:pPr>
            <w:r>
              <w:rPr>
                <w:sz w:val="18"/>
                <w:szCs w:val="18"/>
              </w:rPr>
              <w:t>Kla</w:t>
            </w:r>
            <w:r>
              <w:rPr>
                <w:sz w:val="18"/>
                <w:szCs w:val="18"/>
              </w:rPr>
              <w:t>s</w:t>
            </w:r>
            <w:r>
              <w:rPr>
                <w:sz w:val="18"/>
                <w:szCs w:val="18"/>
              </w:rPr>
              <w:t>se B (Wi</w:t>
            </w:r>
            <w:r>
              <w:rPr>
                <w:sz w:val="18"/>
                <w:szCs w:val="18"/>
              </w:rPr>
              <w:t>n</w:t>
            </w:r>
            <w:r>
              <w:rPr>
                <w:sz w:val="18"/>
                <w:szCs w:val="18"/>
              </w:rPr>
              <w:t>ter)</w:t>
            </w: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kPa</w:t>
            </w:r>
          </w:p>
        </w:tc>
        <w:tc>
          <w:tcPr>
            <w:tcW w:w="850" w:type="dxa"/>
            <w:tcBorders>
              <w:top w:val="nil"/>
              <w:bottom w:val="single" w:sz="4" w:space="0" w:color="auto"/>
            </w:tcBorders>
            <w:shd w:val="clear" w:color="auto" w:fill="auto"/>
          </w:tcPr>
          <w:p>
            <w:pPr>
              <w:pStyle w:val="GesAbsatz"/>
              <w:jc w:val="center"/>
              <w:rPr>
                <w:sz w:val="18"/>
                <w:szCs w:val="18"/>
              </w:rPr>
            </w:pPr>
            <w:r>
              <w:rPr>
                <w:sz w:val="18"/>
                <w:szCs w:val="18"/>
              </w:rPr>
              <w:t>48,7</w:t>
            </w:r>
          </w:p>
        </w:tc>
        <w:tc>
          <w:tcPr>
            <w:tcW w:w="851" w:type="dxa"/>
            <w:tcBorders>
              <w:top w:val="nil"/>
              <w:bottom w:val="single" w:sz="4" w:space="0" w:color="auto"/>
            </w:tcBorders>
            <w:shd w:val="clear" w:color="auto" w:fill="auto"/>
          </w:tcPr>
          <w:p>
            <w:pPr>
              <w:pStyle w:val="GesAbsatz"/>
              <w:jc w:val="center"/>
              <w:rPr>
                <w:sz w:val="18"/>
                <w:szCs w:val="18"/>
              </w:rPr>
            </w:pPr>
            <w:r>
              <w:rPr>
                <w:sz w:val="18"/>
                <w:szCs w:val="18"/>
              </w:rPr>
              <w:t>91,5</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22</w:t>
            </w:r>
          </w:p>
        </w:tc>
        <w:tc>
          <w:tcPr>
            <w:tcW w:w="2976" w:type="dxa"/>
            <w:vMerge w:val="restart"/>
            <w:shd w:val="clear" w:color="auto" w:fill="auto"/>
          </w:tcPr>
          <w:p>
            <w:pPr>
              <w:pStyle w:val="GesAbsatz"/>
              <w:rPr>
                <w:sz w:val="18"/>
                <w:szCs w:val="18"/>
              </w:rPr>
            </w:pPr>
            <w:r>
              <w:rPr>
                <w:sz w:val="18"/>
                <w:szCs w:val="18"/>
              </w:rPr>
              <w:t>Siedeende</w:t>
            </w:r>
          </w:p>
        </w:tc>
        <w:tc>
          <w:tcPr>
            <w:tcW w:w="1984" w:type="dxa"/>
            <w:vMerge w:val="restart"/>
            <w:shd w:val="clear" w:color="auto" w:fill="auto"/>
          </w:tcPr>
          <w:p>
            <w:pPr>
              <w:pStyle w:val="GesAbsatz"/>
              <w:rPr>
                <w:sz w:val="18"/>
                <w:szCs w:val="18"/>
              </w:rPr>
            </w:pPr>
            <w:r>
              <w:rPr>
                <w:sz w:val="18"/>
                <w:szCs w:val="18"/>
              </w:rPr>
              <w:t>DIN EN ISO 3405:2001</w:t>
            </w:r>
          </w:p>
        </w:tc>
        <w:tc>
          <w:tcPr>
            <w:tcW w:w="709" w:type="dxa"/>
            <w:tcBorders>
              <w:bottom w:val="nil"/>
            </w:tcBorders>
          </w:tcPr>
          <w:p>
            <w:pPr>
              <w:pStyle w:val="GesAbsatz"/>
              <w:rPr>
                <w:sz w:val="18"/>
                <w:szCs w:val="18"/>
              </w:rPr>
            </w:pPr>
            <w:r>
              <w:rPr>
                <w:sz w:val="18"/>
                <w:szCs w:val="18"/>
              </w:rPr>
              <w:t>Kla</w:t>
            </w:r>
            <w:r>
              <w:rPr>
                <w:sz w:val="18"/>
                <w:szCs w:val="18"/>
              </w:rPr>
              <w:t>s</w:t>
            </w:r>
            <w:r>
              <w:rPr>
                <w:sz w:val="18"/>
                <w:szCs w:val="18"/>
              </w:rPr>
              <w:t>se A (Sommer)</w:t>
            </w:r>
          </w:p>
        </w:tc>
        <w:tc>
          <w:tcPr>
            <w:tcW w:w="992" w:type="dxa"/>
            <w:tcBorders>
              <w:bottom w:val="nil"/>
            </w:tcBorders>
            <w:shd w:val="clear" w:color="auto" w:fill="auto"/>
          </w:tcPr>
          <w:p>
            <w:pPr>
              <w:pStyle w:val="GesAbsatz"/>
              <w:jc w:val="center"/>
              <w:rPr>
                <w:sz w:val="18"/>
                <w:szCs w:val="18"/>
              </w:rPr>
            </w:pPr>
            <w:r>
              <w:rPr>
                <w:sz w:val="18"/>
                <w:szCs w:val="18"/>
              </w:rPr>
              <w:t>°C</w:t>
            </w:r>
          </w:p>
        </w:tc>
        <w:tc>
          <w:tcPr>
            <w:tcW w:w="850" w:type="dxa"/>
            <w:tcBorders>
              <w:bottom w:val="nil"/>
            </w:tcBorders>
            <w:shd w:val="clear" w:color="auto" w:fill="auto"/>
          </w:tcPr>
          <w:p>
            <w:pPr>
              <w:pStyle w:val="GesAbsatz"/>
              <w:jc w:val="center"/>
              <w:rPr>
                <w:sz w:val="18"/>
                <w:szCs w:val="18"/>
              </w:rPr>
            </w:pPr>
            <w:r>
              <w:rPr>
                <w:sz w:val="18"/>
                <w:szCs w:val="18"/>
              </w:rPr>
              <w:t>–</w:t>
            </w:r>
          </w:p>
        </w:tc>
        <w:tc>
          <w:tcPr>
            <w:tcW w:w="851" w:type="dxa"/>
            <w:tcBorders>
              <w:bottom w:val="nil"/>
            </w:tcBorders>
            <w:shd w:val="clear" w:color="auto" w:fill="auto"/>
          </w:tcPr>
          <w:p>
            <w:pPr>
              <w:pStyle w:val="GesAbsatz"/>
              <w:jc w:val="center"/>
              <w:rPr>
                <w:sz w:val="18"/>
                <w:szCs w:val="18"/>
              </w:rPr>
            </w:pPr>
            <w:r>
              <w:rPr>
                <w:sz w:val="18"/>
                <w:szCs w:val="18"/>
              </w:rPr>
              <w:t>216,2</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vMerge/>
            <w:shd w:val="clear" w:color="auto" w:fill="auto"/>
          </w:tcPr>
          <w:p>
            <w:pPr>
              <w:pStyle w:val="GesAbsatz"/>
              <w:rPr>
                <w:sz w:val="18"/>
                <w:szCs w:val="18"/>
              </w:rPr>
            </w:pPr>
          </w:p>
        </w:tc>
        <w:tc>
          <w:tcPr>
            <w:tcW w:w="709" w:type="dxa"/>
            <w:tcBorders>
              <w:top w:val="nil"/>
              <w:bottom w:val="single" w:sz="4" w:space="0" w:color="auto"/>
            </w:tcBorders>
          </w:tcPr>
          <w:p>
            <w:pPr>
              <w:pStyle w:val="GesAbsatz"/>
              <w:rPr>
                <w:sz w:val="18"/>
                <w:szCs w:val="18"/>
              </w:rPr>
            </w:pPr>
            <w:r>
              <w:rPr>
                <w:sz w:val="18"/>
                <w:szCs w:val="18"/>
              </w:rPr>
              <w:t>Kla</w:t>
            </w:r>
            <w:r>
              <w:rPr>
                <w:sz w:val="18"/>
                <w:szCs w:val="18"/>
              </w:rPr>
              <w:t>s</w:t>
            </w:r>
            <w:r>
              <w:rPr>
                <w:sz w:val="18"/>
                <w:szCs w:val="18"/>
              </w:rPr>
              <w:t>se B (Wi</w:t>
            </w:r>
            <w:r>
              <w:rPr>
                <w:sz w:val="18"/>
                <w:szCs w:val="18"/>
              </w:rPr>
              <w:t>n</w:t>
            </w:r>
            <w:r>
              <w:rPr>
                <w:sz w:val="18"/>
                <w:szCs w:val="18"/>
              </w:rPr>
              <w:t>ter)</w:t>
            </w: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°C</w:t>
            </w:r>
          </w:p>
        </w:tc>
        <w:tc>
          <w:tcPr>
            <w:tcW w:w="850" w:type="dxa"/>
            <w:tcBorders>
              <w:top w:val="nil"/>
              <w:bottom w:val="single" w:sz="4" w:space="0" w:color="auto"/>
            </w:tcBorders>
            <w:shd w:val="clear" w:color="auto" w:fill="auto"/>
          </w:tcPr>
          <w:p>
            <w:pPr>
              <w:pStyle w:val="GesAbsatz"/>
              <w:jc w:val="center"/>
              <w:rPr>
                <w:sz w:val="18"/>
                <w:szCs w:val="18"/>
              </w:rPr>
            </w:pPr>
            <w:r>
              <w:rPr>
                <w:sz w:val="18"/>
                <w:szCs w:val="18"/>
              </w:rPr>
              <w:t>–</w:t>
            </w:r>
          </w:p>
        </w:tc>
        <w:tc>
          <w:tcPr>
            <w:tcW w:w="851" w:type="dxa"/>
            <w:tcBorders>
              <w:top w:val="nil"/>
              <w:bottom w:val="single" w:sz="4" w:space="0" w:color="auto"/>
            </w:tcBorders>
            <w:shd w:val="clear" w:color="auto" w:fill="auto"/>
          </w:tcPr>
          <w:p>
            <w:pPr>
              <w:pStyle w:val="GesAbsatz"/>
              <w:jc w:val="center"/>
              <w:rPr>
                <w:sz w:val="18"/>
                <w:szCs w:val="18"/>
              </w:rPr>
            </w:pPr>
            <w:r>
              <w:rPr>
                <w:sz w:val="18"/>
                <w:szCs w:val="18"/>
              </w:rPr>
              <w:t>216,2</w:t>
            </w:r>
          </w:p>
        </w:tc>
        <w:tc>
          <w:tcPr>
            <w:tcW w:w="911" w:type="dxa"/>
            <w:vMerge/>
            <w:shd w:val="clear" w:color="auto" w:fill="auto"/>
          </w:tcPr>
          <w:p>
            <w:pPr>
              <w:pStyle w:val="GesAbsatz"/>
              <w:rPr>
                <w:sz w:val="18"/>
                <w:szCs w:val="18"/>
              </w:rPr>
            </w:pPr>
          </w:p>
        </w:tc>
      </w:tr>
      <w:tr>
        <w:tc>
          <w:tcPr>
            <w:tcW w:w="534" w:type="dxa"/>
            <w:vMerge w:val="restart"/>
            <w:shd w:val="clear" w:color="auto" w:fill="auto"/>
          </w:tcPr>
          <w:p>
            <w:pPr>
              <w:pStyle w:val="GesAbsatz"/>
              <w:rPr>
                <w:sz w:val="18"/>
                <w:szCs w:val="18"/>
              </w:rPr>
            </w:pPr>
            <w:r>
              <w:rPr>
                <w:sz w:val="18"/>
                <w:szCs w:val="18"/>
              </w:rPr>
              <w:t>23</w:t>
            </w:r>
          </w:p>
        </w:tc>
        <w:tc>
          <w:tcPr>
            <w:tcW w:w="2976" w:type="dxa"/>
            <w:vMerge w:val="restart"/>
            <w:shd w:val="clear" w:color="auto" w:fill="auto"/>
          </w:tcPr>
          <w:p>
            <w:pPr>
              <w:pStyle w:val="GesAbsatz"/>
              <w:rPr>
                <w:sz w:val="18"/>
                <w:szCs w:val="18"/>
              </w:rPr>
            </w:pPr>
            <w:r>
              <w:rPr>
                <w:sz w:val="18"/>
                <w:szCs w:val="18"/>
              </w:rPr>
              <w:t>Destillationsrückstand</w:t>
            </w:r>
          </w:p>
        </w:tc>
        <w:tc>
          <w:tcPr>
            <w:tcW w:w="1984" w:type="dxa"/>
            <w:vMerge w:val="restart"/>
            <w:shd w:val="clear" w:color="auto" w:fill="auto"/>
          </w:tcPr>
          <w:p>
            <w:pPr>
              <w:pStyle w:val="GesAbsatz"/>
              <w:rPr>
                <w:sz w:val="18"/>
                <w:szCs w:val="18"/>
              </w:rPr>
            </w:pPr>
            <w:r>
              <w:rPr>
                <w:sz w:val="18"/>
                <w:szCs w:val="18"/>
              </w:rPr>
              <w:t>DIN EN ISO 3405:2001</w:t>
            </w:r>
          </w:p>
        </w:tc>
        <w:tc>
          <w:tcPr>
            <w:tcW w:w="709" w:type="dxa"/>
            <w:tcBorders>
              <w:bottom w:val="nil"/>
            </w:tcBorders>
          </w:tcPr>
          <w:p>
            <w:pPr>
              <w:pStyle w:val="GesAbsatz"/>
              <w:rPr>
                <w:sz w:val="18"/>
                <w:szCs w:val="18"/>
              </w:rPr>
            </w:pPr>
            <w:r>
              <w:rPr>
                <w:sz w:val="18"/>
                <w:szCs w:val="18"/>
              </w:rPr>
              <w:t>Kla</w:t>
            </w:r>
            <w:r>
              <w:rPr>
                <w:sz w:val="18"/>
                <w:szCs w:val="18"/>
              </w:rPr>
              <w:t>s</w:t>
            </w:r>
            <w:r>
              <w:rPr>
                <w:sz w:val="18"/>
                <w:szCs w:val="18"/>
              </w:rPr>
              <w:t>se A (Sommer)</w:t>
            </w:r>
          </w:p>
        </w:tc>
        <w:tc>
          <w:tcPr>
            <w:tcW w:w="992" w:type="dxa"/>
            <w:tcBorders>
              <w:bottom w:val="nil"/>
            </w:tcBorders>
            <w:shd w:val="clear" w:color="auto" w:fill="auto"/>
          </w:tcPr>
          <w:p>
            <w:pPr>
              <w:pStyle w:val="GesAbsatz"/>
              <w:jc w:val="center"/>
              <w:rPr>
                <w:sz w:val="18"/>
                <w:szCs w:val="18"/>
              </w:rPr>
            </w:pPr>
            <w:r>
              <w:rPr>
                <w:sz w:val="18"/>
                <w:szCs w:val="18"/>
              </w:rPr>
              <w:t>% (V/V)</w:t>
            </w:r>
          </w:p>
        </w:tc>
        <w:tc>
          <w:tcPr>
            <w:tcW w:w="850" w:type="dxa"/>
            <w:tcBorders>
              <w:bottom w:val="nil"/>
            </w:tcBorders>
            <w:shd w:val="clear" w:color="auto" w:fill="auto"/>
          </w:tcPr>
          <w:p>
            <w:pPr>
              <w:pStyle w:val="GesAbsatz"/>
              <w:jc w:val="center"/>
              <w:rPr>
                <w:sz w:val="18"/>
                <w:szCs w:val="18"/>
              </w:rPr>
            </w:pPr>
            <w:r>
              <w:rPr>
                <w:sz w:val="18"/>
                <w:szCs w:val="18"/>
              </w:rPr>
              <w:t>–</w:t>
            </w:r>
          </w:p>
        </w:tc>
        <w:tc>
          <w:tcPr>
            <w:tcW w:w="851" w:type="dxa"/>
            <w:tcBorders>
              <w:bottom w:val="nil"/>
            </w:tcBorders>
            <w:shd w:val="clear" w:color="auto" w:fill="auto"/>
          </w:tcPr>
          <w:p>
            <w:pPr>
              <w:pStyle w:val="GesAbsatz"/>
              <w:jc w:val="center"/>
              <w:rPr>
                <w:sz w:val="18"/>
                <w:szCs w:val="18"/>
              </w:rPr>
            </w:pPr>
            <w:r>
              <w:rPr>
                <w:sz w:val="18"/>
                <w:szCs w:val="18"/>
              </w:rPr>
              <w:t>2,0</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szCs w:val="18"/>
              </w:rPr>
            </w:pPr>
          </w:p>
        </w:tc>
        <w:tc>
          <w:tcPr>
            <w:tcW w:w="2976" w:type="dxa"/>
            <w:vMerge/>
            <w:tcBorders>
              <w:bottom w:val="single" w:sz="4" w:space="0" w:color="auto"/>
            </w:tcBorders>
            <w:shd w:val="clear" w:color="auto" w:fill="auto"/>
          </w:tcPr>
          <w:p>
            <w:pPr>
              <w:pStyle w:val="GesAbsatz"/>
              <w:rPr>
                <w:sz w:val="18"/>
                <w:szCs w:val="18"/>
              </w:rPr>
            </w:pPr>
          </w:p>
        </w:tc>
        <w:tc>
          <w:tcPr>
            <w:tcW w:w="1984" w:type="dxa"/>
            <w:vMerge/>
            <w:tcBorders>
              <w:bottom w:val="single" w:sz="4" w:space="0" w:color="auto"/>
            </w:tcBorders>
            <w:shd w:val="clear" w:color="auto" w:fill="auto"/>
          </w:tcPr>
          <w:p>
            <w:pPr>
              <w:pStyle w:val="GesAbsatz"/>
              <w:rPr>
                <w:sz w:val="18"/>
                <w:szCs w:val="18"/>
              </w:rPr>
            </w:pPr>
          </w:p>
        </w:tc>
        <w:tc>
          <w:tcPr>
            <w:tcW w:w="709" w:type="dxa"/>
            <w:tcBorders>
              <w:top w:val="nil"/>
              <w:bottom w:val="single" w:sz="4" w:space="0" w:color="auto"/>
            </w:tcBorders>
          </w:tcPr>
          <w:p>
            <w:pPr>
              <w:pStyle w:val="GesAbsatz"/>
              <w:rPr>
                <w:sz w:val="18"/>
                <w:szCs w:val="18"/>
              </w:rPr>
            </w:pPr>
            <w:r>
              <w:rPr>
                <w:sz w:val="18"/>
                <w:szCs w:val="18"/>
              </w:rPr>
              <w:t>Kla</w:t>
            </w:r>
            <w:r>
              <w:rPr>
                <w:sz w:val="18"/>
                <w:szCs w:val="18"/>
              </w:rPr>
              <w:t>s</w:t>
            </w:r>
            <w:r>
              <w:rPr>
                <w:sz w:val="18"/>
                <w:szCs w:val="18"/>
              </w:rPr>
              <w:t>se B (Wi</w:t>
            </w:r>
            <w:r>
              <w:rPr>
                <w:sz w:val="18"/>
                <w:szCs w:val="18"/>
              </w:rPr>
              <w:t>n</w:t>
            </w:r>
            <w:r>
              <w:rPr>
                <w:sz w:val="18"/>
                <w:szCs w:val="18"/>
              </w:rPr>
              <w:t>ter)</w:t>
            </w: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 (V/V)</w:t>
            </w:r>
          </w:p>
        </w:tc>
        <w:tc>
          <w:tcPr>
            <w:tcW w:w="850" w:type="dxa"/>
            <w:tcBorders>
              <w:top w:val="nil"/>
            </w:tcBorders>
            <w:shd w:val="clear" w:color="auto" w:fill="auto"/>
          </w:tcPr>
          <w:p>
            <w:pPr>
              <w:pStyle w:val="GesAbsatz"/>
              <w:jc w:val="center"/>
              <w:rPr>
                <w:sz w:val="18"/>
                <w:szCs w:val="18"/>
              </w:rPr>
            </w:pPr>
            <w:r>
              <w:rPr>
                <w:sz w:val="18"/>
                <w:szCs w:val="18"/>
              </w:rPr>
              <w:t>–</w:t>
            </w:r>
          </w:p>
        </w:tc>
        <w:tc>
          <w:tcPr>
            <w:tcW w:w="851" w:type="dxa"/>
            <w:tcBorders>
              <w:top w:val="nil"/>
            </w:tcBorders>
            <w:shd w:val="clear" w:color="auto" w:fill="auto"/>
          </w:tcPr>
          <w:p>
            <w:pPr>
              <w:pStyle w:val="GesAbsatz"/>
              <w:jc w:val="center"/>
              <w:rPr>
                <w:sz w:val="18"/>
                <w:szCs w:val="18"/>
              </w:rPr>
            </w:pPr>
            <w:r>
              <w:rPr>
                <w:sz w:val="18"/>
                <w:szCs w:val="18"/>
              </w:rPr>
              <w:t>2,0</w:t>
            </w: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ind w:left="426" w:hanging="426"/>
      </w:pPr>
      <w:r>
        <w:t>a)</w:t>
      </w:r>
      <w:r>
        <w:tab/>
        <w:t>Die Messung von ROZ und MOZ kann Schwierigkeiten verursachen, wenn die Prüfung ohne Anpassu</w:t>
      </w:r>
      <w:r>
        <w:t>n</w:t>
      </w:r>
      <w:r>
        <w:t>gen vorgenommen wird. Daher müssen die Einstellung des Luft-/Kraftstoffgemisches und die Gemisc</w:t>
      </w:r>
      <w:r>
        <w:t>h</w:t>
      </w:r>
      <w:r>
        <w:t>temperatur für E85 angepasst werden. Eine niedrigere Luftmenge und eine höhere Temperatur sind zur vollständigen Verdampfung erforderlich. Weitere Angaben hierzu können DIN 51756-1:1986 entno</w:t>
      </w:r>
      <w:r>
        <w:t>m</w:t>
      </w:r>
      <w:r>
        <w:t>men werden.</w:t>
      </w:r>
    </w:p>
    <w:p>
      <w:pPr>
        <w:pStyle w:val="GesAbsatz"/>
        <w:ind w:left="426" w:hanging="426"/>
      </w:pPr>
      <w:r>
        <w:t>b)</w:t>
      </w:r>
      <w:r>
        <w:tab/>
        <w:t>Bis zu deren Fertigstellung und Veröffentlichung kann als Prüfverfahren auch DIN EN 1601:1997 („GC-OFID“) mit einer volumetrischen Probenverdünnung zwischen 1:5 und 1:10 eingesetzt werden. Die Pr</w:t>
      </w:r>
      <w:r>
        <w:t>ä</w:t>
      </w:r>
      <w:r>
        <w:t>zisionsangaben für die Messpunkte 7, 8, 9, 10 sind mit den Angaben aus DIN EN 1601:1997 bis auf Rundung</w:t>
      </w:r>
      <w:r>
        <w:t>s</w:t>
      </w:r>
      <w:r>
        <w:t>effekte kompatibel.</w:t>
      </w:r>
    </w:p>
    <w:p>
      <w:pPr>
        <w:pStyle w:val="GesAbsatz"/>
        <w:ind w:left="426" w:hanging="426"/>
      </w:pPr>
      <w:r>
        <w:t>c)</w:t>
      </w:r>
      <w:r>
        <w:tab/>
        <w:t>Für dieses Prüfverfahren (12b) müssen die Präzisionsdaten noch in Ringversuchen ermittelt werden. Bis zu deren Veröffentlichung ist daher die Prüfung gemäß (12a) einzusetzen.</w:t>
      </w:r>
    </w:p>
    <w:p>
      <w:pPr>
        <w:pStyle w:val="GesAbsatz"/>
        <w:ind w:left="426" w:hanging="426"/>
      </w:pPr>
      <w:r>
        <w:t>d)</w:t>
      </w:r>
      <w:r>
        <w:tab/>
        <w:t>Das angegebene Prüfverfahren ist wegen unzureichender Präzision für den Streitfall derzeit nicht ei</w:t>
      </w:r>
      <w:r>
        <w:t>n</w:t>
      </w:r>
      <w:r>
        <w:t>setzbar. Das Prüfverfahren wird daher überprüft und alternativ wird ein geeigneteres Prüfverfahren zur Vo</w:t>
      </w:r>
      <w:r>
        <w:t>r</w:t>
      </w:r>
      <w:r>
        <w:t>hersage des Korrosionspotenzials eingeführt.</w:t>
      </w:r>
    </w:p>
    <w:p>
      <w:pPr>
        <w:pStyle w:val="GesAbsatz"/>
        <w:ind w:left="426" w:hanging="426"/>
      </w:pPr>
      <w:r>
        <w:t>e)</w:t>
      </w:r>
      <w:r>
        <w:tab/>
        <w:t>Da es für die Bestimmung nach DIN 51627-3 noch keine endgültig festgelegte Präzisionsangabe gibt, wu</w:t>
      </w:r>
      <w:r>
        <w:t>r</w:t>
      </w:r>
      <w:r>
        <w:t>den die Vorhaltewerte aus der bekannten relativen Standardabweichung (0,6%) ermittelt.</w:t>
      </w:r>
    </w:p>
    <w:p>
      <w:pPr>
        <w:pStyle w:val="berschrift2"/>
        <w:jc w:val="left"/>
      </w:pPr>
      <w:r>
        <w:br w:type="page"/>
      </w:r>
      <w:bookmarkStart w:id="19" w:name="_Toc349111755"/>
      <w:r>
        <w:lastRenderedPageBreak/>
        <w:t>Anlage 9</w:t>
      </w:r>
      <w:bookmarkEnd w:id="19"/>
    </w:p>
    <w:p>
      <w:pPr>
        <w:pStyle w:val="GesAbsatz"/>
        <w:jc w:val="center"/>
        <w:rPr>
          <w:b/>
        </w:rPr>
      </w:pPr>
      <w:r>
        <w:rPr>
          <w:b/>
        </w:rPr>
        <w:t>Prüfprotokoll zur Überwachung der Einhaltung von Anforderungswerten bei einmaliger</w:t>
      </w:r>
      <w:r>
        <w:rPr>
          <w:b/>
        </w:rPr>
        <w:br/>
        <w:t>Prüfung von Flüssiggas nach DIN EN 589:2008</w:t>
      </w:r>
    </w:p>
    <w:p>
      <w:pPr>
        <w:pStyle w:val="GesAbsatz"/>
      </w:pPr>
      <w:r>
        <w:t>Überprüfte Firma:</w:t>
      </w:r>
    </w:p>
    <w:p>
      <w:pPr>
        <w:pStyle w:val="GesAbsatz"/>
      </w:pPr>
      <w:r>
        <w:t>Probebehälternummer: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shd w:val="clear" w:color="auto" w:fill="auto"/>
          </w:tcPr>
          <w:p>
            <w:pPr>
              <w:pStyle w:val="GesAbsatz"/>
              <w:jc w:val="center"/>
              <w:rPr>
                <w:sz w:val="18"/>
                <w:szCs w:val="18"/>
              </w:rPr>
            </w:pPr>
            <w:r>
              <w:rPr>
                <w:sz w:val="18"/>
                <w:szCs w:val="18"/>
              </w:rPr>
              <w:t>min.</w:t>
            </w:r>
          </w:p>
        </w:tc>
        <w:tc>
          <w:tcPr>
            <w:tcW w:w="851"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pPr>
            <w:r>
              <w:rPr>
                <w:sz w:val="18"/>
                <w:szCs w:val="18"/>
              </w:rPr>
              <w:t>1</w:t>
            </w:r>
          </w:p>
        </w:tc>
        <w:tc>
          <w:tcPr>
            <w:tcW w:w="2976" w:type="dxa"/>
            <w:shd w:val="clear" w:color="auto" w:fill="auto"/>
          </w:tcPr>
          <w:p>
            <w:pPr>
              <w:pStyle w:val="GesAbsatz"/>
            </w:pPr>
            <w:r>
              <w:rPr>
                <w:sz w:val="18"/>
                <w:szCs w:val="18"/>
              </w:rPr>
              <w:t>Klopffestigkeit, MOZ</w:t>
            </w:r>
          </w:p>
        </w:tc>
        <w:tc>
          <w:tcPr>
            <w:tcW w:w="1984" w:type="dxa"/>
            <w:shd w:val="clear" w:color="auto" w:fill="auto"/>
          </w:tcPr>
          <w:p>
            <w:pPr>
              <w:pStyle w:val="GesAbsatz"/>
            </w:pPr>
            <w:r>
              <w:rPr>
                <w:sz w:val="18"/>
                <w:szCs w:val="18"/>
              </w:rPr>
              <w:t>DIN EN 589 Anhang B:2008</w:t>
            </w:r>
          </w:p>
        </w:tc>
        <w:tc>
          <w:tcPr>
            <w:tcW w:w="709" w:type="dxa"/>
          </w:tcPr>
          <w:p>
            <w:pPr>
              <w:pStyle w:val="GesAbsatz"/>
              <w:jc w:val="center"/>
            </w:pPr>
          </w:p>
        </w:tc>
        <w:tc>
          <w:tcPr>
            <w:tcW w:w="992" w:type="dxa"/>
            <w:shd w:val="clear" w:color="auto" w:fill="auto"/>
          </w:tcPr>
          <w:p>
            <w:pPr>
              <w:pStyle w:val="GesAbsatz"/>
              <w:jc w:val="center"/>
            </w:pPr>
          </w:p>
        </w:tc>
        <w:tc>
          <w:tcPr>
            <w:tcW w:w="850" w:type="dxa"/>
            <w:shd w:val="clear" w:color="auto" w:fill="auto"/>
          </w:tcPr>
          <w:p>
            <w:pPr>
              <w:pStyle w:val="GesAbsatz"/>
              <w:jc w:val="center"/>
              <w:rPr>
                <w:sz w:val="18"/>
                <w:szCs w:val="18"/>
              </w:rPr>
            </w:pPr>
            <w:r>
              <w:rPr>
                <w:sz w:val="18"/>
                <w:szCs w:val="18"/>
              </w:rPr>
              <w:t>87,9</w:t>
            </w:r>
          </w:p>
        </w:tc>
        <w:tc>
          <w:tcPr>
            <w:tcW w:w="851"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2</w:t>
            </w:r>
          </w:p>
        </w:tc>
        <w:tc>
          <w:tcPr>
            <w:tcW w:w="2976" w:type="dxa"/>
            <w:shd w:val="clear" w:color="auto" w:fill="auto"/>
          </w:tcPr>
          <w:p>
            <w:pPr>
              <w:pStyle w:val="GesAbsatz"/>
              <w:rPr>
                <w:sz w:val="18"/>
                <w:szCs w:val="18"/>
              </w:rPr>
            </w:pPr>
            <w:r>
              <w:rPr>
                <w:sz w:val="18"/>
                <w:szCs w:val="18"/>
              </w:rPr>
              <w:t>Gesamtgehalt an Dienen (einschl. 1,3-Butadien)</w:t>
            </w:r>
          </w:p>
        </w:tc>
        <w:tc>
          <w:tcPr>
            <w:tcW w:w="1984" w:type="dxa"/>
            <w:shd w:val="clear" w:color="auto" w:fill="auto"/>
          </w:tcPr>
          <w:p>
            <w:pPr>
              <w:pStyle w:val="GesAbsatz"/>
              <w:rPr>
                <w:sz w:val="18"/>
                <w:szCs w:val="18"/>
              </w:rPr>
            </w:pPr>
            <w:r>
              <w:rPr>
                <w:sz w:val="18"/>
                <w:szCs w:val="18"/>
              </w:rPr>
              <w:t>DIN EN 27941:1993</w:t>
            </w:r>
          </w:p>
        </w:tc>
        <w:tc>
          <w:tcPr>
            <w:tcW w:w="709" w:type="dxa"/>
          </w:tcPr>
          <w:p>
            <w:pPr>
              <w:pStyle w:val="GesAbsatz"/>
              <w:jc w:val="center"/>
            </w:pPr>
          </w:p>
        </w:tc>
        <w:tc>
          <w:tcPr>
            <w:tcW w:w="992" w:type="dxa"/>
            <w:shd w:val="clear" w:color="auto" w:fill="auto"/>
          </w:tcPr>
          <w:p>
            <w:pPr>
              <w:pStyle w:val="GesAbsatz"/>
              <w:jc w:val="center"/>
            </w:pPr>
            <w:r>
              <w:rPr>
                <w:sz w:val="18"/>
                <w:szCs w:val="18"/>
              </w:rPr>
              <w:t>Mol %</w:t>
            </w:r>
          </w:p>
        </w:tc>
        <w:tc>
          <w:tcPr>
            <w:tcW w:w="850" w:type="dxa"/>
            <w:shd w:val="clear" w:color="auto" w:fill="auto"/>
          </w:tcPr>
          <w:p>
            <w:pPr>
              <w:pStyle w:val="GesAbsatz"/>
              <w:jc w:val="center"/>
              <w:rPr>
                <w:sz w:val="18"/>
                <w:szCs w:val="18"/>
              </w:rPr>
            </w:pPr>
          </w:p>
        </w:tc>
        <w:tc>
          <w:tcPr>
            <w:tcW w:w="851" w:type="dxa"/>
            <w:shd w:val="clear" w:color="auto" w:fill="auto"/>
          </w:tcPr>
          <w:p>
            <w:pPr>
              <w:pStyle w:val="GesAbsatz"/>
              <w:jc w:val="center"/>
              <w:rPr>
                <w:sz w:val="18"/>
                <w:szCs w:val="18"/>
              </w:rPr>
            </w:pPr>
            <w:r>
              <w:rPr>
                <w:sz w:val="18"/>
                <w:szCs w:val="18"/>
              </w:rPr>
              <w:t>0,6</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3</w:t>
            </w:r>
          </w:p>
        </w:tc>
        <w:tc>
          <w:tcPr>
            <w:tcW w:w="2976" w:type="dxa"/>
            <w:shd w:val="clear" w:color="auto" w:fill="auto"/>
          </w:tcPr>
          <w:p>
            <w:pPr>
              <w:pStyle w:val="GesAbsatz"/>
              <w:rPr>
                <w:sz w:val="18"/>
                <w:szCs w:val="18"/>
              </w:rPr>
            </w:pPr>
            <w:r>
              <w:rPr>
                <w:sz w:val="18"/>
                <w:szCs w:val="18"/>
              </w:rPr>
              <w:t>Schwefelwasserstoff</w:t>
            </w:r>
          </w:p>
        </w:tc>
        <w:tc>
          <w:tcPr>
            <w:tcW w:w="1984" w:type="dxa"/>
            <w:tcBorders>
              <w:bottom w:val="single" w:sz="4" w:space="0" w:color="auto"/>
            </w:tcBorders>
            <w:shd w:val="clear" w:color="auto" w:fill="auto"/>
          </w:tcPr>
          <w:p>
            <w:pPr>
              <w:pStyle w:val="GesAbsatz"/>
              <w:rPr>
                <w:sz w:val="18"/>
                <w:szCs w:val="18"/>
              </w:rPr>
            </w:pPr>
            <w:r>
              <w:rPr>
                <w:sz w:val="18"/>
                <w:szCs w:val="18"/>
              </w:rPr>
              <w:t>DIN EN ISO 8819:1995</w:t>
            </w:r>
          </w:p>
        </w:tc>
        <w:tc>
          <w:tcPr>
            <w:tcW w:w="709" w:type="dxa"/>
            <w:tcBorders>
              <w:bottom w:val="single" w:sz="4" w:space="0" w:color="auto"/>
            </w:tcBorders>
          </w:tcPr>
          <w:p>
            <w:pPr>
              <w:pStyle w:val="GesAbsatz"/>
              <w:jc w:val="center"/>
            </w:pPr>
          </w:p>
        </w:tc>
        <w:tc>
          <w:tcPr>
            <w:tcW w:w="992" w:type="dxa"/>
            <w:tcBorders>
              <w:bottom w:val="single" w:sz="4" w:space="0" w:color="auto"/>
            </w:tcBorders>
            <w:shd w:val="clear" w:color="auto" w:fill="auto"/>
          </w:tcPr>
          <w:p>
            <w:pPr>
              <w:pStyle w:val="GesAbsatz"/>
              <w:jc w:val="center"/>
              <w:rPr>
                <w:sz w:val="18"/>
                <w:szCs w:val="18"/>
              </w:rPr>
            </w:pPr>
          </w:p>
        </w:tc>
        <w:tc>
          <w:tcPr>
            <w:tcW w:w="1701" w:type="dxa"/>
            <w:gridSpan w:val="2"/>
            <w:tcBorders>
              <w:bottom w:val="single" w:sz="4" w:space="0" w:color="auto"/>
            </w:tcBorders>
            <w:shd w:val="clear" w:color="auto" w:fill="auto"/>
          </w:tcPr>
          <w:p>
            <w:pPr>
              <w:pStyle w:val="GesAbsatz"/>
              <w:jc w:val="center"/>
              <w:rPr>
                <w:sz w:val="18"/>
                <w:szCs w:val="18"/>
              </w:rPr>
            </w:pPr>
            <w:r>
              <w:rPr>
                <w:sz w:val="18"/>
                <w:szCs w:val="18"/>
              </w:rPr>
              <w:t>nicht nac</w:t>
            </w:r>
            <w:r>
              <w:rPr>
                <w:sz w:val="18"/>
                <w:szCs w:val="18"/>
              </w:rPr>
              <w:t>h</w:t>
            </w:r>
            <w:r>
              <w:rPr>
                <w:sz w:val="18"/>
                <w:szCs w:val="18"/>
              </w:rPr>
              <w:t>weisbar</w:t>
            </w:r>
          </w:p>
        </w:tc>
        <w:tc>
          <w:tcPr>
            <w:tcW w:w="911" w:type="dxa"/>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4</w:t>
            </w:r>
          </w:p>
        </w:tc>
        <w:tc>
          <w:tcPr>
            <w:tcW w:w="2976" w:type="dxa"/>
            <w:vMerge w:val="restart"/>
            <w:shd w:val="clear" w:color="auto" w:fill="auto"/>
          </w:tcPr>
          <w:p>
            <w:pPr>
              <w:pStyle w:val="GesAbsatz"/>
              <w:rPr>
                <w:sz w:val="18"/>
                <w:szCs w:val="18"/>
              </w:rPr>
            </w:pPr>
            <w:r>
              <w:rPr>
                <w:sz w:val="18"/>
                <w:szCs w:val="18"/>
              </w:rPr>
              <w:t>Gesamtschwefelgehalt (nach Od</w:t>
            </w:r>
            <w:r>
              <w:rPr>
                <w:sz w:val="18"/>
                <w:szCs w:val="18"/>
              </w:rPr>
              <w:t>o</w:t>
            </w:r>
            <w:r>
              <w:rPr>
                <w:sz w:val="18"/>
                <w:szCs w:val="18"/>
              </w:rPr>
              <w:t>rierung)</w:t>
            </w:r>
          </w:p>
        </w:tc>
        <w:tc>
          <w:tcPr>
            <w:tcW w:w="1984" w:type="dxa"/>
            <w:tcBorders>
              <w:bottom w:val="nil"/>
            </w:tcBorders>
            <w:shd w:val="clear" w:color="auto" w:fill="auto"/>
          </w:tcPr>
          <w:p>
            <w:pPr>
              <w:pStyle w:val="GesAbsatz"/>
              <w:rPr>
                <w:sz w:val="18"/>
                <w:szCs w:val="18"/>
              </w:rPr>
            </w:pPr>
            <w:r>
              <w:rPr>
                <w:sz w:val="18"/>
                <w:szCs w:val="18"/>
              </w:rPr>
              <w:t>DIN EN 24260:1994</w:t>
            </w:r>
          </w:p>
        </w:tc>
        <w:tc>
          <w:tcPr>
            <w:tcW w:w="709" w:type="dxa"/>
            <w:vMerge w:val="restart"/>
            <w:tcBorders>
              <w:bottom w:val="nil"/>
            </w:tcBorders>
            <w:vAlign w:val="center"/>
          </w:tcPr>
          <w:p>
            <w:pPr>
              <w:pStyle w:val="GesAbsatz"/>
              <w:jc w:val="center"/>
            </w:pPr>
            <w:r>
              <w:rPr>
                <w:sz w:val="18"/>
                <w:szCs w:val="18"/>
              </w:rPr>
              <w:t>a)</w:t>
            </w:r>
          </w:p>
        </w:tc>
        <w:tc>
          <w:tcPr>
            <w:tcW w:w="992" w:type="dxa"/>
            <w:vMerge w:val="restart"/>
            <w:tcBorders>
              <w:bottom w:val="nil"/>
            </w:tcBorders>
            <w:shd w:val="clear" w:color="auto" w:fill="auto"/>
            <w:vAlign w:val="center"/>
          </w:tcPr>
          <w:p>
            <w:pPr>
              <w:pStyle w:val="GesAbsatz"/>
              <w:jc w:val="center"/>
              <w:rPr>
                <w:sz w:val="18"/>
                <w:szCs w:val="18"/>
              </w:rPr>
            </w:pPr>
            <w:r>
              <w:rPr>
                <w:sz w:val="18"/>
                <w:szCs w:val="18"/>
              </w:rPr>
              <w:t>mg/kg</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57</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bottom w:val="nil"/>
            </w:tcBorders>
            <w:shd w:val="clear" w:color="auto" w:fill="auto"/>
          </w:tcPr>
          <w:p>
            <w:pPr>
              <w:pStyle w:val="GesAbsatz"/>
              <w:rPr>
                <w:sz w:val="18"/>
                <w:szCs w:val="18"/>
              </w:rPr>
            </w:pPr>
            <w:r>
              <w:rPr>
                <w:sz w:val="18"/>
                <w:szCs w:val="18"/>
              </w:rPr>
              <w:t>ASTM D 3246:2005</w:t>
            </w:r>
          </w:p>
        </w:tc>
        <w:tc>
          <w:tcPr>
            <w:tcW w:w="709" w:type="dxa"/>
            <w:vMerge/>
            <w:tcBorders>
              <w:top w:val="nil"/>
              <w:bottom w:val="nil"/>
            </w:tcBorders>
          </w:tcPr>
          <w:p>
            <w:pPr>
              <w:pStyle w:val="GesAbsatz"/>
              <w:jc w:val="center"/>
              <w:rPr>
                <w:sz w:val="18"/>
                <w:szCs w:val="18"/>
              </w:rPr>
            </w:pPr>
          </w:p>
        </w:tc>
        <w:tc>
          <w:tcPr>
            <w:tcW w:w="992" w:type="dxa"/>
            <w:vMerge/>
            <w:tcBorders>
              <w:top w:val="nil"/>
              <w:bottom w:val="nil"/>
            </w:tcBorders>
            <w:shd w:val="clear" w:color="auto" w:fill="auto"/>
          </w:tcPr>
          <w:p>
            <w:pPr>
              <w:pStyle w:val="GesAbsatz"/>
              <w:jc w:val="center"/>
              <w:rPr>
                <w:sz w:val="18"/>
                <w:szCs w:val="18"/>
              </w:rPr>
            </w:pPr>
          </w:p>
        </w:tc>
        <w:tc>
          <w:tcPr>
            <w:tcW w:w="850" w:type="dxa"/>
            <w:vMerge/>
            <w:tcBorders>
              <w:top w:val="nil"/>
              <w:bottom w:val="nil"/>
            </w:tcBorders>
            <w:shd w:val="clear" w:color="auto" w:fill="auto"/>
          </w:tcPr>
          <w:p>
            <w:pPr>
              <w:pStyle w:val="GesAbsatz"/>
              <w:jc w:val="center"/>
              <w:rPr>
                <w:sz w:val="18"/>
                <w:szCs w:val="18"/>
              </w:rPr>
            </w:pPr>
          </w:p>
        </w:tc>
        <w:tc>
          <w:tcPr>
            <w:tcW w:w="851" w:type="dxa"/>
            <w:tcBorders>
              <w:top w:val="nil"/>
              <w:bottom w:val="nil"/>
            </w:tcBorders>
            <w:shd w:val="clear" w:color="auto" w:fill="auto"/>
          </w:tcPr>
          <w:p>
            <w:pPr>
              <w:pStyle w:val="GesAbsatz"/>
              <w:jc w:val="center"/>
              <w:rPr>
                <w:sz w:val="18"/>
                <w:szCs w:val="18"/>
              </w:rPr>
            </w:pPr>
            <w:r>
              <w:rPr>
                <w:sz w:val="18"/>
                <w:szCs w:val="18"/>
              </w:rPr>
              <w:t>53</w:t>
            </w:r>
          </w:p>
        </w:tc>
        <w:tc>
          <w:tcPr>
            <w:tcW w:w="911" w:type="dxa"/>
            <w:vMerge/>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tcBorders>
            <w:shd w:val="clear" w:color="auto" w:fill="auto"/>
          </w:tcPr>
          <w:p>
            <w:pPr>
              <w:pStyle w:val="GesAbsatz"/>
              <w:rPr>
                <w:sz w:val="18"/>
                <w:szCs w:val="18"/>
              </w:rPr>
            </w:pPr>
            <w:r>
              <w:rPr>
                <w:sz w:val="18"/>
                <w:szCs w:val="18"/>
              </w:rPr>
              <w:t>ASTM D 6667:2010</w:t>
            </w:r>
          </w:p>
        </w:tc>
        <w:tc>
          <w:tcPr>
            <w:tcW w:w="709" w:type="dxa"/>
            <w:vMerge/>
            <w:tcBorders>
              <w:top w:val="nil"/>
            </w:tcBorders>
          </w:tcPr>
          <w:p>
            <w:pPr>
              <w:pStyle w:val="GesAbsatz"/>
              <w:jc w:val="center"/>
              <w:rPr>
                <w:sz w:val="18"/>
                <w:szCs w:val="18"/>
              </w:rPr>
            </w:pPr>
          </w:p>
        </w:tc>
        <w:tc>
          <w:tcPr>
            <w:tcW w:w="992" w:type="dxa"/>
            <w:vMerge/>
            <w:tcBorders>
              <w:top w:val="nil"/>
            </w:tcBorders>
            <w:shd w:val="clear" w:color="auto" w:fill="auto"/>
          </w:tcPr>
          <w:p>
            <w:pPr>
              <w:pStyle w:val="GesAbsatz"/>
              <w:jc w:val="center"/>
              <w:rPr>
                <w:sz w:val="18"/>
                <w:szCs w:val="18"/>
              </w:rPr>
            </w:pP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r>
              <w:rPr>
                <w:sz w:val="18"/>
                <w:szCs w:val="18"/>
              </w:rPr>
              <w:t>59</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5</w:t>
            </w:r>
          </w:p>
        </w:tc>
        <w:tc>
          <w:tcPr>
            <w:tcW w:w="2976" w:type="dxa"/>
            <w:shd w:val="clear" w:color="auto" w:fill="auto"/>
          </w:tcPr>
          <w:p>
            <w:pPr>
              <w:pStyle w:val="GesAbsatz"/>
              <w:rPr>
                <w:sz w:val="18"/>
                <w:szCs w:val="18"/>
              </w:rPr>
            </w:pPr>
            <w:r>
              <w:rPr>
                <w:sz w:val="18"/>
                <w:szCs w:val="18"/>
              </w:rPr>
              <w:t>Korrosionswirkung auf Kupfer (1 h bei 40 °C)</w:t>
            </w:r>
          </w:p>
        </w:tc>
        <w:tc>
          <w:tcPr>
            <w:tcW w:w="1984" w:type="dxa"/>
            <w:tcBorders>
              <w:bottom w:val="single" w:sz="4" w:space="0" w:color="auto"/>
            </w:tcBorders>
            <w:shd w:val="clear" w:color="auto" w:fill="auto"/>
          </w:tcPr>
          <w:p>
            <w:pPr>
              <w:pStyle w:val="GesAbsatz"/>
              <w:rPr>
                <w:sz w:val="18"/>
                <w:szCs w:val="18"/>
              </w:rPr>
            </w:pPr>
            <w:r>
              <w:rPr>
                <w:sz w:val="18"/>
                <w:szCs w:val="18"/>
              </w:rPr>
              <w:t>DIN EN ISO 6251:1998</w:t>
            </w:r>
          </w:p>
        </w:tc>
        <w:tc>
          <w:tcPr>
            <w:tcW w:w="709" w:type="dxa"/>
            <w:tcBorders>
              <w:bottom w:val="single" w:sz="4" w:space="0" w:color="auto"/>
            </w:tcBorders>
          </w:tcPr>
          <w:p>
            <w:pPr>
              <w:pStyle w:val="GesAbsatz"/>
              <w:jc w:val="center"/>
              <w:rPr>
                <w:sz w:val="18"/>
                <w:szCs w:val="18"/>
              </w:rPr>
            </w:pPr>
          </w:p>
        </w:tc>
        <w:tc>
          <w:tcPr>
            <w:tcW w:w="992" w:type="dxa"/>
            <w:tcBorders>
              <w:bottom w:val="single" w:sz="4" w:space="0" w:color="auto"/>
            </w:tcBorders>
            <w:shd w:val="clear" w:color="auto" w:fill="auto"/>
          </w:tcPr>
          <w:p>
            <w:pPr>
              <w:pStyle w:val="GesAbsatz"/>
              <w:jc w:val="center"/>
              <w:rPr>
                <w:sz w:val="18"/>
                <w:szCs w:val="18"/>
              </w:rPr>
            </w:pPr>
            <w:r>
              <w:rPr>
                <w:sz w:val="18"/>
                <w:szCs w:val="18"/>
              </w:rPr>
              <w:t>Korros</w:t>
            </w:r>
            <w:r>
              <w:rPr>
                <w:sz w:val="18"/>
                <w:szCs w:val="18"/>
              </w:rPr>
              <w:t>i</w:t>
            </w:r>
            <w:r>
              <w:rPr>
                <w:sz w:val="18"/>
                <w:szCs w:val="18"/>
              </w:rPr>
              <w:t>onsgrad</w:t>
            </w:r>
          </w:p>
        </w:tc>
        <w:tc>
          <w:tcPr>
            <w:tcW w:w="1701" w:type="dxa"/>
            <w:gridSpan w:val="2"/>
            <w:tcBorders>
              <w:bottom w:val="single" w:sz="4" w:space="0" w:color="auto"/>
            </w:tcBorders>
            <w:shd w:val="clear" w:color="auto" w:fill="auto"/>
            <w:vAlign w:val="center"/>
          </w:tcPr>
          <w:p>
            <w:pPr>
              <w:pStyle w:val="GesAbsatz"/>
              <w:jc w:val="center"/>
              <w:rPr>
                <w:sz w:val="18"/>
                <w:szCs w:val="18"/>
              </w:rPr>
            </w:pPr>
            <w:r>
              <w:rPr>
                <w:sz w:val="18"/>
                <w:szCs w:val="18"/>
              </w:rPr>
              <w:t>Klasse 1</w:t>
            </w:r>
          </w:p>
        </w:tc>
        <w:tc>
          <w:tcPr>
            <w:tcW w:w="911" w:type="dxa"/>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6</w:t>
            </w:r>
          </w:p>
        </w:tc>
        <w:tc>
          <w:tcPr>
            <w:tcW w:w="2976" w:type="dxa"/>
            <w:vMerge w:val="restart"/>
            <w:shd w:val="clear" w:color="auto" w:fill="auto"/>
          </w:tcPr>
          <w:p>
            <w:pPr>
              <w:pStyle w:val="GesAbsatz"/>
              <w:rPr>
                <w:sz w:val="18"/>
                <w:szCs w:val="18"/>
              </w:rPr>
            </w:pPr>
            <w:r>
              <w:rPr>
                <w:sz w:val="18"/>
                <w:szCs w:val="18"/>
              </w:rPr>
              <w:t>Abdampfrückstand</w:t>
            </w:r>
          </w:p>
        </w:tc>
        <w:tc>
          <w:tcPr>
            <w:tcW w:w="1984" w:type="dxa"/>
            <w:tcBorders>
              <w:bottom w:val="nil"/>
            </w:tcBorders>
            <w:shd w:val="clear" w:color="auto" w:fill="auto"/>
          </w:tcPr>
          <w:p>
            <w:pPr>
              <w:pStyle w:val="GesAbsatz"/>
              <w:rPr>
                <w:sz w:val="18"/>
                <w:szCs w:val="18"/>
              </w:rPr>
            </w:pPr>
            <w:r>
              <w:rPr>
                <w:sz w:val="18"/>
                <w:szCs w:val="18"/>
              </w:rPr>
              <w:t>DIN EN 15470:2008</w:t>
            </w:r>
          </w:p>
        </w:tc>
        <w:tc>
          <w:tcPr>
            <w:tcW w:w="709" w:type="dxa"/>
            <w:vMerge w:val="restart"/>
            <w:tcBorders>
              <w:bottom w:val="nil"/>
            </w:tcBorders>
          </w:tcPr>
          <w:p>
            <w:pPr>
              <w:pStyle w:val="GesAbsatz"/>
              <w:jc w:val="center"/>
              <w:rPr>
                <w:sz w:val="18"/>
                <w:szCs w:val="18"/>
              </w:rPr>
            </w:pPr>
          </w:p>
        </w:tc>
        <w:tc>
          <w:tcPr>
            <w:tcW w:w="992" w:type="dxa"/>
            <w:vMerge w:val="restart"/>
            <w:tcBorders>
              <w:bottom w:val="nil"/>
            </w:tcBorders>
            <w:shd w:val="clear" w:color="auto" w:fill="auto"/>
          </w:tcPr>
          <w:p>
            <w:pPr>
              <w:pStyle w:val="GesAbsatz"/>
              <w:jc w:val="center"/>
              <w:rPr>
                <w:sz w:val="18"/>
                <w:szCs w:val="18"/>
              </w:rPr>
            </w:pPr>
            <w:r>
              <w:rPr>
                <w:sz w:val="18"/>
                <w:szCs w:val="18"/>
              </w:rPr>
              <w:t>mg/kg</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70,3</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6" w:type="dxa"/>
            <w:vMerge/>
            <w:shd w:val="clear" w:color="auto" w:fill="auto"/>
          </w:tcPr>
          <w:p>
            <w:pPr>
              <w:pStyle w:val="GesAbsatz"/>
              <w:rPr>
                <w:sz w:val="18"/>
                <w:szCs w:val="18"/>
              </w:rPr>
            </w:pPr>
          </w:p>
        </w:tc>
        <w:tc>
          <w:tcPr>
            <w:tcW w:w="1984" w:type="dxa"/>
            <w:tcBorders>
              <w:top w:val="nil"/>
              <w:bottom w:val="single" w:sz="4" w:space="0" w:color="auto"/>
            </w:tcBorders>
            <w:shd w:val="clear" w:color="auto" w:fill="auto"/>
          </w:tcPr>
          <w:p>
            <w:pPr>
              <w:pStyle w:val="GesAbsatz"/>
              <w:rPr>
                <w:sz w:val="18"/>
                <w:szCs w:val="18"/>
              </w:rPr>
            </w:pPr>
            <w:r>
              <w:rPr>
                <w:sz w:val="18"/>
                <w:szCs w:val="18"/>
              </w:rPr>
              <w:t>DIN EN 15471:2008</w:t>
            </w:r>
          </w:p>
        </w:tc>
        <w:tc>
          <w:tcPr>
            <w:tcW w:w="709" w:type="dxa"/>
            <w:vMerge/>
            <w:tcBorders>
              <w:top w:val="nil"/>
              <w:bottom w:val="single" w:sz="4" w:space="0" w:color="auto"/>
            </w:tcBorders>
          </w:tcPr>
          <w:p>
            <w:pPr>
              <w:pStyle w:val="GesAbsatz"/>
              <w:jc w:val="center"/>
              <w:rPr>
                <w:sz w:val="18"/>
                <w:szCs w:val="18"/>
              </w:rPr>
            </w:pPr>
          </w:p>
        </w:tc>
        <w:tc>
          <w:tcPr>
            <w:tcW w:w="992" w:type="dxa"/>
            <w:vMerge/>
            <w:tcBorders>
              <w:top w:val="nil"/>
              <w:bottom w:val="single" w:sz="4" w:space="0" w:color="auto"/>
            </w:tcBorders>
            <w:shd w:val="clear" w:color="auto" w:fill="auto"/>
          </w:tcPr>
          <w:p>
            <w:pPr>
              <w:pStyle w:val="GesAbsatz"/>
              <w:jc w:val="center"/>
              <w:rPr>
                <w:sz w:val="18"/>
                <w:szCs w:val="18"/>
              </w:rPr>
            </w:pPr>
          </w:p>
        </w:tc>
        <w:tc>
          <w:tcPr>
            <w:tcW w:w="850" w:type="dxa"/>
            <w:vMerge/>
            <w:tcBorders>
              <w:top w:val="nil"/>
              <w:bottom w:val="single" w:sz="4" w:space="0" w:color="auto"/>
            </w:tcBorders>
            <w:shd w:val="clear" w:color="auto" w:fill="auto"/>
          </w:tcPr>
          <w:p>
            <w:pPr>
              <w:pStyle w:val="GesAbsatz"/>
              <w:jc w:val="center"/>
              <w:rPr>
                <w:sz w:val="18"/>
                <w:szCs w:val="18"/>
              </w:rPr>
            </w:pPr>
          </w:p>
        </w:tc>
        <w:tc>
          <w:tcPr>
            <w:tcW w:w="851" w:type="dxa"/>
            <w:tcBorders>
              <w:top w:val="nil"/>
              <w:bottom w:val="single" w:sz="4" w:space="0" w:color="auto"/>
            </w:tcBorders>
            <w:shd w:val="clear" w:color="auto" w:fill="auto"/>
          </w:tcPr>
          <w:p>
            <w:pPr>
              <w:pStyle w:val="GesAbsatz"/>
              <w:jc w:val="center"/>
              <w:rPr>
                <w:sz w:val="18"/>
                <w:szCs w:val="18"/>
              </w:rPr>
            </w:pPr>
            <w:r>
              <w:rPr>
                <w:sz w:val="18"/>
                <w:szCs w:val="18"/>
              </w:rPr>
              <w:t>73,5</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7</w:t>
            </w:r>
          </w:p>
        </w:tc>
        <w:tc>
          <w:tcPr>
            <w:tcW w:w="2976" w:type="dxa"/>
            <w:vMerge w:val="restart"/>
            <w:shd w:val="clear" w:color="auto" w:fill="auto"/>
          </w:tcPr>
          <w:p>
            <w:pPr>
              <w:pStyle w:val="GesAbsatz"/>
              <w:rPr>
                <w:sz w:val="18"/>
                <w:szCs w:val="18"/>
              </w:rPr>
            </w:pPr>
            <w:r>
              <w:rPr>
                <w:sz w:val="18"/>
                <w:szCs w:val="18"/>
              </w:rPr>
              <w:t>Dampfdruck, Manometerdamp</w:t>
            </w:r>
            <w:r>
              <w:rPr>
                <w:sz w:val="18"/>
                <w:szCs w:val="18"/>
              </w:rPr>
              <w:t>f</w:t>
            </w:r>
            <w:r>
              <w:rPr>
                <w:sz w:val="18"/>
                <w:szCs w:val="18"/>
              </w:rPr>
              <w:t>druck bei 40 °C</w:t>
            </w:r>
          </w:p>
        </w:tc>
        <w:tc>
          <w:tcPr>
            <w:tcW w:w="1984" w:type="dxa"/>
            <w:tcBorders>
              <w:bottom w:val="nil"/>
            </w:tcBorders>
            <w:shd w:val="clear" w:color="auto" w:fill="auto"/>
          </w:tcPr>
          <w:p>
            <w:pPr>
              <w:pStyle w:val="GesAbsatz"/>
              <w:rPr>
                <w:sz w:val="18"/>
                <w:szCs w:val="18"/>
              </w:rPr>
            </w:pPr>
            <w:r>
              <w:rPr>
                <w:sz w:val="18"/>
                <w:szCs w:val="18"/>
              </w:rPr>
              <w:t>DIN EN ISO 4256:1999</w:t>
            </w:r>
          </w:p>
        </w:tc>
        <w:tc>
          <w:tcPr>
            <w:tcW w:w="709" w:type="dxa"/>
            <w:vMerge w:val="restart"/>
            <w:tcBorders>
              <w:bottom w:val="nil"/>
            </w:tcBorders>
            <w:vAlign w:val="center"/>
          </w:tcPr>
          <w:p>
            <w:pPr>
              <w:pStyle w:val="GesAbsatz"/>
              <w:jc w:val="center"/>
              <w:rPr>
                <w:sz w:val="18"/>
                <w:szCs w:val="18"/>
              </w:rPr>
            </w:pPr>
            <w:r>
              <w:rPr>
                <w:sz w:val="18"/>
                <w:szCs w:val="18"/>
              </w:rPr>
              <w:t>b)</w:t>
            </w:r>
          </w:p>
        </w:tc>
        <w:tc>
          <w:tcPr>
            <w:tcW w:w="992" w:type="dxa"/>
            <w:tcBorders>
              <w:bottom w:val="nil"/>
            </w:tcBorders>
            <w:shd w:val="clear" w:color="auto" w:fill="auto"/>
          </w:tcPr>
          <w:p>
            <w:pPr>
              <w:pStyle w:val="GesAbsatz"/>
              <w:jc w:val="center"/>
              <w:rPr>
                <w:sz w:val="18"/>
                <w:szCs w:val="18"/>
              </w:rPr>
            </w:pPr>
            <w:r>
              <w:rPr>
                <w:sz w:val="18"/>
                <w:szCs w:val="18"/>
              </w:rPr>
              <w:t>kPa</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1 561</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6" w:type="dxa"/>
            <w:vMerge/>
            <w:tcBorders>
              <w:bottom w:val="single" w:sz="4" w:space="0" w:color="auto"/>
            </w:tcBorders>
            <w:shd w:val="clear" w:color="auto" w:fill="auto"/>
          </w:tcPr>
          <w:p>
            <w:pPr>
              <w:pStyle w:val="GesAbsatz"/>
              <w:rPr>
                <w:sz w:val="18"/>
                <w:szCs w:val="18"/>
              </w:rPr>
            </w:pPr>
          </w:p>
        </w:tc>
        <w:tc>
          <w:tcPr>
            <w:tcW w:w="1984" w:type="dxa"/>
            <w:tcBorders>
              <w:top w:val="nil"/>
              <w:bottom w:val="single" w:sz="4" w:space="0" w:color="auto"/>
            </w:tcBorders>
            <w:shd w:val="clear" w:color="auto" w:fill="auto"/>
          </w:tcPr>
          <w:p>
            <w:pPr>
              <w:pStyle w:val="GesAbsatz"/>
              <w:rPr>
                <w:sz w:val="18"/>
                <w:szCs w:val="18"/>
              </w:rPr>
            </w:pPr>
            <w:r>
              <w:rPr>
                <w:sz w:val="18"/>
                <w:szCs w:val="18"/>
              </w:rPr>
              <w:t>DIN EN ISO 8973:1999 mit DIN EN 589 Anhang C:2008</w:t>
            </w:r>
          </w:p>
        </w:tc>
        <w:tc>
          <w:tcPr>
            <w:tcW w:w="709" w:type="dxa"/>
            <w:vMerge/>
            <w:tcBorders>
              <w:top w:val="nil"/>
              <w:bottom w:val="single" w:sz="4" w:space="0" w:color="auto"/>
            </w:tcBorders>
          </w:tcPr>
          <w:p>
            <w:pPr>
              <w:pStyle w:val="GesAbsatz"/>
              <w:jc w:val="center"/>
              <w:rPr>
                <w:sz w:val="18"/>
                <w:szCs w:val="18"/>
              </w:rPr>
            </w:pPr>
          </w:p>
        </w:tc>
        <w:tc>
          <w:tcPr>
            <w:tcW w:w="992" w:type="dxa"/>
            <w:tcBorders>
              <w:top w:val="nil"/>
              <w:bottom w:val="single" w:sz="4" w:space="0" w:color="auto"/>
            </w:tcBorders>
            <w:shd w:val="clear" w:color="auto" w:fill="auto"/>
          </w:tcPr>
          <w:p>
            <w:pPr>
              <w:pStyle w:val="GesAbsatz"/>
              <w:jc w:val="center"/>
              <w:rPr>
                <w:sz w:val="18"/>
                <w:szCs w:val="18"/>
              </w:rPr>
            </w:pPr>
            <w:r>
              <w:rPr>
                <w:sz w:val="18"/>
                <w:szCs w:val="18"/>
              </w:rPr>
              <w:t>kPa</w:t>
            </w:r>
          </w:p>
        </w:tc>
        <w:tc>
          <w:tcPr>
            <w:tcW w:w="850" w:type="dxa"/>
            <w:vMerge/>
            <w:tcBorders>
              <w:top w:val="nil"/>
              <w:bottom w:val="single" w:sz="4" w:space="0" w:color="auto"/>
            </w:tcBorders>
            <w:shd w:val="clear" w:color="auto" w:fill="auto"/>
          </w:tcPr>
          <w:p>
            <w:pPr>
              <w:pStyle w:val="GesAbsatz"/>
              <w:jc w:val="center"/>
              <w:rPr>
                <w:sz w:val="18"/>
                <w:szCs w:val="18"/>
              </w:rPr>
            </w:pPr>
          </w:p>
        </w:tc>
        <w:tc>
          <w:tcPr>
            <w:tcW w:w="851" w:type="dxa"/>
            <w:tcBorders>
              <w:top w:val="nil"/>
              <w:bottom w:val="single" w:sz="4" w:space="0" w:color="auto"/>
            </w:tcBorders>
            <w:shd w:val="clear" w:color="auto" w:fill="auto"/>
          </w:tcPr>
          <w:p>
            <w:pPr>
              <w:pStyle w:val="GesAbsatz"/>
              <w:jc w:val="center"/>
              <w:rPr>
                <w:sz w:val="18"/>
                <w:szCs w:val="18"/>
              </w:rPr>
            </w:pPr>
            <w:r>
              <w:rPr>
                <w:sz w:val="18"/>
                <w:szCs w:val="18"/>
              </w:rPr>
              <w:t>1 566</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8</w:t>
            </w:r>
          </w:p>
        </w:tc>
        <w:tc>
          <w:tcPr>
            <w:tcW w:w="2976" w:type="dxa"/>
            <w:tcBorders>
              <w:bottom w:val="nil"/>
            </w:tcBorders>
            <w:shd w:val="clear" w:color="auto" w:fill="auto"/>
          </w:tcPr>
          <w:p>
            <w:pPr>
              <w:pStyle w:val="GesAbsatz"/>
              <w:rPr>
                <w:sz w:val="18"/>
                <w:szCs w:val="18"/>
              </w:rPr>
            </w:pPr>
            <w:r>
              <w:rPr>
                <w:sz w:val="18"/>
                <w:szCs w:val="18"/>
              </w:rPr>
              <w:t>Dampfdruck, Manometerdamp</w:t>
            </w:r>
            <w:r>
              <w:rPr>
                <w:sz w:val="18"/>
                <w:szCs w:val="18"/>
              </w:rPr>
              <w:t>f</w:t>
            </w:r>
            <w:r>
              <w:rPr>
                <w:sz w:val="18"/>
                <w:szCs w:val="18"/>
              </w:rPr>
              <w:t>druck, min. 150 kPa bei einer Temper</w:t>
            </w:r>
            <w:r>
              <w:rPr>
                <w:sz w:val="18"/>
                <w:szCs w:val="18"/>
              </w:rPr>
              <w:t>a</w:t>
            </w:r>
            <w:r>
              <w:rPr>
                <w:sz w:val="18"/>
                <w:szCs w:val="18"/>
              </w:rPr>
              <w:t>tur von:</w:t>
            </w:r>
          </w:p>
        </w:tc>
        <w:tc>
          <w:tcPr>
            <w:tcW w:w="1984" w:type="dxa"/>
            <w:vMerge w:val="restart"/>
            <w:tcBorders>
              <w:bottom w:val="nil"/>
            </w:tcBorders>
            <w:shd w:val="clear" w:color="auto" w:fill="auto"/>
          </w:tcPr>
          <w:p>
            <w:pPr>
              <w:pStyle w:val="GesAbsatz"/>
              <w:rPr>
                <w:sz w:val="18"/>
                <w:szCs w:val="18"/>
              </w:rPr>
            </w:pPr>
            <w:r>
              <w:rPr>
                <w:sz w:val="18"/>
                <w:szCs w:val="18"/>
              </w:rPr>
              <w:t>DIN EN ISO 8973:1999 mit DIN EN 589 Anhang C:2008</w:t>
            </w:r>
          </w:p>
        </w:tc>
        <w:tc>
          <w:tcPr>
            <w:tcW w:w="709" w:type="dxa"/>
            <w:vMerge w:val="restart"/>
            <w:tcBorders>
              <w:bottom w:val="nil"/>
            </w:tcBorders>
          </w:tcPr>
          <w:p>
            <w:pPr>
              <w:pStyle w:val="GesAbsatz"/>
              <w:jc w:val="center"/>
              <w:rPr>
                <w:sz w:val="18"/>
                <w:szCs w:val="18"/>
              </w:rPr>
            </w:pPr>
            <w:r>
              <w:rPr>
                <w:sz w:val="18"/>
                <w:szCs w:val="18"/>
              </w:rPr>
              <w:t>c), d)</w:t>
            </w:r>
          </w:p>
        </w:tc>
        <w:tc>
          <w:tcPr>
            <w:tcW w:w="992" w:type="dxa"/>
            <w:tcBorders>
              <w:bottom w:val="nil"/>
            </w:tcBorders>
            <w:shd w:val="clear" w:color="auto" w:fill="auto"/>
          </w:tcPr>
          <w:p>
            <w:pPr>
              <w:pStyle w:val="GesAbsatz"/>
              <w:jc w:val="center"/>
              <w:rPr>
                <w:sz w:val="18"/>
                <w:szCs w:val="18"/>
              </w:rPr>
            </w:pP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6" w:type="dxa"/>
            <w:tcBorders>
              <w:top w:val="nil"/>
              <w:bottom w:val="nil"/>
            </w:tcBorders>
            <w:shd w:val="clear" w:color="auto" w:fill="auto"/>
          </w:tcPr>
          <w:p>
            <w:pPr>
              <w:pStyle w:val="GesAbsatz"/>
              <w:rPr>
                <w:sz w:val="18"/>
                <w:szCs w:val="18"/>
              </w:rPr>
            </w:pPr>
            <w:r>
              <w:rPr>
                <w:sz w:val="18"/>
                <w:szCs w:val="18"/>
              </w:rPr>
              <w:t>– für Klasse B</w:t>
            </w:r>
          </w:p>
        </w:tc>
        <w:tc>
          <w:tcPr>
            <w:tcW w:w="1984" w:type="dxa"/>
            <w:vMerge/>
            <w:tcBorders>
              <w:top w:val="nil"/>
              <w:bottom w:val="nil"/>
            </w:tcBorders>
            <w:shd w:val="clear" w:color="auto" w:fill="auto"/>
          </w:tcPr>
          <w:p>
            <w:pPr>
              <w:pStyle w:val="GesAbsatz"/>
              <w:rPr>
                <w:sz w:val="18"/>
                <w:szCs w:val="18"/>
              </w:rPr>
            </w:pPr>
          </w:p>
        </w:tc>
        <w:tc>
          <w:tcPr>
            <w:tcW w:w="709" w:type="dxa"/>
            <w:vMerge/>
            <w:tcBorders>
              <w:top w:val="nil"/>
              <w:bottom w:val="nil"/>
            </w:tcBorders>
          </w:tcPr>
          <w:p>
            <w:pPr>
              <w:pStyle w:val="GesAbsatz"/>
              <w:jc w:val="center"/>
              <w:rPr>
                <w:sz w:val="18"/>
                <w:szCs w:val="18"/>
              </w:rPr>
            </w:pPr>
          </w:p>
        </w:tc>
        <w:tc>
          <w:tcPr>
            <w:tcW w:w="992" w:type="dxa"/>
            <w:tcBorders>
              <w:top w:val="nil"/>
              <w:bottom w:val="nil"/>
            </w:tcBorders>
            <w:shd w:val="clear" w:color="auto" w:fill="auto"/>
          </w:tcPr>
          <w:p>
            <w:pPr>
              <w:pStyle w:val="GesAbsatz"/>
              <w:jc w:val="center"/>
              <w:rPr>
                <w:sz w:val="18"/>
                <w:szCs w:val="18"/>
              </w:rPr>
            </w:pPr>
            <w:r>
              <w:rPr>
                <w:sz w:val="18"/>
                <w:szCs w:val="18"/>
              </w:rPr>
              <w:t>°C</w:t>
            </w:r>
          </w:p>
        </w:tc>
        <w:tc>
          <w:tcPr>
            <w:tcW w:w="850" w:type="dxa"/>
            <w:vMerge/>
            <w:tcBorders>
              <w:top w:val="nil"/>
              <w:bottom w:val="nil"/>
            </w:tcBorders>
            <w:shd w:val="clear" w:color="auto" w:fill="auto"/>
          </w:tcPr>
          <w:p>
            <w:pPr>
              <w:pStyle w:val="GesAbsatz"/>
              <w:jc w:val="center"/>
              <w:rPr>
                <w:sz w:val="18"/>
                <w:szCs w:val="18"/>
              </w:rPr>
            </w:pPr>
          </w:p>
        </w:tc>
        <w:tc>
          <w:tcPr>
            <w:tcW w:w="851" w:type="dxa"/>
            <w:tcBorders>
              <w:top w:val="nil"/>
              <w:bottom w:val="nil"/>
            </w:tcBorders>
            <w:shd w:val="clear" w:color="auto" w:fill="auto"/>
          </w:tcPr>
          <w:p>
            <w:pPr>
              <w:pStyle w:val="GesAbsatz"/>
              <w:jc w:val="center"/>
              <w:rPr>
                <w:sz w:val="18"/>
                <w:szCs w:val="18"/>
              </w:rPr>
            </w:pPr>
            <w:r>
              <w:rPr>
                <w:sz w:val="18"/>
                <w:szCs w:val="18"/>
              </w:rPr>
              <w:t>–5</w:t>
            </w:r>
          </w:p>
        </w:tc>
        <w:tc>
          <w:tcPr>
            <w:tcW w:w="911" w:type="dxa"/>
            <w:vMerge/>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6" w:type="dxa"/>
            <w:tcBorders>
              <w:top w:val="nil"/>
            </w:tcBorders>
            <w:shd w:val="clear" w:color="auto" w:fill="auto"/>
          </w:tcPr>
          <w:p>
            <w:pPr>
              <w:pStyle w:val="GesAbsatz"/>
              <w:rPr>
                <w:sz w:val="18"/>
                <w:szCs w:val="18"/>
              </w:rPr>
            </w:pPr>
            <w:r>
              <w:rPr>
                <w:sz w:val="18"/>
                <w:szCs w:val="18"/>
              </w:rPr>
              <w:t>– für Klasse E</w:t>
            </w:r>
          </w:p>
        </w:tc>
        <w:tc>
          <w:tcPr>
            <w:tcW w:w="1984" w:type="dxa"/>
            <w:vMerge/>
            <w:tcBorders>
              <w:top w:val="nil"/>
            </w:tcBorders>
            <w:shd w:val="clear" w:color="auto" w:fill="auto"/>
          </w:tcPr>
          <w:p>
            <w:pPr>
              <w:pStyle w:val="GesAbsatz"/>
              <w:rPr>
                <w:sz w:val="18"/>
                <w:szCs w:val="18"/>
              </w:rPr>
            </w:pPr>
          </w:p>
        </w:tc>
        <w:tc>
          <w:tcPr>
            <w:tcW w:w="709" w:type="dxa"/>
            <w:vMerge/>
            <w:tcBorders>
              <w:top w:val="nil"/>
            </w:tcBorders>
          </w:tcPr>
          <w:p>
            <w:pPr>
              <w:pStyle w:val="GesAbsatz"/>
              <w:jc w:val="center"/>
              <w:rPr>
                <w:sz w:val="18"/>
                <w:szCs w:val="18"/>
              </w:rPr>
            </w:pPr>
          </w:p>
        </w:tc>
        <w:tc>
          <w:tcPr>
            <w:tcW w:w="992" w:type="dxa"/>
            <w:tcBorders>
              <w:top w:val="nil"/>
            </w:tcBorders>
            <w:shd w:val="clear" w:color="auto" w:fill="auto"/>
          </w:tcPr>
          <w:p>
            <w:pPr>
              <w:pStyle w:val="GesAbsatz"/>
              <w:jc w:val="center"/>
              <w:rPr>
                <w:sz w:val="18"/>
                <w:szCs w:val="18"/>
              </w:rPr>
            </w:pPr>
            <w:r>
              <w:rPr>
                <w:sz w:val="18"/>
                <w:szCs w:val="18"/>
              </w:rPr>
              <w:t>°C</w:t>
            </w: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r>
              <w:rPr>
                <w:sz w:val="18"/>
                <w:szCs w:val="18"/>
              </w:rPr>
              <w:t>20</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9</w:t>
            </w:r>
          </w:p>
        </w:tc>
        <w:tc>
          <w:tcPr>
            <w:tcW w:w="2976" w:type="dxa"/>
            <w:shd w:val="clear" w:color="auto" w:fill="auto"/>
          </w:tcPr>
          <w:p>
            <w:pPr>
              <w:pStyle w:val="GesAbsatz"/>
              <w:rPr>
                <w:sz w:val="18"/>
                <w:szCs w:val="18"/>
              </w:rPr>
            </w:pPr>
            <w:r>
              <w:rPr>
                <w:sz w:val="18"/>
                <w:szCs w:val="18"/>
              </w:rPr>
              <w:t>Wassergehalt</w:t>
            </w:r>
          </w:p>
        </w:tc>
        <w:tc>
          <w:tcPr>
            <w:tcW w:w="1984" w:type="dxa"/>
            <w:shd w:val="clear" w:color="auto" w:fill="auto"/>
          </w:tcPr>
          <w:p>
            <w:pPr>
              <w:pStyle w:val="GesAbsatz"/>
              <w:rPr>
                <w:sz w:val="18"/>
                <w:szCs w:val="18"/>
              </w:rPr>
            </w:pPr>
            <w:r>
              <w:rPr>
                <w:sz w:val="18"/>
                <w:szCs w:val="18"/>
              </w:rPr>
              <w:t>visuelle Beurteilun</w:t>
            </w:r>
            <w:r>
              <w:rPr>
                <w:sz w:val="18"/>
                <w:szCs w:val="18"/>
              </w:rPr>
              <w:t>g</w:t>
            </w:r>
            <w:r>
              <w:rPr>
                <w:sz w:val="18"/>
                <w:szCs w:val="18"/>
              </w:rPr>
              <w:t xml:space="preserve"> DIN EN 15469:2008</w:t>
            </w:r>
          </w:p>
        </w:tc>
        <w:tc>
          <w:tcPr>
            <w:tcW w:w="709" w:type="dxa"/>
          </w:tcPr>
          <w:p>
            <w:pPr>
              <w:pStyle w:val="GesAbsatz"/>
              <w:jc w:val="center"/>
              <w:rPr>
                <w:sz w:val="18"/>
                <w:szCs w:val="18"/>
              </w:rPr>
            </w:pPr>
            <w:r>
              <w:rPr>
                <w:sz w:val="18"/>
                <w:szCs w:val="18"/>
              </w:rPr>
              <w:t>e)</w:t>
            </w:r>
          </w:p>
        </w:tc>
        <w:tc>
          <w:tcPr>
            <w:tcW w:w="992" w:type="dxa"/>
            <w:shd w:val="clear" w:color="auto" w:fill="auto"/>
          </w:tcPr>
          <w:p>
            <w:pPr>
              <w:pStyle w:val="GesAbsatz"/>
              <w:jc w:val="center"/>
              <w:rPr>
                <w:sz w:val="18"/>
                <w:szCs w:val="18"/>
              </w:rPr>
            </w:pPr>
          </w:p>
        </w:tc>
        <w:tc>
          <w:tcPr>
            <w:tcW w:w="1701" w:type="dxa"/>
            <w:gridSpan w:val="2"/>
            <w:shd w:val="clear" w:color="auto" w:fill="auto"/>
          </w:tcPr>
          <w:p>
            <w:pPr>
              <w:pStyle w:val="GesAbsatz"/>
              <w:jc w:val="center"/>
              <w:rPr>
                <w:sz w:val="18"/>
                <w:szCs w:val="18"/>
              </w:rPr>
            </w:pPr>
            <w:r>
              <w:rPr>
                <w:sz w:val="18"/>
                <w:szCs w:val="18"/>
              </w:rPr>
              <w:t>frei von ungelö</w:t>
            </w:r>
            <w:r>
              <w:rPr>
                <w:sz w:val="18"/>
                <w:szCs w:val="18"/>
              </w:rPr>
              <w:t>s</w:t>
            </w:r>
            <w:r>
              <w:rPr>
                <w:sz w:val="18"/>
                <w:szCs w:val="18"/>
              </w:rPr>
              <w:t>tem Wasser bei 0 °C</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szCs w:val="18"/>
              </w:rPr>
            </w:pPr>
            <w:r>
              <w:rPr>
                <w:sz w:val="18"/>
                <w:szCs w:val="18"/>
              </w:rPr>
              <w:t>10</w:t>
            </w:r>
          </w:p>
        </w:tc>
        <w:tc>
          <w:tcPr>
            <w:tcW w:w="2976" w:type="dxa"/>
            <w:tcBorders>
              <w:bottom w:val="single" w:sz="4" w:space="0" w:color="auto"/>
            </w:tcBorders>
            <w:shd w:val="clear" w:color="auto" w:fill="auto"/>
          </w:tcPr>
          <w:p>
            <w:pPr>
              <w:pStyle w:val="GesAbsatz"/>
              <w:rPr>
                <w:sz w:val="18"/>
                <w:szCs w:val="18"/>
              </w:rPr>
            </w:pPr>
            <w:r>
              <w:rPr>
                <w:sz w:val="18"/>
                <w:szCs w:val="18"/>
              </w:rPr>
              <w:t>Geruch</w:t>
            </w:r>
          </w:p>
        </w:tc>
        <w:tc>
          <w:tcPr>
            <w:tcW w:w="1984" w:type="dxa"/>
            <w:tcBorders>
              <w:bottom w:val="single" w:sz="4" w:space="0" w:color="auto"/>
            </w:tcBorders>
            <w:shd w:val="clear" w:color="auto" w:fill="auto"/>
          </w:tcPr>
          <w:p>
            <w:pPr>
              <w:pStyle w:val="GesAbsatz"/>
              <w:rPr>
                <w:sz w:val="18"/>
                <w:szCs w:val="18"/>
              </w:rPr>
            </w:pPr>
            <w:r>
              <w:rPr>
                <w:sz w:val="18"/>
                <w:szCs w:val="18"/>
              </w:rPr>
              <w:t>DIN EN 589 Anhang A:2008</w:t>
            </w:r>
          </w:p>
        </w:tc>
        <w:tc>
          <w:tcPr>
            <w:tcW w:w="709" w:type="dxa"/>
            <w:tcBorders>
              <w:bottom w:val="single" w:sz="4" w:space="0" w:color="auto"/>
            </w:tcBorders>
          </w:tcPr>
          <w:p>
            <w:pPr>
              <w:pStyle w:val="GesAbsatz"/>
              <w:jc w:val="center"/>
              <w:rPr>
                <w:sz w:val="18"/>
                <w:szCs w:val="18"/>
              </w:rPr>
            </w:pPr>
            <w:r>
              <w:rPr>
                <w:sz w:val="18"/>
                <w:szCs w:val="18"/>
              </w:rPr>
              <w:t>N1)</w:t>
            </w:r>
          </w:p>
        </w:tc>
        <w:tc>
          <w:tcPr>
            <w:tcW w:w="992" w:type="dxa"/>
            <w:tcBorders>
              <w:bottom w:val="single" w:sz="4" w:space="0" w:color="auto"/>
            </w:tcBorders>
            <w:shd w:val="clear" w:color="auto" w:fill="auto"/>
          </w:tcPr>
          <w:p>
            <w:pPr>
              <w:pStyle w:val="GesAbsatz"/>
              <w:jc w:val="center"/>
              <w:rPr>
                <w:sz w:val="18"/>
                <w:szCs w:val="18"/>
              </w:rPr>
            </w:pPr>
          </w:p>
        </w:tc>
        <w:tc>
          <w:tcPr>
            <w:tcW w:w="1701" w:type="dxa"/>
            <w:gridSpan w:val="2"/>
            <w:shd w:val="clear" w:color="auto" w:fill="auto"/>
          </w:tcPr>
          <w:p>
            <w:pPr>
              <w:pStyle w:val="GesAbsatz"/>
              <w:jc w:val="center"/>
              <w:rPr>
                <w:sz w:val="18"/>
                <w:szCs w:val="18"/>
              </w:rPr>
            </w:pPr>
            <w:r>
              <w:rPr>
                <w:sz w:val="18"/>
                <w:szCs w:val="18"/>
              </w:rPr>
              <w:t>Unang</w:t>
            </w:r>
            <w:r>
              <w:rPr>
                <w:sz w:val="18"/>
                <w:szCs w:val="18"/>
              </w:rPr>
              <w:t>e</w:t>
            </w:r>
            <w:r>
              <w:rPr>
                <w:sz w:val="18"/>
                <w:szCs w:val="18"/>
              </w:rPr>
              <w:t>nehm und spez</w:t>
            </w:r>
            <w:r>
              <w:rPr>
                <w:sz w:val="18"/>
                <w:szCs w:val="18"/>
              </w:rPr>
              <w:t>i</w:t>
            </w:r>
            <w:r>
              <w:rPr>
                <w:sz w:val="18"/>
                <w:szCs w:val="18"/>
              </w:rPr>
              <w:t>fisch bei 20% UEG</w:t>
            </w:r>
          </w:p>
        </w:tc>
        <w:tc>
          <w:tcPr>
            <w:tcW w:w="911" w:type="dxa"/>
            <w:shd w:val="clear" w:color="auto" w:fill="auto"/>
          </w:tcPr>
          <w:p>
            <w:pPr>
              <w:pStyle w:val="GesAbsatz"/>
              <w:rPr>
                <w:sz w:val="18"/>
                <w:szCs w:val="18"/>
              </w:rPr>
            </w:pPr>
          </w:p>
        </w:tc>
      </w:tr>
    </w:tbl>
    <w:p>
      <w:pPr>
        <w:pStyle w:val="GesAbsatz"/>
      </w:pPr>
    </w:p>
    <w:p>
      <w:pPr>
        <w:pStyle w:val="GesAbsatz"/>
      </w:pPr>
      <w:r>
        <w:t>Anmerkungen:</w:t>
      </w:r>
    </w:p>
    <w:p>
      <w:pPr>
        <w:pStyle w:val="GesAbsatz"/>
      </w:pPr>
      <w:r>
        <w:t>a)</w:t>
      </w:r>
      <w:r>
        <w:tab/>
        <w:t>Im Streitfall bezüglich des Gesamtschwefelgehalts ist ASTM D 6667:2010 anzuwenden.</w:t>
      </w:r>
    </w:p>
    <w:p>
      <w:pPr>
        <w:pStyle w:val="GesAbsatz"/>
      </w:pPr>
      <w:r>
        <w:t>b)</w:t>
      </w:r>
      <w:r>
        <w:tab/>
        <w:t>Im Streitfall bezüglich des Dampfdrucks ist DIN EN ISO 4256:1999 anzuwenden.</w:t>
      </w:r>
    </w:p>
    <w:p>
      <w:pPr>
        <w:pStyle w:val="GesAbsatz"/>
        <w:ind w:left="426" w:hanging="426"/>
      </w:pPr>
      <w:r>
        <w:t>c)</w:t>
      </w:r>
      <w:r>
        <w:tab/>
        <w:t>Für die Anwendung dieser Norm muss DIN EN ISO 8973:2000 in Verbindung mit Anhang C bei den angegebenen Temperaturen angewendet werden. Für die interne Qualitätskontrolle dürfen auch die Werte aus dem info</w:t>
      </w:r>
      <w:r>
        <w:t>r</w:t>
      </w:r>
      <w:r>
        <w:t>mativen Anhang D benutzt werden.</w:t>
      </w:r>
    </w:p>
    <w:p>
      <w:pPr>
        <w:pStyle w:val="GesAbsatz"/>
        <w:ind w:left="426" w:hanging="426"/>
      </w:pPr>
      <w:r>
        <w:t>d)</w:t>
      </w:r>
      <w:r>
        <w:tab/>
        <w:t>Die angegebenen Grenzen sind berechnete Werte und können nur für Zwecke der internen Routineko</w:t>
      </w:r>
      <w:r>
        <w:t>n</w:t>
      </w:r>
      <w:r>
        <w:t>trolle benutzt werden.</w:t>
      </w:r>
    </w:p>
    <w:p>
      <w:pPr>
        <w:pStyle w:val="GesAbsatz"/>
        <w:ind w:left="426" w:hanging="426"/>
      </w:pPr>
      <w:r>
        <w:t>e)</w:t>
      </w:r>
      <w:r>
        <w:tab/>
        <w:t>Für propanreiche Mischungen mit mind. 60 % Propan kann diese Anforderung mit DIN EN ISO 13758:1997 überprüft werden. Hierfür können die in DIN EN ISO 3993:1995 beschriebenen Geräte b</w:t>
      </w:r>
      <w:r>
        <w:t>e</w:t>
      </w:r>
      <w:r>
        <w:t>nutzt werden.</w:t>
      </w:r>
    </w:p>
    <w:p>
      <w:pPr>
        <w:pStyle w:val="GesAbsatz"/>
      </w:pPr>
      <w:r>
        <w:lastRenderedPageBreak/>
        <w:t>N1)</w:t>
      </w:r>
      <w:r>
        <w:tab/>
        <w:t>UEG ist die untere Entflammbarkeitsgrenze (englisch: LFL = Lower Flammability Limit).</w:t>
      </w:r>
    </w:p>
    <w:p>
      <w:pPr>
        <w:pStyle w:val="berschrift2"/>
        <w:jc w:val="left"/>
      </w:pPr>
      <w:bookmarkStart w:id="20" w:name="_Toc349111756"/>
      <w:r>
        <w:t>Anlage 10</w:t>
      </w:r>
      <w:bookmarkEnd w:id="20"/>
    </w:p>
    <w:p>
      <w:pPr>
        <w:pStyle w:val="GesAbsatz"/>
        <w:jc w:val="center"/>
        <w:rPr>
          <w:b/>
        </w:rPr>
      </w:pPr>
      <w:r>
        <w:rPr>
          <w:b/>
        </w:rPr>
        <w:t>Prüfprotokoll zur Überwachung der Einhaltung von Anforderungswerten bei einmaliger</w:t>
      </w:r>
      <w:r>
        <w:rPr>
          <w:b/>
        </w:rPr>
        <w:br/>
        <w:t>Prüfung von Erdgas und Biogas als Kraftstoff nach DIN 51624:2008</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7" w:type="dxa"/>
            <w:vMerge w:val="restart"/>
            <w:shd w:val="clear" w:color="auto" w:fill="auto"/>
            <w:vAlign w:val="center"/>
          </w:tcPr>
          <w:p>
            <w:pPr>
              <w:pStyle w:val="GesAbsatz"/>
              <w:rPr>
                <w:sz w:val="18"/>
                <w:szCs w:val="18"/>
              </w:rPr>
            </w:pPr>
            <w:r>
              <w:rPr>
                <w:sz w:val="18"/>
                <w:szCs w:val="18"/>
              </w:rPr>
              <w:t>Stoffeigenschaft</w:t>
            </w:r>
          </w:p>
        </w:tc>
        <w:tc>
          <w:tcPr>
            <w:tcW w:w="2267" w:type="dxa"/>
            <w:vMerge w:val="restart"/>
            <w:shd w:val="clear" w:color="auto" w:fill="auto"/>
            <w:vAlign w:val="center"/>
          </w:tcPr>
          <w:p>
            <w:pPr>
              <w:pStyle w:val="GesAbsatz"/>
              <w:rPr>
                <w:sz w:val="18"/>
                <w:szCs w:val="18"/>
              </w:rPr>
            </w:pPr>
            <w:r>
              <w:rPr>
                <w:sz w:val="18"/>
                <w:szCs w:val="18"/>
              </w:rPr>
              <w:t>Prüfverfahren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rPr>
                <w:sz w:val="18"/>
                <w:szCs w:val="18"/>
              </w:rPr>
            </w:pPr>
            <w:r>
              <w:rPr>
                <w:sz w:val="18"/>
                <w:szCs w:val="18"/>
              </w:rPr>
              <w:t>Ablehnungsgren</w:t>
            </w:r>
            <w:r>
              <w:rPr>
                <w:sz w:val="18"/>
                <w:szCs w:val="18"/>
              </w:rPr>
              <w:t>z</w:t>
            </w:r>
            <w:r>
              <w:rPr>
                <w:sz w:val="18"/>
                <w:szCs w:val="18"/>
              </w:rPr>
              <w:t>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7" w:type="dxa"/>
            <w:vMerge/>
            <w:tcBorders>
              <w:bottom w:val="single" w:sz="4" w:space="0" w:color="auto"/>
            </w:tcBorders>
            <w:shd w:val="clear" w:color="auto" w:fill="auto"/>
          </w:tcPr>
          <w:p>
            <w:pPr>
              <w:pStyle w:val="GesAbsatz"/>
            </w:pPr>
          </w:p>
        </w:tc>
        <w:tc>
          <w:tcPr>
            <w:tcW w:w="2267" w:type="dxa"/>
            <w:vMerge/>
            <w:tcBorders>
              <w:bottom w:val="single" w:sz="4" w:space="0" w:color="auto"/>
            </w:tcBorders>
            <w:shd w:val="clear" w:color="auto" w:fill="auto"/>
          </w:tcPr>
          <w:p>
            <w:pPr>
              <w:pStyle w:val="GesAbsatz"/>
            </w:pPr>
          </w:p>
        </w:tc>
        <w:tc>
          <w:tcPr>
            <w:tcW w:w="1134" w:type="dxa"/>
            <w:vMerge/>
            <w:tcBorders>
              <w:bottom w:val="single" w:sz="4" w:space="0" w:color="auto"/>
            </w:tcBorders>
            <w:shd w:val="clear" w:color="auto" w:fill="auto"/>
          </w:tcPr>
          <w:p>
            <w:pPr>
              <w:pStyle w:val="GesAbsatz"/>
              <w:jc w:val="center"/>
            </w:pPr>
          </w:p>
        </w:tc>
        <w:tc>
          <w:tcPr>
            <w:tcW w:w="1033" w:type="dxa"/>
            <w:shd w:val="clear" w:color="auto" w:fill="auto"/>
          </w:tcPr>
          <w:p>
            <w:pPr>
              <w:pStyle w:val="GesAbsatz"/>
              <w:jc w:val="center"/>
              <w:rPr>
                <w:sz w:val="18"/>
                <w:szCs w:val="18"/>
              </w:rPr>
            </w:pPr>
            <w:r>
              <w:rPr>
                <w:sz w:val="18"/>
                <w:szCs w:val="18"/>
              </w:rPr>
              <w:t>min.</w:t>
            </w:r>
          </w:p>
        </w:tc>
        <w:tc>
          <w:tcPr>
            <w:tcW w:w="1094"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pPr>
            <w:r>
              <w:rPr>
                <w:sz w:val="18"/>
              </w:rPr>
              <w:t>1a</w:t>
            </w:r>
          </w:p>
        </w:tc>
        <w:tc>
          <w:tcPr>
            <w:tcW w:w="2977" w:type="dxa"/>
            <w:shd w:val="clear" w:color="auto" w:fill="auto"/>
          </w:tcPr>
          <w:p>
            <w:pPr>
              <w:pStyle w:val="GesAbsatz"/>
            </w:pPr>
            <w:r>
              <w:rPr>
                <w:sz w:val="18"/>
              </w:rPr>
              <w:t>Heizwert (für Erdgas H)</w:t>
            </w:r>
          </w:p>
        </w:tc>
        <w:tc>
          <w:tcPr>
            <w:tcW w:w="2267" w:type="dxa"/>
            <w:shd w:val="clear" w:color="auto" w:fill="auto"/>
          </w:tcPr>
          <w:p>
            <w:pPr>
              <w:pStyle w:val="GesAbsatz"/>
              <w:rPr>
                <w:sz w:val="18"/>
              </w:rPr>
            </w:pPr>
            <w:r>
              <w:rPr>
                <w:sz w:val="18"/>
              </w:rPr>
              <w:t>DIN 51857:1997 oder</w:t>
            </w:r>
          </w:p>
          <w:p>
            <w:pPr>
              <w:pStyle w:val="GesAbsatz"/>
            </w:pPr>
            <w:r>
              <w:rPr>
                <w:sz w:val="18"/>
              </w:rPr>
              <w:t>DIN EN ISO 6976:2005</w:t>
            </w:r>
          </w:p>
        </w:tc>
        <w:tc>
          <w:tcPr>
            <w:tcW w:w="1134" w:type="dxa"/>
            <w:shd w:val="clear" w:color="auto" w:fill="auto"/>
          </w:tcPr>
          <w:p>
            <w:pPr>
              <w:pStyle w:val="GesAbsatz"/>
              <w:jc w:val="center"/>
            </w:pPr>
            <w:r>
              <w:rPr>
                <w:sz w:val="18"/>
              </w:rPr>
              <w:t>MJ/kg</w:t>
            </w:r>
          </w:p>
        </w:tc>
        <w:tc>
          <w:tcPr>
            <w:tcW w:w="1033" w:type="dxa"/>
            <w:shd w:val="clear" w:color="auto" w:fill="auto"/>
          </w:tcPr>
          <w:p>
            <w:pPr>
              <w:pStyle w:val="GesAbsatz"/>
              <w:jc w:val="center"/>
              <w:rPr>
                <w:sz w:val="18"/>
                <w:szCs w:val="18"/>
              </w:rPr>
            </w:pPr>
            <w:r>
              <w:rPr>
                <w:sz w:val="18"/>
              </w:rPr>
              <w:t>45,7</w:t>
            </w:r>
          </w:p>
        </w:tc>
        <w:tc>
          <w:tcPr>
            <w:tcW w:w="1094"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1b</w:t>
            </w:r>
          </w:p>
        </w:tc>
        <w:tc>
          <w:tcPr>
            <w:tcW w:w="2977" w:type="dxa"/>
            <w:shd w:val="clear" w:color="auto" w:fill="auto"/>
          </w:tcPr>
          <w:p>
            <w:pPr>
              <w:pStyle w:val="GesAbsatz"/>
              <w:rPr>
                <w:sz w:val="18"/>
              </w:rPr>
            </w:pPr>
            <w:r>
              <w:rPr>
                <w:sz w:val="18"/>
              </w:rPr>
              <w:t>Heizwert (für Erdgas L)</w:t>
            </w:r>
          </w:p>
        </w:tc>
        <w:tc>
          <w:tcPr>
            <w:tcW w:w="2267" w:type="dxa"/>
            <w:shd w:val="clear" w:color="auto" w:fill="auto"/>
          </w:tcPr>
          <w:p>
            <w:pPr>
              <w:pStyle w:val="GesAbsatz"/>
              <w:rPr>
                <w:sz w:val="18"/>
              </w:rPr>
            </w:pPr>
            <w:r>
              <w:rPr>
                <w:sz w:val="18"/>
              </w:rPr>
              <w:t>DIN 51857:1997 oder</w:t>
            </w:r>
          </w:p>
          <w:p>
            <w:pPr>
              <w:pStyle w:val="GesAbsatz"/>
              <w:rPr>
                <w:sz w:val="18"/>
              </w:rPr>
            </w:pPr>
            <w:r>
              <w:rPr>
                <w:sz w:val="18"/>
              </w:rPr>
              <w:t>DIN EN ISO 6976:2005</w:t>
            </w:r>
          </w:p>
        </w:tc>
        <w:tc>
          <w:tcPr>
            <w:tcW w:w="1134" w:type="dxa"/>
            <w:shd w:val="clear" w:color="auto" w:fill="auto"/>
          </w:tcPr>
          <w:p>
            <w:pPr>
              <w:pStyle w:val="GesAbsatz"/>
              <w:jc w:val="center"/>
              <w:rPr>
                <w:sz w:val="18"/>
              </w:rPr>
            </w:pPr>
            <w:r>
              <w:rPr>
                <w:sz w:val="18"/>
              </w:rPr>
              <w:t>MJ/kg</w:t>
            </w:r>
          </w:p>
        </w:tc>
        <w:tc>
          <w:tcPr>
            <w:tcW w:w="1033" w:type="dxa"/>
            <w:shd w:val="clear" w:color="auto" w:fill="auto"/>
          </w:tcPr>
          <w:p>
            <w:pPr>
              <w:pStyle w:val="GesAbsatz"/>
              <w:jc w:val="center"/>
              <w:rPr>
                <w:sz w:val="18"/>
              </w:rPr>
            </w:pPr>
            <w:r>
              <w:rPr>
                <w:sz w:val="18"/>
              </w:rPr>
              <w:t>38,8</w:t>
            </w:r>
          </w:p>
        </w:tc>
        <w:tc>
          <w:tcPr>
            <w:tcW w:w="1094" w:type="dxa"/>
            <w:shd w:val="clear" w:color="auto" w:fill="auto"/>
          </w:tcPr>
          <w:p>
            <w:pPr>
              <w:pStyle w:val="GesAbsatz"/>
              <w:jc w:val="center"/>
              <w:rPr>
                <w:sz w:val="18"/>
                <w:szCs w:val="18"/>
              </w:rPr>
            </w:pP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2</w:t>
            </w:r>
          </w:p>
        </w:tc>
        <w:tc>
          <w:tcPr>
            <w:tcW w:w="2977" w:type="dxa"/>
            <w:shd w:val="clear" w:color="auto" w:fill="auto"/>
          </w:tcPr>
          <w:p>
            <w:pPr>
              <w:pStyle w:val="GesAbsatz"/>
              <w:rPr>
                <w:sz w:val="18"/>
              </w:rPr>
            </w:pPr>
            <w:r>
              <w:rPr>
                <w:sz w:val="18"/>
              </w:rPr>
              <w:t>Dichte absolut</w:t>
            </w:r>
          </w:p>
        </w:tc>
        <w:tc>
          <w:tcPr>
            <w:tcW w:w="2267" w:type="dxa"/>
            <w:shd w:val="clear" w:color="auto" w:fill="auto"/>
          </w:tcPr>
          <w:p>
            <w:pPr>
              <w:pStyle w:val="GesAbsatz"/>
              <w:rPr>
                <w:sz w:val="18"/>
              </w:rPr>
            </w:pPr>
            <w:r>
              <w:rPr>
                <w:sz w:val="18"/>
              </w:rPr>
              <w:t>DIN 51857:1997</w:t>
            </w:r>
          </w:p>
          <w:p>
            <w:pPr>
              <w:pStyle w:val="GesAbsatz"/>
              <w:rPr>
                <w:sz w:val="18"/>
              </w:rPr>
            </w:pPr>
            <w:r>
              <w:rPr>
                <w:sz w:val="18"/>
              </w:rPr>
              <w:t>oder DIN 1871:1999</w:t>
            </w:r>
          </w:p>
          <w:p>
            <w:pPr>
              <w:pStyle w:val="GesAbsatz"/>
              <w:rPr>
                <w:sz w:val="18"/>
              </w:rPr>
            </w:pPr>
            <w:r>
              <w:rPr>
                <w:sz w:val="18"/>
              </w:rPr>
              <w:t>oder DIN EN ISO 6976:2005</w:t>
            </w:r>
          </w:p>
        </w:tc>
        <w:tc>
          <w:tcPr>
            <w:tcW w:w="1134" w:type="dxa"/>
            <w:shd w:val="clear" w:color="auto" w:fill="auto"/>
          </w:tcPr>
          <w:p>
            <w:pPr>
              <w:pStyle w:val="GesAbsatz"/>
              <w:jc w:val="center"/>
              <w:rPr>
                <w:sz w:val="18"/>
              </w:rPr>
            </w:pPr>
            <w:r>
              <w:rPr>
                <w:sz w:val="18"/>
              </w:rPr>
              <w:t>kg/m³</w:t>
            </w:r>
          </w:p>
        </w:tc>
        <w:tc>
          <w:tcPr>
            <w:tcW w:w="1033" w:type="dxa"/>
            <w:shd w:val="clear" w:color="auto" w:fill="auto"/>
          </w:tcPr>
          <w:p>
            <w:pPr>
              <w:pStyle w:val="GesAbsatz"/>
              <w:jc w:val="center"/>
              <w:rPr>
                <w:sz w:val="18"/>
              </w:rPr>
            </w:pPr>
            <w:r>
              <w:rPr>
                <w:sz w:val="18"/>
              </w:rPr>
              <w:t>0,72</w:t>
            </w:r>
          </w:p>
        </w:tc>
        <w:tc>
          <w:tcPr>
            <w:tcW w:w="1094" w:type="dxa"/>
            <w:shd w:val="clear" w:color="auto" w:fill="auto"/>
          </w:tcPr>
          <w:p>
            <w:pPr>
              <w:pStyle w:val="GesAbsatz"/>
              <w:jc w:val="center"/>
              <w:rPr>
                <w:sz w:val="18"/>
                <w:szCs w:val="18"/>
              </w:rPr>
            </w:pPr>
            <w:r>
              <w:rPr>
                <w:sz w:val="18"/>
              </w:rPr>
              <w:t>0,91</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3</w:t>
            </w:r>
          </w:p>
        </w:tc>
        <w:tc>
          <w:tcPr>
            <w:tcW w:w="2977" w:type="dxa"/>
            <w:shd w:val="clear" w:color="auto" w:fill="auto"/>
          </w:tcPr>
          <w:p>
            <w:pPr>
              <w:pStyle w:val="GesAbsatz"/>
              <w:rPr>
                <w:sz w:val="18"/>
              </w:rPr>
            </w:pPr>
            <w:r>
              <w:rPr>
                <w:sz w:val="18"/>
              </w:rPr>
              <w:t>Methanzahl (berechnet)</w:t>
            </w:r>
            <w:r>
              <w:rPr>
                <w:sz w:val="18"/>
                <w:vertAlign w:val="superscript"/>
              </w:rPr>
              <w:t>a), b)</w:t>
            </w:r>
          </w:p>
        </w:tc>
        <w:tc>
          <w:tcPr>
            <w:tcW w:w="2267" w:type="dxa"/>
            <w:shd w:val="clear" w:color="auto" w:fill="auto"/>
          </w:tcPr>
          <w:p>
            <w:pPr>
              <w:pStyle w:val="GesAbsatz"/>
              <w:rPr>
                <w:sz w:val="18"/>
              </w:rPr>
            </w:pPr>
            <w:r>
              <w:rPr>
                <w:sz w:val="18"/>
              </w:rPr>
              <w:t>AVL-Verfahren</w:t>
            </w:r>
          </w:p>
        </w:tc>
        <w:tc>
          <w:tcPr>
            <w:tcW w:w="1134" w:type="dxa"/>
            <w:shd w:val="clear" w:color="auto" w:fill="auto"/>
          </w:tcPr>
          <w:p>
            <w:pPr>
              <w:pStyle w:val="GesAbsatz"/>
              <w:jc w:val="center"/>
              <w:rPr>
                <w:sz w:val="18"/>
              </w:rPr>
            </w:pPr>
            <w:r>
              <w:rPr>
                <w:sz w:val="18"/>
              </w:rPr>
              <w:t>–</w:t>
            </w:r>
          </w:p>
        </w:tc>
        <w:tc>
          <w:tcPr>
            <w:tcW w:w="1033" w:type="dxa"/>
            <w:shd w:val="clear" w:color="auto" w:fill="auto"/>
          </w:tcPr>
          <w:p>
            <w:pPr>
              <w:pStyle w:val="GesAbsatz"/>
              <w:jc w:val="center"/>
              <w:rPr>
                <w:sz w:val="18"/>
              </w:rPr>
            </w:pPr>
            <w:r>
              <w:rPr>
                <w:sz w:val="18"/>
              </w:rPr>
              <w:t>67,6</w:t>
            </w:r>
          </w:p>
        </w:tc>
        <w:tc>
          <w:tcPr>
            <w:tcW w:w="1094"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4</w:t>
            </w:r>
          </w:p>
        </w:tc>
        <w:tc>
          <w:tcPr>
            <w:tcW w:w="2977" w:type="dxa"/>
            <w:shd w:val="clear" w:color="auto" w:fill="auto"/>
          </w:tcPr>
          <w:p>
            <w:pPr>
              <w:pStyle w:val="GesAbsatz"/>
              <w:rPr>
                <w:sz w:val="18"/>
              </w:rPr>
            </w:pPr>
            <w:r>
              <w:rPr>
                <w:sz w:val="18"/>
              </w:rPr>
              <w:t>Methangehalt</w:t>
            </w:r>
          </w:p>
        </w:tc>
        <w:tc>
          <w:tcPr>
            <w:tcW w:w="2267" w:type="dxa"/>
            <w:shd w:val="clear" w:color="auto" w:fill="auto"/>
          </w:tcPr>
          <w:p>
            <w:pPr>
              <w:pStyle w:val="GesAbsatz"/>
              <w:rPr>
                <w:sz w:val="18"/>
              </w:rPr>
            </w:pPr>
            <w:r>
              <w:rPr>
                <w:sz w:val="18"/>
              </w:rPr>
              <w:t>DIN EN ISO 6975:2005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r>
              <w:rPr>
                <w:sz w:val="18"/>
              </w:rPr>
              <w:t>79,4</w:t>
            </w:r>
          </w:p>
        </w:tc>
        <w:tc>
          <w:tcPr>
            <w:tcW w:w="1094"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5</w:t>
            </w:r>
          </w:p>
        </w:tc>
        <w:tc>
          <w:tcPr>
            <w:tcW w:w="2977" w:type="dxa"/>
            <w:shd w:val="clear" w:color="auto" w:fill="auto"/>
          </w:tcPr>
          <w:p>
            <w:pPr>
              <w:pStyle w:val="GesAbsatz"/>
              <w:rPr>
                <w:sz w:val="18"/>
              </w:rPr>
            </w:pPr>
            <w:r>
              <w:rPr>
                <w:sz w:val="18"/>
              </w:rPr>
              <w:t>Summengehalt C</w:t>
            </w:r>
            <w:r>
              <w:rPr>
                <w:sz w:val="18"/>
                <w:vertAlign w:val="subscript"/>
              </w:rPr>
              <w:t>2</w:t>
            </w:r>
            <w:r>
              <w:rPr>
                <w:sz w:val="18"/>
              </w:rPr>
              <w:t>-KW</w:t>
            </w:r>
          </w:p>
        </w:tc>
        <w:tc>
          <w:tcPr>
            <w:tcW w:w="2267" w:type="dxa"/>
            <w:shd w:val="clear" w:color="auto" w:fill="auto"/>
          </w:tcPr>
          <w:p>
            <w:pPr>
              <w:pStyle w:val="GesAbsatz"/>
              <w:rPr>
                <w:sz w:val="18"/>
              </w:rPr>
            </w:pPr>
            <w:r>
              <w:rPr>
                <w:sz w:val="18"/>
              </w:rPr>
              <w:t>DIN EN ISO 6975:2005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12,2</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6</w:t>
            </w:r>
          </w:p>
        </w:tc>
        <w:tc>
          <w:tcPr>
            <w:tcW w:w="2977" w:type="dxa"/>
            <w:shd w:val="clear" w:color="auto" w:fill="auto"/>
          </w:tcPr>
          <w:p>
            <w:pPr>
              <w:pStyle w:val="GesAbsatz"/>
              <w:rPr>
                <w:sz w:val="18"/>
              </w:rPr>
            </w:pPr>
            <w:r>
              <w:rPr>
                <w:sz w:val="18"/>
              </w:rPr>
              <w:t>Retrograde Kondensation</w:t>
            </w:r>
            <w:r>
              <w:rPr>
                <w:sz w:val="18"/>
                <w:vertAlign w:val="superscript"/>
              </w:rPr>
              <w:t>c)</w:t>
            </w:r>
          </w:p>
        </w:tc>
        <w:tc>
          <w:tcPr>
            <w:tcW w:w="2267" w:type="dxa"/>
            <w:shd w:val="clear" w:color="auto" w:fill="auto"/>
          </w:tcPr>
          <w:p>
            <w:pPr>
              <w:pStyle w:val="GesAbsatz"/>
              <w:rPr>
                <w:sz w:val="18"/>
              </w:rPr>
            </w:pPr>
            <w:r>
              <w:rPr>
                <w:sz w:val="18"/>
              </w:rPr>
              <w:t>DIN EN ISO 6570:2004</w:t>
            </w:r>
          </w:p>
        </w:tc>
        <w:tc>
          <w:tcPr>
            <w:tcW w:w="1134" w:type="dxa"/>
            <w:shd w:val="clear" w:color="auto" w:fill="auto"/>
          </w:tcPr>
          <w:p>
            <w:pPr>
              <w:pStyle w:val="GesAbsatz"/>
              <w:jc w:val="center"/>
              <w:rPr>
                <w:sz w:val="18"/>
              </w:rPr>
            </w:pP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6a</w:t>
            </w:r>
          </w:p>
        </w:tc>
        <w:tc>
          <w:tcPr>
            <w:tcW w:w="2977" w:type="dxa"/>
            <w:shd w:val="clear" w:color="auto" w:fill="auto"/>
          </w:tcPr>
          <w:p>
            <w:pPr>
              <w:pStyle w:val="GesAbsatz"/>
              <w:rPr>
                <w:sz w:val="18"/>
              </w:rPr>
            </w:pPr>
            <w:r>
              <w:rPr>
                <w:sz w:val="18"/>
              </w:rPr>
              <w:t>Summengehalt &gt; C</w:t>
            </w:r>
            <w:r>
              <w:rPr>
                <w:sz w:val="18"/>
                <w:vertAlign w:val="subscript"/>
              </w:rPr>
              <w:t>2</w:t>
            </w:r>
            <w:r>
              <w:rPr>
                <w:sz w:val="18"/>
              </w:rPr>
              <w:t>-KW</w:t>
            </w:r>
            <w:r>
              <w:rPr>
                <w:sz w:val="18"/>
                <w:vertAlign w:val="superscript"/>
              </w:rPr>
              <w:t>c)</w:t>
            </w:r>
          </w:p>
        </w:tc>
        <w:tc>
          <w:tcPr>
            <w:tcW w:w="2267" w:type="dxa"/>
            <w:shd w:val="clear" w:color="auto" w:fill="auto"/>
          </w:tcPr>
          <w:p>
            <w:pPr>
              <w:pStyle w:val="GesAbsatz"/>
              <w:rPr>
                <w:sz w:val="18"/>
              </w:rPr>
            </w:pPr>
            <w:r>
              <w:rPr>
                <w:sz w:val="18"/>
              </w:rPr>
              <w:t>DIN EN ISO 6575:2005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8,7</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6b</w:t>
            </w:r>
          </w:p>
        </w:tc>
        <w:tc>
          <w:tcPr>
            <w:tcW w:w="2977" w:type="dxa"/>
            <w:shd w:val="clear" w:color="auto" w:fill="auto"/>
          </w:tcPr>
          <w:p>
            <w:pPr>
              <w:pStyle w:val="GesAbsatz"/>
              <w:rPr>
                <w:sz w:val="18"/>
              </w:rPr>
            </w:pPr>
            <w:r>
              <w:rPr>
                <w:sz w:val="18"/>
              </w:rPr>
              <w:t>Propangehalt</w:t>
            </w:r>
            <w:r>
              <w:rPr>
                <w:sz w:val="18"/>
                <w:vertAlign w:val="superscript"/>
              </w:rPr>
              <w:t>c)</w:t>
            </w:r>
          </w:p>
        </w:tc>
        <w:tc>
          <w:tcPr>
            <w:tcW w:w="2267" w:type="dxa"/>
            <w:shd w:val="clear" w:color="auto" w:fill="auto"/>
          </w:tcPr>
          <w:p>
            <w:pPr>
              <w:pStyle w:val="GesAbsatz"/>
              <w:rPr>
                <w:sz w:val="18"/>
              </w:rPr>
            </w:pPr>
            <w:r>
              <w:rPr>
                <w:sz w:val="18"/>
              </w:rPr>
              <w:t>DIN EN ISO 6575:2005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6,2</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6c</w:t>
            </w:r>
          </w:p>
        </w:tc>
        <w:tc>
          <w:tcPr>
            <w:tcW w:w="2977" w:type="dxa"/>
            <w:shd w:val="clear" w:color="auto" w:fill="auto"/>
          </w:tcPr>
          <w:p>
            <w:pPr>
              <w:pStyle w:val="GesAbsatz"/>
              <w:rPr>
                <w:sz w:val="18"/>
              </w:rPr>
            </w:pPr>
            <w:r>
              <w:rPr>
                <w:sz w:val="18"/>
              </w:rPr>
              <w:t>Butangehalt</w:t>
            </w:r>
            <w:r>
              <w:rPr>
                <w:sz w:val="18"/>
                <w:vertAlign w:val="superscript"/>
              </w:rPr>
              <w:t>c)</w:t>
            </w:r>
          </w:p>
        </w:tc>
        <w:tc>
          <w:tcPr>
            <w:tcW w:w="2267" w:type="dxa"/>
            <w:shd w:val="clear" w:color="auto" w:fill="auto"/>
          </w:tcPr>
          <w:p>
            <w:pPr>
              <w:pStyle w:val="GesAbsatz"/>
              <w:rPr>
                <w:sz w:val="18"/>
              </w:rPr>
            </w:pPr>
            <w:r>
              <w:rPr>
                <w:sz w:val="18"/>
              </w:rPr>
              <w:t>DIN EN ISO 6575:2005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2,1</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6d</w:t>
            </w:r>
          </w:p>
        </w:tc>
        <w:tc>
          <w:tcPr>
            <w:tcW w:w="2977" w:type="dxa"/>
            <w:shd w:val="clear" w:color="auto" w:fill="auto"/>
          </w:tcPr>
          <w:p>
            <w:pPr>
              <w:pStyle w:val="GesAbsatz"/>
              <w:rPr>
                <w:sz w:val="18"/>
              </w:rPr>
            </w:pPr>
            <w:r>
              <w:rPr>
                <w:sz w:val="18"/>
              </w:rPr>
              <w:t>Pentangehalt</w:t>
            </w:r>
            <w:r>
              <w:rPr>
                <w:sz w:val="18"/>
                <w:vertAlign w:val="superscript"/>
              </w:rPr>
              <w:t>c)</w:t>
            </w:r>
          </w:p>
        </w:tc>
        <w:tc>
          <w:tcPr>
            <w:tcW w:w="2267" w:type="dxa"/>
            <w:shd w:val="clear" w:color="auto" w:fill="auto"/>
          </w:tcPr>
          <w:p>
            <w:pPr>
              <w:pStyle w:val="GesAbsatz"/>
              <w:rPr>
                <w:sz w:val="18"/>
              </w:rPr>
            </w:pPr>
            <w:r>
              <w:rPr>
                <w:sz w:val="18"/>
              </w:rPr>
              <w:t>DIN EN ISO 6575:2005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1,1</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6e</w:t>
            </w:r>
          </w:p>
        </w:tc>
        <w:tc>
          <w:tcPr>
            <w:tcW w:w="2977" w:type="dxa"/>
            <w:shd w:val="clear" w:color="auto" w:fill="auto"/>
          </w:tcPr>
          <w:p>
            <w:pPr>
              <w:pStyle w:val="GesAbsatz"/>
              <w:rPr>
                <w:sz w:val="18"/>
              </w:rPr>
            </w:pPr>
            <w:r>
              <w:rPr>
                <w:sz w:val="18"/>
              </w:rPr>
              <w:t>Gehalt von Hexan und höhere KW</w:t>
            </w:r>
            <w:r>
              <w:rPr>
                <w:sz w:val="18"/>
                <w:vertAlign w:val="superscript"/>
              </w:rPr>
              <w:t>c)</w:t>
            </w:r>
          </w:p>
        </w:tc>
        <w:tc>
          <w:tcPr>
            <w:tcW w:w="2267" w:type="dxa"/>
            <w:shd w:val="clear" w:color="auto" w:fill="auto"/>
          </w:tcPr>
          <w:p>
            <w:pPr>
              <w:pStyle w:val="GesAbsatz"/>
              <w:rPr>
                <w:sz w:val="18"/>
              </w:rPr>
            </w:pPr>
            <w:r>
              <w:rPr>
                <w:sz w:val="18"/>
              </w:rPr>
              <w:t>DIN EN ISO 6575:2005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0,6</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7a</w:t>
            </w:r>
          </w:p>
        </w:tc>
        <w:tc>
          <w:tcPr>
            <w:tcW w:w="2977" w:type="dxa"/>
            <w:shd w:val="clear" w:color="auto" w:fill="auto"/>
          </w:tcPr>
          <w:p>
            <w:pPr>
              <w:pStyle w:val="GesAbsatz"/>
              <w:rPr>
                <w:sz w:val="18"/>
              </w:rPr>
            </w:pPr>
            <w:r>
              <w:rPr>
                <w:sz w:val="18"/>
              </w:rPr>
              <w:t>Sauerstoff-Gehalt</w:t>
            </w:r>
          </w:p>
        </w:tc>
        <w:tc>
          <w:tcPr>
            <w:tcW w:w="2267" w:type="dxa"/>
            <w:shd w:val="clear" w:color="auto" w:fill="auto"/>
          </w:tcPr>
          <w:p>
            <w:pPr>
              <w:pStyle w:val="GesAbsatz"/>
              <w:rPr>
                <w:sz w:val="18"/>
              </w:rPr>
            </w:pPr>
            <w:r>
              <w:rPr>
                <w:sz w:val="18"/>
              </w:rPr>
              <w:t>DIN EN ISO 6575:2005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3,2</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7b</w:t>
            </w:r>
          </w:p>
        </w:tc>
        <w:tc>
          <w:tcPr>
            <w:tcW w:w="2977" w:type="dxa"/>
            <w:shd w:val="clear" w:color="auto" w:fill="auto"/>
          </w:tcPr>
          <w:p>
            <w:pPr>
              <w:pStyle w:val="GesAbsatz"/>
              <w:rPr>
                <w:sz w:val="18"/>
              </w:rPr>
            </w:pPr>
            <w:r>
              <w:rPr>
                <w:sz w:val="18"/>
              </w:rPr>
              <w:t>Wasserstoff-Gehalt</w:t>
            </w:r>
          </w:p>
        </w:tc>
        <w:tc>
          <w:tcPr>
            <w:tcW w:w="2267" w:type="dxa"/>
            <w:shd w:val="clear" w:color="auto" w:fill="auto"/>
          </w:tcPr>
          <w:p>
            <w:pPr>
              <w:pStyle w:val="GesAbsatz"/>
              <w:rPr>
                <w:sz w:val="18"/>
              </w:rPr>
            </w:pPr>
            <w:r>
              <w:rPr>
                <w:sz w:val="18"/>
              </w:rPr>
              <w:t>DIN EN ISO 6575:2005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2,1</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8</w:t>
            </w:r>
          </w:p>
        </w:tc>
        <w:tc>
          <w:tcPr>
            <w:tcW w:w="2977" w:type="dxa"/>
            <w:shd w:val="clear" w:color="auto" w:fill="auto"/>
          </w:tcPr>
          <w:p>
            <w:pPr>
              <w:pStyle w:val="GesAbsatz"/>
              <w:rPr>
                <w:sz w:val="18"/>
              </w:rPr>
            </w:pPr>
            <w:r>
              <w:rPr>
                <w:sz w:val="18"/>
              </w:rPr>
              <w:t>Summengehalt an Stickstoff (N</w:t>
            </w:r>
            <w:r>
              <w:rPr>
                <w:sz w:val="18"/>
                <w:vertAlign w:val="subscript"/>
              </w:rPr>
              <w:t>2</w:t>
            </w:r>
            <w:r>
              <w:rPr>
                <w:sz w:val="18"/>
              </w:rPr>
              <w:t>) und Kohlenstoffdioxid (CO</w:t>
            </w:r>
            <w:r>
              <w:rPr>
                <w:sz w:val="18"/>
                <w:vertAlign w:val="subscript"/>
              </w:rPr>
              <w:t>2</w:t>
            </w:r>
            <w:r>
              <w:rPr>
                <w:sz w:val="18"/>
              </w:rPr>
              <w:t>)</w:t>
            </w:r>
          </w:p>
        </w:tc>
        <w:tc>
          <w:tcPr>
            <w:tcW w:w="2267" w:type="dxa"/>
            <w:shd w:val="clear" w:color="auto" w:fill="auto"/>
          </w:tcPr>
          <w:p>
            <w:pPr>
              <w:pStyle w:val="GesAbsatz"/>
              <w:rPr>
                <w:sz w:val="18"/>
              </w:rPr>
            </w:pPr>
            <w:r>
              <w:rPr>
                <w:sz w:val="18"/>
              </w:rPr>
              <w:t>DIN EN ISO 6975:2005</w:t>
            </w:r>
          </w:p>
        </w:tc>
        <w:tc>
          <w:tcPr>
            <w:tcW w:w="1134" w:type="dxa"/>
            <w:shd w:val="clear" w:color="auto" w:fill="auto"/>
          </w:tcPr>
          <w:p>
            <w:pPr>
              <w:pStyle w:val="GesAbsatz"/>
              <w:jc w:val="center"/>
              <w:rPr>
                <w:sz w:val="18"/>
              </w:rPr>
            </w:pPr>
            <w:r>
              <w:rPr>
                <w:sz w:val="18"/>
              </w:rPr>
              <w:t>% (n/n)</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15,3</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9</w:t>
            </w:r>
          </w:p>
        </w:tc>
        <w:tc>
          <w:tcPr>
            <w:tcW w:w="2977" w:type="dxa"/>
            <w:shd w:val="clear" w:color="auto" w:fill="auto"/>
          </w:tcPr>
          <w:p>
            <w:pPr>
              <w:pStyle w:val="GesAbsatz"/>
              <w:rPr>
                <w:sz w:val="18"/>
              </w:rPr>
            </w:pPr>
            <w:r>
              <w:rPr>
                <w:sz w:val="18"/>
              </w:rPr>
              <w:t>Gehalt an Schwefelwasserstoff</w:t>
            </w:r>
          </w:p>
        </w:tc>
        <w:tc>
          <w:tcPr>
            <w:tcW w:w="2267" w:type="dxa"/>
            <w:shd w:val="clear" w:color="auto" w:fill="auto"/>
          </w:tcPr>
          <w:p>
            <w:pPr>
              <w:pStyle w:val="GesAbsatz"/>
              <w:rPr>
                <w:sz w:val="18"/>
              </w:rPr>
            </w:pPr>
            <w:r>
              <w:rPr>
                <w:sz w:val="18"/>
              </w:rPr>
              <w:t>DIN 51855:1999 oder E DIN EN ISO 6326-1:2005-6</w:t>
            </w:r>
          </w:p>
        </w:tc>
        <w:tc>
          <w:tcPr>
            <w:tcW w:w="1134" w:type="dxa"/>
            <w:shd w:val="clear" w:color="auto" w:fill="auto"/>
          </w:tcPr>
          <w:p>
            <w:pPr>
              <w:pStyle w:val="GesAbsatz"/>
              <w:jc w:val="center"/>
              <w:rPr>
                <w:sz w:val="18"/>
              </w:rPr>
            </w:pPr>
            <w:r>
              <w:rPr>
                <w:sz w:val="18"/>
              </w:rPr>
              <w:t>mg/kg</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7,8</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10</w:t>
            </w:r>
          </w:p>
        </w:tc>
        <w:tc>
          <w:tcPr>
            <w:tcW w:w="2977" w:type="dxa"/>
            <w:shd w:val="clear" w:color="auto" w:fill="auto"/>
          </w:tcPr>
          <w:p>
            <w:pPr>
              <w:pStyle w:val="GesAbsatz"/>
              <w:rPr>
                <w:sz w:val="18"/>
              </w:rPr>
            </w:pPr>
            <w:r>
              <w:rPr>
                <w:sz w:val="18"/>
              </w:rPr>
              <w:t>Gehalt an Mercaptanschwefel</w:t>
            </w:r>
          </w:p>
        </w:tc>
        <w:tc>
          <w:tcPr>
            <w:tcW w:w="2267" w:type="dxa"/>
            <w:shd w:val="clear" w:color="auto" w:fill="auto"/>
          </w:tcPr>
          <w:p>
            <w:pPr>
              <w:pStyle w:val="GesAbsatz"/>
              <w:rPr>
                <w:sz w:val="18"/>
              </w:rPr>
            </w:pPr>
            <w:r>
              <w:rPr>
                <w:sz w:val="18"/>
              </w:rPr>
              <w:t>DIN 51855:1999 oder E DIN EN ISO 6326-1:2005-6</w:t>
            </w:r>
          </w:p>
        </w:tc>
        <w:tc>
          <w:tcPr>
            <w:tcW w:w="1134" w:type="dxa"/>
            <w:shd w:val="clear" w:color="auto" w:fill="auto"/>
          </w:tcPr>
          <w:p>
            <w:pPr>
              <w:pStyle w:val="GesAbsatz"/>
              <w:jc w:val="center"/>
              <w:rPr>
                <w:sz w:val="18"/>
              </w:rPr>
            </w:pPr>
            <w:r>
              <w:rPr>
                <w:sz w:val="18"/>
              </w:rPr>
              <w:t>mg/kg</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9,8</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11</w:t>
            </w:r>
          </w:p>
        </w:tc>
        <w:tc>
          <w:tcPr>
            <w:tcW w:w="2977" w:type="dxa"/>
            <w:shd w:val="clear" w:color="auto" w:fill="auto"/>
          </w:tcPr>
          <w:p>
            <w:pPr>
              <w:pStyle w:val="GesAbsatz"/>
              <w:rPr>
                <w:sz w:val="18"/>
              </w:rPr>
            </w:pPr>
            <w:r>
              <w:rPr>
                <w:sz w:val="18"/>
              </w:rPr>
              <w:t>Gesamtschwefelgehalt</w:t>
            </w:r>
            <w:r>
              <w:rPr>
                <w:sz w:val="18"/>
                <w:vertAlign w:val="superscript"/>
              </w:rPr>
              <w:t>d)</w:t>
            </w:r>
          </w:p>
        </w:tc>
        <w:tc>
          <w:tcPr>
            <w:tcW w:w="2267" w:type="dxa"/>
            <w:shd w:val="clear" w:color="auto" w:fill="auto"/>
          </w:tcPr>
          <w:p>
            <w:pPr>
              <w:pStyle w:val="GesAbsatz"/>
              <w:rPr>
                <w:sz w:val="18"/>
              </w:rPr>
            </w:pPr>
            <w:r>
              <w:rPr>
                <w:sz w:val="18"/>
              </w:rPr>
              <w:t>E DIN EN ISO 6326-1:2005-6</w:t>
            </w:r>
          </w:p>
        </w:tc>
        <w:tc>
          <w:tcPr>
            <w:tcW w:w="1134" w:type="dxa"/>
            <w:shd w:val="clear" w:color="auto" w:fill="auto"/>
          </w:tcPr>
          <w:p>
            <w:pPr>
              <w:pStyle w:val="GesAbsatz"/>
              <w:jc w:val="center"/>
              <w:rPr>
                <w:sz w:val="18"/>
              </w:rPr>
            </w:pPr>
            <w:r>
              <w:rPr>
                <w:sz w:val="18"/>
              </w:rPr>
              <w:t>mg/kg</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11,8</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12</w:t>
            </w:r>
          </w:p>
        </w:tc>
        <w:tc>
          <w:tcPr>
            <w:tcW w:w="2977" w:type="dxa"/>
            <w:shd w:val="clear" w:color="auto" w:fill="auto"/>
          </w:tcPr>
          <w:p>
            <w:pPr>
              <w:pStyle w:val="GesAbsatz"/>
              <w:rPr>
                <w:sz w:val="18"/>
              </w:rPr>
            </w:pPr>
            <w:r>
              <w:rPr>
                <w:sz w:val="18"/>
              </w:rPr>
              <w:t>Wassergehalt</w:t>
            </w:r>
          </w:p>
        </w:tc>
        <w:tc>
          <w:tcPr>
            <w:tcW w:w="2267" w:type="dxa"/>
            <w:shd w:val="clear" w:color="auto" w:fill="auto"/>
          </w:tcPr>
          <w:p>
            <w:pPr>
              <w:pStyle w:val="GesAbsatz"/>
              <w:rPr>
                <w:sz w:val="18"/>
              </w:rPr>
            </w:pPr>
            <w:r>
              <w:rPr>
                <w:sz w:val="18"/>
              </w:rPr>
              <w:t>DIN EN ISO 18453:2006-1 oder DIN EN ISO 10101-3:1998</w:t>
            </w:r>
          </w:p>
        </w:tc>
        <w:tc>
          <w:tcPr>
            <w:tcW w:w="1134" w:type="dxa"/>
            <w:shd w:val="clear" w:color="auto" w:fill="auto"/>
          </w:tcPr>
          <w:p>
            <w:pPr>
              <w:pStyle w:val="GesAbsatz"/>
              <w:jc w:val="center"/>
              <w:rPr>
                <w:sz w:val="18"/>
              </w:rPr>
            </w:pPr>
            <w:r>
              <w:rPr>
                <w:sz w:val="18"/>
              </w:rPr>
              <w:t>mg/kg</w:t>
            </w:r>
          </w:p>
        </w:tc>
        <w:tc>
          <w:tcPr>
            <w:tcW w:w="1033" w:type="dxa"/>
            <w:shd w:val="clear" w:color="auto" w:fill="auto"/>
          </w:tcPr>
          <w:p>
            <w:pPr>
              <w:pStyle w:val="GesAbsatz"/>
              <w:jc w:val="center"/>
              <w:rPr>
                <w:sz w:val="18"/>
              </w:rPr>
            </w:pPr>
          </w:p>
        </w:tc>
        <w:tc>
          <w:tcPr>
            <w:tcW w:w="1094" w:type="dxa"/>
            <w:shd w:val="clear" w:color="auto" w:fill="auto"/>
          </w:tcPr>
          <w:p>
            <w:pPr>
              <w:pStyle w:val="GesAbsatz"/>
              <w:jc w:val="center"/>
              <w:rPr>
                <w:sz w:val="18"/>
              </w:rPr>
            </w:pPr>
            <w:r>
              <w:rPr>
                <w:sz w:val="18"/>
              </w:rPr>
              <w:t>61</w:t>
            </w:r>
          </w:p>
        </w:tc>
        <w:tc>
          <w:tcPr>
            <w:tcW w:w="911" w:type="dxa"/>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13</w:t>
            </w:r>
          </w:p>
        </w:tc>
        <w:tc>
          <w:tcPr>
            <w:tcW w:w="2977" w:type="dxa"/>
            <w:tcBorders>
              <w:bottom w:val="single" w:sz="4" w:space="0" w:color="auto"/>
            </w:tcBorders>
            <w:shd w:val="clear" w:color="auto" w:fill="auto"/>
          </w:tcPr>
          <w:p>
            <w:pPr>
              <w:pStyle w:val="GesAbsatz"/>
              <w:rPr>
                <w:sz w:val="18"/>
              </w:rPr>
            </w:pPr>
            <w:r>
              <w:rPr>
                <w:sz w:val="18"/>
              </w:rPr>
              <w:t>Gehalt an Kompressorenöl un</w:t>
            </w:r>
            <w:r>
              <w:rPr>
                <w:sz w:val="18"/>
              </w:rPr>
              <w:t>d</w:t>
            </w:r>
            <w:r>
              <w:rPr>
                <w:sz w:val="18"/>
              </w:rPr>
              <w:t xml:space="preserve"> Schwebstoffen</w:t>
            </w:r>
            <w:r>
              <w:rPr>
                <w:sz w:val="18"/>
                <w:vertAlign w:val="superscript"/>
              </w:rPr>
              <w:t>e)</w:t>
            </w:r>
          </w:p>
        </w:tc>
        <w:tc>
          <w:tcPr>
            <w:tcW w:w="2267" w:type="dxa"/>
            <w:tcBorders>
              <w:bottom w:val="single" w:sz="4" w:space="0" w:color="auto"/>
            </w:tcBorders>
            <w:shd w:val="clear" w:color="auto" w:fill="auto"/>
          </w:tcPr>
          <w:p>
            <w:pPr>
              <w:pStyle w:val="GesAbsatz"/>
              <w:rPr>
                <w:sz w:val="18"/>
              </w:rPr>
            </w:pPr>
            <w:r>
              <w:rPr>
                <w:sz w:val="18"/>
              </w:rPr>
              <w:t>siehe DIN 51624:2008 Abschnitt 5.4</w:t>
            </w:r>
          </w:p>
        </w:tc>
        <w:tc>
          <w:tcPr>
            <w:tcW w:w="1134" w:type="dxa"/>
            <w:tcBorders>
              <w:bottom w:val="single" w:sz="4" w:space="0" w:color="auto"/>
            </w:tcBorders>
            <w:shd w:val="clear" w:color="auto" w:fill="auto"/>
          </w:tcPr>
          <w:p>
            <w:pPr>
              <w:pStyle w:val="GesAbsatz"/>
              <w:jc w:val="center"/>
              <w:rPr>
                <w:sz w:val="18"/>
              </w:rPr>
            </w:pPr>
          </w:p>
        </w:tc>
        <w:tc>
          <w:tcPr>
            <w:tcW w:w="1033" w:type="dxa"/>
            <w:tcBorders>
              <w:bottom w:val="single" w:sz="4" w:space="0" w:color="auto"/>
            </w:tcBorders>
            <w:shd w:val="clear" w:color="auto" w:fill="auto"/>
          </w:tcPr>
          <w:p>
            <w:pPr>
              <w:pStyle w:val="GesAbsatz"/>
              <w:jc w:val="center"/>
              <w:rPr>
                <w:sz w:val="18"/>
              </w:rPr>
            </w:pPr>
          </w:p>
        </w:tc>
        <w:tc>
          <w:tcPr>
            <w:tcW w:w="1094"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bl>
    <w:p>
      <w:pPr>
        <w:pStyle w:val="GesAbsatz"/>
        <w:rPr>
          <w:sz w:val="18"/>
        </w:rPr>
      </w:pPr>
    </w:p>
    <w:p>
      <w:pPr>
        <w:pStyle w:val="GesAbsatz"/>
      </w:pPr>
      <w:r>
        <w:t>Anmerkungen:</w:t>
      </w:r>
    </w:p>
    <w:p>
      <w:pPr>
        <w:pStyle w:val="GesAbsatz"/>
        <w:ind w:left="426" w:hanging="426"/>
      </w:pPr>
      <w:r>
        <w:lastRenderedPageBreak/>
        <w:t>a)</w:t>
      </w:r>
      <w:r>
        <w:tab/>
        <w:t>Die Festlegung auf 70 ist als vorläufiger Grenzwert zu verstehen. Es wird eine höhere Methanzahl (75) angestrebt. Entsprechende Untersuchungsprojekte der Gas- und Automobilindustrie sollen Realisi</w:t>
      </w:r>
      <w:r>
        <w:t>e</w:t>
      </w:r>
      <w:r>
        <w:t>rungsmöglichkeiten und Auswirkungen klären.</w:t>
      </w:r>
    </w:p>
    <w:p>
      <w:pPr>
        <w:pStyle w:val="GesAbsatz"/>
        <w:ind w:left="426" w:hanging="426"/>
      </w:pPr>
      <w:r>
        <w:t>b)</w:t>
      </w:r>
      <w:r>
        <w:tab/>
        <w:t>Die notwendigen Angaben und ein Beispiel zur Berechnung befinden sich in Anhang B von DIN 51624.</w:t>
      </w:r>
    </w:p>
    <w:p>
      <w:pPr>
        <w:pStyle w:val="GesAbsatz"/>
        <w:ind w:left="426" w:hanging="426"/>
      </w:pPr>
      <w:r>
        <w:t>c)</w:t>
      </w:r>
      <w:r>
        <w:tab/>
        <w:t>Die enthaltenen Grenzwerte sind Richtwerte, von denen anzunehmen ist, dass retrograde Kondensation nicht auftreten kann (vgl. Abschnitt 5.3 von DIN 51624).</w:t>
      </w:r>
    </w:p>
    <w:p>
      <w:pPr>
        <w:pStyle w:val="GesAbsatz"/>
        <w:ind w:left="426" w:hanging="426"/>
      </w:pPr>
      <w:r>
        <w:t>d)</w:t>
      </w:r>
      <w:r>
        <w:tab/>
        <w:t>Die Einführung des Grenzwertes 10 mg/kg setzt für einen kleineren Marktanteil noch technische Ma</w:t>
      </w:r>
      <w:r>
        <w:t>ß</w:t>
      </w:r>
      <w:r>
        <w:t>nahmen voraus. Es ist erklärte Absicht, die flächendeckende Einführung des 10 mg/kg-Grenzwertes mit den anderen flüss</w:t>
      </w:r>
      <w:r>
        <w:t>i</w:t>
      </w:r>
      <w:r>
        <w:t>gen Kraftstoffen zu synchronisieren.</w:t>
      </w:r>
    </w:p>
    <w:p>
      <w:pPr>
        <w:pStyle w:val="GesAbsatz"/>
        <w:ind w:left="426" w:hanging="426"/>
      </w:pPr>
      <w:r>
        <w:t>e)</w:t>
      </w:r>
      <w:r>
        <w:tab/>
        <w:t>Zur Bestimmung von Kompressorenöl und Schwebstoffen gibt es zzt. noch kein einheitliches Verfahren. Da dieser Grenzwert jedoch von allen Parteien, die an der Erstellung dieser Norm beteiligt sind, als sehr wichtig eingestuft wird, gilt bis zur Fertigstellung eines geeigneten Prüfverfahrens die textlich festgeha</w:t>
      </w:r>
      <w:r>
        <w:t>l</w:t>
      </w:r>
      <w:r>
        <w:t>tene Anforderung in A</w:t>
      </w:r>
      <w:r>
        <w:t>b</w:t>
      </w:r>
      <w:r>
        <w:t>schnitt 5.4 von DIN 51624.</w:t>
      </w:r>
    </w:p>
    <w:p>
      <w:pPr>
        <w:pStyle w:val="GesAbsatz"/>
      </w:pPr>
      <w:r>
        <w:t>f)</w:t>
      </w:r>
      <w:r>
        <w:tab/>
        <w:t>Für die Einheitenangabe „% (n/n)“ ist auch die Kennzeichnung „Mol %“ gebräuchlich.</w:t>
      </w:r>
    </w:p>
    <w:p>
      <w:pPr>
        <w:pStyle w:val="berschrift2"/>
        <w:jc w:val="left"/>
      </w:pPr>
      <w:bookmarkStart w:id="21" w:name="_Toc349111757"/>
      <w:r>
        <w:t>Anlage 11</w:t>
      </w:r>
      <w:bookmarkEnd w:id="21"/>
    </w:p>
    <w:p>
      <w:pPr>
        <w:pStyle w:val="GesAbsatz"/>
        <w:jc w:val="center"/>
        <w:rPr>
          <w:b/>
        </w:rPr>
      </w:pPr>
      <w:r>
        <w:rPr>
          <w:b/>
        </w:rPr>
        <w:t>Prüfprotokoll zur Überwachung der Einhaltung von Anforderungswerten bei einmaliger</w:t>
      </w:r>
      <w:r>
        <w:rPr>
          <w:b/>
        </w:rPr>
        <w:br/>
        <w:t>Prüfung von Pflanzenölkraftstoff nach DIN V 51605:2006</w:t>
      </w:r>
    </w:p>
    <w:p>
      <w:pPr>
        <w:pStyle w:val="GesAbsatz"/>
      </w:pPr>
      <w:r>
        <w:t>Überprüfte Firma:</w:t>
      </w:r>
    </w:p>
    <w:p>
      <w:pPr>
        <w:pStyle w:val="GesAbsatz"/>
      </w:pPr>
      <w:r>
        <w:t>Probenbehälternummer: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shd w:val="clear" w:color="auto" w:fill="auto"/>
          </w:tcPr>
          <w:p>
            <w:pPr>
              <w:pStyle w:val="GesAbsatz"/>
              <w:jc w:val="center"/>
              <w:rPr>
                <w:sz w:val="18"/>
                <w:szCs w:val="18"/>
              </w:rPr>
            </w:pPr>
            <w:r>
              <w:rPr>
                <w:sz w:val="18"/>
                <w:szCs w:val="18"/>
              </w:rPr>
              <w:t>min.</w:t>
            </w:r>
          </w:p>
        </w:tc>
        <w:tc>
          <w:tcPr>
            <w:tcW w:w="851"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pPr>
            <w:r>
              <w:rPr>
                <w:sz w:val="18"/>
              </w:rPr>
              <w:t>1</w:t>
            </w:r>
          </w:p>
        </w:tc>
        <w:tc>
          <w:tcPr>
            <w:tcW w:w="2976" w:type="dxa"/>
            <w:shd w:val="clear" w:color="auto" w:fill="auto"/>
          </w:tcPr>
          <w:p>
            <w:pPr>
              <w:pStyle w:val="GesAbsatz"/>
            </w:pPr>
            <w:r>
              <w:rPr>
                <w:sz w:val="18"/>
              </w:rPr>
              <w:t>Visuelle Begutachtung</w:t>
            </w:r>
          </w:p>
        </w:tc>
        <w:tc>
          <w:tcPr>
            <w:tcW w:w="1984" w:type="dxa"/>
            <w:tcBorders>
              <w:bottom w:val="single" w:sz="4" w:space="0" w:color="auto"/>
            </w:tcBorders>
            <w:shd w:val="clear" w:color="auto" w:fill="auto"/>
          </w:tcPr>
          <w:p>
            <w:pPr>
              <w:pStyle w:val="GesAbsatz"/>
            </w:pPr>
            <w:r>
              <w:rPr>
                <w:sz w:val="18"/>
              </w:rPr>
              <w:t>–</w:t>
            </w:r>
          </w:p>
        </w:tc>
        <w:tc>
          <w:tcPr>
            <w:tcW w:w="709" w:type="dxa"/>
            <w:tcBorders>
              <w:bottom w:val="single" w:sz="4" w:space="0" w:color="auto"/>
            </w:tcBorders>
          </w:tcPr>
          <w:p>
            <w:pPr>
              <w:pStyle w:val="GesAbsatz"/>
              <w:jc w:val="center"/>
            </w:pPr>
          </w:p>
        </w:tc>
        <w:tc>
          <w:tcPr>
            <w:tcW w:w="992" w:type="dxa"/>
            <w:tcBorders>
              <w:bottom w:val="single" w:sz="4" w:space="0" w:color="auto"/>
            </w:tcBorders>
            <w:shd w:val="clear" w:color="auto" w:fill="auto"/>
          </w:tcPr>
          <w:p>
            <w:pPr>
              <w:pStyle w:val="GesAbsatz"/>
              <w:jc w:val="center"/>
            </w:pPr>
          </w:p>
        </w:tc>
        <w:tc>
          <w:tcPr>
            <w:tcW w:w="1701" w:type="dxa"/>
            <w:gridSpan w:val="2"/>
            <w:tcBorders>
              <w:bottom w:val="single" w:sz="4" w:space="0" w:color="auto"/>
            </w:tcBorders>
            <w:shd w:val="clear" w:color="auto" w:fill="auto"/>
          </w:tcPr>
          <w:p>
            <w:pPr>
              <w:pStyle w:val="GesAbsatz"/>
              <w:jc w:val="center"/>
              <w:rPr>
                <w:sz w:val="18"/>
                <w:szCs w:val="18"/>
              </w:rPr>
            </w:pPr>
            <w:r>
              <w:rPr>
                <w:sz w:val="18"/>
              </w:rPr>
              <w:t>Frei von sichtb</w:t>
            </w:r>
            <w:r>
              <w:rPr>
                <w:sz w:val="18"/>
              </w:rPr>
              <w:t>a</w:t>
            </w:r>
            <w:r>
              <w:rPr>
                <w:sz w:val="18"/>
              </w:rPr>
              <w:t>ren Verunrein</w:t>
            </w:r>
            <w:r>
              <w:rPr>
                <w:sz w:val="18"/>
              </w:rPr>
              <w:t>i</w:t>
            </w:r>
            <w:r>
              <w:rPr>
                <w:sz w:val="18"/>
              </w:rPr>
              <w:t>gungen und S</w:t>
            </w:r>
            <w:r>
              <w:rPr>
                <w:sz w:val="18"/>
              </w:rPr>
              <w:t>e</w:t>
            </w:r>
            <w:r>
              <w:rPr>
                <w:sz w:val="18"/>
              </w:rPr>
              <w:t>dimenten sowi</w:t>
            </w:r>
            <w:r>
              <w:rPr>
                <w:sz w:val="18"/>
              </w:rPr>
              <w:t>e</w:t>
            </w:r>
            <w:r>
              <w:rPr>
                <w:sz w:val="18"/>
              </w:rPr>
              <w:t xml:space="preserve"> freiem Wasser</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rPr>
            </w:pPr>
            <w:r>
              <w:rPr>
                <w:sz w:val="18"/>
              </w:rPr>
              <w:t>2</w:t>
            </w:r>
          </w:p>
        </w:tc>
        <w:tc>
          <w:tcPr>
            <w:tcW w:w="2976" w:type="dxa"/>
            <w:vMerge w:val="restart"/>
            <w:shd w:val="clear" w:color="auto" w:fill="auto"/>
          </w:tcPr>
          <w:p>
            <w:pPr>
              <w:pStyle w:val="GesAbsatz"/>
              <w:rPr>
                <w:sz w:val="18"/>
              </w:rPr>
            </w:pPr>
            <w:r>
              <w:rPr>
                <w:sz w:val="18"/>
              </w:rPr>
              <w:t>Dichte bei 15 °C</w:t>
            </w:r>
          </w:p>
        </w:tc>
        <w:tc>
          <w:tcPr>
            <w:tcW w:w="1984" w:type="dxa"/>
            <w:tcBorders>
              <w:bottom w:val="nil"/>
            </w:tcBorders>
            <w:shd w:val="clear" w:color="auto" w:fill="auto"/>
          </w:tcPr>
          <w:p>
            <w:pPr>
              <w:pStyle w:val="GesAbsatz"/>
              <w:rPr>
                <w:sz w:val="18"/>
              </w:rPr>
            </w:pPr>
            <w:r>
              <w:rPr>
                <w:sz w:val="18"/>
              </w:rPr>
              <w:t>DIN EN ISO 3675:1999</w:t>
            </w:r>
          </w:p>
        </w:tc>
        <w:tc>
          <w:tcPr>
            <w:tcW w:w="709" w:type="dxa"/>
            <w:vMerge w:val="restart"/>
            <w:tcBorders>
              <w:bottom w:val="nil"/>
            </w:tcBorders>
          </w:tcPr>
          <w:p>
            <w:pPr>
              <w:pStyle w:val="GesAbsatz"/>
              <w:jc w:val="center"/>
            </w:pPr>
            <w:r>
              <w:rPr>
                <w:sz w:val="18"/>
              </w:rPr>
              <w:t>a)</w:t>
            </w:r>
          </w:p>
        </w:tc>
        <w:tc>
          <w:tcPr>
            <w:tcW w:w="992" w:type="dxa"/>
            <w:tcBorders>
              <w:bottom w:val="nil"/>
            </w:tcBorders>
            <w:shd w:val="clear" w:color="auto" w:fill="auto"/>
          </w:tcPr>
          <w:p>
            <w:pPr>
              <w:pStyle w:val="GesAbsatz"/>
              <w:jc w:val="center"/>
            </w:pPr>
            <w:r>
              <w:rPr>
                <w:sz w:val="18"/>
              </w:rPr>
              <w:t>kg/m³</w:t>
            </w:r>
          </w:p>
        </w:tc>
        <w:tc>
          <w:tcPr>
            <w:tcW w:w="850" w:type="dxa"/>
            <w:tcBorders>
              <w:bottom w:val="nil"/>
            </w:tcBorders>
            <w:shd w:val="clear" w:color="auto" w:fill="auto"/>
          </w:tcPr>
          <w:p>
            <w:pPr>
              <w:pStyle w:val="GesAbsatz"/>
              <w:jc w:val="center"/>
              <w:rPr>
                <w:sz w:val="18"/>
              </w:rPr>
            </w:pPr>
            <w:r>
              <w:rPr>
                <w:sz w:val="18"/>
              </w:rPr>
              <w:t>899,3</w:t>
            </w:r>
          </w:p>
        </w:tc>
        <w:tc>
          <w:tcPr>
            <w:tcW w:w="851" w:type="dxa"/>
            <w:tcBorders>
              <w:bottom w:val="nil"/>
            </w:tcBorders>
            <w:shd w:val="clear" w:color="auto" w:fill="auto"/>
          </w:tcPr>
          <w:p>
            <w:pPr>
              <w:pStyle w:val="GesAbsatz"/>
              <w:jc w:val="center"/>
              <w:rPr>
                <w:sz w:val="18"/>
                <w:szCs w:val="18"/>
              </w:rPr>
            </w:pPr>
            <w:r>
              <w:rPr>
                <w:sz w:val="18"/>
              </w:rPr>
              <w:t>930,7</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rPr>
            </w:pPr>
          </w:p>
        </w:tc>
        <w:tc>
          <w:tcPr>
            <w:tcW w:w="2976" w:type="dxa"/>
            <w:vMerge/>
            <w:shd w:val="clear" w:color="auto" w:fill="auto"/>
          </w:tcPr>
          <w:p>
            <w:pPr>
              <w:pStyle w:val="GesAbsatz"/>
              <w:rPr>
                <w:sz w:val="18"/>
              </w:rPr>
            </w:pPr>
          </w:p>
        </w:tc>
        <w:tc>
          <w:tcPr>
            <w:tcW w:w="1984" w:type="dxa"/>
            <w:tcBorders>
              <w:top w:val="nil"/>
            </w:tcBorders>
            <w:shd w:val="clear" w:color="auto" w:fill="auto"/>
          </w:tcPr>
          <w:p>
            <w:pPr>
              <w:pStyle w:val="GesAbsatz"/>
              <w:rPr>
                <w:sz w:val="18"/>
              </w:rPr>
            </w:pPr>
            <w:r>
              <w:rPr>
                <w:sz w:val="18"/>
              </w:rPr>
              <w:t>DIN EN ISO 12185:1997</w:t>
            </w:r>
          </w:p>
        </w:tc>
        <w:tc>
          <w:tcPr>
            <w:tcW w:w="709" w:type="dxa"/>
            <w:vMerge/>
            <w:tcBorders>
              <w:top w:val="nil"/>
            </w:tcBorders>
          </w:tcPr>
          <w:p>
            <w:pPr>
              <w:pStyle w:val="GesAbsatz"/>
              <w:jc w:val="center"/>
              <w:rPr>
                <w:sz w:val="18"/>
              </w:rPr>
            </w:pPr>
          </w:p>
        </w:tc>
        <w:tc>
          <w:tcPr>
            <w:tcW w:w="992" w:type="dxa"/>
            <w:tcBorders>
              <w:top w:val="nil"/>
            </w:tcBorders>
            <w:shd w:val="clear" w:color="auto" w:fill="auto"/>
          </w:tcPr>
          <w:p>
            <w:pPr>
              <w:pStyle w:val="GesAbsatz"/>
              <w:jc w:val="center"/>
              <w:rPr>
                <w:sz w:val="18"/>
              </w:rPr>
            </w:pPr>
            <w:r>
              <w:rPr>
                <w:sz w:val="18"/>
              </w:rPr>
              <w:t>kg/m³</w:t>
            </w:r>
          </w:p>
        </w:tc>
        <w:tc>
          <w:tcPr>
            <w:tcW w:w="850" w:type="dxa"/>
            <w:tcBorders>
              <w:top w:val="nil"/>
            </w:tcBorders>
            <w:shd w:val="clear" w:color="auto" w:fill="auto"/>
          </w:tcPr>
          <w:p>
            <w:pPr>
              <w:pStyle w:val="GesAbsatz"/>
              <w:jc w:val="center"/>
              <w:rPr>
                <w:sz w:val="18"/>
              </w:rPr>
            </w:pPr>
            <w:r>
              <w:rPr>
                <w:sz w:val="18"/>
              </w:rPr>
              <w:t>899,7</w:t>
            </w:r>
          </w:p>
        </w:tc>
        <w:tc>
          <w:tcPr>
            <w:tcW w:w="851" w:type="dxa"/>
            <w:tcBorders>
              <w:top w:val="nil"/>
            </w:tcBorders>
            <w:shd w:val="clear" w:color="auto" w:fill="auto"/>
          </w:tcPr>
          <w:p>
            <w:pPr>
              <w:pStyle w:val="GesAbsatz"/>
              <w:jc w:val="center"/>
              <w:rPr>
                <w:sz w:val="18"/>
              </w:rPr>
            </w:pPr>
            <w:r>
              <w:rPr>
                <w:sz w:val="18"/>
              </w:rPr>
              <w:t>930,3</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3</w:t>
            </w:r>
          </w:p>
        </w:tc>
        <w:tc>
          <w:tcPr>
            <w:tcW w:w="2976" w:type="dxa"/>
            <w:shd w:val="clear" w:color="auto" w:fill="auto"/>
          </w:tcPr>
          <w:p>
            <w:pPr>
              <w:pStyle w:val="GesAbsatz"/>
              <w:rPr>
                <w:sz w:val="18"/>
              </w:rPr>
            </w:pPr>
            <w:r>
              <w:rPr>
                <w:sz w:val="18"/>
              </w:rPr>
              <w:t>Flammpunkt Pensky Martens</w:t>
            </w:r>
          </w:p>
        </w:tc>
        <w:tc>
          <w:tcPr>
            <w:tcW w:w="1984" w:type="dxa"/>
            <w:shd w:val="clear" w:color="auto" w:fill="auto"/>
          </w:tcPr>
          <w:p>
            <w:pPr>
              <w:pStyle w:val="GesAbsatz"/>
              <w:rPr>
                <w:sz w:val="18"/>
              </w:rPr>
            </w:pPr>
            <w:r>
              <w:rPr>
                <w:sz w:val="18"/>
              </w:rPr>
              <w:t>DIN EN ISO 2719:2003</w:t>
            </w:r>
          </w:p>
        </w:tc>
        <w:tc>
          <w:tcPr>
            <w:tcW w:w="709" w:type="dxa"/>
          </w:tcPr>
          <w:p>
            <w:pPr>
              <w:pStyle w:val="GesAbsatz"/>
              <w:jc w:val="center"/>
              <w:rPr>
                <w:sz w:val="18"/>
              </w:rPr>
            </w:pPr>
          </w:p>
        </w:tc>
        <w:tc>
          <w:tcPr>
            <w:tcW w:w="992" w:type="dxa"/>
            <w:shd w:val="clear" w:color="auto" w:fill="auto"/>
          </w:tcPr>
          <w:p>
            <w:pPr>
              <w:pStyle w:val="GesAbsatz"/>
              <w:jc w:val="center"/>
              <w:rPr>
                <w:sz w:val="18"/>
              </w:rPr>
            </w:pPr>
            <w:r>
              <w:rPr>
                <w:sz w:val="18"/>
              </w:rPr>
              <w:t>°C</w:t>
            </w:r>
          </w:p>
        </w:tc>
        <w:tc>
          <w:tcPr>
            <w:tcW w:w="850" w:type="dxa"/>
            <w:shd w:val="clear" w:color="auto" w:fill="auto"/>
          </w:tcPr>
          <w:p>
            <w:pPr>
              <w:pStyle w:val="GesAbsatz"/>
              <w:jc w:val="center"/>
              <w:rPr>
                <w:sz w:val="18"/>
              </w:rPr>
            </w:pPr>
            <w:r>
              <w:rPr>
                <w:sz w:val="18"/>
              </w:rPr>
              <w:t>211</w:t>
            </w:r>
          </w:p>
        </w:tc>
        <w:tc>
          <w:tcPr>
            <w:tcW w:w="851"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4</w:t>
            </w:r>
          </w:p>
        </w:tc>
        <w:tc>
          <w:tcPr>
            <w:tcW w:w="2976" w:type="dxa"/>
            <w:shd w:val="clear" w:color="auto" w:fill="auto"/>
          </w:tcPr>
          <w:p>
            <w:pPr>
              <w:pStyle w:val="GesAbsatz"/>
              <w:rPr>
                <w:sz w:val="18"/>
              </w:rPr>
            </w:pPr>
            <w:r>
              <w:rPr>
                <w:sz w:val="18"/>
              </w:rPr>
              <w:t>Kinematische Viskosität bei 40 °C</w:t>
            </w:r>
          </w:p>
        </w:tc>
        <w:tc>
          <w:tcPr>
            <w:tcW w:w="1984" w:type="dxa"/>
            <w:shd w:val="clear" w:color="auto" w:fill="auto"/>
          </w:tcPr>
          <w:p>
            <w:pPr>
              <w:pStyle w:val="GesAbsatz"/>
              <w:rPr>
                <w:sz w:val="18"/>
              </w:rPr>
            </w:pPr>
            <w:r>
              <w:rPr>
                <w:sz w:val="18"/>
              </w:rPr>
              <w:t>DIN EN ISO 3104:1999</w:t>
            </w:r>
          </w:p>
        </w:tc>
        <w:tc>
          <w:tcPr>
            <w:tcW w:w="709" w:type="dxa"/>
          </w:tcPr>
          <w:p>
            <w:pPr>
              <w:pStyle w:val="GesAbsatz"/>
              <w:jc w:val="center"/>
              <w:rPr>
                <w:sz w:val="18"/>
              </w:rPr>
            </w:pPr>
          </w:p>
        </w:tc>
        <w:tc>
          <w:tcPr>
            <w:tcW w:w="992" w:type="dxa"/>
            <w:shd w:val="clear" w:color="auto" w:fill="auto"/>
          </w:tcPr>
          <w:p>
            <w:pPr>
              <w:pStyle w:val="GesAbsatz"/>
              <w:jc w:val="center"/>
              <w:rPr>
                <w:sz w:val="18"/>
              </w:rPr>
            </w:pPr>
            <w:r>
              <w:rPr>
                <w:sz w:val="18"/>
              </w:rPr>
              <w:t>mm²/s</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36,4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5</w:t>
            </w:r>
          </w:p>
        </w:tc>
        <w:tc>
          <w:tcPr>
            <w:tcW w:w="2976" w:type="dxa"/>
            <w:shd w:val="clear" w:color="auto" w:fill="auto"/>
          </w:tcPr>
          <w:p>
            <w:pPr>
              <w:pStyle w:val="GesAbsatz"/>
              <w:rPr>
                <w:sz w:val="18"/>
              </w:rPr>
            </w:pPr>
            <w:r>
              <w:rPr>
                <w:sz w:val="18"/>
              </w:rPr>
              <w:t>Heizwert</w:t>
            </w:r>
          </w:p>
        </w:tc>
        <w:tc>
          <w:tcPr>
            <w:tcW w:w="1984" w:type="dxa"/>
            <w:shd w:val="clear" w:color="auto" w:fill="auto"/>
          </w:tcPr>
          <w:p>
            <w:pPr>
              <w:pStyle w:val="GesAbsatz"/>
              <w:rPr>
                <w:sz w:val="18"/>
              </w:rPr>
            </w:pPr>
            <w:r>
              <w:rPr>
                <w:sz w:val="18"/>
              </w:rPr>
              <w:t>DIN 51900-1:2000</w:t>
            </w:r>
          </w:p>
          <w:p>
            <w:pPr>
              <w:pStyle w:val="GesAbsatz"/>
              <w:rPr>
                <w:sz w:val="18"/>
              </w:rPr>
            </w:pPr>
            <w:r>
              <w:rPr>
                <w:sz w:val="18"/>
              </w:rPr>
              <w:t>DIN 51900-2:2003</w:t>
            </w:r>
          </w:p>
          <w:p>
            <w:pPr>
              <w:pStyle w:val="GesAbsatz"/>
              <w:rPr>
                <w:sz w:val="18"/>
              </w:rPr>
            </w:pPr>
            <w:r>
              <w:rPr>
                <w:sz w:val="18"/>
              </w:rPr>
              <w:t>DIN 51900-3:2005</w:t>
            </w:r>
          </w:p>
        </w:tc>
        <w:tc>
          <w:tcPr>
            <w:tcW w:w="709" w:type="dxa"/>
          </w:tcPr>
          <w:p>
            <w:pPr>
              <w:pStyle w:val="GesAbsatz"/>
              <w:jc w:val="center"/>
              <w:rPr>
                <w:sz w:val="18"/>
              </w:rPr>
            </w:pPr>
            <w:r>
              <w:rPr>
                <w:sz w:val="18"/>
              </w:rPr>
              <w:t>e)</w:t>
            </w:r>
          </w:p>
        </w:tc>
        <w:tc>
          <w:tcPr>
            <w:tcW w:w="992" w:type="dxa"/>
            <w:shd w:val="clear" w:color="auto" w:fill="auto"/>
          </w:tcPr>
          <w:p>
            <w:pPr>
              <w:pStyle w:val="GesAbsatz"/>
              <w:jc w:val="center"/>
              <w:rPr>
                <w:sz w:val="18"/>
              </w:rPr>
            </w:pPr>
            <w:r>
              <w:rPr>
                <w:sz w:val="18"/>
              </w:rPr>
              <w:t>kJ/kg</w:t>
            </w:r>
          </w:p>
        </w:tc>
        <w:tc>
          <w:tcPr>
            <w:tcW w:w="850" w:type="dxa"/>
            <w:shd w:val="clear" w:color="auto" w:fill="auto"/>
          </w:tcPr>
          <w:p>
            <w:pPr>
              <w:pStyle w:val="GesAbsatz"/>
              <w:jc w:val="center"/>
              <w:rPr>
                <w:sz w:val="18"/>
              </w:rPr>
            </w:pPr>
            <w:r>
              <w:rPr>
                <w:sz w:val="18"/>
              </w:rPr>
              <w:t>35 764</w:t>
            </w:r>
          </w:p>
        </w:tc>
        <w:tc>
          <w:tcPr>
            <w:tcW w:w="851"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6</w:t>
            </w:r>
          </w:p>
        </w:tc>
        <w:tc>
          <w:tcPr>
            <w:tcW w:w="2976" w:type="dxa"/>
            <w:shd w:val="clear" w:color="auto" w:fill="auto"/>
          </w:tcPr>
          <w:p>
            <w:pPr>
              <w:pStyle w:val="GesAbsatz"/>
              <w:rPr>
                <w:sz w:val="18"/>
              </w:rPr>
            </w:pPr>
            <w:r>
              <w:rPr>
                <w:sz w:val="18"/>
              </w:rPr>
              <w:t>Zündwilligkeit</w:t>
            </w:r>
          </w:p>
        </w:tc>
        <w:tc>
          <w:tcPr>
            <w:tcW w:w="1984" w:type="dxa"/>
            <w:shd w:val="clear" w:color="auto" w:fill="auto"/>
          </w:tcPr>
          <w:p>
            <w:pPr>
              <w:pStyle w:val="GesAbsatz"/>
              <w:rPr>
                <w:sz w:val="18"/>
              </w:rPr>
            </w:pPr>
            <w:r>
              <w:rPr>
                <w:sz w:val="18"/>
              </w:rPr>
              <w:t>–</w:t>
            </w:r>
          </w:p>
        </w:tc>
        <w:tc>
          <w:tcPr>
            <w:tcW w:w="709" w:type="dxa"/>
          </w:tcPr>
          <w:p>
            <w:pPr>
              <w:pStyle w:val="GesAbsatz"/>
              <w:jc w:val="center"/>
              <w:rPr>
                <w:sz w:val="18"/>
              </w:rPr>
            </w:pPr>
            <w:r>
              <w:rPr>
                <w:sz w:val="18"/>
              </w:rPr>
              <w:t>b)</w:t>
            </w:r>
          </w:p>
        </w:tc>
        <w:tc>
          <w:tcPr>
            <w:tcW w:w="992" w:type="dxa"/>
            <w:shd w:val="clear" w:color="auto" w:fill="auto"/>
          </w:tcPr>
          <w:p>
            <w:pPr>
              <w:pStyle w:val="GesAbsatz"/>
              <w:jc w:val="center"/>
              <w:rPr>
                <w:sz w:val="18"/>
              </w:rPr>
            </w:pP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7</w:t>
            </w:r>
          </w:p>
        </w:tc>
        <w:tc>
          <w:tcPr>
            <w:tcW w:w="2976" w:type="dxa"/>
            <w:shd w:val="clear" w:color="auto" w:fill="auto"/>
          </w:tcPr>
          <w:p>
            <w:pPr>
              <w:pStyle w:val="GesAbsatz"/>
              <w:rPr>
                <w:sz w:val="18"/>
              </w:rPr>
            </w:pPr>
            <w:r>
              <w:rPr>
                <w:sz w:val="18"/>
              </w:rPr>
              <w:t>Koksrückstand</w:t>
            </w:r>
          </w:p>
        </w:tc>
        <w:tc>
          <w:tcPr>
            <w:tcW w:w="1984" w:type="dxa"/>
            <w:shd w:val="clear" w:color="auto" w:fill="auto"/>
          </w:tcPr>
          <w:p>
            <w:pPr>
              <w:pStyle w:val="GesAbsatz"/>
              <w:rPr>
                <w:sz w:val="18"/>
              </w:rPr>
            </w:pPr>
            <w:r>
              <w:rPr>
                <w:sz w:val="18"/>
              </w:rPr>
              <w:t>DIN EN ISO 10370:1995</w:t>
            </w:r>
          </w:p>
        </w:tc>
        <w:tc>
          <w:tcPr>
            <w:tcW w:w="709" w:type="dxa"/>
          </w:tcPr>
          <w:p>
            <w:pPr>
              <w:pStyle w:val="GesAbsatz"/>
              <w:jc w:val="center"/>
              <w:rPr>
                <w:sz w:val="18"/>
              </w:rPr>
            </w:pPr>
            <w:r>
              <w:rPr>
                <w:sz w:val="18"/>
              </w:rPr>
              <w:t>c)</w:t>
            </w:r>
          </w:p>
        </w:tc>
        <w:tc>
          <w:tcPr>
            <w:tcW w:w="992" w:type="dxa"/>
            <w:shd w:val="clear" w:color="auto" w:fill="auto"/>
          </w:tcPr>
          <w:p>
            <w:pPr>
              <w:pStyle w:val="GesAbsatz"/>
              <w:jc w:val="center"/>
              <w:rPr>
                <w:sz w:val="18"/>
              </w:rPr>
            </w:pPr>
            <w:r>
              <w:rPr>
                <w:sz w:val="18"/>
              </w:rPr>
              <w:t>% (m/m)</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0,48</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8</w:t>
            </w:r>
          </w:p>
        </w:tc>
        <w:tc>
          <w:tcPr>
            <w:tcW w:w="2976" w:type="dxa"/>
            <w:shd w:val="clear" w:color="auto" w:fill="auto"/>
          </w:tcPr>
          <w:p>
            <w:pPr>
              <w:pStyle w:val="GesAbsatz"/>
              <w:rPr>
                <w:sz w:val="18"/>
              </w:rPr>
            </w:pPr>
            <w:r>
              <w:rPr>
                <w:sz w:val="18"/>
              </w:rPr>
              <w:t>Iodzahl</w:t>
            </w:r>
          </w:p>
        </w:tc>
        <w:tc>
          <w:tcPr>
            <w:tcW w:w="1984" w:type="dxa"/>
            <w:tcBorders>
              <w:bottom w:val="single" w:sz="4" w:space="0" w:color="auto"/>
            </w:tcBorders>
            <w:shd w:val="clear" w:color="auto" w:fill="auto"/>
          </w:tcPr>
          <w:p>
            <w:pPr>
              <w:pStyle w:val="GesAbsatz"/>
              <w:rPr>
                <w:sz w:val="18"/>
              </w:rPr>
            </w:pPr>
            <w:r>
              <w:rPr>
                <w:sz w:val="18"/>
              </w:rPr>
              <w:t>DIN EN 14111:2003</w:t>
            </w:r>
          </w:p>
        </w:tc>
        <w:tc>
          <w:tcPr>
            <w:tcW w:w="709" w:type="dxa"/>
            <w:tcBorders>
              <w:bottom w:val="single" w:sz="4" w:space="0" w:color="auto"/>
            </w:tcBorders>
          </w:tcPr>
          <w:p>
            <w:pPr>
              <w:pStyle w:val="GesAbsatz"/>
              <w:jc w:val="center"/>
              <w:rPr>
                <w:sz w:val="18"/>
              </w:rPr>
            </w:pPr>
          </w:p>
        </w:tc>
        <w:tc>
          <w:tcPr>
            <w:tcW w:w="992" w:type="dxa"/>
            <w:tcBorders>
              <w:bottom w:val="single" w:sz="4" w:space="0" w:color="auto"/>
            </w:tcBorders>
            <w:shd w:val="clear" w:color="auto" w:fill="auto"/>
          </w:tcPr>
          <w:p>
            <w:pPr>
              <w:pStyle w:val="GesAbsatz"/>
              <w:jc w:val="center"/>
              <w:rPr>
                <w:sz w:val="18"/>
              </w:rPr>
            </w:pPr>
            <w:r>
              <w:rPr>
                <w:sz w:val="18"/>
              </w:rPr>
              <w:t>g (Iod)/100 g</w:t>
            </w:r>
          </w:p>
        </w:tc>
        <w:tc>
          <w:tcPr>
            <w:tcW w:w="850" w:type="dxa"/>
            <w:tcBorders>
              <w:bottom w:val="single" w:sz="4" w:space="0" w:color="auto"/>
            </w:tcBorders>
            <w:shd w:val="clear" w:color="auto" w:fill="auto"/>
          </w:tcPr>
          <w:p>
            <w:pPr>
              <w:pStyle w:val="GesAbsatz"/>
              <w:jc w:val="center"/>
              <w:rPr>
                <w:sz w:val="18"/>
              </w:rPr>
            </w:pPr>
            <w:r>
              <w:rPr>
                <w:sz w:val="18"/>
              </w:rPr>
              <w:t>92</w:t>
            </w:r>
          </w:p>
        </w:tc>
        <w:tc>
          <w:tcPr>
            <w:tcW w:w="851" w:type="dxa"/>
            <w:tcBorders>
              <w:bottom w:val="single" w:sz="4" w:space="0" w:color="auto"/>
            </w:tcBorders>
            <w:shd w:val="clear" w:color="auto" w:fill="auto"/>
          </w:tcPr>
          <w:p>
            <w:pPr>
              <w:pStyle w:val="GesAbsatz"/>
              <w:jc w:val="center"/>
              <w:rPr>
                <w:sz w:val="18"/>
              </w:rPr>
            </w:pPr>
            <w:r>
              <w:rPr>
                <w:sz w:val="18"/>
              </w:rPr>
              <w:t>128</w:t>
            </w:r>
          </w:p>
        </w:tc>
        <w:tc>
          <w:tcPr>
            <w:tcW w:w="911" w:type="dxa"/>
            <w:shd w:val="clear" w:color="auto" w:fill="auto"/>
          </w:tcPr>
          <w:p>
            <w:pPr>
              <w:pStyle w:val="GesAbsatz"/>
              <w:rPr>
                <w:sz w:val="18"/>
                <w:szCs w:val="18"/>
              </w:rPr>
            </w:pPr>
          </w:p>
        </w:tc>
      </w:tr>
      <w:tr>
        <w:tc>
          <w:tcPr>
            <w:tcW w:w="534" w:type="dxa"/>
            <w:vMerge w:val="restart"/>
            <w:shd w:val="clear" w:color="auto" w:fill="auto"/>
          </w:tcPr>
          <w:p>
            <w:pPr>
              <w:pStyle w:val="GesAbsatz"/>
              <w:rPr>
                <w:sz w:val="18"/>
              </w:rPr>
            </w:pPr>
            <w:r>
              <w:rPr>
                <w:sz w:val="18"/>
              </w:rPr>
              <w:t>9</w:t>
            </w:r>
          </w:p>
        </w:tc>
        <w:tc>
          <w:tcPr>
            <w:tcW w:w="2976" w:type="dxa"/>
            <w:vMerge w:val="restart"/>
            <w:shd w:val="clear" w:color="auto" w:fill="auto"/>
          </w:tcPr>
          <w:p>
            <w:pPr>
              <w:pStyle w:val="GesAbsatz"/>
              <w:rPr>
                <w:sz w:val="18"/>
              </w:rPr>
            </w:pPr>
            <w:r>
              <w:rPr>
                <w:sz w:val="18"/>
              </w:rPr>
              <w:t>Schwefelgehalt</w:t>
            </w:r>
          </w:p>
        </w:tc>
        <w:tc>
          <w:tcPr>
            <w:tcW w:w="1984" w:type="dxa"/>
            <w:tcBorders>
              <w:bottom w:val="nil"/>
            </w:tcBorders>
            <w:shd w:val="clear" w:color="auto" w:fill="auto"/>
          </w:tcPr>
          <w:p>
            <w:pPr>
              <w:pStyle w:val="GesAbsatz"/>
              <w:rPr>
                <w:sz w:val="18"/>
              </w:rPr>
            </w:pPr>
            <w:r>
              <w:rPr>
                <w:sz w:val="18"/>
              </w:rPr>
              <w:t>DIN EN ISO 20884:2004</w:t>
            </w:r>
          </w:p>
        </w:tc>
        <w:tc>
          <w:tcPr>
            <w:tcW w:w="709" w:type="dxa"/>
            <w:vMerge w:val="restart"/>
            <w:tcBorders>
              <w:bottom w:val="nil"/>
            </w:tcBorders>
          </w:tcPr>
          <w:p>
            <w:pPr>
              <w:pStyle w:val="GesAbsatz"/>
              <w:jc w:val="center"/>
              <w:rPr>
                <w:sz w:val="18"/>
              </w:rPr>
            </w:pPr>
          </w:p>
        </w:tc>
        <w:tc>
          <w:tcPr>
            <w:tcW w:w="992" w:type="dxa"/>
            <w:tcBorders>
              <w:bottom w:val="nil"/>
            </w:tcBorders>
            <w:shd w:val="clear" w:color="auto" w:fill="auto"/>
          </w:tcPr>
          <w:p>
            <w:pPr>
              <w:pStyle w:val="GesAbsatz"/>
              <w:jc w:val="center"/>
              <w:rPr>
                <w:sz w:val="18"/>
              </w:rPr>
            </w:pPr>
            <w:r>
              <w:rPr>
                <w:sz w:val="18"/>
              </w:rPr>
              <w:t>mg/kg</w:t>
            </w:r>
          </w:p>
        </w:tc>
        <w:tc>
          <w:tcPr>
            <w:tcW w:w="850" w:type="dxa"/>
            <w:vMerge w:val="restart"/>
            <w:tcBorders>
              <w:bottom w:val="nil"/>
            </w:tcBorders>
            <w:shd w:val="clear" w:color="auto" w:fill="auto"/>
          </w:tcPr>
          <w:p>
            <w:pPr>
              <w:pStyle w:val="GesAbsatz"/>
              <w:jc w:val="center"/>
              <w:rPr>
                <w:sz w:val="18"/>
              </w:rPr>
            </w:pPr>
          </w:p>
        </w:tc>
        <w:tc>
          <w:tcPr>
            <w:tcW w:w="851" w:type="dxa"/>
            <w:tcBorders>
              <w:bottom w:val="nil"/>
            </w:tcBorders>
            <w:shd w:val="clear" w:color="auto" w:fill="auto"/>
          </w:tcPr>
          <w:p>
            <w:pPr>
              <w:pStyle w:val="GesAbsatz"/>
              <w:jc w:val="center"/>
              <w:rPr>
                <w:sz w:val="18"/>
              </w:rPr>
            </w:pPr>
            <w:r>
              <w:rPr>
                <w:sz w:val="18"/>
              </w:rPr>
              <w:t>11,8</w:t>
            </w:r>
          </w:p>
        </w:tc>
        <w:tc>
          <w:tcPr>
            <w:tcW w:w="911" w:type="dxa"/>
            <w:vMerge w:val="restart"/>
            <w:shd w:val="clear" w:color="auto" w:fill="auto"/>
          </w:tcPr>
          <w:p>
            <w:pPr>
              <w:pStyle w:val="GesAbsatz"/>
              <w:rPr>
                <w:sz w:val="18"/>
                <w:szCs w:val="18"/>
              </w:rPr>
            </w:pPr>
          </w:p>
        </w:tc>
      </w:tr>
      <w:tr>
        <w:tc>
          <w:tcPr>
            <w:tcW w:w="534" w:type="dxa"/>
            <w:vMerge/>
            <w:shd w:val="clear" w:color="auto" w:fill="auto"/>
          </w:tcPr>
          <w:p>
            <w:pPr>
              <w:pStyle w:val="GesAbsatz"/>
              <w:rPr>
                <w:sz w:val="18"/>
              </w:rPr>
            </w:pPr>
          </w:p>
        </w:tc>
        <w:tc>
          <w:tcPr>
            <w:tcW w:w="2976" w:type="dxa"/>
            <w:vMerge/>
            <w:shd w:val="clear" w:color="auto" w:fill="auto"/>
          </w:tcPr>
          <w:p>
            <w:pPr>
              <w:pStyle w:val="GesAbsatz"/>
              <w:rPr>
                <w:sz w:val="18"/>
              </w:rPr>
            </w:pPr>
          </w:p>
        </w:tc>
        <w:tc>
          <w:tcPr>
            <w:tcW w:w="1984" w:type="dxa"/>
            <w:tcBorders>
              <w:top w:val="nil"/>
            </w:tcBorders>
            <w:shd w:val="clear" w:color="auto" w:fill="auto"/>
          </w:tcPr>
          <w:p>
            <w:pPr>
              <w:pStyle w:val="GesAbsatz"/>
              <w:rPr>
                <w:sz w:val="18"/>
              </w:rPr>
            </w:pPr>
            <w:r>
              <w:rPr>
                <w:sz w:val="18"/>
              </w:rPr>
              <w:t>DIN EN ISO 20846:2004</w:t>
            </w:r>
          </w:p>
        </w:tc>
        <w:tc>
          <w:tcPr>
            <w:tcW w:w="709" w:type="dxa"/>
            <w:vMerge/>
            <w:tcBorders>
              <w:top w:val="nil"/>
            </w:tcBorders>
          </w:tcPr>
          <w:p>
            <w:pPr>
              <w:pStyle w:val="GesAbsatz"/>
              <w:jc w:val="center"/>
              <w:rPr>
                <w:sz w:val="18"/>
              </w:rPr>
            </w:pPr>
          </w:p>
        </w:tc>
        <w:tc>
          <w:tcPr>
            <w:tcW w:w="992" w:type="dxa"/>
            <w:tcBorders>
              <w:top w:val="nil"/>
            </w:tcBorders>
            <w:shd w:val="clear" w:color="auto" w:fill="auto"/>
          </w:tcPr>
          <w:p>
            <w:pPr>
              <w:pStyle w:val="GesAbsatz"/>
              <w:jc w:val="center"/>
              <w:rPr>
                <w:sz w:val="18"/>
              </w:rPr>
            </w:pPr>
            <w:r>
              <w:rPr>
                <w:sz w:val="18"/>
              </w:rPr>
              <w:t>mg/kg</w:t>
            </w:r>
          </w:p>
        </w:tc>
        <w:tc>
          <w:tcPr>
            <w:tcW w:w="850" w:type="dxa"/>
            <w:vMerge/>
            <w:tcBorders>
              <w:top w:val="nil"/>
            </w:tcBorders>
            <w:shd w:val="clear" w:color="auto" w:fill="auto"/>
          </w:tcPr>
          <w:p>
            <w:pPr>
              <w:pStyle w:val="GesAbsatz"/>
              <w:jc w:val="center"/>
              <w:rPr>
                <w:sz w:val="18"/>
              </w:rPr>
            </w:pPr>
          </w:p>
        </w:tc>
        <w:tc>
          <w:tcPr>
            <w:tcW w:w="851" w:type="dxa"/>
            <w:tcBorders>
              <w:top w:val="nil"/>
            </w:tcBorders>
            <w:shd w:val="clear" w:color="auto" w:fill="auto"/>
          </w:tcPr>
          <w:p>
            <w:pPr>
              <w:pStyle w:val="GesAbsatz"/>
              <w:jc w:val="center"/>
              <w:rPr>
                <w:sz w:val="18"/>
              </w:rPr>
            </w:pPr>
            <w:r>
              <w:rPr>
                <w:sz w:val="18"/>
              </w:rPr>
              <w:t>11,3</w:t>
            </w:r>
          </w:p>
        </w:tc>
        <w:tc>
          <w:tcPr>
            <w:tcW w:w="911" w:type="dxa"/>
            <w:vMerge/>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10</w:t>
            </w:r>
          </w:p>
        </w:tc>
        <w:tc>
          <w:tcPr>
            <w:tcW w:w="2976" w:type="dxa"/>
            <w:shd w:val="clear" w:color="auto" w:fill="auto"/>
          </w:tcPr>
          <w:p>
            <w:pPr>
              <w:pStyle w:val="GesAbsatz"/>
              <w:rPr>
                <w:sz w:val="18"/>
              </w:rPr>
            </w:pPr>
            <w:r>
              <w:rPr>
                <w:sz w:val="18"/>
              </w:rPr>
              <w:t>Gesamtverschmutzung</w:t>
            </w:r>
          </w:p>
        </w:tc>
        <w:tc>
          <w:tcPr>
            <w:tcW w:w="1984" w:type="dxa"/>
            <w:shd w:val="clear" w:color="auto" w:fill="auto"/>
          </w:tcPr>
          <w:p>
            <w:pPr>
              <w:pStyle w:val="GesAbsatz"/>
              <w:rPr>
                <w:sz w:val="18"/>
              </w:rPr>
            </w:pPr>
            <w:r>
              <w:rPr>
                <w:sz w:val="18"/>
              </w:rPr>
              <w:t>DIN EN 12662:2008</w:t>
            </w:r>
          </w:p>
        </w:tc>
        <w:tc>
          <w:tcPr>
            <w:tcW w:w="709" w:type="dxa"/>
          </w:tcPr>
          <w:p>
            <w:pPr>
              <w:pStyle w:val="GesAbsatz"/>
              <w:jc w:val="center"/>
              <w:rPr>
                <w:sz w:val="18"/>
              </w:rPr>
            </w:pPr>
          </w:p>
        </w:tc>
        <w:tc>
          <w:tcPr>
            <w:tcW w:w="992" w:type="dxa"/>
            <w:shd w:val="clear" w:color="auto" w:fill="auto"/>
          </w:tcPr>
          <w:p>
            <w:pPr>
              <w:pStyle w:val="GesAbsatz"/>
              <w:jc w:val="center"/>
              <w:rPr>
                <w:sz w:val="18"/>
              </w:rPr>
            </w:pPr>
            <w:r>
              <w:rPr>
                <w:sz w:val="18"/>
              </w:rPr>
              <w:t>mg/kg</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28</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lastRenderedPageBreak/>
              <w:t>11</w:t>
            </w:r>
          </w:p>
        </w:tc>
        <w:tc>
          <w:tcPr>
            <w:tcW w:w="2976" w:type="dxa"/>
            <w:shd w:val="clear" w:color="auto" w:fill="auto"/>
          </w:tcPr>
          <w:p>
            <w:pPr>
              <w:pStyle w:val="GesAbsatz"/>
              <w:rPr>
                <w:sz w:val="18"/>
              </w:rPr>
            </w:pPr>
            <w:r>
              <w:rPr>
                <w:sz w:val="18"/>
              </w:rPr>
              <w:t>Säurezahl</w:t>
            </w:r>
          </w:p>
        </w:tc>
        <w:tc>
          <w:tcPr>
            <w:tcW w:w="1984" w:type="dxa"/>
            <w:shd w:val="clear" w:color="auto" w:fill="auto"/>
          </w:tcPr>
          <w:p>
            <w:pPr>
              <w:pStyle w:val="GesAbsatz"/>
              <w:rPr>
                <w:sz w:val="18"/>
              </w:rPr>
            </w:pPr>
            <w:r>
              <w:rPr>
                <w:sz w:val="18"/>
              </w:rPr>
              <w:t>DIN EN 14104:2003</w:t>
            </w:r>
          </w:p>
        </w:tc>
        <w:tc>
          <w:tcPr>
            <w:tcW w:w="709" w:type="dxa"/>
          </w:tcPr>
          <w:p>
            <w:pPr>
              <w:pStyle w:val="GesAbsatz"/>
              <w:jc w:val="center"/>
              <w:rPr>
                <w:sz w:val="18"/>
              </w:rPr>
            </w:pPr>
          </w:p>
        </w:tc>
        <w:tc>
          <w:tcPr>
            <w:tcW w:w="992" w:type="dxa"/>
            <w:shd w:val="clear" w:color="auto" w:fill="auto"/>
          </w:tcPr>
          <w:p>
            <w:pPr>
              <w:pStyle w:val="GesAbsatz"/>
              <w:jc w:val="center"/>
              <w:rPr>
                <w:sz w:val="18"/>
              </w:rPr>
            </w:pPr>
            <w:r>
              <w:rPr>
                <w:sz w:val="18"/>
              </w:rPr>
              <w:t>mg KOH/g</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2,04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12</w:t>
            </w:r>
          </w:p>
        </w:tc>
        <w:tc>
          <w:tcPr>
            <w:tcW w:w="2976" w:type="dxa"/>
            <w:shd w:val="clear" w:color="auto" w:fill="auto"/>
          </w:tcPr>
          <w:p>
            <w:pPr>
              <w:pStyle w:val="GesAbsatz"/>
              <w:rPr>
                <w:sz w:val="18"/>
              </w:rPr>
            </w:pPr>
            <w:r>
              <w:rPr>
                <w:sz w:val="18"/>
              </w:rPr>
              <w:t>Oxidationsstabilität, 110 °C</w:t>
            </w:r>
          </w:p>
        </w:tc>
        <w:tc>
          <w:tcPr>
            <w:tcW w:w="1984" w:type="dxa"/>
            <w:shd w:val="clear" w:color="auto" w:fill="auto"/>
          </w:tcPr>
          <w:p>
            <w:pPr>
              <w:pStyle w:val="GesAbsatz"/>
              <w:rPr>
                <w:sz w:val="18"/>
              </w:rPr>
            </w:pPr>
            <w:r>
              <w:rPr>
                <w:sz w:val="18"/>
              </w:rPr>
              <w:t>DIN EN 14112:2003</w:t>
            </w:r>
          </w:p>
        </w:tc>
        <w:tc>
          <w:tcPr>
            <w:tcW w:w="709" w:type="dxa"/>
          </w:tcPr>
          <w:p>
            <w:pPr>
              <w:pStyle w:val="GesAbsatz"/>
              <w:jc w:val="center"/>
              <w:rPr>
                <w:sz w:val="18"/>
              </w:rPr>
            </w:pPr>
          </w:p>
        </w:tc>
        <w:tc>
          <w:tcPr>
            <w:tcW w:w="992" w:type="dxa"/>
            <w:shd w:val="clear" w:color="auto" w:fill="auto"/>
          </w:tcPr>
          <w:p>
            <w:pPr>
              <w:pStyle w:val="GesAbsatz"/>
              <w:jc w:val="center"/>
              <w:rPr>
                <w:sz w:val="18"/>
              </w:rPr>
            </w:pPr>
            <w:r>
              <w:rPr>
                <w:sz w:val="18"/>
              </w:rPr>
              <w:t>Stunden</w:t>
            </w:r>
          </w:p>
        </w:tc>
        <w:tc>
          <w:tcPr>
            <w:tcW w:w="850" w:type="dxa"/>
            <w:shd w:val="clear" w:color="auto" w:fill="auto"/>
          </w:tcPr>
          <w:p>
            <w:pPr>
              <w:pStyle w:val="GesAbsatz"/>
              <w:jc w:val="center"/>
              <w:rPr>
                <w:sz w:val="18"/>
              </w:rPr>
            </w:pPr>
            <w:r>
              <w:rPr>
                <w:sz w:val="18"/>
              </w:rPr>
              <w:t>4,9</w:t>
            </w:r>
          </w:p>
        </w:tc>
        <w:tc>
          <w:tcPr>
            <w:tcW w:w="851" w:type="dxa"/>
            <w:shd w:val="clear" w:color="auto" w:fill="auto"/>
          </w:tcPr>
          <w:p>
            <w:pPr>
              <w:pStyle w:val="GesAbsatz"/>
              <w:jc w:val="center"/>
              <w:rPr>
                <w:sz w:val="18"/>
              </w:rPr>
            </w:pP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13</w:t>
            </w:r>
          </w:p>
        </w:tc>
        <w:tc>
          <w:tcPr>
            <w:tcW w:w="2976" w:type="dxa"/>
            <w:shd w:val="clear" w:color="auto" w:fill="auto"/>
          </w:tcPr>
          <w:p>
            <w:pPr>
              <w:pStyle w:val="GesAbsatz"/>
              <w:rPr>
                <w:sz w:val="18"/>
              </w:rPr>
            </w:pPr>
            <w:r>
              <w:rPr>
                <w:sz w:val="18"/>
              </w:rPr>
              <w:t>Phosphorgehalt</w:t>
            </w:r>
          </w:p>
        </w:tc>
        <w:tc>
          <w:tcPr>
            <w:tcW w:w="1984" w:type="dxa"/>
            <w:shd w:val="clear" w:color="auto" w:fill="auto"/>
          </w:tcPr>
          <w:p>
            <w:pPr>
              <w:pStyle w:val="GesAbsatz"/>
              <w:rPr>
                <w:sz w:val="18"/>
              </w:rPr>
            </w:pPr>
            <w:r>
              <w:rPr>
                <w:sz w:val="18"/>
              </w:rPr>
              <w:t>DIN EN 14107:2003</w:t>
            </w:r>
          </w:p>
        </w:tc>
        <w:tc>
          <w:tcPr>
            <w:tcW w:w="709" w:type="dxa"/>
          </w:tcPr>
          <w:p>
            <w:pPr>
              <w:pStyle w:val="GesAbsatz"/>
              <w:jc w:val="center"/>
              <w:rPr>
                <w:sz w:val="18"/>
              </w:rPr>
            </w:pPr>
            <w:r>
              <w:rPr>
                <w:sz w:val="18"/>
              </w:rPr>
              <w:t>d)</w:t>
            </w:r>
          </w:p>
        </w:tc>
        <w:tc>
          <w:tcPr>
            <w:tcW w:w="992" w:type="dxa"/>
            <w:shd w:val="clear" w:color="auto" w:fill="auto"/>
          </w:tcPr>
          <w:p>
            <w:pPr>
              <w:pStyle w:val="GesAbsatz"/>
              <w:jc w:val="center"/>
              <w:rPr>
                <w:sz w:val="18"/>
              </w:rPr>
            </w:pPr>
            <w:r>
              <w:rPr>
                <w:sz w:val="18"/>
              </w:rPr>
              <w:t>mg/kg</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13,4</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14</w:t>
            </w:r>
          </w:p>
        </w:tc>
        <w:tc>
          <w:tcPr>
            <w:tcW w:w="2976" w:type="dxa"/>
            <w:shd w:val="clear" w:color="auto" w:fill="auto"/>
          </w:tcPr>
          <w:p>
            <w:pPr>
              <w:pStyle w:val="GesAbsatz"/>
              <w:rPr>
                <w:sz w:val="18"/>
              </w:rPr>
            </w:pPr>
            <w:r>
              <w:rPr>
                <w:sz w:val="18"/>
              </w:rPr>
              <w:t>Summengehalt an Magnesium und Calcium</w:t>
            </w:r>
          </w:p>
        </w:tc>
        <w:tc>
          <w:tcPr>
            <w:tcW w:w="1984" w:type="dxa"/>
            <w:shd w:val="clear" w:color="auto" w:fill="auto"/>
          </w:tcPr>
          <w:p>
            <w:pPr>
              <w:pStyle w:val="GesAbsatz"/>
              <w:rPr>
                <w:sz w:val="18"/>
              </w:rPr>
            </w:pPr>
            <w:r>
              <w:rPr>
                <w:sz w:val="18"/>
              </w:rPr>
              <w:t>DIN EN 14538:2006</w:t>
            </w:r>
          </w:p>
        </w:tc>
        <w:tc>
          <w:tcPr>
            <w:tcW w:w="709" w:type="dxa"/>
          </w:tcPr>
          <w:p>
            <w:pPr>
              <w:pStyle w:val="GesAbsatz"/>
              <w:jc w:val="center"/>
              <w:rPr>
                <w:sz w:val="18"/>
              </w:rPr>
            </w:pPr>
            <w:r>
              <w:rPr>
                <w:sz w:val="18"/>
              </w:rPr>
              <w:t>d)</w:t>
            </w:r>
          </w:p>
        </w:tc>
        <w:tc>
          <w:tcPr>
            <w:tcW w:w="992" w:type="dxa"/>
            <w:shd w:val="clear" w:color="auto" w:fill="auto"/>
          </w:tcPr>
          <w:p>
            <w:pPr>
              <w:pStyle w:val="GesAbsatz"/>
              <w:jc w:val="center"/>
              <w:rPr>
                <w:sz w:val="18"/>
              </w:rPr>
            </w:pPr>
            <w:r>
              <w:rPr>
                <w:sz w:val="18"/>
              </w:rPr>
              <w:t>mg/kg</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22,5</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15</w:t>
            </w:r>
          </w:p>
        </w:tc>
        <w:tc>
          <w:tcPr>
            <w:tcW w:w="2976" w:type="dxa"/>
            <w:shd w:val="clear" w:color="auto" w:fill="auto"/>
          </w:tcPr>
          <w:p>
            <w:pPr>
              <w:pStyle w:val="GesAbsatz"/>
              <w:rPr>
                <w:sz w:val="18"/>
              </w:rPr>
            </w:pPr>
            <w:r>
              <w:rPr>
                <w:sz w:val="18"/>
              </w:rPr>
              <w:t>Asche-Gehalt (Oxid-Asche)</w:t>
            </w:r>
          </w:p>
        </w:tc>
        <w:tc>
          <w:tcPr>
            <w:tcW w:w="1984" w:type="dxa"/>
            <w:shd w:val="clear" w:color="auto" w:fill="auto"/>
          </w:tcPr>
          <w:p>
            <w:pPr>
              <w:pStyle w:val="GesAbsatz"/>
              <w:rPr>
                <w:sz w:val="18"/>
              </w:rPr>
            </w:pPr>
            <w:r>
              <w:rPr>
                <w:sz w:val="18"/>
              </w:rPr>
              <w:t>DIN EN ISO 6245:2003</w:t>
            </w:r>
          </w:p>
        </w:tc>
        <w:tc>
          <w:tcPr>
            <w:tcW w:w="709" w:type="dxa"/>
          </w:tcPr>
          <w:p>
            <w:pPr>
              <w:pStyle w:val="GesAbsatz"/>
              <w:jc w:val="center"/>
              <w:rPr>
                <w:sz w:val="18"/>
              </w:rPr>
            </w:pPr>
          </w:p>
        </w:tc>
        <w:tc>
          <w:tcPr>
            <w:tcW w:w="992" w:type="dxa"/>
            <w:shd w:val="clear" w:color="auto" w:fill="auto"/>
          </w:tcPr>
          <w:p>
            <w:pPr>
              <w:pStyle w:val="GesAbsatz"/>
              <w:jc w:val="center"/>
              <w:rPr>
                <w:sz w:val="18"/>
              </w:rPr>
            </w:pPr>
            <w:r>
              <w:rPr>
                <w:sz w:val="18"/>
              </w:rPr>
              <w:t>% (m/m)</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0,013</w:t>
            </w:r>
          </w:p>
        </w:tc>
        <w:tc>
          <w:tcPr>
            <w:tcW w:w="911" w:type="dxa"/>
            <w:shd w:val="clear" w:color="auto" w:fill="auto"/>
          </w:tcPr>
          <w:p>
            <w:pPr>
              <w:pStyle w:val="GesAbsatz"/>
              <w:rPr>
                <w:sz w:val="18"/>
                <w:szCs w:val="18"/>
              </w:rPr>
            </w:pPr>
          </w:p>
        </w:tc>
      </w:tr>
      <w:tr>
        <w:tc>
          <w:tcPr>
            <w:tcW w:w="534" w:type="dxa"/>
            <w:shd w:val="clear" w:color="auto" w:fill="auto"/>
          </w:tcPr>
          <w:p>
            <w:pPr>
              <w:pStyle w:val="GesAbsatz"/>
              <w:rPr>
                <w:sz w:val="18"/>
              </w:rPr>
            </w:pPr>
            <w:r>
              <w:rPr>
                <w:sz w:val="18"/>
              </w:rPr>
              <w:t>16</w:t>
            </w:r>
          </w:p>
        </w:tc>
        <w:tc>
          <w:tcPr>
            <w:tcW w:w="2976" w:type="dxa"/>
            <w:tcBorders>
              <w:bottom w:val="single" w:sz="4" w:space="0" w:color="auto"/>
            </w:tcBorders>
            <w:shd w:val="clear" w:color="auto" w:fill="auto"/>
          </w:tcPr>
          <w:p>
            <w:pPr>
              <w:pStyle w:val="GesAbsatz"/>
              <w:rPr>
                <w:sz w:val="18"/>
              </w:rPr>
            </w:pPr>
            <w:r>
              <w:rPr>
                <w:sz w:val="18"/>
              </w:rPr>
              <w:t>Wassergehalt</w:t>
            </w:r>
          </w:p>
        </w:tc>
        <w:tc>
          <w:tcPr>
            <w:tcW w:w="1984" w:type="dxa"/>
            <w:tcBorders>
              <w:bottom w:val="single" w:sz="4" w:space="0" w:color="auto"/>
            </w:tcBorders>
            <w:shd w:val="clear" w:color="auto" w:fill="auto"/>
          </w:tcPr>
          <w:p>
            <w:pPr>
              <w:pStyle w:val="GesAbsatz"/>
              <w:rPr>
                <w:sz w:val="18"/>
              </w:rPr>
            </w:pPr>
            <w:r>
              <w:rPr>
                <w:sz w:val="18"/>
              </w:rPr>
              <w:t>DIN EN ISO 12937:2002</w:t>
            </w:r>
          </w:p>
        </w:tc>
        <w:tc>
          <w:tcPr>
            <w:tcW w:w="709" w:type="dxa"/>
            <w:tcBorders>
              <w:bottom w:val="single" w:sz="4" w:space="0" w:color="auto"/>
            </w:tcBorders>
          </w:tcPr>
          <w:p>
            <w:pPr>
              <w:pStyle w:val="GesAbsatz"/>
              <w:jc w:val="center"/>
              <w:rPr>
                <w:sz w:val="18"/>
              </w:rPr>
            </w:pPr>
          </w:p>
        </w:tc>
        <w:tc>
          <w:tcPr>
            <w:tcW w:w="992" w:type="dxa"/>
            <w:tcBorders>
              <w:bottom w:val="single" w:sz="4" w:space="0" w:color="auto"/>
            </w:tcBorders>
            <w:shd w:val="clear" w:color="auto" w:fill="auto"/>
          </w:tcPr>
          <w:p>
            <w:pPr>
              <w:pStyle w:val="GesAbsatz"/>
              <w:jc w:val="center"/>
              <w:rPr>
                <w:sz w:val="18"/>
              </w:rPr>
            </w:pPr>
            <w:r>
              <w:rPr>
                <w:sz w:val="18"/>
              </w:rPr>
              <w:t>% (m/m)</w:t>
            </w:r>
          </w:p>
        </w:tc>
        <w:tc>
          <w:tcPr>
            <w:tcW w:w="850" w:type="dxa"/>
            <w:shd w:val="clear" w:color="auto" w:fill="auto"/>
          </w:tcPr>
          <w:p>
            <w:pPr>
              <w:pStyle w:val="GesAbsatz"/>
              <w:jc w:val="center"/>
              <w:rPr>
                <w:sz w:val="18"/>
              </w:rPr>
            </w:pPr>
          </w:p>
        </w:tc>
        <w:tc>
          <w:tcPr>
            <w:tcW w:w="851" w:type="dxa"/>
            <w:shd w:val="clear" w:color="auto" w:fill="auto"/>
          </w:tcPr>
          <w:p>
            <w:pPr>
              <w:pStyle w:val="GesAbsatz"/>
              <w:jc w:val="center"/>
              <w:rPr>
                <w:sz w:val="18"/>
              </w:rPr>
            </w:pPr>
            <w:r>
              <w:rPr>
                <w:sz w:val="18"/>
              </w:rPr>
              <w:t>0,086</w:t>
            </w:r>
          </w:p>
        </w:tc>
        <w:tc>
          <w:tcPr>
            <w:tcW w:w="911" w:type="dxa"/>
            <w:shd w:val="clear" w:color="auto" w:fill="auto"/>
          </w:tcPr>
          <w:p>
            <w:pPr>
              <w:pStyle w:val="GesAbsatz"/>
              <w:rPr>
                <w:sz w:val="18"/>
                <w:szCs w:val="18"/>
              </w:rPr>
            </w:pPr>
          </w:p>
        </w:tc>
      </w:tr>
    </w:tbl>
    <w:p>
      <w:pPr>
        <w:pStyle w:val="GesAbsatz"/>
        <w:rPr>
          <w:sz w:val="18"/>
        </w:rPr>
      </w:pPr>
    </w:p>
    <w:p>
      <w:pPr>
        <w:pStyle w:val="GesAbsatz"/>
      </w:pPr>
      <w:r>
        <w:t>Anmerkungen:</w:t>
      </w:r>
    </w:p>
    <w:p>
      <w:pPr>
        <w:pStyle w:val="GesAbsatz"/>
        <w:ind w:left="426" w:hanging="426"/>
      </w:pPr>
      <w:r>
        <w:t>a)</w:t>
      </w:r>
      <w:r>
        <w:tab/>
        <w:t>Bezüglich der Temperaturumrechnung auf 15 °C aus Werten, die bei anderen Temperaturen bestimmt wurden, siehe Abschnitt 5.6.4 von DIN V 51605.</w:t>
      </w:r>
    </w:p>
    <w:p>
      <w:pPr>
        <w:pStyle w:val="GesAbsatz"/>
        <w:ind w:left="426" w:hanging="426"/>
      </w:pPr>
      <w:r>
        <w:t>b)</w:t>
      </w:r>
      <w:r>
        <w:tab/>
        <w:t>Die Anwendbarkeit der vorhandenen Verfahren zur Bestimmung der Zündwilligkeit wird derzeit noch geprüft; es liegen daher noch keine vollständig abgesicherten Präzisionsdaten für den in der Norm g</w:t>
      </w:r>
      <w:r>
        <w:t>e</w:t>
      </w:r>
      <w:r>
        <w:t>nannten Grenzwert von 39 vor. Siehe hierzu auch Abschnitt 5.5 von DIN V 51605. Ein Ablehnung</w:t>
      </w:r>
      <w:r>
        <w:t>s</w:t>
      </w:r>
      <w:r>
        <w:t>grenzwert kann daher derzeit noch nicht angegeben werden.</w:t>
      </w:r>
    </w:p>
    <w:p>
      <w:pPr>
        <w:pStyle w:val="GesAbsatz"/>
        <w:ind w:left="426" w:hanging="426"/>
      </w:pPr>
      <w:r>
        <w:t>c)</w:t>
      </w:r>
      <w:r>
        <w:tab/>
        <w:t>Die Prüfung ist an der Gesamtprobe und nicht am 10% Destillationsrückstand vorzunehmen.</w:t>
      </w:r>
    </w:p>
    <w:p>
      <w:pPr>
        <w:pStyle w:val="GesAbsatz"/>
        <w:ind w:left="426" w:hanging="426"/>
      </w:pPr>
      <w:r>
        <w:t>d)</w:t>
      </w:r>
      <w:r>
        <w:tab/>
        <w:t>Abweichend von den Vorgaben in DIN EN 14107 (Phosphor) bzw. in DIN EN 14538 (Erdalkali) ist die Bestimmung mit einer 1:5 Verdünnung des Probenteils vorzunehmen. Dies ist entsprechend in den B</w:t>
      </w:r>
      <w:r>
        <w:t>e</w:t>
      </w:r>
      <w:r>
        <w:t>rechnungen und E</w:t>
      </w:r>
      <w:r>
        <w:t>r</w:t>
      </w:r>
      <w:r>
        <w:t>gebnisabgaben zu berücksichtigen.</w:t>
      </w:r>
    </w:p>
    <w:p>
      <w:pPr>
        <w:pStyle w:val="GesAbsatz"/>
      </w:pPr>
      <w:r>
        <w:t>e)</w:t>
      </w:r>
      <w:r>
        <w:tab/>
        <w:t>Inkl. Berichtigung zu DIN 51900-1:2004-02.</w:t>
      </w:r>
    </w:p>
    <w:p>
      <w:pPr>
        <w:pStyle w:val="berschrift2"/>
        <w:jc w:val="left"/>
      </w:pPr>
      <w:bookmarkStart w:id="22" w:name="_Toc349111758"/>
      <w:r>
        <w:t>Anlage 12</w:t>
      </w:r>
      <w:bookmarkEnd w:id="22"/>
    </w:p>
    <w:p>
      <w:pPr>
        <w:pStyle w:val="GesAbsatz"/>
        <w:jc w:val="center"/>
        <w:rPr>
          <w:b/>
        </w:rPr>
      </w:pPr>
      <w:r>
        <w:rPr>
          <w:b/>
        </w:rPr>
        <w:t>Prüfprotokoll zur Überwachung des Grenzwerts für den Gehalt an Schwefelverbindungen</w:t>
      </w:r>
      <w:r>
        <w:rPr>
          <w:b/>
        </w:rPr>
        <w:br/>
        <w:t>bei einmaliger Prüfung von Dieselkraftstoff nach § 1 Absatz 4 der 10. BI</w:t>
      </w:r>
      <w:r>
        <w:rPr>
          <w:b/>
        </w:rPr>
        <w:t>m</w:t>
      </w:r>
      <w:r>
        <w:rPr>
          <w:b/>
        </w:rPr>
        <w:t>SchV</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7" w:type="dxa"/>
            <w:vMerge w:val="restart"/>
            <w:shd w:val="clear" w:color="auto" w:fill="auto"/>
            <w:vAlign w:val="center"/>
          </w:tcPr>
          <w:p>
            <w:pPr>
              <w:pStyle w:val="GesAbsatz"/>
              <w:rPr>
                <w:sz w:val="18"/>
                <w:szCs w:val="18"/>
              </w:rPr>
            </w:pPr>
            <w:r>
              <w:rPr>
                <w:sz w:val="18"/>
                <w:szCs w:val="18"/>
              </w:rPr>
              <w:t>Stoffeigenschaft</w:t>
            </w:r>
          </w:p>
        </w:tc>
        <w:tc>
          <w:tcPr>
            <w:tcW w:w="2267" w:type="dxa"/>
            <w:vMerge w:val="restart"/>
            <w:shd w:val="clear" w:color="auto" w:fill="auto"/>
            <w:vAlign w:val="center"/>
          </w:tcPr>
          <w:p>
            <w:pPr>
              <w:pStyle w:val="GesAbsatz"/>
              <w:rPr>
                <w:sz w:val="18"/>
                <w:szCs w:val="18"/>
              </w:rPr>
            </w:pPr>
            <w:r>
              <w:rPr>
                <w:sz w:val="18"/>
                <w:szCs w:val="18"/>
              </w:rPr>
              <w:t>Prüfverfahren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rPr>
                <w:sz w:val="18"/>
                <w:szCs w:val="18"/>
              </w:rPr>
            </w:pPr>
            <w:r>
              <w:rPr>
                <w:sz w:val="18"/>
                <w:szCs w:val="18"/>
              </w:rPr>
              <w:t>Ablehnungsgren</w:t>
            </w:r>
            <w:r>
              <w:rPr>
                <w:sz w:val="18"/>
                <w:szCs w:val="18"/>
              </w:rPr>
              <w:t>z</w:t>
            </w:r>
            <w:r>
              <w:rPr>
                <w:sz w:val="18"/>
                <w:szCs w:val="18"/>
              </w:rPr>
              <w:t>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7" w:type="dxa"/>
            <w:vMerge/>
            <w:tcBorders>
              <w:bottom w:val="single" w:sz="4" w:space="0" w:color="auto"/>
            </w:tcBorders>
            <w:shd w:val="clear" w:color="auto" w:fill="auto"/>
          </w:tcPr>
          <w:p>
            <w:pPr>
              <w:pStyle w:val="GesAbsatz"/>
            </w:pPr>
          </w:p>
        </w:tc>
        <w:tc>
          <w:tcPr>
            <w:tcW w:w="2267" w:type="dxa"/>
            <w:vMerge/>
            <w:tcBorders>
              <w:bottom w:val="single" w:sz="4" w:space="0" w:color="auto"/>
            </w:tcBorders>
            <w:shd w:val="clear" w:color="auto" w:fill="auto"/>
          </w:tcPr>
          <w:p>
            <w:pPr>
              <w:pStyle w:val="GesAbsatz"/>
            </w:pPr>
          </w:p>
        </w:tc>
        <w:tc>
          <w:tcPr>
            <w:tcW w:w="1134" w:type="dxa"/>
            <w:vMerge/>
            <w:tcBorders>
              <w:bottom w:val="single" w:sz="4" w:space="0" w:color="auto"/>
            </w:tcBorders>
            <w:shd w:val="clear" w:color="auto" w:fill="auto"/>
          </w:tcPr>
          <w:p>
            <w:pPr>
              <w:pStyle w:val="GesAbsatz"/>
              <w:jc w:val="center"/>
            </w:pPr>
          </w:p>
        </w:tc>
        <w:tc>
          <w:tcPr>
            <w:tcW w:w="1033" w:type="dxa"/>
            <w:shd w:val="clear" w:color="auto" w:fill="auto"/>
          </w:tcPr>
          <w:p>
            <w:pPr>
              <w:pStyle w:val="GesAbsatz"/>
              <w:jc w:val="center"/>
              <w:rPr>
                <w:sz w:val="18"/>
                <w:szCs w:val="18"/>
              </w:rPr>
            </w:pPr>
            <w:r>
              <w:rPr>
                <w:sz w:val="18"/>
                <w:szCs w:val="18"/>
              </w:rPr>
              <w:t>min.</w:t>
            </w:r>
          </w:p>
        </w:tc>
        <w:tc>
          <w:tcPr>
            <w:tcW w:w="1094"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1</w:t>
            </w:r>
          </w:p>
        </w:tc>
        <w:tc>
          <w:tcPr>
            <w:tcW w:w="2977" w:type="dxa"/>
            <w:tcBorders>
              <w:bottom w:val="single" w:sz="4" w:space="0" w:color="auto"/>
            </w:tcBorders>
            <w:shd w:val="clear" w:color="auto" w:fill="auto"/>
          </w:tcPr>
          <w:p>
            <w:pPr>
              <w:pStyle w:val="GesAbsatz"/>
              <w:rPr>
                <w:sz w:val="18"/>
              </w:rPr>
            </w:pPr>
            <w:r>
              <w:rPr>
                <w:sz w:val="18"/>
              </w:rPr>
              <w:t>Schwefelgehalt</w:t>
            </w:r>
          </w:p>
        </w:tc>
        <w:tc>
          <w:tcPr>
            <w:tcW w:w="2267" w:type="dxa"/>
            <w:tcBorders>
              <w:bottom w:val="single" w:sz="4" w:space="0" w:color="auto"/>
            </w:tcBorders>
            <w:shd w:val="clear" w:color="auto" w:fill="auto"/>
          </w:tcPr>
          <w:p>
            <w:pPr>
              <w:pStyle w:val="GesAbsatz"/>
              <w:rPr>
                <w:sz w:val="18"/>
              </w:rPr>
            </w:pPr>
            <w:r>
              <w:rPr>
                <w:sz w:val="18"/>
              </w:rPr>
              <w:t>DIN EN ISO 14596</w:t>
            </w:r>
          </w:p>
        </w:tc>
        <w:tc>
          <w:tcPr>
            <w:tcW w:w="1134" w:type="dxa"/>
            <w:tcBorders>
              <w:bottom w:val="single" w:sz="4" w:space="0" w:color="auto"/>
            </w:tcBorders>
            <w:shd w:val="clear" w:color="auto" w:fill="auto"/>
          </w:tcPr>
          <w:p>
            <w:pPr>
              <w:pStyle w:val="GesAbsatz"/>
              <w:jc w:val="center"/>
              <w:rPr>
                <w:sz w:val="18"/>
              </w:rPr>
            </w:pPr>
            <w:r>
              <w:rPr>
                <w:sz w:val="18"/>
              </w:rPr>
              <w:t>mg/kg</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rPr>
              <w:t>13,0</w:t>
            </w:r>
          </w:p>
        </w:tc>
        <w:tc>
          <w:tcPr>
            <w:tcW w:w="911" w:type="dxa"/>
            <w:shd w:val="clear" w:color="auto" w:fill="auto"/>
          </w:tcPr>
          <w:p>
            <w:pPr>
              <w:pStyle w:val="GesAbsatz"/>
              <w:rPr>
                <w:sz w:val="18"/>
                <w:szCs w:val="18"/>
              </w:rPr>
            </w:pPr>
          </w:p>
        </w:tc>
      </w:tr>
    </w:tbl>
    <w:p>
      <w:pPr>
        <w:pStyle w:val="GesAbsatz"/>
      </w:pPr>
    </w:p>
    <w:p>
      <w:pPr>
        <w:pStyle w:val="berschrift2"/>
        <w:jc w:val="left"/>
      </w:pPr>
      <w:bookmarkStart w:id="23" w:name="_Toc349111759"/>
      <w:r>
        <w:t>Anlage 13</w:t>
      </w:r>
      <w:bookmarkEnd w:id="23"/>
    </w:p>
    <w:p>
      <w:pPr>
        <w:pStyle w:val="GesAbsatz"/>
        <w:jc w:val="center"/>
        <w:rPr>
          <w:b/>
        </w:rPr>
      </w:pPr>
      <w:r>
        <w:rPr>
          <w:b/>
        </w:rPr>
        <w:t>Prüfprotokoll zur Überwachung des Grenzwerts für den Gehalt an Schwefelverbindungen</w:t>
      </w:r>
      <w:r>
        <w:rPr>
          <w:b/>
        </w:rPr>
        <w:br/>
        <w:t>bei einmal</w:t>
      </w:r>
      <w:r>
        <w:rPr>
          <w:b/>
        </w:rPr>
        <w:t>i</w:t>
      </w:r>
      <w:r>
        <w:rPr>
          <w:b/>
        </w:rPr>
        <w:t>ger Prüfung von schwerem Heizöl</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rPr>
                <w:sz w:val="18"/>
                <w:szCs w:val="18"/>
              </w:rPr>
            </w:pPr>
            <w:r>
              <w:rPr>
                <w:sz w:val="18"/>
                <w:szCs w:val="18"/>
              </w:rPr>
              <w:lastRenderedPageBreak/>
              <w:t>Nr.</w:t>
            </w:r>
          </w:p>
        </w:tc>
        <w:tc>
          <w:tcPr>
            <w:tcW w:w="2977" w:type="dxa"/>
            <w:vMerge w:val="restart"/>
            <w:shd w:val="clear" w:color="auto" w:fill="auto"/>
            <w:vAlign w:val="center"/>
          </w:tcPr>
          <w:p>
            <w:pPr>
              <w:pStyle w:val="GesAbsatz"/>
              <w:rPr>
                <w:sz w:val="18"/>
                <w:szCs w:val="18"/>
              </w:rPr>
            </w:pPr>
            <w:r>
              <w:rPr>
                <w:sz w:val="18"/>
                <w:szCs w:val="18"/>
              </w:rPr>
              <w:t>Stoffeigenschaft</w:t>
            </w:r>
          </w:p>
        </w:tc>
        <w:tc>
          <w:tcPr>
            <w:tcW w:w="2267" w:type="dxa"/>
            <w:vMerge w:val="restart"/>
            <w:shd w:val="clear" w:color="auto" w:fill="auto"/>
            <w:vAlign w:val="center"/>
          </w:tcPr>
          <w:p>
            <w:pPr>
              <w:pStyle w:val="GesAbsatz"/>
              <w:rPr>
                <w:sz w:val="18"/>
                <w:szCs w:val="18"/>
              </w:rPr>
            </w:pPr>
            <w:r>
              <w:rPr>
                <w:sz w:val="18"/>
                <w:szCs w:val="18"/>
              </w:rPr>
              <w:t>Prüfverfahren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rPr>
                <w:sz w:val="18"/>
                <w:szCs w:val="18"/>
              </w:rPr>
            </w:pPr>
            <w:r>
              <w:rPr>
                <w:sz w:val="18"/>
                <w:szCs w:val="18"/>
              </w:rPr>
              <w:t>Ablehnungsgren</w:t>
            </w:r>
            <w:r>
              <w:rPr>
                <w:sz w:val="18"/>
                <w:szCs w:val="18"/>
              </w:rPr>
              <w:t>z</w:t>
            </w:r>
            <w:r>
              <w:rPr>
                <w:sz w:val="18"/>
                <w:szCs w:val="18"/>
              </w:rPr>
              <w:t>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7" w:type="dxa"/>
            <w:vMerge/>
            <w:tcBorders>
              <w:bottom w:val="single" w:sz="4" w:space="0" w:color="auto"/>
            </w:tcBorders>
            <w:shd w:val="clear" w:color="auto" w:fill="auto"/>
          </w:tcPr>
          <w:p>
            <w:pPr>
              <w:pStyle w:val="GesAbsatz"/>
            </w:pPr>
          </w:p>
        </w:tc>
        <w:tc>
          <w:tcPr>
            <w:tcW w:w="2267" w:type="dxa"/>
            <w:vMerge/>
            <w:tcBorders>
              <w:bottom w:val="single" w:sz="4" w:space="0" w:color="auto"/>
            </w:tcBorders>
            <w:shd w:val="clear" w:color="auto" w:fill="auto"/>
          </w:tcPr>
          <w:p>
            <w:pPr>
              <w:pStyle w:val="GesAbsatz"/>
            </w:pPr>
          </w:p>
        </w:tc>
        <w:tc>
          <w:tcPr>
            <w:tcW w:w="1134" w:type="dxa"/>
            <w:vMerge/>
            <w:tcBorders>
              <w:bottom w:val="single" w:sz="4" w:space="0" w:color="auto"/>
            </w:tcBorders>
            <w:shd w:val="clear" w:color="auto" w:fill="auto"/>
          </w:tcPr>
          <w:p>
            <w:pPr>
              <w:pStyle w:val="GesAbsatz"/>
              <w:jc w:val="center"/>
            </w:pPr>
          </w:p>
        </w:tc>
        <w:tc>
          <w:tcPr>
            <w:tcW w:w="1033" w:type="dxa"/>
            <w:tcBorders>
              <w:bottom w:val="single" w:sz="4" w:space="0" w:color="auto"/>
            </w:tcBorders>
            <w:shd w:val="clear" w:color="auto" w:fill="auto"/>
          </w:tcPr>
          <w:p>
            <w:pPr>
              <w:pStyle w:val="GesAbsatz"/>
              <w:jc w:val="center"/>
              <w:rPr>
                <w:sz w:val="18"/>
                <w:szCs w:val="18"/>
              </w:rPr>
            </w:pPr>
            <w:r>
              <w:rPr>
                <w:sz w:val="18"/>
                <w:szCs w:val="18"/>
              </w:rPr>
              <w:t>min.</w:t>
            </w:r>
          </w:p>
        </w:tc>
        <w:tc>
          <w:tcPr>
            <w:tcW w:w="1094" w:type="dxa"/>
            <w:tcBorders>
              <w:bottom w:val="single" w:sz="4" w:space="0" w:color="auto"/>
            </w:tcBorders>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rPr>
            </w:pPr>
            <w:r>
              <w:rPr>
                <w:sz w:val="18"/>
              </w:rPr>
              <w:t>1</w:t>
            </w:r>
          </w:p>
        </w:tc>
        <w:tc>
          <w:tcPr>
            <w:tcW w:w="2977" w:type="dxa"/>
            <w:vMerge w:val="restart"/>
            <w:shd w:val="clear" w:color="auto" w:fill="auto"/>
          </w:tcPr>
          <w:p>
            <w:pPr>
              <w:pStyle w:val="GesAbsatz"/>
              <w:rPr>
                <w:sz w:val="18"/>
              </w:rPr>
            </w:pPr>
            <w:r>
              <w:rPr>
                <w:sz w:val="18"/>
              </w:rPr>
              <w:t>Schwefelgehalt</w:t>
            </w:r>
            <w:r>
              <w:rPr>
                <w:sz w:val="18"/>
                <w:vertAlign w:val="superscript"/>
              </w:rPr>
              <w:t>a)</w:t>
            </w:r>
          </w:p>
        </w:tc>
        <w:tc>
          <w:tcPr>
            <w:tcW w:w="2267" w:type="dxa"/>
            <w:tcBorders>
              <w:bottom w:val="nil"/>
            </w:tcBorders>
            <w:shd w:val="clear" w:color="auto" w:fill="auto"/>
          </w:tcPr>
          <w:p>
            <w:pPr>
              <w:pStyle w:val="GesAbsatz"/>
              <w:rPr>
                <w:sz w:val="18"/>
              </w:rPr>
            </w:pPr>
            <w:r>
              <w:rPr>
                <w:sz w:val="18"/>
              </w:rPr>
              <w:t>DIN EN ISO 8754</w:t>
            </w:r>
          </w:p>
        </w:tc>
        <w:tc>
          <w:tcPr>
            <w:tcW w:w="1134" w:type="dxa"/>
            <w:vMerge w:val="restart"/>
            <w:tcBorders>
              <w:bottom w:val="nil"/>
            </w:tcBorders>
            <w:shd w:val="clear" w:color="auto" w:fill="auto"/>
          </w:tcPr>
          <w:p>
            <w:pPr>
              <w:pStyle w:val="GesAbsatz"/>
              <w:jc w:val="center"/>
              <w:rPr>
                <w:sz w:val="18"/>
              </w:rPr>
            </w:pPr>
            <w:r>
              <w:rPr>
                <w:sz w:val="18"/>
              </w:rPr>
              <w:t>% (m/m)</w:t>
            </w:r>
          </w:p>
        </w:tc>
        <w:tc>
          <w:tcPr>
            <w:tcW w:w="1033" w:type="dxa"/>
            <w:vMerge w:val="restart"/>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rPr>
              <w:t>1,1</w:t>
            </w:r>
            <w:r>
              <w:rPr>
                <w:sz w:val="18"/>
                <w:vertAlign w:val="superscript"/>
              </w:rPr>
              <w:t>b)</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rPr>
            </w:pPr>
          </w:p>
        </w:tc>
        <w:tc>
          <w:tcPr>
            <w:tcW w:w="2977" w:type="dxa"/>
            <w:vMerge/>
            <w:tcBorders>
              <w:bottom w:val="single" w:sz="4" w:space="0" w:color="auto"/>
            </w:tcBorders>
            <w:shd w:val="clear" w:color="auto" w:fill="auto"/>
          </w:tcPr>
          <w:p>
            <w:pPr>
              <w:pStyle w:val="GesAbsatz"/>
              <w:rPr>
                <w:sz w:val="18"/>
              </w:rPr>
            </w:pPr>
          </w:p>
        </w:tc>
        <w:tc>
          <w:tcPr>
            <w:tcW w:w="2267" w:type="dxa"/>
            <w:tcBorders>
              <w:top w:val="nil"/>
              <w:bottom w:val="single" w:sz="4" w:space="0" w:color="auto"/>
            </w:tcBorders>
            <w:shd w:val="clear" w:color="auto" w:fill="auto"/>
          </w:tcPr>
          <w:p>
            <w:pPr>
              <w:pStyle w:val="GesAbsatz"/>
              <w:rPr>
                <w:sz w:val="18"/>
              </w:rPr>
            </w:pPr>
            <w:r>
              <w:rPr>
                <w:sz w:val="18"/>
              </w:rPr>
              <w:t>DIN EN ISO 14596</w:t>
            </w:r>
          </w:p>
        </w:tc>
        <w:tc>
          <w:tcPr>
            <w:tcW w:w="1134" w:type="dxa"/>
            <w:vMerge/>
            <w:tcBorders>
              <w:top w:val="nil"/>
              <w:bottom w:val="single" w:sz="4" w:space="0" w:color="auto"/>
            </w:tcBorders>
            <w:shd w:val="clear" w:color="auto" w:fill="auto"/>
          </w:tcPr>
          <w:p>
            <w:pPr>
              <w:pStyle w:val="GesAbsatz"/>
              <w:jc w:val="center"/>
              <w:rPr>
                <w:sz w:val="18"/>
              </w:rPr>
            </w:pPr>
          </w:p>
        </w:tc>
        <w:tc>
          <w:tcPr>
            <w:tcW w:w="1033" w:type="dxa"/>
            <w:vMerge/>
            <w:tcBorders>
              <w:top w:val="nil"/>
            </w:tcBorders>
            <w:shd w:val="clear" w:color="auto" w:fill="auto"/>
          </w:tcPr>
          <w:p>
            <w:pPr>
              <w:pStyle w:val="GesAbsatz"/>
              <w:jc w:val="center"/>
              <w:rPr>
                <w:sz w:val="18"/>
                <w:szCs w:val="18"/>
              </w:rPr>
            </w:pPr>
          </w:p>
        </w:tc>
        <w:tc>
          <w:tcPr>
            <w:tcW w:w="1094" w:type="dxa"/>
            <w:tcBorders>
              <w:top w:val="nil"/>
            </w:tcBorders>
            <w:shd w:val="clear" w:color="auto" w:fill="auto"/>
          </w:tcPr>
          <w:p>
            <w:pPr>
              <w:pStyle w:val="GesAbsatz"/>
              <w:jc w:val="center"/>
              <w:rPr>
                <w:sz w:val="18"/>
              </w:rPr>
            </w:pPr>
            <w:r>
              <w:rPr>
                <w:sz w:val="18"/>
              </w:rPr>
              <w:t>1,02</w:t>
            </w:r>
            <w:r>
              <w:rPr>
                <w:sz w:val="18"/>
                <w:vertAlign w:val="superscript"/>
              </w:rPr>
              <w:t>b)</w:t>
            </w: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ind w:left="426" w:hanging="426"/>
      </w:pPr>
      <w:r>
        <w:t>a)</w:t>
      </w:r>
      <w:r>
        <w:tab/>
        <w:t>Im Streitfall bezüglich des Schwefelgehalts ist DIN EN ISO 14596 in Verbindung mit DIN EN ISO 4259 einzusetzen.</w:t>
      </w:r>
    </w:p>
    <w:p>
      <w:pPr>
        <w:pStyle w:val="GesAbsatz"/>
        <w:ind w:left="426" w:hanging="426"/>
      </w:pPr>
      <w:r>
        <w:t>b)</w:t>
      </w:r>
      <w:r>
        <w:tab/>
        <w:t>Die Ablehnungsgrenzwerte gelten nicht für schweres Heizöl, das gemäß § 10 Absatz 2 Satz 2 der 10. BI</w:t>
      </w:r>
      <w:r>
        <w:t>m</w:t>
      </w:r>
      <w:r>
        <w:t>SchV gegenüber dem Letztverbraucher in den Verkehr gebracht wird.</w:t>
      </w:r>
    </w:p>
    <w:p>
      <w:pPr>
        <w:pStyle w:val="berschrift2"/>
        <w:jc w:val="left"/>
      </w:pPr>
      <w:bookmarkStart w:id="24" w:name="_Toc349111760"/>
      <w:r>
        <w:t>Anlage 14</w:t>
      </w:r>
      <w:bookmarkEnd w:id="24"/>
    </w:p>
    <w:p>
      <w:pPr>
        <w:pStyle w:val="GesAbsatz"/>
        <w:jc w:val="center"/>
        <w:rPr>
          <w:b/>
        </w:rPr>
      </w:pPr>
      <w:r>
        <w:rPr>
          <w:b/>
        </w:rPr>
        <w:t>Prüfprotokoll zur Überwachung des Grenzwerts für den</w:t>
      </w:r>
      <w:r>
        <w:rPr>
          <w:b/>
        </w:rPr>
        <w:br/>
        <w:t>Gehalt an Schwefelverbindungen bei einmal</w:t>
      </w:r>
      <w:r>
        <w:rPr>
          <w:b/>
        </w:rPr>
        <w:t>i</w:t>
      </w:r>
      <w:r>
        <w:rPr>
          <w:b/>
        </w:rPr>
        <w:t>ger Prüfung von leichtem Heizöl</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7" w:type="dxa"/>
            <w:vMerge w:val="restart"/>
            <w:shd w:val="clear" w:color="auto" w:fill="auto"/>
            <w:vAlign w:val="center"/>
          </w:tcPr>
          <w:p>
            <w:pPr>
              <w:pStyle w:val="GesAbsatz"/>
              <w:rPr>
                <w:sz w:val="18"/>
                <w:szCs w:val="18"/>
              </w:rPr>
            </w:pPr>
            <w:r>
              <w:rPr>
                <w:sz w:val="18"/>
                <w:szCs w:val="18"/>
              </w:rPr>
              <w:t>Stoffeigenschaft</w:t>
            </w:r>
          </w:p>
        </w:tc>
        <w:tc>
          <w:tcPr>
            <w:tcW w:w="2267" w:type="dxa"/>
            <w:vMerge w:val="restart"/>
            <w:shd w:val="clear" w:color="auto" w:fill="auto"/>
            <w:vAlign w:val="center"/>
          </w:tcPr>
          <w:p>
            <w:pPr>
              <w:pStyle w:val="GesAbsatz"/>
              <w:rPr>
                <w:sz w:val="18"/>
                <w:szCs w:val="18"/>
              </w:rPr>
            </w:pPr>
            <w:r>
              <w:rPr>
                <w:sz w:val="18"/>
                <w:szCs w:val="18"/>
              </w:rPr>
              <w:t>Prüfverfahren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rPr>
                <w:sz w:val="18"/>
                <w:szCs w:val="18"/>
              </w:rPr>
            </w:pPr>
            <w:r>
              <w:rPr>
                <w:sz w:val="18"/>
                <w:szCs w:val="18"/>
              </w:rPr>
              <w:t>Ablehnungsgren</w:t>
            </w:r>
            <w:r>
              <w:rPr>
                <w:sz w:val="18"/>
                <w:szCs w:val="18"/>
              </w:rPr>
              <w:t>z</w:t>
            </w:r>
            <w:r>
              <w:rPr>
                <w:sz w:val="18"/>
                <w:szCs w:val="18"/>
              </w:rPr>
              <w:t>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7" w:type="dxa"/>
            <w:vMerge/>
            <w:tcBorders>
              <w:bottom w:val="single" w:sz="4" w:space="0" w:color="auto"/>
            </w:tcBorders>
            <w:shd w:val="clear" w:color="auto" w:fill="auto"/>
          </w:tcPr>
          <w:p>
            <w:pPr>
              <w:pStyle w:val="GesAbsatz"/>
            </w:pPr>
          </w:p>
        </w:tc>
        <w:tc>
          <w:tcPr>
            <w:tcW w:w="2267" w:type="dxa"/>
            <w:vMerge/>
            <w:tcBorders>
              <w:bottom w:val="single" w:sz="4" w:space="0" w:color="auto"/>
            </w:tcBorders>
            <w:shd w:val="clear" w:color="auto" w:fill="auto"/>
          </w:tcPr>
          <w:p>
            <w:pPr>
              <w:pStyle w:val="GesAbsatz"/>
            </w:pPr>
          </w:p>
        </w:tc>
        <w:tc>
          <w:tcPr>
            <w:tcW w:w="1134" w:type="dxa"/>
            <w:vMerge/>
            <w:tcBorders>
              <w:bottom w:val="single" w:sz="4" w:space="0" w:color="auto"/>
            </w:tcBorders>
            <w:shd w:val="clear" w:color="auto" w:fill="auto"/>
          </w:tcPr>
          <w:p>
            <w:pPr>
              <w:pStyle w:val="GesAbsatz"/>
              <w:jc w:val="center"/>
            </w:pPr>
          </w:p>
        </w:tc>
        <w:tc>
          <w:tcPr>
            <w:tcW w:w="1033" w:type="dxa"/>
            <w:tcBorders>
              <w:bottom w:val="single" w:sz="4" w:space="0" w:color="auto"/>
            </w:tcBorders>
            <w:shd w:val="clear" w:color="auto" w:fill="auto"/>
          </w:tcPr>
          <w:p>
            <w:pPr>
              <w:pStyle w:val="GesAbsatz"/>
              <w:jc w:val="center"/>
              <w:rPr>
                <w:sz w:val="18"/>
                <w:szCs w:val="18"/>
              </w:rPr>
            </w:pPr>
            <w:r>
              <w:rPr>
                <w:sz w:val="18"/>
                <w:szCs w:val="18"/>
              </w:rPr>
              <w:t>min.</w:t>
            </w:r>
          </w:p>
        </w:tc>
        <w:tc>
          <w:tcPr>
            <w:tcW w:w="1094" w:type="dxa"/>
            <w:tcBorders>
              <w:bottom w:val="single" w:sz="4" w:space="0" w:color="auto"/>
            </w:tcBorders>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rPr>
            </w:pPr>
            <w:r>
              <w:rPr>
                <w:sz w:val="18"/>
              </w:rPr>
              <w:t>1</w:t>
            </w:r>
          </w:p>
        </w:tc>
        <w:tc>
          <w:tcPr>
            <w:tcW w:w="2977" w:type="dxa"/>
            <w:vMerge w:val="restart"/>
            <w:shd w:val="clear" w:color="auto" w:fill="auto"/>
          </w:tcPr>
          <w:p>
            <w:pPr>
              <w:pStyle w:val="GesAbsatz"/>
              <w:rPr>
                <w:sz w:val="18"/>
              </w:rPr>
            </w:pPr>
            <w:r>
              <w:rPr>
                <w:sz w:val="18"/>
              </w:rPr>
              <w:t>Schwefelgehalt</w:t>
            </w:r>
          </w:p>
        </w:tc>
        <w:tc>
          <w:tcPr>
            <w:tcW w:w="2267" w:type="dxa"/>
            <w:tcBorders>
              <w:bottom w:val="nil"/>
            </w:tcBorders>
            <w:shd w:val="clear" w:color="auto" w:fill="auto"/>
          </w:tcPr>
          <w:p>
            <w:pPr>
              <w:pStyle w:val="GesAbsatz"/>
              <w:rPr>
                <w:sz w:val="18"/>
              </w:rPr>
            </w:pPr>
            <w:r>
              <w:rPr>
                <w:sz w:val="18"/>
              </w:rPr>
              <w:t>DIN EN ISO 8754</w:t>
            </w:r>
          </w:p>
        </w:tc>
        <w:tc>
          <w:tcPr>
            <w:tcW w:w="1134" w:type="dxa"/>
            <w:tcBorders>
              <w:bottom w:val="nil"/>
            </w:tcBorders>
            <w:shd w:val="clear" w:color="auto" w:fill="auto"/>
          </w:tcPr>
          <w:p>
            <w:pPr>
              <w:pStyle w:val="GesAbsatz"/>
              <w:jc w:val="center"/>
              <w:rPr>
                <w:sz w:val="18"/>
              </w:rPr>
            </w:pPr>
            <w:r>
              <w:rPr>
                <w:sz w:val="18"/>
              </w:rPr>
              <w:t>mg/kg</w:t>
            </w:r>
          </w:p>
        </w:tc>
        <w:tc>
          <w:tcPr>
            <w:tcW w:w="1033" w:type="dxa"/>
            <w:tcBorders>
              <w:bottom w:val="nil"/>
            </w:tcBorders>
            <w:shd w:val="clear" w:color="auto" w:fill="auto"/>
          </w:tcPr>
          <w:p>
            <w:pPr>
              <w:pStyle w:val="GesAbsatz"/>
              <w:jc w:val="center"/>
              <w:rPr>
                <w:sz w:val="18"/>
                <w:szCs w:val="18"/>
              </w:rPr>
            </w:pPr>
          </w:p>
        </w:tc>
        <w:tc>
          <w:tcPr>
            <w:tcW w:w="1094" w:type="dxa"/>
            <w:tcBorders>
              <w:bottom w:val="nil"/>
            </w:tcBorders>
            <w:shd w:val="clear" w:color="auto" w:fill="auto"/>
          </w:tcPr>
          <w:p>
            <w:pPr>
              <w:pStyle w:val="GesAbsatz"/>
              <w:jc w:val="center"/>
              <w:rPr>
                <w:sz w:val="18"/>
                <w:szCs w:val="18"/>
              </w:rPr>
            </w:pPr>
            <w:r>
              <w:rPr>
                <w:sz w:val="18"/>
              </w:rPr>
              <w:t>1 183</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rPr>
            </w:pPr>
          </w:p>
        </w:tc>
        <w:tc>
          <w:tcPr>
            <w:tcW w:w="2977" w:type="dxa"/>
            <w:vMerge/>
            <w:tcBorders>
              <w:bottom w:val="single" w:sz="4" w:space="0" w:color="auto"/>
            </w:tcBorders>
            <w:shd w:val="clear" w:color="auto" w:fill="auto"/>
          </w:tcPr>
          <w:p>
            <w:pPr>
              <w:pStyle w:val="GesAbsatz"/>
              <w:rPr>
                <w:sz w:val="18"/>
              </w:rPr>
            </w:pPr>
          </w:p>
        </w:tc>
        <w:tc>
          <w:tcPr>
            <w:tcW w:w="2267" w:type="dxa"/>
            <w:tcBorders>
              <w:top w:val="nil"/>
              <w:bottom w:val="single" w:sz="4" w:space="0" w:color="auto"/>
            </w:tcBorders>
            <w:shd w:val="clear" w:color="auto" w:fill="auto"/>
          </w:tcPr>
          <w:p>
            <w:pPr>
              <w:pStyle w:val="GesAbsatz"/>
              <w:rPr>
                <w:sz w:val="18"/>
              </w:rPr>
            </w:pPr>
            <w:r>
              <w:rPr>
                <w:sz w:val="18"/>
              </w:rPr>
              <w:t>DIN EN ISO 14596</w:t>
            </w:r>
          </w:p>
        </w:tc>
        <w:tc>
          <w:tcPr>
            <w:tcW w:w="1134" w:type="dxa"/>
            <w:tcBorders>
              <w:top w:val="nil"/>
              <w:bottom w:val="single" w:sz="4" w:space="0" w:color="auto"/>
            </w:tcBorders>
            <w:shd w:val="clear" w:color="auto" w:fill="auto"/>
          </w:tcPr>
          <w:p>
            <w:pPr>
              <w:pStyle w:val="GesAbsatz"/>
              <w:jc w:val="center"/>
              <w:rPr>
                <w:sz w:val="18"/>
              </w:rPr>
            </w:pPr>
            <w:r>
              <w:rPr>
                <w:sz w:val="18"/>
              </w:rPr>
              <w:t>% (m/m)</w:t>
            </w:r>
          </w:p>
        </w:tc>
        <w:tc>
          <w:tcPr>
            <w:tcW w:w="1033" w:type="dxa"/>
            <w:tcBorders>
              <w:top w:val="nil"/>
            </w:tcBorders>
            <w:shd w:val="clear" w:color="auto" w:fill="auto"/>
          </w:tcPr>
          <w:p>
            <w:pPr>
              <w:pStyle w:val="GesAbsatz"/>
              <w:jc w:val="center"/>
              <w:rPr>
                <w:sz w:val="18"/>
                <w:szCs w:val="18"/>
              </w:rPr>
            </w:pPr>
            <w:r>
              <w:rPr>
                <w:sz w:val="18"/>
              </w:rPr>
              <w:t>0,0038</w:t>
            </w:r>
          </w:p>
        </w:tc>
        <w:tc>
          <w:tcPr>
            <w:tcW w:w="1094" w:type="dxa"/>
            <w:tcBorders>
              <w:top w:val="nil"/>
            </w:tcBorders>
            <w:shd w:val="clear" w:color="auto" w:fill="auto"/>
          </w:tcPr>
          <w:p>
            <w:pPr>
              <w:pStyle w:val="GesAbsatz"/>
              <w:jc w:val="center"/>
              <w:rPr>
                <w:sz w:val="18"/>
              </w:rPr>
            </w:pPr>
            <w:r>
              <w:rPr>
                <w:sz w:val="18"/>
              </w:rPr>
              <w:t>0,11</w:t>
            </w:r>
          </w:p>
        </w:tc>
        <w:tc>
          <w:tcPr>
            <w:tcW w:w="911" w:type="dxa"/>
            <w:vMerge/>
            <w:shd w:val="clear" w:color="auto" w:fill="auto"/>
          </w:tcPr>
          <w:p>
            <w:pPr>
              <w:pStyle w:val="GesAbsatz"/>
              <w:rPr>
                <w:sz w:val="18"/>
                <w:szCs w:val="18"/>
              </w:rPr>
            </w:pPr>
          </w:p>
        </w:tc>
      </w:tr>
    </w:tbl>
    <w:p>
      <w:pPr>
        <w:pStyle w:val="GesAbsatz"/>
      </w:pPr>
    </w:p>
    <w:p>
      <w:pPr>
        <w:pStyle w:val="berschrift2"/>
        <w:jc w:val="left"/>
      </w:pPr>
      <w:bookmarkStart w:id="25" w:name="_Toc349111761"/>
      <w:r>
        <w:t>Anlage 15</w:t>
      </w:r>
      <w:bookmarkEnd w:id="25"/>
    </w:p>
    <w:p>
      <w:pPr>
        <w:pStyle w:val="GesAbsatz"/>
        <w:jc w:val="center"/>
        <w:rPr>
          <w:b/>
        </w:rPr>
      </w:pPr>
      <w:r>
        <w:rPr>
          <w:b/>
        </w:rPr>
        <w:t>Prüfprotokoll zur Überwachung des Grenzwerts für den</w:t>
      </w:r>
      <w:r>
        <w:rPr>
          <w:b/>
        </w:rPr>
        <w:br/>
        <w:t>Gehalt an Schwefelverbindungen bei einmal</w:t>
      </w:r>
      <w:r>
        <w:rPr>
          <w:b/>
        </w:rPr>
        <w:t>i</w:t>
      </w:r>
      <w:r>
        <w:rPr>
          <w:b/>
        </w:rPr>
        <w:t>ger Prüfung von schwefelarmen leichtem Heizöl</w:t>
      </w:r>
    </w:p>
    <w:p>
      <w:pPr>
        <w:pStyle w:val="GesAbsatz"/>
      </w:pPr>
      <w:r>
        <w:t>Überprüfte Firma:</w:t>
      </w:r>
    </w:p>
    <w:p>
      <w:pPr>
        <w:pStyle w:val="GesAbsatz"/>
      </w:pPr>
      <w:r>
        <w:t>Probebehälternummer:</w:t>
      </w:r>
    </w:p>
    <w:p>
      <w:pPr>
        <w:pStyle w:val="GesAbsatz"/>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7"/>
        <w:gridCol w:w="2267"/>
        <w:gridCol w:w="1134"/>
        <w:gridCol w:w="1033"/>
        <w:gridCol w:w="1094"/>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7" w:type="dxa"/>
            <w:vMerge w:val="restart"/>
            <w:shd w:val="clear" w:color="auto" w:fill="auto"/>
            <w:vAlign w:val="center"/>
          </w:tcPr>
          <w:p>
            <w:pPr>
              <w:pStyle w:val="GesAbsatz"/>
              <w:rPr>
                <w:sz w:val="18"/>
                <w:szCs w:val="18"/>
              </w:rPr>
            </w:pPr>
            <w:r>
              <w:rPr>
                <w:sz w:val="18"/>
                <w:szCs w:val="18"/>
              </w:rPr>
              <w:t>Stoffeigenschaft</w:t>
            </w:r>
          </w:p>
        </w:tc>
        <w:tc>
          <w:tcPr>
            <w:tcW w:w="2267" w:type="dxa"/>
            <w:vMerge w:val="restart"/>
            <w:shd w:val="clear" w:color="auto" w:fill="auto"/>
            <w:vAlign w:val="center"/>
          </w:tcPr>
          <w:p>
            <w:pPr>
              <w:pStyle w:val="GesAbsatz"/>
              <w:rPr>
                <w:sz w:val="18"/>
                <w:szCs w:val="18"/>
              </w:rPr>
            </w:pPr>
            <w:r>
              <w:rPr>
                <w:sz w:val="18"/>
                <w:szCs w:val="18"/>
              </w:rPr>
              <w:t>Prüfverfahren</w:t>
            </w:r>
          </w:p>
        </w:tc>
        <w:tc>
          <w:tcPr>
            <w:tcW w:w="1134" w:type="dxa"/>
            <w:vMerge w:val="restart"/>
            <w:shd w:val="clear" w:color="auto" w:fill="auto"/>
            <w:vAlign w:val="center"/>
          </w:tcPr>
          <w:p>
            <w:pPr>
              <w:pStyle w:val="GesAbsatz"/>
              <w:jc w:val="center"/>
              <w:rPr>
                <w:sz w:val="18"/>
                <w:szCs w:val="18"/>
              </w:rPr>
            </w:pPr>
            <w:r>
              <w:rPr>
                <w:sz w:val="18"/>
                <w:szCs w:val="18"/>
              </w:rPr>
              <w:t>Einheit</w:t>
            </w:r>
          </w:p>
        </w:tc>
        <w:tc>
          <w:tcPr>
            <w:tcW w:w="2127" w:type="dxa"/>
            <w:gridSpan w:val="2"/>
            <w:shd w:val="clear" w:color="auto" w:fill="auto"/>
            <w:vAlign w:val="center"/>
          </w:tcPr>
          <w:p>
            <w:pPr>
              <w:pStyle w:val="GesAbsatz"/>
              <w:rPr>
                <w:sz w:val="18"/>
                <w:szCs w:val="18"/>
              </w:rPr>
            </w:pPr>
            <w:r>
              <w:rPr>
                <w:sz w:val="18"/>
                <w:szCs w:val="18"/>
              </w:rPr>
              <w:t>Ablehnungsgren</w:t>
            </w:r>
            <w:r>
              <w:rPr>
                <w:sz w:val="18"/>
                <w:szCs w:val="18"/>
              </w:rPr>
              <w:t>z</w:t>
            </w:r>
            <w:r>
              <w:rPr>
                <w:sz w:val="18"/>
                <w:szCs w:val="18"/>
              </w:rPr>
              <w:t>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7" w:type="dxa"/>
            <w:vMerge/>
            <w:tcBorders>
              <w:bottom w:val="single" w:sz="4" w:space="0" w:color="auto"/>
            </w:tcBorders>
            <w:shd w:val="clear" w:color="auto" w:fill="auto"/>
          </w:tcPr>
          <w:p>
            <w:pPr>
              <w:pStyle w:val="GesAbsatz"/>
            </w:pPr>
          </w:p>
        </w:tc>
        <w:tc>
          <w:tcPr>
            <w:tcW w:w="2267" w:type="dxa"/>
            <w:vMerge/>
            <w:tcBorders>
              <w:bottom w:val="single" w:sz="4" w:space="0" w:color="auto"/>
            </w:tcBorders>
            <w:shd w:val="clear" w:color="auto" w:fill="auto"/>
          </w:tcPr>
          <w:p>
            <w:pPr>
              <w:pStyle w:val="GesAbsatz"/>
            </w:pPr>
          </w:p>
        </w:tc>
        <w:tc>
          <w:tcPr>
            <w:tcW w:w="1134" w:type="dxa"/>
            <w:vMerge/>
            <w:tcBorders>
              <w:bottom w:val="single" w:sz="4" w:space="0" w:color="auto"/>
            </w:tcBorders>
            <w:shd w:val="clear" w:color="auto" w:fill="auto"/>
          </w:tcPr>
          <w:p>
            <w:pPr>
              <w:pStyle w:val="GesAbsatz"/>
              <w:jc w:val="center"/>
            </w:pPr>
          </w:p>
        </w:tc>
        <w:tc>
          <w:tcPr>
            <w:tcW w:w="1033" w:type="dxa"/>
            <w:shd w:val="clear" w:color="auto" w:fill="auto"/>
          </w:tcPr>
          <w:p>
            <w:pPr>
              <w:pStyle w:val="GesAbsatz"/>
              <w:jc w:val="center"/>
              <w:rPr>
                <w:sz w:val="18"/>
                <w:szCs w:val="18"/>
              </w:rPr>
            </w:pPr>
            <w:r>
              <w:rPr>
                <w:sz w:val="18"/>
                <w:szCs w:val="18"/>
              </w:rPr>
              <w:t>min.</w:t>
            </w:r>
          </w:p>
        </w:tc>
        <w:tc>
          <w:tcPr>
            <w:tcW w:w="1094" w:type="dxa"/>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shd w:val="clear" w:color="auto" w:fill="auto"/>
          </w:tcPr>
          <w:p>
            <w:pPr>
              <w:pStyle w:val="GesAbsatz"/>
              <w:rPr>
                <w:sz w:val="18"/>
              </w:rPr>
            </w:pPr>
            <w:r>
              <w:rPr>
                <w:sz w:val="18"/>
              </w:rPr>
              <w:t>1</w:t>
            </w:r>
          </w:p>
        </w:tc>
        <w:tc>
          <w:tcPr>
            <w:tcW w:w="2977" w:type="dxa"/>
            <w:tcBorders>
              <w:bottom w:val="single" w:sz="4" w:space="0" w:color="auto"/>
            </w:tcBorders>
            <w:shd w:val="clear" w:color="auto" w:fill="auto"/>
          </w:tcPr>
          <w:p>
            <w:pPr>
              <w:pStyle w:val="GesAbsatz"/>
              <w:rPr>
                <w:sz w:val="18"/>
              </w:rPr>
            </w:pPr>
            <w:r>
              <w:rPr>
                <w:sz w:val="18"/>
              </w:rPr>
              <w:t>Schwefelgehalt</w:t>
            </w:r>
          </w:p>
        </w:tc>
        <w:tc>
          <w:tcPr>
            <w:tcW w:w="2267" w:type="dxa"/>
            <w:tcBorders>
              <w:bottom w:val="single" w:sz="4" w:space="0" w:color="auto"/>
            </w:tcBorders>
            <w:shd w:val="clear" w:color="auto" w:fill="auto"/>
          </w:tcPr>
          <w:p>
            <w:pPr>
              <w:pStyle w:val="GesAbsatz"/>
              <w:rPr>
                <w:sz w:val="18"/>
              </w:rPr>
            </w:pPr>
            <w:r>
              <w:rPr>
                <w:sz w:val="18"/>
              </w:rPr>
              <w:t>DIN EN ISO 14596</w:t>
            </w:r>
          </w:p>
        </w:tc>
        <w:tc>
          <w:tcPr>
            <w:tcW w:w="1134" w:type="dxa"/>
            <w:tcBorders>
              <w:bottom w:val="single" w:sz="4" w:space="0" w:color="auto"/>
            </w:tcBorders>
            <w:shd w:val="clear" w:color="auto" w:fill="auto"/>
          </w:tcPr>
          <w:p>
            <w:pPr>
              <w:pStyle w:val="GesAbsatz"/>
              <w:jc w:val="center"/>
              <w:rPr>
                <w:sz w:val="18"/>
              </w:rPr>
            </w:pPr>
            <w:r>
              <w:rPr>
                <w:sz w:val="18"/>
              </w:rPr>
              <w:t>mg/kg</w:t>
            </w:r>
          </w:p>
        </w:tc>
        <w:tc>
          <w:tcPr>
            <w:tcW w:w="1033" w:type="dxa"/>
            <w:shd w:val="clear" w:color="auto" w:fill="auto"/>
          </w:tcPr>
          <w:p>
            <w:pPr>
              <w:pStyle w:val="GesAbsatz"/>
              <w:jc w:val="center"/>
              <w:rPr>
                <w:sz w:val="18"/>
                <w:szCs w:val="18"/>
              </w:rPr>
            </w:pPr>
          </w:p>
        </w:tc>
        <w:tc>
          <w:tcPr>
            <w:tcW w:w="1094" w:type="dxa"/>
            <w:shd w:val="clear" w:color="auto" w:fill="auto"/>
          </w:tcPr>
          <w:p>
            <w:pPr>
              <w:pStyle w:val="GesAbsatz"/>
              <w:jc w:val="center"/>
              <w:rPr>
                <w:sz w:val="18"/>
                <w:szCs w:val="18"/>
              </w:rPr>
            </w:pPr>
            <w:r>
              <w:rPr>
                <w:sz w:val="18"/>
              </w:rPr>
              <w:t>61,8</w:t>
            </w:r>
          </w:p>
        </w:tc>
        <w:tc>
          <w:tcPr>
            <w:tcW w:w="911" w:type="dxa"/>
            <w:shd w:val="clear" w:color="auto" w:fill="auto"/>
          </w:tcPr>
          <w:p>
            <w:pPr>
              <w:pStyle w:val="GesAbsatz"/>
              <w:rPr>
                <w:sz w:val="18"/>
                <w:szCs w:val="18"/>
              </w:rPr>
            </w:pPr>
          </w:p>
        </w:tc>
      </w:tr>
    </w:tbl>
    <w:p>
      <w:pPr>
        <w:pStyle w:val="GesAbsatz"/>
      </w:pPr>
    </w:p>
    <w:p>
      <w:pPr>
        <w:pStyle w:val="berschrift2"/>
        <w:jc w:val="left"/>
      </w:pPr>
      <w:bookmarkStart w:id="26" w:name="_Toc349111762"/>
      <w:r>
        <w:t>Anlage 16</w:t>
      </w:r>
      <w:bookmarkEnd w:id="26"/>
    </w:p>
    <w:p>
      <w:pPr>
        <w:pStyle w:val="GesAbsatz"/>
        <w:jc w:val="center"/>
        <w:rPr>
          <w:b/>
        </w:rPr>
      </w:pPr>
      <w:r>
        <w:rPr>
          <w:b/>
        </w:rPr>
        <w:t>Prüfprotokoll zur Überwachung des Grenzwerts für den Gehalt an Schwefelverbindungen bei</w:t>
      </w:r>
      <w:r>
        <w:rPr>
          <w:b/>
        </w:rPr>
        <w:br/>
        <w:t>einmal</w:t>
      </w:r>
      <w:r>
        <w:rPr>
          <w:b/>
        </w:rPr>
        <w:t>i</w:t>
      </w:r>
      <w:r>
        <w:rPr>
          <w:b/>
        </w:rPr>
        <w:t>ger Prüfung von Gasöl für den Seeverkehr (Marine Fuel ISO-F_DMA) nach DIN ISO 8217:2009</w:t>
      </w:r>
    </w:p>
    <w:p>
      <w:pPr>
        <w:pStyle w:val="GesAbsatz"/>
      </w:pPr>
      <w:r>
        <w:t>Überprüfte Firma:</w:t>
      </w:r>
    </w:p>
    <w:p>
      <w:pPr>
        <w:pStyle w:val="GesAbsatz"/>
      </w:pPr>
      <w:r>
        <w:t>Probenbehälternummer: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tcBorders>
              <w:bottom w:val="single" w:sz="4" w:space="0" w:color="auto"/>
            </w:tcBorders>
            <w:shd w:val="clear" w:color="auto" w:fill="auto"/>
          </w:tcPr>
          <w:p>
            <w:pPr>
              <w:pStyle w:val="GesAbsatz"/>
              <w:jc w:val="center"/>
              <w:rPr>
                <w:sz w:val="18"/>
                <w:szCs w:val="18"/>
              </w:rPr>
            </w:pPr>
            <w:r>
              <w:rPr>
                <w:sz w:val="18"/>
                <w:szCs w:val="18"/>
              </w:rPr>
              <w:t>min.</w:t>
            </w:r>
          </w:p>
        </w:tc>
        <w:tc>
          <w:tcPr>
            <w:tcW w:w="851" w:type="dxa"/>
            <w:tcBorders>
              <w:bottom w:val="single" w:sz="4" w:space="0" w:color="auto"/>
            </w:tcBorders>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rPr>
            </w:pPr>
            <w:r>
              <w:rPr>
                <w:sz w:val="18"/>
              </w:rPr>
              <w:t>1</w:t>
            </w:r>
          </w:p>
        </w:tc>
        <w:tc>
          <w:tcPr>
            <w:tcW w:w="2976" w:type="dxa"/>
            <w:vMerge w:val="restart"/>
            <w:shd w:val="clear" w:color="auto" w:fill="auto"/>
          </w:tcPr>
          <w:p>
            <w:pPr>
              <w:pStyle w:val="GesAbsatz"/>
              <w:rPr>
                <w:sz w:val="18"/>
              </w:rPr>
            </w:pPr>
            <w:r>
              <w:rPr>
                <w:sz w:val="18"/>
              </w:rPr>
              <w:t>Schwefelgehalt</w:t>
            </w:r>
          </w:p>
        </w:tc>
        <w:tc>
          <w:tcPr>
            <w:tcW w:w="1984" w:type="dxa"/>
            <w:tcBorders>
              <w:bottom w:val="nil"/>
            </w:tcBorders>
            <w:shd w:val="clear" w:color="auto" w:fill="auto"/>
          </w:tcPr>
          <w:p>
            <w:pPr>
              <w:pStyle w:val="GesAbsatz"/>
              <w:rPr>
                <w:sz w:val="18"/>
              </w:rPr>
            </w:pPr>
            <w:r>
              <w:rPr>
                <w:sz w:val="18"/>
              </w:rPr>
              <w:t>DIN EN ISO 8754</w:t>
            </w:r>
          </w:p>
        </w:tc>
        <w:tc>
          <w:tcPr>
            <w:tcW w:w="709" w:type="dxa"/>
            <w:vMerge w:val="restart"/>
            <w:tcBorders>
              <w:bottom w:val="nil"/>
            </w:tcBorders>
            <w:vAlign w:val="center"/>
          </w:tcPr>
          <w:p>
            <w:pPr>
              <w:pStyle w:val="GesAbsatz"/>
              <w:jc w:val="center"/>
              <w:rPr>
                <w:sz w:val="18"/>
              </w:rPr>
            </w:pPr>
            <w:r>
              <w:rPr>
                <w:sz w:val="18"/>
              </w:rPr>
              <w:t>a)</w:t>
            </w:r>
          </w:p>
        </w:tc>
        <w:tc>
          <w:tcPr>
            <w:tcW w:w="992" w:type="dxa"/>
            <w:vMerge w:val="restart"/>
            <w:tcBorders>
              <w:bottom w:val="nil"/>
            </w:tcBorders>
            <w:shd w:val="clear" w:color="auto" w:fill="auto"/>
            <w:vAlign w:val="center"/>
          </w:tcPr>
          <w:p>
            <w:pPr>
              <w:pStyle w:val="GesAbsatz"/>
              <w:jc w:val="center"/>
              <w:rPr>
                <w:sz w:val="18"/>
              </w:rPr>
            </w:pPr>
            <w:r>
              <w:rPr>
                <w:sz w:val="18"/>
              </w:rPr>
              <w:t>% (m/m)</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rPr>
              <w:t>0,11</w:t>
            </w:r>
            <w:r>
              <w:rPr>
                <w:sz w:val="18"/>
                <w:vertAlign w:val="superscript"/>
              </w:rPr>
              <w:t>b)</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rPr>
            </w:pPr>
          </w:p>
        </w:tc>
        <w:tc>
          <w:tcPr>
            <w:tcW w:w="2976" w:type="dxa"/>
            <w:vMerge/>
            <w:tcBorders>
              <w:bottom w:val="single" w:sz="4" w:space="0" w:color="auto"/>
            </w:tcBorders>
            <w:shd w:val="clear" w:color="auto" w:fill="auto"/>
          </w:tcPr>
          <w:p>
            <w:pPr>
              <w:pStyle w:val="GesAbsatz"/>
              <w:rPr>
                <w:sz w:val="18"/>
              </w:rPr>
            </w:pPr>
          </w:p>
        </w:tc>
        <w:tc>
          <w:tcPr>
            <w:tcW w:w="1984" w:type="dxa"/>
            <w:tcBorders>
              <w:top w:val="nil"/>
              <w:bottom w:val="single" w:sz="4" w:space="0" w:color="auto"/>
            </w:tcBorders>
            <w:shd w:val="clear" w:color="auto" w:fill="auto"/>
          </w:tcPr>
          <w:p>
            <w:pPr>
              <w:pStyle w:val="GesAbsatz"/>
              <w:rPr>
                <w:sz w:val="18"/>
              </w:rPr>
            </w:pPr>
            <w:r>
              <w:rPr>
                <w:sz w:val="18"/>
              </w:rPr>
              <w:t>DIN EN ISO 14596</w:t>
            </w:r>
          </w:p>
        </w:tc>
        <w:tc>
          <w:tcPr>
            <w:tcW w:w="709" w:type="dxa"/>
            <w:vMerge/>
            <w:tcBorders>
              <w:top w:val="nil"/>
              <w:bottom w:val="single" w:sz="4" w:space="0" w:color="auto"/>
            </w:tcBorders>
          </w:tcPr>
          <w:p>
            <w:pPr>
              <w:pStyle w:val="GesAbsatz"/>
              <w:jc w:val="center"/>
              <w:rPr>
                <w:sz w:val="18"/>
              </w:rPr>
            </w:pPr>
          </w:p>
        </w:tc>
        <w:tc>
          <w:tcPr>
            <w:tcW w:w="992" w:type="dxa"/>
            <w:vMerge/>
            <w:tcBorders>
              <w:top w:val="nil"/>
              <w:bottom w:val="single" w:sz="4" w:space="0" w:color="auto"/>
            </w:tcBorders>
            <w:shd w:val="clear" w:color="auto" w:fill="auto"/>
          </w:tcPr>
          <w:p>
            <w:pPr>
              <w:pStyle w:val="GesAbsatz"/>
              <w:jc w:val="center"/>
              <w:rPr>
                <w:sz w:val="18"/>
              </w:rPr>
            </w:pP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rPr>
            </w:pPr>
            <w:r>
              <w:rPr>
                <w:sz w:val="18"/>
              </w:rPr>
              <w:t>0,11</w:t>
            </w:r>
            <w:r>
              <w:rPr>
                <w:sz w:val="18"/>
                <w:vertAlign w:val="superscript"/>
              </w:rPr>
              <w:t>b)</w:t>
            </w: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ind w:left="426" w:hanging="426"/>
      </w:pPr>
      <w:r>
        <w:t>a)</w:t>
      </w:r>
      <w:r>
        <w:tab/>
        <w:t>Als Referenzverfahren für den Streitfall ist DIN EN ISO 14596 anzuwenden. Zur Auswahl eines Ref</w:t>
      </w:r>
      <w:r>
        <w:t>e</w:t>
      </w:r>
      <w:r>
        <w:t>renzmaterials ist gemäß Abschnitt 7.2 von DIN ISO 8217 eine Einigung zwischen den Parteien herz</w:t>
      </w:r>
      <w:r>
        <w:t>u</w:t>
      </w:r>
      <w:r>
        <w:t>stellen.</w:t>
      </w:r>
    </w:p>
    <w:p>
      <w:pPr>
        <w:pStyle w:val="GesAbsatz"/>
        <w:ind w:left="426" w:hanging="426"/>
      </w:pPr>
      <w:r>
        <w:t>b)</w:t>
      </w:r>
      <w:r>
        <w:tab/>
        <w:t>Der Ablehnungsgrenzwert liegt niedriger als der Grenzwert in der DIN ISO 8217. Der Grenzwert für den Gehalt an Schwefelverbindungen beträgt gemäß § 4 Absatz 3 der 10. BImSchV abweichend von der DIN ISO 8217 1 Gramm pro Kilogramm Gasöl für den Seeverkehr.</w:t>
      </w:r>
    </w:p>
    <w:p>
      <w:pPr>
        <w:pStyle w:val="berschrift2"/>
        <w:jc w:val="left"/>
      </w:pPr>
      <w:bookmarkStart w:id="27" w:name="_Toc349111763"/>
      <w:r>
        <w:t>Anlage 17</w:t>
      </w:r>
      <w:bookmarkEnd w:id="27"/>
    </w:p>
    <w:p>
      <w:pPr>
        <w:pStyle w:val="GesAbsatz"/>
        <w:jc w:val="center"/>
        <w:rPr>
          <w:b/>
        </w:rPr>
      </w:pPr>
      <w:r>
        <w:rPr>
          <w:b/>
        </w:rPr>
        <w:t>Prüfprotokoll zur Überwachung des Grenzwerts für den Gehalt an Schwefelverbindungen bei</w:t>
      </w:r>
      <w:r>
        <w:rPr>
          <w:b/>
        </w:rPr>
        <w:br/>
        <w:t>einmal</w:t>
      </w:r>
      <w:r>
        <w:rPr>
          <w:b/>
        </w:rPr>
        <w:t>i</w:t>
      </w:r>
      <w:r>
        <w:rPr>
          <w:b/>
        </w:rPr>
        <w:t>ger Prüfung von Gasöl für den Seeverkehr (Marine Fuel ISO-F_DMX) nach DIN ISO 8217:2009</w:t>
      </w:r>
    </w:p>
    <w:p>
      <w:pPr>
        <w:pStyle w:val="GesAbsatz"/>
      </w:pPr>
      <w:r>
        <w:t>Überprüfte Firma:</w:t>
      </w:r>
    </w:p>
    <w:p>
      <w:pPr>
        <w:pStyle w:val="GesAbsatz"/>
      </w:pPr>
      <w:r>
        <w:t>Probenbehälternummer: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tcBorders>
              <w:bottom w:val="single" w:sz="4" w:space="0" w:color="auto"/>
            </w:tcBorders>
            <w:shd w:val="clear" w:color="auto" w:fill="auto"/>
          </w:tcPr>
          <w:p>
            <w:pPr>
              <w:pStyle w:val="GesAbsatz"/>
              <w:jc w:val="center"/>
              <w:rPr>
                <w:sz w:val="18"/>
                <w:szCs w:val="18"/>
              </w:rPr>
            </w:pPr>
            <w:r>
              <w:rPr>
                <w:sz w:val="18"/>
                <w:szCs w:val="18"/>
              </w:rPr>
              <w:t>min.</w:t>
            </w:r>
          </w:p>
        </w:tc>
        <w:tc>
          <w:tcPr>
            <w:tcW w:w="851" w:type="dxa"/>
            <w:tcBorders>
              <w:bottom w:val="single" w:sz="4" w:space="0" w:color="auto"/>
            </w:tcBorders>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rPr>
            </w:pPr>
            <w:r>
              <w:rPr>
                <w:sz w:val="18"/>
              </w:rPr>
              <w:t>1</w:t>
            </w:r>
          </w:p>
        </w:tc>
        <w:tc>
          <w:tcPr>
            <w:tcW w:w="2976" w:type="dxa"/>
            <w:vMerge w:val="restart"/>
            <w:shd w:val="clear" w:color="auto" w:fill="auto"/>
          </w:tcPr>
          <w:p>
            <w:pPr>
              <w:pStyle w:val="GesAbsatz"/>
              <w:rPr>
                <w:sz w:val="18"/>
              </w:rPr>
            </w:pPr>
            <w:r>
              <w:rPr>
                <w:sz w:val="18"/>
              </w:rPr>
              <w:t>Schwefelgehalt</w:t>
            </w:r>
          </w:p>
        </w:tc>
        <w:tc>
          <w:tcPr>
            <w:tcW w:w="1984" w:type="dxa"/>
            <w:tcBorders>
              <w:bottom w:val="nil"/>
            </w:tcBorders>
            <w:shd w:val="clear" w:color="auto" w:fill="auto"/>
          </w:tcPr>
          <w:p>
            <w:pPr>
              <w:pStyle w:val="GesAbsatz"/>
              <w:rPr>
                <w:sz w:val="18"/>
              </w:rPr>
            </w:pPr>
            <w:r>
              <w:rPr>
                <w:sz w:val="18"/>
              </w:rPr>
              <w:t>DIN EN ISO 8754</w:t>
            </w:r>
          </w:p>
        </w:tc>
        <w:tc>
          <w:tcPr>
            <w:tcW w:w="709" w:type="dxa"/>
            <w:vMerge w:val="restart"/>
            <w:tcBorders>
              <w:bottom w:val="nil"/>
            </w:tcBorders>
            <w:vAlign w:val="center"/>
          </w:tcPr>
          <w:p>
            <w:pPr>
              <w:pStyle w:val="GesAbsatz"/>
              <w:jc w:val="center"/>
              <w:rPr>
                <w:sz w:val="18"/>
              </w:rPr>
            </w:pPr>
            <w:r>
              <w:rPr>
                <w:sz w:val="18"/>
              </w:rPr>
              <w:t>a)</w:t>
            </w:r>
          </w:p>
        </w:tc>
        <w:tc>
          <w:tcPr>
            <w:tcW w:w="992" w:type="dxa"/>
            <w:vMerge w:val="restart"/>
            <w:tcBorders>
              <w:bottom w:val="nil"/>
            </w:tcBorders>
            <w:shd w:val="clear" w:color="auto" w:fill="auto"/>
            <w:vAlign w:val="center"/>
          </w:tcPr>
          <w:p>
            <w:pPr>
              <w:pStyle w:val="GesAbsatz"/>
              <w:jc w:val="center"/>
              <w:rPr>
                <w:sz w:val="18"/>
              </w:rPr>
            </w:pPr>
            <w:r>
              <w:rPr>
                <w:sz w:val="18"/>
              </w:rPr>
              <w:t>% (m/m)</w:t>
            </w:r>
          </w:p>
        </w:tc>
        <w:tc>
          <w:tcPr>
            <w:tcW w:w="850" w:type="dxa"/>
            <w:vMerge w:val="restart"/>
            <w:tcBorders>
              <w:bottom w:val="nil"/>
            </w:tcBorders>
            <w:shd w:val="clear" w:color="auto" w:fill="auto"/>
          </w:tcPr>
          <w:p>
            <w:pPr>
              <w:pStyle w:val="GesAbsatz"/>
              <w:jc w:val="center"/>
              <w:rPr>
                <w:sz w:val="16"/>
                <w:szCs w:val="18"/>
              </w:rPr>
            </w:pPr>
          </w:p>
        </w:tc>
        <w:tc>
          <w:tcPr>
            <w:tcW w:w="851" w:type="dxa"/>
            <w:tcBorders>
              <w:bottom w:val="nil"/>
            </w:tcBorders>
            <w:shd w:val="clear" w:color="auto" w:fill="auto"/>
          </w:tcPr>
          <w:p>
            <w:pPr>
              <w:pStyle w:val="GesAbsatz"/>
              <w:jc w:val="center"/>
              <w:rPr>
                <w:sz w:val="16"/>
                <w:szCs w:val="18"/>
              </w:rPr>
            </w:pPr>
            <w:r>
              <w:rPr>
                <w:sz w:val="18"/>
              </w:rPr>
              <w:t>0,11</w:t>
            </w:r>
            <w:r>
              <w:rPr>
                <w:sz w:val="18"/>
                <w:vertAlign w:val="superscript"/>
              </w:rPr>
              <w:t>b)</w:t>
            </w:r>
          </w:p>
        </w:tc>
        <w:tc>
          <w:tcPr>
            <w:tcW w:w="911" w:type="dxa"/>
            <w:vMerge w:val="restart"/>
            <w:shd w:val="clear" w:color="auto" w:fill="auto"/>
          </w:tcPr>
          <w:p>
            <w:pPr>
              <w:pStyle w:val="GesAbsatz"/>
              <w:rPr>
                <w:sz w:val="16"/>
                <w:szCs w:val="18"/>
              </w:rPr>
            </w:pPr>
          </w:p>
        </w:tc>
      </w:tr>
      <w:tr>
        <w:trPr>
          <w:tblHeader/>
        </w:trPr>
        <w:tc>
          <w:tcPr>
            <w:tcW w:w="534" w:type="dxa"/>
            <w:vMerge/>
            <w:shd w:val="clear" w:color="auto" w:fill="auto"/>
          </w:tcPr>
          <w:p>
            <w:pPr>
              <w:pStyle w:val="GesAbsatz"/>
              <w:rPr>
                <w:sz w:val="18"/>
              </w:rPr>
            </w:pPr>
          </w:p>
        </w:tc>
        <w:tc>
          <w:tcPr>
            <w:tcW w:w="2976" w:type="dxa"/>
            <w:vMerge/>
            <w:tcBorders>
              <w:bottom w:val="single" w:sz="4" w:space="0" w:color="auto"/>
            </w:tcBorders>
            <w:shd w:val="clear" w:color="auto" w:fill="auto"/>
          </w:tcPr>
          <w:p>
            <w:pPr>
              <w:pStyle w:val="GesAbsatz"/>
              <w:rPr>
                <w:sz w:val="18"/>
              </w:rPr>
            </w:pPr>
          </w:p>
        </w:tc>
        <w:tc>
          <w:tcPr>
            <w:tcW w:w="1984" w:type="dxa"/>
            <w:tcBorders>
              <w:top w:val="nil"/>
              <w:bottom w:val="single" w:sz="4" w:space="0" w:color="auto"/>
            </w:tcBorders>
            <w:shd w:val="clear" w:color="auto" w:fill="auto"/>
          </w:tcPr>
          <w:p>
            <w:pPr>
              <w:pStyle w:val="GesAbsatz"/>
              <w:rPr>
                <w:sz w:val="18"/>
              </w:rPr>
            </w:pPr>
            <w:r>
              <w:rPr>
                <w:sz w:val="18"/>
              </w:rPr>
              <w:t>DIN EN ISO 14596</w:t>
            </w:r>
          </w:p>
        </w:tc>
        <w:tc>
          <w:tcPr>
            <w:tcW w:w="709" w:type="dxa"/>
            <w:vMerge/>
            <w:tcBorders>
              <w:top w:val="nil"/>
              <w:bottom w:val="single" w:sz="4" w:space="0" w:color="auto"/>
            </w:tcBorders>
          </w:tcPr>
          <w:p>
            <w:pPr>
              <w:pStyle w:val="GesAbsatz"/>
              <w:jc w:val="center"/>
              <w:rPr>
                <w:sz w:val="18"/>
              </w:rPr>
            </w:pPr>
          </w:p>
        </w:tc>
        <w:tc>
          <w:tcPr>
            <w:tcW w:w="992" w:type="dxa"/>
            <w:vMerge/>
            <w:tcBorders>
              <w:top w:val="nil"/>
              <w:bottom w:val="single" w:sz="4" w:space="0" w:color="auto"/>
            </w:tcBorders>
            <w:shd w:val="clear" w:color="auto" w:fill="auto"/>
          </w:tcPr>
          <w:p>
            <w:pPr>
              <w:pStyle w:val="GesAbsatz"/>
              <w:jc w:val="center"/>
              <w:rPr>
                <w:sz w:val="18"/>
              </w:rPr>
            </w:pPr>
          </w:p>
        </w:tc>
        <w:tc>
          <w:tcPr>
            <w:tcW w:w="850" w:type="dxa"/>
            <w:vMerge/>
            <w:tcBorders>
              <w:top w:val="nil"/>
            </w:tcBorders>
            <w:shd w:val="clear" w:color="auto" w:fill="auto"/>
          </w:tcPr>
          <w:p>
            <w:pPr>
              <w:pStyle w:val="GesAbsatz"/>
              <w:jc w:val="center"/>
              <w:rPr>
                <w:sz w:val="16"/>
                <w:szCs w:val="18"/>
              </w:rPr>
            </w:pPr>
          </w:p>
        </w:tc>
        <w:tc>
          <w:tcPr>
            <w:tcW w:w="851" w:type="dxa"/>
            <w:tcBorders>
              <w:top w:val="nil"/>
            </w:tcBorders>
            <w:shd w:val="clear" w:color="auto" w:fill="auto"/>
          </w:tcPr>
          <w:p>
            <w:pPr>
              <w:pStyle w:val="GesAbsatz"/>
              <w:jc w:val="center"/>
              <w:rPr>
                <w:sz w:val="18"/>
              </w:rPr>
            </w:pPr>
            <w:r>
              <w:rPr>
                <w:sz w:val="18"/>
              </w:rPr>
              <w:t>0,11</w:t>
            </w:r>
            <w:r>
              <w:rPr>
                <w:sz w:val="18"/>
                <w:vertAlign w:val="superscript"/>
              </w:rPr>
              <w:t>b)</w:t>
            </w:r>
          </w:p>
        </w:tc>
        <w:tc>
          <w:tcPr>
            <w:tcW w:w="911" w:type="dxa"/>
            <w:vMerge/>
            <w:shd w:val="clear" w:color="auto" w:fill="auto"/>
          </w:tcPr>
          <w:p>
            <w:pPr>
              <w:pStyle w:val="GesAbsatz"/>
              <w:rPr>
                <w:sz w:val="16"/>
                <w:szCs w:val="18"/>
              </w:rPr>
            </w:pPr>
          </w:p>
        </w:tc>
      </w:tr>
    </w:tbl>
    <w:p>
      <w:pPr>
        <w:pStyle w:val="GesAbsatz"/>
      </w:pPr>
    </w:p>
    <w:p>
      <w:pPr>
        <w:pStyle w:val="GesAbsatz"/>
      </w:pPr>
      <w:r>
        <w:t>Anmerkungen:</w:t>
      </w:r>
    </w:p>
    <w:p>
      <w:pPr>
        <w:pStyle w:val="GesAbsatz"/>
        <w:ind w:left="426" w:hanging="426"/>
      </w:pPr>
      <w:r>
        <w:t>a)</w:t>
      </w:r>
      <w:r>
        <w:tab/>
        <w:t>Als Referenzverfahren für den Streitfall ist DIN EN ISO 14596 anzuwenden. Zur Auswahl eines Ref</w:t>
      </w:r>
      <w:r>
        <w:t>e</w:t>
      </w:r>
      <w:r>
        <w:t>renzmaterials ist gemäß Abschnitt 7.2 von DIN ISO 8217 eine Einigung zwischen den Parteien herz</w:t>
      </w:r>
      <w:r>
        <w:t>u</w:t>
      </w:r>
      <w:r>
        <w:t>stellen.</w:t>
      </w:r>
    </w:p>
    <w:p>
      <w:pPr>
        <w:pStyle w:val="GesAbsatz"/>
        <w:ind w:left="426" w:hanging="426"/>
      </w:pPr>
      <w:r>
        <w:t>b)</w:t>
      </w:r>
      <w:r>
        <w:tab/>
        <w:t>Der Ablehnungsgrenzwert liegt niedriger als der Grenzwert in der DIN ISO 8217. Der Grenzwert für den Gehalt an Schwefelverbindungen beträgt gemäß § 4 Absatz 3 der 10. BImSchV abweichend von der DIN ISO 8217 1 Gramm pro Kilogramm Gasöl für den Seeverkehr.</w:t>
      </w:r>
    </w:p>
    <w:p>
      <w:pPr>
        <w:pStyle w:val="berschrift2"/>
        <w:jc w:val="left"/>
      </w:pPr>
      <w:bookmarkStart w:id="28" w:name="_Toc349111764"/>
      <w:r>
        <w:t>Anlage 18</w:t>
      </w:r>
      <w:bookmarkEnd w:id="28"/>
    </w:p>
    <w:p>
      <w:pPr>
        <w:pStyle w:val="GesAbsatz"/>
        <w:jc w:val="center"/>
        <w:rPr>
          <w:b/>
        </w:rPr>
      </w:pPr>
      <w:r>
        <w:rPr>
          <w:b/>
        </w:rPr>
        <w:t>Prüfprotokoll zur Überwachung des Grenzwerts für den Gehalt an Schwefelverbindungen bei</w:t>
      </w:r>
      <w:r>
        <w:rPr>
          <w:b/>
        </w:rPr>
        <w:br/>
        <w:t>einmal</w:t>
      </w:r>
      <w:r>
        <w:rPr>
          <w:b/>
        </w:rPr>
        <w:t>i</w:t>
      </w:r>
      <w:r>
        <w:rPr>
          <w:b/>
        </w:rPr>
        <w:t>ger Prüfung von Schiffsdiesel (Marine Fuel ISO-F_DMB) nach DIN ISO 8217:2009</w:t>
      </w:r>
    </w:p>
    <w:p>
      <w:pPr>
        <w:pStyle w:val="GesAbsatz"/>
      </w:pPr>
      <w:r>
        <w:t>Überprüfte Firma:</w:t>
      </w:r>
    </w:p>
    <w:p>
      <w:pPr>
        <w:pStyle w:val="GesAbsatz"/>
      </w:pPr>
      <w:r>
        <w:t>Probenbehälternummer: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tcBorders>
              <w:bottom w:val="single" w:sz="4" w:space="0" w:color="auto"/>
            </w:tcBorders>
            <w:shd w:val="clear" w:color="auto" w:fill="auto"/>
          </w:tcPr>
          <w:p>
            <w:pPr>
              <w:pStyle w:val="GesAbsatz"/>
              <w:jc w:val="center"/>
              <w:rPr>
                <w:sz w:val="18"/>
                <w:szCs w:val="18"/>
              </w:rPr>
            </w:pPr>
            <w:r>
              <w:rPr>
                <w:sz w:val="18"/>
                <w:szCs w:val="18"/>
              </w:rPr>
              <w:t>min.</w:t>
            </w:r>
          </w:p>
        </w:tc>
        <w:tc>
          <w:tcPr>
            <w:tcW w:w="851" w:type="dxa"/>
            <w:tcBorders>
              <w:bottom w:val="single" w:sz="4" w:space="0" w:color="auto"/>
            </w:tcBorders>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blHeader/>
        </w:trPr>
        <w:tc>
          <w:tcPr>
            <w:tcW w:w="534" w:type="dxa"/>
            <w:vMerge w:val="restart"/>
            <w:shd w:val="clear" w:color="auto" w:fill="auto"/>
          </w:tcPr>
          <w:p>
            <w:pPr>
              <w:pStyle w:val="GesAbsatz"/>
              <w:rPr>
                <w:sz w:val="18"/>
                <w:szCs w:val="18"/>
              </w:rPr>
            </w:pPr>
            <w:r>
              <w:rPr>
                <w:sz w:val="18"/>
                <w:szCs w:val="18"/>
              </w:rPr>
              <w:t>1</w:t>
            </w:r>
          </w:p>
        </w:tc>
        <w:tc>
          <w:tcPr>
            <w:tcW w:w="2976" w:type="dxa"/>
            <w:vMerge w:val="restart"/>
            <w:shd w:val="clear" w:color="auto" w:fill="auto"/>
          </w:tcPr>
          <w:p>
            <w:pPr>
              <w:pStyle w:val="GesAbsatz"/>
              <w:rPr>
                <w:sz w:val="18"/>
                <w:szCs w:val="18"/>
              </w:rPr>
            </w:pPr>
            <w:r>
              <w:rPr>
                <w:sz w:val="18"/>
                <w:szCs w:val="18"/>
              </w:rPr>
              <w:t>Schwefelgehalt</w:t>
            </w:r>
          </w:p>
        </w:tc>
        <w:tc>
          <w:tcPr>
            <w:tcW w:w="1984" w:type="dxa"/>
            <w:tcBorders>
              <w:bottom w:val="nil"/>
            </w:tcBorders>
            <w:shd w:val="clear" w:color="auto" w:fill="auto"/>
          </w:tcPr>
          <w:p>
            <w:pPr>
              <w:pStyle w:val="GesAbsatz"/>
              <w:rPr>
                <w:sz w:val="18"/>
                <w:szCs w:val="18"/>
              </w:rPr>
            </w:pPr>
            <w:r>
              <w:rPr>
                <w:sz w:val="18"/>
                <w:szCs w:val="18"/>
              </w:rPr>
              <w:t>DIN EN ISO 8754</w:t>
            </w:r>
          </w:p>
        </w:tc>
        <w:tc>
          <w:tcPr>
            <w:tcW w:w="709" w:type="dxa"/>
            <w:vMerge w:val="restart"/>
            <w:tcBorders>
              <w:bottom w:val="nil"/>
            </w:tcBorders>
            <w:vAlign w:val="center"/>
          </w:tcPr>
          <w:p>
            <w:pPr>
              <w:pStyle w:val="GesAbsatz"/>
              <w:jc w:val="center"/>
              <w:rPr>
                <w:sz w:val="18"/>
                <w:szCs w:val="18"/>
              </w:rPr>
            </w:pPr>
            <w:r>
              <w:rPr>
                <w:sz w:val="18"/>
                <w:szCs w:val="18"/>
              </w:rPr>
              <w:t>a)</w:t>
            </w:r>
          </w:p>
        </w:tc>
        <w:tc>
          <w:tcPr>
            <w:tcW w:w="992" w:type="dxa"/>
            <w:vMerge w:val="restart"/>
            <w:tcBorders>
              <w:bottom w:val="nil"/>
            </w:tcBorders>
            <w:shd w:val="clear" w:color="auto" w:fill="auto"/>
            <w:vAlign w:val="center"/>
          </w:tcPr>
          <w:p>
            <w:pPr>
              <w:pStyle w:val="GesAbsatz"/>
              <w:jc w:val="center"/>
              <w:rPr>
                <w:sz w:val="18"/>
                <w:szCs w:val="18"/>
              </w:rPr>
            </w:pPr>
            <w:r>
              <w:rPr>
                <w:sz w:val="18"/>
                <w:szCs w:val="18"/>
              </w:rPr>
              <w:t>% (m/m)</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szCs w:val="18"/>
              </w:rPr>
              <w:t>1,58</w:t>
            </w:r>
            <w:r>
              <w:rPr>
                <w:sz w:val="18"/>
                <w:szCs w:val="18"/>
                <w:vertAlign w:val="superscript"/>
              </w:rPr>
              <w:t>b)</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szCs w:val="18"/>
              </w:rPr>
            </w:pPr>
          </w:p>
        </w:tc>
        <w:tc>
          <w:tcPr>
            <w:tcW w:w="2976" w:type="dxa"/>
            <w:vMerge/>
            <w:tcBorders>
              <w:bottom w:val="single" w:sz="4" w:space="0" w:color="auto"/>
            </w:tcBorders>
            <w:shd w:val="clear" w:color="auto" w:fill="auto"/>
          </w:tcPr>
          <w:p>
            <w:pPr>
              <w:pStyle w:val="GesAbsatz"/>
              <w:rPr>
                <w:sz w:val="18"/>
                <w:szCs w:val="18"/>
              </w:rPr>
            </w:pPr>
          </w:p>
        </w:tc>
        <w:tc>
          <w:tcPr>
            <w:tcW w:w="1984" w:type="dxa"/>
            <w:tcBorders>
              <w:top w:val="nil"/>
              <w:bottom w:val="single" w:sz="4" w:space="0" w:color="auto"/>
            </w:tcBorders>
            <w:shd w:val="clear" w:color="auto" w:fill="auto"/>
          </w:tcPr>
          <w:p>
            <w:pPr>
              <w:pStyle w:val="GesAbsatz"/>
              <w:rPr>
                <w:sz w:val="18"/>
                <w:szCs w:val="18"/>
              </w:rPr>
            </w:pPr>
            <w:r>
              <w:rPr>
                <w:sz w:val="18"/>
                <w:szCs w:val="18"/>
              </w:rPr>
              <w:t>DIN EN ISO 14596</w:t>
            </w:r>
          </w:p>
        </w:tc>
        <w:tc>
          <w:tcPr>
            <w:tcW w:w="709" w:type="dxa"/>
            <w:vMerge/>
            <w:tcBorders>
              <w:top w:val="nil"/>
              <w:bottom w:val="single" w:sz="4" w:space="0" w:color="auto"/>
            </w:tcBorders>
          </w:tcPr>
          <w:p>
            <w:pPr>
              <w:pStyle w:val="GesAbsatz"/>
              <w:jc w:val="center"/>
              <w:rPr>
                <w:sz w:val="18"/>
                <w:szCs w:val="18"/>
              </w:rPr>
            </w:pPr>
          </w:p>
        </w:tc>
        <w:tc>
          <w:tcPr>
            <w:tcW w:w="992" w:type="dxa"/>
            <w:vMerge/>
            <w:tcBorders>
              <w:top w:val="nil"/>
              <w:bottom w:val="single" w:sz="4" w:space="0" w:color="auto"/>
            </w:tcBorders>
            <w:shd w:val="clear" w:color="auto" w:fill="auto"/>
          </w:tcPr>
          <w:p>
            <w:pPr>
              <w:pStyle w:val="GesAbsatz"/>
              <w:jc w:val="center"/>
              <w:rPr>
                <w:sz w:val="18"/>
                <w:szCs w:val="18"/>
              </w:rPr>
            </w:pPr>
          </w:p>
        </w:tc>
        <w:tc>
          <w:tcPr>
            <w:tcW w:w="850" w:type="dxa"/>
            <w:vMerge/>
            <w:tcBorders>
              <w:top w:val="nil"/>
            </w:tcBorders>
            <w:shd w:val="clear" w:color="auto" w:fill="auto"/>
          </w:tcPr>
          <w:p>
            <w:pPr>
              <w:pStyle w:val="GesAbsatz"/>
              <w:jc w:val="center"/>
              <w:rPr>
                <w:sz w:val="18"/>
                <w:szCs w:val="18"/>
              </w:rPr>
            </w:pPr>
          </w:p>
        </w:tc>
        <w:tc>
          <w:tcPr>
            <w:tcW w:w="851" w:type="dxa"/>
            <w:tcBorders>
              <w:top w:val="nil"/>
            </w:tcBorders>
            <w:shd w:val="clear" w:color="auto" w:fill="auto"/>
          </w:tcPr>
          <w:p>
            <w:pPr>
              <w:pStyle w:val="GesAbsatz"/>
              <w:jc w:val="center"/>
              <w:rPr>
                <w:sz w:val="18"/>
                <w:szCs w:val="18"/>
              </w:rPr>
            </w:pPr>
            <w:r>
              <w:rPr>
                <w:sz w:val="18"/>
                <w:szCs w:val="18"/>
              </w:rPr>
              <w:t>1,52</w:t>
            </w:r>
            <w:r>
              <w:rPr>
                <w:sz w:val="18"/>
                <w:szCs w:val="18"/>
                <w:vertAlign w:val="superscript"/>
              </w:rPr>
              <w:t>b)</w:t>
            </w: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ind w:left="426" w:hanging="426"/>
      </w:pPr>
      <w:r>
        <w:t>a)</w:t>
      </w:r>
      <w:r>
        <w:tab/>
        <w:t>Als Referenzverfahren für den Streitfall ist DIN EN ISO 14596 anzuwenden. Zur Auswahl eines Ref</w:t>
      </w:r>
      <w:r>
        <w:t>e</w:t>
      </w:r>
      <w:r>
        <w:t>renzmaterials ist gemäß Abschnitt 7.2 von DIN ISO 8217 eine Einigung zwischen den Parteien herz</w:t>
      </w:r>
      <w:r>
        <w:t>u</w:t>
      </w:r>
      <w:r>
        <w:t>stellen.</w:t>
      </w:r>
    </w:p>
    <w:p>
      <w:pPr>
        <w:pStyle w:val="GesAbsatz"/>
        <w:ind w:left="426" w:hanging="426"/>
      </w:pPr>
      <w:r>
        <w:t>b)</w:t>
      </w:r>
      <w:r>
        <w:tab/>
        <w:t>Der Ablehnungsgrenzwert ist niedriger als der Grenzwert in der DIN ISO 8217. Der Grenzwert für den Gehalt an Schwefelverbindungen beträgt gemäß § 4 Absatz 4 der 10. BImSchV abweichend von der DIN ISO 8217 15 Gramm pro Kilogramm Schiffsdiesel.</w:t>
      </w:r>
    </w:p>
    <w:p>
      <w:pPr>
        <w:pStyle w:val="berschrift2"/>
        <w:jc w:val="left"/>
      </w:pPr>
      <w:bookmarkStart w:id="29" w:name="_Toc349111765"/>
      <w:r>
        <w:lastRenderedPageBreak/>
        <w:t>Anlage 19</w:t>
      </w:r>
      <w:bookmarkEnd w:id="29"/>
    </w:p>
    <w:p>
      <w:pPr>
        <w:pStyle w:val="GesAbsatz"/>
        <w:jc w:val="center"/>
        <w:rPr>
          <w:b/>
        </w:rPr>
      </w:pPr>
      <w:r>
        <w:rPr>
          <w:b/>
        </w:rPr>
        <w:t>Prüfprotokoll zur Überwachung des Grenzwerts für den Gehalt an Schwefelverbindungen bei</w:t>
      </w:r>
      <w:r>
        <w:rPr>
          <w:b/>
        </w:rPr>
        <w:br/>
        <w:t>einmal</w:t>
      </w:r>
      <w:r>
        <w:rPr>
          <w:b/>
        </w:rPr>
        <w:t>i</w:t>
      </w:r>
      <w:r>
        <w:rPr>
          <w:b/>
        </w:rPr>
        <w:t>ger Prüfung von Schiffsdiesel (Marine Fuel ISO-F_DMC) nach DIN ISO 8217:2009</w:t>
      </w:r>
    </w:p>
    <w:p>
      <w:pPr>
        <w:pStyle w:val="GesAbsatz"/>
      </w:pPr>
      <w:r>
        <w:t>Überprüfte Firma:</w:t>
      </w:r>
    </w:p>
    <w:p>
      <w:pPr>
        <w:pStyle w:val="GesAbsatz"/>
      </w:pPr>
      <w:r>
        <w:t>Probenbehälternummer:</w:t>
      </w:r>
    </w:p>
    <w:p>
      <w:pPr>
        <w:pStyle w:val="GesAbsatz"/>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984"/>
        <w:gridCol w:w="709"/>
        <w:gridCol w:w="992"/>
        <w:gridCol w:w="850"/>
        <w:gridCol w:w="851"/>
        <w:gridCol w:w="911"/>
      </w:tblGrid>
      <w:tr>
        <w:trPr>
          <w:tblHeader/>
        </w:trPr>
        <w:tc>
          <w:tcPr>
            <w:tcW w:w="534" w:type="dxa"/>
            <w:vMerge w:val="restart"/>
            <w:shd w:val="clear" w:color="auto" w:fill="auto"/>
            <w:vAlign w:val="center"/>
          </w:tcPr>
          <w:p>
            <w:pPr>
              <w:pStyle w:val="GesAbsatz"/>
              <w:rPr>
                <w:sz w:val="18"/>
                <w:szCs w:val="18"/>
              </w:rPr>
            </w:pPr>
            <w:r>
              <w:rPr>
                <w:sz w:val="18"/>
                <w:szCs w:val="18"/>
              </w:rPr>
              <w:t>Nr.</w:t>
            </w:r>
          </w:p>
        </w:tc>
        <w:tc>
          <w:tcPr>
            <w:tcW w:w="2976" w:type="dxa"/>
            <w:vMerge w:val="restart"/>
            <w:shd w:val="clear" w:color="auto" w:fill="auto"/>
            <w:vAlign w:val="center"/>
          </w:tcPr>
          <w:p>
            <w:pPr>
              <w:pStyle w:val="GesAbsatz"/>
              <w:rPr>
                <w:sz w:val="18"/>
                <w:szCs w:val="18"/>
              </w:rPr>
            </w:pPr>
            <w:r>
              <w:rPr>
                <w:sz w:val="18"/>
                <w:szCs w:val="18"/>
              </w:rPr>
              <w:t>Stoffeigenschaft</w:t>
            </w:r>
          </w:p>
        </w:tc>
        <w:tc>
          <w:tcPr>
            <w:tcW w:w="1984" w:type="dxa"/>
            <w:vMerge w:val="restart"/>
            <w:shd w:val="clear" w:color="auto" w:fill="auto"/>
            <w:vAlign w:val="center"/>
          </w:tcPr>
          <w:p>
            <w:pPr>
              <w:pStyle w:val="GesAbsatz"/>
              <w:rPr>
                <w:sz w:val="18"/>
                <w:szCs w:val="18"/>
              </w:rPr>
            </w:pPr>
            <w:r>
              <w:rPr>
                <w:sz w:val="18"/>
                <w:szCs w:val="18"/>
              </w:rPr>
              <w:t>Prüfverfahren</w:t>
            </w:r>
          </w:p>
        </w:tc>
        <w:tc>
          <w:tcPr>
            <w:tcW w:w="709" w:type="dxa"/>
            <w:vMerge w:val="restart"/>
            <w:vAlign w:val="center"/>
          </w:tcPr>
          <w:p>
            <w:pPr>
              <w:pStyle w:val="GesAbsatz"/>
              <w:jc w:val="center"/>
              <w:rPr>
                <w:sz w:val="18"/>
                <w:szCs w:val="18"/>
              </w:rPr>
            </w:pPr>
            <w:r>
              <w:rPr>
                <w:sz w:val="18"/>
                <w:szCs w:val="18"/>
              </w:rPr>
              <w:t>Bem.</w:t>
            </w:r>
          </w:p>
        </w:tc>
        <w:tc>
          <w:tcPr>
            <w:tcW w:w="992" w:type="dxa"/>
            <w:vMerge w:val="restart"/>
            <w:shd w:val="clear" w:color="auto" w:fill="auto"/>
            <w:vAlign w:val="center"/>
          </w:tcPr>
          <w:p>
            <w:pPr>
              <w:pStyle w:val="GesAbsatz"/>
              <w:jc w:val="center"/>
              <w:rPr>
                <w:sz w:val="18"/>
                <w:szCs w:val="18"/>
              </w:rPr>
            </w:pPr>
            <w:r>
              <w:rPr>
                <w:sz w:val="18"/>
                <w:szCs w:val="18"/>
              </w:rPr>
              <w:t>Einheit</w:t>
            </w:r>
          </w:p>
        </w:tc>
        <w:tc>
          <w:tcPr>
            <w:tcW w:w="1701" w:type="dxa"/>
            <w:gridSpan w:val="2"/>
            <w:shd w:val="clear" w:color="auto" w:fill="auto"/>
            <w:vAlign w:val="center"/>
          </w:tcPr>
          <w:p>
            <w:pPr>
              <w:pStyle w:val="GesAbsatz"/>
              <w:jc w:val="center"/>
              <w:rPr>
                <w:sz w:val="18"/>
                <w:szCs w:val="18"/>
              </w:rPr>
            </w:pPr>
            <w:r>
              <w:rPr>
                <w:sz w:val="18"/>
                <w:szCs w:val="18"/>
              </w:rPr>
              <w:t>Ablehnung</w:t>
            </w:r>
            <w:r>
              <w:rPr>
                <w:sz w:val="18"/>
                <w:szCs w:val="18"/>
              </w:rPr>
              <w:t>s</w:t>
            </w:r>
            <w:r>
              <w:rPr>
                <w:sz w:val="18"/>
                <w:szCs w:val="18"/>
              </w:rPr>
              <w:t>grenzwert</w:t>
            </w:r>
          </w:p>
        </w:tc>
        <w:tc>
          <w:tcPr>
            <w:tcW w:w="911" w:type="dxa"/>
            <w:vMerge w:val="restart"/>
            <w:shd w:val="clear" w:color="auto" w:fill="auto"/>
            <w:vAlign w:val="center"/>
          </w:tcPr>
          <w:p>
            <w:pPr>
              <w:pStyle w:val="GesAbsatz"/>
              <w:rPr>
                <w:sz w:val="18"/>
                <w:szCs w:val="18"/>
              </w:rPr>
            </w:pPr>
            <w:r>
              <w:rPr>
                <w:sz w:val="18"/>
                <w:szCs w:val="18"/>
              </w:rPr>
              <w:t>Prüfe</w:t>
            </w:r>
            <w:r>
              <w:rPr>
                <w:sz w:val="18"/>
                <w:szCs w:val="18"/>
              </w:rPr>
              <w:t>r</w:t>
            </w:r>
            <w:r>
              <w:rPr>
                <w:sz w:val="18"/>
                <w:szCs w:val="18"/>
              </w:rPr>
              <w:t>gebnis</w:t>
            </w:r>
          </w:p>
        </w:tc>
      </w:tr>
      <w:tr>
        <w:trPr>
          <w:tblHeader/>
        </w:trPr>
        <w:tc>
          <w:tcPr>
            <w:tcW w:w="534" w:type="dxa"/>
            <w:vMerge/>
            <w:shd w:val="clear" w:color="auto" w:fill="auto"/>
          </w:tcPr>
          <w:p>
            <w:pPr>
              <w:pStyle w:val="GesAbsatz"/>
            </w:pPr>
          </w:p>
        </w:tc>
        <w:tc>
          <w:tcPr>
            <w:tcW w:w="2976" w:type="dxa"/>
            <w:vMerge/>
            <w:tcBorders>
              <w:bottom w:val="single" w:sz="4" w:space="0" w:color="auto"/>
            </w:tcBorders>
            <w:shd w:val="clear" w:color="auto" w:fill="auto"/>
          </w:tcPr>
          <w:p>
            <w:pPr>
              <w:pStyle w:val="GesAbsatz"/>
            </w:pPr>
          </w:p>
        </w:tc>
        <w:tc>
          <w:tcPr>
            <w:tcW w:w="1984" w:type="dxa"/>
            <w:vMerge/>
            <w:tcBorders>
              <w:bottom w:val="single" w:sz="4" w:space="0" w:color="auto"/>
            </w:tcBorders>
            <w:shd w:val="clear" w:color="auto" w:fill="auto"/>
          </w:tcPr>
          <w:p>
            <w:pPr>
              <w:pStyle w:val="GesAbsatz"/>
            </w:pPr>
          </w:p>
        </w:tc>
        <w:tc>
          <w:tcPr>
            <w:tcW w:w="709" w:type="dxa"/>
            <w:vMerge/>
            <w:tcBorders>
              <w:bottom w:val="single" w:sz="4" w:space="0" w:color="auto"/>
            </w:tcBorders>
          </w:tcPr>
          <w:p>
            <w:pPr>
              <w:pStyle w:val="GesAbsatz"/>
              <w:jc w:val="center"/>
            </w:pPr>
          </w:p>
        </w:tc>
        <w:tc>
          <w:tcPr>
            <w:tcW w:w="992" w:type="dxa"/>
            <w:vMerge/>
            <w:tcBorders>
              <w:bottom w:val="single" w:sz="4" w:space="0" w:color="auto"/>
            </w:tcBorders>
            <w:shd w:val="clear" w:color="auto" w:fill="auto"/>
          </w:tcPr>
          <w:p>
            <w:pPr>
              <w:pStyle w:val="GesAbsatz"/>
              <w:jc w:val="center"/>
            </w:pPr>
          </w:p>
        </w:tc>
        <w:tc>
          <w:tcPr>
            <w:tcW w:w="850" w:type="dxa"/>
            <w:tcBorders>
              <w:bottom w:val="single" w:sz="4" w:space="0" w:color="auto"/>
            </w:tcBorders>
            <w:shd w:val="clear" w:color="auto" w:fill="auto"/>
          </w:tcPr>
          <w:p>
            <w:pPr>
              <w:pStyle w:val="GesAbsatz"/>
              <w:jc w:val="center"/>
              <w:rPr>
                <w:sz w:val="18"/>
                <w:szCs w:val="18"/>
              </w:rPr>
            </w:pPr>
            <w:r>
              <w:rPr>
                <w:sz w:val="18"/>
                <w:szCs w:val="18"/>
              </w:rPr>
              <w:t>min.</w:t>
            </w:r>
          </w:p>
        </w:tc>
        <w:tc>
          <w:tcPr>
            <w:tcW w:w="851" w:type="dxa"/>
            <w:tcBorders>
              <w:bottom w:val="single" w:sz="4" w:space="0" w:color="auto"/>
            </w:tcBorders>
            <w:shd w:val="clear" w:color="auto" w:fill="auto"/>
          </w:tcPr>
          <w:p>
            <w:pPr>
              <w:pStyle w:val="GesAbsatz"/>
              <w:jc w:val="center"/>
              <w:rPr>
                <w:sz w:val="18"/>
                <w:szCs w:val="18"/>
              </w:rPr>
            </w:pPr>
            <w:r>
              <w:rPr>
                <w:sz w:val="18"/>
                <w:szCs w:val="18"/>
              </w:rPr>
              <w:t>max.</w:t>
            </w:r>
          </w:p>
        </w:tc>
        <w:tc>
          <w:tcPr>
            <w:tcW w:w="911" w:type="dxa"/>
            <w:vMerge/>
            <w:shd w:val="clear" w:color="auto" w:fill="auto"/>
          </w:tcPr>
          <w:p>
            <w:pPr>
              <w:pStyle w:val="GesAbsatz"/>
              <w:rPr>
                <w:sz w:val="18"/>
                <w:szCs w:val="18"/>
              </w:rPr>
            </w:pPr>
          </w:p>
        </w:tc>
      </w:tr>
      <w:tr>
        <w:trPr>
          <w:trHeight w:val="200"/>
          <w:tblHeader/>
        </w:trPr>
        <w:tc>
          <w:tcPr>
            <w:tcW w:w="534" w:type="dxa"/>
            <w:vMerge w:val="restart"/>
            <w:shd w:val="clear" w:color="auto" w:fill="auto"/>
          </w:tcPr>
          <w:p>
            <w:pPr>
              <w:pStyle w:val="GesAbsatz"/>
              <w:rPr>
                <w:sz w:val="18"/>
              </w:rPr>
            </w:pPr>
            <w:r>
              <w:rPr>
                <w:sz w:val="18"/>
              </w:rPr>
              <w:t>1</w:t>
            </w:r>
          </w:p>
        </w:tc>
        <w:tc>
          <w:tcPr>
            <w:tcW w:w="2976" w:type="dxa"/>
            <w:vMerge w:val="restart"/>
            <w:shd w:val="clear" w:color="auto" w:fill="auto"/>
          </w:tcPr>
          <w:p>
            <w:pPr>
              <w:pStyle w:val="GesAbsatz"/>
              <w:rPr>
                <w:sz w:val="18"/>
              </w:rPr>
            </w:pPr>
            <w:r>
              <w:rPr>
                <w:sz w:val="18"/>
              </w:rPr>
              <w:t>Schwefelgehalt</w:t>
            </w:r>
          </w:p>
        </w:tc>
        <w:tc>
          <w:tcPr>
            <w:tcW w:w="1984" w:type="dxa"/>
            <w:tcBorders>
              <w:bottom w:val="nil"/>
            </w:tcBorders>
            <w:shd w:val="clear" w:color="auto" w:fill="auto"/>
          </w:tcPr>
          <w:p>
            <w:pPr>
              <w:pStyle w:val="GesAbsatz"/>
              <w:rPr>
                <w:sz w:val="18"/>
              </w:rPr>
            </w:pPr>
            <w:r>
              <w:rPr>
                <w:sz w:val="18"/>
              </w:rPr>
              <w:t>DIN EN ISO 8754</w:t>
            </w:r>
          </w:p>
        </w:tc>
        <w:tc>
          <w:tcPr>
            <w:tcW w:w="709" w:type="dxa"/>
            <w:vMerge w:val="restart"/>
            <w:tcBorders>
              <w:bottom w:val="nil"/>
            </w:tcBorders>
            <w:vAlign w:val="center"/>
          </w:tcPr>
          <w:p>
            <w:pPr>
              <w:pStyle w:val="GesAbsatz"/>
              <w:jc w:val="center"/>
              <w:rPr>
                <w:sz w:val="18"/>
              </w:rPr>
            </w:pPr>
            <w:r>
              <w:rPr>
                <w:sz w:val="18"/>
              </w:rPr>
              <w:t>a)</w:t>
            </w:r>
          </w:p>
        </w:tc>
        <w:tc>
          <w:tcPr>
            <w:tcW w:w="992" w:type="dxa"/>
            <w:vMerge w:val="restart"/>
            <w:tcBorders>
              <w:bottom w:val="nil"/>
            </w:tcBorders>
            <w:shd w:val="clear" w:color="auto" w:fill="auto"/>
            <w:vAlign w:val="center"/>
          </w:tcPr>
          <w:p>
            <w:pPr>
              <w:pStyle w:val="GesAbsatz"/>
              <w:jc w:val="center"/>
              <w:rPr>
                <w:sz w:val="18"/>
              </w:rPr>
            </w:pPr>
            <w:r>
              <w:rPr>
                <w:sz w:val="18"/>
              </w:rPr>
              <w:t>% (m/m)</w:t>
            </w:r>
          </w:p>
        </w:tc>
        <w:tc>
          <w:tcPr>
            <w:tcW w:w="850" w:type="dxa"/>
            <w:vMerge w:val="restart"/>
            <w:tcBorders>
              <w:bottom w:val="nil"/>
            </w:tcBorders>
            <w:shd w:val="clear" w:color="auto" w:fill="auto"/>
          </w:tcPr>
          <w:p>
            <w:pPr>
              <w:pStyle w:val="GesAbsatz"/>
              <w:jc w:val="center"/>
              <w:rPr>
                <w:sz w:val="18"/>
                <w:szCs w:val="18"/>
              </w:rPr>
            </w:pPr>
          </w:p>
        </w:tc>
        <w:tc>
          <w:tcPr>
            <w:tcW w:w="851" w:type="dxa"/>
            <w:tcBorders>
              <w:bottom w:val="nil"/>
            </w:tcBorders>
            <w:shd w:val="clear" w:color="auto" w:fill="auto"/>
          </w:tcPr>
          <w:p>
            <w:pPr>
              <w:pStyle w:val="GesAbsatz"/>
              <w:jc w:val="center"/>
              <w:rPr>
                <w:sz w:val="18"/>
                <w:szCs w:val="18"/>
              </w:rPr>
            </w:pPr>
            <w:r>
              <w:rPr>
                <w:sz w:val="18"/>
              </w:rPr>
              <w:t>1,58</w:t>
            </w:r>
            <w:r>
              <w:rPr>
                <w:sz w:val="18"/>
                <w:vertAlign w:val="superscript"/>
              </w:rPr>
              <w:t>b)</w:t>
            </w:r>
          </w:p>
        </w:tc>
        <w:tc>
          <w:tcPr>
            <w:tcW w:w="911" w:type="dxa"/>
            <w:vMerge w:val="restart"/>
            <w:shd w:val="clear" w:color="auto" w:fill="auto"/>
          </w:tcPr>
          <w:p>
            <w:pPr>
              <w:pStyle w:val="GesAbsatz"/>
              <w:rPr>
                <w:sz w:val="18"/>
                <w:szCs w:val="18"/>
              </w:rPr>
            </w:pPr>
          </w:p>
        </w:tc>
      </w:tr>
      <w:tr>
        <w:trPr>
          <w:tblHeader/>
        </w:trPr>
        <w:tc>
          <w:tcPr>
            <w:tcW w:w="534" w:type="dxa"/>
            <w:vMerge/>
            <w:shd w:val="clear" w:color="auto" w:fill="auto"/>
          </w:tcPr>
          <w:p>
            <w:pPr>
              <w:pStyle w:val="GesAbsatz"/>
              <w:rPr>
                <w:sz w:val="18"/>
              </w:rPr>
            </w:pPr>
          </w:p>
        </w:tc>
        <w:tc>
          <w:tcPr>
            <w:tcW w:w="2976" w:type="dxa"/>
            <w:vMerge/>
            <w:tcBorders>
              <w:bottom w:val="single" w:sz="4" w:space="0" w:color="auto"/>
            </w:tcBorders>
            <w:shd w:val="clear" w:color="auto" w:fill="auto"/>
          </w:tcPr>
          <w:p>
            <w:pPr>
              <w:pStyle w:val="GesAbsatz"/>
              <w:rPr>
                <w:sz w:val="18"/>
              </w:rPr>
            </w:pPr>
          </w:p>
        </w:tc>
        <w:tc>
          <w:tcPr>
            <w:tcW w:w="1984" w:type="dxa"/>
            <w:tcBorders>
              <w:top w:val="nil"/>
              <w:bottom w:val="single" w:sz="4" w:space="0" w:color="auto"/>
            </w:tcBorders>
            <w:shd w:val="clear" w:color="auto" w:fill="auto"/>
          </w:tcPr>
          <w:p>
            <w:pPr>
              <w:pStyle w:val="GesAbsatz"/>
              <w:rPr>
                <w:sz w:val="18"/>
              </w:rPr>
            </w:pPr>
            <w:r>
              <w:rPr>
                <w:sz w:val="18"/>
              </w:rPr>
              <w:t>DIN EN ISO 14596</w:t>
            </w:r>
          </w:p>
        </w:tc>
        <w:tc>
          <w:tcPr>
            <w:tcW w:w="709" w:type="dxa"/>
            <w:vMerge/>
            <w:tcBorders>
              <w:top w:val="nil"/>
              <w:bottom w:val="single" w:sz="4" w:space="0" w:color="auto"/>
            </w:tcBorders>
          </w:tcPr>
          <w:p>
            <w:pPr>
              <w:pStyle w:val="GesAbsatz"/>
              <w:jc w:val="center"/>
              <w:rPr>
                <w:sz w:val="18"/>
              </w:rPr>
            </w:pPr>
          </w:p>
        </w:tc>
        <w:tc>
          <w:tcPr>
            <w:tcW w:w="992" w:type="dxa"/>
            <w:vMerge/>
            <w:tcBorders>
              <w:top w:val="nil"/>
              <w:bottom w:val="single" w:sz="4" w:space="0" w:color="auto"/>
            </w:tcBorders>
            <w:shd w:val="clear" w:color="auto" w:fill="auto"/>
          </w:tcPr>
          <w:p>
            <w:pPr>
              <w:pStyle w:val="GesAbsatz"/>
              <w:jc w:val="center"/>
              <w:rPr>
                <w:sz w:val="18"/>
              </w:rPr>
            </w:pPr>
          </w:p>
        </w:tc>
        <w:tc>
          <w:tcPr>
            <w:tcW w:w="850" w:type="dxa"/>
            <w:vMerge/>
            <w:tcBorders>
              <w:top w:val="nil"/>
              <w:bottom w:val="single" w:sz="4" w:space="0" w:color="auto"/>
            </w:tcBorders>
            <w:shd w:val="clear" w:color="auto" w:fill="auto"/>
          </w:tcPr>
          <w:p>
            <w:pPr>
              <w:pStyle w:val="GesAbsatz"/>
              <w:jc w:val="center"/>
              <w:rPr>
                <w:sz w:val="18"/>
                <w:szCs w:val="18"/>
              </w:rPr>
            </w:pPr>
          </w:p>
        </w:tc>
        <w:tc>
          <w:tcPr>
            <w:tcW w:w="851" w:type="dxa"/>
            <w:tcBorders>
              <w:top w:val="nil"/>
              <w:bottom w:val="single" w:sz="4" w:space="0" w:color="auto"/>
            </w:tcBorders>
            <w:shd w:val="clear" w:color="auto" w:fill="auto"/>
          </w:tcPr>
          <w:p>
            <w:pPr>
              <w:pStyle w:val="GesAbsatz"/>
              <w:jc w:val="center"/>
              <w:rPr>
                <w:sz w:val="18"/>
              </w:rPr>
            </w:pPr>
            <w:r>
              <w:rPr>
                <w:sz w:val="18"/>
              </w:rPr>
              <w:t>1,52</w:t>
            </w:r>
            <w:r>
              <w:rPr>
                <w:sz w:val="18"/>
                <w:vertAlign w:val="superscript"/>
              </w:rPr>
              <w:t>b)</w:t>
            </w:r>
          </w:p>
        </w:tc>
        <w:tc>
          <w:tcPr>
            <w:tcW w:w="911" w:type="dxa"/>
            <w:vMerge/>
            <w:shd w:val="clear" w:color="auto" w:fill="auto"/>
          </w:tcPr>
          <w:p>
            <w:pPr>
              <w:pStyle w:val="GesAbsatz"/>
              <w:rPr>
                <w:sz w:val="18"/>
                <w:szCs w:val="18"/>
              </w:rPr>
            </w:pPr>
          </w:p>
        </w:tc>
      </w:tr>
    </w:tbl>
    <w:p>
      <w:pPr>
        <w:pStyle w:val="GesAbsatz"/>
      </w:pPr>
    </w:p>
    <w:p>
      <w:pPr>
        <w:pStyle w:val="GesAbsatz"/>
      </w:pPr>
      <w:r>
        <w:t>Anmerkungen:</w:t>
      </w:r>
    </w:p>
    <w:p>
      <w:pPr>
        <w:pStyle w:val="GesAbsatz"/>
      </w:pPr>
      <w:r>
        <w:t>a)</w:t>
      </w:r>
      <w:r>
        <w:tab/>
        <w:t>Abschnitt 7.3 aus DIN ISO 8217:2009 ist zu beachten.</w:t>
      </w:r>
    </w:p>
    <w:p>
      <w:pPr>
        <w:pStyle w:val="GesAbsatz"/>
        <w:ind w:left="426" w:hanging="426"/>
      </w:pPr>
      <w:r>
        <w:t>b)</w:t>
      </w:r>
      <w:r>
        <w:tab/>
        <w:t>Der Ablehnungsgrenzwert ist niedriger als der Grenzwert in der DIN ISO 8217. Der Grenzwert für den Gehalt an Schwefelverbindungen beträgt gemäß § 4 Absatz 4 der 10. BImSchV abweichend von der DIN ISO 8217 15 Gramm pro Kilogramm Schiffsdiesel.</w:t>
      </w:r>
    </w:p>
    <w:p>
      <w:pPr>
        <w:pStyle w:val="berschrift2"/>
        <w:jc w:val="left"/>
      </w:pPr>
      <w:bookmarkStart w:id="30" w:name="_Toc349111766"/>
      <w:r>
        <w:t>Anlage 20</w:t>
      </w:r>
      <w:bookmarkEnd w:id="30"/>
    </w:p>
    <w:p>
      <w:pPr>
        <w:pStyle w:val="GesAbsatz"/>
        <w:jc w:val="center"/>
        <w:rPr>
          <w:b/>
        </w:rPr>
      </w:pPr>
      <w:r>
        <w:rPr>
          <w:b/>
        </w:rPr>
        <w:t>I.</w:t>
      </w:r>
      <w:r>
        <w:rPr>
          <w:b/>
        </w:rPr>
        <w:br/>
        <w:t>Mindestzahl an Proben je Kraftstoffsorte und Zeitraum (Sommer, Winter)</w:t>
      </w:r>
      <w:r>
        <w:rPr>
          <w:b/>
        </w:rPr>
        <w:br/>
        <w:t>mit Marktanteilen von 10% und mehr nach DIN EN 14274, Ausgabe Mai 2004</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854"/>
        <w:gridCol w:w="2891"/>
      </w:tblGrid>
      <w:tr>
        <w:tc>
          <w:tcPr>
            <w:tcW w:w="3652" w:type="dxa"/>
            <w:shd w:val="clear" w:color="auto" w:fill="auto"/>
            <w:vAlign w:val="center"/>
          </w:tcPr>
          <w:p>
            <w:pPr>
              <w:pStyle w:val="GesAbsatz"/>
              <w:tabs>
                <w:tab w:val="clear" w:pos="425"/>
              </w:tabs>
              <w:jc w:val="center"/>
              <w:rPr>
                <w:sz w:val="18"/>
              </w:rPr>
            </w:pPr>
            <w:r>
              <w:rPr>
                <w:sz w:val="18"/>
              </w:rPr>
              <w:t>Bundesland</w:t>
            </w:r>
          </w:p>
        </w:tc>
        <w:tc>
          <w:tcPr>
            <w:tcW w:w="2854" w:type="dxa"/>
            <w:shd w:val="clear" w:color="auto" w:fill="auto"/>
          </w:tcPr>
          <w:p>
            <w:pPr>
              <w:pStyle w:val="GesAbsatz"/>
              <w:tabs>
                <w:tab w:val="clear" w:pos="425"/>
              </w:tabs>
              <w:jc w:val="center"/>
              <w:rPr>
                <w:sz w:val="18"/>
              </w:rPr>
            </w:pPr>
            <w:r>
              <w:rPr>
                <w:sz w:val="18"/>
              </w:rPr>
              <w:t>Mindestzahl an Proben je Ott</w:t>
            </w:r>
            <w:r>
              <w:rPr>
                <w:sz w:val="18"/>
              </w:rPr>
              <w:t>o</w:t>
            </w:r>
            <w:r>
              <w:rPr>
                <w:sz w:val="18"/>
              </w:rPr>
              <w:t>kraftstoffsorte mit Au</w:t>
            </w:r>
            <w:r>
              <w:rPr>
                <w:sz w:val="18"/>
              </w:rPr>
              <w:t>s</w:t>
            </w:r>
            <w:r>
              <w:rPr>
                <w:sz w:val="18"/>
              </w:rPr>
              <w:t>nahme von Super Plus schwefelfrei ROZ 98</w:t>
            </w:r>
          </w:p>
        </w:tc>
        <w:tc>
          <w:tcPr>
            <w:tcW w:w="2891" w:type="dxa"/>
            <w:shd w:val="clear" w:color="auto" w:fill="auto"/>
            <w:vAlign w:val="center"/>
          </w:tcPr>
          <w:p>
            <w:pPr>
              <w:pStyle w:val="GesAbsatz"/>
              <w:tabs>
                <w:tab w:val="clear" w:pos="425"/>
              </w:tabs>
              <w:jc w:val="center"/>
              <w:rPr>
                <w:sz w:val="18"/>
              </w:rPr>
            </w:pPr>
            <w:r>
              <w:rPr>
                <w:sz w:val="18"/>
              </w:rPr>
              <w:t>Mindestzahl an Proben je Di</w:t>
            </w:r>
            <w:r>
              <w:rPr>
                <w:sz w:val="18"/>
              </w:rPr>
              <w:t>e</w:t>
            </w:r>
            <w:r>
              <w:rPr>
                <w:sz w:val="18"/>
              </w:rPr>
              <w:t>selkraftstoffsorte</w:t>
            </w:r>
          </w:p>
        </w:tc>
      </w:tr>
      <w:tr>
        <w:tc>
          <w:tcPr>
            <w:tcW w:w="3652" w:type="dxa"/>
            <w:shd w:val="clear" w:color="auto" w:fill="auto"/>
          </w:tcPr>
          <w:p>
            <w:pPr>
              <w:pStyle w:val="GesAbsatz"/>
              <w:tabs>
                <w:tab w:val="clear" w:pos="425"/>
              </w:tabs>
              <w:rPr>
                <w:sz w:val="18"/>
              </w:rPr>
            </w:pPr>
            <w:r>
              <w:rPr>
                <w:sz w:val="18"/>
              </w:rPr>
              <w:t>Baden-Württemberg</w:t>
            </w:r>
          </w:p>
        </w:tc>
        <w:tc>
          <w:tcPr>
            <w:tcW w:w="2854" w:type="dxa"/>
            <w:shd w:val="clear" w:color="auto" w:fill="auto"/>
          </w:tcPr>
          <w:p>
            <w:pPr>
              <w:pStyle w:val="GesAbsatz"/>
              <w:tabs>
                <w:tab w:val="clear" w:pos="425"/>
              </w:tabs>
              <w:jc w:val="center"/>
              <w:rPr>
                <w:sz w:val="18"/>
              </w:rPr>
            </w:pPr>
            <w:r>
              <w:rPr>
                <w:sz w:val="18"/>
              </w:rPr>
              <w:t>27</w:t>
            </w:r>
          </w:p>
        </w:tc>
        <w:tc>
          <w:tcPr>
            <w:tcW w:w="2891" w:type="dxa"/>
            <w:shd w:val="clear" w:color="auto" w:fill="auto"/>
          </w:tcPr>
          <w:p>
            <w:pPr>
              <w:pStyle w:val="GesAbsatz"/>
              <w:tabs>
                <w:tab w:val="clear" w:pos="425"/>
              </w:tabs>
              <w:jc w:val="center"/>
              <w:rPr>
                <w:sz w:val="18"/>
              </w:rPr>
            </w:pPr>
            <w:r>
              <w:rPr>
                <w:sz w:val="18"/>
              </w:rPr>
              <w:t>25</w:t>
            </w:r>
          </w:p>
        </w:tc>
      </w:tr>
      <w:tr>
        <w:tc>
          <w:tcPr>
            <w:tcW w:w="3652" w:type="dxa"/>
            <w:shd w:val="clear" w:color="auto" w:fill="auto"/>
          </w:tcPr>
          <w:p>
            <w:pPr>
              <w:pStyle w:val="GesAbsatz"/>
              <w:tabs>
                <w:tab w:val="clear" w:pos="425"/>
              </w:tabs>
              <w:rPr>
                <w:sz w:val="18"/>
              </w:rPr>
            </w:pPr>
            <w:r>
              <w:rPr>
                <w:sz w:val="18"/>
              </w:rPr>
              <w:t>Bayern</w:t>
            </w:r>
          </w:p>
        </w:tc>
        <w:tc>
          <w:tcPr>
            <w:tcW w:w="2854" w:type="dxa"/>
            <w:shd w:val="clear" w:color="auto" w:fill="auto"/>
          </w:tcPr>
          <w:p>
            <w:pPr>
              <w:pStyle w:val="GesAbsatz"/>
              <w:tabs>
                <w:tab w:val="clear" w:pos="425"/>
              </w:tabs>
              <w:jc w:val="center"/>
              <w:rPr>
                <w:sz w:val="18"/>
              </w:rPr>
            </w:pPr>
            <w:r>
              <w:rPr>
                <w:sz w:val="18"/>
              </w:rPr>
              <w:t>34</w:t>
            </w:r>
          </w:p>
        </w:tc>
        <w:tc>
          <w:tcPr>
            <w:tcW w:w="2891" w:type="dxa"/>
            <w:shd w:val="clear" w:color="auto" w:fill="auto"/>
          </w:tcPr>
          <w:p>
            <w:pPr>
              <w:pStyle w:val="GesAbsatz"/>
              <w:tabs>
                <w:tab w:val="clear" w:pos="425"/>
              </w:tabs>
              <w:jc w:val="center"/>
              <w:rPr>
                <w:sz w:val="18"/>
              </w:rPr>
            </w:pPr>
            <w:r>
              <w:rPr>
                <w:sz w:val="18"/>
              </w:rPr>
              <w:t>35</w:t>
            </w:r>
          </w:p>
        </w:tc>
      </w:tr>
      <w:tr>
        <w:tc>
          <w:tcPr>
            <w:tcW w:w="3652" w:type="dxa"/>
            <w:shd w:val="clear" w:color="auto" w:fill="auto"/>
          </w:tcPr>
          <w:p>
            <w:pPr>
              <w:pStyle w:val="GesAbsatz"/>
              <w:tabs>
                <w:tab w:val="clear" w:pos="425"/>
              </w:tabs>
              <w:rPr>
                <w:sz w:val="18"/>
              </w:rPr>
            </w:pPr>
            <w:r>
              <w:rPr>
                <w:sz w:val="18"/>
              </w:rPr>
              <w:t>Berlin</w:t>
            </w:r>
          </w:p>
        </w:tc>
        <w:tc>
          <w:tcPr>
            <w:tcW w:w="2854" w:type="dxa"/>
            <w:shd w:val="clear" w:color="auto" w:fill="auto"/>
          </w:tcPr>
          <w:p>
            <w:pPr>
              <w:pStyle w:val="GesAbsatz"/>
              <w:tabs>
                <w:tab w:val="clear" w:pos="425"/>
              </w:tabs>
              <w:jc w:val="center"/>
              <w:rPr>
                <w:sz w:val="18"/>
              </w:rPr>
            </w:pPr>
            <w:r>
              <w:rPr>
                <w:sz w:val="18"/>
              </w:rPr>
              <w:t>5</w:t>
            </w:r>
          </w:p>
        </w:tc>
        <w:tc>
          <w:tcPr>
            <w:tcW w:w="2891" w:type="dxa"/>
            <w:shd w:val="clear" w:color="auto" w:fill="auto"/>
          </w:tcPr>
          <w:p>
            <w:pPr>
              <w:pStyle w:val="GesAbsatz"/>
              <w:tabs>
                <w:tab w:val="clear" w:pos="425"/>
              </w:tabs>
              <w:jc w:val="center"/>
              <w:rPr>
                <w:sz w:val="18"/>
              </w:rPr>
            </w:pPr>
            <w:r>
              <w:rPr>
                <w:sz w:val="18"/>
              </w:rPr>
              <w:t>4</w:t>
            </w:r>
          </w:p>
        </w:tc>
      </w:tr>
      <w:tr>
        <w:tc>
          <w:tcPr>
            <w:tcW w:w="3652" w:type="dxa"/>
            <w:shd w:val="clear" w:color="auto" w:fill="auto"/>
          </w:tcPr>
          <w:p>
            <w:pPr>
              <w:pStyle w:val="GesAbsatz"/>
              <w:tabs>
                <w:tab w:val="clear" w:pos="425"/>
              </w:tabs>
              <w:rPr>
                <w:sz w:val="18"/>
              </w:rPr>
            </w:pPr>
            <w:r>
              <w:rPr>
                <w:sz w:val="18"/>
              </w:rPr>
              <w:t>Brandenburg</w:t>
            </w:r>
          </w:p>
        </w:tc>
        <w:tc>
          <w:tcPr>
            <w:tcW w:w="2854" w:type="dxa"/>
            <w:shd w:val="clear" w:color="auto" w:fill="auto"/>
          </w:tcPr>
          <w:p>
            <w:pPr>
              <w:pStyle w:val="GesAbsatz"/>
              <w:tabs>
                <w:tab w:val="clear" w:pos="425"/>
              </w:tabs>
              <w:jc w:val="center"/>
              <w:rPr>
                <w:sz w:val="18"/>
              </w:rPr>
            </w:pPr>
            <w:r>
              <w:rPr>
                <w:sz w:val="18"/>
              </w:rPr>
              <w:t>6</w:t>
            </w:r>
          </w:p>
        </w:tc>
        <w:tc>
          <w:tcPr>
            <w:tcW w:w="2891" w:type="dxa"/>
            <w:shd w:val="clear" w:color="auto" w:fill="auto"/>
          </w:tcPr>
          <w:p>
            <w:pPr>
              <w:pStyle w:val="GesAbsatz"/>
              <w:tabs>
                <w:tab w:val="clear" w:pos="425"/>
              </w:tabs>
              <w:jc w:val="center"/>
              <w:rPr>
                <w:sz w:val="18"/>
              </w:rPr>
            </w:pPr>
            <w:r>
              <w:rPr>
                <w:sz w:val="18"/>
              </w:rPr>
              <w:t>7</w:t>
            </w:r>
          </w:p>
        </w:tc>
      </w:tr>
      <w:tr>
        <w:tc>
          <w:tcPr>
            <w:tcW w:w="3652" w:type="dxa"/>
            <w:shd w:val="clear" w:color="auto" w:fill="auto"/>
          </w:tcPr>
          <w:p>
            <w:pPr>
              <w:pStyle w:val="GesAbsatz"/>
              <w:tabs>
                <w:tab w:val="clear" w:pos="425"/>
              </w:tabs>
              <w:rPr>
                <w:sz w:val="18"/>
              </w:rPr>
            </w:pPr>
            <w:r>
              <w:rPr>
                <w:sz w:val="18"/>
              </w:rPr>
              <w:t>Bremen</w:t>
            </w:r>
          </w:p>
        </w:tc>
        <w:tc>
          <w:tcPr>
            <w:tcW w:w="2854" w:type="dxa"/>
            <w:shd w:val="clear" w:color="auto" w:fill="auto"/>
          </w:tcPr>
          <w:p>
            <w:pPr>
              <w:pStyle w:val="GesAbsatz"/>
              <w:tabs>
                <w:tab w:val="clear" w:pos="425"/>
              </w:tabs>
              <w:jc w:val="center"/>
              <w:rPr>
                <w:sz w:val="18"/>
              </w:rPr>
            </w:pPr>
          </w:p>
        </w:tc>
        <w:tc>
          <w:tcPr>
            <w:tcW w:w="2891" w:type="dxa"/>
            <w:shd w:val="clear" w:color="auto" w:fill="auto"/>
          </w:tcPr>
          <w:p>
            <w:pPr>
              <w:pStyle w:val="GesAbsatz"/>
              <w:tabs>
                <w:tab w:val="clear" w:pos="425"/>
              </w:tabs>
              <w:jc w:val="center"/>
              <w:rPr>
                <w:sz w:val="18"/>
              </w:rPr>
            </w:pPr>
            <w:r>
              <w:rPr>
                <w:sz w:val="18"/>
              </w:rPr>
              <w:t>1</w:t>
            </w:r>
          </w:p>
        </w:tc>
      </w:tr>
      <w:tr>
        <w:tc>
          <w:tcPr>
            <w:tcW w:w="3652" w:type="dxa"/>
            <w:shd w:val="clear" w:color="auto" w:fill="auto"/>
          </w:tcPr>
          <w:p>
            <w:pPr>
              <w:pStyle w:val="GesAbsatz"/>
              <w:tabs>
                <w:tab w:val="clear" w:pos="425"/>
              </w:tabs>
              <w:rPr>
                <w:sz w:val="18"/>
              </w:rPr>
            </w:pPr>
            <w:r>
              <w:rPr>
                <w:sz w:val="18"/>
              </w:rPr>
              <w:t>Hamburg</w:t>
            </w:r>
          </w:p>
        </w:tc>
        <w:tc>
          <w:tcPr>
            <w:tcW w:w="2854" w:type="dxa"/>
            <w:shd w:val="clear" w:color="auto" w:fill="auto"/>
          </w:tcPr>
          <w:p>
            <w:pPr>
              <w:pStyle w:val="GesAbsatz"/>
              <w:tabs>
                <w:tab w:val="clear" w:pos="425"/>
              </w:tabs>
              <w:jc w:val="center"/>
              <w:rPr>
                <w:sz w:val="18"/>
              </w:rPr>
            </w:pPr>
            <w:r>
              <w:rPr>
                <w:sz w:val="18"/>
              </w:rPr>
              <w:t>3</w:t>
            </w:r>
          </w:p>
        </w:tc>
        <w:tc>
          <w:tcPr>
            <w:tcW w:w="2891" w:type="dxa"/>
            <w:shd w:val="clear" w:color="auto" w:fill="auto"/>
          </w:tcPr>
          <w:p>
            <w:pPr>
              <w:pStyle w:val="GesAbsatz"/>
              <w:tabs>
                <w:tab w:val="clear" w:pos="425"/>
              </w:tabs>
              <w:jc w:val="center"/>
              <w:rPr>
                <w:sz w:val="18"/>
              </w:rPr>
            </w:pPr>
            <w:r>
              <w:rPr>
                <w:sz w:val="18"/>
              </w:rPr>
              <w:t>4</w:t>
            </w:r>
          </w:p>
        </w:tc>
      </w:tr>
      <w:tr>
        <w:tc>
          <w:tcPr>
            <w:tcW w:w="3652" w:type="dxa"/>
            <w:shd w:val="clear" w:color="auto" w:fill="auto"/>
          </w:tcPr>
          <w:p>
            <w:pPr>
              <w:pStyle w:val="GesAbsatz"/>
              <w:tabs>
                <w:tab w:val="clear" w:pos="425"/>
              </w:tabs>
              <w:rPr>
                <w:sz w:val="18"/>
              </w:rPr>
            </w:pPr>
            <w:r>
              <w:rPr>
                <w:sz w:val="18"/>
              </w:rPr>
              <w:t>Hessen</w:t>
            </w:r>
          </w:p>
        </w:tc>
        <w:tc>
          <w:tcPr>
            <w:tcW w:w="2854" w:type="dxa"/>
            <w:shd w:val="clear" w:color="auto" w:fill="auto"/>
          </w:tcPr>
          <w:p>
            <w:pPr>
              <w:pStyle w:val="GesAbsatz"/>
              <w:tabs>
                <w:tab w:val="clear" w:pos="425"/>
              </w:tabs>
              <w:jc w:val="center"/>
              <w:rPr>
                <w:sz w:val="18"/>
              </w:rPr>
            </w:pPr>
            <w:r>
              <w:rPr>
                <w:sz w:val="18"/>
              </w:rPr>
              <w:t>17</w:t>
            </w:r>
          </w:p>
        </w:tc>
        <w:tc>
          <w:tcPr>
            <w:tcW w:w="2891" w:type="dxa"/>
            <w:shd w:val="clear" w:color="auto" w:fill="auto"/>
          </w:tcPr>
          <w:p>
            <w:pPr>
              <w:pStyle w:val="GesAbsatz"/>
              <w:tabs>
                <w:tab w:val="clear" w:pos="425"/>
              </w:tabs>
              <w:jc w:val="center"/>
              <w:rPr>
                <w:sz w:val="18"/>
              </w:rPr>
            </w:pPr>
            <w:r>
              <w:rPr>
                <w:sz w:val="18"/>
              </w:rPr>
              <w:t>15</w:t>
            </w:r>
          </w:p>
        </w:tc>
      </w:tr>
      <w:tr>
        <w:tc>
          <w:tcPr>
            <w:tcW w:w="3652" w:type="dxa"/>
            <w:shd w:val="clear" w:color="auto" w:fill="auto"/>
          </w:tcPr>
          <w:p>
            <w:pPr>
              <w:pStyle w:val="GesAbsatz"/>
              <w:tabs>
                <w:tab w:val="clear" w:pos="425"/>
              </w:tabs>
              <w:rPr>
                <w:sz w:val="18"/>
              </w:rPr>
            </w:pPr>
            <w:r>
              <w:rPr>
                <w:sz w:val="18"/>
              </w:rPr>
              <w:t>Mecklenburg-Vorpommern</w:t>
            </w:r>
          </w:p>
        </w:tc>
        <w:tc>
          <w:tcPr>
            <w:tcW w:w="2854" w:type="dxa"/>
            <w:shd w:val="clear" w:color="auto" w:fill="auto"/>
          </w:tcPr>
          <w:p>
            <w:pPr>
              <w:pStyle w:val="GesAbsatz"/>
              <w:tabs>
                <w:tab w:val="clear" w:pos="425"/>
              </w:tabs>
              <w:jc w:val="center"/>
              <w:rPr>
                <w:sz w:val="18"/>
              </w:rPr>
            </w:pPr>
            <w:r>
              <w:rPr>
                <w:sz w:val="18"/>
              </w:rPr>
              <w:t>4</w:t>
            </w:r>
          </w:p>
        </w:tc>
        <w:tc>
          <w:tcPr>
            <w:tcW w:w="2891" w:type="dxa"/>
            <w:shd w:val="clear" w:color="auto" w:fill="auto"/>
          </w:tcPr>
          <w:p>
            <w:pPr>
              <w:pStyle w:val="GesAbsatz"/>
              <w:tabs>
                <w:tab w:val="clear" w:pos="425"/>
              </w:tabs>
              <w:jc w:val="center"/>
              <w:rPr>
                <w:sz w:val="18"/>
              </w:rPr>
            </w:pPr>
            <w:r>
              <w:rPr>
                <w:sz w:val="18"/>
              </w:rPr>
              <w:t>5</w:t>
            </w:r>
          </w:p>
        </w:tc>
      </w:tr>
      <w:tr>
        <w:tc>
          <w:tcPr>
            <w:tcW w:w="3652" w:type="dxa"/>
            <w:shd w:val="clear" w:color="auto" w:fill="auto"/>
          </w:tcPr>
          <w:p>
            <w:pPr>
              <w:pStyle w:val="GesAbsatz"/>
              <w:tabs>
                <w:tab w:val="clear" w:pos="425"/>
              </w:tabs>
              <w:rPr>
                <w:sz w:val="18"/>
              </w:rPr>
            </w:pPr>
            <w:r>
              <w:rPr>
                <w:sz w:val="18"/>
              </w:rPr>
              <w:t>Niedersachsen</w:t>
            </w:r>
          </w:p>
        </w:tc>
        <w:tc>
          <w:tcPr>
            <w:tcW w:w="2854" w:type="dxa"/>
            <w:shd w:val="clear" w:color="auto" w:fill="auto"/>
          </w:tcPr>
          <w:p>
            <w:pPr>
              <w:pStyle w:val="GesAbsatz"/>
              <w:tabs>
                <w:tab w:val="clear" w:pos="425"/>
              </w:tabs>
              <w:jc w:val="center"/>
              <w:rPr>
                <w:sz w:val="18"/>
              </w:rPr>
            </w:pPr>
            <w:r>
              <w:rPr>
                <w:sz w:val="18"/>
              </w:rPr>
              <w:t>20</w:t>
            </w:r>
          </w:p>
        </w:tc>
        <w:tc>
          <w:tcPr>
            <w:tcW w:w="2891" w:type="dxa"/>
            <w:shd w:val="clear" w:color="auto" w:fill="auto"/>
          </w:tcPr>
          <w:p>
            <w:pPr>
              <w:pStyle w:val="GesAbsatz"/>
              <w:tabs>
                <w:tab w:val="clear" w:pos="425"/>
              </w:tabs>
              <w:jc w:val="center"/>
              <w:rPr>
                <w:sz w:val="18"/>
              </w:rPr>
            </w:pPr>
            <w:r>
              <w:rPr>
                <w:sz w:val="18"/>
              </w:rPr>
              <w:t>22</w:t>
            </w:r>
          </w:p>
        </w:tc>
      </w:tr>
      <w:tr>
        <w:tc>
          <w:tcPr>
            <w:tcW w:w="3652" w:type="dxa"/>
            <w:shd w:val="clear" w:color="auto" w:fill="auto"/>
          </w:tcPr>
          <w:p>
            <w:pPr>
              <w:pStyle w:val="GesAbsatz"/>
              <w:tabs>
                <w:tab w:val="clear" w:pos="425"/>
              </w:tabs>
              <w:rPr>
                <w:sz w:val="18"/>
              </w:rPr>
            </w:pPr>
            <w:r>
              <w:rPr>
                <w:sz w:val="18"/>
              </w:rPr>
              <w:t>Nordrhein-Westfalen</w:t>
            </w:r>
          </w:p>
        </w:tc>
        <w:tc>
          <w:tcPr>
            <w:tcW w:w="2854" w:type="dxa"/>
            <w:shd w:val="clear" w:color="auto" w:fill="auto"/>
          </w:tcPr>
          <w:p>
            <w:pPr>
              <w:pStyle w:val="GesAbsatz"/>
              <w:tabs>
                <w:tab w:val="clear" w:pos="425"/>
              </w:tabs>
              <w:jc w:val="center"/>
              <w:rPr>
                <w:sz w:val="18"/>
              </w:rPr>
            </w:pPr>
            <w:r>
              <w:rPr>
                <w:sz w:val="18"/>
              </w:rPr>
              <w:t>43</w:t>
            </w:r>
          </w:p>
        </w:tc>
        <w:tc>
          <w:tcPr>
            <w:tcW w:w="2891" w:type="dxa"/>
            <w:shd w:val="clear" w:color="auto" w:fill="auto"/>
          </w:tcPr>
          <w:p>
            <w:pPr>
              <w:pStyle w:val="GesAbsatz"/>
              <w:tabs>
                <w:tab w:val="clear" w:pos="425"/>
              </w:tabs>
              <w:jc w:val="center"/>
              <w:rPr>
                <w:sz w:val="18"/>
              </w:rPr>
            </w:pPr>
            <w:r>
              <w:rPr>
                <w:sz w:val="18"/>
              </w:rPr>
              <w:t>39</w:t>
            </w:r>
          </w:p>
        </w:tc>
      </w:tr>
      <w:tr>
        <w:tc>
          <w:tcPr>
            <w:tcW w:w="3652" w:type="dxa"/>
            <w:shd w:val="clear" w:color="auto" w:fill="auto"/>
          </w:tcPr>
          <w:p>
            <w:pPr>
              <w:pStyle w:val="GesAbsatz"/>
              <w:tabs>
                <w:tab w:val="clear" w:pos="425"/>
              </w:tabs>
              <w:rPr>
                <w:sz w:val="18"/>
              </w:rPr>
            </w:pPr>
            <w:r>
              <w:rPr>
                <w:sz w:val="18"/>
              </w:rPr>
              <w:t>Rheinland-Pfalz</w:t>
            </w:r>
          </w:p>
        </w:tc>
        <w:tc>
          <w:tcPr>
            <w:tcW w:w="2854" w:type="dxa"/>
            <w:shd w:val="clear" w:color="auto" w:fill="auto"/>
          </w:tcPr>
          <w:p>
            <w:pPr>
              <w:pStyle w:val="GesAbsatz"/>
              <w:tabs>
                <w:tab w:val="clear" w:pos="425"/>
              </w:tabs>
              <w:jc w:val="center"/>
              <w:rPr>
                <w:sz w:val="18"/>
              </w:rPr>
            </w:pPr>
            <w:r>
              <w:rPr>
                <w:sz w:val="18"/>
              </w:rPr>
              <w:t>11</w:t>
            </w:r>
          </w:p>
        </w:tc>
        <w:tc>
          <w:tcPr>
            <w:tcW w:w="2891" w:type="dxa"/>
            <w:shd w:val="clear" w:color="auto" w:fill="auto"/>
          </w:tcPr>
          <w:p>
            <w:pPr>
              <w:pStyle w:val="GesAbsatz"/>
              <w:tabs>
                <w:tab w:val="clear" w:pos="425"/>
              </w:tabs>
              <w:jc w:val="center"/>
              <w:rPr>
                <w:sz w:val="18"/>
              </w:rPr>
            </w:pPr>
            <w:r>
              <w:rPr>
                <w:sz w:val="18"/>
              </w:rPr>
              <w:t>10</w:t>
            </w:r>
          </w:p>
        </w:tc>
      </w:tr>
      <w:tr>
        <w:tc>
          <w:tcPr>
            <w:tcW w:w="3652" w:type="dxa"/>
            <w:shd w:val="clear" w:color="auto" w:fill="auto"/>
          </w:tcPr>
          <w:p>
            <w:pPr>
              <w:pStyle w:val="GesAbsatz"/>
              <w:tabs>
                <w:tab w:val="clear" w:pos="425"/>
              </w:tabs>
              <w:rPr>
                <w:sz w:val="18"/>
              </w:rPr>
            </w:pPr>
            <w:r>
              <w:rPr>
                <w:sz w:val="18"/>
              </w:rPr>
              <w:t>Saarland</w:t>
            </w:r>
          </w:p>
        </w:tc>
        <w:tc>
          <w:tcPr>
            <w:tcW w:w="2854" w:type="dxa"/>
            <w:shd w:val="clear" w:color="auto" w:fill="auto"/>
          </w:tcPr>
          <w:p>
            <w:pPr>
              <w:pStyle w:val="GesAbsatz"/>
              <w:tabs>
                <w:tab w:val="clear" w:pos="425"/>
              </w:tabs>
              <w:jc w:val="center"/>
              <w:rPr>
                <w:sz w:val="18"/>
              </w:rPr>
            </w:pPr>
            <w:r>
              <w:rPr>
                <w:sz w:val="18"/>
              </w:rPr>
              <w:t>3</w:t>
            </w:r>
          </w:p>
        </w:tc>
        <w:tc>
          <w:tcPr>
            <w:tcW w:w="2891" w:type="dxa"/>
            <w:shd w:val="clear" w:color="auto" w:fill="auto"/>
          </w:tcPr>
          <w:p>
            <w:pPr>
              <w:pStyle w:val="GesAbsatz"/>
              <w:tabs>
                <w:tab w:val="clear" w:pos="425"/>
              </w:tabs>
              <w:jc w:val="center"/>
              <w:rPr>
                <w:sz w:val="18"/>
              </w:rPr>
            </w:pPr>
            <w:r>
              <w:rPr>
                <w:sz w:val="18"/>
              </w:rPr>
              <w:t>2</w:t>
            </w:r>
          </w:p>
        </w:tc>
      </w:tr>
      <w:tr>
        <w:tc>
          <w:tcPr>
            <w:tcW w:w="3652" w:type="dxa"/>
            <w:shd w:val="clear" w:color="auto" w:fill="auto"/>
          </w:tcPr>
          <w:p>
            <w:pPr>
              <w:pStyle w:val="GesAbsatz"/>
              <w:tabs>
                <w:tab w:val="clear" w:pos="425"/>
              </w:tabs>
              <w:rPr>
                <w:sz w:val="18"/>
              </w:rPr>
            </w:pPr>
            <w:r>
              <w:rPr>
                <w:sz w:val="18"/>
              </w:rPr>
              <w:t>Sachsen</w:t>
            </w:r>
          </w:p>
        </w:tc>
        <w:tc>
          <w:tcPr>
            <w:tcW w:w="2854" w:type="dxa"/>
            <w:shd w:val="clear" w:color="auto" w:fill="auto"/>
          </w:tcPr>
          <w:p>
            <w:pPr>
              <w:pStyle w:val="GesAbsatz"/>
              <w:tabs>
                <w:tab w:val="clear" w:pos="425"/>
              </w:tabs>
              <w:jc w:val="center"/>
              <w:rPr>
                <w:sz w:val="18"/>
              </w:rPr>
            </w:pPr>
            <w:r>
              <w:rPr>
                <w:sz w:val="18"/>
              </w:rPr>
              <w:t>9</w:t>
            </w:r>
          </w:p>
        </w:tc>
        <w:tc>
          <w:tcPr>
            <w:tcW w:w="2891" w:type="dxa"/>
            <w:shd w:val="clear" w:color="auto" w:fill="auto"/>
          </w:tcPr>
          <w:p>
            <w:pPr>
              <w:pStyle w:val="GesAbsatz"/>
              <w:tabs>
                <w:tab w:val="clear" w:pos="425"/>
              </w:tabs>
              <w:jc w:val="center"/>
              <w:rPr>
                <w:sz w:val="18"/>
              </w:rPr>
            </w:pPr>
            <w:r>
              <w:rPr>
                <w:sz w:val="18"/>
              </w:rPr>
              <w:t>8</w:t>
            </w:r>
          </w:p>
        </w:tc>
      </w:tr>
      <w:tr>
        <w:tc>
          <w:tcPr>
            <w:tcW w:w="3652" w:type="dxa"/>
            <w:shd w:val="clear" w:color="auto" w:fill="auto"/>
          </w:tcPr>
          <w:p>
            <w:pPr>
              <w:pStyle w:val="GesAbsatz"/>
              <w:tabs>
                <w:tab w:val="clear" w:pos="425"/>
              </w:tabs>
              <w:rPr>
                <w:sz w:val="18"/>
              </w:rPr>
            </w:pPr>
            <w:r>
              <w:rPr>
                <w:sz w:val="18"/>
              </w:rPr>
              <w:t>Sachsen-Anhalt</w:t>
            </w:r>
          </w:p>
        </w:tc>
        <w:tc>
          <w:tcPr>
            <w:tcW w:w="2854" w:type="dxa"/>
            <w:shd w:val="clear" w:color="auto" w:fill="auto"/>
          </w:tcPr>
          <w:p>
            <w:pPr>
              <w:pStyle w:val="GesAbsatz"/>
              <w:tabs>
                <w:tab w:val="clear" w:pos="425"/>
              </w:tabs>
              <w:jc w:val="center"/>
              <w:rPr>
                <w:sz w:val="18"/>
              </w:rPr>
            </w:pPr>
            <w:r>
              <w:rPr>
                <w:sz w:val="18"/>
              </w:rPr>
              <w:t>5</w:t>
            </w:r>
          </w:p>
        </w:tc>
        <w:tc>
          <w:tcPr>
            <w:tcW w:w="2891" w:type="dxa"/>
            <w:shd w:val="clear" w:color="auto" w:fill="auto"/>
          </w:tcPr>
          <w:p>
            <w:pPr>
              <w:pStyle w:val="GesAbsatz"/>
              <w:tabs>
                <w:tab w:val="clear" w:pos="425"/>
              </w:tabs>
              <w:jc w:val="center"/>
              <w:rPr>
                <w:sz w:val="18"/>
              </w:rPr>
            </w:pPr>
            <w:r>
              <w:rPr>
                <w:sz w:val="18"/>
              </w:rPr>
              <w:t>6</w:t>
            </w:r>
          </w:p>
        </w:tc>
      </w:tr>
      <w:tr>
        <w:tc>
          <w:tcPr>
            <w:tcW w:w="3652" w:type="dxa"/>
            <w:shd w:val="clear" w:color="auto" w:fill="auto"/>
          </w:tcPr>
          <w:p>
            <w:pPr>
              <w:pStyle w:val="GesAbsatz"/>
              <w:tabs>
                <w:tab w:val="clear" w:pos="425"/>
              </w:tabs>
              <w:rPr>
                <w:sz w:val="18"/>
              </w:rPr>
            </w:pPr>
            <w:r>
              <w:rPr>
                <w:sz w:val="18"/>
              </w:rPr>
              <w:t>Schleswig-Holstein</w:t>
            </w:r>
          </w:p>
        </w:tc>
        <w:tc>
          <w:tcPr>
            <w:tcW w:w="2854" w:type="dxa"/>
            <w:shd w:val="clear" w:color="auto" w:fill="auto"/>
          </w:tcPr>
          <w:p>
            <w:pPr>
              <w:pStyle w:val="GesAbsatz"/>
              <w:tabs>
                <w:tab w:val="clear" w:pos="425"/>
              </w:tabs>
              <w:jc w:val="center"/>
              <w:rPr>
                <w:sz w:val="18"/>
              </w:rPr>
            </w:pPr>
            <w:r>
              <w:rPr>
                <w:sz w:val="18"/>
              </w:rPr>
              <w:t>7</w:t>
            </w:r>
          </w:p>
        </w:tc>
        <w:tc>
          <w:tcPr>
            <w:tcW w:w="2891" w:type="dxa"/>
            <w:shd w:val="clear" w:color="auto" w:fill="auto"/>
          </w:tcPr>
          <w:p>
            <w:pPr>
              <w:pStyle w:val="GesAbsatz"/>
              <w:tabs>
                <w:tab w:val="clear" w:pos="425"/>
              </w:tabs>
              <w:jc w:val="center"/>
              <w:rPr>
                <w:sz w:val="18"/>
              </w:rPr>
            </w:pPr>
            <w:r>
              <w:rPr>
                <w:sz w:val="18"/>
              </w:rPr>
              <w:t>8</w:t>
            </w:r>
          </w:p>
        </w:tc>
      </w:tr>
      <w:tr>
        <w:tc>
          <w:tcPr>
            <w:tcW w:w="3652" w:type="dxa"/>
            <w:shd w:val="clear" w:color="auto" w:fill="auto"/>
          </w:tcPr>
          <w:p>
            <w:pPr>
              <w:pStyle w:val="GesAbsatz"/>
              <w:tabs>
                <w:tab w:val="clear" w:pos="425"/>
              </w:tabs>
              <w:rPr>
                <w:sz w:val="18"/>
              </w:rPr>
            </w:pPr>
            <w:r>
              <w:rPr>
                <w:sz w:val="18"/>
              </w:rPr>
              <w:t>Thüringen</w:t>
            </w:r>
          </w:p>
        </w:tc>
        <w:tc>
          <w:tcPr>
            <w:tcW w:w="2854" w:type="dxa"/>
            <w:shd w:val="clear" w:color="auto" w:fill="auto"/>
          </w:tcPr>
          <w:p>
            <w:pPr>
              <w:pStyle w:val="GesAbsatz"/>
              <w:tabs>
                <w:tab w:val="clear" w:pos="425"/>
              </w:tabs>
              <w:jc w:val="center"/>
              <w:rPr>
                <w:sz w:val="18"/>
              </w:rPr>
            </w:pPr>
            <w:r>
              <w:rPr>
                <w:sz w:val="18"/>
              </w:rPr>
              <w:t>5</w:t>
            </w:r>
          </w:p>
        </w:tc>
        <w:tc>
          <w:tcPr>
            <w:tcW w:w="2891" w:type="dxa"/>
            <w:shd w:val="clear" w:color="auto" w:fill="auto"/>
          </w:tcPr>
          <w:p>
            <w:pPr>
              <w:pStyle w:val="GesAbsatz"/>
              <w:tabs>
                <w:tab w:val="clear" w:pos="425"/>
              </w:tabs>
              <w:jc w:val="center"/>
              <w:rPr>
                <w:sz w:val="18"/>
              </w:rPr>
            </w:pPr>
            <w:r>
              <w:rPr>
                <w:sz w:val="18"/>
              </w:rPr>
              <w:t>6</w:t>
            </w:r>
          </w:p>
        </w:tc>
      </w:tr>
      <w:tr>
        <w:tc>
          <w:tcPr>
            <w:tcW w:w="3652" w:type="dxa"/>
            <w:shd w:val="clear" w:color="auto" w:fill="auto"/>
          </w:tcPr>
          <w:p>
            <w:pPr>
              <w:pStyle w:val="GesAbsatz"/>
              <w:tabs>
                <w:tab w:val="clear" w:pos="425"/>
              </w:tabs>
              <w:rPr>
                <w:b/>
                <w:sz w:val="18"/>
              </w:rPr>
            </w:pPr>
            <w:r>
              <w:rPr>
                <w:b/>
                <w:sz w:val="18"/>
              </w:rPr>
              <w:t>Gesamtproben</w:t>
            </w:r>
          </w:p>
        </w:tc>
        <w:tc>
          <w:tcPr>
            <w:tcW w:w="2854" w:type="dxa"/>
            <w:shd w:val="clear" w:color="auto" w:fill="auto"/>
          </w:tcPr>
          <w:p>
            <w:pPr>
              <w:pStyle w:val="GesAbsatz"/>
              <w:tabs>
                <w:tab w:val="clear" w:pos="425"/>
              </w:tabs>
              <w:jc w:val="center"/>
              <w:rPr>
                <w:b/>
                <w:sz w:val="18"/>
              </w:rPr>
            </w:pPr>
            <w:r>
              <w:rPr>
                <w:b/>
                <w:sz w:val="18"/>
              </w:rPr>
              <w:t>200</w:t>
            </w:r>
          </w:p>
        </w:tc>
        <w:tc>
          <w:tcPr>
            <w:tcW w:w="2891" w:type="dxa"/>
            <w:shd w:val="clear" w:color="auto" w:fill="auto"/>
          </w:tcPr>
          <w:p>
            <w:pPr>
              <w:pStyle w:val="GesAbsatz"/>
              <w:tabs>
                <w:tab w:val="clear" w:pos="425"/>
              </w:tabs>
              <w:jc w:val="center"/>
              <w:rPr>
                <w:b/>
                <w:sz w:val="18"/>
              </w:rPr>
            </w:pPr>
            <w:r>
              <w:rPr>
                <w:b/>
                <w:sz w:val="18"/>
              </w:rPr>
              <w:t>200</w:t>
            </w:r>
          </w:p>
        </w:tc>
      </w:tr>
    </w:tbl>
    <w:p>
      <w:pPr>
        <w:pStyle w:val="GesAbsatz"/>
        <w:jc w:val="center"/>
        <w:rPr>
          <w:b/>
        </w:rPr>
      </w:pPr>
      <w:r>
        <w:rPr>
          <w:b/>
        </w:rPr>
        <w:t>II.</w:t>
      </w:r>
      <w:r>
        <w:rPr>
          <w:b/>
        </w:rPr>
        <w:br/>
        <w:t>Mindestzahl an Proben je Kraftstoffsorte und Zeitraum (Sommer, Winter)</w:t>
      </w:r>
      <w:r>
        <w:rPr>
          <w:b/>
        </w:rPr>
        <w:br/>
        <w:t>mit Marktanteilen unterhalb von 10% nach DIN EN 14274, Ausgabe Mai 2004</w:t>
      </w:r>
    </w:p>
    <w:p>
      <w:pPr>
        <w:pStyle w:val="GesAbsatz"/>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61"/>
        <w:gridCol w:w="1449"/>
        <w:gridCol w:w="1284"/>
        <w:gridCol w:w="1284"/>
        <w:gridCol w:w="1284"/>
        <w:gridCol w:w="1534"/>
      </w:tblGrid>
      <w:tr>
        <w:tc>
          <w:tcPr>
            <w:tcW w:w="1809" w:type="dxa"/>
            <w:shd w:val="clear" w:color="auto" w:fill="auto"/>
            <w:vAlign w:val="center"/>
          </w:tcPr>
          <w:p>
            <w:pPr>
              <w:pStyle w:val="GesAbsatz"/>
              <w:tabs>
                <w:tab w:val="clear" w:pos="425"/>
              </w:tabs>
              <w:jc w:val="center"/>
              <w:rPr>
                <w:sz w:val="18"/>
              </w:rPr>
            </w:pPr>
            <w:r>
              <w:rPr>
                <w:sz w:val="18"/>
              </w:rPr>
              <w:t>Bundesland</w:t>
            </w:r>
          </w:p>
        </w:tc>
        <w:tc>
          <w:tcPr>
            <w:tcW w:w="1361" w:type="dxa"/>
            <w:shd w:val="clear" w:color="auto" w:fill="auto"/>
            <w:vAlign w:val="center"/>
          </w:tcPr>
          <w:p>
            <w:pPr>
              <w:pStyle w:val="GesAbsatz"/>
              <w:tabs>
                <w:tab w:val="clear" w:pos="425"/>
              </w:tabs>
              <w:jc w:val="center"/>
              <w:rPr>
                <w:sz w:val="18"/>
              </w:rPr>
            </w:pPr>
            <w:r>
              <w:rPr>
                <w:sz w:val="18"/>
              </w:rPr>
              <w:t>Mindestzahl an Proben von Ottokraf</w:t>
            </w:r>
            <w:r>
              <w:rPr>
                <w:sz w:val="18"/>
              </w:rPr>
              <w:t>t</w:t>
            </w:r>
            <w:r>
              <w:rPr>
                <w:sz w:val="18"/>
              </w:rPr>
              <w:t>stoff Super Plus schw</w:t>
            </w:r>
            <w:r>
              <w:rPr>
                <w:sz w:val="18"/>
              </w:rPr>
              <w:t>e</w:t>
            </w:r>
            <w:r>
              <w:rPr>
                <w:sz w:val="18"/>
              </w:rPr>
              <w:t>felfrei ROZ 98</w:t>
            </w:r>
          </w:p>
        </w:tc>
        <w:tc>
          <w:tcPr>
            <w:tcW w:w="1449" w:type="dxa"/>
            <w:shd w:val="clear" w:color="auto" w:fill="auto"/>
            <w:vAlign w:val="center"/>
          </w:tcPr>
          <w:p>
            <w:pPr>
              <w:pStyle w:val="GesAbsatz"/>
              <w:tabs>
                <w:tab w:val="clear" w:pos="425"/>
              </w:tabs>
              <w:jc w:val="center"/>
              <w:rPr>
                <w:sz w:val="18"/>
              </w:rPr>
            </w:pPr>
            <w:r>
              <w:rPr>
                <w:sz w:val="18"/>
              </w:rPr>
              <w:t>Mindestzah</w:t>
            </w:r>
            <w:r>
              <w:rPr>
                <w:sz w:val="18"/>
              </w:rPr>
              <w:t>l</w:t>
            </w:r>
            <w:r>
              <w:rPr>
                <w:sz w:val="18"/>
              </w:rPr>
              <w:t xml:space="preserve"> an Proben von Ethanolkraf</w:t>
            </w:r>
            <w:r>
              <w:rPr>
                <w:sz w:val="18"/>
              </w:rPr>
              <w:t>t</w:t>
            </w:r>
            <w:r>
              <w:rPr>
                <w:sz w:val="18"/>
              </w:rPr>
              <w:t>stoff (E85)</w:t>
            </w:r>
          </w:p>
        </w:tc>
        <w:tc>
          <w:tcPr>
            <w:tcW w:w="1284" w:type="dxa"/>
            <w:shd w:val="clear" w:color="auto" w:fill="auto"/>
            <w:vAlign w:val="center"/>
          </w:tcPr>
          <w:p>
            <w:pPr>
              <w:pStyle w:val="GesAbsatz"/>
              <w:tabs>
                <w:tab w:val="clear" w:pos="425"/>
              </w:tabs>
              <w:jc w:val="center"/>
              <w:rPr>
                <w:sz w:val="18"/>
              </w:rPr>
            </w:pPr>
            <w:r>
              <w:rPr>
                <w:sz w:val="18"/>
              </w:rPr>
              <w:t>Mindestzahl an Proben von Flüssi</w:t>
            </w:r>
            <w:r>
              <w:rPr>
                <w:sz w:val="18"/>
              </w:rPr>
              <w:t>g</w:t>
            </w:r>
            <w:r>
              <w:rPr>
                <w:sz w:val="18"/>
              </w:rPr>
              <w:t>gas</w:t>
            </w:r>
          </w:p>
        </w:tc>
        <w:tc>
          <w:tcPr>
            <w:tcW w:w="1284" w:type="dxa"/>
            <w:shd w:val="clear" w:color="auto" w:fill="auto"/>
            <w:vAlign w:val="center"/>
          </w:tcPr>
          <w:p>
            <w:pPr>
              <w:pStyle w:val="GesAbsatz"/>
              <w:tabs>
                <w:tab w:val="clear" w:pos="425"/>
              </w:tabs>
              <w:jc w:val="center"/>
              <w:rPr>
                <w:sz w:val="18"/>
              </w:rPr>
            </w:pPr>
            <w:r>
              <w:rPr>
                <w:sz w:val="18"/>
              </w:rPr>
              <w:t>Mindestzahl an Proben j</w:t>
            </w:r>
            <w:r>
              <w:rPr>
                <w:sz w:val="18"/>
              </w:rPr>
              <w:t>e</w:t>
            </w:r>
            <w:r>
              <w:rPr>
                <w:sz w:val="18"/>
              </w:rPr>
              <w:t xml:space="preserve"> Sorte Erdgas und Biogas als Kraftstoff</w:t>
            </w:r>
          </w:p>
        </w:tc>
        <w:tc>
          <w:tcPr>
            <w:tcW w:w="1284" w:type="dxa"/>
            <w:shd w:val="clear" w:color="auto" w:fill="auto"/>
            <w:vAlign w:val="center"/>
          </w:tcPr>
          <w:p>
            <w:pPr>
              <w:pStyle w:val="GesAbsatz"/>
              <w:tabs>
                <w:tab w:val="clear" w:pos="425"/>
              </w:tabs>
              <w:jc w:val="center"/>
              <w:rPr>
                <w:sz w:val="18"/>
              </w:rPr>
            </w:pPr>
            <w:r>
              <w:rPr>
                <w:sz w:val="18"/>
              </w:rPr>
              <w:t>Mindestzahl an Proben von Biodi</w:t>
            </w:r>
            <w:r>
              <w:rPr>
                <w:sz w:val="18"/>
              </w:rPr>
              <w:t>e</w:t>
            </w:r>
            <w:r>
              <w:rPr>
                <w:sz w:val="18"/>
              </w:rPr>
              <w:t>sel</w:t>
            </w:r>
          </w:p>
        </w:tc>
        <w:tc>
          <w:tcPr>
            <w:tcW w:w="1534" w:type="dxa"/>
            <w:shd w:val="clear" w:color="auto" w:fill="auto"/>
            <w:vAlign w:val="center"/>
          </w:tcPr>
          <w:p>
            <w:pPr>
              <w:pStyle w:val="GesAbsatz"/>
              <w:tabs>
                <w:tab w:val="clear" w:pos="425"/>
              </w:tabs>
              <w:jc w:val="center"/>
              <w:rPr>
                <w:sz w:val="18"/>
              </w:rPr>
            </w:pPr>
            <w:r>
              <w:rPr>
                <w:sz w:val="18"/>
              </w:rPr>
              <w:t>Mindestzahl an Proben von Pflanzenölkraf</w:t>
            </w:r>
            <w:r>
              <w:rPr>
                <w:sz w:val="18"/>
              </w:rPr>
              <w:t>t</w:t>
            </w:r>
            <w:r>
              <w:rPr>
                <w:sz w:val="18"/>
              </w:rPr>
              <w:t>stoff</w:t>
            </w:r>
          </w:p>
        </w:tc>
      </w:tr>
      <w:tr>
        <w:tc>
          <w:tcPr>
            <w:tcW w:w="1809" w:type="dxa"/>
            <w:shd w:val="clear" w:color="auto" w:fill="auto"/>
          </w:tcPr>
          <w:p>
            <w:pPr>
              <w:pStyle w:val="GesAbsatz"/>
              <w:tabs>
                <w:tab w:val="clear" w:pos="425"/>
              </w:tabs>
              <w:rPr>
                <w:sz w:val="18"/>
              </w:rPr>
            </w:pPr>
            <w:r>
              <w:rPr>
                <w:sz w:val="18"/>
              </w:rPr>
              <w:t>Baden-Württemberg</w:t>
            </w:r>
          </w:p>
        </w:tc>
        <w:tc>
          <w:tcPr>
            <w:tcW w:w="1361" w:type="dxa"/>
            <w:shd w:val="clear" w:color="auto" w:fill="auto"/>
          </w:tcPr>
          <w:p>
            <w:pPr>
              <w:pStyle w:val="GesAbsatz"/>
              <w:tabs>
                <w:tab w:val="clear" w:pos="425"/>
              </w:tabs>
              <w:jc w:val="center"/>
              <w:rPr>
                <w:sz w:val="18"/>
              </w:rPr>
            </w:pPr>
            <w:r>
              <w:rPr>
                <w:sz w:val="18"/>
              </w:rPr>
              <w:t>2</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2</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Bayern</w:t>
            </w:r>
          </w:p>
        </w:tc>
        <w:tc>
          <w:tcPr>
            <w:tcW w:w="1361" w:type="dxa"/>
            <w:shd w:val="clear" w:color="auto" w:fill="auto"/>
          </w:tcPr>
          <w:p>
            <w:pPr>
              <w:pStyle w:val="GesAbsatz"/>
              <w:tabs>
                <w:tab w:val="clear" w:pos="425"/>
              </w:tabs>
              <w:jc w:val="center"/>
              <w:rPr>
                <w:sz w:val="18"/>
              </w:rPr>
            </w:pPr>
            <w:r>
              <w:rPr>
                <w:sz w:val="18"/>
              </w:rPr>
              <w:t>2</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2</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Berlin</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Brandenburg</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Bremen</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Hamburg</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Hessen</w:t>
            </w:r>
          </w:p>
        </w:tc>
        <w:tc>
          <w:tcPr>
            <w:tcW w:w="1361" w:type="dxa"/>
            <w:shd w:val="clear" w:color="auto" w:fill="auto"/>
          </w:tcPr>
          <w:p>
            <w:pPr>
              <w:pStyle w:val="GesAbsatz"/>
              <w:tabs>
                <w:tab w:val="clear" w:pos="425"/>
              </w:tabs>
              <w:jc w:val="center"/>
              <w:rPr>
                <w:sz w:val="18"/>
              </w:rPr>
            </w:pPr>
            <w:r>
              <w:rPr>
                <w:sz w:val="18"/>
              </w:rPr>
              <w:t>2</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2</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Mecklenburg-Vorpommern</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Niedersachsen</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Nordrhein-Westfalen</w:t>
            </w:r>
          </w:p>
        </w:tc>
        <w:tc>
          <w:tcPr>
            <w:tcW w:w="1361" w:type="dxa"/>
            <w:shd w:val="clear" w:color="auto" w:fill="auto"/>
          </w:tcPr>
          <w:p>
            <w:pPr>
              <w:pStyle w:val="GesAbsatz"/>
              <w:tabs>
                <w:tab w:val="clear" w:pos="425"/>
              </w:tabs>
              <w:jc w:val="center"/>
              <w:rPr>
                <w:sz w:val="18"/>
              </w:rPr>
            </w:pPr>
            <w:r>
              <w:rPr>
                <w:sz w:val="18"/>
              </w:rPr>
              <w:t>3</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3</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Rheinland-Pfalz</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Saarland</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Sachsen</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Sachsen-Anhalt</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Schleswig-Holstein</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Thüringen</w:t>
            </w:r>
          </w:p>
        </w:tc>
        <w:tc>
          <w:tcPr>
            <w:tcW w:w="1361" w:type="dxa"/>
            <w:shd w:val="clear" w:color="auto" w:fill="auto"/>
          </w:tcPr>
          <w:p>
            <w:pPr>
              <w:pStyle w:val="GesAbsatz"/>
              <w:tabs>
                <w:tab w:val="clear" w:pos="425"/>
              </w:tabs>
              <w:jc w:val="center"/>
              <w:rPr>
                <w:sz w:val="18"/>
              </w:rPr>
            </w:pPr>
            <w:r>
              <w:rPr>
                <w:sz w:val="18"/>
              </w:rPr>
              <w:t>1</w:t>
            </w:r>
          </w:p>
        </w:tc>
        <w:tc>
          <w:tcPr>
            <w:tcW w:w="1449"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284" w:type="dxa"/>
            <w:shd w:val="clear" w:color="auto" w:fill="auto"/>
          </w:tcPr>
          <w:p>
            <w:pPr>
              <w:pStyle w:val="GesAbsatz"/>
              <w:tabs>
                <w:tab w:val="clear" w:pos="425"/>
              </w:tabs>
              <w:jc w:val="center"/>
              <w:rPr>
                <w:sz w:val="18"/>
              </w:rPr>
            </w:pPr>
            <w:r>
              <w:rPr>
                <w:sz w:val="18"/>
              </w:rPr>
              <w:t>1</w:t>
            </w:r>
          </w:p>
        </w:tc>
        <w:tc>
          <w:tcPr>
            <w:tcW w:w="1534"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b/>
                <w:sz w:val="18"/>
              </w:rPr>
            </w:pPr>
            <w:r>
              <w:rPr>
                <w:b/>
                <w:sz w:val="18"/>
              </w:rPr>
              <w:t>Gesamtproben</w:t>
            </w:r>
          </w:p>
        </w:tc>
        <w:tc>
          <w:tcPr>
            <w:tcW w:w="1361" w:type="dxa"/>
            <w:shd w:val="clear" w:color="auto" w:fill="auto"/>
          </w:tcPr>
          <w:p>
            <w:pPr>
              <w:pStyle w:val="GesAbsatz"/>
              <w:tabs>
                <w:tab w:val="clear" w:pos="425"/>
              </w:tabs>
              <w:jc w:val="center"/>
              <w:rPr>
                <w:b/>
                <w:sz w:val="18"/>
              </w:rPr>
            </w:pPr>
            <w:r>
              <w:rPr>
                <w:b/>
                <w:sz w:val="18"/>
              </w:rPr>
              <w:t>21</w:t>
            </w:r>
          </w:p>
        </w:tc>
        <w:tc>
          <w:tcPr>
            <w:tcW w:w="1449" w:type="dxa"/>
            <w:shd w:val="clear" w:color="auto" w:fill="auto"/>
          </w:tcPr>
          <w:p>
            <w:pPr>
              <w:pStyle w:val="GesAbsatz"/>
              <w:tabs>
                <w:tab w:val="clear" w:pos="425"/>
              </w:tabs>
              <w:jc w:val="center"/>
              <w:rPr>
                <w:b/>
                <w:sz w:val="18"/>
              </w:rPr>
            </w:pPr>
            <w:r>
              <w:rPr>
                <w:b/>
                <w:sz w:val="18"/>
              </w:rPr>
              <w:t>16</w:t>
            </w:r>
          </w:p>
        </w:tc>
        <w:tc>
          <w:tcPr>
            <w:tcW w:w="1284" w:type="dxa"/>
            <w:shd w:val="clear" w:color="auto" w:fill="auto"/>
          </w:tcPr>
          <w:p>
            <w:pPr>
              <w:pStyle w:val="GesAbsatz"/>
              <w:tabs>
                <w:tab w:val="clear" w:pos="425"/>
              </w:tabs>
              <w:jc w:val="center"/>
              <w:rPr>
                <w:b/>
                <w:sz w:val="18"/>
              </w:rPr>
            </w:pPr>
            <w:r>
              <w:rPr>
                <w:b/>
                <w:sz w:val="18"/>
              </w:rPr>
              <w:t>16</w:t>
            </w:r>
          </w:p>
        </w:tc>
        <w:tc>
          <w:tcPr>
            <w:tcW w:w="1284" w:type="dxa"/>
            <w:shd w:val="clear" w:color="auto" w:fill="auto"/>
          </w:tcPr>
          <w:p>
            <w:pPr>
              <w:pStyle w:val="GesAbsatz"/>
              <w:tabs>
                <w:tab w:val="clear" w:pos="425"/>
              </w:tabs>
              <w:jc w:val="center"/>
              <w:rPr>
                <w:b/>
                <w:sz w:val="18"/>
              </w:rPr>
            </w:pPr>
            <w:r>
              <w:rPr>
                <w:b/>
                <w:sz w:val="18"/>
              </w:rPr>
              <w:t>16</w:t>
            </w:r>
          </w:p>
        </w:tc>
        <w:tc>
          <w:tcPr>
            <w:tcW w:w="1284" w:type="dxa"/>
            <w:shd w:val="clear" w:color="auto" w:fill="auto"/>
          </w:tcPr>
          <w:p>
            <w:pPr>
              <w:pStyle w:val="GesAbsatz"/>
              <w:tabs>
                <w:tab w:val="clear" w:pos="425"/>
              </w:tabs>
              <w:jc w:val="center"/>
              <w:rPr>
                <w:b/>
                <w:sz w:val="18"/>
              </w:rPr>
            </w:pPr>
            <w:r>
              <w:rPr>
                <w:b/>
                <w:sz w:val="18"/>
              </w:rPr>
              <w:t>21</w:t>
            </w:r>
          </w:p>
        </w:tc>
        <w:tc>
          <w:tcPr>
            <w:tcW w:w="1534" w:type="dxa"/>
            <w:shd w:val="clear" w:color="auto" w:fill="auto"/>
          </w:tcPr>
          <w:p>
            <w:pPr>
              <w:pStyle w:val="GesAbsatz"/>
              <w:tabs>
                <w:tab w:val="clear" w:pos="425"/>
              </w:tabs>
              <w:jc w:val="center"/>
              <w:rPr>
                <w:b/>
                <w:sz w:val="18"/>
              </w:rPr>
            </w:pPr>
            <w:r>
              <w:rPr>
                <w:b/>
                <w:sz w:val="18"/>
              </w:rPr>
              <w:t>16</w:t>
            </w:r>
          </w:p>
        </w:tc>
      </w:tr>
    </w:tbl>
    <w:p>
      <w:pPr>
        <w:pStyle w:val="GesAbsatz"/>
      </w:pPr>
    </w:p>
    <w:p>
      <w:pPr>
        <w:pStyle w:val="GesAbsatz"/>
        <w:jc w:val="center"/>
        <w:rPr>
          <w:b/>
        </w:rPr>
      </w:pPr>
      <w:r>
        <w:rPr>
          <w:b/>
        </w:rPr>
        <w:t>III.</w:t>
      </w:r>
      <w:r>
        <w:rPr>
          <w:b/>
        </w:rPr>
        <w:br/>
        <w:t>Mindestzahl an Proben von Kraft- und Brennstoffen</w:t>
      </w:r>
      <w:r>
        <w:rPr>
          <w:b/>
        </w:rPr>
        <w:br/>
        <w:t>nach § 1 Absatz 4, 6, 7, 9 und 10 der 10. BImSchV je Zeitraum (Sommer, Winter)</w:t>
      </w:r>
    </w:p>
    <w:p>
      <w:pPr>
        <w:pStyle w:val="GesAbsatz"/>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559"/>
        <w:gridCol w:w="1559"/>
        <w:gridCol w:w="1701"/>
        <w:gridCol w:w="1843"/>
      </w:tblGrid>
      <w:tr>
        <w:trPr>
          <w:tblHeader/>
        </w:trPr>
        <w:tc>
          <w:tcPr>
            <w:tcW w:w="1809" w:type="dxa"/>
            <w:shd w:val="clear" w:color="auto" w:fill="auto"/>
            <w:vAlign w:val="center"/>
          </w:tcPr>
          <w:p>
            <w:pPr>
              <w:pStyle w:val="GesAbsatz"/>
              <w:tabs>
                <w:tab w:val="clear" w:pos="425"/>
              </w:tabs>
              <w:jc w:val="center"/>
              <w:rPr>
                <w:sz w:val="18"/>
              </w:rPr>
            </w:pPr>
            <w:r>
              <w:rPr>
                <w:sz w:val="18"/>
              </w:rPr>
              <w:t>Bundesland</w:t>
            </w:r>
          </w:p>
        </w:tc>
        <w:tc>
          <w:tcPr>
            <w:tcW w:w="1560" w:type="dxa"/>
            <w:shd w:val="clear" w:color="auto" w:fill="auto"/>
            <w:vAlign w:val="center"/>
          </w:tcPr>
          <w:p>
            <w:pPr>
              <w:pStyle w:val="GesAbsatz"/>
              <w:tabs>
                <w:tab w:val="clear" w:pos="425"/>
              </w:tabs>
              <w:jc w:val="center"/>
              <w:rPr>
                <w:sz w:val="18"/>
              </w:rPr>
            </w:pPr>
            <w:r>
              <w:rPr>
                <w:sz w:val="18"/>
              </w:rPr>
              <w:t>Mindestzahl an Proben von Diese</w:t>
            </w:r>
            <w:r>
              <w:rPr>
                <w:sz w:val="18"/>
              </w:rPr>
              <w:t>l</w:t>
            </w:r>
            <w:r>
              <w:rPr>
                <w:sz w:val="18"/>
              </w:rPr>
              <w:t>kraftstoff gemäß § 1 A</w:t>
            </w:r>
            <w:r>
              <w:rPr>
                <w:sz w:val="18"/>
              </w:rPr>
              <w:t>b</w:t>
            </w:r>
            <w:r>
              <w:rPr>
                <w:sz w:val="18"/>
              </w:rPr>
              <w:t>satz 4 der 10. BImSchV</w:t>
            </w:r>
          </w:p>
        </w:tc>
        <w:tc>
          <w:tcPr>
            <w:tcW w:w="1559" w:type="dxa"/>
            <w:shd w:val="clear" w:color="auto" w:fill="auto"/>
            <w:vAlign w:val="center"/>
          </w:tcPr>
          <w:p>
            <w:pPr>
              <w:pStyle w:val="GesAbsatz"/>
              <w:tabs>
                <w:tab w:val="clear" w:pos="425"/>
              </w:tabs>
              <w:jc w:val="center"/>
              <w:rPr>
                <w:sz w:val="18"/>
              </w:rPr>
            </w:pPr>
            <w:r>
              <w:rPr>
                <w:sz w:val="18"/>
              </w:rPr>
              <w:t>Mi</w:t>
            </w:r>
            <w:r>
              <w:rPr>
                <w:sz w:val="18"/>
              </w:rPr>
              <w:t>n</w:t>
            </w:r>
            <w:r>
              <w:rPr>
                <w:sz w:val="18"/>
              </w:rPr>
              <w:t>destzahl an Proben von Gasöl für den Seeve</w:t>
            </w:r>
            <w:r>
              <w:rPr>
                <w:sz w:val="18"/>
              </w:rPr>
              <w:t>r</w:t>
            </w:r>
            <w:r>
              <w:rPr>
                <w:sz w:val="18"/>
              </w:rPr>
              <w:t>kehr gemäß § 1 A</w:t>
            </w:r>
            <w:r>
              <w:rPr>
                <w:sz w:val="18"/>
              </w:rPr>
              <w:t>b</w:t>
            </w:r>
            <w:r>
              <w:rPr>
                <w:sz w:val="18"/>
              </w:rPr>
              <w:t>satz 6 der 10. BImSchV</w:t>
            </w:r>
          </w:p>
        </w:tc>
        <w:tc>
          <w:tcPr>
            <w:tcW w:w="1559" w:type="dxa"/>
            <w:shd w:val="clear" w:color="auto" w:fill="auto"/>
            <w:vAlign w:val="center"/>
          </w:tcPr>
          <w:p>
            <w:pPr>
              <w:pStyle w:val="GesAbsatz"/>
              <w:tabs>
                <w:tab w:val="clear" w:pos="425"/>
              </w:tabs>
              <w:jc w:val="center"/>
              <w:rPr>
                <w:sz w:val="18"/>
              </w:rPr>
            </w:pPr>
            <w:r>
              <w:rPr>
                <w:sz w:val="18"/>
              </w:rPr>
              <w:t>Mindes</w:t>
            </w:r>
            <w:r>
              <w:rPr>
                <w:sz w:val="18"/>
              </w:rPr>
              <w:t>t</w:t>
            </w:r>
            <w:r>
              <w:rPr>
                <w:sz w:val="18"/>
              </w:rPr>
              <w:t>zahl an Proben von Schiff</w:t>
            </w:r>
            <w:r>
              <w:rPr>
                <w:sz w:val="18"/>
              </w:rPr>
              <w:t>s</w:t>
            </w:r>
            <w:r>
              <w:rPr>
                <w:sz w:val="18"/>
              </w:rPr>
              <w:t>diesel gemäß § 1 A</w:t>
            </w:r>
            <w:r>
              <w:rPr>
                <w:sz w:val="18"/>
              </w:rPr>
              <w:t>b</w:t>
            </w:r>
            <w:r>
              <w:rPr>
                <w:sz w:val="18"/>
              </w:rPr>
              <w:t>satz 7 der 10. BImSchV</w:t>
            </w:r>
          </w:p>
        </w:tc>
        <w:tc>
          <w:tcPr>
            <w:tcW w:w="1701" w:type="dxa"/>
            <w:shd w:val="clear" w:color="auto" w:fill="auto"/>
            <w:vAlign w:val="center"/>
          </w:tcPr>
          <w:p>
            <w:pPr>
              <w:pStyle w:val="GesAbsatz"/>
              <w:tabs>
                <w:tab w:val="clear" w:pos="425"/>
              </w:tabs>
              <w:jc w:val="center"/>
              <w:rPr>
                <w:sz w:val="18"/>
              </w:rPr>
            </w:pPr>
            <w:r>
              <w:rPr>
                <w:sz w:val="18"/>
              </w:rPr>
              <w:t>Mindestzahl an Proben von leic</w:t>
            </w:r>
            <w:r>
              <w:rPr>
                <w:sz w:val="18"/>
              </w:rPr>
              <w:t>h</w:t>
            </w:r>
            <w:r>
              <w:rPr>
                <w:sz w:val="18"/>
              </w:rPr>
              <w:t>tem Heizöl g</w:t>
            </w:r>
            <w:r>
              <w:rPr>
                <w:sz w:val="18"/>
              </w:rPr>
              <w:t>e</w:t>
            </w:r>
            <w:r>
              <w:rPr>
                <w:sz w:val="18"/>
              </w:rPr>
              <w:t>mäß § 1 Absatz 9 der 10. BImSchV</w:t>
            </w:r>
          </w:p>
        </w:tc>
        <w:tc>
          <w:tcPr>
            <w:tcW w:w="1843" w:type="dxa"/>
            <w:shd w:val="clear" w:color="auto" w:fill="auto"/>
            <w:vAlign w:val="center"/>
          </w:tcPr>
          <w:p>
            <w:pPr>
              <w:pStyle w:val="GesAbsatz"/>
              <w:tabs>
                <w:tab w:val="clear" w:pos="425"/>
              </w:tabs>
              <w:jc w:val="center"/>
              <w:rPr>
                <w:sz w:val="18"/>
              </w:rPr>
            </w:pPr>
            <w:r>
              <w:rPr>
                <w:sz w:val="18"/>
              </w:rPr>
              <w:t>Mindestzahl an Proben von schw</w:t>
            </w:r>
            <w:r>
              <w:rPr>
                <w:sz w:val="18"/>
              </w:rPr>
              <w:t>e</w:t>
            </w:r>
            <w:r>
              <w:rPr>
                <w:sz w:val="18"/>
              </w:rPr>
              <w:t>rem Heizöl gemäß § 1 A</w:t>
            </w:r>
            <w:r>
              <w:rPr>
                <w:sz w:val="18"/>
              </w:rPr>
              <w:t>b</w:t>
            </w:r>
            <w:r>
              <w:rPr>
                <w:sz w:val="18"/>
              </w:rPr>
              <w:t>satz 10 der 10. BImSchV</w:t>
            </w:r>
          </w:p>
        </w:tc>
      </w:tr>
      <w:tr>
        <w:tc>
          <w:tcPr>
            <w:tcW w:w="1809" w:type="dxa"/>
            <w:shd w:val="clear" w:color="auto" w:fill="auto"/>
          </w:tcPr>
          <w:p>
            <w:pPr>
              <w:pStyle w:val="GesAbsatz"/>
              <w:tabs>
                <w:tab w:val="clear" w:pos="425"/>
              </w:tabs>
              <w:rPr>
                <w:sz w:val="18"/>
              </w:rPr>
            </w:pPr>
            <w:r>
              <w:rPr>
                <w:sz w:val="18"/>
              </w:rPr>
              <w:t>Baden-Württemberg</w:t>
            </w:r>
          </w:p>
        </w:tc>
        <w:tc>
          <w:tcPr>
            <w:tcW w:w="1560" w:type="dxa"/>
            <w:shd w:val="clear" w:color="auto" w:fill="auto"/>
          </w:tcPr>
          <w:p>
            <w:pPr>
              <w:pStyle w:val="GesAbsatz"/>
              <w:tabs>
                <w:tab w:val="clear" w:pos="425"/>
              </w:tabs>
              <w:jc w:val="center"/>
              <w:rPr>
                <w:sz w:val="18"/>
              </w:rPr>
            </w:pPr>
            <w:r>
              <w:rPr>
                <w:sz w:val="18"/>
              </w:rPr>
              <w:t>2</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6</w:t>
            </w:r>
          </w:p>
        </w:tc>
        <w:tc>
          <w:tcPr>
            <w:tcW w:w="1843" w:type="dxa"/>
            <w:shd w:val="clear" w:color="auto" w:fill="auto"/>
          </w:tcPr>
          <w:p>
            <w:pPr>
              <w:pStyle w:val="GesAbsatz"/>
              <w:tabs>
                <w:tab w:val="clear" w:pos="425"/>
              </w:tabs>
              <w:jc w:val="center"/>
              <w:rPr>
                <w:sz w:val="18"/>
              </w:rPr>
            </w:pPr>
            <w:r>
              <w:rPr>
                <w:sz w:val="18"/>
              </w:rPr>
              <w:t>2</w:t>
            </w:r>
          </w:p>
        </w:tc>
      </w:tr>
      <w:tr>
        <w:tc>
          <w:tcPr>
            <w:tcW w:w="1809" w:type="dxa"/>
            <w:shd w:val="clear" w:color="auto" w:fill="auto"/>
          </w:tcPr>
          <w:p>
            <w:pPr>
              <w:pStyle w:val="GesAbsatz"/>
              <w:tabs>
                <w:tab w:val="clear" w:pos="425"/>
              </w:tabs>
              <w:rPr>
                <w:sz w:val="18"/>
              </w:rPr>
            </w:pPr>
            <w:r>
              <w:rPr>
                <w:sz w:val="18"/>
              </w:rPr>
              <w:t>Bayern</w:t>
            </w:r>
          </w:p>
        </w:tc>
        <w:tc>
          <w:tcPr>
            <w:tcW w:w="1560" w:type="dxa"/>
            <w:shd w:val="clear" w:color="auto" w:fill="auto"/>
          </w:tcPr>
          <w:p>
            <w:pPr>
              <w:pStyle w:val="GesAbsatz"/>
              <w:tabs>
                <w:tab w:val="clear" w:pos="425"/>
              </w:tabs>
              <w:jc w:val="center"/>
              <w:rPr>
                <w:sz w:val="18"/>
              </w:rPr>
            </w:pPr>
            <w:r>
              <w:rPr>
                <w:sz w:val="18"/>
              </w:rPr>
              <w:t>2</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6</w:t>
            </w:r>
          </w:p>
        </w:tc>
        <w:tc>
          <w:tcPr>
            <w:tcW w:w="1843" w:type="dxa"/>
            <w:shd w:val="clear" w:color="auto" w:fill="auto"/>
          </w:tcPr>
          <w:p>
            <w:pPr>
              <w:pStyle w:val="GesAbsatz"/>
              <w:tabs>
                <w:tab w:val="clear" w:pos="425"/>
              </w:tabs>
              <w:jc w:val="center"/>
              <w:rPr>
                <w:sz w:val="18"/>
              </w:rPr>
            </w:pPr>
            <w:r>
              <w:rPr>
                <w:sz w:val="18"/>
              </w:rPr>
              <w:t>2</w:t>
            </w:r>
          </w:p>
        </w:tc>
      </w:tr>
      <w:tr>
        <w:tc>
          <w:tcPr>
            <w:tcW w:w="1809" w:type="dxa"/>
            <w:shd w:val="clear" w:color="auto" w:fill="auto"/>
          </w:tcPr>
          <w:p>
            <w:pPr>
              <w:pStyle w:val="GesAbsatz"/>
              <w:tabs>
                <w:tab w:val="clear" w:pos="425"/>
              </w:tabs>
              <w:rPr>
                <w:sz w:val="18"/>
              </w:rPr>
            </w:pPr>
            <w:r>
              <w:rPr>
                <w:sz w:val="18"/>
              </w:rPr>
              <w:t>Berlin</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Brandenburg</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Bremen</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Hamburg</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Hessen</w:t>
            </w:r>
          </w:p>
        </w:tc>
        <w:tc>
          <w:tcPr>
            <w:tcW w:w="1560" w:type="dxa"/>
            <w:shd w:val="clear" w:color="auto" w:fill="auto"/>
          </w:tcPr>
          <w:p>
            <w:pPr>
              <w:pStyle w:val="GesAbsatz"/>
              <w:tabs>
                <w:tab w:val="clear" w:pos="425"/>
              </w:tabs>
              <w:jc w:val="center"/>
              <w:rPr>
                <w:sz w:val="18"/>
              </w:rPr>
            </w:pPr>
            <w:r>
              <w:rPr>
                <w:sz w:val="18"/>
              </w:rPr>
              <w:t>2</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6</w:t>
            </w:r>
          </w:p>
        </w:tc>
        <w:tc>
          <w:tcPr>
            <w:tcW w:w="1843" w:type="dxa"/>
            <w:shd w:val="clear" w:color="auto" w:fill="auto"/>
          </w:tcPr>
          <w:p>
            <w:pPr>
              <w:pStyle w:val="GesAbsatz"/>
              <w:tabs>
                <w:tab w:val="clear" w:pos="425"/>
              </w:tabs>
              <w:jc w:val="center"/>
              <w:rPr>
                <w:sz w:val="18"/>
              </w:rPr>
            </w:pPr>
            <w:r>
              <w:rPr>
                <w:sz w:val="18"/>
              </w:rPr>
              <w:t>2</w:t>
            </w:r>
          </w:p>
        </w:tc>
      </w:tr>
      <w:tr>
        <w:tc>
          <w:tcPr>
            <w:tcW w:w="1809" w:type="dxa"/>
            <w:shd w:val="clear" w:color="auto" w:fill="auto"/>
          </w:tcPr>
          <w:p>
            <w:pPr>
              <w:pStyle w:val="GesAbsatz"/>
              <w:tabs>
                <w:tab w:val="clear" w:pos="425"/>
              </w:tabs>
              <w:rPr>
                <w:sz w:val="18"/>
              </w:rPr>
            </w:pPr>
            <w:r>
              <w:rPr>
                <w:sz w:val="18"/>
              </w:rPr>
              <w:t>Mecklenburg-Vorpommern</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lastRenderedPageBreak/>
              <w:t>Niedersachsen</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Nordrhein-Westfalen</w:t>
            </w:r>
          </w:p>
        </w:tc>
        <w:tc>
          <w:tcPr>
            <w:tcW w:w="1560" w:type="dxa"/>
            <w:shd w:val="clear" w:color="auto" w:fill="auto"/>
          </w:tcPr>
          <w:p>
            <w:pPr>
              <w:pStyle w:val="GesAbsatz"/>
              <w:tabs>
                <w:tab w:val="clear" w:pos="425"/>
              </w:tabs>
              <w:jc w:val="center"/>
              <w:rPr>
                <w:sz w:val="18"/>
              </w:rPr>
            </w:pPr>
            <w:r>
              <w:rPr>
                <w:sz w:val="18"/>
              </w:rPr>
              <w:t>3</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8</w:t>
            </w:r>
          </w:p>
        </w:tc>
        <w:tc>
          <w:tcPr>
            <w:tcW w:w="1843" w:type="dxa"/>
            <w:shd w:val="clear" w:color="auto" w:fill="auto"/>
          </w:tcPr>
          <w:p>
            <w:pPr>
              <w:pStyle w:val="GesAbsatz"/>
              <w:tabs>
                <w:tab w:val="clear" w:pos="425"/>
              </w:tabs>
              <w:jc w:val="center"/>
              <w:rPr>
                <w:sz w:val="18"/>
              </w:rPr>
            </w:pPr>
            <w:r>
              <w:rPr>
                <w:sz w:val="18"/>
              </w:rPr>
              <w:t>3</w:t>
            </w:r>
          </w:p>
        </w:tc>
      </w:tr>
      <w:tr>
        <w:tc>
          <w:tcPr>
            <w:tcW w:w="1809" w:type="dxa"/>
            <w:shd w:val="clear" w:color="auto" w:fill="auto"/>
          </w:tcPr>
          <w:p>
            <w:pPr>
              <w:pStyle w:val="GesAbsatz"/>
              <w:tabs>
                <w:tab w:val="clear" w:pos="425"/>
              </w:tabs>
              <w:rPr>
                <w:sz w:val="18"/>
              </w:rPr>
            </w:pPr>
            <w:r>
              <w:rPr>
                <w:sz w:val="18"/>
              </w:rPr>
              <w:t>Rhei</w:t>
            </w:r>
            <w:r>
              <w:rPr>
                <w:sz w:val="18"/>
              </w:rPr>
              <w:t>n</w:t>
            </w:r>
            <w:r>
              <w:rPr>
                <w:sz w:val="18"/>
              </w:rPr>
              <w:t>land-Pfalz</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Saarland</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Sachsen</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Sachsen-Anhalt</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Schleswig-Holstein</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1</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Th</w:t>
            </w:r>
            <w:r>
              <w:rPr>
                <w:sz w:val="18"/>
              </w:rPr>
              <w:t>ü</w:t>
            </w:r>
            <w:r>
              <w:rPr>
                <w:sz w:val="18"/>
              </w:rPr>
              <w:t>ringen</w:t>
            </w:r>
          </w:p>
        </w:tc>
        <w:tc>
          <w:tcPr>
            <w:tcW w:w="1560" w:type="dxa"/>
            <w:shd w:val="clear" w:color="auto" w:fill="auto"/>
          </w:tcPr>
          <w:p>
            <w:pPr>
              <w:pStyle w:val="GesAbsatz"/>
              <w:tabs>
                <w:tab w:val="clear" w:pos="425"/>
              </w:tabs>
              <w:jc w:val="center"/>
              <w:rPr>
                <w:sz w:val="18"/>
              </w:rPr>
            </w:pPr>
            <w:r>
              <w:rPr>
                <w:sz w:val="18"/>
              </w:rPr>
              <w:t>1</w:t>
            </w:r>
          </w:p>
        </w:tc>
        <w:tc>
          <w:tcPr>
            <w:tcW w:w="1559" w:type="dxa"/>
            <w:shd w:val="clear" w:color="auto" w:fill="auto"/>
          </w:tcPr>
          <w:p>
            <w:pPr>
              <w:pStyle w:val="GesAbsatz"/>
              <w:tabs>
                <w:tab w:val="clear" w:pos="425"/>
              </w:tabs>
              <w:jc w:val="center"/>
              <w:rPr>
                <w:sz w:val="18"/>
              </w:rPr>
            </w:pPr>
            <w:r>
              <w:rPr>
                <w:sz w:val="18"/>
              </w:rPr>
              <w:t>0</w:t>
            </w:r>
          </w:p>
        </w:tc>
        <w:tc>
          <w:tcPr>
            <w:tcW w:w="1559" w:type="dxa"/>
            <w:shd w:val="clear" w:color="auto" w:fill="auto"/>
          </w:tcPr>
          <w:p>
            <w:pPr>
              <w:pStyle w:val="GesAbsatz"/>
              <w:tabs>
                <w:tab w:val="clear" w:pos="425"/>
              </w:tabs>
              <w:jc w:val="center"/>
              <w:rPr>
                <w:sz w:val="18"/>
              </w:rPr>
            </w:pPr>
            <w:r>
              <w:rPr>
                <w:sz w:val="18"/>
              </w:rPr>
              <w:t>0</w:t>
            </w:r>
          </w:p>
        </w:tc>
        <w:tc>
          <w:tcPr>
            <w:tcW w:w="1701" w:type="dxa"/>
            <w:shd w:val="clear" w:color="auto" w:fill="auto"/>
          </w:tcPr>
          <w:p>
            <w:pPr>
              <w:pStyle w:val="GesAbsatz"/>
              <w:tabs>
                <w:tab w:val="clear" w:pos="425"/>
              </w:tabs>
              <w:jc w:val="center"/>
              <w:rPr>
                <w:sz w:val="18"/>
              </w:rPr>
            </w:pPr>
            <w:r>
              <w:rPr>
                <w:sz w:val="18"/>
              </w:rPr>
              <w:t>2</w:t>
            </w:r>
          </w:p>
        </w:tc>
        <w:tc>
          <w:tcPr>
            <w:tcW w:w="1843" w:type="dxa"/>
            <w:shd w:val="clear" w:color="auto" w:fill="auto"/>
          </w:tcPr>
          <w:p>
            <w:pPr>
              <w:pStyle w:val="GesAbsatz"/>
              <w:tabs>
                <w:tab w:val="clear" w:pos="425"/>
              </w:tabs>
              <w:jc w:val="center"/>
              <w:rPr>
                <w:sz w:val="18"/>
              </w:rPr>
            </w:pPr>
            <w:r>
              <w:rPr>
                <w:sz w:val="18"/>
              </w:rPr>
              <w:t>1</w:t>
            </w:r>
          </w:p>
        </w:tc>
      </w:tr>
      <w:tr>
        <w:tc>
          <w:tcPr>
            <w:tcW w:w="1809" w:type="dxa"/>
            <w:shd w:val="clear" w:color="auto" w:fill="auto"/>
          </w:tcPr>
          <w:p>
            <w:pPr>
              <w:pStyle w:val="GesAbsatz"/>
              <w:tabs>
                <w:tab w:val="clear" w:pos="425"/>
              </w:tabs>
              <w:rPr>
                <w:sz w:val="18"/>
              </w:rPr>
            </w:pPr>
            <w:r>
              <w:rPr>
                <w:sz w:val="18"/>
              </w:rPr>
              <w:t>Gesamtproben</w:t>
            </w:r>
          </w:p>
        </w:tc>
        <w:tc>
          <w:tcPr>
            <w:tcW w:w="1560" w:type="dxa"/>
            <w:shd w:val="clear" w:color="auto" w:fill="auto"/>
          </w:tcPr>
          <w:p>
            <w:pPr>
              <w:pStyle w:val="GesAbsatz"/>
              <w:tabs>
                <w:tab w:val="clear" w:pos="425"/>
              </w:tabs>
              <w:jc w:val="center"/>
              <w:rPr>
                <w:sz w:val="18"/>
              </w:rPr>
            </w:pPr>
            <w:r>
              <w:rPr>
                <w:sz w:val="18"/>
              </w:rPr>
              <w:t>21</w:t>
            </w:r>
          </w:p>
        </w:tc>
        <w:tc>
          <w:tcPr>
            <w:tcW w:w="1559" w:type="dxa"/>
            <w:shd w:val="clear" w:color="auto" w:fill="auto"/>
          </w:tcPr>
          <w:p>
            <w:pPr>
              <w:pStyle w:val="GesAbsatz"/>
              <w:tabs>
                <w:tab w:val="clear" w:pos="425"/>
              </w:tabs>
              <w:jc w:val="center"/>
              <w:rPr>
                <w:sz w:val="18"/>
              </w:rPr>
            </w:pPr>
            <w:r>
              <w:rPr>
                <w:sz w:val="18"/>
              </w:rPr>
              <w:t>5</w:t>
            </w:r>
          </w:p>
        </w:tc>
        <w:tc>
          <w:tcPr>
            <w:tcW w:w="1559" w:type="dxa"/>
            <w:shd w:val="clear" w:color="auto" w:fill="auto"/>
          </w:tcPr>
          <w:p>
            <w:pPr>
              <w:pStyle w:val="GesAbsatz"/>
              <w:tabs>
                <w:tab w:val="clear" w:pos="425"/>
              </w:tabs>
              <w:jc w:val="center"/>
              <w:rPr>
                <w:sz w:val="18"/>
              </w:rPr>
            </w:pPr>
            <w:r>
              <w:rPr>
                <w:sz w:val="18"/>
              </w:rPr>
              <w:t>5</w:t>
            </w:r>
          </w:p>
        </w:tc>
        <w:tc>
          <w:tcPr>
            <w:tcW w:w="1701" w:type="dxa"/>
            <w:shd w:val="clear" w:color="auto" w:fill="auto"/>
          </w:tcPr>
          <w:p>
            <w:pPr>
              <w:pStyle w:val="GesAbsatz"/>
              <w:tabs>
                <w:tab w:val="clear" w:pos="425"/>
              </w:tabs>
              <w:jc w:val="center"/>
              <w:rPr>
                <w:sz w:val="18"/>
              </w:rPr>
            </w:pPr>
            <w:r>
              <w:rPr>
                <w:sz w:val="18"/>
              </w:rPr>
              <w:t>50</w:t>
            </w:r>
          </w:p>
        </w:tc>
        <w:tc>
          <w:tcPr>
            <w:tcW w:w="1843" w:type="dxa"/>
            <w:shd w:val="clear" w:color="auto" w:fill="auto"/>
          </w:tcPr>
          <w:p>
            <w:pPr>
              <w:pStyle w:val="GesAbsatz"/>
              <w:tabs>
                <w:tab w:val="clear" w:pos="425"/>
              </w:tabs>
              <w:jc w:val="center"/>
              <w:rPr>
                <w:sz w:val="18"/>
              </w:rPr>
            </w:pPr>
            <w:r>
              <w:rPr>
                <w:sz w:val="18"/>
              </w:rPr>
              <w:t>21</w:t>
            </w:r>
          </w:p>
        </w:tc>
      </w:tr>
    </w:tbl>
    <w:p>
      <w:pPr>
        <w:pStyle w:val="GesAbsatz"/>
      </w:pPr>
    </w:p>
    <w:sectPr>
      <w:headerReference w:type="default" r:id="rId10"/>
      <w:footerReference w:type="even" r:id="rId11"/>
      <w:footerReference w:type="default" r:id="rId12"/>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04.09.2012 (BAnz. v. 10.09.2012 S. 1)</w:t>
    </w:r>
    <w:r>
      <w:tab/>
      <w:t xml:space="preserve">Seite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rPr>
        <w:b/>
        <w:sz w:val="24"/>
      </w:rPr>
    </w:pPr>
    <w:r>
      <w:rPr>
        <w:b/>
        <w:sz w:val="24"/>
      </w:rPr>
      <w:t>60.1-044</w:t>
    </w:r>
  </w:p>
  <w:p>
    <w:pPr>
      <w:pStyle w:val="Kopfzeile"/>
      <w:spacing w:before="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280428-26DF-4844-966D-67D9DABB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qFormat="1"/>
    <w:lsdException w:name="footer" w:qFormat="1"/>
    <w:lsdException w:name="caption" w:semiHidden="1" w:unhideWhenUsed="1" w:qFormat="1"/>
    <w:lsdException w:name="footnote reference"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Standard"/>
    <w:qFormat/>
    <w:pPr>
      <w:keepNext/>
      <w:spacing w:before="0"/>
      <w:jc w:val="center"/>
      <w:outlineLvl w:val="0"/>
    </w:pPr>
    <w:rPr>
      <w:b/>
      <w:kern w:val="28"/>
      <w:sz w:val="28"/>
    </w:rPr>
  </w:style>
  <w:style w:type="paragraph" w:styleId="berschrift2">
    <w:name w:val="heading 2"/>
    <w:basedOn w:val="Standard"/>
    <w:next w:val="Standard"/>
    <w:qFormat/>
    <w:pPr>
      <w:keepNext/>
      <w:spacing w:before="240"/>
      <w:jc w:val="center"/>
      <w:outlineLvl w:val="1"/>
    </w:pPr>
    <w:rPr>
      <w:b/>
      <w:sz w:val="24"/>
    </w:rPr>
  </w:style>
  <w:style w:type="paragraph" w:styleId="berschrift3">
    <w:name w:val="heading 3"/>
    <w:basedOn w:val="Standard"/>
    <w:next w:val="Standard"/>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after="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s>
      <w:spacing w:before="0" w:after="0"/>
      <w:ind w:left="200"/>
      <w:jc w:val="left"/>
    </w:pPr>
    <w:rPr>
      <w:rFonts w:ascii="Calibri" w:hAnsi="Calibri" w:cs="Calibri"/>
      <w:smallCaps/>
    </w:rPr>
  </w:style>
  <w:style w:type="paragraph" w:styleId="Verzeichnis3">
    <w:name w:val="toc 3"/>
    <w:basedOn w:val="Standard"/>
    <w:next w:val="Standard"/>
    <w:semiHidden/>
    <w:pPr>
      <w:tabs>
        <w:tab w:val="clear" w:pos="425"/>
      </w:tabs>
      <w:spacing w:before="0" w:after="0"/>
      <w:ind w:left="400"/>
      <w:jc w:val="left"/>
    </w:pPr>
    <w:rPr>
      <w:rFonts w:ascii="Calibri" w:hAnsi="Calibri" w:cs="Calibri"/>
      <w:i/>
      <w:iCs/>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bCs/>
      <w:i w:val="0"/>
      <w:iCs w:val="0"/>
      <w:caps/>
    </w:rPr>
  </w:style>
  <w:style w:type="paragraph" w:customStyle="1" w:styleId="GesAbsatz">
    <w:name w:val="GesAbsatz"/>
    <w:basedOn w:val="Standard"/>
    <w:qFormat/>
    <w:rPr>
      <w:color w:val="000000"/>
    </w:rPr>
  </w:style>
  <w:style w:type="paragraph" w:styleId="Verzeichnis4">
    <w:name w:val="toc 4"/>
    <w:basedOn w:val="Standard"/>
    <w:next w:val="Standard"/>
    <w:semiHidden/>
    <w:pPr>
      <w:tabs>
        <w:tab w:val="clear" w:pos="425"/>
      </w:tabs>
      <w:spacing w:before="0" w:after="0"/>
      <w:ind w:left="600"/>
      <w:jc w:val="left"/>
    </w:pPr>
    <w:rPr>
      <w:rFonts w:ascii="Calibri" w:hAnsi="Calibri" w:cs="Calibri"/>
      <w:sz w:val="18"/>
      <w:szCs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s>
      <w:spacing w:before="0" w:after="0"/>
      <w:ind w:left="800"/>
      <w:jc w:val="left"/>
    </w:pPr>
    <w:rPr>
      <w:rFonts w:ascii="Calibri" w:hAnsi="Calibri" w:cs="Calibri"/>
      <w:sz w:val="18"/>
      <w:szCs w:val="18"/>
    </w:rPr>
  </w:style>
  <w:style w:type="paragraph" w:styleId="Verzeichnis6">
    <w:name w:val="toc 6"/>
    <w:basedOn w:val="Standard"/>
    <w:next w:val="Standard"/>
    <w:semiHidden/>
    <w:pPr>
      <w:tabs>
        <w:tab w:val="clear" w:pos="425"/>
      </w:tabs>
      <w:spacing w:before="0" w:after="0"/>
      <w:ind w:left="1000"/>
      <w:jc w:val="left"/>
    </w:pPr>
    <w:rPr>
      <w:rFonts w:ascii="Calibri" w:hAnsi="Calibri" w:cs="Calibri"/>
      <w:sz w:val="18"/>
      <w:szCs w:val="18"/>
    </w:rPr>
  </w:style>
  <w:style w:type="paragraph" w:styleId="Verzeichnis7">
    <w:name w:val="toc 7"/>
    <w:basedOn w:val="Standard"/>
    <w:next w:val="Standard"/>
    <w:semiHidden/>
    <w:pPr>
      <w:tabs>
        <w:tab w:val="clear" w:pos="425"/>
      </w:tabs>
      <w:spacing w:before="0" w:after="0"/>
      <w:ind w:left="1200"/>
      <w:jc w:val="left"/>
    </w:pPr>
    <w:rPr>
      <w:rFonts w:ascii="Calibri" w:hAnsi="Calibri" w:cs="Calibri"/>
      <w:sz w:val="18"/>
      <w:szCs w:val="18"/>
    </w:rPr>
  </w:style>
  <w:style w:type="paragraph" w:styleId="Verzeichnis8">
    <w:name w:val="toc 8"/>
    <w:basedOn w:val="Standard"/>
    <w:next w:val="Standard"/>
    <w:semiHidden/>
    <w:pPr>
      <w:tabs>
        <w:tab w:val="clear" w:pos="425"/>
      </w:tabs>
      <w:spacing w:before="0" w:after="0"/>
      <w:ind w:left="1400"/>
      <w:jc w:val="left"/>
    </w:pPr>
    <w:rPr>
      <w:rFonts w:ascii="Calibri" w:hAnsi="Calibri" w:cs="Calibri"/>
      <w:sz w:val="18"/>
      <w:szCs w:val="18"/>
    </w:rPr>
  </w:style>
  <w:style w:type="paragraph" w:styleId="Verzeichnis9">
    <w:name w:val="toc 9"/>
    <w:basedOn w:val="Standard"/>
    <w:next w:val="Standard"/>
    <w:semiHidden/>
    <w:pPr>
      <w:tabs>
        <w:tab w:val="clear" w:pos="425"/>
      </w:tabs>
      <w:spacing w:before="0" w:after="0"/>
      <w:ind w:left="1600"/>
      <w:jc w:val="left"/>
    </w:pPr>
    <w:rPr>
      <w:rFonts w:ascii="Calibri" w:hAnsi="Calibri" w:cs="Calibri"/>
      <w:sz w:val="18"/>
      <w:szCs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Einstellungen\natrop\Anwendungsdaten\Microsoft\Templates\VT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E4AE-9483-4294-BF28-98297205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28</Pages>
  <Words>7955</Words>
  <Characters>50121</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Manager/>
  <Company>LANUV NRW</Company>
  <LinksUpToDate>false</LinksUpToDate>
  <CharactersWithSpaces>57961</CharactersWithSpaces>
  <SharedDoc>false</SharedDoc>
  <HLinks>
    <vt:vector size="180" baseType="variant">
      <vt:variant>
        <vt:i4>1376316</vt:i4>
      </vt:variant>
      <vt:variant>
        <vt:i4>176</vt:i4>
      </vt:variant>
      <vt:variant>
        <vt:i4>0</vt:i4>
      </vt:variant>
      <vt:variant>
        <vt:i4>5</vt:i4>
      </vt:variant>
      <vt:variant>
        <vt:lpwstr/>
      </vt:variant>
      <vt:variant>
        <vt:lpwstr>_Toc349111766</vt:lpwstr>
      </vt:variant>
      <vt:variant>
        <vt:i4>1376316</vt:i4>
      </vt:variant>
      <vt:variant>
        <vt:i4>170</vt:i4>
      </vt:variant>
      <vt:variant>
        <vt:i4>0</vt:i4>
      </vt:variant>
      <vt:variant>
        <vt:i4>5</vt:i4>
      </vt:variant>
      <vt:variant>
        <vt:lpwstr/>
      </vt:variant>
      <vt:variant>
        <vt:lpwstr>_Toc349111765</vt:lpwstr>
      </vt:variant>
      <vt:variant>
        <vt:i4>1376316</vt:i4>
      </vt:variant>
      <vt:variant>
        <vt:i4>164</vt:i4>
      </vt:variant>
      <vt:variant>
        <vt:i4>0</vt:i4>
      </vt:variant>
      <vt:variant>
        <vt:i4>5</vt:i4>
      </vt:variant>
      <vt:variant>
        <vt:lpwstr/>
      </vt:variant>
      <vt:variant>
        <vt:lpwstr>_Toc349111764</vt:lpwstr>
      </vt:variant>
      <vt:variant>
        <vt:i4>1376316</vt:i4>
      </vt:variant>
      <vt:variant>
        <vt:i4>158</vt:i4>
      </vt:variant>
      <vt:variant>
        <vt:i4>0</vt:i4>
      </vt:variant>
      <vt:variant>
        <vt:i4>5</vt:i4>
      </vt:variant>
      <vt:variant>
        <vt:lpwstr/>
      </vt:variant>
      <vt:variant>
        <vt:lpwstr>_Toc349111763</vt:lpwstr>
      </vt:variant>
      <vt:variant>
        <vt:i4>1376316</vt:i4>
      </vt:variant>
      <vt:variant>
        <vt:i4>152</vt:i4>
      </vt:variant>
      <vt:variant>
        <vt:i4>0</vt:i4>
      </vt:variant>
      <vt:variant>
        <vt:i4>5</vt:i4>
      </vt:variant>
      <vt:variant>
        <vt:lpwstr/>
      </vt:variant>
      <vt:variant>
        <vt:lpwstr>_Toc349111762</vt:lpwstr>
      </vt:variant>
      <vt:variant>
        <vt:i4>1376316</vt:i4>
      </vt:variant>
      <vt:variant>
        <vt:i4>146</vt:i4>
      </vt:variant>
      <vt:variant>
        <vt:i4>0</vt:i4>
      </vt:variant>
      <vt:variant>
        <vt:i4>5</vt:i4>
      </vt:variant>
      <vt:variant>
        <vt:lpwstr/>
      </vt:variant>
      <vt:variant>
        <vt:lpwstr>_Toc349111761</vt:lpwstr>
      </vt:variant>
      <vt:variant>
        <vt:i4>1376316</vt:i4>
      </vt:variant>
      <vt:variant>
        <vt:i4>140</vt:i4>
      </vt:variant>
      <vt:variant>
        <vt:i4>0</vt:i4>
      </vt:variant>
      <vt:variant>
        <vt:i4>5</vt:i4>
      </vt:variant>
      <vt:variant>
        <vt:lpwstr/>
      </vt:variant>
      <vt:variant>
        <vt:lpwstr>_Toc349111760</vt:lpwstr>
      </vt:variant>
      <vt:variant>
        <vt:i4>1441852</vt:i4>
      </vt:variant>
      <vt:variant>
        <vt:i4>134</vt:i4>
      </vt:variant>
      <vt:variant>
        <vt:i4>0</vt:i4>
      </vt:variant>
      <vt:variant>
        <vt:i4>5</vt:i4>
      </vt:variant>
      <vt:variant>
        <vt:lpwstr/>
      </vt:variant>
      <vt:variant>
        <vt:lpwstr>_Toc349111759</vt:lpwstr>
      </vt:variant>
      <vt:variant>
        <vt:i4>1441852</vt:i4>
      </vt:variant>
      <vt:variant>
        <vt:i4>128</vt:i4>
      </vt:variant>
      <vt:variant>
        <vt:i4>0</vt:i4>
      </vt:variant>
      <vt:variant>
        <vt:i4>5</vt:i4>
      </vt:variant>
      <vt:variant>
        <vt:lpwstr/>
      </vt:variant>
      <vt:variant>
        <vt:lpwstr>_Toc349111758</vt:lpwstr>
      </vt:variant>
      <vt:variant>
        <vt:i4>1441852</vt:i4>
      </vt:variant>
      <vt:variant>
        <vt:i4>122</vt:i4>
      </vt:variant>
      <vt:variant>
        <vt:i4>0</vt:i4>
      </vt:variant>
      <vt:variant>
        <vt:i4>5</vt:i4>
      </vt:variant>
      <vt:variant>
        <vt:lpwstr/>
      </vt:variant>
      <vt:variant>
        <vt:lpwstr>_Toc349111757</vt:lpwstr>
      </vt:variant>
      <vt:variant>
        <vt:i4>1441852</vt:i4>
      </vt:variant>
      <vt:variant>
        <vt:i4>116</vt:i4>
      </vt:variant>
      <vt:variant>
        <vt:i4>0</vt:i4>
      </vt:variant>
      <vt:variant>
        <vt:i4>5</vt:i4>
      </vt:variant>
      <vt:variant>
        <vt:lpwstr/>
      </vt:variant>
      <vt:variant>
        <vt:lpwstr>_Toc349111756</vt:lpwstr>
      </vt:variant>
      <vt:variant>
        <vt:i4>1441852</vt:i4>
      </vt:variant>
      <vt:variant>
        <vt:i4>110</vt:i4>
      </vt:variant>
      <vt:variant>
        <vt:i4>0</vt:i4>
      </vt:variant>
      <vt:variant>
        <vt:i4>5</vt:i4>
      </vt:variant>
      <vt:variant>
        <vt:lpwstr/>
      </vt:variant>
      <vt:variant>
        <vt:lpwstr>_Toc349111755</vt:lpwstr>
      </vt:variant>
      <vt:variant>
        <vt:i4>1441852</vt:i4>
      </vt:variant>
      <vt:variant>
        <vt:i4>104</vt:i4>
      </vt:variant>
      <vt:variant>
        <vt:i4>0</vt:i4>
      </vt:variant>
      <vt:variant>
        <vt:i4>5</vt:i4>
      </vt:variant>
      <vt:variant>
        <vt:lpwstr/>
      </vt:variant>
      <vt:variant>
        <vt:lpwstr>_Toc349111754</vt:lpwstr>
      </vt:variant>
      <vt:variant>
        <vt:i4>1441852</vt:i4>
      </vt:variant>
      <vt:variant>
        <vt:i4>98</vt:i4>
      </vt:variant>
      <vt:variant>
        <vt:i4>0</vt:i4>
      </vt:variant>
      <vt:variant>
        <vt:i4>5</vt:i4>
      </vt:variant>
      <vt:variant>
        <vt:lpwstr/>
      </vt:variant>
      <vt:variant>
        <vt:lpwstr>_Toc349111753</vt:lpwstr>
      </vt:variant>
      <vt:variant>
        <vt:i4>1441852</vt:i4>
      </vt:variant>
      <vt:variant>
        <vt:i4>92</vt:i4>
      </vt:variant>
      <vt:variant>
        <vt:i4>0</vt:i4>
      </vt:variant>
      <vt:variant>
        <vt:i4>5</vt:i4>
      </vt:variant>
      <vt:variant>
        <vt:lpwstr/>
      </vt:variant>
      <vt:variant>
        <vt:lpwstr>_Toc349111752</vt:lpwstr>
      </vt:variant>
      <vt:variant>
        <vt:i4>1441852</vt:i4>
      </vt:variant>
      <vt:variant>
        <vt:i4>86</vt:i4>
      </vt:variant>
      <vt:variant>
        <vt:i4>0</vt:i4>
      </vt:variant>
      <vt:variant>
        <vt:i4>5</vt:i4>
      </vt:variant>
      <vt:variant>
        <vt:lpwstr/>
      </vt:variant>
      <vt:variant>
        <vt:lpwstr>_Toc349111751</vt:lpwstr>
      </vt:variant>
      <vt:variant>
        <vt:i4>1441852</vt:i4>
      </vt:variant>
      <vt:variant>
        <vt:i4>80</vt:i4>
      </vt:variant>
      <vt:variant>
        <vt:i4>0</vt:i4>
      </vt:variant>
      <vt:variant>
        <vt:i4>5</vt:i4>
      </vt:variant>
      <vt:variant>
        <vt:lpwstr/>
      </vt:variant>
      <vt:variant>
        <vt:lpwstr>_Toc349111750</vt:lpwstr>
      </vt:variant>
      <vt:variant>
        <vt:i4>1507388</vt:i4>
      </vt:variant>
      <vt:variant>
        <vt:i4>74</vt:i4>
      </vt:variant>
      <vt:variant>
        <vt:i4>0</vt:i4>
      </vt:variant>
      <vt:variant>
        <vt:i4>5</vt:i4>
      </vt:variant>
      <vt:variant>
        <vt:lpwstr/>
      </vt:variant>
      <vt:variant>
        <vt:lpwstr>_Toc349111749</vt:lpwstr>
      </vt:variant>
      <vt:variant>
        <vt:i4>1507388</vt:i4>
      </vt:variant>
      <vt:variant>
        <vt:i4>68</vt:i4>
      </vt:variant>
      <vt:variant>
        <vt:i4>0</vt:i4>
      </vt:variant>
      <vt:variant>
        <vt:i4>5</vt:i4>
      </vt:variant>
      <vt:variant>
        <vt:lpwstr/>
      </vt:variant>
      <vt:variant>
        <vt:lpwstr>_Toc349111748</vt:lpwstr>
      </vt:variant>
      <vt:variant>
        <vt:i4>1507388</vt:i4>
      </vt:variant>
      <vt:variant>
        <vt:i4>62</vt:i4>
      </vt:variant>
      <vt:variant>
        <vt:i4>0</vt:i4>
      </vt:variant>
      <vt:variant>
        <vt:i4>5</vt:i4>
      </vt:variant>
      <vt:variant>
        <vt:lpwstr/>
      </vt:variant>
      <vt:variant>
        <vt:lpwstr>_Toc349111747</vt:lpwstr>
      </vt:variant>
      <vt:variant>
        <vt:i4>1507388</vt:i4>
      </vt:variant>
      <vt:variant>
        <vt:i4>56</vt:i4>
      </vt:variant>
      <vt:variant>
        <vt:i4>0</vt:i4>
      </vt:variant>
      <vt:variant>
        <vt:i4>5</vt:i4>
      </vt:variant>
      <vt:variant>
        <vt:lpwstr/>
      </vt:variant>
      <vt:variant>
        <vt:lpwstr>_Toc349111746</vt:lpwstr>
      </vt:variant>
      <vt:variant>
        <vt:i4>1507388</vt:i4>
      </vt:variant>
      <vt:variant>
        <vt:i4>50</vt:i4>
      </vt:variant>
      <vt:variant>
        <vt:i4>0</vt:i4>
      </vt:variant>
      <vt:variant>
        <vt:i4>5</vt:i4>
      </vt:variant>
      <vt:variant>
        <vt:lpwstr/>
      </vt:variant>
      <vt:variant>
        <vt:lpwstr>_Toc349111745</vt:lpwstr>
      </vt:variant>
      <vt:variant>
        <vt:i4>1507388</vt:i4>
      </vt:variant>
      <vt:variant>
        <vt:i4>44</vt:i4>
      </vt:variant>
      <vt:variant>
        <vt:i4>0</vt:i4>
      </vt:variant>
      <vt:variant>
        <vt:i4>5</vt:i4>
      </vt:variant>
      <vt:variant>
        <vt:lpwstr/>
      </vt:variant>
      <vt:variant>
        <vt:lpwstr>_Toc349111744</vt:lpwstr>
      </vt:variant>
      <vt:variant>
        <vt:i4>1507388</vt:i4>
      </vt:variant>
      <vt:variant>
        <vt:i4>38</vt:i4>
      </vt:variant>
      <vt:variant>
        <vt:i4>0</vt:i4>
      </vt:variant>
      <vt:variant>
        <vt:i4>5</vt:i4>
      </vt:variant>
      <vt:variant>
        <vt:lpwstr/>
      </vt:variant>
      <vt:variant>
        <vt:lpwstr>_Toc349111743</vt:lpwstr>
      </vt:variant>
      <vt:variant>
        <vt:i4>1507388</vt:i4>
      </vt:variant>
      <vt:variant>
        <vt:i4>32</vt:i4>
      </vt:variant>
      <vt:variant>
        <vt:i4>0</vt:i4>
      </vt:variant>
      <vt:variant>
        <vt:i4>5</vt:i4>
      </vt:variant>
      <vt:variant>
        <vt:lpwstr/>
      </vt:variant>
      <vt:variant>
        <vt:lpwstr>_Toc349111742</vt:lpwstr>
      </vt:variant>
      <vt:variant>
        <vt:i4>1507388</vt:i4>
      </vt:variant>
      <vt:variant>
        <vt:i4>26</vt:i4>
      </vt:variant>
      <vt:variant>
        <vt:i4>0</vt:i4>
      </vt:variant>
      <vt:variant>
        <vt:i4>5</vt:i4>
      </vt:variant>
      <vt:variant>
        <vt:lpwstr/>
      </vt:variant>
      <vt:variant>
        <vt:lpwstr>_Toc349111741</vt:lpwstr>
      </vt:variant>
      <vt:variant>
        <vt:i4>1507388</vt:i4>
      </vt:variant>
      <vt:variant>
        <vt:i4>20</vt:i4>
      </vt:variant>
      <vt:variant>
        <vt:i4>0</vt:i4>
      </vt:variant>
      <vt:variant>
        <vt:i4>5</vt:i4>
      </vt:variant>
      <vt:variant>
        <vt:lpwstr/>
      </vt:variant>
      <vt:variant>
        <vt:lpwstr>_Toc349111740</vt:lpwstr>
      </vt:variant>
      <vt:variant>
        <vt:i4>1048636</vt:i4>
      </vt:variant>
      <vt:variant>
        <vt:i4>14</vt:i4>
      </vt:variant>
      <vt:variant>
        <vt:i4>0</vt:i4>
      </vt:variant>
      <vt:variant>
        <vt:i4>5</vt:i4>
      </vt:variant>
      <vt:variant>
        <vt:lpwstr/>
      </vt:variant>
      <vt:variant>
        <vt:lpwstr>_Toc349111739</vt:lpwstr>
      </vt:variant>
      <vt:variant>
        <vt:i4>1048636</vt:i4>
      </vt:variant>
      <vt:variant>
        <vt:i4>8</vt:i4>
      </vt:variant>
      <vt:variant>
        <vt:i4>0</vt:i4>
      </vt:variant>
      <vt:variant>
        <vt:i4>5</vt:i4>
      </vt:variant>
      <vt:variant>
        <vt:lpwstr/>
      </vt:variant>
      <vt:variant>
        <vt:lpwstr>_Toc349111738</vt:lpwstr>
      </vt:variant>
      <vt:variant>
        <vt:i4>1048636</vt:i4>
      </vt:variant>
      <vt:variant>
        <vt:i4>2</vt:i4>
      </vt:variant>
      <vt:variant>
        <vt:i4>0</vt:i4>
      </vt:variant>
      <vt:variant>
        <vt:i4>5</vt:i4>
      </vt:variant>
      <vt:variant>
        <vt:lpwstr/>
      </vt:variant>
      <vt:variant>
        <vt:lpwstr>_Toc349111737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Rüter, Dr., Ingo</cp:lastModifiedBy>
  <cp:revision>2</cp:revision>
  <cp:lastPrinted>2004-12-14T12:08:00Z</cp:lastPrinted>
  <dcterms:created xsi:type="dcterms:W3CDTF">2024-03-22T14:54:00Z</dcterms:created>
  <dcterms:modified xsi:type="dcterms:W3CDTF">2024-03-22T14:54:00Z</dcterms:modified>
</cp:coreProperties>
</file>