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86424244"/>
      <w:bookmarkStart w:id="1" w:name="_Toc400849971"/>
      <w:bookmarkStart w:id="2" w:name="_Toc88881110"/>
      <w:r>
        <w:t>Siebente Verordnung zur Durchführung des Bundes-Immissionsschutzgesetzes - Verord</w:t>
      </w:r>
      <w:bookmarkStart w:id="3" w:name="_GoBack"/>
      <w:bookmarkEnd w:id="3"/>
      <w:r>
        <w:t xml:space="preserve">nung zur Auswurfbegrenzung von Holzstaub - </w:t>
      </w:r>
      <w:r>
        <w:br/>
        <w:t>7. BImSchV</w:t>
      </w:r>
      <w:bookmarkEnd w:id="0"/>
      <w:bookmarkEnd w:id="1"/>
      <w:bookmarkEnd w:id="2"/>
    </w:p>
    <w:p>
      <w:pPr>
        <w:pStyle w:val="GesAbsatz"/>
        <w:jc w:val="center"/>
      </w:pPr>
      <w:r>
        <w:t xml:space="preserve">vom </w:t>
      </w:r>
      <w:smartTag w:uri="urn:schemas-microsoft-com:office:smarttags" w:element="date">
        <w:smartTagPr>
          <w:attr w:name="Year" w:val="1975"/>
          <w:attr w:name="Day" w:val="18"/>
          <w:attr w:name="Month" w:val="12"/>
          <w:attr w:name="ls" w:val="trans"/>
        </w:smartTagPr>
        <w:r>
          <w:t>18. Dezember 1975</w:t>
        </w:r>
      </w:smartTag>
    </w:p>
    <w:p>
      <w:pPr>
        <w:pStyle w:val="GesAbsatz"/>
        <w:rPr>
          <w:i/>
          <w:color w:val="0000CC"/>
        </w:rPr>
      </w:pPr>
      <w:r>
        <w:rPr>
          <w:i/>
          <w:color w:val="0000CC"/>
        </w:rPr>
        <w:t>Die Verordnung ist am 01.03.1976 in Kraft getreten.</w:t>
      </w:r>
    </w:p>
    <w:p>
      <w:pPr>
        <w:pStyle w:val="GesAbsatz"/>
      </w:pPr>
      <w:hyperlink w:anchor="Gesetzeshistorie" w:history="1">
        <w:r>
          <w:rPr>
            <w:rStyle w:val="Hyperlink"/>
          </w:rPr>
          <w:t>Gesetzeshistorie</w:t>
        </w:r>
      </w:hyperlink>
    </w:p>
    <w:p>
      <w:pPr>
        <w:pStyle w:val="GesAbsatz"/>
        <w:jc w:val="center"/>
        <w:rPr>
          <w:b/>
          <w:sz w:val="22"/>
          <w:szCs w:val="22"/>
        </w:rPr>
      </w:pPr>
      <w:r>
        <w:rPr>
          <w:b/>
          <w:sz w:val="22"/>
          <w:szCs w:val="22"/>
        </w:rPr>
        <w:t>Inhalt:</w:t>
      </w:r>
    </w:p>
    <w:p>
      <w:pPr>
        <w:pStyle w:val="Verzeichnis1"/>
        <w:tabs>
          <w:tab w:val="clear" w:pos="9638"/>
          <w:tab w:val="right" w:leader="dot" w:pos="9628"/>
        </w:tabs>
        <w:rPr>
          <w:b w:val="0"/>
          <w:bCs/>
          <w:caps w:val="0"/>
          <w:noProof/>
          <w:sz w:val="24"/>
        </w:rPr>
      </w:pPr>
      <w:r>
        <w:rPr>
          <w:b w:val="0"/>
          <w:bCs/>
          <w:caps w:val="0"/>
        </w:rPr>
        <w:fldChar w:fldCharType="begin"/>
      </w:r>
      <w:r>
        <w:rPr>
          <w:b w:val="0"/>
          <w:bCs/>
          <w:caps w:val="0"/>
        </w:rPr>
        <w:instrText xml:space="preserve"> TOC \o "1-3" \h \z </w:instrText>
      </w:r>
      <w:r>
        <w:rPr>
          <w:b w:val="0"/>
          <w:bCs/>
          <w:caps w:val="0"/>
        </w:rPr>
        <w:fldChar w:fldCharType="separate"/>
      </w:r>
      <w:hyperlink w:anchor="_Toc88881110" w:history="1">
        <w:r>
          <w:rPr>
            <w:rStyle w:val="Hyperlink"/>
            <w:noProof/>
            <w:szCs w:val="28"/>
          </w:rPr>
          <w:t>Verordnung zur Auswurfbegrenzung von Holzstaub - 7. BImSchV</w:t>
        </w:r>
        <w:r>
          <w:rPr>
            <w:noProof/>
            <w:webHidden/>
          </w:rPr>
          <w:tab/>
        </w:r>
        <w:r>
          <w:rPr>
            <w:noProof/>
            <w:webHidden/>
          </w:rPr>
          <w:fldChar w:fldCharType="begin"/>
        </w:r>
        <w:r>
          <w:rPr>
            <w:noProof/>
            <w:webHidden/>
          </w:rPr>
          <w:instrText xml:space="preserve"> PAGEREF _Toc88881110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rPr>
      </w:pPr>
      <w:hyperlink w:anchor="_Toc88881111" w:history="1">
        <w:r>
          <w:rPr>
            <w:rStyle w:val="Hyperlink"/>
            <w:noProof/>
          </w:rPr>
          <w:t>§ 1 Anwendungsbereich</w:t>
        </w:r>
        <w:r>
          <w:rPr>
            <w:noProof/>
            <w:webHidden/>
          </w:rPr>
          <w:tab/>
        </w:r>
        <w:r>
          <w:rPr>
            <w:noProof/>
            <w:webHidden/>
          </w:rPr>
          <w:fldChar w:fldCharType="begin"/>
        </w:r>
        <w:r>
          <w:rPr>
            <w:noProof/>
            <w:webHidden/>
          </w:rPr>
          <w:instrText xml:space="preserve"> PAGEREF _Toc88881111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rPr>
      </w:pPr>
      <w:hyperlink w:anchor="_Toc88881112" w:history="1">
        <w:r>
          <w:rPr>
            <w:rStyle w:val="Hyperlink"/>
            <w:noProof/>
          </w:rPr>
          <w:t>§ 2 Ausrüstung</w:t>
        </w:r>
        <w:r>
          <w:rPr>
            <w:noProof/>
            <w:webHidden/>
          </w:rPr>
          <w:tab/>
        </w:r>
        <w:r>
          <w:rPr>
            <w:noProof/>
            <w:webHidden/>
          </w:rPr>
          <w:fldChar w:fldCharType="begin"/>
        </w:r>
        <w:r>
          <w:rPr>
            <w:noProof/>
            <w:webHidden/>
          </w:rPr>
          <w:instrText xml:space="preserve"> PAGEREF _Toc88881112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rPr>
      </w:pPr>
      <w:hyperlink w:anchor="_Toc88881113" w:history="1">
        <w:r>
          <w:rPr>
            <w:rStyle w:val="Hyperlink"/>
            <w:noProof/>
          </w:rPr>
          <w:t>§ 3 Lagerung</w:t>
        </w:r>
        <w:r>
          <w:rPr>
            <w:noProof/>
            <w:webHidden/>
          </w:rPr>
          <w:tab/>
        </w:r>
        <w:r>
          <w:rPr>
            <w:noProof/>
            <w:webHidden/>
          </w:rPr>
          <w:fldChar w:fldCharType="begin"/>
        </w:r>
        <w:r>
          <w:rPr>
            <w:noProof/>
            <w:webHidden/>
          </w:rPr>
          <w:instrText xml:space="preserve"> PAGEREF _Toc88881113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rPr>
      </w:pPr>
      <w:hyperlink w:anchor="_Toc88881114" w:history="1">
        <w:r>
          <w:rPr>
            <w:rStyle w:val="Hyperlink"/>
            <w:noProof/>
          </w:rPr>
          <w:t>§ 4 Emissionswert</w:t>
        </w:r>
        <w:r>
          <w:rPr>
            <w:noProof/>
            <w:webHidden/>
          </w:rPr>
          <w:tab/>
        </w:r>
        <w:r>
          <w:rPr>
            <w:noProof/>
            <w:webHidden/>
          </w:rPr>
          <w:fldChar w:fldCharType="begin"/>
        </w:r>
        <w:r>
          <w:rPr>
            <w:noProof/>
            <w:webHidden/>
          </w:rPr>
          <w:instrText xml:space="preserve"> PAGEREF _Toc88881114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rPr>
      </w:pPr>
      <w:hyperlink w:anchor="_Toc88881115" w:history="1">
        <w:r>
          <w:rPr>
            <w:rStyle w:val="Hyperlink"/>
            <w:noProof/>
          </w:rPr>
          <w:t>§ 5 Weitergehende Anforderungen</w:t>
        </w:r>
        <w:r>
          <w:rPr>
            <w:noProof/>
            <w:webHidden/>
          </w:rPr>
          <w:tab/>
        </w:r>
        <w:r>
          <w:rPr>
            <w:noProof/>
            <w:webHidden/>
          </w:rPr>
          <w:fldChar w:fldCharType="begin"/>
        </w:r>
        <w:r>
          <w:rPr>
            <w:noProof/>
            <w:webHidden/>
          </w:rPr>
          <w:instrText xml:space="preserve"> PAGEREF _Toc88881115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rPr>
      </w:pPr>
      <w:hyperlink w:anchor="_Toc88881116" w:history="1">
        <w:r>
          <w:rPr>
            <w:rStyle w:val="Hyperlink"/>
            <w:noProof/>
          </w:rPr>
          <w:t>§ 6 Zulassung von Ausnahmen</w:t>
        </w:r>
        <w:r>
          <w:rPr>
            <w:noProof/>
            <w:webHidden/>
          </w:rPr>
          <w:tab/>
        </w:r>
        <w:r>
          <w:rPr>
            <w:noProof/>
            <w:webHidden/>
          </w:rPr>
          <w:fldChar w:fldCharType="begin"/>
        </w:r>
        <w:r>
          <w:rPr>
            <w:noProof/>
            <w:webHidden/>
          </w:rPr>
          <w:instrText xml:space="preserve"> PAGEREF _Toc88881116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rPr>
      </w:pPr>
      <w:hyperlink w:anchor="_Toc88881117" w:history="1">
        <w:r>
          <w:rPr>
            <w:rStyle w:val="Hyperlink"/>
            <w:noProof/>
          </w:rPr>
          <w:t>§ 7 Ordnungswidrigkeiten</w:t>
        </w:r>
        <w:r>
          <w:rPr>
            <w:noProof/>
            <w:webHidden/>
          </w:rPr>
          <w:tab/>
        </w:r>
        <w:r>
          <w:rPr>
            <w:noProof/>
            <w:webHidden/>
          </w:rPr>
          <w:fldChar w:fldCharType="begin"/>
        </w:r>
        <w:r>
          <w:rPr>
            <w:noProof/>
            <w:webHidden/>
          </w:rPr>
          <w:instrText xml:space="preserve"> PAGEREF _Toc88881117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rPr>
      </w:pPr>
      <w:hyperlink w:anchor="_Toc88881118" w:history="1">
        <w:r>
          <w:rPr>
            <w:rStyle w:val="Hyperlink"/>
            <w:noProof/>
          </w:rPr>
          <w:t>§ 8 Übergangsvorschrift</w:t>
        </w:r>
        <w:r>
          <w:rPr>
            <w:noProof/>
            <w:webHidden/>
          </w:rPr>
          <w:tab/>
        </w:r>
        <w:r>
          <w:rPr>
            <w:noProof/>
            <w:webHidden/>
          </w:rPr>
          <w:fldChar w:fldCharType="begin"/>
        </w:r>
        <w:r>
          <w:rPr>
            <w:noProof/>
            <w:webHidden/>
          </w:rPr>
          <w:instrText xml:space="preserve"> PAGEREF _Toc88881118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rPr>
      </w:pPr>
      <w:hyperlink w:anchor="_Toc88881119" w:history="1">
        <w:r>
          <w:rPr>
            <w:rStyle w:val="Hyperlink"/>
            <w:noProof/>
          </w:rPr>
          <w:t>§ 9 Berlin-Klausel</w:t>
        </w:r>
        <w:r>
          <w:rPr>
            <w:noProof/>
            <w:webHidden/>
          </w:rPr>
          <w:tab/>
        </w:r>
        <w:r>
          <w:rPr>
            <w:noProof/>
            <w:webHidden/>
          </w:rPr>
          <w:fldChar w:fldCharType="begin"/>
        </w:r>
        <w:r>
          <w:rPr>
            <w:noProof/>
            <w:webHidden/>
          </w:rPr>
          <w:instrText xml:space="preserve"> PAGEREF _Toc88881119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rPr>
      </w:pPr>
      <w:hyperlink w:anchor="_Toc88881120" w:history="1">
        <w:r>
          <w:rPr>
            <w:rStyle w:val="Hyperlink"/>
            <w:noProof/>
          </w:rPr>
          <w:t>§ 10 Inkrafttreten</w:t>
        </w:r>
        <w:r>
          <w:rPr>
            <w:noProof/>
            <w:webHidden/>
          </w:rPr>
          <w:tab/>
        </w:r>
        <w:r>
          <w:rPr>
            <w:noProof/>
            <w:webHidden/>
          </w:rPr>
          <w:fldChar w:fldCharType="begin"/>
        </w:r>
        <w:r>
          <w:rPr>
            <w:noProof/>
            <w:webHidden/>
          </w:rPr>
          <w:instrText xml:space="preserve"> PAGEREF _Toc88881120 \h </w:instrText>
        </w:r>
        <w:r>
          <w:rPr>
            <w:noProof/>
            <w:webHidden/>
          </w:rPr>
        </w:r>
        <w:r>
          <w:rPr>
            <w:noProof/>
            <w:webHidden/>
          </w:rPr>
          <w:fldChar w:fldCharType="separate"/>
        </w:r>
        <w:r>
          <w:rPr>
            <w:noProof/>
            <w:webHidden/>
          </w:rPr>
          <w:t>3</w:t>
        </w:r>
        <w:r>
          <w:rPr>
            <w:noProof/>
            <w:webHidden/>
          </w:rPr>
          <w:fldChar w:fldCharType="end"/>
        </w:r>
      </w:hyperlink>
    </w:p>
    <w:p>
      <w:pPr>
        <w:pStyle w:val="GesAbsatz"/>
      </w:pPr>
      <w:r>
        <w:fldChar w:fldCharType="end"/>
      </w:r>
    </w:p>
    <w:p>
      <w:pPr>
        <w:pStyle w:val="GesAbsatz"/>
      </w:pPr>
      <w:r>
        <w:t xml:space="preserve">Auf Grund des § 23 Abs. 1 des Bundes-Immissionsschutzgesetzes vom </w:t>
      </w:r>
      <w:smartTag w:uri="urn:schemas-microsoft-com:office:smarttags" w:element="date">
        <w:smartTagPr>
          <w:attr w:name="Year" w:val="1974"/>
          <w:attr w:name="Day" w:val="15"/>
          <w:attr w:name="Month" w:val="3"/>
          <w:attr w:name="ls" w:val="trans"/>
        </w:smartTagPr>
        <w:r>
          <w:t>15. März 1974</w:t>
        </w:r>
      </w:smartTag>
      <w:r>
        <w:t xml:space="preserve"> (BGBl. I S. 721, 1193), geändert durch § 1 Nr. 14 des Gesetzes zur Änderung des Einführungsgesetzes zum Strafgesetzbuch vom </w:t>
      </w:r>
      <w:smartTag w:uri="urn:schemas-microsoft-com:office:smarttags" w:element="date">
        <w:smartTagPr>
          <w:attr w:name="Year" w:val="1974"/>
          <w:attr w:name="Day" w:val="15"/>
          <w:attr w:name="Month" w:val="8"/>
          <w:attr w:name="ls" w:val="trans"/>
        </w:smartTagPr>
        <w:r>
          <w:t>15. August 1974</w:t>
        </w:r>
      </w:smartTag>
      <w:r>
        <w:t xml:space="preserve"> (BGBl. I S. 1942), wird von der Bundesregierung nach Anhörung der beteiligten Kreise mit Zustimmung des Bundesrates verordnet:</w:t>
      </w:r>
    </w:p>
    <w:p>
      <w:pPr>
        <w:pStyle w:val="berschrift3"/>
      </w:pPr>
      <w:bookmarkStart w:id="4" w:name="_Toc400849972"/>
      <w:bookmarkStart w:id="5" w:name="_Toc88881111"/>
      <w:r>
        <w:t>§ 1</w:t>
      </w:r>
      <w:r>
        <w:br/>
        <w:t>Anwendungsbereich</w:t>
      </w:r>
      <w:bookmarkEnd w:id="4"/>
      <w:bookmarkEnd w:id="5"/>
    </w:p>
    <w:p>
      <w:pPr>
        <w:pStyle w:val="GesAbsatz"/>
      </w:pPr>
      <w:r>
        <w:t>Diese Verordnung gilt für die Errichtung, die Beschaffenheit und den Betrieb staub- oder späneemittierender Anlagen im Sinne des § 3 Abs. 5 Nr. 1 des Bundes-Immissionsschutzgesetzes zur Bearbeitung oder Verarbeitung von Holz oder Holzwerkstoffen einschließlich der zugehörigen Förder- und Lagereinrichtungen für Späne und Stäube. Sie gilt nicht für Anlagen, die einer Genehmigung nach § 4 des Bundes-Immissionsschutzgesetzes bedürfen.</w:t>
      </w:r>
    </w:p>
    <w:p>
      <w:pPr>
        <w:pStyle w:val="berschrift3"/>
      </w:pPr>
      <w:bookmarkStart w:id="6" w:name="_Toc400849973"/>
      <w:bookmarkStart w:id="7" w:name="_Toc88881112"/>
      <w:r>
        <w:t>§ 2</w:t>
      </w:r>
      <w:r>
        <w:br/>
        <w:t>Ausrüstung</w:t>
      </w:r>
      <w:bookmarkEnd w:id="6"/>
      <w:bookmarkEnd w:id="7"/>
    </w:p>
    <w:p>
      <w:pPr>
        <w:pStyle w:val="GesAbsatz"/>
      </w:pPr>
      <w:r>
        <w:t>Anlagen im Sinne des § 1 sind bei ihrer Errichtung mit Abluftreinigungsanlagen auszurüsten, die ein Überschreiten des Emissionswertes nach § 4 ausschließen. Satz 1 gilt nicht, wenn ein Überschreiten des Emissionswertes nach § 4 durch andere Maßnahmen oder Betriebsweisen, insbesondere durch Verarbeitung von waldfrischem Holz, durch Naßschleifen oder durch Einsatz mechanischer Fördereinrichtungen bei jedem Betriebszustand ausgeschlossen wird.</w:t>
      </w:r>
    </w:p>
    <w:p>
      <w:pPr>
        <w:pStyle w:val="berschrift3"/>
      </w:pPr>
      <w:bookmarkStart w:id="8" w:name="_Toc400849974"/>
      <w:bookmarkStart w:id="9" w:name="_Toc88881113"/>
      <w:r>
        <w:t>§ 3</w:t>
      </w:r>
      <w:r>
        <w:br/>
        <w:t>Lagerung</w:t>
      </w:r>
      <w:bookmarkEnd w:id="8"/>
      <w:bookmarkEnd w:id="9"/>
    </w:p>
    <w:p>
      <w:pPr>
        <w:pStyle w:val="GesAbsatz"/>
      </w:pPr>
      <w:r>
        <w:t>(1) Holzstaub und Späne sind in Bunkern, Silos oder sonstigen geschlossenen Räumen zu lagern.</w:t>
      </w:r>
    </w:p>
    <w:p>
      <w:pPr>
        <w:pStyle w:val="GesAbsatz"/>
      </w:pPr>
      <w:r>
        <w:t>(2) An Bunkern und Silos sind regelmäßig Füllstandskontrollen, gegebenenfalls mit Füllstandsmeßgeräten und Überfüllsicherungen, durchzuführen.</w:t>
      </w:r>
    </w:p>
    <w:p>
      <w:pPr>
        <w:pStyle w:val="GesAbsatz"/>
      </w:pPr>
      <w:r>
        <w:t>(3) Lagereinrichtungen im Sinne des Absatzes 1 und Filteranlagen sind so zu entleeren, daß Emissionen an Holzstaub oder Spänen soweit wie möglich vermieden werden, z. B. durch Abfüllen in geschlossene Behälter oder durch Befeuchten an der Austragsstelle.</w:t>
      </w:r>
    </w:p>
    <w:p>
      <w:pPr>
        <w:pStyle w:val="berschrift3"/>
      </w:pPr>
      <w:bookmarkStart w:id="10" w:name="_Toc400849975"/>
      <w:bookmarkStart w:id="11" w:name="_Toc88881114"/>
      <w:r>
        <w:t>§ 4</w:t>
      </w:r>
      <w:r>
        <w:br/>
        <w:t>Emissionswert</w:t>
      </w:r>
      <w:bookmarkEnd w:id="10"/>
      <w:bookmarkEnd w:id="11"/>
    </w:p>
    <w:p>
      <w:pPr>
        <w:pStyle w:val="GesAbsatz"/>
      </w:pPr>
      <w:r>
        <w:t>(1) Anlagen im Sinne des § 1 sind so zu betreiben, daß die Massenkonzentration an Staub und Spänen in der Abluft, bezogen auf den Normzustand (0°C; 1013 Millibar),</w:t>
      </w:r>
    </w:p>
    <w:p>
      <w:pPr>
        <w:pStyle w:val="GesAbsatz"/>
        <w:ind w:left="426" w:hanging="426"/>
      </w:pPr>
      <w:r>
        <w:lastRenderedPageBreak/>
        <w:t>1.</w:t>
      </w:r>
      <w:r>
        <w:tab/>
        <w:t>einen Wert von 50 Milligramm je Kubikmeter Abluft nicht überschreitet, wenn in der Abluft Schleifstaub oder ein Gemisch mit Schleifstaub enthalten ist oder</w:t>
      </w:r>
    </w:p>
    <w:p>
      <w:pPr>
        <w:pStyle w:val="GesAbsatz"/>
        <w:ind w:left="426" w:hanging="426"/>
      </w:pPr>
      <w:r>
        <w:t>2.</w:t>
      </w:r>
      <w:r>
        <w:tab/>
        <w:t>einen aus dem folgenden Diagramm sich ergebenden Wert nicht überschreitet, wenn in der Abluft kein Schleifstaub, sondern anderer Staub oder Späne enthalten sind.</w:t>
      </w:r>
    </w:p>
    <w:p>
      <w:r>
        <w:object w:dxaOrig="9600" w:dyaOrig="4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8pt;height:241.35pt" o:ole="">
            <v:imagedata r:id="rId7" o:title=""/>
          </v:shape>
          <o:OLEObject Type="Embed" ProgID="MSGraph.Chart.8" ShapeID="_x0000_i1025" DrawAspect="Content" ObjectID="_1772627872" r:id="rId8">
            <o:FieldCodes>\s</o:FieldCodes>
          </o:OLEObject>
        </w:object>
      </w:r>
    </w:p>
    <w:p>
      <w:pPr>
        <w:pStyle w:val="GesAbsatz"/>
      </w:pPr>
    </w:p>
    <w:p>
      <w:pPr>
        <w:pStyle w:val="GesAbsatz"/>
      </w:pPr>
      <w:r>
        <w:t xml:space="preserve">(2) Anlagen nach Absatz 1 Nr. 1, die nach dem </w:t>
      </w:r>
      <w:smartTag w:uri="urn:schemas-microsoft-com:office:smarttags" w:element="date">
        <w:smartTagPr>
          <w:attr w:name="Year" w:val="1977"/>
          <w:attr w:name="Day" w:val="1"/>
          <w:attr w:name="Month" w:val="1"/>
          <w:attr w:name="ls" w:val="trans"/>
        </w:smartTagPr>
        <w:r>
          <w:t>1. Januar 1977</w:t>
        </w:r>
      </w:smartTag>
      <w:r>
        <w:t xml:space="preserve"> errichtet werden, sind abweichend von Absatz 1 so zu betreiben, daß die Massenkonzentration an Staub und Spänen in der Abluft, bezogen auf den Normzustand, einen Wert von 20 Milligramm je Kubikmeter Abluft nicht überschreitet.</w:t>
      </w:r>
    </w:p>
    <w:p>
      <w:pPr>
        <w:pStyle w:val="GesAbsatz"/>
      </w:pPr>
      <w:r>
        <w:t>(3) Werden mehrere Anlagen in einem räumlichen und betrieblichen Zusammenhang betrieben, ist bei der Festlegung der zulässigen Massenkonzentration dieser Anlagen die Summe aller Volumenströme zugrunde zu legen.</w:t>
      </w:r>
    </w:p>
    <w:p>
      <w:pPr>
        <w:pStyle w:val="berschrift3"/>
      </w:pPr>
      <w:bookmarkStart w:id="12" w:name="_Toc400849976"/>
      <w:bookmarkStart w:id="13" w:name="_Toc88881115"/>
      <w:r>
        <w:t>§ 5</w:t>
      </w:r>
      <w:r>
        <w:br/>
        <w:t>Weitergehende Anforderungen</w:t>
      </w:r>
      <w:bookmarkEnd w:id="12"/>
      <w:bookmarkEnd w:id="13"/>
    </w:p>
    <w:p>
      <w:pPr>
        <w:pStyle w:val="GesAbsatz"/>
      </w:pPr>
      <w:r>
        <w:t>Die Befugnis der zuständigen Behörden, auf Grund des Bundes-Immissionsschutzgesetzes andere oder weitergehende Anordnungen zu treffen, bleibt unberührt.</w:t>
      </w:r>
    </w:p>
    <w:p>
      <w:pPr>
        <w:pStyle w:val="berschrift3"/>
      </w:pPr>
      <w:bookmarkStart w:id="14" w:name="_Toc400849977"/>
      <w:bookmarkStart w:id="15" w:name="_Toc88881116"/>
      <w:r>
        <w:t>§ 6</w:t>
      </w:r>
      <w:r>
        <w:br/>
        <w:t>Zulassung von Ausnahmen</w:t>
      </w:r>
      <w:bookmarkEnd w:id="14"/>
      <w:bookmarkEnd w:id="15"/>
    </w:p>
    <w:p>
      <w:pPr>
        <w:pStyle w:val="GesAbsatz"/>
      </w:pPr>
      <w:r>
        <w:t>Die zuständige Behörde kann auf Antrag Ausnahmen von den Vorschriften der Verordnung zulassen, soweit unter Berücksichtigung der besonderen Umstände des Einzelfalles schädliche Umwelteinwirkungen nicht zu befürchten sind oder Gründe des Arbeitsschutzes dies erfordern.</w:t>
      </w:r>
    </w:p>
    <w:p>
      <w:pPr>
        <w:pStyle w:val="berschrift3"/>
      </w:pPr>
      <w:bookmarkStart w:id="16" w:name="_Toc400849978"/>
      <w:bookmarkStart w:id="17" w:name="_Toc88881117"/>
      <w:r>
        <w:t>§ 7</w:t>
      </w:r>
      <w:r>
        <w:br/>
        <w:t>Ordnungswidrigkeiten</w:t>
      </w:r>
      <w:bookmarkEnd w:id="16"/>
      <w:bookmarkEnd w:id="17"/>
    </w:p>
    <w:p>
      <w:pPr>
        <w:pStyle w:val="GesAbsatz"/>
      </w:pPr>
      <w:r>
        <w:t>Ordnungswidrig im Sinne des § 62 Abs. 1 Nr. 7 des Bundes-Immissionsschutzgesetzes handelt, der vorsätzlich oder fahrlässig</w:t>
      </w:r>
    </w:p>
    <w:p>
      <w:pPr>
        <w:pStyle w:val="GesAbsatz"/>
        <w:ind w:left="426" w:hanging="426"/>
      </w:pPr>
      <w:r>
        <w:t>1.</w:t>
      </w:r>
      <w:r>
        <w:tab/>
        <w:t>entgegen § 2 eine Anlage nicht mit einer Abluftreinigungsanlage ausrüstet,</w:t>
      </w:r>
    </w:p>
    <w:p>
      <w:pPr>
        <w:pStyle w:val="GesAbsatz"/>
        <w:ind w:left="426" w:hanging="426"/>
      </w:pPr>
      <w:r>
        <w:t>2.</w:t>
      </w:r>
      <w:r>
        <w:tab/>
        <w:t>entgegen § 3 Holzstaub und Späne nicht in Bunkern, Silos oder sonstigen geschlossenen Räumen lagert, keine regelmäßigen Füllstandskontrollen durchführt, Bunker, Silos oder sonstige geschlossene Räume sowie Filteranlagen nicht so entleert, daß Emissionen so weit wie möglich vermieden werden oder</w:t>
      </w:r>
    </w:p>
    <w:p>
      <w:pPr>
        <w:pStyle w:val="GesAbsatz"/>
        <w:ind w:left="426" w:hanging="426"/>
      </w:pPr>
      <w:r>
        <w:t>3.</w:t>
      </w:r>
      <w:r>
        <w:tab/>
        <w:t>entgegen § 4 oder § 8 eine Anlage so betreibt, daß die zulässige Massenkonzentration an Staub in der Abluft überschritten wird.</w:t>
      </w:r>
    </w:p>
    <w:p>
      <w:pPr>
        <w:pStyle w:val="berschrift3"/>
      </w:pPr>
      <w:bookmarkStart w:id="18" w:name="_Toc400849979"/>
      <w:bookmarkStart w:id="19" w:name="_Toc88881118"/>
      <w:r>
        <w:lastRenderedPageBreak/>
        <w:t>§ 8</w:t>
      </w:r>
      <w:r>
        <w:br/>
        <w:t>Übergangsvorschrift</w:t>
      </w:r>
      <w:bookmarkEnd w:id="18"/>
      <w:bookmarkEnd w:id="19"/>
    </w:p>
    <w:p>
      <w:pPr>
        <w:pStyle w:val="GesAbsatz"/>
      </w:pPr>
      <w:r>
        <w:t xml:space="preserve">Anlagen im Sinne des § 1, die vor dem Inkrafttreten dieser Verordnung in Betrieb genommen worden sind, müssen den Anforderungen der §§ 2 bis 4 ab </w:t>
      </w:r>
      <w:smartTag w:uri="urn:schemas-microsoft-com:office:smarttags" w:element="date">
        <w:smartTagPr>
          <w:attr w:name="Year" w:val="1982"/>
          <w:attr w:name="Day" w:val="1"/>
          <w:attr w:name="Month" w:val="1"/>
          <w:attr w:name="ls" w:val="trans"/>
        </w:smartTagPr>
        <w:r>
          <w:t>1. Januar 1982</w:t>
        </w:r>
      </w:smartTag>
      <w:r>
        <w:t xml:space="preserve"> in vollem Umfang genügen; ab </w:t>
      </w:r>
      <w:smartTag w:uri="urn:schemas-microsoft-com:office:smarttags" w:element="date">
        <w:smartTagPr>
          <w:attr w:name="Year" w:val="1977"/>
          <w:attr w:name="Day" w:val="1"/>
          <w:attr w:name="Month" w:val="1"/>
          <w:attr w:name="ls" w:val="trans"/>
        </w:smartTagPr>
        <w:r>
          <w:t>1. Januar 1977</w:t>
        </w:r>
      </w:smartTag>
      <w:r>
        <w:t xml:space="preserve"> darf beim Betrieb dieser Anlagen das Zweieinhalbfache der in § 4 festgelegten Massenkonzentration nicht überschritten werden.</w:t>
      </w:r>
    </w:p>
    <w:p>
      <w:pPr>
        <w:pStyle w:val="berschrift3"/>
      </w:pPr>
      <w:bookmarkStart w:id="20" w:name="_Toc400849980"/>
      <w:bookmarkStart w:id="21" w:name="_Toc88881119"/>
      <w:r>
        <w:t>§ 9</w:t>
      </w:r>
      <w:r>
        <w:br/>
        <w:t>Berlin-Klausel</w:t>
      </w:r>
      <w:bookmarkEnd w:id="20"/>
      <w:bookmarkEnd w:id="21"/>
    </w:p>
    <w:p>
      <w:pPr>
        <w:pStyle w:val="GesAbsatz"/>
        <w:jc w:val="center"/>
      </w:pPr>
      <w:r>
        <w:t>(gegenstandslos)</w:t>
      </w:r>
    </w:p>
    <w:p>
      <w:pPr>
        <w:pStyle w:val="berschrift3"/>
      </w:pPr>
      <w:bookmarkStart w:id="22" w:name="_Toc400849981"/>
      <w:bookmarkStart w:id="23" w:name="_Toc88881120"/>
      <w:r>
        <w:t>§ 10</w:t>
      </w:r>
      <w:r>
        <w:br/>
        <w:t>Inkrafttreten</w:t>
      </w:r>
      <w:bookmarkEnd w:id="22"/>
      <w:bookmarkEnd w:id="23"/>
    </w:p>
    <w:p>
      <w:pPr>
        <w:pStyle w:val="GesAbsatz"/>
      </w:pPr>
      <w:r>
        <w:t>Diese Verordnung tritt am ersten Tage des auf die Verkündung folgenden dritten Kalendermonats in Kraft.</w:t>
      </w:r>
    </w:p>
    <w:p/>
    <w:p/>
    <w:p/>
    <w:p>
      <w:pPr>
        <w:rPr>
          <w:b/>
          <w:sz w:val="22"/>
          <w:szCs w:val="22"/>
        </w:rPr>
      </w:pPr>
      <w:bookmarkStart w:id="24" w:name="Gesetzeshistorie"/>
      <w:bookmarkEnd w:id="24"/>
      <w:r>
        <w:rPr>
          <w:b/>
          <w:sz w:val="22"/>
          <w:szCs w:val="22"/>
        </w:rPr>
        <w:t>Änderungen:</w:t>
      </w:r>
    </w:p>
    <w:p/>
    <w:sectPr>
      <w:headerReference w:type="default" r:id="rId9"/>
      <w:footerReference w:type="default" r:id="rId10"/>
      <w:type w:val="continuous"/>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 xml:space="preserve">Stand </w:t>
    </w:r>
    <w:smartTag w:uri="urn:schemas-microsoft-com:office:smarttags" w:element="date">
      <w:smartTagPr>
        <w:attr w:name="ls" w:val="trans"/>
        <w:attr w:name="Month" w:val="12"/>
        <w:attr w:name="Day" w:val="18"/>
        <w:attr w:name="Year" w:val="1975"/>
      </w:smartTagPr>
      <w:r>
        <w:t>18.12.1975</w:t>
      </w:r>
    </w:smartTag>
    <w:r>
      <w:t xml:space="preserve"> (BGBl. I S. 3133 / FNA 2129-8-7)</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60.1-034</w:t>
    </w:r>
  </w:p>
  <w:p>
    <w:pPr>
      <w:pStyle w:val="Kopfzeile"/>
    </w:pPr>
    <w:r>
      <w:t>7. BImSchV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EB1C83"/>
    <w:multiLevelType w:val="singleLevel"/>
    <w:tmpl w:val="69D2275A"/>
    <w:lvl w:ilvl="0">
      <w:start w:val="1"/>
      <w:numFmt w:val="decimal"/>
      <w:lvlText w:val="%1."/>
      <w:legacy w:legacy="1" w:legacySpace="0" w:legacyIndent="283"/>
      <w:lvlJc w:val="left"/>
      <w:pPr>
        <w:ind w:left="283" w:hanging="283"/>
      </w:pPr>
    </w:lvl>
  </w:abstractNum>
  <w:abstractNum w:abstractNumId="6" w15:restartNumberingAfterBreak="0">
    <w:nsid w:val="758D7261"/>
    <w:multiLevelType w:val="singleLevel"/>
    <w:tmpl w:val="69D2275A"/>
    <w:lvl w:ilvl="0">
      <w:start w:val="1"/>
      <w:numFmt w:val="decimal"/>
      <w:lvlText w:val="%1."/>
      <w:legacy w:legacy="1" w:legacySpace="0" w:legacyIndent="283"/>
      <w:lvlJc w:val="left"/>
      <w:pPr>
        <w:ind w:left="283" w:hanging="283"/>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6145"/>
    <o:shapelayout v:ext="edit">
      <o:idmap v:ext="edit" data="1"/>
    </o:shapelayout>
  </w:shapeDefaults>
  <w:decimalSymbol w:val=","/>
  <w:listSeparator w:val=";"/>
  <w15:docId w15:val="{E3497F6A-7B4F-46FF-84F7-54A25F0B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character" w:styleId="Funotenzeichen">
    <w:name w:val="footnote reference"/>
    <w:qFormat/>
    <w:rPr>
      <w:sz w:val="20"/>
      <w:szCs w:val="20"/>
      <w:vertAlign w:val="superscript"/>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rPr>
      <w:color w:val="800080"/>
      <w:u w:val="single"/>
    </w:rPr>
  </w:style>
  <w:style w:type="paragraph" w:customStyle="1" w:styleId="GesAbsatz">
    <w:name w:val="GesAbsatz"/>
    <w:basedOn w:val="Standard"/>
    <w:qFormat/>
    <w:pPr>
      <w:spacing w:before="100"/>
    </w:pPr>
    <w:rPr>
      <w:color w:val="000000"/>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3</Pages>
  <Words>708</Words>
  <Characters>5029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7. BImSchV</vt:lpstr>
    </vt:vector>
  </TitlesOfParts>
  <Company>LANUV NRW</Company>
  <LinksUpToDate>false</LinksUpToDate>
  <CharactersWithSpaces>5726</CharactersWithSpaces>
  <SharedDoc>false</SharedDoc>
  <HLinks>
    <vt:vector size="72" baseType="variant">
      <vt:variant>
        <vt:i4>1441843</vt:i4>
      </vt:variant>
      <vt:variant>
        <vt:i4>65</vt:i4>
      </vt:variant>
      <vt:variant>
        <vt:i4>0</vt:i4>
      </vt:variant>
      <vt:variant>
        <vt:i4>5</vt:i4>
      </vt:variant>
      <vt:variant>
        <vt:lpwstr/>
      </vt:variant>
      <vt:variant>
        <vt:lpwstr>_Toc88881120</vt:lpwstr>
      </vt:variant>
      <vt:variant>
        <vt:i4>2031664</vt:i4>
      </vt:variant>
      <vt:variant>
        <vt:i4>59</vt:i4>
      </vt:variant>
      <vt:variant>
        <vt:i4>0</vt:i4>
      </vt:variant>
      <vt:variant>
        <vt:i4>5</vt:i4>
      </vt:variant>
      <vt:variant>
        <vt:lpwstr/>
      </vt:variant>
      <vt:variant>
        <vt:lpwstr>_Toc88881119</vt:lpwstr>
      </vt:variant>
      <vt:variant>
        <vt:i4>1966128</vt:i4>
      </vt:variant>
      <vt:variant>
        <vt:i4>53</vt:i4>
      </vt:variant>
      <vt:variant>
        <vt:i4>0</vt:i4>
      </vt:variant>
      <vt:variant>
        <vt:i4>5</vt:i4>
      </vt:variant>
      <vt:variant>
        <vt:lpwstr/>
      </vt:variant>
      <vt:variant>
        <vt:lpwstr>_Toc88881118</vt:lpwstr>
      </vt:variant>
      <vt:variant>
        <vt:i4>1114160</vt:i4>
      </vt:variant>
      <vt:variant>
        <vt:i4>47</vt:i4>
      </vt:variant>
      <vt:variant>
        <vt:i4>0</vt:i4>
      </vt:variant>
      <vt:variant>
        <vt:i4>5</vt:i4>
      </vt:variant>
      <vt:variant>
        <vt:lpwstr/>
      </vt:variant>
      <vt:variant>
        <vt:lpwstr>_Toc88881117</vt:lpwstr>
      </vt:variant>
      <vt:variant>
        <vt:i4>1048624</vt:i4>
      </vt:variant>
      <vt:variant>
        <vt:i4>41</vt:i4>
      </vt:variant>
      <vt:variant>
        <vt:i4>0</vt:i4>
      </vt:variant>
      <vt:variant>
        <vt:i4>5</vt:i4>
      </vt:variant>
      <vt:variant>
        <vt:lpwstr/>
      </vt:variant>
      <vt:variant>
        <vt:lpwstr>_Toc88881116</vt:lpwstr>
      </vt:variant>
      <vt:variant>
        <vt:i4>1245232</vt:i4>
      </vt:variant>
      <vt:variant>
        <vt:i4>35</vt:i4>
      </vt:variant>
      <vt:variant>
        <vt:i4>0</vt:i4>
      </vt:variant>
      <vt:variant>
        <vt:i4>5</vt:i4>
      </vt:variant>
      <vt:variant>
        <vt:lpwstr/>
      </vt:variant>
      <vt:variant>
        <vt:lpwstr>_Toc88881115</vt:lpwstr>
      </vt:variant>
      <vt:variant>
        <vt:i4>1179696</vt:i4>
      </vt:variant>
      <vt:variant>
        <vt:i4>29</vt:i4>
      </vt:variant>
      <vt:variant>
        <vt:i4>0</vt:i4>
      </vt:variant>
      <vt:variant>
        <vt:i4>5</vt:i4>
      </vt:variant>
      <vt:variant>
        <vt:lpwstr/>
      </vt:variant>
      <vt:variant>
        <vt:lpwstr>_Toc88881114</vt:lpwstr>
      </vt:variant>
      <vt:variant>
        <vt:i4>1376304</vt:i4>
      </vt:variant>
      <vt:variant>
        <vt:i4>23</vt:i4>
      </vt:variant>
      <vt:variant>
        <vt:i4>0</vt:i4>
      </vt:variant>
      <vt:variant>
        <vt:i4>5</vt:i4>
      </vt:variant>
      <vt:variant>
        <vt:lpwstr/>
      </vt:variant>
      <vt:variant>
        <vt:lpwstr>_Toc88881113</vt:lpwstr>
      </vt:variant>
      <vt:variant>
        <vt:i4>1310768</vt:i4>
      </vt:variant>
      <vt:variant>
        <vt:i4>17</vt:i4>
      </vt:variant>
      <vt:variant>
        <vt:i4>0</vt:i4>
      </vt:variant>
      <vt:variant>
        <vt:i4>5</vt:i4>
      </vt:variant>
      <vt:variant>
        <vt:lpwstr/>
      </vt:variant>
      <vt:variant>
        <vt:lpwstr>_Toc88881112</vt:lpwstr>
      </vt:variant>
      <vt:variant>
        <vt:i4>1507376</vt:i4>
      </vt:variant>
      <vt:variant>
        <vt:i4>11</vt:i4>
      </vt:variant>
      <vt:variant>
        <vt:i4>0</vt:i4>
      </vt:variant>
      <vt:variant>
        <vt:i4>5</vt:i4>
      </vt:variant>
      <vt:variant>
        <vt:lpwstr/>
      </vt:variant>
      <vt:variant>
        <vt:lpwstr>_Toc88881111</vt:lpwstr>
      </vt:variant>
      <vt:variant>
        <vt:i4>1441840</vt:i4>
      </vt:variant>
      <vt:variant>
        <vt:i4>5</vt:i4>
      </vt:variant>
      <vt:variant>
        <vt:i4>0</vt:i4>
      </vt:variant>
      <vt:variant>
        <vt:i4>5</vt:i4>
      </vt:variant>
      <vt:variant>
        <vt:lpwstr/>
      </vt:variant>
      <vt:variant>
        <vt:lpwstr>_Toc88881110</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BImSchV</dc:title>
  <dc:creator>LANUV NRW</dc:creator>
  <dc:description>durchgesehen 12.2004</dc:description>
  <cp:lastModifiedBy>Rüter, Dr., Ingo</cp:lastModifiedBy>
  <cp:revision>4</cp:revision>
  <dcterms:created xsi:type="dcterms:W3CDTF">2014-10-16T07:48:00Z</dcterms:created>
  <dcterms:modified xsi:type="dcterms:W3CDTF">2024-03-22T14:51:00Z</dcterms:modified>
</cp:coreProperties>
</file>