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387090"/>
      <w:r>
        <w:t xml:space="preserve">DURCHFÜHRUNGSBESCHLUSS </w:t>
      </w:r>
      <w:hyperlink r:id="rId8" w:history="1">
        <w:r>
          <w:rPr>
            <w:rStyle w:val="Hyperlink"/>
          </w:rPr>
          <w:t>2011/850/EU</w:t>
        </w:r>
      </w:hyperlink>
      <w:r>
        <w:t xml:space="preserve"> DER KOMMISSION</w:t>
      </w:r>
      <w:r>
        <w:br/>
        <w:t>vom 12. Dezember 2011</w:t>
      </w:r>
      <w:r>
        <w:br/>
        <w:t>mit Bestimmungen zu den Richtlinien 2004/107/EG und 2008/50/EG des Europäischen Parlaments und des Rates im Hinblick auf den Austausch von Informationen u</w:t>
      </w:r>
      <w:bookmarkStart w:id="1" w:name="_GoBack"/>
      <w:bookmarkEnd w:id="1"/>
      <w:r>
        <w:t>nd die Berichterstattung über die Luftqualität</w:t>
      </w:r>
      <w:bookmarkEnd w:id="0"/>
    </w:p>
    <w:p>
      <w:pPr>
        <w:pStyle w:val="GesAbsatz"/>
        <w:jc w:val="center"/>
      </w:pPr>
      <w:r>
        <w:t>(Bekanntgegeben unter Aktenzeichen K(2011) 9068)</w:t>
      </w:r>
    </w:p>
    <w:p>
      <w:pPr>
        <w:pStyle w:val="GesAbsatz"/>
      </w:pPr>
      <w:r>
        <w:t xml:space="preserve">Berichtigung: </w:t>
      </w:r>
      <w:hyperlink r:id="rId9" w:history="1">
        <w:r>
          <w:rPr>
            <w:rStyle w:val="Hyperlink"/>
          </w:rPr>
          <w:t>ABl. L 156</w:t>
        </w:r>
      </w:hyperlink>
      <w:r>
        <w:t xml:space="preserve"> v. 20.06.2017 S. 36;</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8387090" w:history="1">
        <w:r>
          <w:rPr>
            <w:rStyle w:val="Hyperlink"/>
            <w:noProof/>
          </w:rPr>
          <w:t>DURCHFÜHRUNGSBESCHLUSS DER KOMMISSION vom 12. Dezember 2011</w:t>
        </w:r>
        <w:r>
          <w:rPr>
            <w:noProof/>
            <w:webHidden/>
          </w:rPr>
          <w:tab/>
        </w:r>
        <w:r>
          <w:rPr>
            <w:noProof/>
            <w:webHidden/>
          </w:rPr>
          <w:fldChar w:fldCharType="begin"/>
        </w:r>
        <w:r>
          <w:rPr>
            <w:noProof/>
            <w:webHidden/>
          </w:rPr>
          <w:instrText xml:space="preserve"> PAGEREF _Toc448387090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1" w:history="1">
        <w:r>
          <w:rPr>
            <w:rStyle w:val="Hyperlink"/>
            <w:noProof/>
          </w:rPr>
          <w:t>KAPITEL I ALLGEMEINE VORSCHRIFTEN</w:t>
        </w:r>
        <w:r>
          <w:rPr>
            <w:noProof/>
            <w:webHidden/>
          </w:rPr>
          <w:tab/>
        </w:r>
        <w:r>
          <w:rPr>
            <w:noProof/>
            <w:webHidden/>
          </w:rPr>
          <w:fldChar w:fldCharType="begin"/>
        </w:r>
        <w:r>
          <w:rPr>
            <w:noProof/>
            <w:webHidden/>
          </w:rPr>
          <w:instrText xml:space="preserve"> PAGEREF _Toc448387091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2" w:history="1">
        <w:r>
          <w:rPr>
            <w:rStyle w:val="Hyperlink"/>
            <w:noProof/>
          </w:rPr>
          <w:t>Artikel 1 Gegenstand</w:t>
        </w:r>
        <w:r>
          <w:rPr>
            <w:noProof/>
            <w:webHidden/>
          </w:rPr>
          <w:tab/>
        </w:r>
        <w:r>
          <w:rPr>
            <w:noProof/>
            <w:webHidden/>
          </w:rPr>
          <w:fldChar w:fldCharType="begin"/>
        </w:r>
        <w:r>
          <w:rPr>
            <w:noProof/>
            <w:webHidden/>
          </w:rPr>
          <w:instrText xml:space="preserve"> PAGEREF _Toc448387092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3" w:history="1">
        <w:r>
          <w:rPr>
            <w:rStyle w:val="Hyperlink"/>
            <w:noProof/>
          </w:rPr>
          <w:t>Artikel 2 Begriffsbestimmungen</w:t>
        </w:r>
        <w:r>
          <w:rPr>
            <w:noProof/>
            <w:webHidden/>
          </w:rPr>
          <w:tab/>
        </w:r>
        <w:r>
          <w:rPr>
            <w:noProof/>
            <w:webHidden/>
          </w:rPr>
          <w:fldChar w:fldCharType="begin"/>
        </w:r>
        <w:r>
          <w:rPr>
            <w:noProof/>
            <w:webHidden/>
          </w:rPr>
          <w:instrText xml:space="preserve"> PAGEREF _Toc448387093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4" w:history="1">
        <w:r>
          <w:rPr>
            <w:rStyle w:val="Hyperlink"/>
            <w:noProof/>
          </w:rPr>
          <w:t>KAPITEL II GEMEINSAME VORSCHRIFTEN FÜR DAS VERFAHREN ZUR ÜBERMITTLUNG VON INFORMATIONEN UND ZUR QUALITÄTSKONTROLLE</w:t>
        </w:r>
        <w:r>
          <w:rPr>
            <w:noProof/>
            <w:webHidden/>
          </w:rPr>
          <w:tab/>
        </w:r>
        <w:r>
          <w:rPr>
            <w:noProof/>
            <w:webHidden/>
          </w:rPr>
          <w:fldChar w:fldCharType="begin"/>
        </w:r>
        <w:r>
          <w:rPr>
            <w:noProof/>
            <w:webHidden/>
          </w:rPr>
          <w:instrText xml:space="preserve"> PAGEREF _Toc448387094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5" w:history="1">
        <w:r>
          <w:rPr>
            <w:rStyle w:val="Hyperlink"/>
            <w:noProof/>
          </w:rPr>
          <w:t>Artikel 3 Luftqualitätsportal und Datenablage</w:t>
        </w:r>
        <w:r>
          <w:rPr>
            <w:noProof/>
            <w:webHidden/>
          </w:rPr>
          <w:tab/>
        </w:r>
        <w:r>
          <w:rPr>
            <w:noProof/>
            <w:webHidden/>
          </w:rPr>
          <w:fldChar w:fldCharType="begin"/>
        </w:r>
        <w:r>
          <w:rPr>
            <w:noProof/>
            <w:webHidden/>
          </w:rPr>
          <w:instrText xml:space="preserve"> PAGEREF _Toc448387095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6" w:history="1">
        <w:r>
          <w:rPr>
            <w:rStyle w:val="Hyperlink"/>
            <w:noProof/>
          </w:rPr>
          <w:t>Artikel 4 Verschlüsselung der Informationen</w:t>
        </w:r>
        <w:r>
          <w:rPr>
            <w:noProof/>
            <w:webHidden/>
          </w:rPr>
          <w:tab/>
        </w:r>
        <w:r>
          <w:rPr>
            <w:noProof/>
            <w:webHidden/>
          </w:rPr>
          <w:fldChar w:fldCharType="begin"/>
        </w:r>
        <w:r>
          <w:rPr>
            <w:noProof/>
            <w:webHidden/>
          </w:rPr>
          <w:instrText xml:space="preserve"> PAGEREF _Toc448387096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7" w:history="1">
        <w:r>
          <w:rPr>
            <w:rStyle w:val="Hyperlink"/>
            <w:noProof/>
          </w:rPr>
          <w:t>Artikel 5 Verfahren zur Bereitstellung der Informationen</w:t>
        </w:r>
        <w:r>
          <w:rPr>
            <w:noProof/>
            <w:webHidden/>
          </w:rPr>
          <w:tab/>
        </w:r>
        <w:r>
          <w:rPr>
            <w:noProof/>
            <w:webHidden/>
          </w:rPr>
          <w:fldChar w:fldCharType="begin"/>
        </w:r>
        <w:r>
          <w:rPr>
            <w:noProof/>
            <w:webHidden/>
          </w:rPr>
          <w:instrText xml:space="preserve"> PAGEREF _Toc448387097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8" w:history="1">
        <w:r>
          <w:rPr>
            <w:rStyle w:val="Hyperlink"/>
            <w:noProof/>
          </w:rPr>
          <w:t>KAPITEL III BEREITSTELLUNG DER INFORMATIONEN DER MITGLIEDSTAATEN ÜBER DIE LUFTQUALITÄT</w:t>
        </w:r>
        <w:r>
          <w:rPr>
            <w:noProof/>
            <w:webHidden/>
          </w:rPr>
          <w:tab/>
        </w:r>
        <w:r>
          <w:rPr>
            <w:noProof/>
            <w:webHidden/>
          </w:rPr>
          <w:fldChar w:fldCharType="begin"/>
        </w:r>
        <w:r>
          <w:rPr>
            <w:noProof/>
            <w:webHidden/>
          </w:rPr>
          <w:instrText xml:space="preserve"> PAGEREF _Toc448387098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099" w:history="1">
        <w:r>
          <w:rPr>
            <w:rStyle w:val="Hyperlink"/>
            <w:noProof/>
          </w:rPr>
          <w:t>Artikel 6 Gebiete und Ballungsräume</w:t>
        </w:r>
        <w:r>
          <w:rPr>
            <w:noProof/>
            <w:webHidden/>
          </w:rPr>
          <w:tab/>
        </w:r>
        <w:r>
          <w:rPr>
            <w:noProof/>
            <w:webHidden/>
          </w:rPr>
          <w:fldChar w:fldCharType="begin"/>
        </w:r>
        <w:r>
          <w:rPr>
            <w:noProof/>
            <w:webHidden/>
          </w:rPr>
          <w:instrText xml:space="preserve"> PAGEREF _Toc448387099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0" w:history="1">
        <w:r>
          <w:rPr>
            <w:rStyle w:val="Hyperlink"/>
            <w:noProof/>
          </w:rPr>
          <w:t>Artikel 7 Beurteilungssystem</w:t>
        </w:r>
        <w:r>
          <w:rPr>
            <w:noProof/>
            <w:webHidden/>
          </w:rPr>
          <w:tab/>
        </w:r>
        <w:r>
          <w:rPr>
            <w:noProof/>
            <w:webHidden/>
          </w:rPr>
          <w:fldChar w:fldCharType="begin"/>
        </w:r>
        <w:r>
          <w:rPr>
            <w:noProof/>
            <w:webHidden/>
          </w:rPr>
          <w:instrText xml:space="preserve"> PAGEREF _Toc448387100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1" w:history="1">
        <w:r>
          <w:rPr>
            <w:rStyle w:val="Hyperlink"/>
            <w:noProof/>
          </w:rPr>
          <w:t>Artikel 8 Verfahren für den Nachweis und die Nichtberücksichtigung von Überschreitungen, die natürlichen Quellen oder der Ausbringung von Streusand- oder –salz auf Straßen im Winterdienst zuzurechnen sind</w:t>
        </w:r>
        <w:r>
          <w:rPr>
            <w:noProof/>
            <w:webHidden/>
          </w:rPr>
          <w:tab/>
        </w:r>
        <w:r>
          <w:rPr>
            <w:noProof/>
            <w:webHidden/>
          </w:rPr>
          <w:fldChar w:fldCharType="begin"/>
        </w:r>
        <w:r>
          <w:rPr>
            <w:noProof/>
            <w:webHidden/>
          </w:rPr>
          <w:instrText xml:space="preserve"> PAGEREF _Toc448387101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2" w:history="1">
        <w:r>
          <w:rPr>
            <w:rStyle w:val="Hyperlink"/>
            <w:noProof/>
          </w:rPr>
          <w:t>Artikel 9 Beurteilungsverfahren</w:t>
        </w:r>
        <w:r>
          <w:rPr>
            <w:noProof/>
            <w:webHidden/>
          </w:rPr>
          <w:tab/>
        </w:r>
        <w:r>
          <w:rPr>
            <w:noProof/>
            <w:webHidden/>
          </w:rPr>
          <w:fldChar w:fldCharType="begin"/>
        </w:r>
        <w:r>
          <w:rPr>
            <w:noProof/>
            <w:webHidden/>
          </w:rPr>
          <w:instrText xml:space="preserve"> PAGEREF _Toc448387102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3" w:history="1">
        <w:r>
          <w:rPr>
            <w:rStyle w:val="Hyperlink"/>
            <w:noProof/>
          </w:rPr>
          <w:t>Artikel 10 Validierte Einzel-Beurteilungsdaten und Einzel-Aktual-Beurteilungsdaten</w:t>
        </w:r>
        <w:r>
          <w:rPr>
            <w:noProof/>
            <w:webHidden/>
          </w:rPr>
          <w:tab/>
        </w:r>
        <w:r>
          <w:rPr>
            <w:noProof/>
            <w:webHidden/>
          </w:rPr>
          <w:fldChar w:fldCharType="begin"/>
        </w:r>
        <w:r>
          <w:rPr>
            <w:noProof/>
            <w:webHidden/>
          </w:rPr>
          <w:instrText xml:space="preserve"> PAGEREF _Toc448387103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4" w:history="1">
        <w:r>
          <w:rPr>
            <w:rStyle w:val="Hyperlink"/>
            <w:noProof/>
          </w:rPr>
          <w:t>Artikel 11 Aggregierte validierte Beurteilungsdaten</w:t>
        </w:r>
        <w:r>
          <w:rPr>
            <w:noProof/>
            <w:webHidden/>
          </w:rPr>
          <w:tab/>
        </w:r>
        <w:r>
          <w:rPr>
            <w:noProof/>
            <w:webHidden/>
          </w:rPr>
          <w:fldChar w:fldCharType="begin"/>
        </w:r>
        <w:r>
          <w:rPr>
            <w:noProof/>
            <w:webHidden/>
          </w:rPr>
          <w:instrText xml:space="preserve"> PAGEREF _Toc448387104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5" w:history="1">
        <w:r>
          <w:rPr>
            <w:rStyle w:val="Hyperlink"/>
            <w:noProof/>
          </w:rPr>
          <w:t>Artikel 12 Erreichung der Umweltziele</w:t>
        </w:r>
        <w:r>
          <w:rPr>
            <w:noProof/>
            <w:webHidden/>
          </w:rPr>
          <w:tab/>
        </w:r>
        <w:r>
          <w:rPr>
            <w:noProof/>
            <w:webHidden/>
          </w:rPr>
          <w:fldChar w:fldCharType="begin"/>
        </w:r>
        <w:r>
          <w:rPr>
            <w:noProof/>
            <w:webHidden/>
          </w:rPr>
          <w:instrText xml:space="preserve"> PAGEREF _Toc448387105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6" w:history="1">
        <w:r>
          <w:rPr>
            <w:rStyle w:val="Hyperlink"/>
            <w:noProof/>
          </w:rPr>
          <w:t>Artikel 13 Luftqualitätspläne</w:t>
        </w:r>
        <w:r>
          <w:rPr>
            <w:noProof/>
            <w:webHidden/>
          </w:rPr>
          <w:tab/>
        </w:r>
        <w:r>
          <w:rPr>
            <w:noProof/>
            <w:webHidden/>
          </w:rPr>
          <w:fldChar w:fldCharType="begin"/>
        </w:r>
        <w:r>
          <w:rPr>
            <w:noProof/>
            <w:webHidden/>
          </w:rPr>
          <w:instrText xml:space="preserve"> PAGEREF _Toc448387106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7" w:history="1">
        <w:r>
          <w:rPr>
            <w:rStyle w:val="Hyperlink"/>
            <w:noProof/>
          </w:rPr>
          <w:t>Artikel 14 Maßnahmen zur Einhaltung der Zielwerte der Richtlinie 2004/107/EG</w:t>
        </w:r>
        <w:r>
          <w:rPr>
            <w:noProof/>
            <w:webHidden/>
          </w:rPr>
          <w:tab/>
        </w:r>
        <w:r>
          <w:rPr>
            <w:noProof/>
            <w:webHidden/>
          </w:rPr>
          <w:fldChar w:fldCharType="begin"/>
        </w:r>
        <w:r>
          <w:rPr>
            <w:noProof/>
            <w:webHidden/>
          </w:rPr>
          <w:instrText xml:space="preserve"> PAGEREF _Toc448387107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8" w:history="1">
        <w:r>
          <w:rPr>
            <w:rStyle w:val="Hyperlink"/>
            <w:noProof/>
          </w:rPr>
          <w:t>KAPITEL IV ÜBERGANGS- UND SCHLUSSBESTIMMUNGEN</w:t>
        </w:r>
        <w:r>
          <w:rPr>
            <w:noProof/>
            <w:webHidden/>
          </w:rPr>
          <w:tab/>
        </w:r>
        <w:r>
          <w:rPr>
            <w:noProof/>
            <w:webHidden/>
          </w:rPr>
          <w:fldChar w:fldCharType="begin"/>
        </w:r>
        <w:r>
          <w:rPr>
            <w:noProof/>
            <w:webHidden/>
          </w:rPr>
          <w:instrText xml:space="preserve"> PAGEREF _Toc448387108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09" w:history="1">
        <w:r>
          <w:rPr>
            <w:rStyle w:val="Hyperlink"/>
            <w:noProof/>
          </w:rPr>
          <w:t>Artikel 15 Aufhebung</w:t>
        </w:r>
        <w:r>
          <w:rPr>
            <w:noProof/>
            <w:webHidden/>
          </w:rPr>
          <w:tab/>
        </w:r>
        <w:r>
          <w:rPr>
            <w:noProof/>
            <w:webHidden/>
          </w:rPr>
          <w:fldChar w:fldCharType="begin"/>
        </w:r>
        <w:r>
          <w:rPr>
            <w:noProof/>
            <w:webHidden/>
          </w:rPr>
          <w:instrText xml:space="preserve"> PAGEREF _Toc448387109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10" w:history="1">
        <w:r>
          <w:rPr>
            <w:rStyle w:val="Hyperlink"/>
            <w:noProof/>
          </w:rPr>
          <w:t>Artikel 16 Beginn der Geltungsdauer</w:t>
        </w:r>
        <w:r>
          <w:rPr>
            <w:noProof/>
            <w:webHidden/>
          </w:rPr>
          <w:tab/>
        </w:r>
        <w:r>
          <w:rPr>
            <w:noProof/>
            <w:webHidden/>
          </w:rPr>
          <w:fldChar w:fldCharType="begin"/>
        </w:r>
        <w:r>
          <w:rPr>
            <w:noProof/>
            <w:webHidden/>
          </w:rPr>
          <w:instrText xml:space="preserve"> PAGEREF _Toc448387110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11" w:history="1">
        <w:r>
          <w:rPr>
            <w:rStyle w:val="Hyperlink"/>
            <w:noProof/>
          </w:rPr>
          <w:t>Artikel 17 Adressaten</w:t>
        </w:r>
        <w:r>
          <w:rPr>
            <w:noProof/>
            <w:webHidden/>
          </w:rPr>
          <w:tab/>
        </w:r>
        <w:r>
          <w:rPr>
            <w:noProof/>
            <w:webHidden/>
          </w:rPr>
          <w:fldChar w:fldCharType="begin"/>
        </w:r>
        <w:r>
          <w:rPr>
            <w:noProof/>
            <w:webHidden/>
          </w:rPr>
          <w:instrText xml:space="preserve"> PAGEREF _Toc448387111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12" w:history="1">
        <w:r>
          <w:rPr>
            <w:rStyle w:val="Hyperlink"/>
            <w:noProof/>
          </w:rPr>
          <w:t>ANHANG I</w:t>
        </w:r>
        <w:r>
          <w:rPr>
            <w:noProof/>
            <w:webHidden/>
          </w:rPr>
          <w:tab/>
        </w:r>
        <w:r>
          <w:rPr>
            <w:noProof/>
            <w:webHidden/>
          </w:rPr>
          <w:fldChar w:fldCharType="begin"/>
        </w:r>
        <w:r>
          <w:rPr>
            <w:noProof/>
            <w:webHidden/>
          </w:rPr>
          <w:instrText xml:space="preserve"> PAGEREF _Toc448387112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387113" w:history="1">
        <w:r>
          <w:rPr>
            <w:rStyle w:val="Hyperlink"/>
            <w:noProof/>
          </w:rPr>
          <w:t>ANHANG II</w:t>
        </w:r>
        <w:r>
          <w:rPr>
            <w:noProof/>
            <w:webHidden/>
          </w:rPr>
          <w:tab/>
        </w:r>
        <w:r>
          <w:rPr>
            <w:noProof/>
            <w:webHidden/>
          </w:rPr>
          <w:fldChar w:fldCharType="begin"/>
        </w:r>
        <w:r>
          <w:rPr>
            <w:noProof/>
            <w:webHidden/>
          </w:rPr>
          <w:instrText xml:space="preserve"> PAGEREF _Toc448387113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2004/107/EG des Europäischen Parlaments und des Rates vom 15. Dezember 2004 über Arsen, Kadmium, Quecksilber, Nickel und polyzyklische aromatische Kohlenwasserstoffe in der Luft</w:t>
      </w:r>
      <w:r>
        <w:rPr>
          <w:rStyle w:val="Funotenzeichen"/>
        </w:rPr>
        <w:footnoteReference w:id="1"/>
      </w:r>
      <w:r>
        <w:t>, insbesondere auf Artikel 5 Absatz 4,</w:t>
      </w:r>
    </w:p>
    <w:p>
      <w:pPr>
        <w:pStyle w:val="GesAbsatz"/>
      </w:pPr>
      <w:r>
        <w:t>gestützt auf die Richtlinie 2008/50/EG des Europäischen Parlaments und des Rates vom 21. Mai 2008 über Luftqualität und saubere Luft für Europa</w:t>
      </w:r>
      <w:r>
        <w:rPr>
          <w:rStyle w:val="Funotenzeichen"/>
        </w:rPr>
        <w:footnoteReference w:id="2"/>
      </w:r>
      <w:r>
        <w:t>, insbesondere auf Artikel 28 Absatz 2,</w:t>
      </w:r>
    </w:p>
    <w:p>
      <w:pPr>
        <w:pStyle w:val="GesAbsatz"/>
      </w:pPr>
      <w:r>
        <w:t>in Erwägung nachstehender Gründe:</w:t>
      </w:r>
    </w:p>
    <w:p>
      <w:pPr>
        <w:pStyle w:val="GesAbsatz"/>
      </w:pPr>
      <w:r>
        <w:t xml:space="preserve">(1) Mit der Richtlinie 2004/107/EG wurden Zielwerte festgesetzt, die bis zu einem bestimmten Zeitpunkt erreicht werden müssen, gemeinsame Methoden und Kriterien für die Beurteilung der in der Richtlinie aufgeführten Schadstoffe festgelegt, die Informationen vorgeschrieben, die der Kommission übermittelt werden müssen, und sichergestellt, dass der Öffentlichkeit sachdienliche Informationen über die Konzentrationswerte </w:t>
      </w:r>
      <w:r>
        <w:lastRenderedPageBreak/>
        <w:t>dieser Schadstoffe zur Verfügung gestellt werden. Außerdem sieht die Richtlinie vor, dass alle Modalitäten für die Übermittlung der Informationen über die Luftqualität angenommen werden.</w:t>
      </w:r>
    </w:p>
    <w:p>
      <w:pPr>
        <w:pStyle w:val="GesAbsatz"/>
      </w:pPr>
      <w:r>
        <w:t>(2) Mit der Richtlinie 2008/50/EG wurde eine Rahmenregelung für die Beurteilung und Kontrolle der Luftqualität festgelegt. Sie sieht vor, dass zwecks Berichterstattung und Informationsaustausch über die Luftqualität die Informationen über die Luftqualität und die Fristen, innerhalb deren sie von den Mitgliedstaaten zu übermitteln sind, festgelegt werden müssen. Außerdem soll laut dieser Richtlinie festgelegt werden, wie Übermittlung und Austausch dieser Informationen vereinfacht werden können.</w:t>
      </w:r>
    </w:p>
    <w:p>
      <w:pPr>
        <w:pStyle w:val="GesAbsatz"/>
      </w:pPr>
      <w:r>
        <w:t>(3) In der Entscheidung 97/101/EG des Rates vom 27. Januar 1997 zur Schaffung eines Austausches von Informationen und Daten aus den Netzen und Einzelstationen zur Messung der Luftverschmutzung in den Mitgliedstaaten</w:t>
      </w:r>
      <w:r>
        <w:rPr>
          <w:rStyle w:val="Funotenzeichen"/>
        </w:rPr>
        <w:footnoteReference w:id="3"/>
      </w:r>
      <w:r>
        <w:t xml:space="preserve"> sind die Informationen über die Luftqualität genannt, die die Mitgliedstaaten im Hinblick auf den gegenseitigen Informationsaustausch zu übermitteln haben.</w:t>
      </w:r>
    </w:p>
    <w:p>
      <w:pPr>
        <w:pStyle w:val="GesAbsatz"/>
      </w:pPr>
      <w:r>
        <w:t>(4) Gemäß der Richtlinie 2008/50/EG wird die Entscheidung 97/101/EG mit Ablauf des zweiten Kalenderjahres nach Inkrafttreten der Durchführungsmaßnahmen für die Informationen und die Berichterstattung aufgehoben. Dementsprechend sollten die Bestimmungen der Entscheidung 97/101/EG in diesem Beschluss berücksichtigt werden.</w:t>
      </w:r>
    </w:p>
    <w:p>
      <w:pPr>
        <w:pStyle w:val="GesAbsatz"/>
      </w:pPr>
      <w:r>
        <w:t>(5) Der Geltungsbereich dieses Beschlusses umfasst die jährliche Berichterstattung über die Beurteilung der Luftqualität und die Übermittlung von Informationen zu den Plänen und Programmen in Bezug auf Grenzwerte für bestimmte Luftschadstoffe, die derzeit unter die Entscheidung 2004/224/EG der Kommission vom 20. Februar 2004 zur Festlegung von Modalitäten für die Übermittlung von Informationen über die gemäß der Richtlinie 96/62/EG des Rates erforderlichen Pläne oder Programme in Bezug auf Grenzwerte für bestimmte Luftschadstoffe</w:t>
      </w:r>
      <w:r>
        <w:rPr>
          <w:rStyle w:val="Funotenzeichen"/>
        </w:rPr>
        <w:footnoteReference w:id="4"/>
      </w:r>
      <w:r>
        <w:t xml:space="preserve"> und die Entscheidung 2004/461/EG der Kommission vom 29. April 2004 zur Festlegung eines Fragebogens, der für die jährliche Berichterstattung über die Beurteilung der Luftqualität gemäß den Richtlinien 96/62/EG und 1999/30/EG des Rates sowie den Richtlinien 2000/69/EG und 2002/3/EG des Europäischen Parlaments und des Rates zu verwenden ist</w:t>
      </w:r>
      <w:r>
        <w:rPr>
          <w:rStyle w:val="Funotenzeichen"/>
        </w:rPr>
        <w:footnoteReference w:id="5"/>
      </w:r>
      <w:r>
        <w:t>, fallen. Im Interesse der Klarheit und Einheitlichkeit der EU-Rechtsvorschriften sollten diese Entscheidungen deshalb aufgehoben werden.</w:t>
      </w:r>
    </w:p>
    <w:p>
      <w:pPr>
        <w:pStyle w:val="GesAbsatz"/>
      </w:pPr>
      <w:r>
        <w:t>(6) Die Kommission sollte mit Unterstützung der Europäischen Umweltagentur eine Internet-Schnittstelle unter der Bezeichnung „</w:t>
      </w:r>
      <w:r>
        <w:rPr>
          <w:lang w:val="en-US"/>
        </w:rPr>
        <w:t>Ambient</w:t>
      </w:r>
      <w:r>
        <w:t xml:space="preserve"> Air Quality Portal“ (Luftqualitätsportal) einrichten, unter der die Mitgliedstaaten die Informationen zur Luftqualität bereitstellen und die Öffentlichkeit Zugang zu den von den Mitgliedstaaten bereitgestellten Umweltinformationen erhält.</w:t>
      </w:r>
    </w:p>
    <w:p>
      <w:pPr>
        <w:pStyle w:val="GesAbsatz"/>
      </w:pPr>
      <w:r>
        <w:t>(7) Zur Straffung der Informationsmenge, die von den Mitgliedstaaten bereitgestellt wird, zur Maximierung der Sachdienlichkeit dieser Informationen und zur Verringerung des Verwaltungsaufwands sollte vorgesehen werden, dass die Mitgliedstaaten die Informationen in standardisierter, maschinenlesbarer Form übermitteln. Die Kommission sollte mit Unterstützung der Europäischen Umweltagentur ein entsprechendes maschinenlesbares Formblatt in Übereinstimmung mit den Anforderungen der Richtlinie 2007/2/EG des Europäischen Parlaments und des Rates vom 14. März 2007 zur Schaffung einer Geodateninfrastruktur in der Europäischen Gemeinschaft (INSPIRE)</w:t>
      </w:r>
      <w:r>
        <w:rPr>
          <w:rStyle w:val="Funotenzeichen"/>
        </w:rPr>
        <w:footnoteReference w:id="6"/>
      </w:r>
      <w:r>
        <w:t xml:space="preserve"> erarbeiten. Hierbei ist besonders wichtig, dass die Kommission im Rahmen der Vorarbeiten geeignete Konsultationen, auch auf Sachverständigenebene, durchführt.</w:t>
      </w:r>
    </w:p>
    <w:p>
      <w:pPr>
        <w:pStyle w:val="GesAbsatz"/>
      </w:pPr>
      <w:r>
        <w:t>(8) Zur Verringerung des Verwaltungsaufwands und der Fehleranfälligkeit sollten die Mitgliedstaaten bei der Bereitstellung der Informationen ein elektronisches, internetgestütztes Instrument verwenden, das über das Luftqualitätsportal zugänglich ist. Mit diesem Instrument sollten die Stimmigkeit der Informationen und die Datenqualität geprüft und die Einzeldaten aggregiert werden. Müssen die Informationen nach diesem Beschluss in aggregierter Form übermittelt werden, so sollte die Aggregation mit Hilfe dieses Instruments erfolgen. Die Mitgliedstaaten sollten in der Lage sein, das Instrument anzuwenden, unabhängig davon, ob sie der Kommission die Luftqualitätsinformationen im Rahmen einer Berichtspflicht übermitteln oder Luftqualitätsdaten austauschen.</w:t>
      </w:r>
    </w:p>
    <w:p>
      <w:pPr>
        <w:pStyle w:val="GesAbsatz"/>
      </w:pPr>
      <w:r>
        <w:t>(9) Die Europäische Umweltagentur sollte die Kommission gegebenenfalls beim Betrieb des Luftqualitätsportals und der Erarbeitung des Instruments für die Stimmigkeit der Daten, die Datenqualität und die Aggregation der Einzeldaten unterstützen. Dabei sollte sie der Kommission insbesondere bei der Überwachung der Datenablage sowie bei der Analyse im Zusammenhang mit der Einhaltung der Verpflichtungen aus den Richtlinien 2004/107/EG und 2008/50/EG durch die Mitgliedstaaten helfen.</w:t>
      </w:r>
    </w:p>
    <w:p>
      <w:pPr>
        <w:pStyle w:val="GesAbsatz"/>
      </w:pPr>
      <w:r>
        <w:t>(10) Die Mitgliedstaaten und die Kommission sollten aktuelle Luftqualitätsdaten sammeln, austauschen und beurteilen, um die Auswirkungen der Luftverschmutzung besser verstehen und geeignete Maßnahmen erar</w:t>
      </w:r>
      <w:r>
        <w:lastRenderedPageBreak/>
        <w:t>beiten zu können. Damit Handhabung und Vergleich der aktuellen Luftqualitätsdaten vereinfacht werden, sollten diese Aktualdaten der Kommission innerhalb eines angemessenen Zeitraums nach der Veröffentlichung in derselben standardisierten Form als validierte Daten bereitgestellt werden.</w:t>
      </w:r>
    </w:p>
    <w:p>
      <w:pPr>
        <w:pStyle w:val="GesAbsatz"/>
      </w:pPr>
      <w:r>
        <w:t>(11) Die in diesem Beschluss vorgesehenen Maßnahmen entsprechen der Stellungnahme des Ausschusses für Luftqualität —</w:t>
      </w:r>
    </w:p>
    <w:p>
      <w:pPr>
        <w:pStyle w:val="GesAbsatz"/>
      </w:pPr>
      <w:r>
        <w:t>HAT FOLGENDEN BESCHLUSS ERLASSEN:</w:t>
      </w:r>
    </w:p>
    <w:p>
      <w:pPr>
        <w:pStyle w:val="berschrift2"/>
      </w:pPr>
      <w:bookmarkStart w:id="2" w:name="_Toc448387091"/>
      <w:r>
        <w:t>KAPITEL I</w:t>
      </w:r>
      <w:r>
        <w:br/>
        <w:t>ALLGEMEINE VORSCHRIFTEN</w:t>
      </w:r>
      <w:bookmarkEnd w:id="2"/>
    </w:p>
    <w:p>
      <w:pPr>
        <w:pStyle w:val="berschrift2"/>
      </w:pPr>
      <w:bookmarkStart w:id="3" w:name="_Toc448387092"/>
      <w:r>
        <w:t>Artikel 1</w:t>
      </w:r>
      <w:r>
        <w:br/>
        <w:t>Gegenstand</w:t>
      </w:r>
      <w:bookmarkEnd w:id="3"/>
    </w:p>
    <w:p>
      <w:pPr>
        <w:pStyle w:val="GesAbsatz"/>
      </w:pPr>
      <w:r>
        <w:t>Mit diesem Beschluss werden Durchführungsbestimmungen für die Richtlinien 2004/107/EG und 2008/50/EG im Hinblick auf Folgendes festgelegt:</w:t>
      </w:r>
    </w:p>
    <w:p>
      <w:pPr>
        <w:pStyle w:val="GesAbsatz"/>
      </w:pPr>
      <w:r>
        <w:t>a)</w:t>
      </w:r>
      <w:r>
        <w:tab/>
        <w:t>Pflichten der Mitgliedstaaten zur Berichterstattung über die Beurteilung und Kontrolle der Luftqualität;</w:t>
      </w:r>
    </w:p>
    <w:p>
      <w:pPr>
        <w:pStyle w:val="GesAbsatz"/>
        <w:ind w:left="426" w:hanging="426"/>
      </w:pPr>
      <w:r>
        <w:t>b)</w:t>
      </w:r>
      <w:r>
        <w:tab/>
        <w:t>Austausch von Informationen zwischen den Mitgliedstaaten zu den Netzen und Einzelstationen und den Messergebnissen zur Luftqualität von den Stationen, die von den Mitgliedstaaten zwecks Informationsaustauschs aus den vorhandenen Stationen ausgewählt wurden.</w:t>
      </w:r>
    </w:p>
    <w:p>
      <w:pPr>
        <w:pStyle w:val="berschrift2"/>
      </w:pPr>
      <w:bookmarkStart w:id="4" w:name="_Toc448387093"/>
      <w:r>
        <w:t>Artikel 2</w:t>
      </w:r>
      <w:r>
        <w:br/>
        <w:t>Begriffsbestimmungen</w:t>
      </w:r>
      <w:bookmarkEnd w:id="4"/>
    </w:p>
    <w:p>
      <w:pPr>
        <w:pStyle w:val="GesAbsatz"/>
      </w:pPr>
      <w:r>
        <w:t>Für die Zwecke dieses Beschlusses gelten zusätzlich zu den Begriffsbestimmungen gemäß Artikel 2 der Richtlinie 2004/107/EG, Artikel 3 der Richtlinie 2007/2/EG und Artikel 2 sowie Anhang VII der Richtlinie 2008/50/EG folgende Begriffsbestimmungen:</w:t>
      </w:r>
    </w:p>
    <w:p>
      <w:pPr>
        <w:pStyle w:val="GesAbsatz"/>
        <w:ind w:left="426" w:hanging="426"/>
      </w:pPr>
      <w:r>
        <w:t>1.</w:t>
      </w:r>
      <w:r>
        <w:tab/>
        <w:t>„Station“: Ort, an dem an einer oder mehreren Probenahmestellen am selben Standort innerhalb einer Fläche von etwa 100 m 2 Messungen vorgenommen und Proben genommen werden;</w:t>
      </w:r>
    </w:p>
    <w:p>
      <w:pPr>
        <w:pStyle w:val="GesAbsatz"/>
        <w:ind w:left="426" w:hanging="426"/>
      </w:pPr>
      <w:r>
        <w:t>2.</w:t>
      </w:r>
      <w:r>
        <w:tab/>
        <w:t>„Netz“: Organisationsstruktur zur Beurteilung der Luftqualität durch Messung an einer oder mehreren Stationen;</w:t>
      </w:r>
    </w:p>
    <w:p>
      <w:pPr>
        <w:pStyle w:val="GesAbsatz"/>
        <w:ind w:left="426" w:hanging="426"/>
      </w:pPr>
      <w:r>
        <w:t>3.</w:t>
      </w:r>
      <w:r>
        <w:tab/>
        <w:t>„Messkonfiguration“: die technischen Einrichtungen, die an einer bestimmten Station zur Messung eines Schadstoffs oder eines seiner Bestandteile eingesetzt werden;</w:t>
      </w:r>
    </w:p>
    <w:p>
      <w:pPr>
        <w:pStyle w:val="GesAbsatz"/>
        <w:ind w:left="426" w:hanging="426"/>
      </w:pPr>
      <w:r>
        <w:t>4.</w:t>
      </w:r>
      <w:r>
        <w:tab/>
        <w:t>„Messdaten“: durch Messung gewonnene Informationen über die Konzentrations- oder Ablagerungswerte eines bestimmten Schadstoffs;</w:t>
      </w:r>
    </w:p>
    <w:p>
      <w:pPr>
        <w:pStyle w:val="GesAbsatz"/>
        <w:ind w:left="426" w:hanging="426"/>
      </w:pPr>
      <w:r>
        <w:t>5.</w:t>
      </w:r>
      <w:r>
        <w:tab/>
        <w:t>„Modellierungsdaten“: Informationen über die Konzentrations- oder Ablagerungswerte eines bestimmten Schadstoffs, die durch die numerische Simulation der physikalischen Gegebenheiten gewonnen wurden;</w:t>
      </w:r>
    </w:p>
    <w:p>
      <w:pPr>
        <w:pStyle w:val="GesAbsatz"/>
        <w:ind w:left="426" w:hanging="426"/>
      </w:pPr>
      <w:r>
        <w:t>6.</w:t>
      </w:r>
      <w:r>
        <w:tab/>
        <w:t>„objektive Schätzdaten“: Informationen über die Konzentrations- oder Ablagerungswerte eines bestimmen Schadstoffs, die durch Sachverständigenanalyse gewonnen wurden und den Einsatz statistischer Instrumente beinhalten können;</w:t>
      </w:r>
    </w:p>
    <w:p>
      <w:pPr>
        <w:pStyle w:val="GesAbsatz"/>
        <w:ind w:left="426" w:hanging="426"/>
      </w:pPr>
      <w:r>
        <w:t>7.</w:t>
      </w:r>
      <w:r>
        <w:tab/>
        <w:t>„Einzeldaten“: Informationen über die Konzentrations- oder Ablagerungswerte eines bestimmten Schadstoffs in der höchsten in diesem Beschluss vorgesehenen zeitlichen Auflösung;</w:t>
      </w:r>
    </w:p>
    <w:p>
      <w:pPr>
        <w:pStyle w:val="GesAbsatz"/>
        <w:ind w:left="426" w:hanging="426"/>
      </w:pPr>
      <w:r>
        <w:t>8.</w:t>
      </w:r>
      <w:r>
        <w:tab/>
        <w:t>„Einzel-Aktual-Beurteilungsdaten“: Einzeldaten, die mit den für den jeweiligen Schadstoff geeigneten Beurteilungsverfahren gesammelt und umgehend veröffentlicht wurden;</w:t>
      </w:r>
    </w:p>
    <w:p>
      <w:pPr>
        <w:pStyle w:val="GesAbsatz"/>
        <w:ind w:left="426" w:hanging="426"/>
      </w:pPr>
      <w:r>
        <w:t>9.</w:t>
      </w:r>
      <w:r>
        <w:tab/>
        <w:t>„Luftqualitätsportal“: Internetseite, die von der Kommission mit Unterstützung der Europäischen Umweltagentur betrieben wird und über die Informationen zur Umsetzung des vorliegenden Beschlusses einschließlich der Datenablage bereitgestellt werden;</w:t>
      </w:r>
    </w:p>
    <w:p>
      <w:pPr>
        <w:pStyle w:val="GesAbsatz"/>
        <w:ind w:left="426" w:hanging="426"/>
      </w:pPr>
      <w:r>
        <w:t>10.</w:t>
      </w:r>
      <w:r>
        <w:tab/>
        <w:t>„Datenablage“: Informationssystem, das mit dem Luftqualitätsportal verknüpft ist und von der Europäischen Umweltagentur betrieben wird und das Informationen und Daten zur Luftqualität enthält, die über die nationalen Datenübermittlungs- und -austauschpunkte unter der Aufsicht der Mitgliedstaaten zur Verfügung gestellt werden;</w:t>
      </w:r>
    </w:p>
    <w:p>
      <w:pPr>
        <w:pStyle w:val="GesAbsatz"/>
        <w:ind w:left="426" w:hanging="426"/>
      </w:pPr>
      <w:r>
        <w:t>11.</w:t>
      </w:r>
      <w:r>
        <w:tab/>
        <w:t>„Datenart“: Deskriptor, mit dem ähnliche Daten für unterschiedliche Anwendungszwecke gemäß Anhang II Teil A dieses Beschlusses eingeordnet werden;</w:t>
      </w:r>
    </w:p>
    <w:p>
      <w:pPr>
        <w:pStyle w:val="GesAbsatz"/>
        <w:ind w:left="426" w:hanging="426"/>
      </w:pPr>
      <w:r>
        <w:t>12.</w:t>
      </w:r>
      <w:r>
        <w:tab/>
        <w:t>„Umweltziel“: Luftqualitätsziel, das bis zu einem bestimmten Zeitpunkt bzw. gegebenenfalls innerhalb eines bestimmten Zeitraums oder langfristig gemäß den Richtlinien 2004/107/EG und 2008/50/EG erreicht werden muss.</w:t>
      </w:r>
    </w:p>
    <w:p>
      <w:pPr>
        <w:pStyle w:val="berschrift2"/>
      </w:pPr>
      <w:bookmarkStart w:id="5" w:name="_Toc448387094"/>
      <w:r>
        <w:lastRenderedPageBreak/>
        <w:t>KAPITEL II</w:t>
      </w:r>
      <w:r>
        <w:br/>
        <w:t>GEMEINSAME VORSCHRIFTEN FÜR DAS VERFAHREN ZUR ÜBERMITTLUNG</w:t>
      </w:r>
      <w:r>
        <w:br/>
        <w:t>VON INFORMATIONEN UND ZUR QUALITÄTSKONTROLLE</w:t>
      </w:r>
      <w:bookmarkEnd w:id="5"/>
    </w:p>
    <w:p>
      <w:pPr>
        <w:pStyle w:val="berschrift2"/>
      </w:pPr>
      <w:bookmarkStart w:id="6" w:name="_Toc448387095"/>
      <w:r>
        <w:t>Artikel 3</w:t>
      </w:r>
      <w:r>
        <w:br/>
        <w:t>Luftqualitätsportal und Datenablage</w:t>
      </w:r>
      <w:bookmarkEnd w:id="6"/>
    </w:p>
    <w:p>
      <w:pPr>
        <w:pStyle w:val="GesAbsatz"/>
      </w:pPr>
      <w:r>
        <w:t>(1) Die Kommission richtet mit Unterstützung der Europäischen Umweltagentur eine Datenablage ein und macht sie über das Luftqualitätsportal (im Folgenden „Portal“) zugänglich.</w:t>
      </w:r>
    </w:p>
    <w:p>
      <w:pPr>
        <w:pStyle w:val="GesAbsatz"/>
      </w:pPr>
      <w:r>
        <w:t>(2) Die Mitgliedstaaten übermitteln die zur Berichterstattung und zum Informationsaustausch verwendeten Informationen gemäß Artikel 5 an die Datenablage.</w:t>
      </w:r>
    </w:p>
    <w:p>
      <w:pPr>
        <w:pStyle w:val="GesAbsatz"/>
      </w:pPr>
      <w:r>
        <w:t>(3) Die Europäische Umweltagentur verwaltet die Datenablage.</w:t>
      </w:r>
    </w:p>
    <w:p>
      <w:pPr>
        <w:pStyle w:val="GesAbsatz"/>
      </w:pPr>
      <w:r>
        <w:t>(4) Die Öffentlichkeit hat zu der Datenablage kostenlos Zugang.</w:t>
      </w:r>
    </w:p>
    <w:p>
      <w:pPr>
        <w:pStyle w:val="GesAbsatz"/>
      </w:pPr>
      <w:r>
        <w:t>(5) Jeder Mitgliedstaat benennt eine oder mehrere Personen, die in seinem Namen für die Bereitstellung aller übermittelten oder ausgetauschten Informationen an die Datenablage zuständig sind. Nur die benannten Personen stellen die Informationen bereit, die übermittelt oder ausgetauscht werden sollen.</w:t>
      </w:r>
    </w:p>
    <w:p>
      <w:pPr>
        <w:pStyle w:val="GesAbsatz"/>
      </w:pPr>
      <w:r>
        <w:t>(6) Jeder Mitgliedstaat teilt der Kommission den/die Namen der Person(en) gemäß Absatz 5 mit.</w:t>
      </w:r>
    </w:p>
    <w:p>
      <w:pPr>
        <w:pStyle w:val="berschrift2"/>
      </w:pPr>
      <w:bookmarkStart w:id="7" w:name="_Toc448387096"/>
      <w:r>
        <w:t>Artikel 4</w:t>
      </w:r>
      <w:r>
        <w:br/>
        <w:t>Verschlüsselung der Informationen</w:t>
      </w:r>
      <w:bookmarkEnd w:id="7"/>
    </w:p>
    <w:p>
      <w:pPr>
        <w:pStyle w:val="GesAbsatz"/>
      </w:pPr>
      <w:r>
        <w:t>Die Kommission teilt den Mitgliedstaaten mit Unterstützung der Europäischen Umweltagentur auf dem Portal in standardisierter maschinenlesbarer Weise mit, wie die in diesem Beschluss vorgesehenen Informationen zu verschlüsseln sind.</w:t>
      </w:r>
    </w:p>
    <w:p>
      <w:pPr>
        <w:pStyle w:val="berschrift2"/>
      </w:pPr>
      <w:bookmarkStart w:id="8" w:name="_Toc448387097"/>
      <w:r>
        <w:t>Artikel 5</w:t>
      </w:r>
      <w:r>
        <w:br/>
        <w:t>Verfahren zur Bereitstellung der Informationen</w:t>
      </w:r>
      <w:bookmarkEnd w:id="8"/>
    </w:p>
    <w:p>
      <w:pPr>
        <w:pStyle w:val="GesAbsatz"/>
      </w:pPr>
      <w:r>
        <w:t>(1) Die Mitgliedstaaten stellen die in diesem Beschluss vorgesehenen Informationen der Datenablage entsprechend den Datenanforderungen gemäß Anhang I Teil A zur Verfügung. Diese Informationen werden mit einem elektronischen Instrument automatisch verarbeitet.</w:t>
      </w:r>
    </w:p>
    <w:p>
      <w:pPr>
        <w:pStyle w:val="GesAbsatz"/>
      </w:pPr>
      <w:r>
        <w:t>(2) Das Instrument gemäß Absatz 1 wird für folgende Funktionen eingesetzt:</w:t>
      </w:r>
    </w:p>
    <w:p>
      <w:pPr>
        <w:pStyle w:val="GesAbsatz"/>
      </w:pPr>
      <w:r>
        <w:t>a)</w:t>
      </w:r>
      <w:r>
        <w:tab/>
        <w:t>Prüfung der Stimmigkeit der Informationen vor ihrer Bereitstellung;</w:t>
      </w:r>
    </w:p>
    <w:p>
      <w:pPr>
        <w:pStyle w:val="GesAbsatz"/>
        <w:ind w:left="426" w:hanging="426"/>
      </w:pPr>
      <w:r>
        <w:t>b)</w:t>
      </w:r>
      <w:r>
        <w:tab/>
        <w:t>Prüfung der Einzeldaten im Hinblick auf die spezifischen Datenqualitätsziele gemäß Anhang IV der Richtlinie 2004/107/EG und Anhang I der Richtlinie 2008/50/EG;</w:t>
      </w:r>
    </w:p>
    <w:p>
      <w:pPr>
        <w:pStyle w:val="GesAbsatz"/>
        <w:ind w:left="426" w:hanging="426"/>
      </w:pPr>
      <w:r>
        <w:t>c)</w:t>
      </w:r>
      <w:r>
        <w:tab/>
        <w:t>Aggregation der Einzeldaten gemäß den Bestimmungen von Anhang I dieses Beschlusses und den Anhängen VII und XI der Richtlinie 2008/50/EG.</w:t>
      </w:r>
    </w:p>
    <w:p>
      <w:pPr>
        <w:pStyle w:val="GesAbsatz"/>
      </w:pPr>
      <w:r>
        <w:t>(3) Sind aggregierte Daten gemäß den Artikeln 6 bis 14 bereitzustellen, so sind sie mit dem Instrument gemäß Absatz 1 dieses Artikels zu generieren.</w:t>
      </w:r>
    </w:p>
    <w:p>
      <w:pPr>
        <w:pStyle w:val="GesAbsatz"/>
      </w:pPr>
      <w:r>
        <w:t>(4) Die Kommission bestätigt den Eingang der Informationen.</w:t>
      </w:r>
    </w:p>
    <w:p>
      <w:pPr>
        <w:pStyle w:val="GesAbsatz"/>
      </w:pPr>
      <w:r>
        <w:t>(5) Mitgliedstaaten, die Informationen aktualisieren wollen, müssen den Unterschied zwischen der aktualisierten und der ursprünglichen Information sowie die Gründe für die Aktualisierung darlegen, wenn sie die aktualisierte Information in die Datenablage eingeben.</w:t>
      </w:r>
    </w:p>
    <w:p>
      <w:pPr>
        <w:pStyle w:val="GesAbsatz"/>
      </w:pPr>
      <w:r>
        <w:t>Die Kommission bestätigt den Eingang der aktualisierten Informationen. Nach erfolgter Eingangsbestätigung sind die aktualisierten Informationen als offizielle Informationen anzusehen.</w:t>
      </w:r>
    </w:p>
    <w:p>
      <w:pPr>
        <w:pStyle w:val="berschrift2"/>
      </w:pPr>
      <w:bookmarkStart w:id="9" w:name="_Toc448387098"/>
      <w:r>
        <w:t>KAPITEL III</w:t>
      </w:r>
      <w:r>
        <w:br/>
        <w:t>BEREITSTELLUNG DER INFORMATIONEN DER MITGLIEDSTAATEN</w:t>
      </w:r>
      <w:r>
        <w:br/>
        <w:t>ÜBER DIE LUFTQUALITÄT</w:t>
      </w:r>
      <w:bookmarkEnd w:id="9"/>
    </w:p>
    <w:p>
      <w:pPr>
        <w:pStyle w:val="berschrift2"/>
      </w:pPr>
      <w:bookmarkStart w:id="10" w:name="_Toc448387099"/>
      <w:r>
        <w:t>Artikel 6</w:t>
      </w:r>
      <w:r>
        <w:br/>
        <w:t>Gebiete und Ballungsräume</w:t>
      </w:r>
      <w:bookmarkEnd w:id="10"/>
    </w:p>
    <w:p>
      <w:pPr>
        <w:pStyle w:val="GesAbsatz"/>
      </w:pPr>
      <w:r>
        <w:t xml:space="preserve">(1) Die Mitgliedstaaten übermitteln gemäß dem Verfahren von Artikel 5 dieses Beschlusses die Informationen nach Anhang II Teil B dieses Beschlusses zur Abgrenzung und Art der Gebiete und Ballungsräume, die gemäß </w:t>
      </w:r>
      <w:r>
        <w:lastRenderedPageBreak/>
        <w:t>Artikel 3 der Richtlinie 2004/107/EG und Artikel 4 der Richtlinie 2008/50/EG festgelegt wurden und in denen die Beurteilung und Kontrolle der Luftqualität im folgenden Kalenderjahr durchgeführt werden soll.</w:t>
      </w:r>
    </w:p>
    <w:p>
      <w:pPr>
        <w:pStyle w:val="GesAbsatz"/>
      </w:pPr>
      <w:r>
        <w:t>Zu den Gebieten und Ballungsräumen, für die eine Fristverlängerung oder Ausnahme gemäß Artikel 22 der Richtlinie 2008/50/EG zur Anwendung kommt, ist in den bereitgestellten Informationen ein entsprechender Hinweis einzufügen.</w:t>
      </w:r>
    </w:p>
    <w:p>
      <w:pPr>
        <w:pStyle w:val="GesAbsatz"/>
      </w:pPr>
      <w:r>
        <w:t>(2) Die Mitgliedstaaten übermitteln der Kommission die Informationen gemäß Absatz 1 bis spätestens 31. Dezember eines jeden Kalenderjahres. Die Mitgliedstaaten können angeben, dass sich die bisher übermittelten Informationen nicht geändert haben.</w:t>
      </w:r>
    </w:p>
    <w:p>
      <w:pPr>
        <w:pStyle w:val="GesAbsatz"/>
      </w:pPr>
      <w:r>
        <w:t>(3) Wurden Änderungen an der Abgrenzung und Art von Gebieten oder Ballungsräumen vorgenommen, so teilen die Mitgliedstaaten dies der Kommission spätestens neun Monate nach Ende des Kalenderjahres mit, in dem diese Änderungen erfolgt sind.</w:t>
      </w:r>
    </w:p>
    <w:p>
      <w:pPr>
        <w:pStyle w:val="berschrift2"/>
      </w:pPr>
      <w:bookmarkStart w:id="11" w:name="_Toc448387100"/>
      <w:r>
        <w:t>Artikel 7</w:t>
      </w:r>
      <w:r>
        <w:br/>
        <w:t>Beurteilungssystem</w:t>
      </w:r>
      <w:bookmarkEnd w:id="11"/>
    </w:p>
    <w:p>
      <w:pPr>
        <w:pStyle w:val="GesAbsatz"/>
      </w:pPr>
      <w:r>
        <w:t>(1) Die Mitgliedstaaten übermitteln gemäß dem Verfahren von Artikel 5 dieses Beschlusses die Informationen nach Anhang II Teil C dieses Beschlusses über das Beurteilungssystem, das gemäß Artikel 4 der Richtlinie 2004/107/EG und den Artikeln 5 und 9 der Richtlinie 2008/50/EG im folgenden Kalenderjahr für jeden Schadstoff in den einzelnen Gebieten und Ballungsräumen anzuwenden ist.</w:t>
      </w:r>
    </w:p>
    <w:p>
      <w:pPr>
        <w:pStyle w:val="GesAbsatz"/>
      </w:pPr>
      <w:r>
        <w:t>(2) Die Mitgliedstaaten übermitteln der Kommission die Informationen gemäß Absatz 1 bis spätestens 31. Dezember eines jeden Kalenderjahres. Die Mitgliedstaaten können angeben, dass sich die bisher übermittelten Informationen nicht geändert haben.</w:t>
      </w:r>
    </w:p>
    <w:p>
      <w:pPr>
        <w:pStyle w:val="berschrift2"/>
      </w:pPr>
      <w:bookmarkStart w:id="12" w:name="_Toc448387101"/>
      <w:r>
        <w:t>Artikel 8</w:t>
      </w:r>
      <w:r>
        <w:br/>
        <w:t>Verfahren für den Nachweis und die Nichtberücksichtigung von Überschreitungen,</w:t>
      </w:r>
      <w:r>
        <w:br/>
        <w:t>die natürlichen Quellen oder der Ausbringung von Streusand- oder –salz</w:t>
      </w:r>
      <w:r>
        <w:br/>
        <w:t>auf Straßen im Winterdienst zuzurechnen sind</w:t>
      </w:r>
      <w:bookmarkEnd w:id="12"/>
    </w:p>
    <w:p>
      <w:pPr>
        <w:pStyle w:val="GesAbsatz"/>
      </w:pPr>
      <w:r>
        <w:t>(1) Die Mitgliedstaaten übermitteln gemäß dem Verfahren von Artikel 5 dieses Beschlusses die Informationen gemäß Anhang II Teil D dieses Beschlusses über die Verfahren, die zum Nachweis und zur Nichtberücksichtigung von natürlichen Quellen oder der Ausbringung von Streusand- oder -salz auf Straßen im Winterdienst zuzurechnenden Überschreitungen in den einzelnen Gebieten und Ballungsräumen gemäß den Artikeln 20 und 21 der Richtlinie 2008/50/EG angewendet werden.</w:t>
      </w:r>
    </w:p>
    <w:p>
      <w:pPr>
        <w:pStyle w:val="GesAbsatz"/>
      </w:pPr>
      <w:r>
        <w:t>(2) Die Mitgliedstaaten stellen der Kommission die Informationen gemäß Absatz 1 für ein volles Kalenderjahr spätestens neun Monate nach Ende eines jeden Kalenderjahres zur Verfügung.</w:t>
      </w:r>
    </w:p>
    <w:p>
      <w:pPr>
        <w:pStyle w:val="berschrift2"/>
      </w:pPr>
      <w:bookmarkStart w:id="13" w:name="_Toc448387102"/>
      <w:r>
        <w:t>Artikel 9</w:t>
      </w:r>
      <w:r>
        <w:br/>
        <w:t>Beurteilungsverfahren</w:t>
      </w:r>
      <w:bookmarkEnd w:id="13"/>
    </w:p>
    <w:p>
      <w:pPr>
        <w:pStyle w:val="GesAbsatz"/>
      </w:pPr>
      <w:r>
        <w:t>(1) Die Mitgliedstaaten übermitteln gemäß dem Verfahren von Artikel 5 dieses Beschlusses die Informationen gemäß Anhang II Teil D über die Qualität und Rückverfolgbarkeit der angewandten Beurteilungsverfahren.</w:t>
      </w:r>
    </w:p>
    <w:p>
      <w:pPr>
        <w:pStyle w:val="GesAbsatz"/>
      </w:pPr>
      <w:r>
        <w:t>(2) Die Mitgliedstaaten stellen der Kommission die Informationen gemäß Absatz 1 für ein volles Kalenderjahr spätestens neun Monate nach Ende eines jeden Kalenderjahres zur Verfügung.</w:t>
      </w:r>
    </w:p>
    <w:p>
      <w:pPr>
        <w:pStyle w:val="GesAbsatz"/>
      </w:pPr>
      <w:r>
        <w:t>(3) Sind in einem bestimmten Gebiet oder Ballungsraum gemäß Artikel 4 der Richtlinie 2004/107/EG und den Artikeln 6 und 9 sowie Artikel 10 Absatz 6 der Richtlinie 2008/50/EG ortsfeste Messungen erforderlich, so umfassen die Informationen mindestens Folgendes:</w:t>
      </w:r>
    </w:p>
    <w:p>
      <w:pPr>
        <w:pStyle w:val="GesAbsatz"/>
      </w:pPr>
      <w:r>
        <w:t>a)</w:t>
      </w:r>
      <w:r>
        <w:tab/>
        <w:t>Messkonfiguration;</w:t>
      </w:r>
    </w:p>
    <w:p>
      <w:pPr>
        <w:pStyle w:val="GesAbsatz"/>
      </w:pPr>
      <w:r>
        <w:t>b)</w:t>
      </w:r>
      <w:r>
        <w:tab/>
        <w:t>Nachweis der Gleichwertigkeit bei Verwendung einer anderen Methode als den Referenzmethoden;</w:t>
      </w:r>
    </w:p>
    <w:p>
      <w:pPr>
        <w:pStyle w:val="GesAbsatz"/>
      </w:pPr>
      <w:r>
        <w:t>c)</w:t>
      </w:r>
      <w:r>
        <w:tab/>
        <w:t>Standort der Probenahmestellen mit Beschreibung und Einstufung;</w:t>
      </w:r>
    </w:p>
    <w:p>
      <w:pPr>
        <w:pStyle w:val="GesAbsatz"/>
      </w:pPr>
      <w:r>
        <w:t>d)</w:t>
      </w:r>
      <w:r>
        <w:tab/>
        <w:t>Dokumentation der Datenqualität.</w:t>
      </w:r>
    </w:p>
    <w:p>
      <w:pPr>
        <w:pStyle w:val="GesAbsatz"/>
      </w:pPr>
      <w:r>
        <w:t>(4) Werden in einem bestimmten Gebiet oder Ballungsraum gemäß Artikel 4 der Richtlinie 2004/107/EG und den Artikeln 6 und 9 sowie Artikel 10 Absatz 6 der Richtlinie 2008/50/EG orientierende Messungen angewandt, so umfassen die Informationen mindestens Folgendes:</w:t>
      </w:r>
    </w:p>
    <w:p>
      <w:pPr>
        <w:pStyle w:val="GesAbsatz"/>
      </w:pPr>
      <w:r>
        <w:t>a)</w:t>
      </w:r>
      <w:r>
        <w:tab/>
        <w:t>angewandte Messmethode;</w:t>
      </w:r>
    </w:p>
    <w:p>
      <w:pPr>
        <w:pStyle w:val="GesAbsatz"/>
      </w:pPr>
      <w:r>
        <w:t>b)</w:t>
      </w:r>
      <w:r>
        <w:tab/>
        <w:t>Probenahmestellen und erfasstes Gebiet;</w:t>
      </w:r>
    </w:p>
    <w:p>
      <w:pPr>
        <w:pStyle w:val="GesAbsatz"/>
      </w:pPr>
      <w:r>
        <w:t>c)</w:t>
      </w:r>
      <w:r>
        <w:tab/>
        <w:t>Validierungsverfahren;</w:t>
      </w:r>
    </w:p>
    <w:p>
      <w:pPr>
        <w:pStyle w:val="GesAbsatz"/>
      </w:pPr>
      <w:r>
        <w:lastRenderedPageBreak/>
        <w:t>d)</w:t>
      </w:r>
      <w:r>
        <w:tab/>
        <w:t>Dokumentation der Datenqualität.</w:t>
      </w:r>
    </w:p>
    <w:p>
      <w:pPr>
        <w:pStyle w:val="GesAbsatz"/>
      </w:pPr>
      <w:r>
        <w:t>(5) Werden in einem bestimmten Gebiet oder Ballungsraum gemäß Artikel 4 der Richtlinie 2004/107/EG und den Artikeln 6 und 9 der Richtlinie 2008/50/EG Modellrechnungen angewandt, so umfassen die Informationen mindestens Folgendes:</w:t>
      </w:r>
    </w:p>
    <w:p>
      <w:pPr>
        <w:pStyle w:val="GesAbsatz"/>
      </w:pPr>
      <w:r>
        <w:t>a)</w:t>
      </w:r>
      <w:r>
        <w:tab/>
        <w:t>Beschreibung des Modellierungssystems und seiner Inputs;</w:t>
      </w:r>
    </w:p>
    <w:p>
      <w:pPr>
        <w:pStyle w:val="GesAbsatz"/>
      </w:pPr>
      <w:r>
        <w:t>b)</w:t>
      </w:r>
      <w:r>
        <w:tab/>
        <w:t>Validierung des Modells durch Messungen;</w:t>
      </w:r>
    </w:p>
    <w:p>
      <w:pPr>
        <w:pStyle w:val="GesAbsatz"/>
      </w:pPr>
      <w:r>
        <w:t>c)</w:t>
      </w:r>
      <w:r>
        <w:tab/>
        <w:t>erfasstes Gebiet;</w:t>
      </w:r>
    </w:p>
    <w:p>
      <w:pPr>
        <w:pStyle w:val="GesAbsatz"/>
      </w:pPr>
      <w:r>
        <w:t>d)</w:t>
      </w:r>
      <w:r>
        <w:tab/>
        <w:t>Dokumentation der Datenqualität.</w:t>
      </w:r>
    </w:p>
    <w:p>
      <w:pPr>
        <w:pStyle w:val="GesAbsatz"/>
      </w:pPr>
      <w:r>
        <w:t>(6) Wird in einem bestimmten Gebiet oder Ballungsraum gemäß Artikel 4 der Richtlinie 2004/107/EG und den Artikeln 6 und 9 der Richtlinie 2008/50/EG eine objektive Schätzung vorgenommen, so umfassen die Informationen mindestens Folgendes:</w:t>
      </w:r>
    </w:p>
    <w:p>
      <w:pPr>
        <w:pStyle w:val="GesAbsatz"/>
      </w:pPr>
      <w:r>
        <w:t>a)</w:t>
      </w:r>
      <w:r>
        <w:tab/>
        <w:t>Beschreibung des Schätzverfahrens;</w:t>
      </w:r>
    </w:p>
    <w:p>
      <w:pPr>
        <w:pStyle w:val="GesAbsatz"/>
      </w:pPr>
      <w:r>
        <w:t>b)</w:t>
      </w:r>
      <w:r>
        <w:tab/>
        <w:t>Dokumentation der Datenqualität.</w:t>
      </w:r>
    </w:p>
    <w:p>
      <w:pPr>
        <w:pStyle w:val="GesAbsatz"/>
      </w:pPr>
      <w:r>
        <w:t>(7) Außerdem übermitteln die Mitgliedstaaten die Informationen gemäß Anhang II Teil D zur Qualität und Rückverfolgbarkeit der angewandten Beurteilungsverfahren für die von den Mitgliedstaaten zum Zweck des Informationsaustauschs gemäß Artikel 1 Buchstabe b ausgewählten Netze und Einzelstationen und die in Anhang I Teil B aufgeführten Schadstoffe sowie gegebenenfalls für weitere, in Anhang I Teil C aufgeführte Schadstoffe und für zusätzliche, zu diesem Zweck auf dem Portal genannte Schadstoffe. Für die ausgetauschten Informationen gelten die Absätze 1 bis 6 dieses Artikels.</w:t>
      </w:r>
    </w:p>
    <w:p>
      <w:pPr>
        <w:pStyle w:val="berschrift2"/>
      </w:pPr>
      <w:bookmarkStart w:id="14" w:name="_Toc448387103"/>
      <w:r>
        <w:t>Artikel 10</w:t>
      </w:r>
      <w:r>
        <w:br/>
        <w:t>Validierte Einzel-Beurteilungsdaten und Einzel-Aktual-Beurteilungsdaten</w:t>
      </w:r>
      <w:bookmarkEnd w:id="14"/>
    </w:p>
    <w:p>
      <w:pPr>
        <w:pStyle w:val="GesAbsatz"/>
      </w:pPr>
      <w:r>
        <w:t>(1) Die Mitgliedstaaten übermitteln gemäß dem Verfahren von Artikel 5 dieses Beschlusses die Informationen gemäß Anhang II Teil E über validierte Einzel-Beurteilungsdaten für alle Probenahmestellen, an denen Messdaten für die Beurteilung entsprechend den Angaben der Mitgliedstaaten gemäß Artikel 9 zu den in Anhang I Teile B und C aufgeführten Schadstoffen gesammelt werden.</w:t>
      </w:r>
    </w:p>
    <w:p>
      <w:pPr>
        <w:pStyle w:val="GesAbsatz"/>
      </w:pPr>
      <w:r>
        <w:t>Werden in einem bestimmten Gebiet oder Ballungsraum Modellrechnungen angewandt, so übermitteln die Mitgliedstaaten die Informationen gemäß Anhang II Teil E in der höchstmöglichen zeitlichen Auflösung.</w:t>
      </w:r>
    </w:p>
    <w:p>
      <w:pPr>
        <w:pStyle w:val="GesAbsatz"/>
      </w:pPr>
      <w:r>
        <w:t>(2) Die validierten Einzel-Beurteilungsdaten werden der Kommission spätestens neun Monate nach Ende eines jeden Kalenderjahrs als vollständige Zeitreihe für ein volles Kalenderjahr zur Verfügung gestellt.</w:t>
      </w:r>
    </w:p>
    <w:p>
      <w:pPr>
        <w:pStyle w:val="GesAbsatz"/>
      </w:pPr>
      <w:r>
        <w:t>(3) Bei Inanspruchnahme der Möglichkeit gemäß Artikel 20 Absatz 2 und Artikel 21 Absatz 3 der Richtlinie 2008/50/EG übermitteln die Mitgliedstaaten Informationen zur Quantifizierung des Beitrags aus natürlichen Quellen gemäß Artikel 20 Absatz 1 der Richtlinie 2008/50/EG bzw. aufgrund der Ausbringung von Streusand oder -salz im Winterdienst gemäß Artikel 21 Absätze 1 und 2 der Richtlinie 2008/50/EG.</w:t>
      </w:r>
    </w:p>
    <w:p>
      <w:pPr>
        <w:pStyle w:val="GesAbsatz"/>
      </w:pPr>
      <w:r>
        <w:t>Die Informationen umfassen Folgendes:</w:t>
      </w:r>
    </w:p>
    <w:p>
      <w:pPr>
        <w:pStyle w:val="GesAbsatz"/>
      </w:pPr>
      <w:r>
        <w:t>a)</w:t>
      </w:r>
      <w:r>
        <w:tab/>
        <w:t>die räumliche Ausdehnung der Nichtberücksichtigung;</w:t>
      </w:r>
    </w:p>
    <w:p>
      <w:pPr>
        <w:pStyle w:val="GesAbsatz"/>
        <w:ind w:left="426" w:hanging="426"/>
      </w:pPr>
      <w:r>
        <w:t>b)</w:t>
      </w:r>
      <w:r>
        <w:tab/>
        <w:t>die Menge der bereitgestellten validierten Einzel-Beurteilungsdaten gemäß Absatz 1 dieses Artikels, die natürlichen Quellen oder der Ausbringung von Streusand oder -salz im Winterdienst zugeordnet werden können;</w:t>
      </w:r>
    </w:p>
    <w:p>
      <w:pPr>
        <w:pStyle w:val="GesAbsatz"/>
      </w:pPr>
      <w:r>
        <w:t>c)</w:t>
      </w:r>
      <w:r>
        <w:tab/>
        <w:t>die Ergebnisse der Anwendung der gemäß Artikel 8 mitgeteilten Verfahren.</w:t>
      </w:r>
    </w:p>
    <w:p>
      <w:pPr>
        <w:pStyle w:val="GesAbsatz"/>
      </w:pPr>
      <w:r>
        <w:t>(4) Außerdem übermitteln die Mitgliedstaaten die Informationen gemäß Anhang II Teil E über die Einzel-Aktual-Beurteilungsdaten für die Netze und Einzelstationen, die die Mitgliedstaaten für den spezifischen Zweck des Austauschs aktueller Informationen zwischen den von den Mitgliedstaaten ausgewählten Netzen und Einzelstationen zwecks Informationsaustausch gemäß Artikel 1 Buchstabe b für die Schadstoffe nach Anhang I Teil B und gegebenenfalls für weitere in Anhang I Teil C aufgeführte und für zusätzliche, zu diesem Zweck auf dem Portal genannte Schadstoffe ausgewählt haben.</w:t>
      </w:r>
    </w:p>
    <w:p>
      <w:pPr>
        <w:pStyle w:val="GesAbsatz"/>
      </w:pPr>
      <w:r>
        <w:t>(5) Ferner übermitteln die Mitgliedstaaten die Informationen gemäß Anhang II Teil E über die validierten Einzel-Beurteilungsdaten für die Netze und Einzelstationen, die die Mitgliedstaaten für den Zweck des Informationsaustauschs gemäß Artikel 1 Buchstabe b für die Schadstoffe nach Anhang I Teil B und gegebenenfalls für weitere in Anhang I Teil C aufgeführte und für zusätzliche, zu diesem Zweck auf dem Portal genannte Schadstoffe, die zu diesem Zweck auf dem Portal aufgeführt sind, ausgewählt haben. Für die ausgetauschten Informationen gelten die Absätze 2 und 3 dieses Artikels.</w:t>
      </w:r>
    </w:p>
    <w:p>
      <w:pPr>
        <w:pStyle w:val="GesAbsatz"/>
      </w:pPr>
      <w:r>
        <w:lastRenderedPageBreak/>
        <w:t>(6) Die Einzel-Aktual-Beurteilungsdaten gemäß Absatz 4 werden der Kommission in vorläufiger Form in der für das Beurteilungsverfahren des jeweiligen Schadstoffs geeigneten Häufigkeit und innerhalb einer angemessenen Frist nach Unterrichtung der Öffentlichkeit gemäß Artikel 26 der Richtlinie 2008/50/EG für die zu diesem Zweck in Anhang I Teil B dieses Beschlusses genannten Schadstoffe übermittelt.</w:t>
      </w:r>
    </w:p>
    <w:p>
      <w:pPr>
        <w:pStyle w:val="GesAbsatz"/>
      </w:pPr>
      <w:r>
        <w:t>Die Informationen umfassen Folgendes:</w:t>
      </w:r>
    </w:p>
    <w:p>
      <w:pPr>
        <w:pStyle w:val="GesAbsatz"/>
      </w:pPr>
      <w:r>
        <w:t>a)</w:t>
      </w:r>
      <w:r>
        <w:tab/>
        <w:t>beurteilte Konzentrationswerte;</w:t>
      </w:r>
    </w:p>
    <w:p>
      <w:pPr>
        <w:pStyle w:val="GesAbsatz"/>
      </w:pPr>
      <w:r>
        <w:t>b)</w:t>
      </w:r>
      <w:r>
        <w:tab/>
        <w:t>Angabe zum Status der Qualitätskontrolle.</w:t>
      </w:r>
    </w:p>
    <w:p>
      <w:pPr>
        <w:pStyle w:val="GesAbsatz"/>
      </w:pPr>
      <w:r>
        <w:t>(7) Die nach Absatz 4 übermittelten Einzel-Aktualdaten müssen mit den gemäß den Artikeln 6, 7 und 9 übermittelten Informationen vereinbar sein.</w:t>
      </w:r>
    </w:p>
    <w:p>
      <w:pPr>
        <w:pStyle w:val="GesAbsatz"/>
      </w:pPr>
      <w:r>
        <w:t>(8) Die Mitgliedstaatenkönnen können die gemäß Absatz 4 übermittelten Einzel-Aktual-Beurteilungsdaten nach einer weiteren Qualitätskontrolle aktualisieren. Die aktualisierten Informationen ersetzen die ursprünglichen Informationen; der Status der Informationen ist eindeutig anzugeben.</w:t>
      </w:r>
    </w:p>
    <w:p>
      <w:pPr>
        <w:pStyle w:val="berschrift2"/>
      </w:pPr>
      <w:bookmarkStart w:id="15" w:name="_Toc448387104"/>
      <w:r>
        <w:t>Artikel 11</w:t>
      </w:r>
      <w:r>
        <w:br/>
        <w:t>Aggregierte validierte Beurteilungsdaten</w:t>
      </w:r>
      <w:bookmarkEnd w:id="15"/>
    </w:p>
    <w:p>
      <w:pPr>
        <w:pStyle w:val="GesAbsatz"/>
      </w:pPr>
      <w:r>
        <w:t>(1) Mit dem Instrument gemäß Artikel 5 Absatz 1 werden die Informationen gemäß Anhang II Teil F zu den aggregierten validierten Beurteilungsdaten auf der Grundlage der von den Mitgliedstaaten über die validierten Einzel-Beurteilungsdaten gemäß Artikel 10 bereitgestellten Informationen generiert.</w:t>
      </w:r>
    </w:p>
    <w:p>
      <w:pPr>
        <w:pStyle w:val="GesAbsatz"/>
      </w:pPr>
      <w:r>
        <w:t>(2) Bei Schadstoffen, für die verbindliche Überwachungsvorschriften gelten, beinhalten die mit dem Instrument generierten Informationen die aggregierten gemessenen Konzentrationswerte für alle Probenahmestellen, zu denen die Mitgliedstaaten gemäß Artikel 9 Absatz 3 Buchstabe c Informationen übermitteln müssen.</w:t>
      </w:r>
    </w:p>
    <w:p>
      <w:pPr>
        <w:pStyle w:val="GesAbsatz"/>
      </w:pPr>
      <w:r>
        <w:t>(3) Bei Schadstoffen, für die Umweltziele festgelegt wurden, sind die mit dem Instrument generierten Informationen die Konzentrationswerte in der Messeinheit, die mit dem festgelegten Umweltziel gemäß Anhang I Teil B verknüpft ist, und umfassen Folgendes:</w:t>
      </w:r>
    </w:p>
    <w:p>
      <w:pPr>
        <w:pStyle w:val="GesAbsatz"/>
      </w:pPr>
      <w:r>
        <w:t>a)</w:t>
      </w:r>
      <w:r>
        <w:tab/>
        <w:t>den Jahresmittelwert, wenn ein Jahresmittelwert als Ziel- oder Grenzwert festgesetzt wurde;</w:t>
      </w:r>
    </w:p>
    <w:p>
      <w:pPr>
        <w:pStyle w:val="GesAbsatz"/>
      </w:pPr>
      <w:r>
        <w:t>b)</w:t>
      </w:r>
      <w:r>
        <w:tab/>
        <w:t>die Gesamtzahl der Stunden mit Überschreitungen, wenn ein Stundengrenzwert festgesetzt wurde;</w:t>
      </w:r>
    </w:p>
    <w:p>
      <w:pPr>
        <w:pStyle w:val="GesAbsatz"/>
        <w:ind w:left="426" w:hanging="426"/>
      </w:pPr>
      <w:r>
        <w:t>c)</w:t>
      </w:r>
      <w:r>
        <w:tab/>
        <w:t>die Gesamtzahl der Tage mit Überschreitungen, wenn ein Tagesgrenzwert festgesetzt wurde, bzw. das 90,4-Perzentil für PM 10 in dem Sonderfall, in dem stichprobenartige statt kontinuierlicher Messungen vorgenommen werden;</w:t>
      </w:r>
    </w:p>
    <w:p>
      <w:pPr>
        <w:pStyle w:val="GesAbsatz"/>
        <w:ind w:left="426" w:hanging="426"/>
      </w:pPr>
      <w:r>
        <w:t>d)</w:t>
      </w:r>
      <w:r>
        <w:tab/>
        <w:t>die Gesamtzahl der Tage mit Überschreitungen, wenn pro Tag ein maximaler 8-Stunden-Mittelwert als Ziel- oder Grenzwert festgesetzt wurde;</w:t>
      </w:r>
    </w:p>
    <w:p>
      <w:pPr>
        <w:pStyle w:val="GesAbsatz"/>
        <w:ind w:left="426" w:hanging="426"/>
      </w:pPr>
      <w:r>
        <w:t>e)</w:t>
      </w:r>
      <w:r>
        <w:tab/>
        <w:t>die AOT40 gemäß Anhang VII Teil A der Richtlinie 2008/50/EG im Falle des Ozon-Zielwerts für den Schutz der Vegetation;</w:t>
      </w:r>
    </w:p>
    <w:p>
      <w:pPr>
        <w:pStyle w:val="GesAbsatz"/>
        <w:ind w:left="426" w:hanging="426"/>
      </w:pPr>
      <w:r>
        <w:t>f)</w:t>
      </w:r>
      <w:r>
        <w:tab/>
        <w:t>den Indikator für die durchschnittliche Exposition im Falle des Reduktionsziels für PM</w:t>
      </w:r>
      <w:r>
        <w:rPr>
          <w:vertAlign w:val="subscript"/>
        </w:rPr>
        <w:t>2,5</w:t>
      </w:r>
      <w:r>
        <w:t xml:space="preserve"> und die Verpflichtung in Bezug auf die Expositionskonzentration.</w:t>
      </w:r>
    </w:p>
    <w:p>
      <w:pPr>
        <w:pStyle w:val="berschrift2"/>
      </w:pPr>
      <w:bookmarkStart w:id="16" w:name="_Toc448387105"/>
      <w:r>
        <w:t>Artikel 12</w:t>
      </w:r>
      <w:r>
        <w:br/>
        <w:t>Erreichung der Umweltziele</w:t>
      </w:r>
      <w:bookmarkEnd w:id="16"/>
    </w:p>
    <w:p>
      <w:pPr>
        <w:pStyle w:val="GesAbsatz"/>
      </w:pPr>
      <w:r>
        <w:t>(1) Die Mitgliedstaaten übermitteln gemäß dem Verfahren von Artikel 5 dieses Beschlusses die Informationen nach Anhang II Teil G über die Erreichung der in den Richtlinien 2004/107/EG und 2008/50/EG festgelegten Umweltziele.</w:t>
      </w:r>
    </w:p>
    <w:p>
      <w:pPr>
        <w:pStyle w:val="GesAbsatz"/>
      </w:pPr>
      <w:r>
        <w:t>(2) Die Mitgliedstaaten stellen der Kommission die Informationen gemäß Absatz 1 für ein volles Kalenderjahr spätestens neun Monate nach Ende eines jeden Kalenderjahres zur Verfügung.</w:t>
      </w:r>
    </w:p>
    <w:p>
      <w:pPr>
        <w:pStyle w:val="GesAbsatz"/>
      </w:pPr>
      <w:r>
        <w:t>Die Informationen umfassen Folgendes:</w:t>
      </w:r>
    </w:p>
    <w:p>
      <w:pPr>
        <w:pStyle w:val="GesAbsatz"/>
        <w:ind w:left="426" w:hanging="426"/>
      </w:pPr>
      <w:r>
        <w:t>a)</w:t>
      </w:r>
      <w:r>
        <w:tab/>
        <w:t>eine Erklärung, dass alle Umweltziele in jedem einzelnen Gebiet oder Ballungsraum erreicht wurden, einschließlich der Informationen betreffend die Überschreitung etwaiger Toleranzmargen;</w:t>
      </w:r>
    </w:p>
    <w:p>
      <w:pPr>
        <w:pStyle w:val="GesAbsatz"/>
        <w:ind w:left="426" w:hanging="426"/>
      </w:pPr>
      <w:r>
        <w:t>b)</w:t>
      </w:r>
      <w:r>
        <w:tab/>
        <w:t>gegebenenfalls eine Erklärung, dass die Überschreitung in dem betreffenden Gebiet natürlichen Quellen zuzurechnen ist;</w:t>
      </w:r>
    </w:p>
    <w:p>
      <w:pPr>
        <w:pStyle w:val="GesAbsatz"/>
        <w:ind w:left="426" w:hanging="426"/>
      </w:pPr>
      <w:r>
        <w:t>c)</w:t>
      </w:r>
      <w:r>
        <w:tab/>
        <w:t>gegebenenfalls eine Erklärung, dass die Überschreitung des Luftqualitätsziels für PM</w:t>
      </w:r>
      <w:r>
        <w:rPr>
          <w:vertAlign w:val="subscript"/>
        </w:rPr>
        <w:t>10</w:t>
      </w:r>
      <w:r>
        <w:t xml:space="preserve"> in dem betreffenden Gebiet oder Ballungsraum auf atmosphärische Aufwirbelung von Partikeln nach der Ausbringung von Streusand oder -salz auf Straßen im Winterdienst zurückzuführen ist;</w:t>
      </w:r>
    </w:p>
    <w:p>
      <w:pPr>
        <w:pStyle w:val="GesAbsatz"/>
      </w:pPr>
      <w:r>
        <w:t>d)</w:t>
      </w:r>
      <w:r>
        <w:tab/>
        <w:t>Informationen über die Einhaltung der Verpflichtung bezüglich der PM</w:t>
      </w:r>
      <w:r>
        <w:rPr>
          <w:vertAlign w:val="subscript"/>
        </w:rPr>
        <w:t>2,5</w:t>
      </w:r>
      <w:r>
        <w:t>-Expositionskonzentration.</w:t>
      </w:r>
    </w:p>
    <w:p>
      <w:pPr>
        <w:pStyle w:val="GesAbsatz"/>
      </w:pPr>
      <w:r>
        <w:lastRenderedPageBreak/>
        <w:t>(3) Im Falle von Überschreitungen umfassen die übermittelten Informationen auch Angaben über das Gebiet, in dem die Überschreitungen auftraten, sowie die Anzahl der Personen, die den Überschreitungen ausgesetzt waren.</w:t>
      </w:r>
    </w:p>
    <w:p>
      <w:pPr>
        <w:pStyle w:val="GesAbsatz"/>
      </w:pPr>
      <w:r>
        <w:t>(4) Die bereitgestellten Informationen müssen mit der gemäß Artikel 6 übermittelten Abgrenzung der Gebiete für das betreffende Kalenderjahr und den gemäß Artikel 11 bereitgestellten aggregierten validierten Beurteilungsdaten vereinbar sein.</w:t>
      </w:r>
    </w:p>
    <w:p>
      <w:pPr>
        <w:pStyle w:val="berschrift2"/>
      </w:pPr>
      <w:bookmarkStart w:id="17" w:name="_Toc448387106"/>
      <w:r>
        <w:t>Artikel 13</w:t>
      </w:r>
      <w:r>
        <w:br/>
        <w:t>Luftqualitätspläne</w:t>
      </w:r>
      <w:bookmarkEnd w:id="17"/>
    </w:p>
    <w:p>
      <w:pPr>
        <w:pStyle w:val="GesAbsatz"/>
      </w:pPr>
      <w:r>
        <w:t>(1) Die Mitgliedstaaten übermitteln gemäß dem Verfahren von Artikel 5 dieses Beschlusses die Informationen nach Anhang II Teile H, I, J und K dieses Beschlusses zu den Luftqualitätsplänen gemäß Artikel 23 der Richtlinie 2008/50/EG einschließlich</w:t>
      </w:r>
    </w:p>
    <w:p>
      <w:pPr>
        <w:pStyle w:val="GesAbsatz"/>
        <w:ind w:left="426" w:hanging="426"/>
      </w:pPr>
      <w:r>
        <w:t>a)</w:t>
      </w:r>
      <w:r>
        <w:tab/>
        <w:t>der gemäß Artikel 23 der Richtlinie 2008/50/EG in Anhang XV Abschnitt A der Richtlinie 2008/50/EG aufgeführten verbindlichen Bestandteile der Luftqualitätspläne;</w:t>
      </w:r>
    </w:p>
    <w:p>
      <w:pPr>
        <w:pStyle w:val="GesAbsatz"/>
        <w:ind w:left="426" w:hanging="426"/>
      </w:pPr>
      <w:r>
        <w:t>b)</w:t>
      </w:r>
      <w:r>
        <w:tab/>
        <w:t>Hinweisen darüber, wo die Öffentlichkeit Zugang zu den regelmäßig aktualisierten Informationen über die Durchführung der Luftqualitätspläne erhalten kann.</w:t>
      </w:r>
    </w:p>
    <w:p>
      <w:pPr>
        <w:pStyle w:val="GesAbsatz"/>
      </w:pPr>
      <w:r>
        <w:t>(2) Die Informationen sind der Kommission unverzüglich, spätestens aber zwei Jahre nach Ablauf des Kalenderjahrs, in dem die erste Überschreitung festgestellt wurde, zu übermitteln.</w:t>
      </w:r>
    </w:p>
    <w:p>
      <w:pPr>
        <w:pStyle w:val="berschrift2"/>
      </w:pPr>
      <w:bookmarkStart w:id="18" w:name="_Toc448387107"/>
      <w:r>
        <w:t>Artikel 14</w:t>
      </w:r>
      <w:r>
        <w:br/>
        <w:t>Maßnahmen zur Einhaltung der Zielwerte der Richtlinie 2004/107/EG</w:t>
      </w:r>
      <w:bookmarkEnd w:id="18"/>
    </w:p>
    <w:p>
      <w:pPr>
        <w:pStyle w:val="GesAbsatz"/>
      </w:pPr>
      <w:r>
        <w:t>(1) Die Mitgliedstaaten übermitteln gemäß dem Verfahren von Artikel 5 dieses Beschlusses die Informationen gemäß Anhang II Teil K dieses Beschlusses zu den Maßnahmen, die zur Einhaltung der Zielwerte gemäß Artikel 5 Absatz 2 der Richtlinie 2004/107/EG getroffen wurden.</w:t>
      </w:r>
    </w:p>
    <w:p>
      <w:pPr>
        <w:pStyle w:val="GesAbsatz"/>
      </w:pPr>
      <w:r>
        <w:t>(2) Die Informationen sind der Kommission spätestens zwei Jahre nach Ablauf des Jahres, in dem die die Maßnahme auslösende Überschreitung festgestellt wurde, zu übermitteln.</w:t>
      </w:r>
    </w:p>
    <w:p>
      <w:pPr>
        <w:pStyle w:val="berschrift2"/>
      </w:pPr>
      <w:bookmarkStart w:id="19" w:name="_Toc448387108"/>
      <w:r>
        <w:t>KAPITEL IV</w:t>
      </w:r>
      <w:r>
        <w:br/>
        <w:t>ÜBERGANGS- UND SCHLUSSBESTIMMUNGEN</w:t>
      </w:r>
      <w:bookmarkEnd w:id="19"/>
    </w:p>
    <w:p>
      <w:pPr>
        <w:pStyle w:val="berschrift2"/>
      </w:pPr>
      <w:bookmarkStart w:id="20" w:name="_Toc448387109"/>
      <w:r>
        <w:t>Artikel 15</w:t>
      </w:r>
      <w:r>
        <w:br/>
        <w:t>Aufhebung</w:t>
      </w:r>
      <w:bookmarkEnd w:id="20"/>
    </w:p>
    <w:p>
      <w:pPr>
        <w:pStyle w:val="GesAbsatz"/>
      </w:pPr>
      <w:r>
        <w:t>Die Entscheidungen 2004/224/EG und 2004/461/EG werden mit Wirkung vom 1. Januar 2014 aufgehoben.</w:t>
      </w:r>
    </w:p>
    <w:p>
      <w:pPr>
        <w:pStyle w:val="berschrift2"/>
      </w:pPr>
      <w:bookmarkStart w:id="21" w:name="_Toc448387110"/>
      <w:r>
        <w:t>Artikel 16</w:t>
      </w:r>
      <w:r>
        <w:br/>
        <w:t>Beginn der Geltungsdauer</w:t>
      </w:r>
      <w:bookmarkEnd w:id="21"/>
    </w:p>
    <w:p>
      <w:pPr>
        <w:pStyle w:val="GesAbsatz"/>
      </w:pPr>
      <w:r>
        <w:t>(1) Dieser Beschluss gilt ab dem 1. Januar 2014.</w:t>
      </w:r>
    </w:p>
    <w:p>
      <w:pPr>
        <w:pStyle w:val="GesAbsatz"/>
      </w:pPr>
      <w:r>
        <w:t>(2) Abweichend von Absatz 1 dieses Artikels übermitteln die Mitgliedstaaten die in den Artikeln 6 und 7 vorgesehenen Informationen erstmals bis spätestens am 31. Dezember 2013.</w:t>
      </w:r>
    </w:p>
    <w:p>
      <w:pPr>
        <w:pStyle w:val="berschrift2"/>
      </w:pPr>
      <w:bookmarkStart w:id="22" w:name="_Toc448387111"/>
      <w:r>
        <w:t>Artikel 17</w:t>
      </w:r>
      <w:r>
        <w:br/>
        <w:t>Adressaten</w:t>
      </w:r>
      <w:bookmarkEnd w:id="22"/>
    </w:p>
    <w:p>
      <w:pPr>
        <w:pStyle w:val="GesAbsatz"/>
      </w:pPr>
      <w:r>
        <w:t>Dieser Beschluss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3" w:name="_Toc448387112"/>
      <w:r>
        <w:lastRenderedPageBreak/>
        <w:t>ANHANG I</w:t>
      </w:r>
      <w:bookmarkEnd w:id="23"/>
    </w:p>
    <w:p>
      <w:pPr>
        <w:pStyle w:val="GesAbsatz"/>
        <w:rPr>
          <w:b/>
        </w:rPr>
      </w:pPr>
      <w:r>
        <w:rPr>
          <w:b/>
        </w:rPr>
        <w:t>A. Datenanforderungen</w:t>
      </w:r>
    </w:p>
    <w:p>
      <w:pPr>
        <w:pStyle w:val="GesAbsatz"/>
        <w:rPr>
          <w:i/>
        </w:rPr>
      </w:pPr>
      <w:r>
        <w:rPr>
          <w:i/>
        </w:rPr>
        <w:t>1.</w:t>
      </w:r>
      <w:r>
        <w:rPr>
          <w:i/>
        </w:rPr>
        <w:tab/>
        <w:t>Zeitangaben</w:t>
      </w:r>
    </w:p>
    <w:p>
      <w:pPr>
        <w:pStyle w:val="GesAbsatz"/>
        <w:ind w:left="426"/>
      </w:pPr>
      <w:r>
        <w:t xml:space="preserve">Alle Zeitangaben erfolgen gemäß der ISO-Norm 8601:2004(E), erweitertes Format (JJJJ-MM-TT </w:t>
      </w:r>
      <w:proofErr w:type="spellStart"/>
      <w:r>
        <w:t>hh:mm:ss</w:t>
      </w:r>
      <w:proofErr w:type="spellEnd"/>
      <w:r>
        <w:t xml:space="preserve"> ± </w:t>
      </w:r>
      <w:proofErr w:type="spellStart"/>
      <w:r>
        <w:t>hh:mm</w:t>
      </w:r>
      <w:proofErr w:type="spellEnd"/>
      <w:r>
        <w:t>), unter Angabe der Abweichung von der UTC (koordinierte Weltzeit).</w:t>
      </w:r>
    </w:p>
    <w:p>
      <w:pPr>
        <w:pStyle w:val="GesAbsatz"/>
        <w:ind w:left="426"/>
      </w:pPr>
      <w:r>
        <w:t>Der Zeitstempel bezieht sich auf das Ende des Messzeitraums.</w:t>
      </w:r>
    </w:p>
    <w:p>
      <w:pPr>
        <w:pStyle w:val="GesAbsatz"/>
        <w:rPr>
          <w:i/>
        </w:rPr>
      </w:pPr>
      <w:r>
        <w:rPr>
          <w:i/>
        </w:rPr>
        <w:t>2.</w:t>
      </w:r>
      <w:r>
        <w:rPr>
          <w:i/>
        </w:rPr>
        <w:tab/>
        <w:t>Anzahl der Ziffern und Auf- bzw. Abrundung</w:t>
      </w:r>
    </w:p>
    <w:p>
      <w:pPr>
        <w:pStyle w:val="GesAbsatz"/>
        <w:ind w:left="426"/>
      </w:pPr>
      <w:r>
        <w:t>Die Daten sollten dieselbe Anzahl Ziffern aufweisen wie die im Überwachungsnetz verwendeten Daten.</w:t>
      </w:r>
    </w:p>
    <w:p>
      <w:pPr>
        <w:pStyle w:val="GesAbsatz"/>
        <w:ind w:left="426"/>
      </w:pPr>
      <w:r>
        <w:t>Die Auf- bzw. Abrundung sollte grundsätzlich als letzter Schritt einer Berechnung erfolgen, also unmittelbar vor dem Vergleich des Ergebnisses mit dem Umweltziel, und ist nur einmal vorzunehmen. Ersatzweise nimmt das System gegebenenfalls die Rundung der Daten unter Einhaltung der kaufmännischen Rundungsregeln vor.</w:t>
      </w:r>
    </w:p>
    <w:p>
      <w:pPr>
        <w:pStyle w:val="GesAbsatz"/>
        <w:rPr>
          <w:i/>
        </w:rPr>
      </w:pPr>
      <w:r>
        <w:rPr>
          <w:i/>
        </w:rPr>
        <w:t>3.</w:t>
      </w:r>
      <w:r>
        <w:rPr>
          <w:i/>
        </w:rPr>
        <w:tab/>
        <w:t>Gleichwertigkeit</w:t>
      </w:r>
    </w:p>
    <w:p>
      <w:pPr>
        <w:pStyle w:val="GesAbsatz"/>
        <w:ind w:left="426"/>
      </w:pPr>
      <w:r>
        <w:t>Wird an einem Standort mehr als ein Beurteilungsverfahren angewandt, so sind die Daten desjenigen Beurteilungsverfahrens zu übermitteln, das an diesem Standort die geringste Ungenauigkeit aufweist.</w:t>
      </w:r>
    </w:p>
    <w:p>
      <w:pPr>
        <w:pStyle w:val="GesAbsatz"/>
        <w:rPr>
          <w:i/>
        </w:rPr>
      </w:pPr>
      <w:r>
        <w:rPr>
          <w:i/>
        </w:rPr>
        <w:t>4.</w:t>
      </w:r>
      <w:r>
        <w:rPr>
          <w:i/>
        </w:rPr>
        <w:tab/>
        <w:t>Standardisierung</w:t>
      </w:r>
    </w:p>
    <w:p>
      <w:pPr>
        <w:pStyle w:val="GesAbsatz"/>
        <w:ind w:left="426"/>
      </w:pPr>
      <w:r>
        <w:t>Für den Austausch der Informationen sollten die Bestimmungen gemäß Anhang IV Teil IV der Richtlinie 2004/107/EG und Anhang VI Teil C der Richtlinie 2008/50/EG zur Anwendung kommen.</w:t>
      </w:r>
    </w:p>
    <w:p>
      <w:pPr>
        <w:pStyle w:val="GesAbsatz"/>
        <w:rPr>
          <w:i/>
        </w:rPr>
      </w:pPr>
      <w:r>
        <w:rPr>
          <w:i/>
        </w:rPr>
        <w:t>5.</w:t>
      </w:r>
      <w:r>
        <w:rPr>
          <w:i/>
        </w:rPr>
        <w:tab/>
        <w:t>Bestimmungen für PM</w:t>
      </w:r>
      <w:r>
        <w:rPr>
          <w:i/>
          <w:vertAlign w:val="subscript"/>
        </w:rPr>
        <w:t>2,5</w:t>
      </w:r>
    </w:p>
    <w:p>
      <w:pPr>
        <w:pStyle w:val="GesAbsatz"/>
        <w:ind w:left="426"/>
      </w:pPr>
      <w:r>
        <w:rPr>
          <w:spacing w:val="60"/>
        </w:rPr>
        <w:t>Grenzwerte</w:t>
      </w:r>
      <w:r>
        <w:t xml:space="preserve"> </w:t>
      </w:r>
      <w:r>
        <w:rPr>
          <w:spacing w:val="60"/>
        </w:rPr>
        <w:t>zuzüglich Toleranzmarge</w:t>
      </w:r>
    </w:p>
    <w:p>
      <w:pPr>
        <w:pStyle w:val="GesAbsatz"/>
        <w:ind w:left="426"/>
      </w:pPr>
      <w:r>
        <w:t xml:space="preserve">Gemäß Anhang XIV Teil E der Richtlinie 2008/50/EG gelten für die nachstehend aufgeführten Jahre jeweils folgende Summen aus Grenzwert (LV, Limit Value) und Toleranzmarge (MOT, Margin </w:t>
      </w:r>
      <w:r>
        <w:rPr>
          <w:lang w:val="en-US"/>
        </w:rPr>
        <w:t>of</w:t>
      </w:r>
      <w:r>
        <w:t xml:space="preserve"> </w:t>
      </w:r>
      <w:r>
        <w:rPr>
          <w:lang w:val="en-US"/>
        </w:rPr>
        <w:t>Tolerance</w:t>
      </w:r>
      <w:r>
        <w:t>):</w:t>
      </w:r>
    </w:p>
    <w:tbl>
      <w:tblPr>
        <w:tblStyle w:val="Tabellenraster"/>
        <w:tblW w:w="0" w:type="auto"/>
        <w:tblInd w:w="426" w:type="dxa"/>
        <w:tblLook w:val="04A0" w:firstRow="1" w:lastRow="0" w:firstColumn="1" w:lastColumn="0" w:noHBand="0" w:noVBand="1"/>
      </w:tblPr>
      <w:tblGrid>
        <w:gridCol w:w="3793"/>
        <w:gridCol w:w="5245"/>
      </w:tblGrid>
      <w:tr>
        <w:tc>
          <w:tcPr>
            <w:tcW w:w="3793" w:type="dxa"/>
          </w:tcPr>
          <w:p>
            <w:pPr>
              <w:pStyle w:val="GesAbsatz"/>
              <w:tabs>
                <w:tab w:val="clear" w:pos="425"/>
              </w:tabs>
              <w:jc w:val="center"/>
            </w:pPr>
            <w:r>
              <w:t>Jahr</w:t>
            </w:r>
          </w:p>
        </w:tc>
        <w:tc>
          <w:tcPr>
            <w:tcW w:w="5245" w:type="dxa"/>
          </w:tcPr>
          <w:p>
            <w:pPr>
              <w:pStyle w:val="GesAbsatz"/>
              <w:tabs>
                <w:tab w:val="clear" w:pos="425"/>
              </w:tabs>
              <w:jc w:val="center"/>
            </w:pPr>
            <w:r>
              <w:t>LV + MOT</w:t>
            </w:r>
          </w:p>
        </w:tc>
      </w:tr>
      <w:tr>
        <w:tc>
          <w:tcPr>
            <w:tcW w:w="3793" w:type="dxa"/>
          </w:tcPr>
          <w:p>
            <w:pPr>
              <w:pStyle w:val="GesAbsatz"/>
              <w:tabs>
                <w:tab w:val="clear" w:pos="425"/>
              </w:tabs>
              <w:jc w:val="center"/>
            </w:pPr>
            <w:r>
              <w:t>2008</w:t>
            </w:r>
          </w:p>
        </w:tc>
        <w:tc>
          <w:tcPr>
            <w:tcW w:w="5245" w:type="dxa"/>
          </w:tcPr>
          <w:p>
            <w:pPr>
              <w:pStyle w:val="GesAbsatz"/>
              <w:tabs>
                <w:tab w:val="clear" w:pos="425"/>
              </w:tabs>
              <w:jc w:val="center"/>
            </w:pPr>
            <w:r>
              <w:t>30</w:t>
            </w:r>
          </w:p>
        </w:tc>
      </w:tr>
      <w:tr>
        <w:tc>
          <w:tcPr>
            <w:tcW w:w="3793" w:type="dxa"/>
          </w:tcPr>
          <w:p>
            <w:pPr>
              <w:pStyle w:val="GesAbsatz"/>
              <w:tabs>
                <w:tab w:val="clear" w:pos="425"/>
              </w:tabs>
              <w:jc w:val="center"/>
              <w:rPr>
                <w:lang w:val="en-US"/>
              </w:rPr>
            </w:pPr>
            <w:r>
              <w:rPr>
                <w:lang w:val="en-US"/>
              </w:rPr>
              <w:t>2009</w:t>
            </w:r>
          </w:p>
        </w:tc>
        <w:tc>
          <w:tcPr>
            <w:tcW w:w="5245" w:type="dxa"/>
          </w:tcPr>
          <w:p>
            <w:pPr>
              <w:pStyle w:val="GesAbsatz"/>
              <w:tabs>
                <w:tab w:val="clear" w:pos="425"/>
              </w:tabs>
              <w:jc w:val="center"/>
              <w:rPr>
                <w:lang w:val="en-US"/>
              </w:rPr>
            </w:pPr>
            <w:r>
              <w:rPr>
                <w:lang w:val="en-US"/>
              </w:rPr>
              <w:t>29</w:t>
            </w:r>
          </w:p>
        </w:tc>
      </w:tr>
      <w:tr>
        <w:tc>
          <w:tcPr>
            <w:tcW w:w="3793" w:type="dxa"/>
          </w:tcPr>
          <w:p>
            <w:pPr>
              <w:pStyle w:val="GesAbsatz"/>
              <w:tabs>
                <w:tab w:val="clear" w:pos="425"/>
              </w:tabs>
              <w:jc w:val="center"/>
              <w:rPr>
                <w:lang w:val="en-US"/>
              </w:rPr>
            </w:pPr>
            <w:r>
              <w:rPr>
                <w:lang w:val="en-US"/>
              </w:rPr>
              <w:t>2010</w:t>
            </w:r>
          </w:p>
        </w:tc>
        <w:tc>
          <w:tcPr>
            <w:tcW w:w="5245" w:type="dxa"/>
          </w:tcPr>
          <w:p>
            <w:pPr>
              <w:pStyle w:val="GesAbsatz"/>
              <w:tabs>
                <w:tab w:val="clear" w:pos="425"/>
              </w:tabs>
              <w:jc w:val="center"/>
              <w:rPr>
                <w:lang w:val="en-US"/>
              </w:rPr>
            </w:pPr>
            <w:r>
              <w:rPr>
                <w:lang w:val="en-US"/>
              </w:rPr>
              <w:t>29</w:t>
            </w:r>
          </w:p>
        </w:tc>
      </w:tr>
      <w:tr>
        <w:tc>
          <w:tcPr>
            <w:tcW w:w="3793" w:type="dxa"/>
          </w:tcPr>
          <w:p>
            <w:pPr>
              <w:pStyle w:val="GesAbsatz"/>
              <w:tabs>
                <w:tab w:val="clear" w:pos="425"/>
              </w:tabs>
              <w:jc w:val="center"/>
              <w:rPr>
                <w:lang w:val="en-US"/>
              </w:rPr>
            </w:pPr>
            <w:r>
              <w:rPr>
                <w:lang w:val="en-US"/>
              </w:rPr>
              <w:t>2011</w:t>
            </w:r>
          </w:p>
        </w:tc>
        <w:tc>
          <w:tcPr>
            <w:tcW w:w="5245" w:type="dxa"/>
          </w:tcPr>
          <w:p>
            <w:pPr>
              <w:pStyle w:val="GesAbsatz"/>
              <w:tabs>
                <w:tab w:val="clear" w:pos="425"/>
              </w:tabs>
              <w:jc w:val="center"/>
              <w:rPr>
                <w:lang w:val="en-US"/>
              </w:rPr>
            </w:pPr>
            <w:r>
              <w:rPr>
                <w:lang w:val="en-US"/>
              </w:rPr>
              <w:t>28</w:t>
            </w:r>
          </w:p>
        </w:tc>
      </w:tr>
      <w:tr>
        <w:tc>
          <w:tcPr>
            <w:tcW w:w="3793" w:type="dxa"/>
          </w:tcPr>
          <w:p>
            <w:pPr>
              <w:pStyle w:val="GesAbsatz"/>
              <w:tabs>
                <w:tab w:val="clear" w:pos="425"/>
              </w:tabs>
              <w:jc w:val="center"/>
              <w:rPr>
                <w:lang w:val="en-US"/>
              </w:rPr>
            </w:pPr>
            <w:r>
              <w:rPr>
                <w:lang w:val="en-US"/>
              </w:rPr>
              <w:t>2012</w:t>
            </w:r>
          </w:p>
        </w:tc>
        <w:tc>
          <w:tcPr>
            <w:tcW w:w="5245" w:type="dxa"/>
          </w:tcPr>
          <w:p>
            <w:pPr>
              <w:pStyle w:val="GesAbsatz"/>
              <w:tabs>
                <w:tab w:val="clear" w:pos="425"/>
              </w:tabs>
              <w:jc w:val="center"/>
              <w:rPr>
                <w:lang w:val="en-US"/>
              </w:rPr>
            </w:pPr>
            <w:r>
              <w:rPr>
                <w:lang w:val="en-US"/>
              </w:rPr>
              <w:t>27</w:t>
            </w:r>
          </w:p>
        </w:tc>
      </w:tr>
      <w:tr>
        <w:tc>
          <w:tcPr>
            <w:tcW w:w="3793" w:type="dxa"/>
          </w:tcPr>
          <w:p>
            <w:pPr>
              <w:pStyle w:val="GesAbsatz"/>
              <w:tabs>
                <w:tab w:val="clear" w:pos="425"/>
              </w:tabs>
              <w:jc w:val="center"/>
              <w:rPr>
                <w:lang w:val="en-US"/>
              </w:rPr>
            </w:pPr>
            <w:r>
              <w:rPr>
                <w:lang w:val="en-US"/>
              </w:rPr>
              <w:t>2013</w:t>
            </w:r>
          </w:p>
        </w:tc>
        <w:tc>
          <w:tcPr>
            <w:tcW w:w="5245" w:type="dxa"/>
          </w:tcPr>
          <w:p>
            <w:pPr>
              <w:pStyle w:val="GesAbsatz"/>
              <w:tabs>
                <w:tab w:val="clear" w:pos="425"/>
              </w:tabs>
              <w:jc w:val="center"/>
              <w:rPr>
                <w:lang w:val="en-US"/>
              </w:rPr>
            </w:pPr>
            <w:r>
              <w:rPr>
                <w:lang w:val="en-US"/>
              </w:rPr>
              <w:t>26</w:t>
            </w:r>
          </w:p>
        </w:tc>
      </w:tr>
      <w:tr>
        <w:tc>
          <w:tcPr>
            <w:tcW w:w="3793" w:type="dxa"/>
          </w:tcPr>
          <w:p>
            <w:pPr>
              <w:pStyle w:val="GesAbsatz"/>
              <w:tabs>
                <w:tab w:val="clear" w:pos="425"/>
              </w:tabs>
              <w:jc w:val="center"/>
              <w:rPr>
                <w:lang w:val="en-US"/>
              </w:rPr>
            </w:pPr>
            <w:r>
              <w:rPr>
                <w:lang w:val="en-US"/>
              </w:rPr>
              <w:t>2014</w:t>
            </w:r>
          </w:p>
        </w:tc>
        <w:tc>
          <w:tcPr>
            <w:tcW w:w="5245" w:type="dxa"/>
          </w:tcPr>
          <w:p>
            <w:pPr>
              <w:pStyle w:val="GesAbsatz"/>
              <w:tabs>
                <w:tab w:val="clear" w:pos="425"/>
              </w:tabs>
              <w:jc w:val="center"/>
              <w:rPr>
                <w:lang w:val="en-US"/>
              </w:rPr>
            </w:pPr>
            <w:r>
              <w:rPr>
                <w:lang w:val="en-US"/>
              </w:rPr>
              <w:t>26</w:t>
            </w:r>
          </w:p>
        </w:tc>
      </w:tr>
      <w:tr>
        <w:tc>
          <w:tcPr>
            <w:tcW w:w="3793" w:type="dxa"/>
          </w:tcPr>
          <w:p>
            <w:pPr>
              <w:pStyle w:val="GesAbsatz"/>
              <w:tabs>
                <w:tab w:val="clear" w:pos="425"/>
              </w:tabs>
              <w:jc w:val="center"/>
              <w:rPr>
                <w:lang w:val="en-US"/>
              </w:rPr>
            </w:pPr>
            <w:r>
              <w:rPr>
                <w:lang w:val="en-US"/>
              </w:rPr>
              <w:t>2015</w:t>
            </w:r>
          </w:p>
        </w:tc>
        <w:tc>
          <w:tcPr>
            <w:tcW w:w="5245" w:type="dxa"/>
          </w:tcPr>
          <w:p>
            <w:pPr>
              <w:pStyle w:val="GesAbsatz"/>
              <w:tabs>
                <w:tab w:val="clear" w:pos="425"/>
              </w:tabs>
              <w:jc w:val="center"/>
              <w:rPr>
                <w:lang w:val="en-US"/>
              </w:rPr>
            </w:pPr>
            <w:r>
              <w:rPr>
                <w:lang w:val="en-US"/>
              </w:rPr>
              <w:t>25</w:t>
            </w:r>
          </w:p>
        </w:tc>
      </w:tr>
    </w:tbl>
    <w:p>
      <w:pPr>
        <w:pStyle w:val="GesAbsatz"/>
        <w:rPr>
          <w:lang w:val="en-US"/>
        </w:rPr>
      </w:pPr>
    </w:p>
    <w:p>
      <w:pPr>
        <w:pStyle w:val="GesAbsatz"/>
        <w:ind w:left="426"/>
        <w:rPr>
          <w:spacing w:val="60"/>
        </w:rPr>
      </w:pPr>
      <w:r>
        <w:rPr>
          <w:spacing w:val="60"/>
        </w:rPr>
        <w:t>Berechnung des Indikators für die durchschnittliche Exposition (AEI—Average</w:t>
      </w:r>
      <w:r>
        <w:rPr>
          <w:spacing w:val="60"/>
          <w:lang w:val="en-US"/>
        </w:rPr>
        <w:t xml:space="preserve"> Exposure Indicator</w:t>
      </w:r>
      <w:r>
        <w:rPr>
          <w:spacing w:val="60"/>
        </w:rPr>
        <w:t>) gemäß Anhang XIV Teil A der Richtlinie 2008/50/EG</w:t>
      </w:r>
    </w:p>
    <w:p>
      <w:pPr>
        <w:pStyle w:val="GesAbsatz"/>
        <w:ind w:left="426"/>
      </w:pPr>
      <w:r>
        <w:t>Die Berechnung erfolgt für jedes Jahr einzeln, wobei für jede ausgewählte Probenahmestelle der PM</w:t>
      </w:r>
      <w:r>
        <w:rPr>
          <w:vertAlign w:val="subscript"/>
        </w:rPr>
        <w:t>2,5</w:t>
      </w:r>
      <w:r>
        <w:t>-Jahresmittelwert ermittelt wird. Die Auswahl der Probenahmestellen muss aus den diesbezüglich übermittelten Informationen hervorgehen.</w:t>
      </w:r>
    </w:p>
    <w:p>
      <w:pPr>
        <w:pStyle w:val="GesAbsatz"/>
        <w:ind w:left="426"/>
      </w:pPr>
      <w:r>
        <w:t>Zur Ermittlung des Jahresmittelwerts wird anhand der gültigen, mit den Datenqualitätszielen übereinstimmenden Jahresmittelwerten der Mittelwert aller ausgewiesenen AEI-Standorte des betreffenden Mitgliedstaats berechnet.</w:t>
      </w:r>
    </w:p>
    <w:p>
      <w:pPr>
        <w:pStyle w:val="GesAbsatz"/>
        <w:ind w:left="426"/>
      </w:pPr>
      <w:r>
        <w:t>Zur Ermittlung der AEI wird dieser Vorgang für jedes der drei Jahre wiederholt, und anschließend aus den drei Jahresmittelwerten wiederum der Mittelwert berechnet.</w:t>
      </w:r>
    </w:p>
    <w:p>
      <w:pPr>
        <w:pStyle w:val="GesAbsatz"/>
        <w:ind w:left="426"/>
      </w:pPr>
      <w:r>
        <w:t>Die AEI wird alljährlich als gleitender Jahresmittelwert bereitgestellt. Müssen Daten aktualisiert werden, die die AEI (durch die Wahl der Probenahmestelle) mittelbar oder unmittelbar beeinflussen könnten, so ist eine vollständige Aktualisierung aller betroffenen Informationen erforderlich.</w:t>
      </w:r>
    </w:p>
    <w:p>
      <w:pPr>
        <w:pStyle w:val="GesAbsatz"/>
        <w:rPr>
          <w:b/>
        </w:rPr>
      </w:pPr>
      <w:r>
        <w:rPr>
          <w:b/>
        </w:rPr>
        <w:lastRenderedPageBreak/>
        <w:t>B. Umweltziele und Parameter für die Berichterstattung</w:t>
      </w:r>
    </w:p>
    <w:tbl>
      <w:tblPr>
        <w:tblStyle w:val="Tabellenraster"/>
        <w:tblW w:w="9747" w:type="dxa"/>
        <w:tblLayout w:type="fixed"/>
        <w:tblLook w:val="04A0" w:firstRow="1" w:lastRow="0" w:firstColumn="1" w:lastColumn="0" w:noHBand="0" w:noVBand="1"/>
      </w:tblPr>
      <w:tblGrid>
        <w:gridCol w:w="1242"/>
        <w:gridCol w:w="1418"/>
        <w:gridCol w:w="1102"/>
        <w:gridCol w:w="1730"/>
        <w:gridCol w:w="2554"/>
        <w:gridCol w:w="1701"/>
      </w:tblGrid>
      <w:tr>
        <w:trPr>
          <w:tblHeader/>
        </w:trPr>
        <w:tc>
          <w:tcPr>
            <w:tcW w:w="1242" w:type="dxa"/>
            <w:vAlign w:val="center"/>
          </w:tcPr>
          <w:p>
            <w:pPr>
              <w:pStyle w:val="GesAbsatz"/>
              <w:tabs>
                <w:tab w:val="clear" w:pos="425"/>
              </w:tabs>
              <w:jc w:val="center"/>
              <w:rPr>
                <w:sz w:val="18"/>
                <w:szCs w:val="18"/>
              </w:rPr>
            </w:pPr>
            <w:r>
              <w:rPr>
                <w:sz w:val="18"/>
                <w:szCs w:val="18"/>
              </w:rPr>
              <w:t>Formel</w:t>
            </w:r>
          </w:p>
        </w:tc>
        <w:tc>
          <w:tcPr>
            <w:tcW w:w="1418" w:type="dxa"/>
            <w:vAlign w:val="center"/>
          </w:tcPr>
          <w:p>
            <w:pPr>
              <w:pStyle w:val="GesAbsatz"/>
              <w:tabs>
                <w:tab w:val="clear" w:pos="425"/>
              </w:tabs>
              <w:jc w:val="center"/>
              <w:rPr>
                <w:sz w:val="18"/>
                <w:szCs w:val="18"/>
              </w:rPr>
            </w:pPr>
            <w:r>
              <w:rPr>
                <w:sz w:val="18"/>
                <w:szCs w:val="18"/>
              </w:rPr>
              <w:t>Zu schützendes Ziel</w:t>
            </w:r>
          </w:p>
        </w:tc>
        <w:tc>
          <w:tcPr>
            <w:tcW w:w="1102" w:type="dxa"/>
            <w:vAlign w:val="center"/>
          </w:tcPr>
          <w:p>
            <w:pPr>
              <w:pStyle w:val="GesAbsatz"/>
              <w:tabs>
                <w:tab w:val="clear" w:pos="425"/>
              </w:tabs>
              <w:jc w:val="center"/>
              <w:rPr>
                <w:sz w:val="18"/>
                <w:szCs w:val="18"/>
              </w:rPr>
            </w:pPr>
            <w:r>
              <w:rPr>
                <w:sz w:val="18"/>
                <w:szCs w:val="18"/>
              </w:rPr>
              <w:t xml:space="preserve">Art des Umweltziels (Code </w:t>
            </w:r>
            <w:r>
              <w:rPr>
                <w:sz w:val="18"/>
                <w:szCs w:val="18"/>
                <w:vertAlign w:val="superscript"/>
              </w:rPr>
              <w:t>(1)</w:t>
            </w:r>
            <w:r>
              <w:rPr>
                <w:sz w:val="18"/>
                <w:szCs w:val="18"/>
              </w:rPr>
              <w:t>)</w:t>
            </w:r>
          </w:p>
        </w:tc>
        <w:tc>
          <w:tcPr>
            <w:tcW w:w="1730" w:type="dxa"/>
            <w:vAlign w:val="center"/>
          </w:tcPr>
          <w:p>
            <w:pPr>
              <w:pStyle w:val="GesAbsatz"/>
              <w:tabs>
                <w:tab w:val="clear" w:pos="425"/>
              </w:tabs>
              <w:jc w:val="center"/>
              <w:rPr>
                <w:sz w:val="18"/>
                <w:szCs w:val="18"/>
              </w:rPr>
            </w:pPr>
            <w:r>
              <w:rPr>
                <w:sz w:val="18"/>
                <w:szCs w:val="18"/>
              </w:rPr>
              <w:t>Mittelungszeitraum der Beurteilungen</w:t>
            </w:r>
          </w:p>
        </w:tc>
        <w:tc>
          <w:tcPr>
            <w:tcW w:w="2554" w:type="dxa"/>
            <w:vAlign w:val="center"/>
          </w:tcPr>
          <w:p>
            <w:pPr>
              <w:pStyle w:val="GesAbsatz"/>
              <w:tabs>
                <w:tab w:val="clear" w:pos="425"/>
              </w:tabs>
              <w:jc w:val="center"/>
              <w:rPr>
                <w:sz w:val="18"/>
                <w:szCs w:val="18"/>
              </w:rPr>
            </w:pPr>
            <w:r>
              <w:rPr>
                <w:sz w:val="18"/>
                <w:szCs w:val="18"/>
              </w:rPr>
              <w:t>Berichterstattungsparameter für das Umweltziel</w:t>
            </w:r>
          </w:p>
        </w:tc>
        <w:tc>
          <w:tcPr>
            <w:tcW w:w="1701" w:type="dxa"/>
            <w:vAlign w:val="center"/>
          </w:tcPr>
          <w:p>
            <w:pPr>
              <w:pStyle w:val="GesAbsatz"/>
              <w:tabs>
                <w:tab w:val="clear" w:pos="425"/>
              </w:tabs>
              <w:jc w:val="center"/>
              <w:rPr>
                <w:sz w:val="18"/>
                <w:szCs w:val="18"/>
              </w:rPr>
            </w:pPr>
            <w:r>
              <w:rPr>
                <w:sz w:val="18"/>
                <w:szCs w:val="18"/>
              </w:rPr>
              <w:t>Numerische Werte des Umweltziels (Umfang der zulässigen Überschreitung)</w:t>
            </w:r>
          </w:p>
        </w:tc>
      </w:tr>
      <w:tr>
        <w:tc>
          <w:tcPr>
            <w:tcW w:w="9747" w:type="dxa"/>
            <w:gridSpan w:val="6"/>
          </w:tcPr>
          <w:p>
            <w:pPr>
              <w:pStyle w:val="GesAbsatz"/>
              <w:tabs>
                <w:tab w:val="clear" w:pos="425"/>
              </w:tabs>
              <w:jc w:val="center"/>
              <w:rPr>
                <w:b/>
                <w:sz w:val="18"/>
                <w:szCs w:val="18"/>
              </w:rPr>
            </w:pPr>
            <w:r>
              <w:rPr>
                <w:b/>
                <w:sz w:val="18"/>
                <w:szCs w:val="18"/>
              </w:rPr>
              <w:t>Schadstoffe, zu denen aktuelle und validierte Daten gemeldet werden müssen</w:t>
            </w:r>
          </w:p>
        </w:tc>
      </w:tr>
      <w:tr>
        <w:tc>
          <w:tcPr>
            <w:tcW w:w="1242" w:type="dxa"/>
            <w:vMerge w:val="restart"/>
          </w:tcPr>
          <w:p>
            <w:pPr>
              <w:pStyle w:val="GesAbsatz"/>
              <w:tabs>
                <w:tab w:val="clear" w:pos="425"/>
              </w:tabs>
              <w:rPr>
                <w:sz w:val="18"/>
                <w:szCs w:val="18"/>
              </w:rPr>
            </w:pPr>
            <w:r>
              <w:rPr>
                <w:sz w:val="18"/>
                <w:szCs w:val="18"/>
              </w:rPr>
              <w:t>NO</w:t>
            </w:r>
            <w:r>
              <w:rPr>
                <w:sz w:val="18"/>
                <w:szCs w:val="18"/>
                <w:vertAlign w:val="subscript"/>
              </w:rPr>
              <w:t>2</w:t>
            </w:r>
          </w:p>
        </w:tc>
        <w:tc>
          <w:tcPr>
            <w:tcW w:w="1418" w:type="dxa"/>
            <w:vMerge w:val="restart"/>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LV</w:t>
            </w:r>
          </w:p>
        </w:tc>
        <w:tc>
          <w:tcPr>
            <w:tcW w:w="1730" w:type="dxa"/>
            <w:vMerge w:val="restart"/>
          </w:tcPr>
          <w:p>
            <w:pPr>
              <w:pStyle w:val="GesAbsatz"/>
              <w:tabs>
                <w:tab w:val="clear" w:pos="425"/>
              </w:tabs>
              <w:rPr>
                <w:sz w:val="18"/>
                <w:szCs w:val="18"/>
              </w:rPr>
            </w:pPr>
            <w:r>
              <w:rPr>
                <w:sz w:val="18"/>
                <w:szCs w:val="18"/>
              </w:rPr>
              <w:t>Eine Stunde</w:t>
            </w:r>
          </w:p>
        </w:tc>
        <w:tc>
          <w:tcPr>
            <w:tcW w:w="2554" w:type="dxa"/>
            <w:vMerge w:val="restart"/>
          </w:tcPr>
          <w:p>
            <w:pPr>
              <w:pStyle w:val="GesAbsatz"/>
              <w:tabs>
                <w:tab w:val="clear" w:pos="425"/>
              </w:tabs>
              <w:rPr>
                <w:sz w:val="18"/>
                <w:szCs w:val="18"/>
              </w:rPr>
            </w:pPr>
            <w:r>
              <w:rPr>
                <w:sz w:val="18"/>
                <w:szCs w:val="18"/>
              </w:rPr>
              <w:t>Stunden mit Überschreitung in einem Kalenderjahr</w:t>
            </w:r>
          </w:p>
        </w:tc>
        <w:tc>
          <w:tcPr>
            <w:tcW w:w="1701" w:type="dxa"/>
            <w:vMerge w:val="restart"/>
          </w:tcPr>
          <w:p>
            <w:pPr>
              <w:pStyle w:val="GesAbsatz"/>
              <w:tabs>
                <w:tab w:val="clear" w:pos="425"/>
              </w:tabs>
              <w:rPr>
                <w:sz w:val="18"/>
                <w:szCs w:val="18"/>
              </w:rPr>
            </w:pPr>
            <w:r>
              <w:rPr>
                <w:sz w:val="18"/>
                <w:szCs w:val="18"/>
              </w:rPr>
              <w:t>200 μg/m³ (18)</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LVMT</w:t>
            </w:r>
          </w:p>
        </w:tc>
        <w:tc>
          <w:tcPr>
            <w:tcW w:w="1730" w:type="dxa"/>
            <w:vMerge/>
          </w:tcPr>
          <w:p>
            <w:pPr>
              <w:pStyle w:val="GesAbsatz"/>
              <w:tabs>
                <w:tab w:val="clear" w:pos="425"/>
              </w:tabs>
              <w:rPr>
                <w:sz w:val="18"/>
                <w:szCs w:val="18"/>
              </w:rPr>
            </w:pPr>
          </w:p>
        </w:tc>
        <w:tc>
          <w:tcPr>
            <w:tcW w:w="2554" w:type="dxa"/>
            <w:vMerge/>
          </w:tcPr>
          <w:p>
            <w:pPr>
              <w:pStyle w:val="GesAbsatz"/>
              <w:tabs>
                <w:tab w:val="clear" w:pos="425"/>
              </w:tabs>
              <w:rPr>
                <w:sz w:val="18"/>
                <w:szCs w:val="18"/>
              </w:rPr>
            </w:pPr>
          </w:p>
        </w:tc>
        <w:tc>
          <w:tcPr>
            <w:tcW w:w="1701" w:type="dxa"/>
            <w:vMerge/>
          </w:tcPr>
          <w:p>
            <w:pPr>
              <w:pStyle w:val="GesAbsatz"/>
              <w:tabs>
                <w:tab w:val="clear" w:pos="425"/>
              </w:tabs>
              <w:rPr>
                <w:sz w:val="18"/>
                <w:szCs w:val="18"/>
              </w:rPr>
            </w:pP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LV</w:t>
            </w:r>
          </w:p>
        </w:tc>
        <w:tc>
          <w:tcPr>
            <w:tcW w:w="1730" w:type="dxa"/>
            <w:vMerge w:val="restart"/>
          </w:tcPr>
          <w:p>
            <w:pPr>
              <w:pStyle w:val="GesAbsatz"/>
              <w:tabs>
                <w:tab w:val="clear" w:pos="425"/>
              </w:tabs>
              <w:rPr>
                <w:sz w:val="18"/>
                <w:szCs w:val="18"/>
              </w:rPr>
            </w:pPr>
            <w:r>
              <w:rPr>
                <w:sz w:val="18"/>
                <w:szCs w:val="18"/>
              </w:rPr>
              <w:t>Ein Kalenderjahr</w:t>
            </w:r>
          </w:p>
        </w:tc>
        <w:tc>
          <w:tcPr>
            <w:tcW w:w="2554" w:type="dxa"/>
            <w:vMerge w:val="restart"/>
          </w:tcPr>
          <w:p>
            <w:pPr>
              <w:pStyle w:val="GesAbsatz"/>
              <w:tabs>
                <w:tab w:val="clear" w:pos="425"/>
              </w:tabs>
              <w:rPr>
                <w:sz w:val="18"/>
                <w:szCs w:val="18"/>
              </w:rPr>
            </w:pPr>
            <w:r>
              <w:rPr>
                <w:sz w:val="18"/>
                <w:szCs w:val="18"/>
              </w:rPr>
              <w:t>Jahresmittelwert</w:t>
            </w:r>
          </w:p>
        </w:tc>
        <w:tc>
          <w:tcPr>
            <w:tcW w:w="1701" w:type="dxa"/>
            <w:vMerge w:val="restart"/>
          </w:tcPr>
          <w:p>
            <w:pPr>
              <w:pStyle w:val="GesAbsatz"/>
              <w:tabs>
                <w:tab w:val="clear" w:pos="425"/>
              </w:tabs>
              <w:rPr>
                <w:sz w:val="18"/>
                <w:szCs w:val="18"/>
              </w:rPr>
            </w:pPr>
            <w:r>
              <w:rPr>
                <w:sz w:val="18"/>
                <w:szCs w:val="18"/>
              </w:rPr>
              <w:t>40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LVMT</w:t>
            </w:r>
          </w:p>
        </w:tc>
        <w:tc>
          <w:tcPr>
            <w:tcW w:w="1730" w:type="dxa"/>
            <w:vMerge/>
          </w:tcPr>
          <w:p>
            <w:pPr>
              <w:pStyle w:val="GesAbsatz"/>
              <w:tabs>
                <w:tab w:val="clear" w:pos="425"/>
              </w:tabs>
              <w:rPr>
                <w:sz w:val="18"/>
                <w:szCs w:val="18"/>
              </w:rPr>
            </w:pPr>
          </w:p>
        </w:tc>
        <w:tc>
          <w:tcPr>
            <w:tcW w:w="2554" w:type="dxa"/>
            <w:vMerge/>
          </w:tcPr>
          <w:p>
            <w:pPr>
              <w:pStyle w:val="GesAbsatz"/>
              <w:tabs>
                <w:tab w:val="clear" w:pos="425"/>
              </w:tabs>
              <w:rPr>
                <w:sz w:val="18"/>
                <w:szCs w:val="18"/>
              </w:rPr>
            </w:pPr>
          </w:p>
        </w:tc>
        <w:tc>
          <w:tcPr>
            <w:tcW w:w="1701" w:type="dxa"/>
            <w:vMerge/>
          </w:tcPr>
          <w:p>
            <w:pPr>
              <w:pStyle w:val="GesAbsatz"/>
              <w:tabs>
                <w:tab w:val="clear" w:pos="425"/>
              </w:tabs>
              <w:rPr>
                <w:sz w:val="18"/>
                <w:szCs w:val="18"/>
              </w:rPr>
            </w:pP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ALT</w:t>
            </w:r>
          </w:p>
        </w:tc>
        <w:tc>
          <w:tcPr>
            <w:tcW w:w="1730" w:type="dxa"/>
          </w:tcPr>
          <w:p>
            <w:pPr>
              <w:pStyle w:val="GesAbsatz"/>
              <w:tabs>
                <w:tab w:val="clear" w:pos="425"/>
              </w:tabs>
              <w:rPr>
                <w:sz w:val="18"/>
                <w:szCs w:val="18"/>
              </w:rPr>
            </w:pPr>
            <w:r>
              <w:rPr>
                <w:sz w:val="18"/>
                <w:szCs w:val="18"/>
              </w:rPr>
              <w:t>Eine Stunde</w:t>
            </w:r>
          </w:p>
        </w:tc>
        <w:tc>
          <w:tcPr>
            <w:tcW w:w="2554" w:type="dxa"/>
          </w:tcPr>
          <w:p>
            <w:pPr>
              <w:pStyle w:val="GesAbsatz"/>
              <w:tabs>
                <w:tab w:val="clear" w:pos="425"/>
              </w:tabs>
              <w:rPr>
                <w:sz w:val="18"/>
                <w:szCs w:val="18"/>
              </w:rPr>
            </w:pPr>
            <w:r>
              <w:rPr>
                <w:sz w:val="18"/>
                <w:szCs w:val="18"/>
              </w:rPr>
              <w:t>Überschreitung während dreier aufeinanderfolgender Stunden (an für die Luftqualität repräsentativen Standorten auf einem Gebiet von mindestens 100 km² bzw. in einem gesamten Gebiet oder Ballungsraum, je nachdem, welches die geringere Fläche aufweist)</w:t>
            </w:r>
          </w:p>
        </w:tc>
        <w:tc>
          <w:tcPr>
            <w:tcW w:w="1701" w:type="dxa"/>
          </w:tcPr>
          <w:p>
            <w:pPr>
              <w:pStyle w:val="GesAbsatz"/>
              <w:tabs>
                <w:tab w:val="clear" w:pos="425"/>
              </w:tabs>
              <w:rPr>
                <w:sz w:val="18"/>
                <w:szCs w:val="18"/>
              </w:rPr>
            </w:pPr>
            <w:r>
              <w:rPr>
                <w:sz w:val="18"/>
                <w:szCs w:val="18"/>
              </w:rPr>
              <w:t>400 μg/m³</w:t>
            </w:r>
          </w:p>
        </w:tc>
      </w:tr>
      <w:tr>
        <w:tc>
          <w:tcPr>
            <w:tcW w:w="1242" w:type="dxa"/>
          </w:tcPr>
          <w:p>
            <w:pPr>
              <w:pStyle w:val="GesAbsatz"/>
              <w:tabs>
                <w:tab w:val="clear" w:pos="425"/>
              </w:tabs>
              <w:rPr>
                <w:sz w:val="18"/>
                <w:szCs w:val="18"/>
              </w:rPr>
            </w:pPr>
            <w:r>
              <w:rPr>
                <w:sz w:val="18"/>
                <w:szCs w:val="18"/>
              </w:rPr>
              <w:t>NO</w:t>
            </w:r>
            <w:r>
              <w:rPr>
                <w:sz w:val="18"/>
                <w:szCs w:val="18"/>
                <w:vertAlign w:val="subscript"/>
              </w:rPr>
              <w:t>x</w:t>
            </w:r>
          </w:p>
        </w:tc>
        <w:tc>
          <w:tcPr>
            <w:tcW w:w="1418" w:type="dxa"/>
          </w:tcPr>
          <w:p>
            <w:pPr>
              <w:pStyle w:val="GesAbsatz"/>
              <w:tabs>
                <w:tab w:val="clear" w:pos="425"/>
              </w:tabs>
              <w:rPr>
                <w:sz w:val="18"/>
                <w:szCs w:val="18"/>
              </w:rPr>
            </w:pPr>
            <w:r>
              <w:rPr>
                <w:sz w:val="18"/>
                <w:szCs w:val="18"/>
              </w:rPr>
              <w:t>Vegetation</w:t>
            </w:r>
          </w:p>
        </w:tc>
        <w:tc>
          <w:tcPr>
            <w:tcW w:w="1102" w:type="dxa"/>
          </w:tcPr>
          <w:p>
            <w:pPr>
              <w:pStyle w:val="GesAbsatz"/>
              <w:tabs>
                <w:tab w:val="clear" w:pos="425"/>
              </w:tabs>
              <w:rPr>
                <w:sz w:val="18"/>
                <w:szCs w:val="18"/>
              </w:rPr>
            </w:pPr>
            <w:r>
              <w:rPr>
                <w:sz w:val="18"/>
                <w:szCs w:val="18"/>
              </w:rPr>
              <w:t>CL</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30 μg/m³</w:t>
            </w:r>
          </w:p>
        </w:tc>
      </w:tr>
      <w:tr>
        <w:tc>
          <w:tcPr>
            <w:tcW w:w="1242" w:type="dxa"/>
            <w:vMerge w:val="restart"/>
          </w:tcPr>
          <w:p>
            <w:pPr>
              <w:pStyle w:val="GesAbsatz"/>
              <w:tabs>
                <w:tab w:val="clear" w:pos="425"/>
              </w:tabs>
              <w:rPr>
                <w:sz w:val="18"/>
                <w:szCs w:val="18"/>
              </w:rPr>
            </w:pPr>
            <w:r>
              <w:rPr>
                <w:sz w:val="18"/>
                <w:szCs w:val="18"/>
              </w:rPr>
              <w:t>PM</w:t>
            </w:r>
            <w:r>
              <w:rPr>
                <w:sz w:val="18"/>
                <w:szCs w:val="18"/>
                <w:vertAlign w:val="subscript"/>
              </w:rPr>
              <w:t>10</w:t>
            </w:r>
          </w:p>
        </w:tc>
        <w:tc>
          <w:tcPr>
            <w:tcW w:w="1418" w:type="dxa"/>
            <w:vMerge w:val="restart"/>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LV</w:t>
            </w:r>
          </w:p>
        </w:tc>
        <w:tc>
          <w:tcPr>
            <w:tcW w:w="1730" w:type="dxa"/>
          </w:tcPr>
          <w:p>
            <w:pPr>
              <w:pStyle w:val="GesAbsatz"/>
              <w:tabs>
                <w:tab w:val="clear" w:pos="425"/>
              </w:tabs>
              <w:rPr>
                <w:sz w:val="18"/>
                <w:szCs w:val="18"/>
              </w:rPr>
            </w:pPr>
            <w:r>
              <w:rPr>
                <w:sz w:val="18"/>
                <w:szCs w:val="18"/>
              </w:rPr>
              <w:t>Ein Tag</w:t>
            </w:r>
          </w:p>
        </w:tc>
        <w:tc>
          <w:tcPr>
            <w:tcW w:w="2554" w:type="dxa"/>
          </w:tcPr>
          <w:p>
            <w:pPr>
              <w:pStyle w:val="GesAbsatz"/>
              <w:tabs>
                <w:tab w:val="clear" w:pos="425"/>
              </w:tabs>
              <w:rPr>
                <w:sz w:val="18"/>
                <w:szCs w:val="18"/>
              </w:rPr>
            </w:pPr>
            <w:r>
              <w:rPr>
                <w:sz w:val="18"/>
                <w:szCs w:val="18"/>
              </w:rPr>
              <w:t>Anzahl der Tage mit Überschreitungen in einem Kalenderjahr</w:t>
            </w:r>
          </w:p>
        </w:tc>
        <w:tc>
          <w:tcPr>
            <w:tcW w:w="1701" w:type="dxa"/>
          </w:tcPr>
          <w:p>
            <w:pPr>
              <w:pStyle w:val="GesAbsatz"/>
              <w:tabs>
                <w:tab w:val="clear" w:pos="425"/>
              </w:tabs>
              <w:rPr>
                <w:sz w:val="18"/>
                <w:szCs w:val="18"/>
              </w:rPr>
            </w:pPr>
            <w:r>
              <w:rPr>
                <w:sz w:val="18"/>
                <w:szCs w:val="18"/>
              </w:rPr>
              <w:t>50 μg/m³ (35) 90,4-Perzentil</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40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val="restart"/>
          </w:tcPr>
          <w:p>
            <w:pPr>
              <w:pStyle w:val="GesAbsatz"/>
              <w:tabs>
                <w:tab w:val="clear" w:pos="425"/>
              </w:tabs>
              <w:rPr>
                <w:sz w:val="18"/>
                <w:szCs w:val="18"/>
              </w:rPr>
            </w:pPr>
            <w:r>
              <w:rPr>
                <w:sz w:val="18"/>
                <w:szCs w:val="18"/>
              </w:rPr>
              <w:t xml:space="preserve">WSS </w:t>
            </w:r>
            <w:r>
              <w:rPr>
                <w:sz w:val="18"/>
                <w:szCs w:val="18"/>
                <w:vertAlign w:val="superscript"/>
              </w:rPr>
              <w:t>(2)</w:t>
            </w:r>
          </w:p>
        </w:tc>
        <w:tc>
          <w:tcPr>
            <w:tcW w:w="1730" w:type="dxa"/>
          </w:tcPr>
          <w:p>
            <w:pPr>
              <w:pStyle w:val="GesAbsatz"/>
              <w:tabs>
                <w:tab w:val="clear" w:pos="425"/>
              </w:tabs>
              <w:rPr>
                <w:sz w:val="18"/>
                <w:szCs w:val="18"/>
              </w:rPr>
            </w:pPr>
            <w:r>
              <w:rPr>
                <w:sz w:val="18"/>
                <w:szCs w:val="18"/>
              </w:rPr>
              <w:t>Ein Tag</w:t>
            </w:r>
          </w:p>
        </w:tc>
        <w:tc>
          <w:tcPr>
            <w:tcW w:w="2554" w:type="dxa"/>
          </w:tcPr>
          <w:p>
            <w:pPr>
              <w:pStyle w:val="GesAbsatz"/>
              <w:tabs>
                <w:tab w:val="clear" w:pos="425"/>
              </w:tabs>
              <w:rPr>
                <w:sz w:val="18"/>
                <w:szCs w:val="18"/>
              </w:rPr>
            </w:pPr>
            <w:r>
              <w:rPr>
                <w:sz w:val="18"/>
                <w:szCs w:val="18"/>
              </w:rPr>
              <w:t>Nicht berücksichtigte Tage mit Überschreitung in einem Kalenderjahr</w:t>
            </w:r>
          </w:p>
        </w:tc>
        <w:tc>
          <w:tcPr>
            <w:tcW w:w="1701" w:type="dxa"/>
          </w:tcPr>
          <w:p>
            <w:pPr>
              <w:pStyle w:val="GesAbsatz"/>
              <w:tabs>
                <w:tab w:val="clear" w:pos="425"/>
              </w:tabs>
              <w:rPr>
                <w:sz w:val="18"/>
                <w:szCs w:val="18"/>
              </w:rPr>
            </w:pPr>
            <w:proofErr w:type="spellStart"/>
            <w:r>
              <w:rPr>
                <w:sz w:val="18"/>
                <w:szCs w:val="18"/>
              </w:rPr>
              <w:t>n.a</w:t>
            </w:r>
            <w:proofErr w:type="spellEnd"/>
            <w:r>
              <w:rPr>
                <w:sz w:val="18"/>
                <w:szCs w:val="18"/>
              </w:rPr>
              <w:t>.</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tcPr>
          <w:p>
            <w:pPr>
              <w:pStyle w:val="GesAbsatz"/>
              <w:tabs>
                <w:tab w:val="clear" w:pos="425"/>
              </w:tabs>
              <w:rPr>
                <w:sz w:val="18"/>
                <w:szCs w:val="18"/>
              </w:rPr>
            </w:pP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Abzug vom Jahresmittelwert</w:t>
            </w:r>
          </w:p>
        </w:tc>
        <w:tc>
          <w:tcPr>
            <w:tcW w:w="1701" w:type="dxa"/>
          </w:tcPr>
          <w:p>
            <w:pPr>
              <w:pStyle w:val="GesAbsatz"/>
              <w:tabs>
                <w:tab w:val="clear" w:pos="425"/>
              </w:tabs>
              <w:rPr>
                <w:sz w:val="18"/>
                <w:szCs w:val="18"/>
              </w:rPr>
            </w:pPr>
            <w:proofErr w:type="spellStart"/>
            <w:r>
              <w:rPr>
                <w:sz w:val="18"/>
                <w:szCs w:val="18"/>
              </w:rPr>
              <w:t>n.a</w:t>
            </w:r>
            <w:proofErr w:type="spellEnd"/>
            <w:r>
              <w:rPr>
                <w:sz w:val="18"/>
                <w:szCs w:val="18"/>
              </w:rPr>
              <w:t>.</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val="restart"/>
          </w:tcPr>
          <w:p>
            <w:pPr>
              <w:pStyle w:val="GesAbsatz"/>
              <w:tabs>
                <w:tab w:val="clear" w:pos="425"/>
              </w:tabs>
              <w:rPr>
                <w:sz w:val="18"/>
                <w:szCs w:val="18"/>
              </w:rPr>
            </w:pPr>
            <w:r>
              <w:rPr>
                <w:sz w:val="18"/>
                <w:szCs w:val="18"/>
              </w:rPr>
              <w:t xml:space="preserve">NAT </w:t>
            </w:r>
            <w:r>
              <w:rPr>
                <w:sz w:val="18"/>
                <w:szCs w:val="18"/>
                <w:vertAlign w:val="superscript"/>
              </w:rPr>
              <w:t>(2)</w:t>
            </w:r>
          </w:p>
        </w:tc>
        <w:tc>
          <w:tcPr>
            <w:tcW w:w="1730" w:type="dxa"/>
          </w:tcPr>
          <w:p>
            <w:pPr>
              <w:pStyle w:val="GesAbsatz"/>
              <w:tabs>
                <w:tab w:val="clear" w:pos="425"/>
              </w:tabs>
              <w:rPr>
                <w:sz w:val="18"/>
                <w:szCs w:val="18"/>
              </w:rPr>
            </w:pPr>
            <w:r>
              <w:rPr>
                <w:sz w:val="18"/>
                <w:szCs w:val="18"/>
              </w:rPr>
              <w:t>Ein Tag</w:t>
            </w:r>
          </w:p>
        </w:tc>
        <w:tc>
          <w:tcPr>
            <w:tcW w:w="2554" w:type="dxa"/>
          </w:tcPr>
          <w:p>
            <w:pPr>
              <w:pStyle w:val="GesAbsatz"/>
              <w:tabs>
                <w:tab w:val="clear" w:pos="425"/>
              </w:tabs>
              <w:rPr>
                <w:sz w:val="18"/>
                <w:szCs w:val="18"/>
              </w:rPr>
            </w:pPr>
            <w:r>
              <w:rPr>
                <w:sz w:val="18"/>
                <w:szCs w:val="18"/>
              </w:rPr>
              <w:t>Nicht berücksichtigte Tage mit Überschreitung in einem Kalenderjahr</w:t>
            </w:r>
          </w:p>
        </w:tc>
        <w:tc>
          <w:tcPr>
            <w:tcW w:w="1701" w:type="dxa"/>
          </w:tcPr>
          <w:p>
            <w:pPr>
              <w:pStyle w:val="GesAbsatz"/>
              <w:tabs>
                <w:tab w:val="clear" w:pos="425"/>
              </w:tabs>
              <w:rPr>
                <w:sz w:val="18"/>
                <w:szCs w:val="18"/>
              </w:rPr>
            </w:pPr>
            <w:proofErr w:type="spellStart"/>
            <w:r>
              <w:rPr>
                <w:sz w:val="18"/>
                <w:szCs w:val="18"/>
              </w:rPr>
              <w:t>n.a</w:t>
            </w:r>
            <w:proofErr w:type="spellEnd"/>
            <w:r>
              <w:rPr>
                <w:sz w:val="18"/>
                <w:szCs w:val="18"/>
              </w:rPr>
              <w:t>.</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tcPr>
          <w:p>
            <w:pPr>
              <w:pStyle w:val="GesAbsatz"/>
              <w:tabs>
                <w:tab w:val="clear" w:pos="425"/>
              </w:tabs>
              <w:rPr>
                <w:sz w:val="18"/>
                <w:szCs w:val="18"/>
              </w:rPr>
            </w:pP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Abzug vom Jahresmittelwert</w:t>
            </w:r>
          </w:p>
        </w:tc>
        <w:tc>
          <w:tcPr>
            <w:tcW w:w="1701" w:type="dxa"/>
          </w:tcPr>
          <w:p>
            <w:pPr>
              <w:pStyle w:val="GesAbsatz"/>
              <w:tabs>
                <w:tab w:val="clear" w:pos="425"/>
              </w:tabs>
              <w:rPr>
                <w:sz w:val="18"/>
                <w:szCs w:val="18"/>
              </w:rPr>
            </w:pPr>
            <w:proofErr w:type="spellStart"/>
            <w:r>
              <w:rPr>
                <w:sz w:val="18"/>
                <w:szCs w:val="18"/>
              </w:rPr>
              <w:t>n.a</w:t>
            </w:r>
            <w:proofErr w:type="spellEnd"/>
            <w:r>
              <w:rPr>
                <w:sz w:val="18"/>
                <w:szCs w:val="18"/>
              </w:rPr>
              <w:t>.</w:t>
            </w:r>
          </w:p>
        </w:tc>
      </w:tr>
      <w:tr>
        <w:tc>
          <w:tcPr>
            <w:tcW w:w="1242" w:type="dxa"/>
            <w:vMerge w:val="restart"/>
          </w:tcPr>
          <w:p>
            <w:pPr>
              <w:pStyle w:val="GesAbsatz"/>
              <w:tabs>
                <w:tab w:val="clear" w:pos="425"/>
              </w:tabs>
              <w:rPr>
                <w:sz w:val="18"/>
                <w:szCs w:val="18"/>
              </w:rPr>
            </w:pPr>
            <w:r>
              <w:rPr>
                <w:sz w:val="18"/>
                <w:szCs w:val="18"/>
              </w:rPr>
              <w:t>PM</w:t>
            </w:r>
            <w:r>
              <w:rPr>
                <w:sz w:val="18"/>
                <w:szCs w:val="18"/>
                <w:vertAlign w:val="subscript"/>
              </w:rPr>
              <w:t>2,5</w:t>
            </w:r>
          </w:p>
        </w:tc>
        <w:tc>
          <w:tcPr>
            <w:tcW w:w="1418" w:type="dxa"/>
            <w:vMerge w:val="restart"/>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ECO</w:t>
            </w:r>
          </w:p>
        </w:tc>
        <w:tc>
          <w:tcPr>
            <w:tcW w:w="1730" w:type="dxa"/>
            <w:vMerge w:val="restart"/>
          </w:tcPr>
          <w:p>
            <w:pPr>
              <w:pStyle w:val="GesAbsatz"/>
              <w:tabs>
                <w:tab w:val="clear" w:pos="425"/>
              </w:tabs>
              <w:rPr>
                <w:sz w:val="18"/>
                <w:szCs w:val="18"/>
              </w:rPr>
            </w:pPr>
            <w:r>
              <w:rPr>
                <w:sz w:val="18"/>
                <w:szCs w:val="18"/>
              </w:rPr>
              <w:t>Drei aufeinanderfolgende Kalenderjahre</w:t>
            </w:r>
          </w:p>
        </w:tc>
        <w:tc>
          <w:tcPr>
            <w:tcW w:w="2554" w:type="dxa"/>
            <w:vMerge w:val="restart"/>
          </w:tcPr>
          <w:p>
            <w:pPr>
              <w:pStyle w:val="GesAbsatz"/>
              <w:tabs>
                <w:tab w:val="clear" w:pos="425"/>
              </w:tabs>
              <w:rPr>
                <w:sz w:val="18"/>
                <w:szCs w:val="18"/>
              </w:rPr>
            </w:pPr>
            <w:r>
              <w:rPr>
                <w:sz w:val="18"/>
                <w:szCs w:val="18"/>
              </w:rPr>
              <w:t>Indikator für die durchschnittliche Exposition: (Berechnung: vgl. Richtlinie 2008/50/EG)</w:t>
            </w:r>
          </w:p>
        </w:tc>
        <w:tc>
          <w:tcPr>
            <w:tcW w:w="1701" w:type="dxa"/>
          </w:tcPr>
          <w:p>
            <w:pPr>
              <w:pStyle w:val="GesAbsatz"/>
              <w:tabs>
                <w:tab w:val="clear" w:pos="425"/>
              </w:tabs>
              <w:rPr>
                <w:sz w:val="18"/>
                <w:szCs w:val="18"/>
              </w:rPr>
            </w:pPr>
            <w:r>
              <w:rPr>
                <w:sz w:val="18"/>
                <w:szCs w:val="18"/>
              </w:rPr>
              <w:t>20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ERT</w:t>
            </w:r>
          </w:p>
        </w:tc>
        <w:tc>
          <w:tcPr>
            <w:tcW w:w="1730" w:type="dxa"/>
            <w:vMerge/>
          </w:tcPr>
          <w:p>
            <w:pPr>
              <w:pStyle w:val="GesAbsatz"/>
              <w:tabs>
                <w:tab w:val="clear" w:pos="425"/>
              </w:tabs>
              <w:rPr>
                <w:sz w:val="18"/>
                <w:szCs w:val="18"/>
              </w:rPr>
            </w:pPr>
          </w:p>
        </w:tc>
        <w:tc>
          <w:tcPr>
            <w:tcW w:w="2554" w:type="dxa"/>
            <w:vMerge/>
          </w:tcPr>
          <w:p>
            <w:pPr>
              <w:pStyle w:val="GesAbsatz"/>
              <w:tabs>
                <w:tab w:val="clear" w:pos="425"/>
              </w:tabs>
              <w:rPr>
                <w:sz w:val="18"/>
                <w:szCs w:val="18"/>
              </w:rPr>
            </w:pPr>
          </w:p>
        </w:tc>
        <w:tc>
          <w:tcPr>
            <w:tcW w:w="1701" w:type="dxa"/>
          </w:tcPr>
          <w:p>
            <w:pPr>
              <w:pStyle w:val="GesAbsatz"/>
              <w:tabs>
                <w:tab w:val="clear" w:pos="425"/>
              </w:tabs>
              <w:rPr>
                <w:sz w:val="18"/>
                <w:szCs w:val="18"/>
              </w:rPr>
            </w:pPr>
            <w:r>
              <w:rPr>
                <w:sz w:val="18"/>
                <w:szCs w:val="18"/>
              </w:rPr>
              <w:t>gemäß Anhang XIV Teil B der Richtlinie 2008/50/EG</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TV</w:t>
            </w:r>
          </w:p>
        </w:tc>
        <w:tc>
          <w:tcPr>
            <w:tcW w:w="1730" w:type="dxa"/>
            <w:vMerge w:val="restart"/>
          </w:tcPr>
          <w:p>
            <w:pPr>
              <w:pStyle w:val="GesAbsatz"/>
              <w:tabs>
                <w:tab w:val="clear" w:pos="425"/>
              </w:tabs>
              <w:rPr>
                <w:sz w:val="18"/>
                <w:szCs w:val="18"/>
              </w:rPr>
            </w:pPr>
            <w:r>
              <w:rPr>
                <w:sz w:val="18"/>
                <w:szCs w:val="18"/>
              </w:rPr>
              <w:t>Ein Kalenderjahr</w:t>
            </w:r>
          </w:p>
        </w:tc>
        <w:tc>
          <w:tcPr>
            <w:tcW w:w="2554" w:type="dxa"/>
            <w:vMerge w:val="restart"/>
          </w:tcPr>
          <w:p>
            <w:pPr>
              <w:pStyle w:val="GesAbsatz"/>
              <w:tabs>
                <w:tab w:val="clear" w:pos="425"/>
              </w:tabs>
              <w:rPr>
                <w:sz w:val="18"/>
                <w:szCs w:val="18"/>
              </w:rPr>
            </w:pPr>
            <w:r>
              <w:rPr>
                <w:sz w:val="18"/>
                <w:szCs w:val="18"/>
              </w:rPr>
              <w:t>Jahresmittelwert</w:t>
            </w:r>
          </w:p>
        </w:tc>
        <w:tc>
          <w:tcPr>
            <w:tcW w:w="1701" w:type="dxa"/>
            <w:vMerge w:val="restart"/>
          </w:tcPr>
          <w:p>
            <w:pPr>
              <w:pStyle w:val="GesAbsatz"/>
              <w:tabs>
                <w:tab w:val="clear" w:pos="425"/>
              </w:tabs>
              <w:rPr>
                <w:sz w:val="18"/>
                <w:szCs w:val="18"/>
              </w:rPr>
            </w:pPr>
            <w:r>
              <w:rPr>
                <w:sz w:val="18"/>
                <w:szCs w:val="18"/>
              </w:rPr>
              <w:t>25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LV</w:t>
            </w:r>
          </w:p>
        </w:tc>
        <w:tc>
          <w:tcPr>
            <w:tcW w:w="1730" w:type="dxa"/>
            <w:vMerge/>
          </w:tcPr>
          <w:p>
            <w:pPr>
              <w:pStyle w:val="GesAbsatz"/>
              <w:tabs>
                <w:tab w:val="clear" w:pos="425"/>
              </w:tabs>
              <w:rPr>
                <w:sz w:val="18"/>
                <w:szCs w:val="18"/>
              </w:rPr>
            </w:pPr>
          </w:p>
        </w:tc>
        <w:tc>
          <w:tcPr>
            <w:tcW w:w="2554" w:type="dxa"/>
            <w:vMerge/>
          </w:tcPr>
          <w:p>
            <w:pPr>
              <w:pStyle w:val="GesAbsatz"/>
              <w:tabs>
                <w:tab w:val="clear" w:pos="425"/>
              </w:tabs>
              <w:rPr>
                <w:sz w:val="18"/>
                <w:szCs w:val="18"/>
              </w:rPr>
            </w:pPr>
          </w:p>
        </w:tc>
        <w:tc>
          <w:tcPr>
            <w:tcW w:w="1701" w:type="dxa"/>
            <w:vMerge/>
          </w:tcPr>
          <w:p>
            <w:pPr>
              <w:pStyle w:val="GesAbsatz"/>
              <w:tabs>
                <w:tab w:val="clear" w:pos="425"/>
              </w:tabs>
              <w:rPr>
                <w:sz w:val="18"/>
                <w:szCs w:val="18"/>
              </w:rPr>
            </w:pP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LVMT</w:t>
            </w:r>
          </w:p>
        </w:tc>
        <w:tc>
          <w:tcPr>
            <w:tcW w:w="1730" w:type="dxa"/>
            <w:vMerge/>
          </w:tcPr>
          <w:p>
            <w:pPr>
              <w:pStyle w:val="GesAbsatz"/>
              <w:tabs>
                <w:tab w:val="clear" w:pos="425"/>
              </w:tabs>
              <w:rPr>
                <w:sz w:val="18"/>
                <w:szCs w:val="18"/>
              </w:rPr>
            </w:pPr>
          </w:p>
        </w:tc>
        <w:tc>
          <w:tcPr>
            <w:tcW w:w="2554" w:type="dxa"/>
            <w:vMerge/>
          </w:tcPr>
          <w:p>
            <w:pPr>
              <w:pStyle w:val="GesAbsatz"/>
              <w:tabs>
                <w:tab w:val="clear" w:pos="425"/>
              </w:tabs>
              <w:rPr>
                <w:sz w:val="18"/>
                <w:szCs w:val="18"/>
              </w:rPr>
            </w:pPr>
          </w:p>
        </w:tc>
        <w:tc>
          <w:tcPr>
            <w:tcW w:w="1701" w:type="dxa"/>
            <w:vMerge/>
          </w:tcPr>
          <w:p>
            <w:pPr>
              <w:pStyle w:val="GesAbsatz"/>
              <w:tabs>
                <w:tab w:val="clear" w:pos="425"/>
              </w:tabs>
              <w:rPr>
                <w:sz w:val="18"/>
                <w:szCs w:val="18"/>
              </w:rPr>
            </w:pPr>
          </w:p>
        </w:tc>
      </w:tr>
      <w:tr>
        <w:tc>
          <w:tcPr>
            <w:tcW w:w="1242" w:type="dxa"/>
            <w:vMerge w:val="restart"/>
          </w:tcPr>
          <w:p>
            <w:pPr>
              <w:pStyle w:val="GesAbsatz"/>
              <w:tabs>
                <w:tab w:val="clear" w:pos="425"/>
              </w:tabs>
              <w:rPr>
                <w:sz w:val="18"/>
                <w:szCs w:val="18"/>
              </w:rPr>
            </w:pPr>
            <w:r>
              <w:rPr>
                <w:sz w:val="18"/>
                <w:szCs w:val="18"/>
              </w:rPr>
              <w:t>SO</w:t>
            </w:r>
            <w:r>
              <w:rPr>
                <w:sz w:val="18"/>
                <w:szCs w:val="18"/>
                <w:vertAlign w:val="subscript"/>
              </w:rPr>
              <w:t>2</w:t>
            </w:r>
          </w:p>
        </w:tc>
        <w:tc>
          <w:tcPr>
            <w:tcW w:w="1418" w:type="dxa"/>
            <w:vMerge w:val="restart"/>
          </w:tcPr>
          <w:p>
            <w:pPr>
              <w:pStyle w:val="GesAbsatz"/>
              <w:tabs>
                <w:tab w:val="clear" w:pos="425"/>
              </w:tabs>
              <w:rPr>
                <w:sz w:val="18"/>
                <w:szCs w:val="18"/>
              </w:rPr>
            </w:pPr>
            <w:r>
              <w:rPr>
                <w:sz w:val="18"/>
                <w:szCs w:val="18"/>
              </w:rPr>
              <w:t>Gesundheit</w:t>
            </w:r>
          </w:p>
        </w:tc>
        <w:tc>
          <w:tcPr>
            <w:tcW w:w="1102" w:type="dxa"/>
            <w:vMerge w:val="restart"/>
          </w:tcPr>
          <w:p>
            <w:pPr>
              <w:pStyle w:val="GesAbsatz"/>
              <w:tabs>
                <w:tab w:val="clear" w:pos="425"/>
              </w:tabs>
              <w:rPr>
                <w:sz w:val="18"/>
                <w:szCs w:val="18"/>
              </w:rPr>
            </w:pPr>
            <w:r>
              <w:rPr>
                <w:sz w:val="18"/>
                <w:szCs w:val="18"/>
              </w:rPr>
              <w:t>LV</w:t>
            </w:r>
          </w:p>
        </w:tc>
        <w:tc>
          <w:tcPr>
            <w:tcW w:w="1730" w:type="dxa"/>
          </w:tcPr>
          <w:p>
            <w:pPr>
              <w:pStyle w:val="GesAbsatz"/>
              <w:tabs>
                <w:tab w:val="clear" w:pos="425"/>
              </w:tabs>
              <w:rPr>
                <w:sz w:val="18"/>
                <w:szCs w:val="18"/>
              </w:rPr>
            </w:pPr>
            <w:r>
              <w:rPr>
                <w:sz w:val="18"/>
                <w:szCs w:val="18"/>
              </w:rPr>
              <w:t>Eine Stunde</w:t>
            </w:r>
          </w:p>
        </w:tc>
        <w:tc>
          <w:tcPr>
            <w:tcW w:w="2554" w:type="dxa"/>
          </w:tcPr>
          <w:p>
            <w:pPr>
              <w:pStyle w:val="GesAbsatz"/>
              <w:tabs>
                <w:tab w:val="clear" w:pos="425"/>
              </w:tabs>
              <w:rPr>
                <w:sz w:val="18"/>
                <w:szCs w:val="18"/>
              </w:rPr>
            </w:pPr>
            <w:r>
              <w:rPr>
                <w:sz w:val="18"/>
                <w:szCs w:val="18"/>
              </w:rPr>
              <w:t>Stunden mit Überschreitung in einem Kalenderjahr</w:t>
            </w:r>
          </w:p>
        </w:tc>
        <w:tc>
          <w:tcPr>
            <w:tcW w:w="1701" w:type="dxa"/>
          </w:tcPr>
          <w:p>
            <w:pPr>
              <w:pStyle w:val="GesAbsatz"/>
              <w:tabs>
                <w:tab w:val="clear" w:pos="425"/>
              </w:tabs>
              <w:rPr>
                <w:sz w:val="18"/>
                <w:szCs w:val="18"/>
              </w:rPr>
            </w:pPr>
            <w:r>
              <w:rPr>
                <w:sz w:val="18"/>
                <w:szCs w:val="18"/>
              </w:rPr>
              <w:t>350 μg/m³ (24)</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tcPr>
          <w:p>
            <w:pPr>
              <w:pStyle w:val="GesAbsatz"/>
              <w:tabs>
                <w:tab w:val="clear" w:pos="425"/>
              </w:tabs>
              <w:rPr>
                <w:sz w:val="18"/>
                <w:szCs w:val="18"/>
              </w:rPr>
            </w:pPr>
          </w:p>
        </w:tc>
        <w:tc>
          <w:tcPr>
            <w:tcW w:w="1730" w:type="dxa"/>
          </w:tcPr>
          <w:p>
            <w:pPr>
              <w:pStyle w:val="GesAbsatz"/>
              <w:tabs>
                <w:tab w:val="clear" w:pos="425"/>
              </w:tabs>
              <w:rPr>
                <w:sz w:val="18"/>
                <w:szCs w:val="18"/>
              </w:rPr>
            </w:pPr>
            <w:r>
              <w:rPr>
                <w:sz w:val="18"/>
                <w:szCs w:val="18"/>
              </w:rPr>
              <w:t>Ein Tag</w:t>
            </w:r>
          </w:p>
        </w:tc>
        <w:tc>
          <w:tcPr>
            <w:tcW w:w="2554" w:type="dxa"/>
          </w:tcPr>
          <w:p>
            <w:pPr>
              <w:pStyle w:val="GesAbsatz"/>
              <w:tabs>
                <w:tab w:val="clear" w:pos="425"/>
              </w:tabs>
              <w:rPr>
                <w:sz w:val="18"/>
                <w:szCs w:val="18"/>
              </w:rPr>
            </w:pPr>
            <w:r>
              <w:rPr>
                <w:sz w:val="18"/>
                <w:szCs w:val="18"/>
              </w:rPr>
              <w:t>Tage mit Überschreitung in einem Kalenderjahr</w:t>
            </w:r>
          </w:p>
        </w:tc>
        <w:tc>
          <w:tcPr>
            <w:tcW w:w="1701" w:type="dxa"/>
          </w:tcPr>
          <w:p>
            <w:pPr>
              <w:pStyle w:val="GesAbsatz"/>
              <w:tabs>
                <w:tab w:val="clear" w:pos="425"/>
              </w:tabs>
              <w:rPr>
                <w:sz w:val="18"/>
                <w:szCs w:val="18"/>
              </w:rPr>
            </w:pPr>
            <w:r>
              <w:rPr>
                <w:sz w:val="18"/>
                <w:szCs w:val="18"/>
              </w:rPr>
              <w:t>125 μg/m³ (3)</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ALT</w:t>
            </w:r>
          </w:p>
        </w:tc>
        <w:tc>
          <w:tcPr>
            <w:tcW w:w="1730" w:type="dxa"/>
          </w:tcPr>
          <w:p>
            <w:pPr>
              <w:pStyle w:val="GesAbsatz"/>
              <w:tabs>
                <w:tab w:val="clear" w:pos="425"/>
              </w:tabs>
              <w:rPr>
                <w:sz w:val="18"/>
                <w:szCs w:val="18"/>
              </w:rPr>
            </w:pPr>
            <w:r>
              <w:rPr>
                <w:sz w:val="18"/>
                <w:szCs w:val="18"/>
              </w:rPr>
              <w:t>Eine Stunde</w:t>
            </w:r>
          </w:p>
        </w:tc>
        <w:tc>
          <w:tcPr>
            <w:tcW w:w="2554" w:type="dxa"/>
          </w:tcPr>
          <w:p>
            <w:pPr>
              <w:pStyle w:val="GesAbsatz"/>
              <w:tabs>
                <w:tab w:val="clear" w:pos="425"/>
              </w:tabs>
              <w:rPr>
                <w:sz w:val="18"/>
                <w:szCs w:val="18"/>
              </w:rPr>
            </w:pPr>
            <w:r>
              <w:rPr>
                <w:sz w:val="18"/>
                <w:szCs w:val="18"/>
              </w:rPr>
              <w:t xml:space="preserve">Drei aufeinander folgende Stunden mit Überschreitung (an für die Luftqualität repräsentativen Standorten auf einem Gebiet von mindestens </w:t>
            </w:r>
            <w:r>
              <w:rPr>
                <w:sz w:val="18"/>
                <w:szCs w:val="18"/>
              </w:rPr>
              <w:lastRenderedPageBreak/>
              <w:t>100 km² bzw. in einem gesamten Gebiet oder Ballungsraum, je nachdem, welches die geringere Fläche aufweist)</w:t>
            </w:r>
          </w:p>
        </w:tc>
        <w:tc>
          <w:tcPr>
            <w:tcW w:w="1701" w:type="dxa"/>
          </w:tcPr>
          <w:p>
            <w:pPr>
              <w:pStyle w:val="GesAbsatz"/>
              <w:tabs>
                <w:tab w:val="clear" w:pos="425"/>
              </w:tabs>
              <w:rPr>
                <w:sz w:val="18"/>
                <w:szCs w:val="18"/>
              </w:rPr>
            </w:pPr>
            <w:r>
              <w:rPr>
                <w:sz w:val="18"/>
                <w:szCs w:val="18"/>
              </w:rPr>
              <w:lastRenderedPageBreak/>
              <w:t>500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val="restart"/>
          </w:tcPr>
          <w:p>
            <w:pPr>
              <w:pStyle w:val="GesAbsatz"/>
              <w:tabs>
                <w:tab w:val="clear" w:pos="425"/>
              </w:tabs>
              <w:rPr>
                <w:sz w:val="18"/>
                <w:szCs w:val="18"/>
              </w:rPr>
            </w:pPr>
            <w:r>
              <w:rPr>
                <w:sz w:val="18"/>
                <w:szCs w:val="18"/>
              </w:rPr>
              <w:t xml:space="preserve">NAT </w:t>
            </w:r>
            <w:r>
              <w:rPr>
                <w:sz w:val="18"/>
                <w:szCs w:val="18"/>
                <w:vertAlign w:val="superscript"/>
              </w:rPr>
              <w:t>(2)</w:t>
            </w:r>
          </w:p>
        </w:tc>
        <w:tc>
          <w:tcPr>
            <w:tcW w:w="1730" w:type="dxa"/>
          </w:tcPr>
          <w:p>
            <w:pPr>
              <w:pStyle w:val="GesAbsatz"/>
              <w:tabs>
                <w:tab w:val="clear" w:pos="425"/>
              </w:tabs>
              <w:rPr>
                <w:sz w:val="18"/>
                <w:szCs w:val="18"/>
              </w:rPr>
            </w:pPr>
            <w:r>
              <w:rPr>
                <w:sz w:val="18"/>
                <w:szCs w:val="18"/>
              </w:rPr>
              <w:t>Eine Stunde</w:t>
            </w:r>
          </w:p>
        </w:tc>
        <w:tc>
          <w:tcPr>
            <w:tcW w:w="2554" w:type="dxa"/>
          </w:tcPr>
          <w:p>
            <w:pPr>
              <w:pStyle w:val="GesAbsatz"/>
              <w:tabs>
                <w:tab w:val="clear" w:pos="425"/>
              </w:tabs>
              <w:rPr>
                <w:sz w:val="18"/>
                <w:szCs w:val="18"/>
              </w:rPr>
            </w:pPr>
            <w:r>
              <w:rPr>
                <w:sz w:val="18"/>
                <w:szCs w:val="18"/>
              </w:rPr>
              <w:t>Nicht berücksichtigte Stunden mit Überschreitung in einem Kalenderjahr</w:t>
            </w:r>
          </w:p>
        </w:tc>
        <w:tc>
          <w:tcPr>
            <w:tcW w:w="1701" w:type="dxa"/>
          </w:tcPr>
          <w:p>
            <w:pPr>
              <w:pStyle w:val="GesAbsatz"/>
              <w:tabs>
                <w:tab w:val="clear" w:pos="425"/>
              </w:tabs>
              <w:rPr>
                <w:sz w:val="18"/>
                <w:szCs w:val="18"/>
              </w:rPr>
            </w:pPr>
            <w:proofErr w:type="spellStart"/>
            <w:r>
              <w:rPr>
                <w:sz w:val="18"/>
                <w:szCs w:val="18"/>
              </w:rPr>
              <w:t>n.a</w:t>
            </w:r>
            <w:proofErr w:type="spellEnd"/>
            <w:r>
              <w:rPr>
                <w:sz w:val="18"/>
                <w:szCs w:val="18"/>
              </w:rPr>
              <w:t>.</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tcPr>
          <w:p>
            <w:pPr>
              <w:pStyle w:val="GesAbsatz"/>
              <w:tabs>
                <w:tab w:val="clear" w:pos="425"/>
              </w:tabs>
              <w:rPr>
                <w:sz w:val="18"/>
                <w:szCs w:val="18"/>
              </w:rPr>
            </w:pPr>
          </w:p>
        </w:tc>
        <w:tc>
          <w:tcPr>
            <w:tcW w:w="1730" w:type="dxa"/>
          </w:tcPr>
          <w:p>
            <w:pPr>
              <w:pStyle w:val="GesAbsatz"/>
              <w:tabs>
                <w:tab w:val="clear" w:pos="425"/>
              </w:tabs>
              <w:rPr>
                <w:sz w:val="18"/>
                <w:szCs w:val="18"/>
              </w:rPr>
            </w:pPr>
            <w:r>
              <w:rPr>
                <w:sz w:val="18"/>
                <w:szCs w:val="18"/>
              </w:rPr>
              <w:t>Ein Tag</w:t>
            </w:r>
          </w:p>
        </w:tc>
        <w:tc>
          <w:tcPr>
            <w:tcW w:w="2554" w:type="dxa"/>
          </w:tcPr>
          <w:p>
            <w:pPr>
              <w:pStyle w:val="GesAbsatz"/>
              <w:tabs>
                <w:tab w:val="clear" w:pos="425"/>
              </w:tabs>
              <w:rPr>
                <w:sz w:val="18"/>
                <w:szCs w:val="18"/>
              </w:rPr>
            </w:pPr>
            <w:r>
              <w:rPr>
                <w:sz w:val="18"/>
                <w:szCs w:val="18"/>
              </w:rPr>
              <w:t>Nicht berücksichtigte Tage mit Überschreitung in einem Kalenderjahr</w:t>
            </w:r>
          </w:p>
        </w:tc>
        <w:tc>
          <w:tcPr>
            <w:tcW w:w="1701" w:type="dxa"/>
          </w:tcPr>
          <w:p>
            <w:pPr>
              <w:pStyle w:val="GesAbsatz"/>
              <w:tabs>
                <w:tab w:val="clear" w:pos="425"/>
              </w:tabs>
              <w:rPr>
                <w:sz w:val="18"/>
                <w:szCs w:val="18"/>
              </w:rPr>
            </w:pPr>
            <w:proofErr w:type="spellStart"/>
            <w:r>
              <w:rPr>
                <w:sz w:val="18"/>
                <w:szCs w:val="18"/>
              </w:rPr>
              <w:t>n.a</w:t>
            </w:r>
            <w:proofErr w:type="spellEnd"/>
            <w:r>
              <w:rPr>
                <w:sz w:val="18"/>
                <w:szCs w:val="18"/>
              </w:rPr>
              <w:t>.</w:t>
            </w:r>
          </w:p>
        </w:tc>
      </w:tr>
      <w:tr>
        <w:tc>
          <w:tcPr>
            <w:tcW w:w="1242" w:type="dxa"/>
            <w:vMerge/>
          </w:tcPr>
          <w:p>
            <w:pPr>
              <w:pStyle w:val="GesAbsatz"/>
              <w:tabs>
                <w:tab w:val="clear" w:pos="425"/>
              </w:tabs>
              <w:rPr>
                <w:sz w:val="18"/>
                <w:szCs w:val="18"/>
              </w:rPr>
            </w:pPr>
          </w:p>
        </w:tc>
        <w:tc>
          <w:tcPr>
            <w:tcW w:w="1418" w:type="dxa"/>
            <w:vMerge w:val="restart"/>
          </w:tcPr>
          <w:p>
            <w:pPr>
              <w:pStyle w:val="GesAbsatz"/>
              <w:tabs>
                <w:tab w:val="clear" w:pos="425"/>
              </w:tabs>
              <w:rPr>
                <w:sz w:val="18"/>
                <w:szCs w:val="18"/>
              </w:rPr>
            </w:pPr>
            <w:r>
              <w:rPr>
                <w:sz w:val="18"/>
                <w:szCs w:val="18"/>
              </w:rPr>
              <w:t>Vegetation</w:t>
            </w:r>
          </w:p>
        </w:tc>
        <w:tc>
          <w:tcPr>
            <w:tcW w:w="1102" w:type="dxa"/>
            <w:vMerge w:val="restart"/>
          </w:tcPr>
          <w:p>
            <w:pPr>
              <w:pStyle w:val="GesAbsatz"/>
              <w:tabs>
                <w:tab w:val="clear" w:pos="425"/>
              </w:tabs>
              <w:rPr>
                <w:sz w:val="18"/>
                <w:szCs w:val="18"/>
              </w:rPr>
            </w:pPr>
            <w:r>
              <w:rPr>
                <w:sz w:val="18"/>
                <w:szCs w:val="18"/>
              </w:rPr>
              <w:t>CL</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20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vMerge/>
          </w:tcPr>
          <w:p>
            <w:pPr>
              <w:pStyle w:val="GesAbsatz"/>
              <w:tabs>
                <w:tab w:val="clear" w:pos="425"/>
              </w:tabs>
              <w:rPr>
                <w:sz w:val="18"/>
                <w:szCs w:val="18"/>
              </w:rPr>
            </w:pPr>
          </w:p>
        </w:tc>
        <w:tc>
          <w:tcPr>
            <w:tcW w:w="1730" w:type="dxa"/>
          </w:tcPr>
          <w:p>
            <w:pPr>
              <w:pStyle w:val="GesAbsatz"/>
              <w:tabs>
                <w:tab w:val="clear" w:pos="425"/>
              </w:tabs>
              <w:rPr>
                <w:sz w:val="18"/>
                <w:szCs w:val="18"/>
              </w:rPr>
            </w:pPr>
            <w:r>
              <w:rPr>
                <w:sz w:val="18"/>
                <w:szCs w:val="18"/>
              </w:rPr>
              <w:t>Winter</w:t>
            </w:r>
          </w:p>
        </w:tc>
        <w:tc>
          <w:tcPr>
            <w:tcW w:w="2554" w:type="dxa"/>
          </w:tcPr>
          <w:p>
            <w:pPr>
              <w:pStyle w:val="GesAbsatz"/>
              <w:tabs>
                <w:tab w:val="clear" w:pos="425"/>
              </w:tabs>
              <w:rPr>
                <w:sz w:val="18"/>
                <w:szCs w:val="18"/>
              </w:rPr>
            </w:pPr>
            <w:r>
              <w:rPr>
                <w:sz w:val="18"/>
                <w:szCs w:val="18"/>
              </w:rPr>
              <w:t>Mittelwert der Wintermonate, d. h 1. Oktober des Jahres x-1 bis 31. März des Jahres x</w:t>
            </w:r>
          </w:p>
        </w:tc>
        <w:tc>
          <w:tcPr>
            <w:tcW w:w="1701" w:type="dxa"/>
          </w:tcPr>
          <w:p>
            <w:pPr>
              <w:pStyle w:val="GesAbsatz"/>
              <w:tabs>
                <w:tab w:val="clear" w:pos="425"/>
              </w:tabs>
              <w:rPr>
                <w:sz w:val="18"/>
                <w:szCs w:val="18"/>
              </w:rPr>
            </w:pPr>
            <w:r>
              <w:rPr>
                <w:sz w:val="18"/>
                <w:szCs w:val="18"/>
              </w:rPr>
              <w:t>20 μg/m³</w:t>
            </w:r>
          </w:p>
        </w:tc>
      </w:tr>
      <w:tr>
        <w:tc>
          <w:tcPr>
            <w:tcW w:w="1242" w:type="dxa"/>
            <w:vMerge w:val="restart"/>
          </w:tcPr>
          <w:p>
            <w:pPr>
              <w:pStyle w:val="GesAbsatz"/>
              <w:tabs>
                <w:tab w:val="clear" w:pos="425"/>
              </w:tabs>
              <w:rPr>
                <w:sz w:val="18"/>
                <w:szCs w:val="18"/>
              </w:rPr>
            </w:pPr>
            <w:r>
              <w:rPr>
                <w:sz w:val="18"/>
                <w:szCs w:val="18"/>
              </w:rPr>
              <w:t>O</w:t>
            </w:r>
            <w:r>
              <w:rPr>
                <w:sz w:val="18"/>
                <w:szCs w:val="18"/>
                <w:vertAlign w:val="subscript"/>
              </w:rPr>
              <w:t>3</w:t>
            </w:r>
          </w:p>
        </w:tc>
        <w:tc>
          <w:tcPr>
            <w:tcW w:w="1418" w:type="dxa"/>
            <w:vMerge w:val="restart"/>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TV</w:t>
            </w:r>
          </w:p>
        </w:tc>
        <w:tc>
          <w:tcPr>
            <w:tcW w:w="1730" w:type="dxa"/>
          </w:tcPr>
          <w:p>
            <w:pPr>
              <w:pStyle w:val="GesAbsatz"/>
              <w:tabs>
                <w:tab w:val="clear" w:pos="425"/>
              </w:tabs>
              <w:rPr>
                <w:sz w:val="18"/>
                <w:szCs w:val="18"/>
              </w:rPr>
            </w:pPr>
            <w:r>
              <w:rPr>
                <w:sz w:val="18"/>
                <w:szCs w:val="18"/>
              </w:rPr>
              <w:t>Höchster 8-Stunden-Mittelwert pro Tag</w:t>
            </w:r>
          </w:p>
        </w:tc>
        <w:tc>
          <w:tcPr>
            <w:tcW w:w="2554" w:type="dxa"/>
          </w:tcPr>
          <w:p>
            <w:pPr>
              <w:pStyle w:val="GesAbsatz"/>
              <w:tabs>
                <w:tab w:val="clear" w:pos="425"/>
              </w:tabs>
              <w:rPr>
                <w:sz w:val="18"/>
                <w:szCs w:val="18"/>
              </w:rPr>
            </w:pPr>
            <w:r>
              <w:rPr>
                <w:sz w:val="18"/>
                <w:szCs w:val="18"/>
              </w:rPr>
              <w:t>Tage, an denen der höchste 8-Stunden-Mittelwert pro Tag über dem durchschnittlichen Zielwert für drei Jahre lag</w:t>
            </w:r>
          </w:p>
        </w:tc>
        <w:tc>
          <w:tcPr>
            <w:tcW w:w="1701" w:type="dxa"/>
          </w:tcPr>
          <w:p>
            <w:pPr>
              <w:pStyle w:val="GesAbsatz"/>
              <w:tabs>
                <w:tab w:val="clear" w:pos="425"/>
              </w:tabs>
              <w:rPr>
                <w:sz w:val="18"/>
                <w:szCs w:val="18"/>
              </w:rPr>
            </w:pPr>
            <w:r>
              <w:rPr>
                <w:sz w:val="18"/>
                <w:szCs w:val="18"/>
              </w:rPr>
              <w:t>120 μg/m³ (25)</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LTO</w:t>
            </w:r>
          </w:p>
        </w:tc>
        <w:tc>
          <w:tcPr>
            <w:tcW w:w="1730" w:type="dxa"/>
          </w:tcPr>
          <w:p>
            <w:pPr>
              <w:pStyle w:val="GesAbsatz"/>
              <w:tabs>
                <w:tab w:val="clear" w:pos="425"/>
              </w:tabs>
              <w:rPr>
                <w:sz w:val="18"/>
                <w:szCs w:val="18"/>
              </w:rPr>
            </w:pPr>
            <w:r>
              <w:rPr>
                <w:sz w:val="18"/>
                <w:szCs w:val="18"/>
              </w:rPr>
              <w:t>Höchster 8-Stunden-Mittelwert pro Tag</w:t>
            </w:r>
          </w:p>
        </w:tc>
        <w:tc>
          <w:tcPr>
            <w:tcW w:w="2554" w:type="dxa"/>
          </w:tcPr>
          <w:p>
            <w:pPr>
              <w:pStyle w:val="GesAbsatz"/>
              <w:tabs>
                <w:tab w:val="clear" w:pos="425"/>
              </w:tabs>
              <w:rPr>
                <w:sz w:val="18"/>
                <w:szCs w:val="18"/>
              </w:rPr>
            </w:pPr>
            <w:r>
              <w:rPr>
                <w:sz w:val="18"/>
                <w:szCs w:val="18"/>
              </w:rPr>
              <w:t>Tage, an denen der höchste 8-Stunden-Mittelwert in einem Kalenderjahr über dem langfristigen Ziel lag</w:t>
            </w:r>
          </w:p>
        </w:tc>
        <w:tc>
          <w:tcPr>
            <w:tcW w:w="1701" w:type="dxa"/>
          </w:tcPr>
          <w:p>
            <w:pPr>
              <w:pStyle w:val="GesAbsatz"/>
              <w:tabs>
                <w:tab w:val="clear" w:pos="425"/>
              </w:tabs>
              <w:rPr>
                <w:sz w:val="18"/>
                <w:szCs w:val="18"/>
              </w:rPr>
            </w:pPr>
            <w:r>
              <w:rPr>
                <w:sz w:val="18"/>
                <w:szCs w:val="18"/>
              </w:rPr>
              <w:t>120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INT</w:t>
            </w:r>
          </w:p>
        </w:tc>
        <w:tc>
          <w:tcPr>
            <w:tcW w:w="1730" w:type="dxa"/>
          </w:tcPr>
          <w:p>
            <w:pPr>
              <w:pStyle w:val="GesAbsatz"/>
              <w:tabs>
                <w:tab w:val="clear" w:pos="425"/>
              </w:tabs>
              <w:rPr>
                <w:sz w:val="18"/>
                <w:szCs w:val="18"/>
              </w:rPr>
            </w:pPr>
            <w:r>
              <w:rPr>
                <w:sz w:val="18"/>
                <w:szCs w:val="18"/>
              </w:rPr>
              <w:t>Eine Stunde</w:t>
            </w:r>
          </w:p>
        </w:tc>
        <w:tc>
          <w:tcPr>
            <w:tcW w:w="2554" w:type="dxa"/>
          </w:tcPr>
          <w:p>
            <w:pPr>
              <w:pStyle w:val="GesAbsatz"/>
              <w:tabs>
                <w:tab w:val="clear" w:pos="425"/>
              </w:tabs>
              <w:rPr>
                <w:sz w:val="18"/>
                <w:szCs w:val="18"/>
              </w:rPr>
            </w:pPr>
            <w:r>
              <w:rPr>
                <w:sz w:val="18"/>
                <w:szCs w:val="18"/>
              </w:rPr>
              <w:t>Stunden mit Überschreitung in einem Kalenderjahr</w:t>
            </w:r>
          </w:p>
        </w:tc>
        <w:tc>
          <w:tcPr>
            <w:tcW w:w="1701" w:type="dxa"/>
          </w:tcPr>
          <w:p>
            <w:pPr>
              <w:pStyle w:val="GesAbsatz"/>
              <w:tabs>
                <w:tab w:val="clear" w:pos="425"/>
              </w:tabs>
              <w:rPr>
                <w:sz w:val="18"/>
                <w:szCs w:val="18"/>
              </w:rPr>
            </w:pPr>
            <w:r>
              <w:rPr>
                <w:sz w:val="18"/>
                <w:szCs w:val="18"/>
              </w:rPr>
              <w:t>180 μg/m³</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ALT</w:t>
            </w:r>
          </w:p>
        </w:tc>
        <w:tc>
          <w:tcPr>
            <w:tcW w:w="1730" w:type="dxa"/>
          </w:tcPr>
          <w:p>
            <w:pPr>
              <w:pStyle w:val="GesAbsatz"/>
              <w:tabs>
                <w:tab w:val="clear" w:pos="425"/>
              </w:tabs>
              <w:rPr>
                <w:sz w:val="18"/>
                <w:szCs w:val="18"/>
              </w:rPr>
            </w:pPr>
            <w:r>
              <w:rPr>
                <w:sz w:val="18"/>
                <w:szCs w:val="18"/>
              </w:rPr>
              <w:t>Eine Stunde</w:t>
            </w:r>
          </w:p>
        </w:tc>
        <w:tc>
          <w:tcPr>
            <w:tcW w:w="2554" w:type="dxa"/>
          </w:tcPr>
          <w:p>
            <w:pPr>
              <w:pStyle w:val="GesAbsatz"/>
              <w:tabs>
                <w:tab w:val="clear" w:pos="425"/>
              </w:tabs>
              <w:rPr>
                <w:sz w:val="18"/>
                <w:szCs w:val="18"/>
              </w:rPr>
            </w:pPr>
            <w:r>
              <w:rPr>
                <w:sz w:val="18"/>
                <w:szCs w:val="18"/>
              </w:rPr>
              <w:t>Stunden mit Überschreitung in einem Kalenderjahr</w:t>
            </w:r>
          </w:p>
        </w:tc>
        <w:tc>
          <w:tcPr>
            <w:tcW w:w="1701" w:type="dxa"/>
          </w:tcPr>
          <w:p>
            <w:pPr>
              <w:pStyle w:val="GesAbsatz"/>
              <w:tabs>
                <w:tab w:val="clear" w:pos="425"/>
              </w:tabs>
              <w:rPr>
                <w:sz w:val="18"/>
                <w:szCs w:val="18"/>
              </w:rPr>
            </w:pPr>
            <w:r>
              <w:rPr>
                <w:sz w:val="18"/>
                <w:szCs w:val="18"/>
              </w:rPr>
              <w:t>240 μg/m³</w:t>
            </w:r>
          </w:p>
        </w:tc>
      </w:tr>
      <w:tr>
        <w:tc>
          <w:tcPr>
            <w:tcW w:w="1242" w:type="dxa"/>
            <w:vMerge/>
          </w:tcPr>
          <w:p>
            <w:pPr>
              <w:pStyle w:val="GesAbsatz"/>
              <w:tabs>
                <w:tab w:val="clear" w:pos="425"/>
              </w:tabs>
              <w:rPr>
                <w:sz w:val="18"/>
                <w:szCs w:val="18"/>
              </w:rPr>
            </w:pPr>
          </w:p>
        </w:tc>
        <w:tc>
          <w:tcPr>
            <w:tcW w:w="1418" w:type="dxa"/>
            <w:vMerge w:val="restart"/>
          </w:tcPr>
          <w:p>
            <w:pPr>
              <w:pStyle w:val="GesAbsatz"/>
              <w:tabs>
                <w:tab w:val="clear" w:pos="425"/>
              </w:tabs>
              <w:rPr>
                <w:sz w:val="18"/>
                <w:szCs w:val="18"/>
              </w:rPr>
            </w:pPr>
            <w:r>
              <w:rPr>
                <w:sz w:val="18"/>
                <w:szCs w:val="18"/>
              </w:rPr>
              <w:t>Vegetation</w:t>
            </w:r>
          </w:p>
        </w:tc>
        <w:tc>
          <w:tcPr>
            <w:tcW w:w="1102" w:type="dxa"/>
          </w:tcPr>
          <w:p>
            <w:pPr>
              <w:pStyle w:val="GesAbsatz"/>
              <w:tabs>
                <w:tab w:val="clear" w:pos="425"/>
              </w:tabs>
              <w:rPr>
                <w:sz w:val="18"/>
                <w:szCs w:val="18"/>
              </w:rPr>
            </w:pPr>
            <w:r>
              <w:rPr>
                <w:sz w:val="18"/>
                <w:szCs w:val="18"/>
              </w:rPr>
              <w:t>TV</w:t>
            </w:r>
          </w:p>
        </w:tc>
        <w:tc>
          <w:tcPr>
            <w:tcW w:w="1730" w:type="dxa"/>
          </w:tcPr>
          <w:p>
            <w:pPr>
              <w:pStyle w:val="GesAbsatz"/>
              <w:tabs>
                <w:tab w:val="clear" w:pos="425"/>
              </w:tabs>
              <w:rPr>
                <w:sz w:val="18"/>
                <w:szCs w:val="18"/>
              </w:rPr>
            </w:pPr>
            <w:r>
              <w:rPr>
                <w:sz w:val="18"/>
                <w:szCs w:val="18"/>
              </w:rPr>
              <w:t>1. Mai bis 31. Juli</w:t>
            </w:r>
          </w:p>
        </w:tc>
        <w:tc>
          <w:tcPr>
            <w:tcW w:w="2554" w:type="dxa"/>
          </w:tcPr>
          <w:p>
            <w:pPr>
              <w:pStyle w:val="GesAbsatz"/>
              <w:tabs>
                <w:tab w:val="clear" w:pos="425"/>
              </w:tabs>
              <w:rPr>
                <w:sz w:val="18"/>
                <w:szCs w:val="18"/>
              </w:rPr>
            </w:pPr>
            <w:r>
              <w:rPr>
                <w:sz w:val="18"/>
                <w:szCs w:val="18"/>
              </w:rPr>
              <w:t>AOT40 (Berechnung: vgl. Anhang VII der Richtlinie 2008/50/EG)</w:t>
            </w:r>
          </w:p>
        </w:tc>
        <w:tc>
          <w:tcPr>
            <w:tcW w:w="1701" w:type="dxa"/>
          </w:tcPr>
          <w:p>
            <w:pPr>
              <w:pStyle w:val="GesAbsatz"/>
              <w:tabs>
                <w:tab w:val="clear" w:pos="425"/>
              </w:tabs>
              <w:rPr>
                <w:sz w:val="18"/>
                <w:szCs w:val="18"/>
              </w:rPr>
            </w:pPr>
            <w:r>
              <w:rPr>
                <w:sz w:val="18"/>
                <w:szCs w:val="18"/>
              </w:rPr>
              <w:t>18 000 μg/m³ · h</w:t>
            </w:r>
          </w:p>
        </w:tc>
      </w:tr>
      <w:tr>
        <w:tc>
          <w:tcPr>
            <w:tcW w:w="1242" w:type="dxa"/>
            <w:vMerge/>
          </w:tcPr>
          <w:p>
            <w:pPr>
              <w:pStyle w:val="GesAbsatz"/>
              <w:tabs>
                <w:tab w:val="clear" w:pos="425"/>
              </w:tabs>
              <w:rPr>
                <w:sz w:val="18"/>
                <w:szCs w:val="18"/>
              </w:rPr>
            </w:pPr>
          </w:p>
        </w:tc>
        <w:tc>
          <w:tcPr>
            <w:tcW w:w="1418" w:type="dxa"/>
            <w:vMerge/>
          </w:tcPr>
          <w:p>
            <w:pPr>
              <w:pStyle w:val="GesAbsatz"/>
              <w:tabs>
                <w:tab w:val="clear" w:pos="425"/>
              </w:tabs>
              <w:rPr>
                <w:sz w:val="18"/>
                <w:szCs w:val="18"/>
              </w:rPr>
            </w:pPr>
          </w:p>
        </w:tc>
        <w:tc>
          <w:tcPr>
            <w:tcW w:w="1102" w:type="dxa"/>
          </w:tcPr>
          <w:p>
            <w:pPr>
              <w:pStyle w:val="GesAbsatz"/>
              <w:tabs>
                <w:tab w:val="clear" w:pos="425"/>
              </w:tabs>
              <w:rPr>
                <w:sz w:val="18"/>
                <w:szCs w:val="18"/>
              </w:rPr>
            </w:pPr>
            <w:r>
              <w:rPr>
                <w:sz w:val="18"/>
                <w:szCs w:val="18"/>
              </w:rPr>
              <w:t>LTO</w:t>
            </w:r>
          </w:p>
        </w:tc>
        <w:tc>
          <w:tcPr>
            <w:tcW w:w="1730" w:type="dxa"/>
          </w:tcPr>
          <w:p>
            <w:pPr>
              <w:pStyle w:val="GesAbsatz"/>
              <w:tabs>
                <w:tab w:val="clear" w:pos="425"/>
              </w:tabs>
              <w:rPr>
                <w:sz w:val="18"/>
                <w:szCs w:val="18"/>
              </w:rPr>
            </w:pPr>
            <w:r>
              <w:rPr>
                <w:sz w:val="18"/>
                <w:szCs w:val="18"/>
              </w:rPr>
              <w:t>1. Mai bis 31. Juli</w:t>
            </w:r>
          </w:p>
        </w:tc>
        <w:tc>
          <w:tcPr>
            <w:tcW w:w="2554" w:type="dxa"/>
          </w:tcPr>
          <w:p>
            <w:pPr>
              <w:pStyle w:val="GesAbsatz"/>
              <w:tabs>
                <w:tab w:val="clear" w:pos="425"/>
              </w:tabs>
              <w:rPr>
                <w:sz w:val="18"/>
                <w:szCs w:val="18"/>
              </w:rPr>
            </w:pPr>
            <w:r>
              <w:rPr>
                <w:sz w:val="18"/>
                <w:szCs w:val="18"/>
              </w:rPr>
              <w:t>AOT40 (Berechnung: vgl. Anhang VII der Richtlinie 2008/50/EG)</w:t>
            </w:r>
          </w:p>
        </w:tc>
        <w:tc>
          <w:tcPr>
            <w:tcW w:w="1701" w:type="dxa"/>
          </w:tcPr>
          <w:p>
            <w:pPr>
              <w:pStyle w:val="GesAbsatz"/>
              <w:tabs>
                <w:tab w:val="clear" w:pos="425"/>
              </w:tabs>
              <w:rPr>
                <w:sz w:val="18"/>
                <w:szCs w:val="18"/>
              </w:rPr>
            </w:pPr>
            <w:r>
              <w:rPr>
                <w:sz w:val="18"/>
                <w:szCs w:val="18"/>
              </w:rPr>
              <w:t>6 000 μg/m³ · h</w:t>
            </w:r>
          </w:p>
        </w:tc>
      </w:tr>
      <w:tr>
        <w:tc>
          <w:tcPr>
            <w:tcW w:w="1242" w:type="dxa"/>
          </w:tcPr>
          <w:p>
            <w:pPr>
              <w:pStyle w:val="GesAbsatz"/>
              <w:tabs>
                <w:tab w:val="clear" w:pos="425"/>
              </w:tabs>
              <w:rPr>
                <w:sz w:val="18"/>
                <w:szCs w:val="18"/>
              </w:rPr>
            </w:pPr>
            <w:r>
              <w:rPr>
                <w:sz w:val="18"/>
                <w:szCs w:val="18"/>
              </w:rPr>
              <w:t>CO</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LV</w:t>
            </w:r>
          </w:p>
        </w:tc>
        <w:tc>
          <w:tcPr>
            <w:tcW w:w="1730" w:type="dxa"/>
          </w:tcPr>
          <w:p>
            <w:pPr>
              <w:pStyle w:val="GesAbsatz"/>
              <w:tabs>
                <w:tab w:val="clear" w:pos="425"/>
              </w:tabs>
              <w:rPr>
                <w:sz w:val="18"/>
                <w:szCs w:val="18"/>
              </w:rPr>
            </w:pPr>
            <w:r>
              <w:rPr>
                <w:sz w:val="18"/>
                <w:szCs w:val="18"/>
              </w:rPr>
              <w:t>Höchster 8-Stunden-Mittelwert pro Tag</w:t>
            </w:r>
          </w:p>
        </w:tc>
        <w:tc>
          <w:tcPr>
            <w:tcW w:w="2554" w:type="dxa"/>
          </w:tcPr>
          <w:p>
            <w:pPr>
              <w:pStyle w:val="GesAbsatz"/>
              <w:tabs>
                <w:tab w:val="clear" w:pos="425"/>
              </w:tabs>
              <w:rPr>
                <w:sz w:val="18"/>
                <w:szCs w:val="18"/>
              </w:rPr>
            </w:pPr>
            <w:r>
              <w:rPr>
                <w:sz w:val="18"/>
                <w:szCs w:val="18"/>
              </w:rPr>
              <w:t>Tage, an denen der höchste 8-Stunden-Mittelwert über dem Grenzwert lag</w:t>
            </w:r>
          </w:p>
        </w:tc>
        <w:tc>
          <w:tcPr>
            <w:tcW w:w="1701" w:type="dxa"/>
          </w:tcPr>
          <w:p>
            <w:pPr>
              <w:pStyle w:val="GesAbsatz"/>
              <w:tabs>
                <w:tab w:val="clear" w:pos="425"/>
              </w:tabs>
              <w:rPr>
                <w:sz w:val="18"/>
                <w:szCs w:val="18"/>
              </w:rPr>
            </w:pPr>
            <w:r>
              <w:rPr>
                <w:sz w:val="18"/>
                <w:szCs w:val="18"/>
              </w:rPr>
              <w:t>10 mg/m³</w:t>
            </w:r>
          </w:p>
        </w:tc>
      </w:tr>
      <w:tr>
        <w:tc>
          <w:tcPr>
            <w:tcW w:w="9747" w:type="dxa"/>
            <w:gridSpan w:val="6"/>
          </w:tcPr>
          <w:p>
            <w:pPr>
              <w:pStyle w:val="GesAbsatz"/>
              <w:tabs>
                <w:tab w:val="clear" w:pos="425"/>
              </w:tabs>
              <w:jc w:val="center"/>
              <w:rPr>
                <w:b/>
                <w:sz w:val="18"/>
                <w:szCs w:val="18"/>
              </w:rPr>
            </w:pPr>
            <w:r>
              <w:rPr>
                <w:b/>
                <w:sz w:val="18"/>
                <w:szCs w:val="18"/>
              </w:rPr>
              <w:t>Schadstoffe, zu denen nur validierte Daten gemeldet werden</w:t>
            </w:r>
          </w:p>
        </w:tc>
      </w:tr>
      <w:tr>
        <w:tc>
          <w:tcPr>
            <w:tcW w:w="1242" w:type="dxa"/>
          </w:tcPr>
          <w:p>
            <w:pPr>
              <w:pStyle w:val="GesAbsatz"/>
              <w:tabs>
                <w:tab w:val="clear" w:pos="425"/>
              </w:tabs>
              <w:rPr>
                <w:sz w:val="18"/>
                <w:szCs w:val="18"/>
              </w:rPr>
            </w:pPr>
            <w:r>
              <w:rPr>
                <w:sz w:val="18"/>
                <w:szCs w:val="18"/>
              </w:rPr>
              <w:t>Benzol</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LV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5 μg/m³</w:t>
            </w:r>
          </w:p>
        </w:tc>
      </w:tr>
      <w:tr>
        <w:tc>
          <w:tcPr>
            <w:tcW w:w="1242" w:type="dxa"/>
          </w:tcPr>
          <w:p>
            <w:pPr>
              <w:pStyle w:val="GesAbsatz"/>
              <w:tabs>
                <w:tab w:val="clear" w:pos="425"/>
              </w:tabs>
              <w:rPr>
                <w:sz w:val="18"/>
                <w:szCs w:val="18"/>
              </w:rPr>
            </w:pPr>
            <w:r>
              <w:rPr>
                <w:sz w:val="18"/>
                <w:szCs w:val="18"/>
              </w:rPr>
              <w:t>Blei</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LV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0,5 μg/m³</w:t>
            </w:r>
          </w:p>
        </w:tc>
      </w:tr>
      <w:tr>
        <w:tc>
          <w:tcPr>
            <w:tcW w:w="1242" w:type="dxa"/>
          </w:tcPr>
          <w:p>
            <w:pPr>
              <w:pStyle w:val="GesAbsatz"/>
              <w:tabs>
                <w:tab w:val="clear" w:pos="425"/>
              </w:tabs>
              <w:rPr>
                <w:sz w:val="18"/>
                <w:szCs w:val="18"/>
              </w:rPr>
            </w:pPr>
            <w:r>
              <w:rPr>
                <w:sz w:val="18"/>
                <w:szCs w:val="18"/>
              </w:rPr>
              <w:t>Cadmium</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TV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5 ng/m³</w:t>
            </w:r>
          </w:p>
        </w:tc>
      </w:tr>
      <w:tr>
        <w:tc>
          <w:tcPr>
            <w:tcW w:w="1242" w:type="dxa"/>
          </w:tcPr>
          <w:p>
            <w:pPr>
              <w:pStyle w:val="GesAbsatz"/>
              <w:tabs>
                <w:tab w:val="clear" w:pos="425"/>
              </w:tabs>
              <w:rPr>
                <w:sz w:val="18"/>
                <w:szCs w:val="18"/>
              </w:rPr>
            </w:pPr>
            <w:r>
              <w:rPr>
                <w:sz w:val="18"/>
                <w:szCs w:val="18"/>
              </w:rPr>
              <w:t>Arsen</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TV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6 ng/m³</w:t>
            </w:r>
          </w:p>
        </w:tc>
      </w:tr>
      <w:tr>
        <w:tc>
          <w:tcPr>
            <w:tcW w:w="1242" w:type="dxa"/>
          </w:tcPr>
          <w:p>
            <w:pPr>
              <w:pStyle w:val="GesAbsatz"/>
              <w:tabs>
                <w:tab w:val="clear" w:pos="425"/>
              </w:tabs>
              <w:rPr>
                <w:sz w:val="18"/>
                <w:szCs w:val="18"/>
              </w:rPr>
            </w:pPr>
            <w:r>
              <w:rPr>
                <w:sz w:val="18"/>
                <w:szCs w:val="18"/>
              </w:rPr>
              <w:t>Nickel</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TV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20 ng/m³</w:t>
            </w:r>
          </w:p>
        </w:tc>
      </w:tr>
      <w:tr>
        <w:tc>
          <w:tcPr>
            <w:tcW w:w="1242" w:type="dxa"/>
          </w:tcPr>
          <w:p>
            <w:pPr>
              <w:pStyle w:val="GesAbsatz"/>
              <w:tabs>
                <w:tab w:val="clear" w:pos="425"/>
              </w:tabs>
              <w:rPr>
                <w:sz w:val="18"/>
                <w:szCs w:val="18"/>
              </w:rPr>
            </w:pPr>
            <w:r>
              <w:rPr>
                <w:sz w:val="18"/>
                <w:szCs w:val="18"/>
              </w:rPr>
              <w:t>B(a)P</w:t>
            </w:r>
          </w:p>
        </w:tc>
        <w:tc>
          <w:tcPr>
            <w:tcW w:w="1418" w:type="dxa"/>
          </w:tcPr>
          <w:p>
            <w:pPr>
              <w:pStyle w:val="GesAbsatz"/>
              <w:tabs>
                <w:tab w:val="clear" w:pos="425"/>
              </w:tabs>
              <w:rPr>
                <w:sz w:val="18"/>
                <w:szCs w:val="18"/>
              </w:rPr>
            </w:pPr>
            <w:r>
              <w:rPr>
                <w:sz w:val="18"/>
                <w:szCs w:val="18"/>
              </w:rPr>
              <w:t>Gesundheit</w:t>
            </w:r>
          </w:p>
        </w:tc>
        <w:tc>
          <w:tcPr>
            <w:tcW w:w="1102" w:type="dxa"/>
          </w:tcPr>
          <w:p>
            <w:pPr>
              <w:pStyle w:val="GesAbsatz"/>
              <w:tabs>
                <w:tab w:val="clear" w:pos="425"/>
              </w:tabs>
              <w:rPr>
                <w:sz w:val="18"/>
                <w:szCs w:val="18"/>
              </w:rPr>
            </w:pPr>
            <w:r>
              <w:rPr>
                <w:sz w:val="18"/>
                <w:szCs w:val="18"/>
              </w:rPr>
              <w:t>TV</w:t>
            </w:r>
          </w:p>
        </w:tc>
        <w:tc>
          <w:tcPr>
            <w:tcW w:w="1730" w:type="dxa"/>
          </w:tcPr>
          <w:p>
            <w:pPr>
              <w:pStyle w:val="GesAbsatz"/>
              <w:tabs>
                <w:tab w:val="clear" w:pos="425"/>
              </w:tabs>
              <w:rPr>
                <w:sz w:val="18"/>
                <w:szCs w:val="18"/>
              </w:rPr>
            </w:pPr>
            <w:r>
              <w:rPr>
                <w:sz w:val="18"/>
                <w:szCs w:val="18"/>
              </w:rPr>
              <w:t>Ein Kalenderjahr</w:t>
            </w:r>
          </w:p>
        </w:tc>
        <w:tc>
          <w:tcPr>
            <w:tcW w:w="2554" w:type="dxa"/>
          </w:tcPr>
          <w:p>
            <w:pPr>
              <w:pStyle w:val="GesAbsatz"/>
              <w:tabs>
                <w:tab w:val="clear" w:pos="425"/>
              </w:tabs>
              <w:rPr>
                <w:sz w:val="18"/>
                <w:szCs w:val="18"/>
              </w:rPr>
            </w:pPr>
            <w:r>
              <w:rPr>
                <w:sz w:val="18"/>
                <w:szCs w:val="18"/>
              </w:rPr>
              <w:t>Jahresmittelwert</w:t>
            </w:r>
          </w:p>
        </w:tc>
        <w:tc>
          <w:tcPr>
            <w:tcW w:w="1701" w:type="dxa"/>
          </w:tcPr>
          <w:p>
            <w:pPr>
              <w:pStyle w:val="GesAbsatz"/>
              <w:tabs>
                <w:tab w:val="clear" w:pos="425"/>
              </w:tabs>
              <w:rPr>
                <w:sz w:val="18"/>
                <w:szCs w:val="18"/>
              </w:rPr>
            </w:pPr>
            <w:r>
              <w:rPr>
                <w:sz w:val="18"/>
                <w:szCs w:val="18"/>
              </w:rPr>
              <w:t>1 ng/m³</w:t>
            </w:r>
          </w:p>
        </w:tc>
      </w:tr>
      <w:tr>
        <w:tc>
          <w:tcPr>
            <w:tcW w:w="9747" w:type="dxa"/>
            <w:gridSpan w:val="6"/>
          </w:tcPr>
          <w:p>
            <w:pPr>
              <w:pStyle w:val="GesAbsatz"/>
              <w:tabs>
                <w:tab w:val="clear" w:pos="425"/>
              </w:tabs>
              <w:rPr>
                <w:sz w:val="16"/>
                <w:szCs w:val="16"/>
              </w:rPr>
            </w:pPr>
            <w:r>
              <w:rPr>
                <w:vertAlign w:val="superscript"/>
              </w:rPr>
              <w:t>(1)</w:t>
            </w:r>
            <w:r>
              <w:t xml:space="preserve"> </w:t>
            </w:r>
            <w:r>
              <w:rPr>
                <w:sz w:val="16"/>
                <w:szCs w:val="16"/>
              </w:rPr>
              <w:t xml:space="preserve">LV: </w:t>
            </w:r>
            <w:proofErr w:type="spellStart"/>
            <w:r>
              <w:rPr>
                <w:sz w:val="16"/>
                <w:szCs w:val="16"/>
              </w:rPr>
              <w:t>limit</w:t>
            </w:r>
            <w:proofErr w:type="spellEnd"/>
            <w:r>
              <w:rPr>
                <w:sz w:val="16"/>
                <w:szCs w:val="16"/>
              </w:rPr>
              <w:t xml:space="preserve"> </w:t>
            </w:r>
            <w:proofErr w:type="spellStart"/>
            <w:r>
              <w:rPr>
                <w:sz w:val="16"/>
                <w:szCs w:val="16"/>
              </w:rPr>
              <w:t>value</w:t>
            </w:r>
            <w:proofErr w:type="spellEnd"/>
            <w:r>
              <w:rPr>
                <w:sz w:val="16"/>
                <w:szCs w:val="16"/>
              </w:rPr>
              <w:t xml:space="preserve"> (Grenzwert), LVMT: Limit </w:t>
            </w:r>
            <w:proofErr w:type="spellStart"/>
            <w:r>
              <w:rPr>
                <w:sz w:val="16"/>
                <w:szCs w:val="16"/>
              </w:rPr>
              <w:t>value</w:t>
            </w:r>
            <w:proofErr w:type="spellEnd"/>
            <w:r>
              <w:rPr>
                <w:sz w:val="16"/>
                <w:szCs w:val="16"/>
              </w:rPr>
              <w:t xml:space="preserve"> plus </w:t>
            </w:r>
            <w:proofErr w:type="spellStart"/>
            <w:r>
              <w:rPr>
                <w:sz w:val="16"/>
                <w:szCs w:val="16"/>
              </w:rPr>
              <w:t>margin</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tolerance</w:t>
            </w:r>
            <w:proofErr w:type="spellEnd"/>
            <w:r>
              <w:rPr>
                <w:sz w:val="16"/>
                <w:szCs w:val="16"/>
              </w:rPr>
              <w:t xml:space="preserve"> (Grenzwert zuzüglich Toleranzmarge), TV: </w:t>
            </w:r>
            <w:proofErr w:type="spellStart"/>
            <w:r>
              <w:rPr>
                <w:sz w:val="16"/>
                <w:szCs w:val="16"/>
              </w:rPr>
              <w:t>target</w:t>
            </w:r>
            <w:proofErr w:type="spellEnd"/>
            <w:r>
              <w:rPr>
                <w:sz w:val="16"/>
                <w:szCs w:val="16"/>
              </w:rPr>
              <w:t xml:space="preserve"> </w:t>
            </w:r>
            <w:proofErr w:type="spellStart"/>
            <w:r>
              <w:rPr>
                <w:sz w:val="16"/>
                <w:szCs w:val="16"/>
              </w:rPr>
              <w:t>value</w:t>
            </w:r>
            <w:proofErr w:type="spellEnd"/>
            <w:r>
              <w:rPr>
                <w:sz w:val="16"/>
                <w:szCs w:val="16"/>
              </w:rPr>
              <w:t xml:space="preserve"> (Zielwert), LTO: </w:t>
            </w:r>
            <w:proofErr w:type="spellStart"/>
            <w:r>
              <w:rPr>
                <w:sz w:val="16"/>
                <w:szCs w:val="16"/>
              </w:rPr>
              <w:t>long</w:t>
            </w:r>
            <w:proofErr w:type="spellEnd"/>
            <w:r>
              <w:rPr>
                <w:sz w:val="16"/>
                <w:szCs w:val="16"/>
              </w:rPr>
              <w:t xml:space="preserve">-term </w:t>
            </w:r>
            <w:proofErr w:type="spellStart"/>
            <w:r>
              <w:rPr>
                <w:sz w:val="16"/>
                <w:szCs w:val="16"/>
              </w:rPr>
              <w:t>objective</w:t>
            </w:r>
            <w:proofErr w:type="spellEnd"/>
            <w:r>
              <w:rPr>
                <w:sz w:val="16"/>
                <w:szCs w:val="16"/>
              </w:rPr>
              <w:t xml:space="preserve"> (langfristiges Ziel), INT: Information </w:t>
            </w:r>
            <w:proofErr w:type="spellStart"/>
            <w:r>
              <w:rPr>
                <w:sz w:val="16"/>
                <w:szCs w:val="16"/>
              </w:rPr>
              <w:t>threshold</w:t>
            </w:r>
            <w:proofErr w:type="spellEnd"/>
            <w:r>
              <w:rPr>
                <w:sz w:val="16"/>
                <w:szCs w:val="16"/>
              </w:rPr>
              <w:t xml:space="preserve"> (Informationsschwelle), ALT: Alert </w:t>
            </w:r>
            <w:proofErr w:type="spellStart"/>
            <w:r>
              <w:rPr>
                <w:sz w:val="16"/>
                <w:szCs w:val="16"/>
              </w:rPr>
              <w:t>threshold</w:t>
            </w:r>
            <w:proofErr w:type="spellEnd"/>
            <w:r>
              <w:rPr>
                <w:sz w:val="16"/>
                <w:szCs w:val="16"/>
              </w:rPr>
              <w:t xml:space="preserve"> (Alarmschwelle), CL: Critical </w:t>
            </w:r>
            <w:proofErr w:type="spellStart"/>
            <w:r>
              <w:rPr>
                <w:sz w:val="16"/>
                <w:szCs w:val="16"/>
              </w:rPr>
              <w:t>level</w:t>
            </w:r>
            <w:proofErr w:type="spellEnd"/>
            <w:r>
              <w:rPr>
                <w:sz w:val="16"/>
                <w:szCs w:val="16"/>
              </w:rPr>
              <w:t xml:space="preserve"> (kritischer Wert), NAT: Assessment </w:t>
            </w:r>
            <w:proofErr w:type="spellStart"/>
            <w:r>
              <w:rPr>
                <w:sz w:val="16"/>
                <w:szCs w:val="16"/>
              </w:rPr>
              <w:t>of</w:t>
            </w:r>
            <w:proofErr w:type="spellEnd"/>
            <w:r>
              <w:rPr>
                <w:sz w:val="16"/>
                <w:szCs w:val="16"/>
              </w:rPr>
              <w:t xml:space="preserve"> </w:t>
            </w:r>
            <w:proofErr w:type="spellStart"/>
            <w:r>
              <w:rPr>
                <w:sz w:val="16"/>
                <w:szCs w:val="16"/>
              </w:rPr>
              <w:t>natural</w:t>
            </w:r>
            <w:proofErr w:type="spellEnd"/>
            <w:r>
              <w:rPr>
                <w:sz w:val="16"/>
                <w:szCs w:val="16"/>
              </w:rPr>
              <w:t xml:space="preserve"> </w:t>
            </w:r>
            <w:proofErr w:type="spellStart"/>
            <w:r>
              <w:rPr>
                <w:sz w:val="16"/>
                <w:szCs w:val="16"/>
              </w:rPr>
              <w:t>contribution</w:t>
            </w:r>
            <w:proofErr w:type="spellEnd"/>
            <w:r>
              <w:rPr>
                <w:sz w:val="16"/>
                <w:szCs w:val="16"/>
              </w:rPr>
              <w:t xml:space="preserve"> (Beurteilung des natürlichen Beitrags), WSS: Assessment </w:t>
            </w:r>
            <w:proofErr w:type="spellStart"/>
            <w:r>
              <w:rPr>
                <w:sz w:val="16"/>
                <w:szCs w:val="16"/>
              </w:rPr>
              <w:t>of</w:t>
            </w:r>
            <w:proofErr w:type="spellEnd"/>
            <w:r>
              <w:rPr>
                <w:sz w:val="16"/>
                <w:szCs w:val="16"/>
              </w:rPr>
              <w:t xml:space="preserve"> </w:t>
            </w:r>
            <w:proofErr w:type="spellStart"/>
            <w:r>
              <w:rPr>
                <w:sz w:val="16"/>
                <w:szCs w:val="16"/>
              </w:rPr>
              <w:t>winter</w:t>
            </w:r>
            <w:proofErr w:type="spellEnd"/>
            <w:r>
              <w:rPr>
                <w:sz w:val="16"/>
                <w:szCs w:val="16"/>
              </w:rPr>
              <w:t xml:space="preserve"> </w:t>
            </w:r>
            <w:proofErr w:type="spellStart"/>
            <w:r>
              <w:rPr>
                <w:sz w:val="16"/>
                <w:szCs w:val="16"/>
              </w:rPr>
              <w:t>sanding</w:t>
            </w:r>
            <w:proofErr w:type="spellEnd"/>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salting</w:t>
            </w:r>
            <w:proofErr w:type="spellEnd"/>
            <w:r>
              <w:rPr>
                <w:sz w:val="16"/>
                <w:szCs w:val="16"/>
              </w:rPr>
              <w:t xml:space="preserve"> (Beurteilung der Ausbringung von Streusand und -salz im Winterdienst), ERT: </w:t>
            </w:r>
            <w:proofErr w:type="spellStart"/>
            <w:r>
              <w:rPr>
                <w:sz w:val="16"/>
                <w:szCs w:val="16"/>
              </w:rPr>
              <w:t>Exposure</w:t>
            </w:r>
            <w:proofErr w:type="spellEnd"/>
            <w:r>
              <w:rPr>
                <w:sz w:val="16"/>
                <w:szCs w:val="16"/>
              </w:rPr>
              <w:t xml:space="preserve"> </w:t>
            </w:r>
            <w:r>
              <w:rPr>
                <w:sz w:val="16"/>
                <w:szCs w:val="16"/>
                <w:lang w:val="en-US"/>
              </w:rPr>
              <w:lastRenderedPageBreak/>
              <w:t>reduction</w:t>
            </w:r>
            <w:r>
              <w:rPr>
                <w:sz w:val="16"/>
                <w:szCs w:val="16"/>
              </w:rPr>
              <w:t xml:space="preserve"> </w:t>
            </w:r>
            <w:r>
              <w:rPr>
                <w:sz w:val="16"/>
                <w:szCs w:val="16"/>
                <w:lang w:val="en-US"/>
              </w:rPr>
              <w:t>target</w:t>
            </w:r>
            <w:r>
              <w:rPr>
                <w:sz w:val="16"/>
                <w:szCs w:val="16"/>
              </w:rPr>
              <w:t xml:space="preserve"> (Ziel für die Reduzierung der Exposition), ECO: </w:t>
            </w:r>
            <w:r>
              <w:rPr>
                <w:sz w:val="16"/>
                <w:szCs w:val="16"/>
                <w:lang w:val="en-US"/>
              </w:rPr>
              <w:t>Exposure</w:t>
            </w:r>
            <w:r>
              <w:rPr>
                <w:sz w:val="16"/>
                <w:szCs w:val="16"/>
              </w:rPr>
              <w:t xml:space="preserve"> </w:t>
            </w:r>
            <w:r>
              <w:rPr>
                <w:sz w:val="16"/>
                <w:szCs w:val="16"/>
                <w:lang w:val="en-US"/>
              </w:rPr>
              <w:t>concentration</w:t>
            </w:r>
            <w:r>
              <w:rPr>
                <w:sz w:val="16"/>
                <w:szCs w:val="16"/>
              </w:rPr>
              <w:t xml:space="preserve"> </w:t>
            </w:r>
            <w:r>
              <w:rPr>
                <w:sz w:val="16"/>
                <w:szCs w:val="16"/>
                <w:lang w:val="en-US"/>
              </w:rPr>
              <w:t>obligation</w:t>
            </w:r>
            <w:r>
              <w:rPr>
                <w:sz w:val="16"/>
                <w:szCs w:val="16"/>
              </w:rPr>
              <w:t xml:space="preserve"> (Verpflichtung in Bezug auf die Expositionskonzentration).</w:t>
            </w:r>
          </w:p>
          <w:p>
            <w:pPr>
              <w:pStyle w:val="GesAbsatz"/>
              <w:tabs>
                <w:tab w:val="clear" w:pos="425"/>
              </w:tabs>
            </w:pPr>
            <w:r>
              <w:rPr>
                <w:vertAlign w:val="superscript"/>
              </w:rPr>
              <w:t>(2)</w:t>
            </w:r>
            <w:r>
              <w:t xml:space="preserve"> </w:t>
            </w:r>
            <w:r>
              <w:rPr>
                <w:sz w:val="16"/>
                <w:szCs w:val="16"/>
              </w:rPr>
              <w:t>Es sind keine Aktualdaten zu übermitteln.</w:t>
            </w:r>
          </w:p>
        </w:tc>
      </w:tr>
    </w:tbl>
    <w:p>
      <w:pPr>
        <w:pStyle w:val="GesAbsatz"/>
      </w:pPr>
    </w:p>
    <w:p>
      <w:pPr>
        <w:pStyle w:val="GesAbsatz"/>
        <w:rPr>
          <w:b/>
        </w:rPr>
      </w:pPr>
      <w:r>
        <w:rPr>
          <w:b/>
        </w:rPr>
        <w:t>C. Schadstoffe, die Überwachungsanforderungen unterliegen</w:t>
      </w:r>
    </w:p>
    <w:p>
      <w:pPr>
        <w:pStyle w:val="GesAbsatz"/>
      </w:pPr>
      <w:r>
        <w:t>Diese Liste enthält alle Schadstoffe, die Überwachungsanforderungen gemäß den Richtlinien 2004/107/EG und 2008/50/EG unterliegen. Eine Liste mit weiteren Schadstoffen, zu denen die Mitgliedstaaten die Daten, sofern vorhanden, austauschen, wird von der Europäischen Umweltagentur geführt und auf dem Portal bereitgestellt.</w:t>
      </w:r>
    </w:p>
    <w:tbl>
      <w:tblPr>
        <w:tblStyle w:val="Tabellenraster"/>
        <w:tblW w:w="0" w:type="auto"/>
        <w:tblLook w:val="04A0" w:firstRow="1" w:lastRow="0" w:firstColumn="1" w:lastColumn="0" w:noHBand="0" w:noVBand="1"/>
      </w:tblPr>
      <w:tblGrid>
        <w:gridCol w:w="1796"/>
        <w:gridCol w:w="2722"/>
        <w:gridCol w:w="3480"/>
        <w:gridCol w:w="1630"/>
      </w:tblGrid>
      <w:tr>
        <w:trPr>
          <w:tblHeader/>
        </w:trPr>
        <w:tc>
          <w:tcPr>
            <w:tcW w:w="1809" w:type="dxa"/>
          </w:tcPr>
          <w:p>
            <w:pPr>
              <w:pStyle w:val="GesAbsatz"/>
              <w:tabs>
                <w:tab w:val="clear" w:pos="425"/>
              </w:tabs>
              <w:jc w:val="center"/>
            </w:pPr>
            <w:r>
              <w:t>Airbase-Code</w:t>
            </w:r>
          </w:p>
        </w:tc>
        <w:tc>
          <w:tcPr>
            <w:tcW w:w="2735" w:type="dxa"/>
          </w:tcPr>
          <w:p>
            <w:pPr>
              <w:pStyle w:val="GesAbsatz"/>
              <w:tabs>
                <w:tab w:val="clear" w:pos="425"/>
              </w:tabs>
              <w:jc w:val="center"/>
            </w:pPr>
            <w:r>
              <w:t>Formel des Schadstoffs</w:t>
            </w:r>
          </w:p>
        </w:tc>
        <w:tc>
          <w:tcPr>
            <w:tcW w:w="3502" w:type="dxa"/>
          </w:tcPr>
          <w:p>
            <w:pPr>
              <w:pStyle w:val="GesAbsatz"/>
              <w:tabs>
                <w:tab w:val="clear" w:pos="425"/>
              </w:tabs>
              <w:jc w:val="center"/>
            </w:pPr>
            <w:r>
              <w:t>Name des Schadstoffs</w:t>
            </w:r>
          </w:p>
        </w:tc>
        <w:tc>
          <w:tcPr>
            <w:tcW w:w="1636" w:type="dxa"/>
          </w:tcPr>
          <w:p>
            <w:pPr>
              <w:pStyle w:val="GesAbsatz"/>
              <w:tabs>
                <w:tab w:val="clear" w:pos="425"/>
              </w:tabs>
              <w:jc w:val="center"/>
            </w:pPr>
            <w:r>
              <w:t>Messeinheit</w:t>
            </w:r>
          </w:p>
        </w:tc>
      </w:tr>
      <w:tr>
        <w:tc>
          <w:tcPr>
            <w:tcW w:w="9682" w:type="dxa"/>
            <w:gridSpan w:val="4"/>
          </w:tcPr>
          <w:p>
            <w:pPr>
              <w:pStyle w:val="GesAbsatz"/>
              <w:tabs>
                <w:tab w:val="clear" w:pos="425"/>
              </w:tabs>
              <w:jc w:val="center"/>
              <w:rPr>
                <w:b/>
              </w:rPr>
            </w:pPr>
            <w:r>
              <w:rPr>
                <w:b/>
              </w:rPr>
              <w:t>Gasförmige anorganische Schadstoffe</w:t>
            </w:r>
          </w:p>
        </w:tc>
      </w:tr>
      <w:tr>
        <w:tc>
          <w:tcPr>
            <w:tcW w:w="1809" w:type="dxa"/>
          </w:tcPr>
          <w:p>
            <w:pPr>
              <w:pStyle w:val="GesAbsatz"/>
              <w:tabs>
                <w:tab w:val="clear" w:pos="425"/>
              </w:tabs>
            </w:pPr>
            <w:r>
              <w:t>1</w:t>
            </w:r>
          </w:p>
        </w:tc>
        <w:tc>
          <w:tcPr>
            <w:tcW w:w="2735" w:type="dxa"/>
          </w:tcPr>
          <w:p>
            <w:pPr>
              <w:pStyle w:val="GesAbsatz"/>
              <w:tabs>
                <w:tab w:val="clear" w:pos="425"/>
              </w:tabs>
            </w:pPr>
            <w:r>
              <w:t>SO</w:t>
            </w:r>
            <w:r>
              <w:rPr>
                <w:vertAlign w:val="subscript"/>
              </w:rPr>
              <w:t>2</w:t>
            </w:r>
          </w:p>
        </w:tc>
        <w:tc>
          <w:tcPr>
            <w:tcW w:w="3502" w:type="dxa"/>
          </w:tcPr>
          <w:p>
            <w:pPr>
              <w:pStyle w:val="GesAbsatz"/>
              <w:tabs>
                <w:tab w:val="clear" w:pos="425"/>
              </w:tabs>
            </w:pPr>
            <w:r>
              <w:t>Schwefeldioxid</w:t>
            </w:r>
          </w:p>
        </w:tc>
        <w:tc>
          <w:tcPr>
            <w:tcW w:w="1636" w:type="dxa"/>
          </w:tcPr>
          <w:p>
            <w:pPr>
              <w:pStyle w:val="GesAbsatz"/>
              <w:tabs>
                <w:tab w:val="clear" w:pos="425"/>
              </w:tabs>
            </w:pPr>
            <w:r>
              <w:t>μg/m³</w:t>
            </w:r>
          </w:p>
        </w:tc>
      </w:tr>
      <w:tr>
        <w:tc>
          <w:tcPr>
            <w:tcW w:w="1809" w:type="dxa"/>
          </w:tcPr>
          <w:p>
            <w:pPr>
              <w:pStyle w:val="GesAbsatz"/>
              <w:tabs>
                <w:tab w:val="clear" w:pos="425"/>
              </w:tabs>
            </w:pPr>
            <w:r>
              <w:t>8</w:t>
            </w:r>
          </w:p>
        </w:tc>
        <w:tc>
          <w:tcPr>
            <w:tcW w:w="2735" w:type="dxa"/>
          </w:tcPr>
          <w:p>
            <w:pPr>
              <w:pStyle w:val="GesAbsatz"/>
              <w:tabs>
                <w:tab w:val="clear" w:pos="425"/>
              </w:tabs>
            </w:pPr>
            <w:r>
              <w:t>NO</w:t>
            </w:r>
            <w:r>
              <w:rPr>
                <w:vertAlign w:val="subscript"/>
              </w:rPr>
              <w:t>2</w:t>
            </w:r>
          </w:p>
        </w:tc>
        <w:tc>
          <w:tcPr>
            <w:tcW w:w="3502" w:type="dxa"/>
          </w:tcPr>
          <w:p>
            <w:pPr>
              <w:pStyle w:val="GesAbsatz"/>
              <w:tabs>
                <w:tab w:val="clear" w:pos="425"/>
              </w:tabs>
            </w:pPr>
            <w:r>
              <w:t>Stickstoffdioxid</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9</w:t>
            </w:r>
          </w:p>
        </w:tc>
        <w:tc>
          <w:tcPr>
            <w:tcW w:w="2735" w:type="dxa"/>
          </w:tcPr>
          <w:p>
            <w:pPr>
              <w:pStyle w:val="GesAbsatz"/>
              <w:tabs>
                <w:tab w:val="clear" w:pos="425"/>
              </w:tabs>
              <w:rPr>
                <w:lang w:val="en-US"/>
              </w:rPr>
            </w:pPr>
            <w:r>
              <w:rPr>
                <w:lang w:val="en-US"/>
              </w:rPr>
              <w:t>NO</w:t>
            </w:r>
            <w:r>
              <w:rPr>
                <w:vertAlign w:val="subscript"/>
                <w:lang w:val="en-US"/>
              </w:rPr>
              <w:t>x</w:t>
            </w:r>
            <w:r>
              <w:rPr>
                <w:lang w:val="en-US"/>
              </w:rPr>
              <w:t xml:space="preserve"> </w:t>
            </w:r>
            <w:r>
              <w:rPr>
                <w:vertAlign w:val="superscript"/>
                <w:lang w:val="en-US"/>
              </w:rPr>
              <w:t>(1)</w:t>
            </w:r>
          </w:p>
        </w:tc>
        <w:tc>
          <w:tcPr>
            <w:tcW w:w="3502" w:type="dxa"/>
          </w:tcPr>
          <w:p>
            <w:pPr>
              <w:pStyle w:val="GesAbsatz"/>
              <w:tabs>
                <w:tab w:val="clear" w:pos="425"/>
              </w:tabs>
              <w:rPr>
                <w:lang w:val="en-US"/>
              </w:rPr>
            </w:pPr>
            <w:r>
              <w:rPr>
                <w:lang w:val="en-US"/>
              </w:rPr>
              <w:t>Stickstoffoxide</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pPr>
            <w:r>
              <w:t>7</w:t>
            </w:r>
          </w:p>
        </w:tc>
        <w:tc>
          <w:tcPr>
            <w:tcW w:w="2735" w:type="dxa"/>
          </w:tcPr>
          <w:p>
            <w:pPr>
              <w:pStyle w:val="GesAbsatz"/>
              <w:tabs>
                <w:tab w:val="clear" w:pos="425"/>
              </w:tabs>
            </w:pPr>
            <w:r>
              <w:t>O</w:t>
            </w:r>
            <w:r>
              <w:rPr>
                <w:vertAlign w:val="subscript"/>
              </w:rPr>
              <w:t>3</w:t>
            </w:r>
          </w:p>
        </w:tc>
        <w:tc>
          <w:tcPr>
            <w:tcW w:w="3502" w:type="dxa"/>
          </w:tcPr>
          <w:p>
            <w:pPr>
              <w:pStyle w:val="GesAbsatz"/>
              <w:tabs>
                <w:tab w:val="clear" w:pos="425"/>
              </w:tabs>
            </w:pPr>
            <w:r>
              <w:t>Ozon</w:t>
            </w:r>
          </w:p>
        </w:tc>
        <w:tc>
          <w:tcPr>
            <w:tcW w:w="1636" w:type="dxa"/>
          </w:tcPr>
          <w:p>
            <w:pPr>
              <w:pStyle w:val="GesAbsatz"/>
              <w:tabs>
                <w:tab w:val="clear" w:pos="425"/>
              </w:tabs>
            </w:pPr>
            <w:r>
              <w:t>μg/m³</w:t>
            </w:r>
          </w:p>
        </w:tc>
      </w:tr>
      <w:tr>
        <w:tc>
          <w:tcPr>
            <w:tcW w:w="1809" w:type="dxa"/>
          </w:tcPr>
          <w:p>
            <w:pPr>
              <w:pStyle w:val="GesAbsatz"/>
              <w:tabs>
                <w:tab w:val="clear" w:pos="425"/>
              </w:tabs>
            </w:pPr>
            <w:r>
              <w:t>10</w:t>
            </w:r>
          </w:p>
        </w:tc>
        <w:tc>
          <w:tcPr>
            <w:tcW w:w="2735" w:type="dxa"/>
          </w:tcPr>
          <w:p>
            <w:pPr>
              <w:pStyle w:val="GesAbsatz"/>
              <w:tabs>
                <w:tab w:val="clear" w:pos="425"/>
              </w:tabs>
            </w:pPr>
            <w:r>
              <w:t>CO</w:t>
            </w:r>
          </w:p>
        </w:tc>
        <w:tc>
          <w:tcPr>
            <w:tcW w:w="3502" w:type="dxa"/>
          </w:tcPr>
          <w:p>
            <w:pPr>
              <w:pStyle w:val="GesAbsatz"/>
              <w:tabs>
                <w:tab w:val="clear" w:pos="425"/>
              </w:tabs>
            </w:pPr>
            <w:r>
              <w:t>Kohlenmonoxid</w:t>
            </w:r>
          </w:p>
        </w:tc>
        <w:tc>
          <w:tcPr>
            <w:tcW w:w="1636" w:type="dxa"/>
          </w:tcPr>
          <w:p>
            <w:pPr>
              <w:pStyle w:val="GesAbsatz"/>
              <w:tabs>
                <w:tab w:val="clear" w:pos="425"/>
              </w:tabs>
            </w:pPr>
            <w:r>
              <w:t>mg/m³</w:t>
            </w:r>
          </w:p>
        </w:tc>
      </w:tr>
      <w:tr>
        <w:tc>
          <w:tcPr>
            <w:tcW w:w="9682" w:type="dxa"/>
            <w:gridSpan w:val="4"/>
          </w:tcPr>
          <w:p>
            <w:pPr>
              <w:pStyle w:val="GesAbsatz"/>
              <w:tabs>
                <w:tab w:val="clear" w:pos="425"/>
              </w:tabs>
              <w:jc w:val="center"/>
              <w:rPr>
                <w:b/>
              </w:rPr>
            </w:pPr>
            <w:r>
              <w:rPr>
                <w:b/>
              </w:rPr>
              <w:t>Partikel (PM)</w:t>
            </w:r>
          </w:p>
        </w:tc>
      </w:tr>
      <w:tr>
        <w:tc>
          <w:tcPr>
            <w:tcW w:w="1809" w:type="dxa"/>
          </w:tcPr>
          <w:p>
            <w:pPr>
              <w:pStyle w:val="GesAbsatz"/>
              <w:tabs>
                <w:tab w:val="clear" w:pos="425"/>
              </w:tabs>
            </w:pPr>
            <w:r>
              <w:t>5</w:t>
            </w:r>
          </w:p>
        </w:tc>
        <w:tc>
          <w:tcPr>
            <w:tcW w:w="2735" w:type="dxa"/>
          </w:tcPr>
          <w:p>
            <w:pPr>
              <w:pStyle w:val="GesAbsatz"/>
              <w:tabs>
                <w:tab w:val="clear" w:pos="425"/>
              </w:tabs>
            </w:pPr>
            <w:r>
              <w:t>PM</w:t>
            </w:r>
            <w:r>
              <w:rPr>
                <w:vertAlign w:val="subscript"/>
              </w:rPr>
              <w:t>10</w:t>
            </w:r>
          </w:p>
        </w:tc>
        <w:tc>
          <w:tcPr>
            <w:tcW w:w="3502" w:type="dxa"/>
          </w:tcPr>
          <w:p>
            <w:pPr>
              <w:pStyle w:val="GesAbsatz"/>
              <w:tabs>
                <w:tab w:val="clear" w:pos="425"/>
              </w:tabs>
            </w:pPr>
            <w:r>
              <w:t>PM</w:t>
            </w:r>
            <w:r>
              <w:rPr>
                <w:vertAlign w:val="subscript"/>
              </w:rPr>
              <w:t>10</w:t>
            </w:r>
          </w:p>
        </w:tc>
        <w:tc>
          <w:tcPr>
            <w:tcW w:w="1636" w:type="dxa"/>
          </w:tcPr>
          <w:p>
            <w:pPr>
              <w:pStyle w:val="GesAbsatz"/>
              <w:tabs>
                <w:tab w:val="clear" w:pos="425"/>
              </w:tabs>
            </w:pPr>
            <w:r>
              <w:t>μg/m³</w:t>
            </w:r>
          </w:p>
        </w:tc>
      </w:tr>
      <w:tr>
        <w:tc>
          <w:tcPr>
            <w:tcW w:w="1809" w:type="dxa"/>
          </w:tcPr>
          <w:p>
            <w:pPr>
              <w:pStyle w:val="GesAbsatz"/>
              <w:tabs>
                <w:tab w:val="clear" w:pos="425"/>
              </w:tabs>
            </w:pPr>
            <w:r>
              <w:t>6001</w:t>
            </w:r>
          </w:p>
        </w:tc>
        <w:tc>
          <w:tcPr>
            <w:tcW w:w="2735" w:type="dxa"/>
          </w:tcPr>
          <w:p>
            <w:pPr>
              <w:pStyle w:val="GesAbsatz"/>
              <w:tabs>
                <w:tab w:val="clear" w:pos="425"/>
              </w:tabs>
            </w:pPr>
            <w:r>
              <w:t>PM</w:t>
            </w:r>
            <w:r>
              <w:rPr>
                <w:vertAlign w:val="subscript"/>
              </w:rPr>
              <w:t>2,5</w:t>
            </w:r>
          </w:p>
        </w:tc>
        <w:tc>
          <w:tcPr>
            <w:tcW w:w="3502" w:type="dxa"/>
          </w:tcPr>
          <w:p>
            <w:pPr>
              <w:pStyle w:val="GesAbsatz"/>
              <w:tabs>
                <w:tab w:val="clear" w:pos="425"/>
              </w:tabs>
            </w:pPr>
            <w:r>
              <w:t>PM</w:t>
            </w:r>
            <w:r>
              <w:rPr>
                <w:vertAlign w:val="subscript"/>
              </w:rPr>
              <w:t>2,5</w:t>
            </w:r>
          </w:p>
        </w:tc>
        <w:tc>
          <w:tcPr>
            <w:tcW w:w="1636" w:type="dxa"/>
          </w:tcPr>
          <w:p>
            <w:pPr>
              <w:pStyle w:val="GesAbsatz"/>
              <w:tabs>
                <w:tab w:val="clear" w:pos="425"/>
              </w:tabs>
            </w:pPr>
            <w:r>
              <w:t>μg/m³</w:t>
            </w:r>
          </w:p>
        </w:tc>
      </w:tr>
      <w:tr>
        <w:tc>
          <w:tcPr>
            <w:tcW w:w="9682" w:type="dxa"/>
            <w:gridSpan w:val="4"/>
          </w:tcPr>
          <w:p>
            <w:pPr>
              <w:pStyle w:val="GesAbsatz"/>
              <w:tabs>
                <w:tab w:val="clear" w:pos="425"/>
              </w:tabs>
              <w:jc w:val="center"/>
              <w:rPr>
                <w:b/>
              </w:rPr>
            </w:pPr>
            <w:r>
              <w:rPr>
                <w:b/>
              </w:rPr>
              <w:t>PM</w:t>
            </w:r>
            <w:r>
              <w:rPr>
                <w:b/>
                <w:vertAlign w:val="subscript"/>
              </w:rPr>
              <w:t>2,5</w:t>
            </w:r>
            <w:r>
              <w:rPr>
                <w:b/>
              </w:rPr>
              <w:t>-Inhaltsstoffe</w:t>
            </w:r>
          </w:p>
        </w:tc>
      </w:tr>
      <w:tr>
        <w:tc>
          <w:tcPr>
            <w:tcW w:w="1809" w:type="dxa"/>
          </w:tcPr>
          <w:p>
            <w:pPr>
              <w:pStyle w:val="GesAbsatz"/>
              <w:tabs>
                <w:tab w:val="clear" w:pos="425"/>
              </w:tabs>
              <w:rPr>
                <w:lang w:val="en-US"/>
              </w:rPr>
            </w:pPr>
            <w:r>
              <w:rPr>
                <w:lang w:val="en-US"/>
              </w:rPr>
              <w:t>1047</w:t>
            </w:r>
          </w:p>
        </w:tc>
        <w:tc>
          <w:tcPr>
            <w:tcW w:w="2735" w:type="dxa"/>
          </w:tcPr>
          <w:p>
            <w:pPr>
              <w:pStyle w:val="GesAbsatz"/>
              <w:tabs>
                <w:tab w:val="clear" w:pos="425"/>
              </w:tabs>
              <w:rPr>
                <w:lang w:val="en-US"/>
              </w:rPr>
            </w:pPr>
            <w:r>
              <w:rPr>
                <w:lang w:val="en-US"/>
              </w:rPr>
              <w:t>SO</w:t>
            </w:r>
            <w:r>
              <w:rPr>
                <w:vertAlign w:val="subscript"/>
                <w:lang w:val="en-US"/>
              </w:rPr>
              <w:t>4</w:t>
            </w:r>
            <w:r>
              <w:rPr>
                <w:vertAlign w:val="superscript"/>
                <w:lang w:val="en-US"/>
              </w:rPr>
              <w:t>2-</w:t>
            </w:r>
            <w:r>
              <w:rPr>
                <w:lang w:val="en-US"/>
              </w:rPr>
              <w:t xml:space="preserve"> in PM</w:t>
            </w:r>
            <w:r>
              <w:rPr>
                <w:vertAlign w:val="subscript"/>
                <w:lang w:val="en-US"/>
              </w:rPr>
              <w:t>2,5</w:t>
            </w:r>
          </w:p>
        </w:tc>
        <w:tc>
          <w:tcPr>
            <w:tcW w:w="3502" w:type="dxa"/>
          </w:tcPr>
          <w:p>
            <w:pPr>
              <w:pStyle w:val="GesAbsatz"/>
              <w:tabs>
                <w:tab w:val="clear" w:pos="425"/>
              </w:tabs>
              <w:rPr>
                <w:lang w:val="en-US"/>
              </w:rPr>
            </w:pPr>
            <w:r>
              <w:rPr>
                <w:lang w:val="en-US"/>
              </w:rPr>
              <w:t>Sulfat in PM</w:t>
            </w:r>
            <w:r>
              <w:rPr>
                <w:vertAlign w:val="subscript"/>
                <w:lang w:val="en-US"/>
              </w:rPr>
              <w:t>2,5</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pPr>
            <w:r>
              <w:t>1046</w:t>
            </w:r>
          </w:p>
        </w:tc>
        <w:tc>
          <w:tcPr>
            <w:tcW w:w="2735" w:type="dxa"/>
          </w:tcPr>
          <w:p>
            <w:pPr>
              <w:pStyle w:val="GesAbsatz"/>
              <w:tabs>
                <w:tab w:val="clear" w:pos="425"/>
              </w:tabs>
            </w:pPr>
            <w:r>
              <w:t>NO</w:t>
            </w:r>
            <w:r>
              <w:rPr>
                <w:vertAlign w:val="subscript"/>
              </w:rPr>
              <w:t>3</w:t>
            </w:r>
            <w:r>
              <w:rPr>
                <w:vertAlign w:val="superscript"/>
              </w:rPr>
              <w:t>-</w:t>
            </w:r>
            <w:r>
              <w:t xml:space="preserve"> in PM</w:t>
            </w:r>
            <w:r>
              <w:rPr>
                <w:vertAlign w:val="subscript"/>
              </w:rPr>
              <w:t>2,5</w:t>
            </w:r>
          </w:p>
        </w:tc>
        <w:tc>
          <w:tcPr>
            <w:tcW w:w="3502" w:type="dxa"/>
          </w:tcPr>
          <w:p>
            <w:pPr>
              <w:pStyle w:val="GesAbsatz"/>
              <w:tabs>
                <w:tab w:val="clear" w:pos="425"/>
              </w:tabs>
            </w:pPr>
            <w:r>
              <w:t>Nitrat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1045</w:t>
            </w:r>
          </w:p>
        </w:tc>
        <w:tc>
          <w:tcPr>
            <w:tcW w:w="2735" w:type="dxa"/>
          </w:tcPr>
          <w:p>
            <w:pPr>
              <w:pStyle w:val="GesAbsatz"/>
              <w:tabs>
                <w:tab w:val="clear" w:pos="425"/>
              </w:tabs>
            </w:pPr>
            <w:r>
              <w:t>NH</w:t>
            </w:r>
            <w:r>
              <w:rPr>
                <w:vertAlign w:val="subscript"/>
              </w:rPr>
              <w:t>4</w:t>
            </w:r>
            <w:r>
              <w:rPr>
                <w:vertAlign w:val="superscript"/>
              </w:rPr>
              <w:t>+</w:t>
            </w:r>
            <w:r>
              <w:t xml:space="preserve"> in PM</w:t>
            </w:r>
            <w:r>
              <w:rPr>
                <w:vertAlign w:val="subscript"/>
              </w:rPr>
              <w:t>2,5</w:t>
            </w:r>
          </w:p>
        </w:tc>
        <w:tc>
          <w:tcPr>
            <w:tcW w:w="3502" w:type="dxa"/>
          </w:tcPr>
          <w:p>
            <w:pPr>
              <w:pStyle w:val="GesAbsatz"/>
              <w:tabs>
                <w:tab w:val="clear" w:pos="425"/>
              </w:tabs>
            </w:pPr>
            <w:r>
              <w:t>Ammonium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1771</w:t>
            </w:r>
          </w:p>
        </w:tc>
        <w:tc>
          <w:tcPr>
            <w:tcW w:w="2735" w:type="dxa"/>
          </w:tcPr>
          <w:p>
            <w:pPr>
              <w:pStyle w:val="GesAbsatz"/>
              <w:tabs>
                <w:tab w:val="clear" w:pos="425"/>
              </w:tabs>
            </w:pPr>
            <w:proofErr w:type="spellStart"/>
            <w:r>
              <w:t>elem</w:t>
            </w:r>
            <w:proofErr w:type="spellEnd"/>
            <w:r>
              <w:t>. C in PM</w:t>
            </w:r>
            <w:r>
              <w:rPr>
                <w:vertAlign w:val="subscript"/>
              </w:rPr>
              <w:t>2,5</w:t>
            </w:r>
          </w:p>
        </w:tc>
        <w:tc>
          <w:tcPr>
            <w:tcW w:w="3502" w:type="dxa"/>
          </w:tcPr>
          <w:p>
            <w:pPr>
              <w:pStyle w:val="GesAbsatz"/>
              <w:tabs>
                <w:tab w:val="clear" w:pos="425"/>
              </w:tabs>
            </w:pPr>
            <w:r>
              <w:t>Elementarer Kohlenstoff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1772</w:t>
            </w:r>
          </w:p>
        </w:tc>
        <w:tc>
          <w:tcPr>
            <w:tcW w:w="2735" w:type="dxa"/>
          </w:tcPr>
          <w:p>
            <w:pPr>
              <w:pStyle w:val="GesAbsatz"/>
              <w:tabs>
                <w:tab w:val="clear" w:pos="425"/>
              </w:tabs>
            </w:pPr>
            <w:r>
              <w:t>org. C in PM</w:t>
            </w:r>
            <w:r>
              <w:rPr>
                <w:vertAlign w:val="subscript"/>
              </w:rPr>
              <w:t>2,5</w:t>
            </w:r>
          </w:p>
        </w:tc>
        <w:tc>
          <w:tcPr>
            <w:tcW w:w="3502" w:type="dxa"/>
          </w:tcPr>
          <w:p>
            <w:pPr>
              <w:pStyle w:val="GesAbsatz"/>
              <w:tabs>
                <w:tab w:val="clear" w:pos="425"/>
              </w:tabs>
            </w:pPr>
            <w:r>
              <w:t>Organischer Kohlenstoff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1629</w:t>
            </w:r>
          </w:p>
        </w:tc>
        <w:tc>
          <w:tcPr>
            <w:tcW w:w="2735" w:type="dxa"/>
          </w:tcPr>
          <w:p>
            <w:pPr>
              <w:pStyle w:val="GesAbsatz"/>
              <w:tabs>
                <w:tab w:val="clear" w:pos="425"/>
              </w:tabs>
            </w:pPr>
            <w:r>
              <w:t>Ca</w:t>
            </w:r>
            <w:r>
              <w:rPr>
                <w:vertAlign w:val="superscript"/>
              </w:rPr>
              <w:t>2+</w:t>
            </w:r>
            <w:r>
              <w:t xml:space="preserve"> in PM</w:t>
            </w:r>
            <w:r>
              <w:rPr>
                <w:vertAlign w:val="subscript"/>
              </w:rPr>
              <w:t>2,5</w:t>
            </w:r>
          </w:p>
        </w:tc>
        <w:tc>
          <w:tcPr>
            <w:tcW w:w="3502" w:type="dxa"/>
          </w:tcPr>
          <w:p>
            <w:pPr>
              <w:pStyle w:val="GesAbsatz"/>
              <w:tabs>
                <w:tab w:val="clear" w:pos="425"/>
              </w:tabs>
            </w:pPr>
            <w:r>
              <w:t>Calcium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1659</w:t>
            </w:r>
          </w:p>
        </w:tc>
        <w:tc>
          <w:tcPr>
            <w:tcW w:w="2735" w:type="dxa"/>
          </w:tcPr>
          <w:p>
            <w:pPr>
              <w:pStyle w:val="GesAbsatz"/>
              <w:tabs>
                <w:tab w:val="clear" w:pos="425"/>
              </w:tabs>
            </w:pPr>
            <w:r>
              <w:t>Mg</w:t>
            </w:r>
            <w:r>
              <w:rPr>
                <w:vertAlign w:val="superscript"/>
              </w:rPr>
              <w:t>2+</w:t>
            </w:r>
            <w:r>
              <w:t xml:space="preserve"> in PM</w:t>
            </w:r>
            <w:r>
              <w:rPr>
                <w:vertAlign w:val="subscript"/>
              </w:rPr>
              <w:t>2,5</w:t>
            </w:r>
          </w:p>
        </w:tc>
        <w:tc>
          <w:tcPr>
            <w:tcW w:w="3502" w:type="dxa"/>
          </w:tcPr>
          <w:p>
            <w:pPr>
              <w:pStyle w:val="GesAbsatz"/>
              <w:tabs>
                <w:tab w:val="clear" w:pos="425"/>
              </w:tabs>
            </w:pPr>
            <w:r>
              <w:t>Magnesium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1657</w:t>
            </w:r>
          </w:p>
        </w:tc>
        <w:tc>
          <w:tcPr>
            <w:tcW w:w="2735" w:type="dxa"/>
          </w:tcPr>
          <w:p>
            <w:pPr>
              <w:pStyle w:val="GesAbsatz"/>
              <w:tabs>
                <w:tab w:val="clear" w:pos="425"/>
              </w:tabs>
            </w:pPr>
            <w:r>
              <w:t>K</w:t>
            </w:r>
            <w:r>
              <w:rPr>
                <w:vertAlign w:val="superscript"/>
              </w:rPr>
              <w:t>+</w:t>
            </w:r>
            <w:r>
              <w:t xml:space="preserve"> in PM</w:t>
            </w:r>
            <w:r>
              <w:rPr>
                <w:vertAlign w:val="subscript"/>
              </w:rPr>
              <w:t>2,5</w:t>
            </w:r>
          </w:p>
        </w:tc>
        <w:tc>
          <w:tcPr>
            <w:tcW w:w="3502" w:type="dxa"/>
          </w:tcPr>
          <w:p>
            <w:pPr>
              <w:pStyle w:val="GesAbsatz"/>
              <w:tabs>
                <w:tab w:val="clear" w:pos="425"/>
              </w:tabs>
            </w:pPr>
            <w:r>
              <w:t>Kalium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pPr>
            <w:r>
              <w:t>1668</w:t>
            </w:r>
          </w:p>
        </w:tc>
        <w:tc>
          <w:tcPr>
            <w:tcW w:w="2735" w:type="dxa"/>
          </w:tcPr>
          <w:p>
            <w:pPr>
              <w:pStyle w:val="GesAbsatz"/>
              <w:tabs>
                <w:tab w:val="clear" w:pos="425"/>
              </w:tabs>
            </w:pPr>
            <w:r>
              <w:t>Na</w:t>
            </w:r>
            <w:r>
              <w:rPr>
                <w:vertAlign w:val="superscript"/>
              </w:rPr>
              <w:t>+</w:t>
            </w:r>
            <w:r>
              <w:t xml:space="preserve"> in PM</w:t>
            </w:r>
            <w:r>
              <w:rPr>
                <w:vertAlign w:val="subscript"/>
              </w:rPr>
              <w:t>2,5</w:t>
            </w:r>
          </w:p>
        </w:tc>
        <w:tc>
          <w:tcPr>
            <w:tcW w:w="3502" w:type="dxa"/>
          </w:tcPr>
          <w:p>
            <w:pPr>
              <w:pStyle w:val="GesAbsatz"/>
              <w:tabs>
                <w:tab w:val="clear" w:pos="425"/>
              </w:tabs>
            </w:pPr>
            <w:r>
              <w:t>Natrium in PM</w:t>
            </w:r>
            <w:r>
              <w:rPr>
                <w:vertAlign w:val="subscript"/>
              </w:rPr>
              <w:t>2,5</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1631</w:t>
            </w:r>
          </w:p>
        </w:tc>
        <w:tc>
          <w:tcPr>
            <w:tcW w:w="2735" w:type="dxa"/>
          </w:tcPr>
          <w:p>
            <w:pPr>
              <w:pStyle w:val="GesAbsatz"/>
              <w:tabs>
                <w:tab w:val="clear" w:pos="425"/>
              </w:tabs>
              <w:rPr>
                <w:lang w:val="en-US"/>
              </w:rPr>
            </w:pPr>
            <w:r>
              <w:rPr>
                <w:lang w:val="en-US"/>
              </w:rPr>
              <w:t>Cl</w:t>
            </w:r>
            <w:r>
              <w:rPr>
                <w:vertAlign w:val="superscript"/>
                <w:lang w:val="en-US"/>
              </w:rPr>
              <w:t>-</w:t>
            </w:r>
            <w:r>
              <w:rPr>
                <w:lang w:val="en-US"/>
              </w:rPr>
              <w:t xml:space="preserve"> in PM</w:t>
            </w:r>
            <w:r>
              <w:rPr>
                <w:vertAlign w:val="subscript"/>
                <w:lang w:val="en-US"/>
              </w:rPr>
              <w:t>2,5</w:t>
            </w:r>
          </w:p>
        </w:tc>
        <w:tc>
          <w:tcPr>
            <w:tcW w:w="3502" w:type="dxa"/>
          </w:tcPr>
          <w:p>
            <w:pPr>
              <w:pStyle w:val="GesAbsatz"/>
              <w:tabs>
                <w:tab w:val="clear" w:pos="425"/>
              </w:tabs>
              <w:rPr>
                <w:lang w:val="en-US"/>
              </w:rPr>
            </w:pPr>
            <w:r>
              <w:rPr>
                <w:lang w:val="en-US"/>
              </w:rPr>
              <w:t>Chlorid in PM</w:t>
            </w:r>
            <w:r>
              <w:rPr>
                <w:vertAlign w:val="subscript"/>
                <w:lang w:val="en-US"/>
              </w:rPr>
              <w:t>2,5</w:t>
            </w:r>
          </w:p>
        </w:tc>
        <w:tc>
          <w:tcPr>
            <w:tcW w:w="1636" w:type="dxa"/>
          </w:tcPr>
          <w:p>
            <w:pPr>
              <w:pStyle w:val="GesAbsatz"/>
              <w:tabs>
                <w:tab w:val="clear" w:pos="425"/>
              </w:tabs>
              <w:rPr>
                <w:lang w:val="en-US"/>
              </w:rPr>
            </w:pPr>
            <w:r>
              <w:t>μ</w:t>
            </w:r>
            <w:r>
              <w:rPr>
                <w:lang w:val="en-US"/>
              </w:rPr>
              <w:t>g/m</w:t>
            </w:r>
            <w:r>
              <w:t>³</w:t>
            </w:r>
          </w:p>
        </w:tc>
      </w:tr>
      <w:tr>
        <w:tc>
          <w:tcPr>
            <w:tcW w:w="9682" w:type="dxa"/>
            <w:gridSpan w:val="4"/>
          </w:tcPr>
          <w:p>
            <w:pPr>
              <w:pStyle w:val="GesAbsatz"/>
              <w:tabs>
                <w:tab w:val="clear" w:pos="425"/>
              </w:tabs>
              <w:jc w:val="center"/>
              <w:rPr>
                <w:b/>
              </w:rPr>
            </w:pPr>
            <w:r>
              <w:rPr>
                <w:b/>
              </w:rPr>
              <w:t>Schwermetalle</w:t>
            </w:r>
          </w:p>
        </w:tc>
      </w:tr>
      <w:tr>
        <w:tc>
          <w:tcPr>
            <w:tcW w:w="1809" w:type="dxa"/>
          </w:tcPr>
          <w:p>
            <w:pPr>
              <w:pStyle w:val="GesAbsatz"/>
              <w:tabs>
                <w:tab w:val="clear" w:pos="425"/>
              </w:tabs>
            </w:pPr>
            <w:r>
              <w:t>5012</w:t>
            </w:r>
          </w:p>
        </w:tc>
        <w:tc>
          <w:tcPr>
            <w:tcW w:w="2735" w:type="dxa"/>
          </w:tcPr>
          <w:p>
            <w:pPr>
              <w:pStyle w:val="GesAbsatz"/>
              <w:tabs>
                <w:tab w:val="clear" w:pos="425"/>
              </w:tabs>
            </w:pPr>
            <w:r>
              <w:t xml:space="preserve">Pb </w:t>
            </w:r>
            <w:r>
              <w:t>in PM</w:t>
            </w:r>
            <w:r>
              <w:rPr>
                <w:vertAlign w:val="subscript"/>
              </w:rPr>
              <w:t>10</w:t>
            </w:r>
          </w:p>
        </w:tc>
        <w:tc>
          <w:tcPr>
            <w:tcW w:w="3502" w:type="dxa"/>
          </w:tcPr>
          <w:p>
            <w:pPr>
              <w:pStyle w:val="GesAbsatz"/>
              <w:tabs>
                <w:tab w:val="clear" w:pos="425"/>
              </w:tabs>
            </w:pPr>
            <w:r>
              <w:t>Blei in PM</w:t>
            </w:r>
            <w:r>
              <w:rPr>
                <w:vertAlign w:val="subscript"/>
              </w:rPr>
              <w:t>10</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5014</w:t>
            </w:r>
          </w:p>
        </w:tc>
        <w:tc>
          <w:tcPr>
            <w:tcW w:w="2735" w:type="dxa"/>
          </w:tcPr>
          <w:p>
            <w:pPr>
              <w:pStyle w:val="GesAbsatz"/>
              <w:tabs>
                <w:tab w:val="clear" w:pos="425"/>
              </w:tabs>
              <w:rPr>
                <w:lang w:val="en-US"/>
              </w:rPr>
            </w:pPr>
            <w:r>
              <w:rPr>
                <w:lang w:val="en-US"/>
              </w:rPr>
              <w:t xml:space="preserve">Cd </w:t>
            </w:r>
            <w:r>
              <w:t>in PM</w:t>
            </w:r>
            <w:r>
              <w:rPr>
                <w:vertAlign w:val="subscript"/>
              </w:rPr>
              <w:t>10</w:t>
            </w:r>
          </w:p>
        </w:tc>
        <w:tc>
          <w:tcPr>
            <w:tcW w:w="3502" w:type="dxa"/>
          </w:tcPr>
          <w:p>
            <w:pPr>
              <w:pStyle w:val="GesAbsatz"/>
              <w:tabs>
                <w:tab w:val="clear" w:pos="425"/>
              </w:tabs>
              <w:rPr>
                <w:lang w:val="en-US"/>
              </w:rPr>
            </w:pPr>
            <w:r>
              <w:rPr>
                <w:lang w:val="en-US"/>
              </w:rPr>
              <w:t>Cadmium in PM</w:t>
            </w:r>
            <w:r>
              <w:rPr>
                <w:vertAlign w:val="subscript"/>
                <w:lang w:val="en-US"/>
              </w:rPr>
              <w:t>10</w:t>
            </w:r>
          </w:p>
        </w:tc>
        <w:tc>
          <w:tcPr>
            <w:tcW w:w="1636" w:type="dxa"/>
          </w:tcPr>
          <w:p>
            <w:pPr>
              <w:pStyle w:val="GesAbsatz"/>
              <w:tabs>
                <w:tab w:val="clear" w:pos="425"/>
              </w:tabs>
              <w:rPr>
                <w:lang w:val="en-US"/>
              </w:rPr>
            </w:pPr>
            <w:r>
              <w:t>μg/m³</w:t>
            </w:r>
          </w:p>
        </w:tc>
      </w:tr>
      <w:tr>
        <w:tc>
          <w:tcPr>
            <w:tcW w:w="1809" w:type="dxa"/>
          </w:tcPr>
          <w:p>
            <w:pPr>
              <w:pStyle w:val="GesAbsatz"/>
              <w:tabs>
                <w:tab w:val="clear" w:pos="425"/>
              </w:tabs>
              <w:rPr>
                <w:lang w:val="en-US"/>
              </w:rPr>
            </w:pPr>
            <w:r>
              <w:rPr>
                <w:lang w:val="en-US"/>
              </w:rPr>
              <w:t>5018</w:t>
            </w:r>
          </w:p>
        </w:tc>
        <w:tc>
          <w:tcPr>
            <w:tcW w:w="2735" w:type="dxa"/>
          </w:tcPr>
          <w:p>
            <w:pPr>
              <w:pStyle w:val="GesAbsatz"/>
              <w:tabs>
                <w:tab w:val="clear" w:pos="425"/>
              </w:tabs>
              <w:rPr>
                <w:lang w:val="en-US"/>
              </w:rPr>
            </w:pPr>
            <w:r>
              <w:rPr>
                <w:lang w:val="en-US"/>
              </w:rPr>
              <w:t xml:space="preserve">As </w:t>
            </w:r>
            <w:r>
              <w:t>in PM</w:t>
            </w:r>
            <w:r>
              <w:rPr>
                <w:vertAlign w:val="subscript"/>
              </w:rPr>
              <w:t>10</w:t>
            </w:r>
          </w:p>
        </w:tc>
        <w:tc>
          <w:tcPr>
            <w:tcW w:w="3502" w:type="dxa"/>
          </w:tcPr>
          <w:p>
            <w:pPr>
              <w:pStyle w:val="GesAbsatz"/>
              <w:tabs>
                <w:tab w:val="clear" w:pos="425"/>
              </w:tabs>
              <w:rPr>
                <w:lang w:val="en-US"/>
              </w:rPr>
            </w:pPr>
            <w:r>
              <w:rPr>
                <w:lang w:val="en-US"/>
              </w:rPr>
              <w:t>Arsen in PM</w:t>
            </w:r>
            <w:r>
              <w:rPr>
                <w:vertAlign w:val="subscript"/>
                <w:lang w:val="en-US"/>
              </w:rPr>
              <w:t>10</w:t>
            </w:r>
          </w:p>
        </w:tc>
        <w:tc>
          <w:tcPr>
            <w:tcW w:w="1636" w:type="dxa"/>
          </w:tcPr>
          <w:p>
            <w:pPr>
              <w:pStyle w:val="GesAbsatz"/>
              <w:tabs>
                <w:tab w:val="clear" w:pos="425"/>
              </w:tabs>
              <w:rPr>
                <w:lang w:val="en-US"/>
              </w:rPr>
            </w:pPr>
            <w:r>
              <w:t>μg/m³</w:t>
            </w:r>
          </w:p>
        </w:tc>
      </w:tr>
      <w:tr>
        <w:tc>
          <w:tcPr>
            <w:tcW w:w="1809" w:type="dxa"/>
          </w:tcPr>
          <w:p>
            <w:pPr>
              <w:pStyle w:val="GesAbsatz"/>
              <w:tabs>
                <w:tab w:val="clear" w:pos="425"/>
              </w:tabs>
            </w:pPr>
            <w:r>
              <w:t>5015</w:t>
            </w:r>
          </w:p>
        </w:tc>
        <w:tc>
          <w:tcPr>
            <w:tcW w:w="2735" w:type="dxa"/>
          </w:tcPr>
          <w:p>
            <w:pPr>
              <w:pStyle w:val="GesAbsatz"/>
              <w:tabs>
                <w:tab w:val="clear" w:pos="425"/>
              </w:tabs>
            </w:pPr>
            <w:r>
              <w:t xml:space="preserve">Ni </w:t>
            </w:r>
            <w:r>
              <w:t>in PM</w:t>
            </w:r>
            <w:r>
              <w:rPr>
                <w:vertAlign w:val="subscript"/>
              </w:rPr>
              <w:t>10</w:t>
            </w:r>
          </w:p>
        </w:tc>
        <w:tc>
          <w:tcPr>
            <w:tcW w:w="3502" w:type="dxa"/>
          </w:tcPr>
          <w:p>
            <w:pPr>
              <w:pStyle w:val="GesAbsatz"/>
              <w:tabs>
                <w:tab w:val="clear" w:pos="425"/>
              </w:tabs>
            </w:pPr>
            <w:r>
              <w:t>Nickel in PM</w:t>
            </w:r>
            <w:r>
              <w:rPr>
                <w:vertAlign w:val="subscript"/>
              </w:rPr>
              <w:t>10</w:t>
            </w:r>
          </w:p>
        </w:tc>
        <w:tc>
          <w:tcPr>
            <w:tcW w:w="1636" w:type="dxa"/>
          </w:tcPr>
          <w:p>
            <w:pPr>
              <w:pStyle w:val="GesAbsatz"/>
              <w:tabs>
                <w:tab w:val="clear" w:pos="425"/>
              </w:tabs>
            </w:pPr>
            <w:r>
              <w:t>μg/m³</w:t>
            </w:r>
          </w:p>
        </w:tc>
      </w:tr>
      <w:tr>
        <w:tc>
          <w:tcPr>
            <w:tcW w:w="9682" w:type="dxa"/>
            <w:gridSpan w:val="4"/>
          </w:tcPr>
          <w:p>
            <w:pPr>
              <w:pStyle w:val="GesAbsatz"/>
              <w:tabs>
                <w:tab w:val="clear" w:pos="425"/>
              </w:tabs>
              <w:jc w:val="center"/>
              <w:rPr>
                <w:b/>
              </w:rPr>
            </w:pPr>
            <w:r>
              <w:rPr>
                <w:b/>
              </w:rPr>
              <w:lastRenderedPageBreak/>
              <w:t>Ablagerung von Schwermetallen</w:t>
            </w:r>
          </w:p>
        </w:tc>
      </w:tr>
      <w:tr>
        <w:tc>
          <w:tcPr>
            <w:tcW w:w="1809" w:type="dxa"/>
          </w:tcPr>
          <w:p>
            <w:pPr>
              <w:pStyle w:val="GesAbsatz"/>
              <w:tabs>
                <w:tab w:val="clear" w:pos="425"/>
              </w:tabs>
            </w:pPr>
            <w:r>
              <w:t>7012</w:t>
            </w:r>
          </w:p>
        </w:tc>
        <w:tc>
          <w:tcPr>
            <w:tcW w:w="2735" w:type="dxa"/>
          </w:tcPr>
          <w:p>
            <w:pPr>
              <w:pStyle w:val="GesAbsatz"/>
              <w:tabs>
                <w:tab w:val="clear" w:pos="425"/>
              </w:tabs>
            </w:pPr>
            <w:r>
              <w:t>Ablagerung von Pb</w:t>
            </w:r>
          </w:p>
        </w:tc>
        <w:tc>
          <w:tcPr>
            <w:tcW w:w="3502" w:type="dxa"/>
          </w:tcPr>
          <w:p>
            <w:pPr>
              <w:pStyle w:val="GesAbsatz"/>
              <w:tabs>
                <w:tab w:val="clear" w:pos="425"/>
              </w:tabs>
            </w:pPr>
            <w:r>
              <w:t>Nass-/Gesamtablagerung von Pb</w:t>
            </w:r>
          </w:p>
        </w:tc>
        <w:tc>
          <w:tcPr>
            <w:tcW w:w="1636" w:type="dxa"/>
          </w:tcPr>
          <w:p>
            <w:pPr>
              <w:pStyle w:val="GesAbsatz"/>
              <w:tabs>
                <w:tab w:val="clear" w:pos="425"/>
              </w:tabs>
            </w:pPr>
            <w:r>
              <w:t>μg/m²/Tag</w:t>
            </w:r>
          </w:p>
        </w:tc>
      </w:tr>
      <w:tr>
        <w:tc>
          <w:tcPr>
            <w:tcW w:w="1809" w:type="dxa"/>
          </w:tcPr>
          <w:p>
            <w:pPr>
              <w:pStyle w:val="GesAbsatz"/>
              <w:tabs>
                <w:tab w:val="clear" w:pos="425"/>
              </w:tabs>
            </w:pPr>
            <w:r>
              <w:t>7014</w:t>
            </w:r>
          </w:p>
        </w:tc>
        <w:tc>
          <w:tcPr>
            <w:tcW w:w="2735" w:type="dxa"/>
          </w:tcPr>
          <w:p>
            <w:pPr>
              <w:pStyle w:val="GesAbsatz"/>
              <w:tabs>
                <w:tab w:val="clear" w:pos="425"/>
              </w:tabs>
            </w:pPr>
            <w:r>
              <w:t>Ablagerung von Cd</w:t>
            </w:r>
          </w:p>
        </w:tc>
        <w:tc>
          <w:tcPr>
            <w:tcW w:w="3502" w:type="dxa"/>
          </w:tcPr>
          <w:p>
            <w:pPr>
              <w:pStyle w:val="GesAbsatz"/>
              <w:tabs>
                <w:tab w:val="clear" w:pos="425"/>
              </w:tabs>
            </w:pPr>
            <w:r>
              <w:t>Nass-/Gesamtablagerung von Cd</w:t>
            </w:r>
          </w:p>
        </w:tc>
        <w:tc>
          <w:tcPr>
            <w:tcW w:w="1636" w:type="dxa"/>
          </w:tcPr>
          <w:p>
            <w:pPr>
              <w:pStyle w:val="GesAbsatz"/>
              <w:tabs>
                <w:tab w:val="clear" w:pos="425"/>
              </w:tabs>
            </w:pPr>
            <w:r>
              <w:t>μg/m²/Tag</w:t>
            </w:r>
          </w:p>
        </w:tc>
      </w:tr>
      <w:tr>
        <w:tc>
          <w:tcPr>
            <w:tcW w:w="1809" w:type="dxa"/>
          </w:tcPr>
          <w:p>
            <w:pPr>
              <w:pStyle w:val="GesAbsatz"/>
              <w:tabs>
                <w:tab w:val="clear" w:pos="425"/>
              </w:tabs>
            </w:pPr>
            <w:r>
              <w:t>7018</w:t>
            </w:r>
          </w:p>
        </w:tc>
        <w:tc>
          <w:tcPr>
            <w:tcW w:w="2735" w:type="dxa"/>
          </w:tcPr>
          <w:p>
            <w:pPr>
              <w:pStyle w:val="GesAbsatz"/>
              <w:tabs>
                <w:tab w:val="clear" w:pos="425"/>
              </w:tabs>
            </w:pPr>
            <w:r>
              <w:t>Ablagerung von As</w:t>
            </w:r>
          </w:p>
        </w:tc>
        <w:tc>
          <w:tcPr>
            <w:tcW w:w="3502" w:type="dxa"/>
          </w:tcPr>
          <w:p>
            <w:pPr>
              <w:pStyle w:val="GesAbsatz"/>
              <w:tabs>
                <w:tab w:val="clear" w:pos="425"/>
              </w:tabs>
            </w:pPr>
            <w:r>
              <w:t>Nass-/Gesamtablagerung von As</w:t>
            </w:r>
          </w:p>
        </w:tc>
        <w:tc>
          <w:tcPr>
            <w:tcW w:w="1636" w:type="dxa"/>
          </w:tcPr>
          <w:p>
            <w:pPr>
              <w:pStyle w:val="GesAbsatz"/>
              <w:tabs>
                <w:tab w:val="clear" w:pos="425"/>
              </w:tabs>
            </w:pPr>
            <w:r>
              <w:t>μg/m²/Tag</w:t>
            </w:r>
          </w:p>
        </w:tc>
      </w:tr>
      <w:tr>
        <w:tc>
          <w:tcPr>
            <w:tcW w:w="1809" w:type="dxa"/>
          </w:tcPr>
          <w:p>
            <w:pPr>
              <w:pStyle w:val="GesAbsatz"/>
              <w:tabs>
                <w:tab w:val="clear" w:pos="425"/>
              </w:tabs>
            </w:pPr>
            <w:r>
              <w:t>7015</w:t>
            </w:r>
          </w:p>
        </w:tc>
        <w:tc>
          <w:tcPr>
            <w:tcW w:w="2735" w:type="dxa"/>
          </w:tcPr>
          <w:p>
            <w:pPr>
              <w:pStyle w:val="GesAbsatz"/>
              <w:tabs>
                <w:tab w:val="clear" w:pos="425"/>
              </w:tabs>
            </w:pPr>
            <w:r>
              <w:t>Ablagerung von Ni</w:t>
            </w:r>
          </w:p>
        </w:tc>
        <w:tc>
          <w:tcPr>
            <w:tcW w:w="3502" w:type="dxa"/>
          </w:tcPr>
          <w:p>
            <w:pPr>
              <w:pStyle w:val="GesAbsatz"/>
              <w:tabs>
                <w:tab w:val="clear" w:pos="425"/>
              </w:tabs>
            </w:pPr>
            <w:r>
              <w:t>Nass-/Gesamtablagerung von Ni</w:t>
            </w:r>
          </w:p>
        </w:tc>
        <w:tc>
          <w:tcPr>
            <w:tcW w:w="1636" w:type="dxa"/>
          </w:tcPr>
          <w:p>
            <w:pPr>
              <w:pStyle w:val="GesAbsatz"/>
              <w:tabs>
                <w:tab w:val="clear" w:pos="425"/>
              </w:tabs>
            </w:pPr>
            <w:r>
              <w:t>μg/m²/Tag</w:t>
            </w:r>
          </w:p>
        </w:tc>
      </w:tr>
      <w:tr>
        <w:tc>
          <w:tcPr>
            <w:tcW w:w="1809" w:type="dxa"/>
          </w:tcPr>
          <w:p>
            <w:pPr>
              <w:pStyle w:val="GesAbsatz"/>
              <w:tabs>
                <w:tab w:val="clear" w:pos="425"/>
              </w:tabs>
            </w:pPr>
            <w:r>
              <w:t>7013</w:t>
            </w:r>
          </w:p>
        </w:tc>
        <w:tc>
          <w:tcPr>
            <w:tcW w:w="2735" w:type="dxa"/>
          </w:tcPr>
          <w:p>
            <w:pPr>
              <w:pStyle w:val="GesAbsatz"/>
              <w:tabs>
                <w:tab w:val="clear" w:pos="425"/>
              </w:tabs>
            </w:pPr>
            <w:r>
              <w:t>Ablagerung von Hg</w:t>
            </w:r>
          </w:p>
        </w:tc>
        <w:tc>
          <w:tcPr>
            <w:tcW w:w="3502" w:type="dxa"/>
          </w:tcPr>
          <w:p>
            <w:pPr>
              <w:pStyle w:val="GesAbsatz"/>
              <w:tabs>
                <w:tab w:val="clear" w:pos="425"/>
              </w:tabs>
            </w:pPr>
            <w:r>
              <w:t>Nass-/Gesamtablagerung von Hg</w:t>
            </w:r>
          </w:p>
        </w:tc>
        <w:tc>
          <w:tcPr>
            <w:tcW w:w="1636" w:type="dxa"/>
          </w:tcPr>
          <w:p>
            <w:pPr>
              <w:pStyle w:val="GesAbsatz"/>
              <w:tabs>
                <w:tab w:val="clear" w:pos="425"/>
              </w:tabs>
            </w:pPr>
            <w:r>
              <w:t>μg/m²/Tag</w:t>
            </w:r>
          </w:p>
        </w:tc>
      </w:tr>
      <w:tr>
        <w:tc>
          <w:tcPr>
            <w:tcW w:w="9682" w:type="dxa"/>
            <w:gridSpan w:val="4"/>
          </w:tcPr>
          <w:p>
            <w:pPr>
              <w:pStyle w:val="GesAbsatz"/>
              <w:tabs>
                <w:tab w:val="clear" w:pos="425"/>
              </w:tabs>
              <w:jc w:val="center"/>
              <w:rPr>
                <w:b/>
              </w:rPr>
            </w:pPr>
            <w:r>
              <w:rPr>
                <w:b/>
              </w:rPr>
              <w:t>Quecksilber</w:t>
            </w:r>
          </w:p>
        </w:tc>
      </w:tr>
      <w:tr>
        <w:tc>
          <w:tcPr>
            <w:tcW w:w="1809" w:type="dxa"/>
          </w:tcPr>
          <w:p>
            <w:pPr>
              <w:pStyle w:val="GesAbsatz"/>
              <w:tabs>
                <w:tab w:val="clear" w:pos="425"/>
              </w:tabs>
            </w:pPr>
            <w:r>
              <w:t>4013</w:t>
            </w:r>
          </w:p>
        </w:tc>
        <w:tc>
          <w:tcPr>
            <w:tcW w:w="2735" w:type="dxa"/>
          </w:tcPr>
          <w:p>
            <w:pPr>
              <w:pStyle w:val="GesAbsatz"/>
              <w:tabs>
                <w:tab w:val="clear" w:pos="425"/>
              </w:tabs>
            </w:pPr>
            <w:r>
              <w:t>Metallisches gasförmiges Hg</w:t>
            </w:r>
          </w:p>
        </w:tc>
        <w:tc>
          <w:tcPr>
            <w:tcW w:w="3502" w:type="dxa"/>
          </w:tcPr>
          <w:p>
            <w:pPr>
              <w:pStyle w:val="GesAbsatz"/>
              <w:tabs>
                <w:tab w:val="clear" w:pos="425"/>
              </w:tabs>
            </w:pPr>
            <w:r>
              <w:t>Elementares gasförmiges Quecksilber</w:t>
            </w:r>
          </w:p>
        </w:tc>
        <w:tc>
          <w:tcPr>
            <w:tcW w:w="1636" w:type="dxa"/>
          </w:tcPr>
          <w:p>
            <w:pPr>
              <w:pStyle w:val="GesAbsatz"/>
              <w:tabs>
                <w:tab w:val="clear" w:pos="425"/>
              </w:tabs>
            </w:pPr>
            <w:r>
              <w:t>ng/m³</w:t>
            </w:r>
          </w:p>
        </w:tc>
      </w:tr>
      <w:tr>
        <w:tc>
          <w:tcPr>
            <w:tcW w:w="1809" w:type="dxa"/>
          </w:tcPr>
          <w:p>
            <w:pPr>
              <w:pStyle w:val="GesAbsatz"/>
              <w:tabs>
                <w:tab w:val="clear" w:pos="425"/>
              </w:tabs>
            </w:pPr>
            <w:r>
              <w:t>4813</w:t>
            </w:r>
          </w:p>
        </w:tc>
        <w:tc>
          <w:tcPr>
            <w:tcW w:w="2735" w:type="dxa"/>
          </w:tcPr>
          <w:p>
            <w:pPr>
              <w:pStyle w:val="GesAbsatz"/>
              <w:tabs>
                <w:tab w:val="clear" w:pos="425"/>
              </w:tabs>
            </w:pPr>
            <w:r>
              <w:t>Gasförmiges Hg insgesamt</w:t>
            </w:r>
          </w:p>
        </w:tc>
        <w:tc>
          <w:tcPr>
            <w:tcW w:w="3502" w:type="dxa"/>
          </w:tcPr>
          <w:p>
            <w:pPr>
              <w:pStyle w:val="GesAbsatz"/>
              <w:tabs>
                <w:tab w:val="clear" w:pos="425"/>
              </w:tabs>
            </w:pPr>
            <w:r>
              <w:t>Gasförmiges Quecksilber insgesamt</w:t>
            </w:r>
          </w:p>
        </w:tc>
        <w:tc>
          <w:tcPr>
            <w:tcW w:w="1636" w:type="dxa"/>
          </w:tcPr>
          <w:p>
            <w:pPr>
              <w:pStyle w:val="GesAbsatz"/>
              <w:tabs>
                <w:tab w:val="clear" w:pos="425"/>
              </w:tabs>
            </w:pPr>
            <w:r>
              <w:t>ng/m³</w:t>
            </w:r>
          </w:p>
        </w:tc>
      </w:tr>
      <w:tr>
        <w:tc>
          <w:tcPr>
            <w:tcW w:w="1809" w:type="dxa"/>
          </w:tcPr>
          <w:p>
            <w:pPr>
              <w:pStyle w:val="GesAbsatz"/>
              <w:tabs>
                <w:tab w:val="clear" w:pos="425"/>
              </w:tabs>
            </w:pPr>
            <w:r>
              <w:t>653</w:t>
            </w:r>
          </w:p>
        </w:tc>
        <w:tc>
          <w:tcPr>
            <w:tcW w:w="2735" w:type="dxa"/>
          </w:tcPr>
          <w:p>
            <w:pPr>
              <w:pStyle w:val="GesAbsatz"/>
              <w:tabs>
                <w:tab w:val="clear" w:pos="425"/>
              </w:tabs>
            </w:pPr>
            <w:r>
              <w:t>Reaktives gasförmiges Hg</w:t>
            </w:r>
          </w:p>
        </w:tc>
        <w:tc>
          <w:tcPr>
            <w:tcW w:w="3502" w:type="dxa"/>
          </w:tcPr>
          <w:p>
            <w:pPr>
              <w:pStyle w:val="GesAbsatz"/>
              <w:tabs>
                <w:tab w:val="clear" w:pos="425"/>
              </w:tabs>
            </w:pPr>
            <w:r>
              <w:t>Reaktives gasförmiges Quecksilber</w:t>
            </w:r>
          </w:p>
        </w:tc>
        <w:tc>
          <w:tcPr>
            <w:tcW w:w="1636" w:type="dxa"/>
          </w:tcPr>
          <w:p>
            <w:pPr>
              <w:pStyle w:val="GesAbsatz"/>
              <w:tabs>
                <w:tab w:val="clear" w:pos="425"/>
              </w:tabs>
            </w:pPr>
            <w:r>
              <w:t>ng/m³</w:t>
            </w:r>
          </w:p>
        </w:tc>
      </w:tr>
      <w:tr>
        <w:tc>
          <w:tcPr>
            <w:tcW w:w="1809" w:type="dxa"/>
          </w:tcPr>
          <w:p>
            <w:pPr>
              <w:pStyle w:val="GesAbsatz"/>
              <w:tabs>
                <w:tab w:val="clear" w:pos="425"/>
              </w:tabs>
            </w:pPr>
            <w:r>
              <w:t>5013</w:t>
            </w:r>
          </w:p>
        </w:tc>
        <w:tc>
          <w:tcPr>
            <w:tcW w:w="2735" w:type="dxa"/>
          </w:tcPr>
          <w:p>
            <w:pPr>
              <w:pStyle w:val="GesAbsatz"/>
              <w:tabs>
                <w:tab w:val="clear" w:pos="425"/>
              </w:tabs>
            </w:pPr>
            <w:r>
              <w:t xml:space="preserve">Hg </w:t>
            </w:r>
            <w:r>
              <w:t>in PM</w:t>
            </w:r>
            <w:r>
              <w:rPr>
                <w:vertAlign w:val="subscript"/>
              </w:rPr>
              <w:t>10</w:t>
            </w:r>
          </w:p>
        </w:tc>
        <w:tc>
          <w:tcPr>
            <w:tcW w:w="3502" w:type="dxa"/>
          </w:tcPr>
          <w:p>
            <w:pPr>
              <w:pStyle w:val="GesAbsatz"/>
              <w:tabs>
                <w:tab w:val="clear" w:pos="425"/>
              </w:tabs>
            </w:pPr>
            <w:r>
              <w:t xml:space="preserve">Quecksilber </w:t>
            </w:r>
            <w:r>
              <w:t>in PM</w:t>
            </w:r>
            <w:r>
              <w:rPr>
                <w:vertAlign w:val="subscript"/>
              </w:rPr>
              <w:t>10</w:t>
            </w:r>
          </w:p>
        </w:tc>
        <w:tc>
          <w:tcPr>
            <w:tcW w:w="1636" w:type="dxa"/>
          </w:tcPr>
          <w:p>
            <w:pPr>
              <w:pStyle w:val="GesAbsatz"/>
              <w:tabs>
                <w:tab w:val="clear" w:pos="425"/>
              </w:tabs>
            </w:pPr>
            <w:r>
              <w:t>μg/m³</w:t>
            </w:r>
          </w:p>
        </w:tc>
      </w:tr>
      <w:tr>
        <w:tc>
          <w:tcPr>
            <w:tcW w:w="9682" w:type="dxa"/>
            <w:gridSpan w:val="4"/>
          </w:tcPr>
          <w:p>
            <w:pPr>
              <w:pStyle w:val="GesAbsatz"/>
              <w:tabs>
                <w:tab w:val="clear" w:pos="425"/>
              </w:tabs>
              <w:jc w:val="center"/>
              <w:rPr>
                <w:b/>
              </w:rPr>
            </w:pPr>
            <w:r>
              <w:rPr>
                <w:b/>
              </w:rPr>
              <w:t>Polyzyklische aromatische Kohlenwasserstoffe</w:t>
            </w:r>
          </w:p>
        </w:tc>
      </w:tr>
      <w:tr>
        <w:tc>
          <w:tcPr>
            <w:tcW w:w="1809" w:type="dxa"/>
          </w:tcPr>
          <w:p>
            <w:pPr>
              <w:pStyle w:val="GesAbsatz"/>
              <w:tabs>
                <w:tab w:val="clear" w:pos="425"/>
              </w:tabs>
              <w:rPr>
                <w:lang w:val="en-US"/>
              </w:rPr>
            </w:pPr>
            <w:r>
              <w:rPr>
                <w:lang w:val="en-US"/>
              </w:rPr>
              <w:t>5029</w:t>
            </w:r>
          </w:p>
        </w:tc>
        <w:tc>
          <w:tcPr>
            <w:tcW w:w="2735" w:type="dxa"/>
          </w:tcPr>
          <w:p>
            <w:pPr>
              <w:pStyle w:val="GesAbsatz"/>
              <w:tabs>
                <w:tab w:val="clear" w:pos="425"/>
              </w:tabs>
              <w:rPr>
                <w:lang w:val="en-US"/>
              </w:rPr>
            </w:pPr>
            <w:r>
              <w:rPr>
                <w:lang w:val="en-US"/>
              </w:rPr>
              <w:t>B(a)P</w:t>
            </w:r>
          </w:p>
        </w:tc>
        <w:tc>
          <w:tcPr>
            <w:tcW w:w="3502" w:type="dxa"/>
          </w:tcPr>
          <w:p>
            <w:pPr>
              <w:pStyle w:val="GesAbsatz"/>
              <w:tabs>
                <w:tab w:val="clear" w:pos="425"/>
              </w:tabs>
              <w:rPr>
                <w:lang w:val="en-US"/>
              </w:rPr>
            </w:pPr>
            <w:r>
              <w:rPr>
                <w:lang w:val="en-US"/>
              </w:rPr>
              <w:t>Benzo(a)pyren in PM</w:t>
            </w:r>
            <w:r>
              <w:rPr>
                <w:vertAlign w:val="subscript"/>
                <w:lang w:val="en-US"/>
              </w:rPr>
              <w:t>10</w:t>
            </w:r>
          </w:p>
        </w:tc>
        <w:tc>
          <w:tcPr>
            <w:tcW w:w="1636" w:type="dxa"/>
          </w:tcPr>
          <w:p>
            <w:pPr>
              <w:pStyle w:val="GesAbsatz"/>
              <w:tabs>
                <w:tab w:val="clear" w:pos="425"/>
              </w:tabs>
              <w:rPr>
                <w:lang w:val="en-US"/>
              </w:rPr>
            </w:pPr>
            <w:r>
              <w:rPr>
                <w:lang w:val="en-US"/>
              </w:rPr>
              <w:t>ng/m</w:t>
            </w:r>
            <w:r>
              <w:t>³</w:t>
            </w:r>
          </w:p>
        </w:tc>
      </w:tr>
      <w:tr>
        <w:tc>
          <w:tcPr>
            <w:tcW w:w="1809" w:type="dxa"/>
          </w:tcPr>
          <w:p>
            <w:pPr>
              <w:pStyle w:val="GesAbsatz"/>
              <w:tabs>
                <w:tab w:val="clear" w:pos="425"/>
              </w:tabs>
              <w:rPr>
                <w:lang w:val="en-US"/>
              </w:rPr>
            </w:pPr>
            <w:r>
              <w:rPr>
                <w:lang w:val="en-US"/>
              </w:rPr>
              <w:t>5610</w:t>
            </w:r>
          </w:p>
        </w:tc>
        <w:tc>
          <w:tcPr>
            <w:tcW w:w="2735" w:type="dxa"/>
          </w:tcPr>
          <w:p>
            <w:pPr>
              <w:pStyle w:val="GesAbsatz"/>
              <w:tabs>
                <w:tab w:val="clear" w:pos="425"/>
              </w:tabs>
              <w:rPr>
                <w:lang w:val="en-US"/>
              </w:rPr>
            </w:pPr>
            <w:r>
              <w:rPr>
                <w:lang w:val="en-US"/>
              </w:rPr>
              <w:t>Benzo(a)</w:t>
            </w:r>
            <w:proofErr w:type="spellStart"/>
            <w:r>
              <w:rPr>
                <w:lang w:val="en-US"/>
              </w:rPr>
              <w:t>anthracen</w:t>
            </w:r>
            <w:proofErr w:type="spellEnd"/>
          </w:p>
        </w:tc>
        <w:tc>
          <w:tcPr>
            <w:tcW w:w="3502" w:type="dxa"/>
          </w:tcPr>
          <w:p>
            <w:pPr>
              <w:pStyle w:val="GesAbsatz"/>
              <w:tabs>
                <w:tab w:val="clear" w:pos="425"/>
              </w:tabs>
              <w:rPr>
                <w:lang w:val="en-US"/>
              </w:rPr>
            </w:pPr>
            <w:r>
              <w:rPr>
                <w:lang w:val="en-US"/>
              </w:rPr>
              <w:t>Benzo(a)</w:t>
            </w:r>
            <w:proofErr w:type="spellStart"/>
            <w:r>
              <w:rPr>
                <w:lang w:val="en-US"/>
              </w:rPr>
              <w:t>anthracen</w:t>
            </w:r>
            <w:proofErr w:type="spellEnd"/>
            <w:r>
              <w:rPr>
                <w:lang w:val="en-US"/>
              </w:rPr>
              <w:t xml:space="preserve"> in PM</w:t>
            </w:r>
            <w:r>
              <w:rPr>
                <w:vertAlign w:val="subscript"/>
                <w:lang w:val="en-US"/>
              </w:rPr>
              <w:t>10</w:t>
            </w:r>
          </w:p>
        </w:tc>
        <w:tc>
          <w:tcPr>
            <w:tcW w:w="1636" w:type="dxa"/>
          </w:tcPr>
          <w:p>
            <w:pPr>
              <w:pStyle w:val="GesAbsatz"/>
              <w:tabs>
                <w:tab w:val="clear" w:pos="425"/>
              </w:tabs>
              <w:rPr>
                <w:lang w:val="en-US"/>
              </w:rPr>
            </w:pPr>
            <w:r>
              <w:rPr>
                <w:lang w:val="en-US"/>
              </w:rPr>
              <w:t>ng/m</w:t>
            </w:r>
            <w:r>
              <w:t>³</w:t>
            </w:r>
          </w:p>
        </w:tc>
      </w:tr>
      <w:tr>
        <w:tc>
          <w:tcPr>
            <w:tcW w:w="1809" w:type="dxa"/>
          </w:tcPr>
          <w:p>
            <w:pPr>
              <w:pStyle w:val="GesAbsatz"/>
              <w:tabs>
                <w:tab w:val="clear" w:pos="425"/>
              </w:tabs>
            </w:pPr>
            <w:r>
              <w:t>5617</w:t>
            </w:r>
          </w:p>
        </w:tc>
        <w:tc>
          <w:tcPr>
            <w:tcW w:w="2735" w:type="dxa"/>
          </w:tcPr>
          <w:p>
            <w:pPr>
              <w:pStyle w:val="GesAbsatz"/>
              <w:tabs>
                <w:tab w:val="clear" w:pos="425"/>
              </w:tabs>
            </w:pPr>
            <w:r>
              <w:t>Benzo(b)</w:t>
            </w:r>
            <w:proofErr w:type="spellStart"/>
            <w:r>
              <w:t>fluoranthen</w:t>
            </w:r>
            <w:proofErr w:type="spellEnd"/>
          </w:p>
        </w:tc>
        <w:tc>
          <w:tcPr>
            <w:tcW w:w="3502" w:type="dxa"/>
          </w:tcPr>
          <w:p>
            <w:pPr>
              <w:pStyle w:val="GesAbsatz"/>
              <w:tabs>
                <w:tab w:val="clear" w:pos="425"/>
              </w:tabs>
            </w:pPr>
            <w:r>
              <w:t>Benzo(b)</w:t>
            </w:r>
            <w:proofErr w:type="spellStart"/>
            <w:r>
              <w:t>fluoranthen</w:t>
            </w:r>
            <w:proofErr w:type="spellEnd"/>
            <w:r>
              <w:t xml:space="preserve"> in PM</w:t>
            </w:r>
            <w:r>
              <w:rPr>
                <w:vertAlign w:val="subscript"/>
              </w:rPr>
              <w:t>10</w:t>
            </w:r>
          </w:p>
        </w:tc>
        <w:tc>
          <w:tcPr>
            <w:tcW w:w="1636" w:type="dxa"/>
          </w:tcPr>
          <w:p>
            <w:pPr>
              <w:pStyle w:val="GesAbsatz"/>
              <w:tabs>
                <w:tab w:val="clear" w:pos="425"/>
              </w:tabs>
            </w:pPr>
            <w:r>
              <w:t>ng/m³</w:t>
            </w:r>
          </w:p>
        </w:tc>
      </w:tr>
      <w:tr>
        <w:tc>
          <w:tcPr>
            <w:tcW w:w="1809" w:type="dxa"/>
          </w:tcPr>
          <w:p>
            <w:pPr>
              <w:pStyle w:val="GesAbsatz"/>
              <w:tabs>
                <w:tab w:val="clear" w:pos="425"/>
              </w:tabs>
            </w:pPr>
            <w:r>
              <w:t>5759</w:t>
            </w:r>
          </w:p>
        </w:tc>
        <w:tc>
          <w:tcPr>
            <w:tcW w:w="2735" w:type="dxa"/>
          </w:tcPr>
          <w:p>
            <w:pPr>
              <w:pStyle w:val="GesAbsatz"/>
              <w:tabs>
                <w:tab w:val="clear" w:pos="425"/>
              </w:tabs>
            </w:pPr>
            <w:r>
              <w:t>Benzo(j)</w:t>
            </w:r>
            <w:proofErr w:type="spellStart"/>
            <w:r>
              <w:t>fluoranthen</w:t>
            </w:r>
            <w:proofErr w:type="spellEnd"/>
          </w:p>
        </w:tc>
        <w:tc>
          <w:tcPr>
            <w:tcW w:w="3502" w:type="dxa"/>
          </w:tcPr>
          <w:p>
            <w:pPr>
              <w:pStyle w:val="GesAbsatz"/>
              <w:tabs>
                <w:tab w:val="clear" w:pos="425"/>
              </w:tabs>
            </w:pPr>
            <w:r>
              <w:t>Benzo(j)</w:t>
            </w:r>
            <w:proofErr w:type="spellStart"/>
            <w:r>
              <w:t>fluoranthen</w:t>
            </w:r>
            <w:proofErr w:type="spellEnd"/>
            <w:r>
              <w:t xml:space="preserve"> in PM</w:t>
            </w:r>
            <w:r>
              <w:rPr>
                <w:vertAlign w:val="subscript"/>
              </w:rPr>
              <w:t>10</w:t>
            </w:r>
          </w:p>
        </w:tc>
        <w:tc>
          <w:tcPr>
            <w:tcW w:w="1636" w:type="dxa"/>
          </w:tcPr>
          <w:p>
            <w:pPr>
              <w:pStyle w:val="GesAbsatz"/>
              <w:tabs>
                <w:tab w:val="clear" w:pos="425"/>
              </w:tabs>
            </w:pPr>
            <w:r>
              <w:t>ng/m³</w:t>
            </w:r>
          </w:p>
        </w:tc>
      </w:tr>
      <w:tr>
        <w:tc>
          <w:tcPr>
            <w:tcW w:w="1809" w:type="dxa"/>
          </w:tcPr>
          <w:p>
            <w:pPr>
              <w:pStyle w:val="GesAbsatz"/>
              <w:tabs>
                <w:tab w:val="clear" w:pos="425"/>
              </w:tabs>
            </w:pPr>
            <w:r>
              <w:t>5626</w:t>
            </w:r>
          </w:p>
        </w:tc>
        <w:tc>
          <w:tcPr>
            <w:tcW w:w="2735" w:type="dxa"/>
          </w:tcPr>
          <w:p>
            <w:pPr>
              <w:pStyle w:val="GesAbsatz"/>
              <w:tabs>
                <w:tab w:val="clear" w:pos="425"/>
              </w:tabs>
            </w:pPr>
            <w:r>
              <w:t>Benzo(k)</w:t>
            </w:r>
            <w:proofErr w:type="spellStart"/>
            <w:r>
              <w:t>fluoranthen</w:t>
            </w:r>
            <w:proofErr w:type="spellEnd"/>
          </w:p>
        </w:tc>
        <w:tc>
          <w:tcPr>
            <w:tcW w:w="3502" w:type="dxa"/>
          </w:tcPr>
          <w:p>
            <w:pPr>
              <w:pStyle w:val="GesAbsatz"/>
              <w:tabs>
                <w:tab w:val="clear" w:pos="425"/>
              </w:tabs>
            </w:pPr>
            <w:r>
              <w:t>Benzo(k)</w:t>
            </w:r>
            <w:proofErr w:type="spellStart"/>
            <w:r>
              <w:t>fluoranthen</w:t>
            </w:r>
            <w:proofErr w:type="spellEnd"/>
            <w:r>
              <w:t xml:space="preserve"> in PM</w:t>
            </w:r>
            <w:r>
              <w:rPr>
                <w:vertAlign w:val="subscript"/>
              </w:rPr>
              <w:t>10</w:t>
            </w:r>
          </w:p>
        </w:tc>
        <w:tc>
          <w:tcPr>
            <w:tcW w:w="1636" w:type="dxa"/>
          </w:tcPr>
          <w:p>
            <w:pPr>
              <w:pStyle w:val="GesAbsatz"/>
              <w:tabs>
                <w:tab w:val="clear" w:pos="425"/>
              </w:tabs>
            </w:pPr>
            <w:r>
              <w:t>ng/m³</w:t>
            </w:r>
          </w:p>
        </w:tc>
      </w:tr>
      <w:tr>
        <w:tc>
          <w:tcPr>
            <w:tcW w:w="1809" w:type="dxa"/>
          </w:tcPr>
          <w:p>
            <w:pPr>
              <w:pStyle w:val="GesAbsatz"/>
              <w:tabs>
                <w:tab w:val="clear" w:pos="425"/>
              </w:tabs>
            </w:pPr>
            <w:r>
              <w:t>5655</w:t>
            </w:r>
          </w:p>
        </w:tc>
        <w:tc>
          <w:tcPr>
            <w:tcW w:w="2735" w:type="dxa"/>
          </w:tcPr>
          <w:p>
            <w:pPr>
              <w:pStyle w:val="GesAbsatz"/>
              <w:tabs>
                <w:tab w:val="clear" w:pos="425"/>
              </w:tabs>
            </w:pPr>
            <w:proofErr w:type="spellStart"/>
            <w:r>
              <w:t>Indeno</w:t>
            </w:r>
            <w:proofErr w:type="spellEnd"/>
            <w:r>
              <w:t>(1,2,3,-cd)</w:t>
            </w:r>
            <w:proofErr w:type="spellStart"/>
            <w:r>
              <w:t>pyren</w:t>
            </w:r>
            <w:proofErr w:type="spellEnd"/>
          </w:p>
        </w:tc>
        <w:tc>
          <w:tcPr>
            <w:tcW w:w="3502" w:type="dxa"/>
          </w:tcPr>
          <w:p>
            <w:pPr>
              <w:pStyle w:val="GesAbsatz"/>
              <w:tabs>
                <w:tab w:val="clear" w:pos="425"/>
              </w:tabs>
            </w:pPr>
            <w:proofErr w:type="spellStart"/>
            <w:r>
              <w:t>Indeno</w:t>
            </w:r>
            <w:proofErr w:type="spellEnd"/>
            <w:r>
              <w:t>(1,2,3,-cd)</w:t>
            </w:r>
            <w:proofErr w:type="spellStart"/>
            <w:r>
              <w:t>pyren</w:t>
            </w:r>
            <w:proofErr w:type="spellEnd"/>
            <w:r>
              <w:t xml:space="preserve"> in PM</w:t>
            </w:r>
            <w:r>
              <w:rPr>
                <w:vertAlign w:val="subscript"/>
              </w:rPr>
              <w:t>10</w:t>
            </w:r>
          </w:p>
        </w:tc>
        <w:tc>
          <w:tcPr>
            <w:tcW w:w="1636" w:type="dxa"/>
          </w:tcPr>
          <w:p>
            <w:pPr>
              <w:pStyle w:val="GesAbsatz"/>
              <w:tabs>
                <w:tab w:val="clear" w:pos="425"/>
              </w:tabs>
            </w:pPr>
            <w:r>
              <w:t>ng/m³</w:t>
            </w:r>
          </w:p>
        </w:tc>
      </w:tr>
      <w:tr>
        <w:tc>
          <w:tcPr>
            <w:tcW w:w="1809" w:type="dxa"/>
          </w:tcPr>
          <w:p>
            <w:pPr>
              <w:pStyle w:val="GesAbsatz"/>
              <w:tabs>
                <w:tab w:val="clear" w:pos="425"/>
              </w:tabs>
            </w:pPr>
            <w:r>
              <w:t>5763</w:t>
            </w:r>
          </w:p>
        </w:tc>
        <w:tc>
          <w:tcPr>
            <w:tcW w:w="2735" w:type="dxa"/>
          </w:tcPr>
          <w:p>
            <w:pPr>
              <w:pStyle w:val="GesAbsatz"/>
              <w:tabs>
                <w:tab w:val="clear" w:pos="425"/>
              </w:tabs>
            </w:pPr>
            <w:proofErr w:type="spellStart"/>
            <w:r>
              <w:t>Dibenzo</w:t>
            </w:r>
            <w:proofErr w:type="spellEnd"/>
            <w:r>
              <w:t>(</w:t>
            </w:r>
            <w:proofErr w:type="spellStart"/>
            <w:r>
              <w:t>a,h</w:t>
            </w:r>
            <w:proofErr w:type="spellEnd"/>
            <w:r>
              <w:t>)</w:t>
            </w:r>
            <w:proofErr w:type="spellStart"/>
            <w:r>
              <w:t>anthracen</w:t>
            </w:r>
            <w:proofErr w:type="spellEnd"/>
          </w:p>
        </w:tc>
        <w:tc>
          <w:tcPr>
            <w:tcW w:w="3502" w:type="dxa"/>
          </w:tcPr>
          <w:p>
            <w:pPr>
              <w:pStyle w:val="GesAbsatz"/>
              <w:tabs>
                <w:tab w:val="clear" w:pos="425"/>
              </w:tabs>
            </w:pPr>
            <w:proofErr w:type="spellStart"/>
            <w:r>
              <w:t>Dibenzo</w:t>
            </w:r>
            <w:proofErr w:type="spellEnd"/>
            <w:r>
              <w:t>(</w:t>
            </w:r>
            <w:proofErr w:type="spellStart"/>
            <w:r>
              <w:t>a,h</w:t>
            </w:r>
            <w:proofErr w:type="spellEnd"/>
            <w:r>
              <w:t>)</w:t>
            </w:r>
            <w:proofErr w:type="spellStart"/>
            <w:r>
              <w:t>anthracen</w:t>
            </w:r>
            <w:proofErr w:type="spellEnd"/>
            <w:r>
              <w:t xml:space="preserve"> in PM</w:t>
            </w:r>
            <w:r>
              <w:rPr>
                <w:vertAlign w:val="subscript"/>
              </w:rPr>
              <w:t>10</w:t>
            </w:r>
          </w:p>
        </w:tc>
        <w:tc>
          <w:tcPr>
            <w:tcW w:w="1636" w:type="dxa"/>
          </w:tcPr>
          <w:p>
            <w:pPr>
              <w:pStyle w:val="GesAbsatz"/>
              <w:tabs>
                <w:tab w:val="clear" w:pos="425"/>
              </w:tabs>
            </w:pPr>
            <w:r>
              <w:t>ng/m³</w:t>
            </w:r>
          </w:p>
        </w:tc>
      </w:tr>
      <w:tr>
        <w:tc>
          <w:tcPr>
            <w:tcW w:w="9682" w:type="dxa"/>
            <w:gridSpan w:val="4"/>
          </w:tcPr>
          <w:p>
            <w:pPr>
              <w:pStyle w:val="GesAbsatz"/>
              <w:tabs>
                <w:tab w:val="clear" w:pos="425"/>
              </w:tabs>
              <w:jc w:val="center"/>
              <w:rPr>
                <w:b/>
              </w:rPr>
            </w:pPr>
            <w:r>
              <w:rPr>
                <w:b/>
              </w:rPr>
              <w:t>Ablagerung von polyzyklischen aromatischen Kohlenwasserstoffen</w:t>
            </w:r>
          </w:p>
        </w:tc>
      </w:tr>
      <w:tr>
        <w:tc>
          <w:tcPr>
            <w:tcW w:w="1809" w:type="dxa"/>
          </w:tcPr>
          <w:p>
            <w:pPr>
              <w:pStyle w:val="GesAbsatz"/>
              <w:tabs>
                <w:tab w:val="clear" w:pos="425"/>
              </w:tabs>
            </w:pPr>
            <w:r>
              <w:t>7029</w:t>
            </w:r>
          </w:p>
        </w:tc>
        <w:tc>
          <w:tcPr>
            <w:tcW w:w="2735" w:type="dxa"/>
          </w:tcPr>
          <w:p>
            <w:pPr>
              <w:pStyle w:val="GesAbsatz"/>
              <w:tabs>
                <w:tab w:val="clear" w:pos="425"/>
              </w:tabs>
            </w:pPr>
            <w:r>
              <w:t>B(a)P</w:t>
            </w:r>
          </w:p>
        </w:tc>
        <w:tc>
          <w:tcPr>
            <w:tcW w:w="3502" w:type="dxa"/>
          </w:tcPr>
          <w:p>
            <w:pPr>
              <w:pStyle w:val="GesAbsatz"/>
              <w:tabs>
                <w:tab w:val="clear" w:pos="425"/>
              </w:tabs>
            </w:pPr>
            <w:r>
              <w:t>Ablagerung von Benzo(a)pyren</w:t>
            </w:r>
          </w:p>
        </w:tc>
        <w:tc>
          <w:tcPr>
            <w:tcW w:w="1636" w:type="dxa"/>
          </w:tcPr>
          <w:p>
            <w:pPr>
              <w:pStyle w:val="GesAbsatz"/>
              <w:tabs>
                <w:tab w:val="clear" w:pos="425"/>
              </w:tabs>
            </w:pPr>
            <w:r>
              <w:t>μg/m²/Tag</w:t>
            </w:r>
          </w:p>
        </w:tc>
      </w:tr>
      <w:tr>
        <w:tc>
          <w:tcPr>
            <w:tcW w:w="1809" w:type="dxa"/>
          </w:tcPr>
          <w:p>
            <w:pPr>
              <w:pStyle w:val="GesAbsatz"/>
              <w:tabs>
                <w:tab w:val="clear" w:pos="425"/>
              </w:tabs>
            </w:pPr>
            <w:r>
              <w:t>611</w:t>
            </w:r>
          </w:p>
        </w:tc>
        <w:tc>
          <w:tcPr>
            <w:tcW w:w="2735" w:type="dxa"/>
          </w:tcPr>
          <w:p>
            <w:pPr>
              <w:pStyle w:val="GesAbsatz"/>
              <w:tabs>
                <w:tab w:val="clear" w:pos="425"/>
              </w:tabs>
            </w:pPr>
            <w:r>
              <w:t>Benzo(a)</w:t>
            </w:r>
            <w:proofErr w:type="spellStart"/>
            <w:r>
              <w:t>anthracen</w:t>
            </w:r>
            <w:proofErr w:type="spellEnd"/>
          </w:p>
        </w:tc>
        <w:tc>
          <w:tcPr>
            <w:tcW w:w="3502" w:type="dxa"/>
          </w:tcPr>
          <w:p>
            <w:pPr>
              <w:pStyle w:val="GesAbsatz"/>
              <w:tabs>
                <w:tab w:val="clear" w:pos="425"/>
              </w:tabs>
            </w:pPr>
            <w:r>
              <w:t>Ablagerung von Benzo(a)</w:t>
            </w:r>
            <w:proofErr w:type="spellStart"/>
            <w:r>
              <w:t>anthracen</w:t>
            </w:r>
            <w:proofErr w:type="spellEnd"/>
          </w:p>
        </w:tc>
        <w:tc>
          <w:tcPr>
            <w:tcW w:w="1636" w:type="dxa"/>
          </w:tcPr>
          <w:p>
            <w:pPr>
              <w:pStyle w:val="GesAbsatz"/>
              <w:tabs>
                <w:tab w:val="clear" w:pos="425"/>
              </w:tabs>
            </w:pPr>
            <w:r>
              <w:t>μg/m²/Tag</w:t>
            </w:r>
          </w:p>
        </w:tc>
      </w:tr>
      <w:tr>
        <w:tc>
          <w:tcPr>
            <w:tcW w:w="1809" w:type="dxa"/>
          </w:tcPr>
          <w:p>
            <w:pPr>
              <w:pStyle w:val="GesAbsatz"/>
              <w:tabs>
                <w:tab w:val="clear" w:pos="425"/>
              </w:tabs>
            </w:pPr>
            <w:r>
              <w:t>618</w:t>
            </w:r>
          </w:p>
        </w:tc>
        <w:tc>
          <w:tcPr>
            <w:tcW w:w="2735" w:type="dxa"/>
          </w:tcPr>
          <w:p>
            <w:pPr>
              <w:pStyle w:val="GesAbsatz"/>
              <w:tabs>
                <w:tab w:val="clear" w:pos="425"/>
              </w:tabs>
            </w:pPr>
            <w:r>
              <w:t>Benzo(b)</w:t>
            </w:r>
            <w:proofErr w:type="spellStart"/>
            <w:r>
              <w:t>fluoranthen</w:t>
            </w:r>
            <w:proofErr w:type="spellEnd"/>
          </w:p>
        </w:tc>
        <w:tc>
          <w:tcPr>
            <w:tcW w:w="3502" w:type="dxa"/>
          </w:tcPr>
          <w:p>
            <w:pPr>
              <w:pStyle w:val="GesAbsatz"/>
              <w:tabs>
                <w:tab w:val="clear" w:pos="425"/>
              </w:tabs>
            </w:pPr>
            <w:r>
              <w:t>Ablagerung von Benzo(b)</w:t>
            </w:r>
            <w:proofErr w:type="spellStart"/>
            <w:r>
              <w:t>fluoranthen</w:t>
            </w:r>
            <w:proofErr w:type="spellEnd"/>
          </w:p>
        </w:tc>
        <w:tc>
          <w:tcPr>
            <w:tcW w:w="1636" w:type="dxa"/>
          </w:tcPr>
          <w:p>
            <w:pPr>
              <w:pStyle w:val="GesAbsatz"/>
              <w:tabs>
                <w:tab w:val="clear" w:pos="425"/>
              </w:tabs>
            </w:pPr>
            <w:r>
              <w:t>μg/m²/Tag</w:t>
            </w:r>
          </w:p>
        </w:tc>
      </w:tr>
      <w:tr>
        <w:tc>
          <w:tcPr>
            <w:tcW w:w="1809" w:type="dxa"/>
          </w:tcPr>
          <w:p>
            <w:pPr>
              <w:pStyle w:val="GesAbsatz"/>
              <w:tabs>
                <w:tab w:val="clear" w:pos="425"/>
              </w:tabs>
            </w:pPr>
            <w:r>
              <w:t>760</w:t>
            </w:r>
          </w:p>
        </w:tc>
        <w:tc>
          <w:tcPr>
            <w:tcW w:w="2735" w:type="dxa"/>
          </w:tcPr>
          <w:p>
            <w:pPr>
              <w:pStyle w:val="GesAbsatz"/>
              <w:tabs>
                <w:tab w:val="clear" w:pos="425"/>
              </w:tabs>
            </w:pPr>
            <w:r>
              <w:t>Benzo(j)</w:t>
            </w:r>
            <w:proofErr w:type="spellStart"/>
            <w:r>
              <w:t>fluoranthen</w:t>
            </w:r>
            <w:proofErr w:type="spellEnd"/>
          </w:p>
        </w:tc>
        <w:tc>
          <w:tcPr>
            <w:tcW w:w="3502" w:type="dxa"/>
          </w:tcPr>
          <w:p>
            <w:pPr>
              <w:pStyle w:val="GesAbsatz"/>
              <w:tabs>
                <w:tab w:val="clear" w:pos="425"/>
              </w:tabs>
            </w:pPr>
            <w:r>
              <w:t>Ablagerung von Benzo(j)</w:t>
            </w:r>
            <w:proofErr w:type="spellStart"/>
            <w:r>
              <w:t>fluoranthen</w:t>
            </w:r>
            <w:proofErr w:type="spellEnd"/>
          </w:p>
        </w:tc>
        <w:tc>
          <w:tcPr>
            <w:tcW w:w="1636" w:type="dxa"/>
          </w:tcPr>
          <w:p>
            <w:pPr>
              <w:pStyle w:val="GesAbsatz"/>
              <w:tabs>
                <w:tab w:val="clear" w:pos="425"/>
              </w:tabs>
            </w:pPr>
            <w:r>
              <w:t>μg/m²/Tag</w:t>
            </w:r>
          </w:p>
        </w:tc>
      </w:tr>
      <w:tr>
        <w:tc>
          <w:tcPr>
            <w:tcW w:w="1809" w:type="dxa"/>
          </w:tcPr>
          <w:p>
            <w:pPr>
              <w:pStyle w:val="GesAbsatz"/>
              <w:tabs>
                <w:tab w:val="clear" w:pos="425"/>
              </w:tabs>
            </w:pPr>
            <w:r>
              <w:t>627</w:t>
            </w:r>
          </w:p>
        </w:tc>
        <w:tc>
          <w:tcPr>
            <w:tcW w:w="2735" w:type="dxa"/>
          </w:tcPr>
          <w:p>
            <w:pPr>
              <w:pStyle w:val="GesAbsatz"/>
              <w:tabs>
                <w:tab w:val="clear" w:pos="425"/>
              </w:tabs>
            </w:pPr>
            <w:r>
              <w:t>Benzo(k)</w:t>
            </w:r>
            <w:proofErr w:type="spellStart"/>
            <w:r>
              <w:t>fluoranthen</w:t>
            </w:r>
            <w:proofErr w:type="spellEnd"/>
          </w:p>
        </w:tc>
        <w:tc>
          <w:tcPr>
            <w:tcW w:w="3502" w:type="dxa"/>
          </w:tcPr>
          <w:p>
            <w:pPr>
              <w:pStyle w:val="GesAbsatz"/>
              <w:tabs>
                <w:tab w:val="clear" w:pos="425"/>
              </w:tabs>
            </w:pPr>
            <w:r>
              <w:t>Ablagerung von Benzo(k)</w:t>
            </w:r>
            <w:proofErr w:type="spellStart"/>
            <w:r>
              <w:t>fluoranthen</w:t>
            </w:r>
            <w:proofErr w:type="spellEnd"/>
          </w:p>
        </w:tc>
        <w:tc>
          <w:tcPr>
            <w:tcW w:w="1636" w:type="dxa"/>
          </w:tcPr>
          <w:p>
            <w:pPr>
              <w:pStyle w:val="GesAbsatz"/>
              <w:tabs>
                <w:tab w:val="clear" w:pos="425"/>
              </w:tabs>
            </w:pPr>
            <w:r>
              <w:t>μg/m²/Tag</w:t>
            </w:r>
          </w:p>
        </w:tc>
      </w:tr>
      <w:tr>
        <w:tc>
          <w:tcPr>
            <w:tcW w:w="1809" w:type="dxa"/>
          </w:tcPr>
          <w:p>
            <w:pPr>
              <w:pStyle w:val="GesAbsatz"/>
              <w:tabs>
                <w:tab w:val="clear" w:pos="425"/>
              </w:tabs>
            </w:pPr>
            <w:r>
              <w:t>656</w:t>
            </w:r>
          </w:p>
        </w:tc>
        <w:tc>
          <w:tcPr>
            <w:tcW w:w="2735" w:type="dxa"/>
          </w:tcPr>
          <w:p>
            <w:pPr>
              <w:pStyle w:val="GesAbsatz"/>
              <w:tabs>
                <w:tab w:val="clear" w:pos="425"/>
              </w:tabs>
            </w:pPr>
            <w:proofErr w:type="spellStart"/>
            <w:r>
              <w:t>Indeno</w:t>
            </w:r>
            <w:proofErr w:type="spellEnd"/>
            <w:r>
              <w:t>(1,2,3,-cd)</w:t>
            </w:r>
            <w:proofErr w:type="spellStart"/>
            <w:r>
              <w:t>pyren</w:t>
            </w:r>
            <w:proofErr w:type="spellEnd"/>
          </w:p>
        </w:tc>
        <w:tc>
          <w:tcPr>
            <w:tcW w:w="3502" w:type="dxa"/>
          </w:tcPr>
          <w:p>
            <w:pPr>
              <w:pStyle w:val="GesAbsatz"/>
              <w:tabs>
                <w:tab w:val="clear" w:pos="425"/>
              </w:tabs>
            </w:pPr>
            <w:r>
              <w:t xml:space="preserve">Ablagerung von </w:t>
            </w:r>
            <w:proofErr w:type="spellStart"/>
            <w:r>
              <w:t>Indeno</w:t>
            </w:r>
            <w:proofErr w:type="spellEnd"/>
            <w:r>
              <w:t>(1,2,3,-cd)</w:t>
            </w:r>
            <w:proofErr w:type="spellStart"/>
            <w:r>
              <w:t>pyren</w:t>
            </w:r>
            <w:proofErr w:type="spellEnd"/>
          </w:p>
        </w:tc>
        <w:tc>
          <w:tcPr>
            <w:tcW w:w="1636" w:type="dxa"/>
          </w:tcPr>
          <w:p>
            <w:pPr>
              <w:pStyle w:val="GesAbsatz"/>
              <w:tabs>
                <w:tab w:val="clear" w:pos="425"/>
              </w:tabs>
            </w:pPr>
            <w:r>
              <w:t>μg/m²/Tag</w:t>
            </w:r>
          </w:p>
        </w:tc>
      </w:tr>
      <w:tr>
        <w:tc>
          <w:tcPr>
            <w:tcW w:w="1809" w:type="dxa"/>
          </w:tcPr>
          <w:p>
            <w:pPr>
              <w:pStyle w:val="GesAbsatz"/>
              <w:tabs>
                <w:tab w:val="clear" w:pos="425"/>
              </w:tabs>
            </w:pPr>
            <w:r>
              <w:t>7419</w:t>
            </w:r>
          </w:p>
        </w:tc>
        <w:tc>
          <w:tcPr>
            <w:tcW w:w="2735" w:type="dxa"/>
          </w:tcPr>
          <w:p>
            <w:pPr>
              <w:pStyle w:val="GesAbsatz"/>
              <w:tabs>
                <w:tab w:val="clear" w:pos="425"/>
              </w:tabs>
            </w:pPr>
            <w:proofErr w:type="spellStart"/>
            <w:r>
              <w:t>Dibenzo</w:t>
            </w:r>
            <w:proofErr w:type="spellEnd"/>
            <w:r>
              <w:t>(</w:t>
            </w:r>
            <w:proofErr w:type="spellStart"/>
            <w:r>
              <w:t>a,h</w:t>
            </w:r>
            <w:proofErr w:type="spellEnd"/>
            <w:r>
              <w:t>)</w:t>
            </w:r>
            <w:proofErr w:type="spellStart"/>
            <w:r>
              <w:t>anthracen</w:t>
            </w:r>
            <w:proofErr w:type="spellEnd"/>
          </w:p>
        </w:tc>
        <w:tc>
          <w:tcPr>
            <w:tcW w:w="3502" w:type="dxa"/>
          </w:tcPr>
          <w:p>
            <w:pPr>
              <w:pStyle w:val="GesAbsatz"/>
              <w:tabs>
                <w:tab w:val="clear" w:pos="425"/>
              </w:tabs>
            </w:pPr>
            <w:r>
              <w:t xml:space="preserve">Ablagerung von </w:t>
            </w:r>
            <w:proofErr w:type="spellStart"/>
            <w:r>
              <w:t>Dibenzo</w:t>
            </w:r>
            <w:proofErr w:type="spellEnd"/>
            <w:r>
              <w:t>(</w:t>
            </w:r>
            <w:proofErr w:type="spellStart"/>
            <w:r>
              <w:t>a,h</w:t>
            </w:r>
            <w:proofErr w:type="spellEnd"/>
            <w:r>
              <w:t>)</w:t>
            </w:r>
            <w:proofErr w:type="spellStart"/>
            <w:r>
              <w:t>anthracen</w:t>
            </w:r>
            <w:proofErr w:type="spellEnd"/>
          </w:p>
        </w:tc>
        <w:tc>
          <w:tcPr>
            <w:tcW w:w="1636" w:type="dxa"/>
          </w:tcPr>
          <w:p>
            <w:pPr>
              <w:pStyle w:val="GesAbsatz"/>
              <w:tabs>
                <w:tab w:val="clear" w:pos="425"/>
              </w:tabs>
            </w:pPr>
            <w:r>
              <w:t>μg/m²/Tag</w:t>
            </w:r>
          </w:p>
        </w:tc>
      </w:tr>
      <w:tr>
        <w:tc>
          <w:tcPr>
            <w:tcW w:w="9682" w:type="dxa"/>
            <w:gridSpan w:val="4"/>
          </w:tcPr>
          <w:p>
            <w:pPr>
              <w:pStyle w:val="GesAbsatz"/>
              <w:tabs>
                <w:tab w:val="clear" w:pos="425"/>
              </w:tabs>
              <w:jc w:val="center"/>
              <w:rPr>
                <w:b/>
              </w:rPr>
            </w:pPr>
            <w:r>
              <w:rPr>
                <w:b/>
              </w:rPr>
              <w:t>Flüchtige organische Verbindungen</w:t>
            </w:r>
          </w:p>
        </w:tc>
      </w:tr>
      <w:tr>
        <w:tc>
          <w:tcPr>
            <w:tcW w:w="1809" w:type="dxa"/>
          </w:tcPr>
          <w:p>
            <w:pPr>
              <w:pStyle w:val="GesAbsatz"/>
              <w:tabs>
                <w:tab w:val="clear" w:pos="425"/>
              </w:tabs>
            </w:pPr>
            <w:r>
              <w:t>20</w:t>
            </w:r>
          </w:p>
        </w:tc>
        <w:tc>
          <w:tcPr>
            <w:tcW w:w="2735" w:type="dxa"/>
          </w:tcPr>
          <w:p>
            <w:pPr>
              <w:pStyle w:val="GesAbsatz"/>
              <w:tabs>
                <w:tab w:val="clear" w:pos="425"/>
              </w:tabs>
            </w:pPr>
            <w:r>
              <w:t>C</w:t>
            </w:r>
            <w:r>
              <w:rPr>
                <w:vertAlign w:val="subscript"/>
              </w:rPr>
              <w:t>6</w:t>
            </w:r>
            <w:r>
              <w:t>H</w:t>
            </w:r>
            <w:r>
              <w:rPr>
                <w:vertAlign w:val="subscript"/>
              </w:rPr>
              <w:t>6</w:t>
            </w:r>
          </w:p>
        </w:tc>
        <w:tc>
          <w:tcPr>
            <w:tcW w:w="3502" w:type="dxa"/>
          </w:tcPr>
          <w:p>
            <w:pPr>
              <w:pStyle w:val="GesAbsatz"/>
              <w:tabs>
                <w:tab w:val="clear" w:pos="425"/>
              </w:tabs>
            </w:pPr>
            <w:r>
              <w:t>Benzol</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428</w:t>
            </w:r>
          </w:p>
        </w:tc>
        <w:tc>
          <w:tcPr>
            <w:tcW w:w="2735" w:type="dxa"/>
          </w:tcPr>
          <w:p>
            <w:pPr>
              <w:pStyle w:val="GesAbsatz"/>
              <w:tabs>
                <w:tab w:val="clear" w:pos="425"/>
              </w:tabs>
              <w:rPr>
                <w:lang w:val="en-US"/>
              </w:rPr>
            </w:pPr>
            <w:r>
              <w:rPr>
                <w:lang w:val="en-US"/>
              </w:rPr>
              <w:t>C</w:t>
            </w:r>
            <w:r>
              <w:rPr>
                <w:vertAlign w:val="subscript"/>
                <w:lang w:val="en-US"/>
              </w:rPr>
              <w:t>2</w:t>
            </w:r>
            <w:r>
              <w:rPr>
                <w:lang w:val="en-US"/>
              </w:rPr>
              <w:t>H</w:t>
            </w:r>
            <w:r>
              <w:rPr>
                <w:vertAlign w:val="subscript"/>
                <w:lang w:val="en-US"/>
              </w:rPr>
              <w:t>6</w:t>
            </w:r>
          </w:p>
        </w:tc>
        <w:tc>
          <w:tcPr>
            <w:tcW w:w="3502" w:type="dxa"/>
          </w:tcPr>
          <w:p>
            <w:pPr>
              <w:pStyle w:val="GesAbsatz"/>
              <w:tabs>
                <w:tab w:val="clear" w:pos="425"/>
              </w:tabs>
              <w:rPr>
                <w:lang w:val="en-US"/>
              </w:rPr>
            </w:pPr>
            <w:r>
              <w:rPr>
                <w:lang w:val="en-US"/>
              </w:rPr>
              <w:t>Ethan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pPr>
            <w:r>
              <w:t>430</w:t>
            </w:r>
          </w:p>
        </w:tc>
        <w:tc>
          <w:tcPr>
            <w:tcW w:w="2735" w:type="dxa"/>
          </w:tcPr>
          <w:p>
            <w:pPr>
              <w:pStyle w:val="GesAbsatz"/>
              <w:tabs>
                <w:tab w:val="clear" w:pos="425"/>
              </w:tabs>
            </w:pPr>
            <w:r>
              <w:t>C</w:t>
            </w:r>
            <w:r>
              <w:rPr>
                <w:vertAlign w:val="subscript"/>
              </w:rPr>
              <w:t>2</w:t>
            </w:r>
            <w:r>
              <w:t>H</w:t>
            </w:r>
            <w:r>
              <w:rPr>
                <w:vertAlign w:val="subscript"/>
              </w:rPr>
              <w:t>4</w:t>
            </w:r>
          </w:p>
        </w:tc>
        <w:tc>
          <w:tcPr>
            <w:tcW w:w="3502" w:type="dxa"/>
          </w:tcPr>
          <w:p>
            <w:pPr>
              <w:pStyle w:val="GesAbsatz"/>
              <w:tabs>
                <w:tab w:val="clear" w:pos="425"/>
              </w:tabs>
            </w:pPr>
            <w:r>
              <w:t>Ethen (Ethylen)</w:t>
            </w:r>
          </w:p>
        </w:tc>
        <w:tc>
          <w:tcPr>
            <w:tcW w:w="1636" w:type="dxa"/>
          </w:tcPr>
          <w:p>
            <w:pPr>
              <w:pStyle w:val="GesAbsatz"/>
              <w:tabs>
                <w:tab w:val="clear" w:pos="425"/>
              </w:tabs>
            </w:pPr>
            <w:r>
              <w:t>μg/m³</w:t>
            </w:r>
          </w:p>
        </w:tc>
      </w:tr>
      <w:tr>
        <w:tc>
          <w:tcPr>
            <w:tcW w:w="1809" w:type="dxa"/>
          </w:tcPr>
          <w:p>
            <w:pPr>
              <w:pStyle w:val="GesAbsatz"/>
              <w:tabs>
                <w:tab w:val="clear" w:pos="425"/>
              </w:tabs>
            </w:pPr>
            <w:r>
              <w:t>432</w:t>
            </w:r>
          </w:p>
        </w:tc>
        <w:tc>
          <w:tcPr>
            <w:tcW w:w="2735" w:type="dxa"/>
          </w:tcPr>
          <w:p>
            <w:pPr>
              <w:pStyle w:val="GesAbsatz"/>
              <w:tabs>
                <w:tab w:val="clear" w:pos="425"/>
              </w:tabs>
            </w:pPr>
            <w:r>
              <w:t>HC≡CH</w:t>
            </w:r>
          </w:p>
        </w:tc>
        <w:tc>
          <w:tcPr>
            <w:tcW w:w="3502" w:type="dxa"/>
          </w:tcPr>
          <w:p>
            <w:pPr>
              <w:pStyle w:val="GesAbsatz"/>
              <w:tabs>
                <w:tab w:val="clear" w:pos="425"/>
              </w:tabs>
            </w:pPr>
            <w:r>
              <w:t>Ethin (Acetylen)</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503</w:t>
            </w:r>
          </w:p>
        </w:tc>
        <w:tc>
          <w:tcPr>
            <w:tcW w:w="2735" w:type="dxa"/>
          </w:tcPr>
          <w:p>
            <w:pPr>
              <w:pStyle w:val="GesAbsatz"/>
              <w:tabs>
                <w:tab w:val="clear" w:pos="425"/>
              </w:tabs>
              <w:rPr>
                <w:lang w:val="en-US"/>
              </w:rPr>
            </w:pPr>
            <w:r>
              <w:rPr>
                <w:lang w:val="en-US"/>
              </w:rPr>
              <w:t>H</w:t>
            </w:r>
            <w:r>
              <w:rPr>
                <w:vertAlign w:val="subscript"/>
                <w:lang w:val="en-US"/>
              </w:rPr>
              <w:t>3</w:t>
            </w:r>
            <w:r>
              <w:rPr>
                <w:lang w:val="en-US"/>
              </w:rPr>
              <w:t>C-CH</w:t>
            </w:r>
            <w:r>
              <w:rPr>
                <w:vertAlign w:val="subscript"/>
                <w:lang w:val="en-US"/>
              </w:rPr>
              <w:t>2</w:t>
            </w:r>
            <w:r>
              <w:rPr>
                <w:lang w:val="en-US"/>
              </w:rPr>
              <w:t>-CH</w:t>
            </w:r>
            <w:r>
              <w:rPr>
                <w:vertAlign w:val="subscript"/>
                <w:lang w:val="en-US"/>
              </w:rPr>
              <w:t>3</w:t>
            </w:r>
          </w:p>
        </w:tc>
        <w:tc>
          <w:tcPr>
            <w:tcW w:w="3502" w:type="dxa"/>
          </w:tcPr>
          <w:p>
            <w:pPr>
              <w:pStyle w:val="GesAbsatz"/>
              <w:tabs>
                <w:tab w:val="clear" w:pos="425"/>
              </w:tabs>
              <w:rPr>
                <w:lang w:val="en-US"/>
              </w:rPr>
            </w:pPr>
            <w:r>
              <w:rPr>
                <w:lang w:val="en-US"/>
              </w:rPr>
              <w:t>Propan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lastRenderedPageBreak/>
              <w:t>505</w:t>
            </w:r>
          </w:p>
        </w:tc>
        <w:tc>
          <w:tcPr>
            <w:tcW w:w="2735" w:type="dxa"/>
          </w:tcPr>
          <w:p>
            <w:pPr>
              <w:pStyle w:val="GesAbsatz"/>
              <w:tabs>
                <w:tab w:val="clear" w:pos="425"/>
              </w:tabs>
              <w:rPr>
                <w:lang w:val="en-US"/>
              </w:rPr>
            </w:pPr>
            <w:r>
              <w:rPr>
                <w:lang w:val="en-US"/>
              </w:rPr>
              <w:t>CH</w:t>
            </w:r>
            <w:r>
              <w:rPr>
                <w:vertAlign w:val="subscript"/>
                <w:lang w:val="en-US"/>
              </w:rPr>
              <w:t>2</w:t>
            </w:r>
            <w:r>
              <w:rPr>
                <w:lang w:val="en-US"/>
              </w:rPr>
              <w:t xml:space="preserve"> = CH-CH</w:t>
            </w:r>
            <w:r>
              <w:rPr>
                <w:vertAlign w:val="subscript"/>
                <w:lang w:val="en-US"/>
              </w:rPr>
              <w:t>3</w:t>
            </w:r>
          </w:p>
        </w:tc>
        <w:tc>
          <w:tcPr>
            <w:tcW w:w="3502" w:type="dxa"/>
          </w:tcPr>
          <w:p>
            <w:pPr>
              <w:pStyle w:val="GesAbsatz"/>
              <w:tabs>
                <w:tab w:val="clear" w:pos="425"/>
              </w:tabs>
              <w:rPr>
                <w:lang w:val="en-US"/>
              </w:rPr>
            </w:pPr>
            <w:r>
              <w:rPr>
                <w:lang w:val="en-US"/>
              </w:rPr>
              <w:t>Propen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394</w:t>
            </w:r>
          </w:p>
        </w:tc>
        <w:tc>
          <w:tcPr>
            <w:tcW w:w="2735" w:type="dxa"/>
          </w:tcPr>
          <w:p>
            <w:pPr>
              <w:pStyle w:val="GesAbsatz"/>
              <w:tabs>
                <w:tab w:val="clear" w:pos="425"/>
              </w:tabs>
              <w:rPr>
                <w:lang w:val="en-US"/>
              </w:rPr>
            </w:pPr>
            <w:r>
              <w:rPr>
                <w:lang w:val="en-US"/>
              </w:rPr>
              <w:t>H</w:t>
            </w:r>
            <w:r>
              <w:rPr>
                <w:vertAlign w:val="subscript"/>
                <w:lang w:val="en-US"/>
              </w:rPr>
              <w:t>3</w:t>
            </w:r>
            <w:r>
              <w:rPr>
                <w:lang w:val="en-US"/>
              </w:rPr>
              <w:t>C-CH</w:t>
            </w:r>
            <w:r>
              <w:rPr>
                <w:vertAlign w:val="subscript"/>
                <w:lang w:val="en-US"/>
              </w:rPr>
              <w:t>2</w:t>
            </w:r>
            <w:r>
              <w:rPr>
                <w:lang w:val="en-US"/>
              </w:rPr>
              <w:t>-CH</w:t>
            </w:r>
            <w:r>
              <w:rPr>
                <w:vertAlign w:val="subscript"/>
                <w:lang w:val="en-US"/>
              </w:rPr>
              <w:t>2</w:t>
            </w:r>
            <w:r>
              <w:rPr>
                <w:lang w:val="en-US"/>
              </w:rPr>
              <w:t>-CH</w:t>
            </w:r>
            <w:r>
              <w:rPr>
                <w:vertAlign w:val="subscript"/>
                <w:lang w:val="en-US"/>
              </w:rPr>
              <w:t>3</w:t>
            </w:r>
          </w:p>
        </w:tc>
        <w:tc>
          <w:tcPr>
            <w:tcW w:w="3502" w:type="dxa"/>
          </w:tcPr>
          <w:p>
            <w:pPr>
              <w:pStyle w:val="GesAbsatz"/>
              <w:tabs>
                <w:tab w:val="clear" w:pos="425"/>
              </w:tabs>
              <w:rPr>
                <w:lang w:val="en-US"/>
              </w:rPr>
            </w:pPr>
            <w:r>
              <w:rPr>
                <w:lang w:val="en-US"/>
              </w:rPr>
              <w:t>n-Butan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447</w:t>
            </w:r>
          </w:p>
        </w:tc>
        <w:tc>
          <w:tcPr>
            <w:tcW w:w="2735" w:type="dxa"/>
          </w:tcPr>
          <w:p>
            <w:pPr>
              <w:pStyle w:val="GesAbsatz"/>
              <w:tabs>
                <w:tab w:val="clear" w:pos="425"/>
              </w:tabs>
              <w:rPr>
                <w:lang w:val="en-US"/>
              </w:rPr>
            </w:pPr>
            <w:r>
              <w:rPr>
                <w:lang w:val="en-US"/>
              </w:rPr>
              <w:t>H</w:t>
            </w:r>
            <w:r>
              <w:rPr>
                <w:vertAlign w:val="subscript"/>
                <w:lang w:val="en-US"/>
              </w:rPr>
              <w:t>3</w:t>
            </w:r>
            <w:r>
              <w:rPr>
                <w:lang w:val="en-US"/>
              </w:rPr>
              <w:t>C-CH(CH</w:t>
            </w:r>
            <w:r>
              <w:rPr>
                <w:vertAlign w:val="subscript"/>
                <w:lang w:val="en-US"/>
              </w:rPr>
              <w:t>3</w:t>
            </w:r>
            <w:r>
              <w:rPr>
                <w:lang w:val="en-US"/>
              </w:rPr>
              <w:t>)</w:t>
            </w:r>
            <w:r>
              <w:rPr>
                <w:vertAlign w:val="subscript"/>
                <w:lang w:val="en-US"/>
              </w:rPr>
              <w:t>2</w:t>
            </w:r>
          </w:p>
        </w:tc>
        <w:tc>
          <w:tcPr>
            <w:tcW w:w="3502" w:type="dxa"/>
          </w:tcPr>
          <w:p>
            <w:pPr>
              <w:pStyle w:val="GesAbsatz"/>
              <w:tabs>
                <w:tab w:val="clear" w:pos="425"/>
              </w:tabs>
              <w:rPr>
                <w:lang w:val="en-US"/>
              </w:rPr>
            </w:pPr>
            <w:r>
              <w:rPr>
                <w:lang w:val="en-US"/>
              </w:rPr>
              <w:t>2-Methylpropran (i-Butan)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6005</w:t>
            </w:r>
          </w:p>
        </w:tc>
        <w:tc>
          <w:tcPr>
            <w:tcW w:w="2735" w:type="dxa"/>
          </w:tcPr>
          <w:p>
            <w:pPr>
              <w:pStyle w:val="GesAbsatz"/>
              <w:tabs>
                <w:tab w:val="clear" w:pos="425"/>
              </w:tabs>
              <w:rPr>
                <w:lang w:val="en-US"/>
              </w:rPr>
            </w:pPr>
            <w:r>
              <w:rPr>
                <w:lang w:val="en-US"/>
              </w:rPr>
              <w:t>H</w:t>
            </w:r>
            <w:r>
              <w:rPr>
                <w:vertAlign w:val="subscript"/>
                <w:lang w:val="en-US"/>
              </w:rPr>
              <w:t>2</w:t>
            </w:r>
            <w:r>
              <w:rPr>
                <w:lang w:val="en-US"/>
              </w:rPr>
              <w:t>C = CH-CH</w:t>
            </w:r>
            <w:r>
              <w:rPr>
                <w:vertAlign w:val="subscript"/>
                <w:lang w:val="en-US"/>
              </w:rPr>
              <w:t>2</w:t>
            </w:r>
            <w:r>
              <w:rPr>
                <w:lang w:val="en-US"/>
              </w:rPr>
              <w:t>-CH</w:t>
            </w:r>
            <w:r>
              <w:rPr>
                <w:vertAlign w:val="subscript"/>
                <w:lang w:val="en-US"/>
              </w:rPr>
              <w:t>3</w:t>
            </w:r>
          </w:p>
        </w:tc>
        <w:tc>
          <w:tcPr>
            <w:tcW w:w="3502" w:type="dxa"/>
          </w:tcPr>
          <w:p>
            <w:pPr>
              <w:pStyle w:val="GesAbsatz"/>
              <w:tabs>
                <w:tab w:val="clear" w:pos="425"/>
              </w:tabs>
              <w:rPr>
                <w:lang w:val="en-US"/>
              </w:rPr>
            </w:pPr>
            <w:r>
              <w:rPr>
                <w:lang w:val="en-US"/>
              </w:rPr>
              <w:t>1-Buten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6006</w:t>
            </w:r>
          </w:p>
        </w:tc>
        <w:tc>
          <w:tcPr>
            <w:tcW w:w="2735" w:type="dxa"/>
          </w:tcPr>
          <w:p>
            <w:pPr>
              <w:pStyle w:val="GesAbsatz"/>
              <w:tabs>
                <w:tab w:val="clear" w:pos="425"/>
              </w:tabs>
              <w:rPr>
                <w:lang w:val="en-US"/>
              </w:rPr>
            </w:pPr>
            <w:r>
              <w:rPr>
                <w:lang w:val="en-US"/>
              </w:rPr>
              <w:t>H</w:t>
            </w:r>
            <w:r>
              <w:rPr>
                <w:vertAlign w:val="subscript"/>
                <w:lang w:val="en-US"/>
              </w:rPr>
              <w:t>3</w:t>
            </w:r>
            <w:r>
              <w:rPr>
                <w:lang w:val="en-US"/>
              </w:rPr>
              <w:t>C-CH = CH-CH</w:t>
            </w:r>
            <w:r>
              <w:rPr>
                <w:vertAlign w:val="subscript"/>
                <w:lang w:val="en-US"/>
              </w:rPr>
              <w:t>3</w:t>
            </w:r>
          </w:p>
        </w:tc>
        <w:tc>
          <w:tcPr>
            <w:tcW w:w="3502" w:type="dxa"/>
          </w:tcPr>
          <w:p>
            <w:pPr>
              <w:pStyle w:val="GesAbsatz"/>
              <w:tabs>
                <w:tab w:val="clear" w:pos="425"/>
              </w:tabs>
              <w:rPr>
                <w:lang w:val="en-US"/>
              </w:rPr>
            </w:pPr>
            <w:r>
              <w:rPr>
                <w:lang w:val="en-US"/>
              </w:rPr>
              <w:t>trans-2-Buten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6007</w:t>
            </w:r>
          </w:p>
        </w:tc>
        <w:tc>
          <w:tcPr>
            <w:tcW w:w="2735" w:type="dxa"/>
          </w:tcPr>
          <w:p>
            <w:pPr>
              <w:pStyle w:val="GesAbsatz"/>
              <w:tabs>
                <w:tab w:val="clear" w:pos="425"/>
              </w:tabs>
              <w:rPr>
                <w:lang w:val="en-US"/>
              </w:rPr>
            </w:pPr>
            <w:r>
              <w:rPr>
                <w:lang w:val="en-US"/>
              </w:rPr>
              <w:t>H</w:t>
            </w:r>
            <w:r>
              <w:rPr>
                <w:vertAlign w:val="subscript"/>
                <w:lang w:val="en-US"/>
              </w:rPr>
              <w:t>3</w:t>
            </w:r>
            <w:r>
              <w:rPr>
                <w:lang w:val="en-US"/>
              </w:rPr>
              <w:t>C-CH = CH-CH</w:t>
            </w:r>
            <w:r>
              <w:rPr>
                <w:vertAlign w:val="subscript"/>
                <w:lang w:val="en-US"/>
              </w:rPr>
              <w:t>3</w:t>
            </w:r>
          </w:p>
        </w:tc>
        <w:tc>
          <w:tcPr>
            <w:tcW w:w="3502" w:type="dxa"/>
          </w:tcPr>
          <w:p>
            <w:pPr>
              <w:pStyle w:val="GesAbsatz"/>
              <w:tabs>
                <w:tab w:val="clear" w:pos="425"/>
              </w:tabs>
              <w:rPr>
                <w:lang w:val="en-US"/>
              </w:rPr>
            </w:pPr>
            <w:r>
              <w:rPr>
                <w:lang w:val="en-US"/>
              </w:rPr>
              <w:t>cis-2-Buten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24</w:t>
            </w:r>
          </w:p>
        </w:tc>
        <w:tc>
          <w:tcPr>
            <w:tcW w:w="2735" w:type="dxa"/>
          </w:tcPr>
          <w:p>
            <w:pPr>
              <w:pStyle w:val="GesAbsatz"/>
              <w:tabs>
                <w:tab w:val="clear" w:pos="425"/>
              </w:tabs>
              <w:rPr>
                <w:lang w:val="en-US"/>
              </w:rPr>
            </w:pPr>
            <w:r>
              <w:rPr>
                <w:lang w:val="en-US"/>
              </w:rPr>
              <w:t>CH</w:t>
            </w:r>
            <w:r>
              <w:rPr>
                <w:vertAlign w:val="subscript"/>
                <w:lang w:val="en-US"/>
              </w:rPr>
              <w:t>2</w:t>
            </w:r>
            <w:r>
              <w:rPr>
                <w:lang w:val="en-US"/>
              </w:rPr>
              <w:t xml:space="preserve"> = CH-CH = CH</w:t>
            </w:r>
            <w:r>
              <w:rPr>
                <w:vertAlign w:val="subscript"/>
                <w:lang w:val="en-US"/>
              </w:rPr>
              <w:t>2</w:t>
            </w:r>
          </w:p>
        </w:tc>
        <w:tc>
          <w:tcPr>
            <w:tcW w:w="3502" w:type="dxa"/>
          </w:tcPr>
          <w:p>
            <w:pPr>
              <w:pStyle w:val="GesAbsatz"/>
              <w:tabs>
                <w:tab w:val="clear" w:pos="425"/>
              </w:tabs>
              <w:rPr>
                <w:lang w:val="en-US"/>
              </w:rPr>
            </w:pPr>
            <w:r>
              <w:rPr>
                <w:lang w:val="en-US"/>
              </w:rPr>
              <w:t>1,3-Butadien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486</w:t>
            </w:r>
          </w:p>
        </w:tc>
        <w:tc>
          <w:tcPr>
            <w:tcW w:w="2735" w:type="dxa"/>
          </w:tcPr>
          <w:p>
            <w:pPr>
              <w:pStyle w:val="GesAbsatz"/>
              <w:tabs>
                <w:tab w:val="clear" w:pos="425"/>
              </w:tabs>
              <w:rPr>
                <w:lang w:val="en-US"/>
              </w:rPr>
            </w:pPr>
            <w:r>
              <w:rPr>
                <w:lang w:val="en-US"/>
              </w:rPr>
              <w:t>H</w:t>
            </w:r>
            <w:r>
              <w:rPr>
                <w:vertAlign w:val="subscript"/>
                <w:lang w:val="en-US"/>
              </w:rPr>
              <w:t>3</w:t>
            </w:r>
            <w:r>
              <w:rPr>
                <w:lang w:val="en-US"/>
              </w:rPr>
              <w:t>C-(CH</w:t>
            </w:r>
            <w:r>
              <w:rPr>
                <w:vertAlign w:val="subscript"/>
                <w:lang w:val="en-US"/>
              </w:rPr>
              <w:t>2</w:t>
            </w:r>
            <w:r>
              <w:rPr>
                <w:lang w:val="en-US"/>
              </w:rPr>
              <w:t>)</w:t>
            </w:r>
            <w:r>
              <w:rPr>
                <w:vertAlign w:val="subscript"/>
                <w:lang w:val="en-US"/>
              </w:rPr>
              <w:t>3</w:t>
            </w:r>
            <w:r>
              <w:rPr>
                <w:lang w:val="en-US"/>
              </w:rPr>
              <w:t>-CH</w:t>
            </w:r>
            <w:r>
              <w:rPr>
                <w:vertAlign w:val="subscript"/>
                <w:lang w:val="en-US"/>
              </w:rPr>
              <w:t>3</w:t>
            </w:r>
          </w:p>
        </w:tc>
        <w:tc>
          <w:tcPr>
            <w:tcW w:w="3502" w:type="dxa"/>
          </w:tcPr>
          <w:p>
            <w:pPr>
              <w:pStyle w:val="GesAbsatz"/>
              <w:tabs>
                <w:tab w:val="clear" w:pos="425"/>
              </w:tabs>
              <w:rPr>
                <w:lang w:val="en-US"/>
              </w:rPr>
            </w:pPr>
            <w:r>
              <w:rPr>
                <w:lang w:val="en-US"/>
              </w:rPr>
              <w:t>n-Pentan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450</w:t>
            </w:r>
          </w:p>
        </w:tc>
        <w:tc>
          <w:tcPr>
            <w:tcW w:w="2735" w:type="dxa"/>
          </w:tcPr>
          <w:p>
            <w:pPr>
              <w:pStyle w:val="GesAbsatz"/>
              <w:tabs>
                <w:tab w:val="clear" w:pos="425"/>
              </w:tabs>
              <w:rPr>
                <w:lang w:val="en-US"/>
              </w:rPr>
            </w:pPr>
            <w:r>
              <w:rPr>
                <w:lang w:val="en-US"/>
              </w:rPr>
              <w:t>H</w:t>
            </w:r>
            <w:r>
              <w:rPr>
                <w:vertAlign w:val="subscript"/>
                <w:lang w:val="en-US"/>
              </w:rPr>
              <w:t>3</w:t>
            </w:r>
            <w:r>
              <w:rPr>
                <w:lang w:val="en-US"/>
              </w:rPr>
              <w:t>C-CH</w:t>
            </w:r>
            <w:r>
              <w:rPr>
                <w:vertAlign w:val="subscript"/>
                <w:lang w:val="en-US"/>
              </w:rPr>
              <w:t>2</w:t>
            </w:r>
            <w:r>
              <w:rPr>
                <w:lang w:val="en-US"/>
              </w:rPr>
              <w:t>-CH(CH</w:t>
            </w:r>
            <w:r>
              <w:rPr>
                <w:vertAlign w:val="subscript"/>
                <w:lang w:val="en-US"/>
              </w:rPr>
              <w:t>3</w:t>
            </w:r>
            <w:r>
              <w:rPr>
                <w:lang w:val="en-US"/>
              </w:rPr>
              <w:t>)</w:t>
            </w:r>
            <w:r>
              <w:rPr>
                <w:vertAlign w:val="subscript"/>
                <w:lang w:val="en-US"/>
              </w:rPr>
              <w:t>2</w:t>
            </w:r>
          </w:p>
        </w:tc>
        <w:tc>
          <w:tcPr>
            <w:tcW w:w="3502" w:type="dxa"/>
          </w:tcPr>
          <w:p>
            <w:pPr>
              <w:pStyle w:val="GesAbsatz"/>
              <w:tabs>
                <w:tab w:val="clear" w:pos="425"/>
              </w:tabs>
              <w:rPr>
                <w:lang w:val="en-US"/>
              </w:rPr>
            </w:pPr>
            <w:r>
              <w:rPr>
                <w:lang w:val="en-US"/>
              </w:rPr>
              <w:t>2-Methylbutan (</w:t>
            </w:r>
            <w:proofErr w:type="spellStart"/>
            <w:r>
              <w:rPr>
                <w:lang w:val="en-US"/>
              </w:rPr>
              <w:t>i</w:t>
            </w:r>
            <w:proofErr w:type="spellEnd"/>
            <w:r>
              <w:rPr>
                <w:lang w:val="en-US"/>
              </w:rPr>
              <w:t>-Pentan)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6008</w:t>
            </w:r>
          </w:p>
        </w:tc>
        <w:tc>
          <w:tcPr>
            <w:tcW w:w="2735" w:type="dxa"/>
          </w:tcPr>
          <w:p>
            <w:pPr>
              <w:pStyle w:val="GesAbsatz"/>
              <w:tabs>
                <w:tab w:val="clear" w:pos="425"/>
              </w:tabs>
              <w:rPr>
                <w:lang w:val="en-US"/>
              </w:rPr>
            </w:pPr>
            <w:r>
              <w:rPr>
                <w:lang w:val="en-US"/>
              </w:rPr>
              <w:t>H</w:t>
            </w:r>
            <w:r>
              <w:rPr>
                <w:vertAlign w:val="subscript"/>
                <w:lang w:val="en-US"/>
              </w:rPr>
              <w:t>2</w:t>
            </w:r>
            <w:r>
              <w:rPr>
                <w:lang w:val="en-US"/>
              </w:rPr>
              <w:t>C = CH-CH</w:t>
            </w:r>
            <w:r>
              <w:rPr>
                <w:vertAlign w:val="subscript"/>
                <w:lang w:val="en-US"/>
              </w:rPr>
              <w:t>2</w:t>
            </w:r>
            <w:r>
              <w:rPr>
                <w:lang w:val="en-US"/>
              </w:rPr>
              <w:t>-CH</w:t>
            </w:r>
            <w:r>
              <w:rPr>
                <w:vertAlign w:val="subscript"/>
                <w:lang w:val="en-US"/>
              </w:rPr>
              <w:t>2</w:t>
            </w:r>
            <w:r>
              <w:rPr>
                <w:lang w:val="en-US"/>
              </w:rPr>
              <w:t>-CH</w:t>
            </w:r>
            <w:r>
              <w:rPr>
                <w:vertAlign w:val="subscript"/>
                <w:lang w:val="en-US"/>
              </w:rPr>
              <w:t>3</w:t>
            </w:r>
          </w:p>
        </w:tc>
        <w:tc>
          <w:tcPr>
            <w:tcW w:w="3502" w:type="dxa"/>
          </w:tcPr>
          <w:p>
            <w:pPr>
              <w:pStyle w:val="GesAbsatz"/>
              <w:tabs>
                <w:tab w:val="clear" w:pos="425"/>
              </w:tabs>
              <w:rPr>
                <w:lang w:val="en-US"/>
              </w:rPr>
            </w:pPr>
            <w:r>
              <w:rPr>
                <w:lang w:val="en-US"/>
              </w:rPr>
              <w:t>1-Penten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6009</w:t>
            </w:r>
          </w:p>
        </w:tc>
        <w:tc>
          <w:tcPr>
            <w:tcW w:w="2735" w:type="dxa"/>
          </w:tcPr>
          <w:p>
            <w:pPr>
              <w:pStyle w:val="GesAbsatz"/>
              <w:tabs>
                <w:tab w:val="clear" w:pos="425"/>
              </w:tabs>
              <w:rPr>
                <w:lang w:val="en-US"/>
              </w:rPr>
            </w:pPr>
            <w:r>
              <w:rPr>
                <w:lang w:val="en-US"/>
              </w:rPr>
              <w:t>H</w:t>
            </w:r>
            <w:r>
              <w:rPr>
                <w:vertAlign w:val="subscript"/>
                <w:lang w:val="en-US"/>
              </w:rPr>
              <w:t>3</w:t>
            </w:r>
            <w:r>
              <w:rPr>
                <w:lang w:val="en-US"/>
              </w:rPr>
              <w:t>C-HC = CH-CH</w:t>
            </w:r>
            <w:r>
              <w:rPr>
                <w:vertAlign w:val="subscript"/>
                <w:lang w:val="en-US"/>
              </w:rPr>
              <w:t>2</w:t>
            </w:r>
            <w:r>
              <w:rPr>
                <w:lang w:val="en-US"/>
              </w:rPr>
              <w:t>-CH</w:t>
            </w:r>
            <w:r>
              <w:rPr>
                <w:vertAlign w:val="subscript"/>
                <w:lang w:val="en-US"/>
              </w:rPr>
              <w:t>3</w:t>
            </w:r>
          </w:p>
        </w:tc>
        <w:tc>
          <w:tcPr>
            <w:tcW w:w="3502" w:type="dxa"/>
          </w:tcPr>
          <w:p>
            <w:pPr>
              <w:pStyle w:val="GesAbsatz"/>
              <w:tabs>
                <w:tab w:val="clear" w:pos="425"/>
              </w:tabs>
              <w:rPr>
                <w:lang w:val="en-US"/>
              </w:rPr>
            </w:pPr>
            <w:r>
              <w:rPr>
                <w:lang w:val="en-US"/>
              </w:rPr>
              <w:t>2-Penten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451</w:t>
            </w:r>
          </w:p>
        </w:tc>
        <w:tc>
          <w:tcPr>
            <w:tcW w:w="2735" w:type="dxa"/>
          </w:tcPr>
          <w:p>
            <w:pPr>
              <w:pStyle w:val="GesAbsatz"/>
              <w:tabs>
                <w:tab w:val="clear" w:pos="425"/>
              </w:tabs>
              <w:rPr>
                <w:lang w:val="en-US"/>
              </w:rPr>
            </w:pPr>
            <w:r>
              <w:rPr>
                <w:lang w:val="en-US"/>
              </w:rPr>
              <w:t>CH</w:t>
            </w:r>
            <w:r>
              <w:rPr>
                <w:vertAlign w:val="subscript"/>
                <w:lang w:val="en-US"/>
              </w:rPr>
              <w:t>2</w:t>
            </w:r>
            <w:r>
              <w:rPr>
                <w:lang w:val="en-US"/>
              </w:rPr>
              <w:t xml:space="preserve"> = CH-C(CH</w:t>
            </w:r>
            <w:r>
              <w:rPr>
                <w:vertAlign w:val="subscript"/>
                <w:lang w:val="en-US"/>
              </w:rPr>
              <w:t>3</w:t>
            </w:r>
            <w:r>
              <w:rPr>
                <w:lang w:val="en-US"/>
              </w:rPr>
              <w:t>) = CH</w:t>
            </w:r>
            <w:r>
              <w:rPr>
                <w:vertAlign w:val="subscript"/>
                <w:lang w:val="en-US"/>
              </w:rPr>
              <w:t>2</w:t>
            </w:r>
          </w:p>
        </w:tc>
        <w:tc>
          <w:tcPr>
            <w:tcW w:w="3502" w:type="dxa"/>
          </w:tcPr>
          <w:p>
            <w:pPr>
              <w:pStyle w:val="GesAbsatz"/>
              <w:tabs>
                <w:tab w:val="clear" w:pos="425"/>
              </w:tabs>
              <w:rPr>
                <w:lang w:val="en-US"/>
              </w:rPr>
            </w:pPr>
            <w:r>
              <w:rPr>
                <w:lang w:val="en-US"/>
              </w:rPr>
              <w:t>2-Methyl-1,3-Butadien (Isopren)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443</w:t>
            </w:r>
          </w:p>
        </w:tc>
        <w:tc>
          <w:tcPr>
            <w:tcW w:w="2735" w:type="dxa"/>
          </w:tcPr>
          <w:p>
            <w:pPr>
              <w:pStyle w:val="GesAbsatz"/>
              <w:tabs>
                <w:tab w:val="clear" w:pos="425"/>
              </w:tabs>
              <w:rPr>
                <w:lang w:val="en-US"/>
              </w:rPr>
            </w:pPr>
            <w:r>
              <w:rPr>
                <w:lang w:val="en-US"/>
              </w:rPr>
              <w:t>C</w:t>
            </w:r>
            <w:r>
              <w:rPr>
                <w:vertAlign w:val="subscript"/>
                <w:lang w:val="en-US"/>
              </w:rPr>
              <w:t>6</w:t>
            </w:r>
            <w:r>
              <w:rPr>
                <w:lang w:val="en-US"/>
              </w:rPr>
              <w:t>H</w:t>
            </w:r>
            <w:r>
              <w:rPr>
                <w:vertAlign w:val="subscript"/>
                <w:lang w:val="en-US"/>
              </w:rPr>
              <w:t>14</w:t>
            </w:r>
          </w:p>
        </w:tc>
        <w:tc>
          <w:tcPr>
            <w:tcW w:w="3502" w:type="dxa"/>
          </w:tcPr>
          <w:p>
            <w:pPr>
              <w:pStyle w:val="GesAbsatz"/>
              <w:tabs>
                <w:tab w:val="clear" w:pos="425"/>
              </w:tabs>
              <w:rPr>
                <w:lang w:val="en-US"/>
              </w:rPr>
            </w:pPr>
            <w:r>
              <w:rPr>
                <w:lang w:val="en-US"/>
              </w:rPr>
              <w:t>n-Hexan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316</w:t>
            </w:r>
          </w:p>
        </w:tc>
        <w:tc>
          <w:tcPr>
            <w:tcW w:w="2735" w:type="dxa"/>
          </w:tcPr>
          <w:p>
            <w:pPr>
              <w:pStyle w:val="GesAbsatz"/>
              <w:tabs>
                <w:tab w:val="clear" w:pos="425"/>
              </w:tabs>
              <w:rPr>
                <w:lang w:val="en-US"/>
              </w:rPr>
            </w:pPr>
            <w:r>
              <w:rPr>
                <w:lang w:val="en-US"/>
              </w:rPr>
              <w:t>(CH</w:t>
            </w:r>
            <w:r>
              <w:rPr>
                <w:vertAlign w:val="subscript"/>
                <w:lang w:val="en-US"/>
              </w:rPr>
              <w:t>3</w:t>
            </w:r>
            <w:r>
              <w:rPr>
                <w:lang w:val="en-US"/>
              </w:rPr>
              <w:t>)</w:t>
            </w:r>
            <w:r>
              <w:rPr>
                <w:vertAlign w:val="subscript"/>
                <w:lang w:val="en-US"/>
              </w:rPr>
              <w:t>2</w:t>
            </w:r>
            <w:r>
              <w:rPr>
                <w:lang w:val="en-US"/>
              </w:rPr>
              <w:t>-CH-CH</w:t>
            </w:r>
            <w:r>
              <w:rPr>
                <w:vertAlign w:val="subscript"/>
                <w:lang w:val="en-US"/>
              </w:rPr>
              <w:t>2</w:t>
            </w:r>
            <w:r>
              <w:rPr>
                <w:lang w:val="en-US"/>
              </w:rPr>
              <w:t>-CH</w:t>
            </w:r>
            <w:r>
              <w:rPr>
                <w:vertAlign w:val="subscript"/>
                <w:lang w:val="en-US"/>
              </w:rPr>
              <w:t>2</w:t>
            </w:r>
            <w:r>
              <w:rPr>
                <w:lang w:val="en-US"/>
              </w:rPr>
              <w:t>-CH</w:t>
            </w:r>
            <w:r>
              <w:rPr>
                <w:vertAlign w:val="subscript"/>
                <w:lang w:val="en-US"/>
              </w:rPr>
              <w:t>3</w:t>
            </w:r>
          </w:p>
        </w:tc>
        <w:tc>
          <w:tcPr>
            <w:tcW w:w="3502" w:type="dxa"/>
          </w:tcPr>
          <w:p>
            <w:pPr>
              <w:pStyle w:val="GesAbsatz"/>
              <w:tabs>
                <w:tab w:val="clear" w:pos="425"/>
              </w:tabs>
              <w:rPr>
                <w:lang w:val="en-US"/>
              </w:rPr>
            </w:pPr>
            <w:r>
              <w:rPr>
                <w:lang w:val="en-US"/>
              </w:rPr>
              <w:t>2-Methylpentan (</w:t>
            </w:r>
            <w:proofErr w:type="spellStart"/>
            <w:r>
              <w:rPr>
                <w:lang w:val="en-US"/>
              </w:rPr>
              <w:t>i</w:t>
            </w:r>
            <w:proofErr w:type="spellEnd"/>
            <w:r>
              <w:rPr>
                <w:lang w:val="en-US"/>
              </w:rPr>
              <w:t>-Hexan)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pPr>
            <w:r>
              <w:t>441</w:t>
            </w:r>
          </w:p>
        </w:tc>
        <w:tc>
          <w:tcPr>
            <w:tcW w:w="2735" w:type="dxa"/>
          </w:tcPr>
          <w:p>
            <w:pPr>
              <w:pStyle w:val="GesAbsatz"/>
              <w:tabs>
                <w:tab w:val="clear" w:pos="425"/>
              </w:tabs>
            </w:pPr>
            <w:r>
              <w:t>C</w:t>
            </w:r>
            <w:r>
              <w:rPr>
                <w:vertAlign w:val="subscript"/>
              </w:rPr>
              <w:t>7</w:t>
            </w:r>
            <w:r>
              <w:t>H</w:t>
            </w:r>
            <w:r>
              <w:rPr>
                <w:vertAlign w:val="subscript"/>
              </w:rPr>
              <w:t>16</w:t>
            </w:r>
          </w:p>
        </w:tc>
        <w:tc>
          <w:tcPr>
            <w:tcW w:w="3502" w:type="dxa"/>
          </w:tcPr>
          <w:p>
            <w:pPr>
              <w:pStyle w:val="GesAbsatz"/>
              <w:tabs>
                <w:tab w:val="clear" w:pos="425"/>
              </w:tabs>
            </w:pPr>
            <w:r>
              <w:t>n-Heptan</w:t>
            </w:r>
          </w:p>
        </w:tc>
        <w:tc>
          <w:tcPr>
            <w:tcW w:w="1636" w:type="dxa"/>
          </w:tcPr>
          <w:p>
            <w:pPr>
              <w:pStyle w:val="GesAbsatz"/>
              <w:tabs>
                <w:tab w:val="clear" w:pos="425"/>
              </w:tabs>
            </w:pPr>
            <w:r>
              <w:t>μg/m³</w:t>
            </w:r>
          </w:p>
        </w:tc>
      </w:tr>
      <w:tr>
        <w:tc>
          <w:tcPr>
            <w:tcW w:w="1809" w:type="dxa"/>
          </w:tcPr>
          <w:p>
            <w:pPr>
              <w:pStyle w:val="GesAbsatz"/>
              <w:tabs>
                <w:tab w:val="clear" w:pos="425"/>
              </w:tabs>
            </w:pPr>
            <w:r>
              <w:t>475</w:t>
            </w:r>
          </w:p>
        </w:tc>
        <w:tc>
          <w:tcPr>
            <w:tcW w:w="2735" w:type="dxa"/>
          </w:tcPr>
          <w:p>
            <w:pPr>
              <w:pStyle w:val="GesAbsatz"/>
              <w:tabs>
                <w:tab w:val="clear" w:pos="425"/>
              </w:tabs>
            </w:pPr>
            <w:r>
              <w:t>C</w:t>
            </w:r>
            <w:r>
              <w:rPr>
                <w:vertAlign w:val="subscript"/>
              </w:rPr>
              <w:t>8</w:t>
            </w:r>
            <w:r>
              <w:t>H</w:t>
            </w:r>
            <w:r>
              <w:rPr>
                <w:vertAlign w:val="subscript"/>
              </w:rPr>
              <w:t>18</w:t>
            </w:r>
          </w:p>
        </w:tc>
        <w:tc>
          <w:tcPr>
            <w:tcW w:w="3502" w:type="dxa"/>
          </w:tcPr>
          <w:p>
            <w:pPr>
              <w:pStyle w:val="GesAbsatz"/>
              <w:tabs>
                <w:tab w:val="clear" w:pos="425"/>
              </w:tabs>
            </w:pPr>
            <w:r>
              <w:t>n-Oktan</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449</w:t>
            </w:r>
          </w:p>
        </w:tc>
        <w:tc>
          <w:tcPr>
            <w:tcW w:w="2735" w:type="dxa"/>
          </w:tcPr>
          <w:p>
            <w:pPr>
              <w:pStyle w:val="GesAbsatz"/>
              <w:tabs>
                <w:tab w:val="clear" w:pos="425"/>
              </w:tabs>
              <w:rPr>
                <w:lang w:val="en-US"/>
              </w:rPr>
            </w:pPr>
            <w:r>
              <w:rPr>
                <w:lang w:val="en-US"/>
              </w:rPr>
              <w:t>(CH</w:t>
            </w:r>
            <w:r>
              <w:rPr>
                <w:vertAlign w:val="subscript"/>
                <w:lang w:val="en-US"/>
              </w:rPr>
              <w:t>3</w:t>
            </w:r>
            <w:r>
              <w:rPr>
                <w:lang w:val="en-US"/>
              </w:rPr>
              <w:t>)</w:t>
            </w:r>
            <w:r>
              <w:rPr>
                <w:vertAlign w:val="subscript"/>
                <w:lang w:val="en-US"/>
              </w:rPr>
              <w:t>3</w:t>
            </w:r>
            <w:r>
              <w:rPr>
                <w:lang w:val="en-US"/>
              </w:rPr>
              <w:t>-C-CH</w:t>
            </w:r>
            <w:r>
              <w:rPr>
                <w:vertAlign w:val="subscript"/>
                <w:lang w:val="en-US"/>
              </w:rPr>
              <w:t>2</w:t>
            </w:r>
            <w:r>
              <w:rPr>
                <w:lang w:val="en-US"/>
              </w:rPr>
              <w:t>-CH-(CH</w:t>
            </w:r>
            <w:r>
              <w:rPr>
                <w:vertAlign w:val="subscript"/>
                <w:lang w:val="en-US"/>
              </w:rPr>
              <w:t>3</w:t>
            </w:r>
            <w:r>
              <w:rPr>
                <w:lang w:val="en-US"/>
              </w:rPr>
              <w:t>)</w:t>
            </w:r>
            <w:r>
              <w:rPr>
                <w:vertAlign w:val="subscript"/>
                <w:lang w:val="en-US"/>
              </w:rPr>
              <w:t>2</w:t>
            </w:r>
          </w:p>
        </w:tc>
        <w:tc>
          <w:tcPr>
            <w:tcW w:w="3502" w:type="dxa"/>
          </w:tcPr>
          <w:p>
            <w:pPr>
              <w:pStyle w:val="GesAbsatz"/>
              <w:tabs>
                <w:tab w:val="clear" w:pos="425"/>
              </w:tabs>
              <w:rPr>
                <w:lang w:val="en-US"/>
              </w:rPr>
            </w:pPr>
            <w:r>
              <w:rPr>
                <w:lang w:val="en-US"/>
              </w:rPr>
              <w:t>2,2,4-Trimethylpentan (</w:t>
            </w:r>
            <w:proofErr w:type="spellStart"/>
            <w:r>
              <w:rPr>
                <w:lang w:val="en-US"/>
              </w:rPr>
              <w:t>i</w:t>
            </w:r>
            <w:proofErr w:type="spellEnd"/>
            <w:r>
              <w:rPr>
                <w:lang w:val="en-US"/>
              </w:rPr>
              <w:t>-Oktan)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21</w:t>
            </w:r>
          </w:p>
        </w:tc>
        <w:tc>
          <w:tcPr>
            <w:tcW w:w="2735" w:type="dxa"/>
          </w:tcPr>
          <w:p>
            <w:pPr>
              <w:pStyle w:val="GesAbsatz"/>
              <w:tabs>
                <w:tab w:val="clear" w:pos="425"/>
              </w:tabs>
              <w:rPr>
                <w:lang w:val="en-US"/>
              </w:rPr>
            </w:pPr>
            <w:r>
              <w:rPr>
                <w:lang w:val="en-US"/>
              </w:rPr>
              <w:t>C</w:t>
            </w:r>
            <w:r>
              <w:rPr>
                <w:vertAlign w:val="subscript"/>
                <w:lang w:val="en-US"/>
              </w:rPr>
              <w:t>6</w:t>
            </w:r>
            <w:r>
              <w:rPr>
                <w:lang w:val="en-US"/>
              </w:rPr>
              <w:t>H</w:t>
            </w:r>
            <w:r>
              <w:rPr>
                <w:vertAlign w:val="subscript"/>
                <w:lang w:val="en-US"/>
              </w:rPr>
              <w:t>5</w:t>
            </w:r>
            <w:r>
              <w:rPr>
                <w:lang w:val="en-US"/>
              </w:rPr>
              <w:t>-CH</w:t>
            </w:r>
            <w:r>
              <w:rPr>
                <w:vertAlign w:val="subscript"/>
                <w:lang w:val="en-US"/>
              </w:rPr>
              <w:t>3</w:t>
            </w:r>
          </w:p>
        </w:tc>
        <w:tc>
          <w:tcPr>
            <w:tcW w:w="3502" w:type="dxa"/>
          </w:tcPr>
          <w:p>
            <w:pPr>
              <w:pStyle w:val="GesAbsatz"/>
              <w:tabs>
                <w:tab w:val="clear" w:pos="425"/>
              </w:tabs>
              <w:rPr>
                <w:lang w:val="en-US"/>
              </w:rPr>
            </w:pPr>
            <w:r>
              <w:rPr>
                <w:lang w:val="en-US"/>
              </w:rPr>
              <w:t>Toluen</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pPr>
            <w:r>
              <w:t>431</w:t>
            </w:r>
          </w:p>
        </w:tc>
        <w:tc>
          <w:tcPr>
            <w:tcW w:w="2735" w:type="dxa"/>
          </w:tcPr>
          <w:p>
            <w:pPr>
              <w:pStyle w:val="GesAbsatz"/>
              <w:tabs>
                <w:tab w:val="clear" w:pos="425"/>
              </w:tabs>
            </w:pPr>
            <w:r>
              <w:t>C</w:t>
            </w:r>
            <w:r>
              <w:rPr>
                <w:vertAlign w:val="subscript"/>
              </w:rPr>
              <w:t>6</w:t>
            </w:r>
            <w:r>
              <w:t>H</w:t>
            </w:r>
            <w:r>
              <w:rPr>
                <w:vertAlign w:val="subscript"/>
              </w:rPr>
              <w:t>5</w:t>
            </w:r>
            <w:r>
              <w:t>-C</w:t>
            </w:r>
            <w:r>
              <w:rPr>
                <w:vertAlign w:val="subscript"/>
              </w:rPr>
              <w:t>2</w:t>
            </w:r>
            <w:r>
              <w:t>H</w:t>
            </w:r>
            <w:r>
              <w:rPr>
                <w:vertAlign w:val="subscript"/>
              </w:rPr>
              <w:t>5</w:t>
            </w:r>
          </w:p>
        </w:tc>
        <w:tc>
          <w:tcPr>
            <w:tcW w:w="3502" w:type="dxa"/>
          </w:tcPr>
          <w:p>
            <w:pPr>
              <w:pStyle w:val="GesAbsatz"/>
              <w:tabs>
                <w:tab w:val="clear" w:pos="425"/>
              </w:tabs>
            </w:pPr>
            <w:r>
              <w:t>Ethylbenzol</w:t>
            </w:r>
          </w:p>
        </w:tc>
        <w:tc>
          <w:tcPr>
            <w:tcW w:w="1636" w:type="dxa"/>
          </w:tcPr>
          <w:p>
            <w:pPr>
              <w:pStyle w:val="GesAbsatz"/>
              <w:tabs>
                <w:tab w:val="clear" w:pos="425"/>
              </w:tabs>
            </w:pPr>
            <w:r>
              <w:t>μg/m³</w:t>
            </w:r>
          </w:p>
        </w:tc>
      </w:tr>
      <w:tr>
        <w:tc>
          <w:tcPr>
            <w:tcW w:w="1809" w:type="dxa"/>
          </w:tcPr>
          <w:p>
            <w:pPr>
              <w:pStyle w:val="GesAbsatz"/>
              <w:tabs>
                <w:tab w:val="clear" w:pos="425"/>
              </w:tabs>
            </w:pPr>
            <w:r>
              <w:t>464</w:t>
            </w:r>
          </w:p>
        </w:tc>
        <w:tc>
          <w:tcPr>
            <w:tcW w:w="2735" w:type="dxa"/>
          </w:tcPr>
          <w:p>
            <w:pPr>
              <w:pStyle w:val="GesAbsatz"/>
              <w:tabs>
                <w:tab w:val="clear" w:pos="425"/>
              </w:tabs>
            </w:pPr>
            <w:r>
              <w:t>m,p-C</w:t>
            </w:r>
            <w:r>
              <w:rPr>
                <w:vertAlign w:val="subscript"/>
              </w:rPr>
              <w:t>6</w:t>
            </w:r>
            <w:r>
              <w:t>H</w:t>
            </w:r>
            <w:r>
              <w:rPr>
                <w:vertAlign w:val="subscript"/>
              </w:rPr>
              <w:t>4</w:t>
            </w:r>
            <w:r>
              <w:t>-(CH</w:t>
            </w:r>
            <w:r>
              <w:rPr>
                <w:vertAlign w:val="subscript"/>
              </w:rPr>
              <w:t>3</w:t>
            </w:r>
            <w:r>
              <w:t>)</w:t>
            </w:r>
            <w:r>
              <w:rPr>
                <w:vertAlign w:val="subscript"/>
              </w:rPr>
              <w:t>2</w:t>
            </w:r>
          </w:p>
        </w:tc>
        <w:tc>
          <w:tcPr>
            <w:tcW w:w="3502" w:type="dxa"/>
          </w:tcPr>
          <w:p>
            <w:pPr>
              <w:pStyle w:val="GesAbsatz"/>
              <w:tabs>
                <w:tab w:val="clear" w:pos="425"/>
              </w:tabs>
            </w:pPr>
            <w:proofErr w:type="spellStart"/>
            <w:r>
              <w:t>m,p</w:t>
            </w:r>
            <w:proofErr w:type="spellEnd"/>
            <w:r>
              <w:t>-Xylen</w:t>
            </w:r>
          </w:p>
        </w:tc>
        <w:tc>
          <w:tcPr>
            <w:tcW w:w="1636" w:type="dxa"/>
          </w:tcPr>
          <w:p>
            <w:pPr>
              <w:pStyle w:val="GesAbsatz"/>
              <w:tabs>
                <w:tab w:val="clear" w:pos="425"/>
              </w:tabs>
            </w:pPr>
            <w:r>
              <w:t>μg/m³</w:t>
            </w:r>
          </w:p>
        </w:tc>
      </w:tr>
      <w:tr>
        <w:tc>
          <w:tcPr>
            <w:tcW w:w="1809" w:type="dxa"/>
          </w:tcPr>
          <w:p>
            <w:pPr>
              <w:pStyle w:val="GesAbsatz"/>
              <w:tabs>
                <w:tab w:val="clear" w:pos="425"/>
              </w:tabs>
            </w:pPr>
            <w:r>
              <w:t>482</w:t>
            </w:r>
          </w:p>
        </w:tc>
        <w:tc>
          <w:tcPr>
            <w:tcW w:w="2735" w:type="dxa"/>
          </w:tcPr>
          <w:p>
            <w:pPr>
              <w:pStyle w:val="GesAbsatz"/>
              <w:tabs>
                <w:tab w:val="clear" w:pos="425"/>
              </w:tabs>
            </w:pPr>
            <w:r>
              <w:t>o-C</w:t>
            </w:r>
            <w:r>
              <w:rPr>
                <w:vertAlign w:val="subscript"/>
              </w:rPr>
              <w:t>6</w:t>
            </w:r>
            <w:r>
              <w:t>H</w:t>
            </w:r>
            <w:r>
              <w:rPr>
                <w:vertAlign w:val="subscript"/>
              </w:rPr>
              <w:t>4</w:t>
            </w:r>
            <w:r>
              <w:t>-(CH</w:t>
            </w:r>
            <w:r>
              <w:rPr>
                <w:vertAlign w:val="subscript"/>
              </w:rPr>
              <w:t>3</w:t>
            </w:r>
            <w:r>
              <w:t>)</w:t>
            </w:r>
            <w:r>
              <w:rPr>
                <w:vertAlign w:val="subscript"/>
              </w:rPr>
              <w:t>2</w:t>
            </w:r>
          </w:p>
        </w:tc>
        <w:tc>
          <w:tcPr>
            <w:tcW w:w="3502" w:type="dxa"/>
          </w:tcPr>
          <w:p>
            <w:pPr>
              <w:pStyle w:val="GesAbsatz"/>
              <w:tabs>
                <w:tab w:val="clear" w:pos="425"/>
              </w:tabs>
            </w:pPr>
            <w:r>
              <w:t>o-Xylen</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6011</w:t>
            </w:r>
          </w:p>
        </w:tc>
        <w:tc>
          <w:tcPr>
            <w:tcW w:w="2735" w:type="dxa"/>
          </w:tcPr>
          <w:p>
            <w:pPr>
              <w:pStyle w:val="GesAbsatz"/>
              <w:tabs>
                <w:tab w:val="clear" w:pos="425"/>
              </w:tabs>
              <w:rPr>
                <w:lang w:val="en-US"/>
              </w:rPr>
            </w:pPr>
            <w:r>
              <w:rPr>
                <w:lang w:val="en-US"/>
              </w:rPr>
              <w:t>C</w:t>
            </w:r>
            <w:r>
              <w:rPr>
                <w:vertAlign w:val="subscript"/>
                <w:lang w:val="en-US"/>
              </w:rPr>
              <w:t>6</w:t>
            </w:r>
            <w:r>
              <w:rPr>
                <w:lang w:val="en-US"/>
              </w:rPr>
              <w:t>H</w:t>
            </w:r>
            <w:r>
              <w:rPr>
                <w:vertAlign w:val="subscript"/>
                <w:lang w:val="en-US"/>
              </w:rPr>
              <w:t>3</w:t>
            </w:r>
            <w:r>
              <w:rPr>
                <w:lang w:val="en-US"/>
              </w:rPr>
              <w:t>(CH</w:t>
            </w:r>
            <w:r>
              <w:rPr>
                <w:vertAlign w:val="subscript"/>
                <w:lang w:val="en-US"/>
              </w:rPr>
              <w:t>3</w:t>
            </w:r>
            <w:r>
              <w:rPr>
                <w:lang w:val="en-US"/>
              </w:rPr>
              <w:t>)</w:t>
            </w:r>
            <w:r>
              <w:rPr>
                <w:vertAlign w:val="subscript"/>
                <w:lang w:val="en-US"/>
              </w:rPr>
              <w:t>3</w:t>
            </w:r>
          </w:p>
        </w:tc>
        <w:tc>
          <w:tcPr>
            <w:tcW w:w="3502" w:type="dxa"/>
          </w:tcPr>
          <w:p>
            <w:pPr>
              <w:pStyle w:val="GesAbsatz"/>
              <w:tabs>
                <w:tab w:val="clear" w:pos="425"/>
              </w:tabs>
              <w:rPr>
                <w:lang w:val="en-US"/>
              </w:rPr>
            </w:pPr>
            <w:r>
              <w:rPr>
                <w:lang w:val="en-US"/>
              </w:rPr>
              <w:t>1,2,4-Trimethylbenzol</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6012</w:t>
            </w:r>
          </w:p>
        </w:tc>
        <w:tc>
          <w:tcPr>
            <w:tcW w:w="2735" w:type="dxa"/>
          </w:tcPr>
          <w:p>
            <w:pPr>
              <w:pStyle w:val="GesAbsatz"/>
              <w:tabs>
                <w:tab w:val="clear" w:pos="425"/>
              </w:tabs>
              <w:rPr>
                <w:lang w:val="en-US"/>
              </w:rPr>
            </w:pPr>
            <w:r>
              <w:rPr>
                <w:lang w:val="en-US"/>
              </w:rPr>
              <w:t>C</w:t>
            </w:r>
            <w:r>
              <w:rPr>
                <w:vertAlign w:val="subscript"/>
                <w:lang w:val="en-US"/>
              </w:rPr>
              <w:t>6</w:t>
            </w:r>
            <w:r>
              <w:rPr>
                <w:lang w:val="en-US"/>
              </w:rPr>
              <w:t>H</w:t>
            </w:r>
            <w:r>
              <w:rPr>
                <w:vertAlign w:val="subscript"/>
                <w:lang w:val="en-US"/>
              </w:rPr>
              <w:t>3</w:t>
            </w:r>
            <w:r>
              <w:rPr>
                <w:lang w:val="en-US"/>
              </w:rPr>
              <w:t>(CH</w:t>
            </w:r>
            <w:r>
              <w:rPr>
                <w:vertAlign w:val="subscript"/>
                <w:lang w:val="en-US"/>
              </w:rPr>
              <w:t>3</w:t>
            </w:r>
            <w:r>
              <w:rPr>
                <w:lang w:val="en-US"/>
              </w:rPr>
              <w:t>)</w:t>
            </w:r>
            <w:r>
              <w:rPr>
                <w:vertAlign w:val="subscript"/>
                <w:lang w:val="en-US"/>
              </w:rPr>
              <w:t>3</w:t>
            </w:r>
          </w:p>
        </w:tc>
        <w:tc>
          <w:tcPr>
            <w:tcW w:w="3502" w:type="dxa"/>
          </w:tcPr>
          <w:p>
            <w:pPr>
              <w:pStyle w:val="GesAbsatz"/>
              <w:tabs>
                <w:tab w:val="clear" w:pos="425"/>
              </w:tabs>
              <w:rPr>
                <w:lang w:val="en-US"/>
              </w:rPr>
            </w:pPr>
            <w:r>
              <w:rPr>
                <w:lang w:val="en-US"/>
              </w:rPr>
              <w:t>1,2,3-Trimethylbenzol</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rPr>
                <w:lang w:val="en-US"/>
              </w:rPr>
            </w:pPr>
            <w:r>
              <w:rPr>
                <w:lang w:val="en-US"/>
              </w:rPr>
              <w:t>6013</w:t>
            </w:r>
          </w:p>
        </w:tc>
        <w:tc>
          <w:tcPr>
            <w:tcW w:w="2735" w:type="dxa"/>
          </w:tcPr>
          <w:p>
            <w:pPr>
              <w:pStyle w:val="GesAbsatz"/>
              <w:tabs>
                <w:tab w:val="clear" w:pos="425"/>
              </w:tabs>
              <w:rPr>
                <w:lang w:val="en-US"/>
              </w:rPr>
            </w:pPr>
            <w:r>
              <w:rPr>
                <w:lang w:val="en-US"/>
              </w:rPr>
              <w:t>C</w:t>
            </w:r>
            <w:r>
              <w:rPr>
                <w:vertAlign w:val="subscript"/>
                <w:lang w:val="en-US"/>
              </w:rPr>
              <w:t>6</w:t>
            </w:r>
            <w:r>
              <w:rPr>
                <w:lang w:val="en-US"/>
              </w:rPr>
              <w:t>H</w:t>
            </w:r>
            <w:r>
              <w:rPr>
                <w:vertAlign w:val="subscript"/>
                <w:lang w:val="en-US"/>
              </w:rPr>
              <w:t>3</w:t>
            </w:r>
            <w:r>
              <w:rPr>
                <w:lang w:val="en-US"/>
              </w:rPr>
              <w:t>(CH</w:t>
            </w:r>
            <w:r>
              <w:rPr>
                <w:vertAlign w:val="subscript"/>
                <w:lang w:val="en-US"/>
              </w:rPr>
              <w:t>3</w:t>
            </w:r>
            <w:r>
              <w:rPr>
                <w:lang w:val="en-US"/>
              </w:rPr>
              <w:t>)</w:t>
            </w:r>
            <w:r>
              <w:rPr>
                <w:vertAlign w:val="subscript"/>
                <w:lang w:val="en-US"/>
              </w:rPr>
              <w:t>3</w:t>
            </w:r>
          </w:p>
        </w:tc>
        <w:tc>
          <w:tcPr>
            <w:tcW w:w="3502" w:type="dxa"/>
          </w:tcPr>
          <w:p>
            <w:pPr>
              <w:pStyle w:val="GesAbsatz"/>
              <w:tabs>
                <w:tab w:val="clear" w:pos="425"/>
              </w:tabs>
              <w:rPr>
                <w:lang w:val="en-US"/>
              </w:rPr>
            </w:pPr>
            <w:r>
              <w:rPr>
                <w:lang w:val="en-US"/>
              </w:rPr>
              <w:t>1,3,5-Trimethylbenzol</w:t>
            </w:r>
          </w:p>
        </w:tc>
        <w:tc>
          <w:tcPr>
            <w:tcW w:w="1636" w:type="dxa"/>
          </w:tcPr>
          <w:p>
            <w:pPr>
              <w:pStyle w:val="GesAbsatz"/>
              <w:tabs>
                <w:tab w:val="clear" w:pos="425"/>
              </w:tabs>
              <w:rPr>
                <w:lang w:val="en-US"/>
              </w:rPr>
            </w:pPr>
            <w:r>
              <w:t>μ</w:t>
            </w:r>
            <w:r>
              <w:rPr>
                <w:lang w:val="en-US"/>
              </w:rPr>
              <w:t>g/m</w:t>
            </w:r>
            <w:r>
              <w:t>³</w:t>
            </w:r>
          </w:p>
        </w:tc>
      </w:tr>
      <w:tr>
        <w:tc>
          <w:tcPr>
            <w:tcW w:w="1809" w:type="dxa"/>
          </w:tcPr>
          <w:p>
            <w:pPr>
              <w:pStyle w:val="GesAbsatz"/>
              <w:tabs>
                <w:tab w:val="clear" w:pos="425"/>
              </w:tabs>
            </w:pPr>
            <w:r>
              <w:t>32</w:t>
            </w:r>
          </w:p>
        </w:tc>
        <w:tc>
          <w:tcPr>
            <w:tcW w:w="2735" w:type="dxa"/>
          </w:tcPr>
          <w:p>
            <w:pPr>
              <w:pStyle w:val="GesAbsatz"/>
              <w:tabs>
                <w:tab w:val="clear" w:pos="425"/>
              </w:tabs>
            </w:pPr>
            <w:r>
              <w:t>THC(NM)</w:t>
            </w:r>
          </w:p>
        </w:tc>
        <w:tc>
          <w:tcPr>
            <w:tcW w:w="3502" w:type="dxa"/>
          </w:tcPr>
          <w:p>
            <w:pPr>
              <w:pStyle w:val="GesAbsatz"/>
              <w:tabs>
                <w:tab w:val="clear" w:pos="425"/>
              </w:tabs>
            </w:pPr>
            <w:r>
              <w:t>Summe der Kohlenwasserstoffe ohne Methan</w:t>
            </w:r>
          </w:p>
        </w:tc>
        <w:tc>
          <w:tcPr>
            <w:tcW w:w="1636" w:type="dxa"/>
          </w:tcPr>
          <w:p>
            <w:pPr>
              <w:pStyle w:val="GesAbsatz"/>
              <w:tabs>
                <w:tab w:val="clear" w:pos="425"/>
              </w:tabs>
            </w:pPr>
            <w:r>
              <w:t>μg/m³</w:t>
            </w:r>
          </w:p>
        </w:tc>
      </w:tr>
      <w:tr>
        <w:tc>
          <w:tcPr>
            <w:tcW w:w="1809" w:type="dxa"/>
          </w:tcPr>
          <w:p>
            <w:pPr>
              <w:pStyle w:val="GesAbsatz"/>
              <w:tabs>
                <w:tab w:val="clear" w:pos="425"/>
              </w:tabs>
              <w:rPr>
                <w:lang w:val="en-US"/>
              </w:rPr>
            </w:pPr>
            <w:r>
              <w:rPr>
                <w:lang w:val="en-US"/>
              </w:rPr>
              <w:t>25</w:t>
            </w:r>
          </w:p>
        </w:tc>
        <w:tc>
          <w:tcPr>
            <w:tcW w:w="2735" w:type="dxa"/>
          </w:tcPr>
          <w:p>
            <w:pPr>
              <w:pStyle w:val="GesAbsatz"/>
              <w:tabs>
                <w:tab w:val="clear" w:pos="425"/>
              </w:tabs>
              <w:rPr>
                <w:lang w:val="en-US"/>
              </w:rPr>
            </w:pPr>
            <w:r>
              <w:rPr>
                <w:lang w:val="en-US"/>
              </w:rPr>
              <w:t>HCHO</w:t>
            </w:r>
          </w:p>
        </w:tc>
        <w:tc>
          <w:tcPr>
            <w:tcW w:w="3502" w:type="dxa"/>
          </w:tcPr>
          <w:p>
            <w:pPr>
              <w:pStyle w:val="GesAbsatz"/>
              <w:tabs>
                <w:tab w:val="clear" w:pos="425"/>
              </w:tabs>
              <w:rPr>
                <w:lang w:val="en-US"/>
              </w:rPr>
            </w:pPr>
            <w:r>
              <w:rPr>
                <w:lang w:val="en-US"/>
              </w:rPr>
              <w:t>Methanal (Formaldehyd)</w:t>
            </w:r>
          </w:p>
        </w:tc>
        <w:tc>
          <w:tcPr>
            <w:tcW w:w="1636" w:type="dxa"/>
          </w:tcPr>
          <w:p>
            <w:pPr>
              <w:pStyle w:val="GesAbsatz"/>
              <w:tabs>
                <w:tab w:val="clear" w:pos="425"/>
              </w:tabs>
              <w:rPr>
                <w:lang w:val="en-US"/>
              </w:rPr>
            </w:pPr>
            <w:r>
              <w:t>μ</w:t>
            </w:r>
            <w:r>
              <w:rPr>
                <w:lang w:val="en-US"/>
              </w:rPr>
              <w:t>g/m</w:t>
            </w:r>
            <w:r>
              <w:t>³</w:t>
            </w:r>
          </w:p>
        </w:tc>
      </w:tr>
      <w:tr>
        <w:tc>
          <w:tcPr>
            <w:tcW w:w="9682" w:type="dxa"/>
            <w:gridSpan w:val="4"/>
          </w:tcPr>
          <w:p>
            <w:pPr>
              <w:pStyle w:val="GesAbsatz"/>
              <w:tabs>
                <w:tab w:val="clear" w:pos="425"/>
              </w:tabs>
            </w:pPr>
            <w:r>
              <w:rPr>
                <w:vertAlign w:val="superscript"/>
              </w:rPr>
              <w:t>(1)</w:t>
            </w:r>
            <w:r>
              <w:t xml:space="preserve"> </w:t>
            </w:r>
            <w:r>
              <w:rPr>
                <w:sz w:val="16"/>
                <w:szCs w:val="16"/>
              </w:rPr>
              <w:t>Gemeldet werden können die Werte von NO</w:t>
            </w:r>
            <w:r>
              <w:rPr>
                <w:sz w:val="16"/>
                <w:szCs w:val="16"/>
                <w:vertAlign w:val="subscript"/>
              </w:rPr>
              <w:t>x</w:t>
            </w:r>
            <w:r>
              <w:rPr>
                <w:sz w:val="16"/>
                <w:szCs w:val="16"/>
              </w:rPr>
              <w:t xml:space="preserve"> oder die Summe der am selben Standort gemessenen NO- und NO</w:t>
            </w:r>
            <w:r>
              <w:rPr>
                <w:sz w:val="16"/>
                <w:szCs w:val="16"/>
                <w:vertAlign w:val="subscript"/>
              </w:rPr>
              <w:t>2</w:t>
            </w:r>
            <w:r>
              <w:rPr>
                <w:sz w:val="16"/>
                <w:szCs w:val="16"/>
              </w:rPr>
              <w:t>-Messwerte. Sie sind als μg NO</w:t>
            </w:r>
            <w:r>
              <w:rPr>
                <w:sz w:val="16"/>
                <w:szCs w:val="16"/>
                <w:vertAlign w:val="subscript"/>
              </w:rPr>
              <w:t>2</w:t>
            </w:r>
            <w:r>
              <w:rPr>
                <w:sz w:val="16"/>
                <w:szCs w:val="16"/>
              </w:rPr>
              <w:t>/m³ zu übermitteln.</w:t>
            </w:r>
          </w:p>
        </w:tc>
      </w:tr>
    </w:tbl>
    <w:p>
      <w:pPr>
        <w:pStyle w:val="GesAbsatz"/>
      </w:pPr>
    </w:p>
    <w:p>
      <w:pPr>
        <w:pStyle w:val="berschrift2"/>
        <w:jc w:val="left"/>
      </w:pPr>
      <w:bookmarkStart w:id="24" w:name="_Toc448387113"/>
      <w:r>
        <w:t>ANHANG II</w:t>
      </w:r>
      <w:bookmarkEnd w:id="24"/>
    </w:p>
    <w:p>
      <w:pPr>
        <w:pStyle w:val="GesAbsatz"/>
        <w:rPr>
          <w:b/>
        </w:rPr>
      </w:pPr>
      <w:r>
        <w:rPr>
          <w:b/>
        </w:rPr>
        <w:t>A.</w:t>
      </w:r>
      <w:r>
        <w:rPr>
          <w:b/>
        </w:rPr>
        <w:tab/>
        <w:t>Gemeinsame Datenarten</w:t>
      </w:r>
    </w:p>
    <w:p>
      <w:pPr>
        <w:pStyle w:val="GesAbsatz"/>
      </w:pPr>
      <w:r>
        <w:t>Bei jeder Übermittlung einer bestimmten Datenart gemäß den Teilen B bis K dieses Anhangs sind alle Informationen zu berücksichtigen, die unter der entsprechenden nachstehenden Datenart aufgeführt sind.</w:t>
      </w:r>
    </w:p>
    <w:p>
      <w:pPr>
        <w:pStyle w:val="GesAbsatz"/>
        <w:rPr>
          <w:i/>
        </w:rPr>
      </w:pPr>
      <w:r>
        <w:rPr>
          <w:i/>
        </w:rPr>
        <w:t>1.</w:t>
      </w:r>
      <w:r>
        <w:rPr>
          <w:i/>
        </w:rPr>
        <w:tab/>
        <w:t>Datenart „Kontaktangaben“</w:t>
      </w:r>
    </w:p>
    <w:p>
      <w:pPr>
        <w:pStyle w:val="GesAbsatz"/>
        <w:ind w:left="851" w:hanging="425"/>
      </w:pPr>
      <w:r>
        <w:t>1.</w:t>
      </w:r>
      <w:r>
        <w:tab/>
        <w:t>Name der zuständigen Behörde, Einrichtung oder Stelle</w:t>
      </w:r>
    </w:p>
    <w:p>
      <w:pPr>
        <w:pStyle w:val="GesAbsatz"/>
        <w:ind w:left="851" w:hanging="425"/>
      </w:pPr>
      <w:r>
        <w:t>2.</w:t>
      </w:r>
      <w:r>
        <w:tab/>
        <w:t>Name der zuständigen Person</w:t>
      </w:r>
    </w:p>
    <w:p>
      <w:pPr>
        <w:pStyle w:val="GesAbsatz"/>
        <w:ind w:left="851" w:hanging="425"/>
      </w:pPr>
      <w:r>
        <w:lastRenderedPageBreak/>
        <w:t>3.</w:t>
      </w:r>
      <w:r>
        <w:tab/>
        <w:t>Internetadresse</w:t>
      </w:r>
    </w:p>
    <w:p>
      <w:pPr>
        <w:pStyle w:val="GesAbsatz"/>
        <w:ind w:left="851" w:hanging="425"/>
      </w:pPr>
      <w:r>
        <w:t>4.</w:t>
      </w:r>
      <w:r>
        <w:tab/>
        <w:t>Anschrift</w:t>
      </w:r>
    </w:p>
    <w:p>
      <w:pPr>
        <w:pStyle w:val="GesAbsatz"/>
        <w:ind w:left="851" w:hanging="425"/>
      </w:pPr>
      <w:r>
        <w:t>5.</w:t>
      </w:r>
      <w:r>
        <w:tab/>
        <w:t>Telefonnummer</w:t>
      </w:r>
    </w:p>
    <w:p>
      <w:pPr>
        <w:pStyle w:val="GesAbsatz"/>
        <w:ind w:left="851" w:hanging="425"/>
      </w:pPr>
      <w:r>
        <w:t>6.</w:t>
      </w:r>
      <w:r>
        <w:tab/>
        <w:t>E-Mail</w:t>
      </w:r>
    </w:p>
    <w:p>
      <w:pPr>
        <w:pStyle w:val="GesAbsatz"/>
        <w:rPr>
          <w:i/>
        </w:rPr>
      </w:pPr>
      <w:r>
        <w:rPr>
          <w:i/>
        </w:rPr>
        <w:t>2.</w:t>
      </w:r>
      <w:r>
        <w:rPr>
          <w:i/>
        </w:rPr>
        <w:tab/>
        <w:t>Datenart „Überschreitungsfall“</w:t>
      </w:r>
    </w:p>
    <w:p>
      <w:pPr>
        <w:pStyle w:val="GesAbsatz"/>
        <w:ind w:left="851" w:hanging="425"/>
      </w:pPr>
      <w:r>
        <w:t>1.</w:t>
      </w:r>
      <w:r>
        <w:tab/>
        <w:t>Code des Überschreitungsfalls</w:t>
      </w:r>
    </w:p>
    <w:p>
      <w:pPr>
        <w:pStyle w:val="GesAbsatz"/>
        <w:ind w:left="851" w:hanging="425"/>
      </w:pPr>
      <w:r>
        <w:t>2.</w:t>
      </w:r>
      <w:r>
        <w:tab/>
        <w:t>Überschrittenes Umweltziel</w:t>
      </w:r>
    </w:p>
    <w:p>
      <w:pPr>
        <w:pStyle w:val="GesAbsatz"/>
        <w:ind w:left="851" w:hanging="425"/>
      </w:pPr>
      <w:r>
        <w:t>3.</w:t>
      </w:r>
      <w:r>
        <w:tab/>
        <w:t>Gebiet, in dem der Überschreitungsfall auftrat (Datenart „räumliche Ausdehnung“)</w:t>
      </w:r>
    </w:p>
    <w:p>
      <w:pPr>
        <w:pStyle w:val="GesAbsatz"/>
        <w:ind w:left="851" w:hanging="425"/>
      </w:pPr>
      <w:r>
        <w:t>4.</w:t>
      </w:r>
      <w:r>
        <w:tab/>
        <w:t>Einstufung des Gebiets</w:t>
      </w:r>
    </w:p>
    <w:p>
      <w:pPr>
        <w:pStyle w:val="GesAbsatz"/>
        <w:ind w:left="851" w:hanging="425"/>
      </w:pPr>
      <w:r>
        <w:t>5.</w:t>
      </w:r>
      <w:r>
        <w:tab/>
        <w:t>Verwaltungseinheiten</w:t>
      </w:r>
    </w:p>
    <w:p>
      <w:pPr>
        <w:pStyle w:val="GesAbsatz"/>
        <w:ind w:left="851" w:hanging="425"/>
      </w:pPr>
      <w:r>
        <w:t>6.</w:t>
      </w:r>
      <w:r>
        <w:tab/>
        <w:t>Geschätzte Fläche, auf der das Umweltziel überschritten wurde</w:t>
      </w:r>
    </w:p>
    <w:p>
      <w:pPr>
        <w:pStyle w:val="GesAbsatz"/>
        <w:ind w:left="851" w:hanging="425"/>
      </w:pPr>
      <w:r>
        <w:t>7.</w:t>
      </w:r>
      <w:r>
        <w:tab/>
        <w:t>Geschätzte Länge der Straße, auf der das Umweltziel überschritten wurde</w:t>
      </w:r>
    </w:p>
    <w:p>
      <w:pPr>
        <w:pStyle w:val="GesAbsatz"/>
        <w:ind w:left="851" w:hanging="425"/>
      </w:pPr>
      <w:r>
        <w:t>8.</w:t>
      </w:r>
      <w:r>
        <w:tab/>
        <w:t>Messstationen im Gebiet der Überschreitung (Link zu D)</w:t>
      </w:r>
    </w:p>
    <w:p>
      <w:pPr>
        <w:pStyle w:val="GesAbsatz"/>
        <w:ind w:left="851" w:hanging="425"/>
      </w:pPr>
      <w:r>
        <w:t>9.</w:t>
      </w:r>
      <w:r>
        <w:tab/>
        <w:t>Modellierte Überschreitung (Link zu D)</w:t>
      </w:r>
    </w:p>
    <w:p>
      <w:pPr>
        <w:pStyle w:val="GesAbsatz"/>
        <w:ind w:left="851" w:hanging="425"/>
      </w:pPr>
      <w:r>
        <w:t>10.</w:t>
      </w:r>
      <w:r>
        <w:tab/>
        <w:t>Geschätzte Gesamtzahl der Einwohner im Gebiet der Überschreitung</w:t>
      </w:r>
    </w:p>
    <w:p>
      <w:pPr>
        <w:pStyle w:val="GesAbsatz"/>
        <w:ind w:left="851" w:hanging="425"/>
      </w:pPr>
      <w:r>
        <w:t>11.</w:t>
      </w:r>
      <w:r>
        <w:tab/>
        <w:t>Geschätzte Fläche des Ökosystems/der Vegetation, die von der Überschreitung des Umweltziels betroffen war</w:t>
      </w:r>
    </w:p>
    <w:p>
      <w:pPr>
        <w:pStyle w:val="GesAbsatz"/>
        <w:ind w:left="851" w:hanging="425"/>
      </w:pPr>
      <w:r>
        <w:t>12.</w:t>
      </w:r>
      <w:r>
        <w:tab/>
        <w:t>Referenzjahr</w:t>
      </w:r>
    </w:p>
    <w:p>
      <w:pPr>
        <w:pStyle w:val="GesAbsatz"/>
        <w:rPr>
          <w:i/>
        </w:rPr>
      </w:pPr>
      <w:r>
        <w:rPr>
          <w:i/>
        </w:rPr>
        <w:t>3.</w:t>
      </w:r>
      <w:r>
        <w:rPr>
          <w:i/>
        </w:rPr>
        <w:tab/>
        <w:t>Datenart „Umweltziel“</w:t>
      </w:r>
    </w:p>
    <w:p>
      <w:pPr>
        <w:pStyle w:val="GesAbsatz"/>
        <w:ind w:left="851" w:hanging="425"/>
      </w:pPr>
      <w:r>
        <w:t>1.</w:t>
      </w:r>
      <w:r>
        <w:tab/>
        <w:t>Art des Ziels</w:t>
      </w:r>
    </w:p>
    <w:p>
      <w:pPr>
        <w:pStyle w:val="GesAbsatz"/>
        <w:ind w:left="851" w:hanging="425"/>
      </w:pPr>
      <w:r>
        <w:t>2.</w:t>
      </w:r>
      <w:r>
        <w:tab/>
        <w:t>Zeitraum zur Berechnung des Mittelwerts für die Beurteilung</w:t>
      </w:r>
    </w:p>
    <w:p>
      <w:pPr>
        <w:pStyle w:val="GesAbsatz"/>
        <w:ind w:left="851" w:hanging="425"/>
      </w:pPr>
      <w:r>
        <w:t>3.</w:t>
      </w:r>
      <w:r>
        <w:tab/>
        <w:t>Zu schützendes Ziel</w:t>
      </w:r>
    </w:p>
    <w:p>
      <w:pPr>
        <w:pStyle w:val="GesAbsatz"/>
        <w:ind w:left="426" w:hanging="425"/>
        <w:rPr>
          <w:i/>
        </w:rPr>
      </w:pPr>
      <w:r>
        <w:rPr>
          <w:i/>
        </w:rPr>
        <w:t>4.</w:t>
      </w:r>
      <w:r>
        <w:rPr>
          <w:i/>
        </w:rPr>
        <w:tab/>
        <w:t>Datenart „räumliche Ausdehnung“</w:t>
      </w:r>
    </w:p>
    <w:p>
      <w:pPr>
        <w:pStyle w:val="GesAbsatz"/>
        <w:ind w:left="851" w:hanging="425"/>
      </w:pPr>
      <w:r>
        <w:t>1.</w:t>
      </w:r>
      <w:r>
        <w:tab/>
        <w:t>GIS-Informationen, die als Koordinaten bereitgestellt wurden</w:t>
      </w:r>
    </w:p>
    <w:p>
      <w:pPr>
        <w:pStyle w:val="GesAbsatz"/>
        <w:rPr>
          <w:i/>
        </w:rPr>
      </w:pPr>
      <w:r>
        <w:rPr>
          <w:i/>
        </w:rPr>
        <w:t>5.</w:t>
      </w:r>
      <w:r>
        <w:rPr>
          <w:i/>
        </w:rPr>
        <w:tab/>
        <w:t>Datenart „räumliche Beobachtung“</w:t>
      </w:r>
    </w:p>
    <w:p>
      <w:pPr>
        <w:pStyle w:val="GesAbsatz"/>
        <w:ind w:left="851" w:hanging="425"/>
      </w:pPr>
      <w:r>
        <w:t>1.</w:t>
      </w:r>
      <w:r>
        <w:tab/>
        <w:t>Daten der räumlichen Beurteilung</w:t>
      </w:r>
    </w:p>
    <w:p>
      <w:pPr>
        <w:pStyle w:val="GesAbsatz"/>
        <w:rPr>
          <w:i/>
        </w:rPr>
      </w:pPr>
      <w:r>
        <w:rPr>
          <w:i/>
        </w:rPr>
        <w:t>6.</w:t>
      </w:r>
      <w:r>
        <w:rPr>
          <w:i/>
        </w:rPr>
        <w:tab/>
        <w:t>Datenart „Veröffentlichung“</w:t>
      </w:r>
    </w:p>
    <w:p>
      <w:pPr>
        <w:pStyle w:val="GesAbsatz"/>
        <w:ind w:left="851" w:hanging="425"/>
      </w:pPr>
      <w:r>
        <w:t>1.</w:t>
      </w:r>
      <w:r>
        <w:tab/>
        <w:t>Veröffentlichung</w:t>
      </w:r>
    </w:p>
    <w:p>
      <w:pPr>
        <w:pStyle w:val="GesAbsatz"/>
        <w:ind w:left="851" w:hanging="425"/>
      </w:pPr>
      <w:r>
        <w:t>2.</w:t>
      </w:r>
      <w:r>
        <w:tab/>
        <w:t>Titel</w:t>
      </w:r>
    </w:p>
    <w:p>
      <w:pPr>
        <w:pStyle w:val="GesAbsatz"/>
        <w:ind w:left="851" w:hanging="425"/>
      </w:pPr>
      <w:r>
        <w:t>3.</w:t>
      </w:r>
      <w:r>
        <w:tab/>
        <w:t>Autor(en)</w:t>
      </w:r>
    </w:p>
    <w:p>
      <w:pPr>
        <w:pStyle w:val="GesAbsatz"/>
        <w:ind w:left="851" w:hanging="425"/>
      </w:pPr>
      <w:r>
        <w:t>4.</w:t>
      </w:r>
      <w:r>
        <w:tab/>
        <w:t>Datum der Veröffentlichung</w:t>
      </w:r>
    </w:p>
    <w:p>
      <w:pPr>
        <w:pStyle w:val="GesAbsatz"/>
        <w:ind w:left="851" w:hanging="425"/>
      </w:pPr>
      <w:r>
        <w:t>5.</w:t>
      </w:r>
      <w:r>
        <w:tab/>
        <w:t>Verlag</w:t>
      </w:r>
    </w:p>
    <w:p>
      <w:pPr>
        <w:pStyle w:val="GesAbsatz"/>
        <w:ind w:left="851" w:hanging="425"/>
      </w:pPr>
      <w:r>
        <w:t>6.</w:t>
      </w:r>
      <w:r>
        <w:tab/>
        <w:t>Weblink</w:t>
      </w:r>
    </w:p>
    <w:p>
      <w:pPr>
        <w:pStyle w:val="GesAbsatz"/>
        <w:rPr>
          <w:i/>
        </w:rPr>
      </w:pPr>
      <w:r>
        <w:rPr>
          <w:i/>
        </w:rPr>
        <w:t>7.</w:t>
      </w:r>
      <w:r>
        <w:rPr>
          <w:i/>
        </w:rPr>
        <w:tab/>
        <w:t>Datenart „Dokumentation von Veränderungen“</w:t>
      </w:r>
    </w:p>
    <w:p>
      <w:pPr>
        <w:pStyle w:val="GesAbsatz"/>
        <w:ind w:left="851" w:hanging="425"/>
      </w:pPr>
      <w:r>
        <w:t>1.</w:t>
      </w:r>
      <w:r>
        <w:tab/>
        <w:t>Änderung</w:t>
      </w:r>
    </w:p>
    <w:p>
      <w:pPr>
        <w:pStyle w:val="GesAbsatz"/>
        <w:ind w:left="851" w:hanging="425"/>
      </w:pPr>
      <w:r>
        <w:t>2.</w:t>
      </w:r>
      <w:r>
        <w:tab/>
        <w:t>Beschreibung der Änderung</w:t>
      </w:r>
    </w:p>
    <w:p>
      <w:pPr>
        <w:pStyle w:val="GesAbsatz"/>
        <w:rPr>
          <w:b/>
        </w:rPr>
      </w:pPr>
      <w:r>
        <w:rPr>
          <w:b/>
        </w:rPr>
        <w:t>B.</w:t>
      </w:r>
      <w:r>
        <w:rPr>
          <w:b/>
        </w:rPr>
        <w:tab/>
        <w:t>Informationen über die Gebiete und Ballungsräume (Artikel 6)</w:t>
      </w:r>
    </w:p>
    <w:p>
      <w:pPr>
        <w:pStyle w:val="GesAbsatz"/>
        <w:ind w:left="851" w:hanging="425"/>
      </w:pPr>
      <w:r>
        <w:t>1.</w:t>
      </w:r>
      <w:r>
        <w:tab/>
        <w:t>Quelle (Datenart „Kontaktangaben“)</w:t>
      </w:r>
    </w:p>
    <w:p>
      <w:pPr>
        <w:pStyle w:val="GesAbsatz"/>
        <w:ind w:left="851" w:hanging="425"/>
      </w:pPr>
      <w:r>
        <w:t>2.</w:t>
      </w:r>
      <w:r>
        <w:tab/>
        <w:t>Dokumentation von Veränderungen (Datenart „Dokumentation von Veränderungen“)</w:t>
      </w:r>
    </w:p>
    <w:p>
      <w:pPr>
        <w:pStyle w:val="GesAbsatz"/>
        <w:ind w:left="851" w:hanging="425"/>
      </w:pPr>
      <w:r>
        <w:t>3.</w:t>
      </w:r>
      <w:r>
        <w:tab/>
        <w:t>Gebietscode</w:t>
      </w:r>
    </w:p>
    <w:p>
      <w:pPr>
        <w:pStyle w:val="GesAbsatz"/>
        <w:ind w:left="851" w:hanging="425"/>
      </w:pPr>
      <w:r>
        <w:t>4.</w:t>
      </w:r>
      <w:r>
        <w:tab/>
        <w:t>Name des Gebiets</w:t>
      </w:r>
    </w:p>
    <w:p>
      <w:pPr>
        <w:pStyle w:val="GesAbsatz"/>
        <w:ind w:left="851" w:hanging="425"/>
      </w:pPr>
      <w:r>
        <w:t>5.</w:t>
      </w:r>
      <w:r>
        <w:tab/>
        <w:t>Art des Gebiets</w:t>
      </w:r>
    </w:p>
    <w:p>
      <w:pPr>
        <w:pStyle w:val="GesAbsatz"/>
        <w:ind w:left="851" w:hanging="425"/>
      </w:pPr>
      <w:r>
        <w:t>6.</w:t>
      </w:r>
      <w:r>
        <w:tab/>
        <w:t>Abgrenzung des Gebiets (Datenart „räumliche Ausdehnung“)</w:t>
      </w:r>
    </w:p>
    <w:p>
      <w:pPr>
        <w:pStyle w:val="GesAbsatz"/>
        <w:ind w:left="851" w:hanging="425"/>
      </w:pPr>
      <w:r>
        <w:t>7.</w:t>
      </w:r>
      <w:r>
        <w:tab/>
        <w:t>Vorgeschichte des Gebiets: Beginn und Ende der Geltungsdauer</w:t>
      </w:r>
    </w:p>
    <w:p>
      <w:pPr>
        <w:pStyle w:val="GesAbsatz"/>
        <w:ind w:left="851" w:hanging="425"/>
      </w:pPr>
      <w:r>
        <w:lastRenderedPageBreak/>
        <w:t>8.</w:t>
      </w:r>
      <w:r>
        <w:tab/>
        <w:t>Vorgänger (Link zu B)</w:t>
      </w:r>
    </w:p>
    <w:p>
      <w:pPr>
        <w:pStyle w:val="GesAbsatz"/>
        <w:ind w:left="851" w:hanging="425"/>
      </w:pPr>
      <w:r>
        <w:t>9.</w:t>
      </w:r>
      <w:r>
        <w:tab/>
        <w:t>Einwohnerzahl</w:t>
      </w:r>
    </w:p>
    <w:p>
      <w:pPr>
        <w:pStyle w:val="GesAbsatz"/>
        <w:ind w:left="851" w:hanging="425"/>
      </w:pPr>
      <w:r>
        <w:t>10.</w:t>
      </w:r>
      <w:r>
        <w:tab/>
        <w:t>Referenzjahr für die Einwohnerzahl</w:t>
      </w:r>
    </w:p>
    <w:p>
      <w:pPr>
        <w:pStyle w:val="GesAbsatz"/>
        <w:ind w:left="851" w:hanging="425"/>
      </w:pPr>
      <w:r>
        <w:t>11.</w:t>
      </w:r>
      <w:r>
        <w:tab/>
        <w:t>Code des ausgewiesenen Schadstoffs</w:t>
      </w:r>
    </w:p>
    <w:p>
      <w:pPr>
        <w:pStyle w:val="GesAbsatz"/>
        <w:ind w:left="851" w:hanging="425"/>
      </w:pPr>
      <w:r>
        <w:t>12.</w:t>
      </w:r>
      <w:r>
        <w:tab/>
        <w:t>Zu schützendes Ziel</w:t>
      </w:r>
    </w:p>
    <w:p>
      <w:pPr>
        <w:pStyle w:val="GesAbsatz"/>
        <w:ind w:left="851" w:hanging="425"/>
      </w:pPr>
      <w:r>
        <w:t>13.</w:t>
      </w:r>
      <w:r>
        <w:tab/>
        <w:t>Ausnahme oder Fristverlängerung gemäß Artikel 22 der Richtlinie 2008/50/EG</w:t>
      </w:r>
    </w:p>
    <w:p>
      <w:pPr>
        <w:pStyle w:val="GesAbsatz"/>
        <w:rPr>
          <w:b/>
        </w:rPr>
      </w:pPr>
      <w:r>
        <w:rPr>
          <w:b/>
        </w:rPr>
        <w:t>C.</w:t>
      </w:r>
      <w:r>
        <w:rPr>
          <w:b/>
        </w:rPr>
        <w:tab/>
        <w:t>Informationen über das Beurteilungsverfahren (Artikel 7)</w:t>
      </w:r>
    </w:p>
    <w:p>
      <w:pPr>
        <w:pStyle w:val="GesAbsatz"/>
        <w:ind w:left="851" w:hanging="425"/>
      </w:pPr>
      <w:r>
        <w:t>1.</w:t>
      </w:r>
      <w:r>
        <w:tab/>
        <w:t>Quelle (Datenart „Kontaktangaben“)</w:t>
      </w:r>
    </w:p>
    <w:p>
      <w:pPr>
        <w:pStyle w:val="GesAbsatz"/>
        <w:ind w:left="851" w:hanging="425"/>
      </w:pPr>
      <w:r>
        <w:t>2.</w:t>
      </w:r>
      <w:r>
        <w:tab/>
        <w:t>Dokumentation der Änderungen (Datenart „Dokumentation der Änderungen“)</w:t>
      </w:r>
    </w:p>
    <w:p>
      <w:pPr>
        <w:pStyle w:val="GesAbsatz"/>
        <w:ind w:left="851" w:hanging="425"/>
      </w:pPr>
      <w:r>
        <w:t>3.</w:t>
      </w:r>
      <w:r>
        <w:tab/>
        <w:t>Informationen über das Gebiet (Link zu B)</w:t>
      </w:r>
    </w:p>
    <w:p>
      <w:pPr>
        <w:pStyle w:val="GesAbsatz"/>
        <w:ind w:left="851" w:hanging="425"/>
      </w:pPr>
      <w:r>
        <w:t>4.</w:t>
      </w:r>
      <w:r>
        <w:tab/>
        <w:t>Schadstoff</w:t>
      </w:r>
    </w:p>
    <w:p>
      <w:pPr>
        <w:pStyle w:val="GesAbsatz"/>
        <w:ind w:left="851" w:hanging="425"/>
      </w:pPr>
      <w:r>
        <w:t>5.</w:t>
      </w:r>
      <w:r>
        <w:tab/>
        <w:t>Umweltziel (Datenart „Umweltziel“)</w:t>
      </w:r>
    </w:p>
    <w:p>
      <w:pPr>
        <w:pStyle w:val="GesAbsatz"/>
        <w:ind w:left="851" w:hanging="425"/>
      </w:pPr>
      <w:r>
        <w:t>6.</w:t>
      </w:r>
      <w:r>
        <w:tab/>
        <w:t>Erreichung der Beurteilungsschwelle</w:t>
      </w:r>
    </w:p>
    <w:p>
      <w:pPr>
        <w:pStyle w:val="GesAbsatz"/>
        <w:ind w:left="851" w:hanging="425"/>
      </w:pPr>
      <w:r>
        <w:t>7.</w:t>
      </w:r>
      <w:r>
        <w:tab/>
        <w:t>Jahr, für das die Beurteilungsschwelle eingestuft wurde</w:t>
      </w:r>
    </w:p>
    <w:p>
      <w:pPr>
        <w:pStyle w:val="GesAbsatz"/>
        <w:ind w:left="851" w:hanging="425"/>
      </w:pPr>
      <w:r>
        <w:t>8.</w:t>
      </w:r>
      <w:r>
        <w:tab/>
        <w:t>Dokumentation der Einstufung (Weblink)</w:t>
      </w:r>
    </w:p>
    <w:p>
      <w:pPr>
        <w:pStyle w:val="GesAbsatz"/>
        <w:ind w:left="851" w:hanging="425"/>
      </w:pPr>
      <w:r>
        <w:t>9.</w:t>
      </w:r>
      <w:r>
        <w:tab/>
        <w:t>Art der Beurteilung</w:t>
      </w:r>
    </w:p>
    <w:p>
      <w:pPr>
        <w:pStyle w:val="GesAbsatz"/>
        <w:ind w:left="851" w:hanging="425"/>
      </w:pPr>
      <w:r>
        <w:t>10.</w:t>
      </w:r>
      <w:r>
        <w:tab/>
        <w:t>Art der Beurteilung: Beschreibung</w:t>
      </w:r>
    </w:p>
    <w:p>
      <w:pPr>
        <w:pStyle w:val="GesAbsatz"/>
        <w:ind w:left="851" w:hanging="425"/>
      </w:pPr>
      <w:r>
        <w:t>11.</w:t>
      </w:r>
      <w:r>
        <w:tab/>
        <w:t>Einzelne Metadaten zur Beurteilung, einschließlich Code der Messstation, Angaben zum Standort (Link zu D)</w:t>
      </w:r>
    </w:p>
    <w:p>
      <w:pPr>
        <w:pStyle w:val="GesAbsatz"/>
        <w:ind w:left="851" w:hanging="425"/>
      </w:pPr>
      <w:r>
        <w:t>12.</w:t>
      </w:r>
      <w:r>
        <w:tab/>
        <w:t>Für die Beurteilung der Luftqualität zuständige Behörde (Datenart „Kontaktangaben“)</w:t>
      </w:r>
    </w:p>
    <w:p>
      <w:pPr>
        <w:pStyle w:val="GesAbsatz"/>
        <w:ind w:left="851" w:hanging="425"/>
      </w:pPr>
      <w:r>
        <w:t>13.</w:t>
      </w:r>
      <w:r>
        <w:tab/>
        <w:t>Für die Zulassung der Messsysteme zuständige Behörde (Datenart „Kontaktangaben“)</w:t>
      </w:r>
    </w:p>
    <w:p>
      <w:pPr>
        <w:pStyle w:val="GesAbsatz"/>
        <w:ind w:left="851" w:hanging="425"/>
      </w:pPr>
      <w:r>
        <w:t>14.</w:t>
      </w:r>
      <w:r>
        <w:tab/>
        <w:t>Für die Genauigkeit der Messungen zuständige Behörde (Datenart „Kontaktangaben“)</w:t>
      </w:r>
    </w:p>
    <w:p>
      <w:pPr>
        <w:pStyle w:val="GesAbsatz"/>
        <w:ind w:left="851" w:hanging="425"/>
      </w:pPr>
      <w:r>
        <w:t>15.</w:t>
      </w:r>
      <w:r>
        <w:tab/>
        <w:t>Für die Prüfung des Beurteilungsverfahrens zuständige Behörde (Datenart „Kontaktangaben“)</w:t>
      </w:r>
    </w:p>
    <w:p>
      <w:pPr>
        <w:pStyle w:val="GesAbsatz"/>
        <w:ind w:left="851" w:hanging="425"/>
      </w:pPr>
      <w:r>
        <w:t>16.</w:t>
      </w:r>
      <w:r>
        <w:tab/>
        <w:t>Für die Koordinierung der nationalen Qualitätssicherung zuständige Behörde (Datenart „Kontaktangaben“)</w:t>
      </w:r>
    </w:p>
    <w:p>
      <w:pPr>
        <w:pStyle w:val="GesAbsatz"/>
        <w:ind w:left="851" w:hanging="425"/>
      </w:pPr>
      <w:r>
        <w:t>17.</w:t>
      </w:r>
      <w:r>
        <w:tab/>
        <w:t>Für die Zusammenarbeit mit anderen Mitgliedstaaten und mit der Kommission zuständige Behörde (Datenart „Kontaktangaben“)</w:t>
      </w:r>
    </w:p>
    <w:p>
      <w:pPr>
        <w:pStyle w:val="GesAbsatz"/>
        <w:rPr>
          <w:b/>
        </w:rPr>
      </w:pPr>
      <w:r>
        <w:rPr>
          <w:b/>
        </w:rPr>
        <w:t>D.</w:t>
      </w:r>
      <w:r>
        <w:rPr>
          <w:b/>
        </w:rPr>
        <w:tab/>
        <w:t>Informationen über die Beurteilungsverfahren (Artikel 8 und 9)</w:t>
      </w:r>
    </w:p>
    <w:p>
      <w:pPr>
        <w:pStyle w:val="GesAbsatz"/>
        <w:ind w:left="851" w:hanging="425"/>
        <w:rPr>
          <w:i/>
        </w:rPr>
      </w:pPr>
      <w:r>
        <w:rPr>
          <w:i/>
        </w:rPr>
        <w:t>i)</w:t>
      </w:r>
      <w:r>
        <w:rPr>
          <w:i/>
        </w:rPr>
        <w:tab/>
        <w:t>Allgemeine Informationen für alle Beurteilungsverfahren</w:t>
      </w:r>
    </w:p>
    <w:p>
      <w:pPr>
        <w:pStyle w:val="GesAbsatz"/>
        <w:ind w:left="1276" w:hanging="425"/>
      </w:pPr>
      <w:r>
        <w:t>1.</w:t>
      </w:r>
      <w:r>
        <w:tab/>
        <w:t>Quelle (Datenart „Kontaktangaben“)</w:t>
      </w:r>
    </w:p>
    <w:p>
      <w:pPr>
        <w:pStyle w:val="GesAbsatz"/>
        <w:ind w:left="1276" w:hanging="425"/>
      </w:pPr>
      <w:r>
        <w:t>2.</w:t>
      </w:r>
      <w:r>
        <w:tab/>
        <w:t>Dokumentation der Veränderung (Datenart „Dokumentation von Veränderungen“)</w:t>
      </w:r>
    </w:p>
    <w:p>
      <w:pPr>
        <w:pStyle w:val="GesAbsatz"/>
        <w:ind w:left="1276" w:hanging="425"/>
      </w:pPr>
      <w:r>
        <w:t>3.</w:t>
      </w:r>
      <w:r>
        <w:tab/>
        <w:t>Art der Beurteilung</w:t>
      </w:r>
    </w:p>
    <w:p>
      <w:pPr>
        <w:pStyle w:val="GesAbsatz"/>
        <w:ind w:left="1276" w:hanging="425"/>
      </w:pPr>
      <w:r>
        <w:t>4.</w:t>
      </w:r>
      <w:r>
        <w:tab/>
        <w:t>Information zu dem Gebiet (Link zu B)</w:t>
      </w:r>
    </w:p>
    <w:p>
      <w:pPr>
        <w:pStyle w:val="GesAbsatz"/>
        <w:ind w:left="1276" w:hanging="425"/>
      </w:pPr>
      <w:r>
        <w:t>5.</w:t>
      </w:r>
      <w:r>
        <w:tab/>
        <w:t>Schadstoff</w:t>
      </w:r>
    </w:p>
    <w:p>
      <w:pPr>
        <w:pStyle w:val="GesAbsatz"/>
        <w:ind w:left="851" w:hanging="425"/>
        <w:rPr>
          <w:i/>
        </w:rPr>
      </w:pPr>
      <w:r>
        <w:rPr>
          <w:i/>
        </w:rPr>
        <w:t>ii)</w:t>
      </w:r>
      <w:r>
        <w:rPr>
          <w:i/>
        </w:rPr>
        <w:tab/>
        <w:t>Informationen zu den ortsfesten Messungen</w:t>
      </w:r>
    </w:p>
    <w:p>
      <w:pPr>
        <w:pStyle w:val="GesAbsatz"/>
        <w:ind w:left="1276" w:hanging="425"/>
      </w:pPr>
      <w:r>
        <w:t>1.</w:t>
      </w:r>
      <w:r>
        <w:tab/>
        <w:t>Code der Messkonfiguration</w:t>
      </w:r>
    </w:p>
    <w:p>
      <w:pPr>
        <w:pStyle w:val="GesAbsatz"/>
        <w:ind w:left="1276" w:hanging="425"/>
      </w:pPr>
      <w:r>
        <w:t>2.</w:t>
      </w:r>
      <w:r>
        <w:tab/>
        <w:t>EU-Code der Messstation</w:t>
      </w:r>
    </w:p>
    <w:p>
      <w:pPr>
        <w:pStyle w:val="GesAbsatz"/>
        <w:ind w:left="1276" w:hanging="425"/>
      </w:pPr>
      <w:r>
        <w:t>3.</w:t>
      </w:r>
      <w:r>
        <w:tab/>
        <w:t>Code des Netzes</w:t>
      </w:r>
    </w:p>
    <w:p>
      <w:pPr>
        <w:pStyle w:val="GesAbsatz"/>
        <w:ind w:left="1276" w:hanging="425"/>
      </w:pPr>
      <w:r>
        <w:t>4.</w:t>
      </w:r>
      <w:r>
        <w:tab/>
        <w:t>Nationaler Code der Messstation</w:t>
      </w:r>
    </w:p>
    <w:p>
      <w:pPr>
        <w:pStyle w:val="GesAbsatz"/>
        <w:ind w:left="1276" w:hanging="425"/>
      </w:pPr>
      <w:r>
        <w:t>5.</w:t>
      </w:r>
      <w:r>
        <w:tab/>
        <w:t>Name der Messstation</w:t>
      </w:r>
    </w:p>
    <w:p>
      <w:pPr>
        <w:pStyle w:val="GesAbsatz"/>
        <w:ind w:left="1276" w:hanging="425"/>
      </w:pPr>
      <w:r>
        <w:t>6.</w:t>
      </w:r>
      <w:r>
        <w:tab/>
        <w:t>Name der Gemeinde</w:t>
      </w:r>
    </w:p>
    <w:p>
      <w:pPr>
        <w:pStyle w:val="GesAbsatz"/>
        <w:ind w:left="1276" w:hanging="425"/>
      </w:pPr>
      <w:r>
        <w:t xml:space="preserve">7. </w:t>
      </w:r>
      <w:r>
        <w:tab/>
        <w:t>Beginn und Ende der Messung</w:t>
      </w:r>
    </w:p>
    <w:p>
      <w:pPr>
        <w:pStyle w:val="GesAbsatz"/>
        <w:ind w:left="1276" w:hanging="425"/>
      </w:pPr>
      <w:r>
        <w:t>8.</w:t>
      </w:r>
      <w:r>
        <w:tab/>
        <w:t>Art der Messung</w:t>
      </w:r>
    </w:p>
    <w:p>
      <w:pPr>
        <w:pStyle w:val="GesAbsatz"/>
        <w:ind w:left="1276" w:hanging="425"/>
      </w:pPr>
      <w:r>
        <w:t>9.</w:t>
      </w:r>
      <w:r>
        <w:tab/>
        <w:t>Methoden der Messung/der Probenahme/der Analyse</w:t>
      </w:r>
    </w:p>
    <w:p>
      <w:pPr>
        <w:pStyle w:val="GesAbsatz"/>
        <w:ind w:left="1276" w:hanging="425"/>
      </w:pPr>
      <w:r>
        <w:t>10.</w:t>
      </w:r>
      <w:r>
        <w:tab/>
        <w:t>Ausrüstung für die Messung/die Probenahme (sofern vorhanden)</w:t>
      </w:r>
    </w:p>
    <w:p>
      <w:pPr>
        <w:pStyle w:val="GesAbsatz"/>
        <w:ind w:left="1276" w:hanging="425"/>
      </w:pPr>
      <w:r>
        <w:lastRenderedPageBreak/>
        <w:t>11.</w:t>
      </w:r>
      <w:r>
        <w:tab/>
        <w:t>Nachweisgrenze (sofern vorhanden)</w:t>
      </w:r>
    </w:p>
    <w:p>
      <w:pPr>
        <w:pStyle w:val="GesAbsatz"/>
        <w:ind w:left="1276" w:hanging="425"/>
      </w:pPr>
      <w:r>
        <w:t>12.</w:t>
      </w:r>
      <w:r>
        <w:tab/>
        <w:t>Nachweis der Gleichwertigkeit</w:t>
      </w:r>
    </w:p>
    <w:p>
      <w:pPr>
        <w:pStyle w:val="GesAbsatz"/>
        <w:ind w:left="1276" w:hanging="425"/>
      </w:pPr>
      <w:r>
        <w:t>13.</w:t>
      </w:r>
      <w:r>
        <w:tab/>
        <w:t>Nachweis der Gleichwertigkeit: Dokumentation (Weblink)</w:t>
      </w:r>
    </w:p>
    <w:p>
      <w:pPr>
        <w:pStyle w:val="GesAbsatz"/>
        <w:ind w:left="1276" w:hanging="425"/>
      </w:pPr>
      <w:r>
        <w:t>14.</w:t>
      </w:r>
      <w:r>
        <w:tab/>
        <w:t>Dauer der Probenahme</w:t>
      </w:r>
    </w:p>
    <w:p>
      <w:pPr>
        <w:pStyle w:val="GesAbsatz"/>
        <w:ind w:left="1276" w:hanging="425"/>
      </w:pPr>
      <w:r>
        <w:t>15.</w:t>
      </w:r>
      <w:r>
        <w:tab/>
        <w:t>Zeitraum zwischen den Probenahmen</w:t>
      </w:r>
    </w:p>
    <w:p>
      <w:pPr>
        <w:pStyle w:val="GesAbsatz"/>
        <w:ind w:left="1276" w:hanging="425"/>
      </w:pPr>
      <w:r>
        <w:t>16.</w:t>
      </w:r>
      <w:r>
        <w:tab/>
        <w:t>Räumliche Ausdehnung des repräsentativen Gebiets (Datenart „räumliche Ausdehnung“) (sofern vorhanden)</w:t>
      </w:r>
    </w:p>
    <w:p>
      <w:pPr>
        <w:pStyle w:val="GesAbsatz"/>
        <w:ind w:left="1276" w:hanging="425"/>
      </w:pPr>
      <w:r>
        <w:t>17.</w:t>
      </w:r>
      <w:r>
        <w:tab/>
        <w:t>Bewertung der Repräsentativität (sofern vorhanden)</w:t>
      </w:r>
    </w:p>
    <w:p>
      <w:pPr>
        <w:pStyle w:val="GesAbsatz"/>
        <w:ind w:left="1276" w:hanging="425"/>
      </w:pPr>
      <w:r>
        <w:t>18.</w:t>
      </w:r>
      <w:r>
        <w:tab/>
        <w:t>Dokumentation der Repräsentativität (Weblink) (sofern vorhanden)</w:t>
      </w:r>
    </w:p>
    <w:p>
      <w:pPr>
        <w:pStyle w:val="GesAbsatz"/>
        <w:ind w:left="1276" w:hanging="425"/>
      </w:pPr>
      <w:r>
        <w:t>19.</w:t>
      </w:r>
      <w:r>
        <w:tab/>
        <w:t>Standort der Probenahme: Höhe des Messeinlasses über dem Boden</w:t>
      </w:r>
    </w:p>
    <w:p>
      <w:pPr>
        <w:pStyle w:val="GesAbsatz"/>
        <w:ind w:left="1276" w:hanging="425"/>
      </w:pPr>
      <w:r>
        <w:t>20.</w:t>
      </w:r>
      <w:r>
        <w:tab/>
        <w:t>Standort der Probenahme: waagerechte Entfernung des Messeinlasses vom nächsten Gebäude (Stationen für den Verkehr)</w:t>
      </w:r>
    </w:p>
    <w:p>
      <w:pPr>
        <w:pStyle w:val="GesAbsatz"/>
        <w:ind w:left="1276" w:hanging="425"/>
      </w:pPr>
      <w:r>
        <w:t>21.</w:t>
      </w:r>
      <w:r>
        <w:tab/>
        <w:t>Standort der Probenahme: Entfernung des Messeinlasses von der nächsten Straße (Stationen für den Verkehr)</w:t>
      </w:r>
    </w:p>
    <w:p>
      <w:pPr>
        <w:pStyle w:val="GesAbsatz"/>
        <w:ind w:left="1276" w:hanging="425"/>
      </w:pPr>
      <w:r>
        <w:t>22.</w:t>
      </w:r>
      <w:r>
        <w:tab/>
        <w:t>Einstufung der Messstation in Bezug auf die Hauptemissionsquellen für die Messkonfiguration für jeden einzelnen Schadstoff</w:t>
      </w:r>
    </w:p>
    <w:p>
      <w:pPr>
        <w:pStyle w:val="GesAbsatz"/>
        <w:ind w:left="1276" w:hanging="425"/>
      </w:pPr>
      <w:r>
        <w:t>23.</w:t>
      </w:r>
      <w:r>
        <w:tab/>
        <w:t>Hauptemissionsquellen (Verkehr, Haushaltsheizungen, industrielle Emissionsquellen oder Gebiet mit industriellen Emissionsquellen usw.) (sofern vorhanden)</w:t>
      </w:r>
    </w:p>
    <w:p>
      <w:pPr>
        <w:pStyle w:val="GesAbsatz"/>
        <w:ind w:left="1276" w:hanging="425"/>
      </w:pPr>
      <w:r>
        <w:t>24.</w:t>
      </w:r>
      <w:r>
        <w:tab/>
        <w:t>Entfernung von der/dem wichtigsten industriellen Emissionsquelle oder Gebiet mit industriellen Emissionsquellen) (für Stationen an Industriestandorten)</w:t>
      </w:r>
    </w:p>
    <w:p>
      <w:pPr>
        <w:pStyle w:val="GesAbsatz"/>
        <w:ind w:left="1276" w:hanging="425"/>
      </w:pPr>
      <w:r>
        <w:t>25.</w:t>
      </w:r>
      <w:r>
        <w:tab/>
        <w:t>Zeitangaben zur Messstation: Beginn und Ende</w:t>
      </w:r>
    </w:p>
    <w:p>
      <w:pPr>
        <w:pStyle w:val="GesAbsatz"/>
        <w:ind w:left="1276" w:hanging="425"/>
      </w:pPr>
      <w:r>
        <w:t>26.</w:t>
      </w:r>
      <w:r>
        <w:tab/>
        <w:t>Geografische Koordinaten: Längengrad, Breitengrad und Höhe der Messstation</w:t>
      </w:r>
    </w:p>
    <w:p>
      <w:pPr>
        <w:pStyle w:val="GesAbsatz"/>
        <w:ind w:left="1276" w:hanging="425"/>
      </w:pPr>
      <w:r>
        <w:t>27.</w:t>
      </w:r>
      <w:r>
        <w:tab/>
        <w:t>Dokumentation der Angaben zur Messstation einschließlich Karten und Fotos (Weblink) (sofern vorhanden)</w:t>
      </w:r>
    </w:p>
    <w:p>
      <w:pPr>
        <w:pStyle w:val="GesAbsatz"/>
        <w:ind w:left="1276" w:hanging="425"/>
      </w:pPr>
      <w:r>
        <w:t>28.</w:t>
      </w:r>
      <w:r>
        <w:tab/>
        <w:t>Einstufung des Gebiets</w:t>
      </w:r>
    </w:p>
    <w:p>
      <w:pPr>
        <w:pStyle w:val="GesAbsatz"/>
        <w:ind w:left="1276" w:hanging="425"/>
      </w:pPr>
      <w:r>
        <w:t>29.</w:t>
      </w:r>
      <w:r>
        <w:tab/>
        <w:t>Entfernung einer verkehrsreichen Kreuzung (Stationen für den Verkehr)</w:t>
      </w:r>
    </w:p>
    <w:p>
      <w:pPr>
        <w:pStyle w:val="GesAbsatz"/>
        <w:ind w:left="1276" w:hanging="425"/>
      </w:pPr>
      <w:r>
        <w:t>30.</w:t>
      </w:r>
      <w:r>
        <w:tab/>
        <w:t>Geschätztes Verkehrsaufkommen (Stationen für den Verkehr)</w:t>
      </w:r>
    </w:p>
    <w:p>
      <w:pPr>
        <w:pStyle w:val="GesAbsatz"/>
        <w:ind w:left="1276" w:hanging="425"/>
      </w:pPr>
      <w:r>
        <w:t>31.</w:t>
      </w:r>
      <w:r>
        <w:tab/>
        <w:t>Anteil der schweren Nutzfahrzeuge am Verkehrsaufkommen (Stationen für den Verkehr, sofern vorhanden)</w:t>
      </w:r>
    </w:p>
    <w:p>
      <w:pPr>
        <w:pStyle w:val="GesAbsatz"/>
        <w:ind w:left="1276" w:hanging="425"/>
      </w:pPr>
      <w:r>
        <w:t>32.</w:t>
      </w:r>
      <w:r>
        <w:tab/>
        <w:t>Verkehrsgeschwindigkeit (Stationen für den Verkehr, sofern vorhanden)</w:t>
      </w:r>
    </w:p>
    <w:p>
      <w:pPr>
        <w:pStyle w:val="GesAbsatz"/>
        <w:ind w:left="1276" w:hanging="425"/>
      </w:pPr>
      <w:r>
        <w:t>33.</w:t>
      </w:r>
      <w:r>
        <w:tab/>
        <w:t>Straßenschlucht — Breite der Straße (Stationen für den Verkehr, sofern vorhanden)</w:t>
      </w:r>
    </w:p>
    <w:p>
      <w:pPr>
        <w:pStyle w:val="GesAbsatz"/>
        <w:ind w:left="1276" w:hanging="425"/>
      </w:pPr>
      <w:r>
        <w:t>34.</w:t>
      </w:r>
      <w:r>
        <w:tab/>
        <w:t>Straßenschlucht — durchschnittliche Höhe der Gebäudefassaden (Stationen für den Verkehr, sofern vorhanden)</w:t>
      </w:r>
    </w:p>
    <w:p>
      <w:pPr>
        <w:pStyle w:val="GesAbsatz"/>
        <w:ind w:left="1276" w:hanging="425"/>
      </w:pPr>
      <w:r>
        <w:t>35.</w:t>
      </w:r>
      <w:r>
        <w:tab/>
        <w:t>Name des Netzes</w:t>
      </w:r>
    </w:p>
    <w:p>
      <w:pPr>
        <w:pStyle w:val="GesAbsatz"/>
        <w:ind w:left="1276" w:hanging="425"/>
      </w:pPr>
      <w:r>
        <w:t>36.</w:t>
      </w:r>
      <w:r>
        <w:tab/>
        <w:t>Netz: Beginn und Ende des Betriebs</w:t>
      </w:r>
    </w:p>
    <w:p>
      <w:pPr>
        <w:pStyle w:val="GesAbsatz"/>
        <w:ind w:left="1276" w:hanging="425"/>
      </w:pPr>
      <w:r>
        <w:t>37.</w:t>
      </w:r>
      <w:r>
        <w:tab/>
        <w:t>Für die Verwaltung des Netzes zuständige Stelle (Datenart „Kontaktangaben“)</w:t>
      </w:r>
    </w:p>
    <w:p>
      <w:pPr>
        <w:pStyle w:val="GesAbsatz"/>
        <w:ind w:left="1276" w:hanging="425"/>
      </w:pPr>
      <w:r>
        <w:t>38.</w:t>
      </w:r>
      <w:r>
        <w:tab/>
        <w:t>Beurteilungsverfahren für die Ausbringung von Streusand und -salz im Winterdienst (sofern Artikel 21 der Richtlinie 2008/50/EG zur Anwendung kommt)</w:t>
      </w:r>
    </w:p>
    <w:p>
      <w:pPr>
        <w:pStyle w:val="GesAbsatz"/>
        <w:ind w:left="1276" w:hanging="425"/>
      </w:pPr>
      <w:r>
        <w:t>39.</w:t>
      </w:r>
      <w:r>
        <w:tab/>
        <w:t>Beurteilungsverfahren für Beiträge aus natürlichen Quellen (sofern Artikel 20 der Richtlinie 2008/50/EG zur Anwendung kommt)</w:t>
      </w:r>
    </w:p>
    <w:p>
      <w:pPr>
        <w:pStyle w:val="GesAbsatz"/>
        <w:ind w:left="1276" w:hanging="425"/>
      </w:pPr>
      <w:r>
        <w:t>40.</w:t>
      </w:r>
      <w:r>
        <w:tab/>
        <w:t>Datenqualitätsziele: Messdauer</w:t>
      </w:r>
    </w:p>
    <w:p>
      <w:pPr>
        <w:pStyle w:val="GesAbsatz"/>
        <w:ind w:left="1276" w:hanging="425"/>
      </w:pPr>
      <w:r>
        <w:t>41.</w:t>
      </w:r>
      <w:r>
        <w:tab/>
        <w:t>Datenqualitätsziele: Datenerfassung</w:t>
      </w:r>
    </w:p>
    <w:p>
      <w:pPr>
        <w:pStyle w:val="GesAbsatz"/>
        <w:ind w:left="1276" w:hanging="425"/>
      </w:pPr>
      <w:r>
        <w:t>42.</w:t>
      </w:r>
      <w:r>
        <w:tab/>
        <w:t>Datenqualitätsziele: Schätzung der Unsicherheit</w:t>
      </w:r>
    </w:p>
    <w:p>
      <w:pPr>
        <w:pStyle w:val="GesAbsatz"/>
        <w:ind w:left="1276" w:hanging="425"/>
      </w:pPr>
      <w:r>
        <w:t>43.</w:t>
      </w:r>
      <w:r>
        <w:tab/>
        <w:t>Datenqualitätsziele: Dokumentation der Rückverfolgbarkeit und Schätzung der Unsicherheit</w:t>
      </w:r>
    </w:p>
    <w:p>
      <w:pPr>
        <w:pStyle w:val="GesAbsatz"/>
        <w:ind w:left="1276" w:hanging="425"/>
      </w:pPr>
      <w:r>
        <w:t>44.</w:t>
      </w:r>
      <w:r>
        <w:tab/>
        <w:t>Datenqualitätsziele: Dokumentation der Qualitätssicherung/Qualitätskontrolle (Weblink)</w:t>
      </w:r>
    </w:p>
    <w:p>
      <w:pPr>
        <w:pStyle w:val="GesAbsatz"/>
        <w:ind w:left="851" w:hanging="425"/>
        <w:rPr>
          <w:i/>
        </w:rPr>
      </w:pPr>
      <w:r>
        <w:rPr>
          <w:i/>
        </w:rPr>
        <w:t>iii)</w:t>
      </w:r>
      <w:r>
        <w:rPr>
          <w:i/>
        </w:rPr>
        <w:tab/>
        <w:t>Informationen zu den orientierenden Messungen</w:t>
      </w:r>
    </w:p>
    <w:p>
      <w:pPr>
        <w:pStyle w:val="GesAbsatz"/>
        <w:ind w:left="1276" w:hanging="425"/>
      </w:pPr>
      <w:r>
        <w:t>1.</w:t>
      </w:r>
      <w:r>
        <w:tab/>
        <w:t>Code der orientierenden Messung</w:t>
      </w:r>
    </w:p>
    <w:p>
      <w:pPr>
        <w:pStyle w:val="GesAbsatz"/>
        <w:ind w:left="1276" w:hanging="425"/>
      </w:pPr>
      <w:r>
        <w:lastRenderedPageBreak/>
        <w:t>2.</w:t>
      </w:r>
      <w:r>
        <w:tab/>
        <w:t>Beschreibung der Messmethode</w:t>
      </w:r>
    </w:p>
    <w:p>
      <w:pPr>
        <w:pStyle w:val="GesAbsatz"/>
        <w:ind w:left="1276" w:hanging="425"/>
      </w:pPr>
      <w:r>
        <w:t>3.</w:t>
      </w:r>
      <w:r>
        <w:tab/>
        <w:t>Art der Messung</w:t>
      </w:r>
    </w:p>
    <w:p>
      <w:pPr>
        <w:pStyle w:val="GesAbsatz"/>
        <w:ind w:left="1276" w:hanging="425"/>
      </w:pPr>
      <w:r>
        <w:t>4.</w:t>
      </w:r>
      <w:r>
        <w:tab/>
        <w:t>Messmethode</w:t>
      </w:r>
    </w:p>
    <w:p>
      <w:pPr>
        <w:pStyle w:val="GesAbsatz"/>
        <w:ind w:left="1276" w:hanging="425"/>
      </w:pPr>
      <w:r>
        <w:t>5.</w:t>
      </w:r>
      <w:r>
        <w:tab/>
        <w:t>Ausrüstung für die Messung/Probenahme (sofern vorhanden)</w:t>
      </w:r>
    </w:p>
    <w:p>
      <w:pPr>
        <w:pStyle w:val="GesAbsatz"/>
        <w:ind w:left="1276" w:hanging="425"/>
      </w:pPr>
      <w:r>
        <w:t>6.</w:t>
      </w:r>
      <w:r>
        <w:tab/>
        <w:t>Nachweisgrenze (sofern vorhanden)</w:t>
      </w:r>
    </w:p>
    <w:p>
      <w:pPr>
        <w:pStyle w:val="GesAbsatz"/>
        <w:ind w:left="1276" w:hanging="425"/>
      </w:pPr>
      <w:r>
        <w:t>7.</w:t>
      </w:r>
      <w:r>
        <w:tab/>
        <w:t>Dauer der Probenahme</w:t>
      </w:r>
    </w:p>
    <w:p>
      <w:pPr>
        <w:pStyle w:val="GesAbsatz"/>
        <w:ind w:left="1276" w:hanging="425"/>
      </w:pPr>
      <w:r>
        <w:t>8.</w:t>
      </w:r>
      <w:r>
        <w:tab/>
        <w:t>Zeitraum zwischen den Probenahmen</w:t>
      </w:r>
    </w:p>
    <w:p>
      <w:pPr>
        <w:pStyle w:val="GesAbsatz"/>
        <w:ind w:left="1276" w:hanging="425"/>
      </w:pPr>
      <w:r>
        <w:t>9.</w:t>
      </w:r>
      <w:r>
        <w:tab/>
        <w:t>Geografische Koordinaten: Längengrad, Breitengrad und Höhe</w:t>
      </w:r>
    </w:p>
    <w:p>
      <w:pPr>
        <w:pStyle w:val="GesAbsatz"/>
        <w:ind w:left="1276" w:hanging="425"/>
      </w:pPr>
      <w:r>
        <w:t>10.</w:t>
      </w:r>
      <w:r>
        <w:tab/>
        <w:t>Beurteilungsverfahren für die Ausbringung von Streusand und -salz im Winterdienst (sofern Artikel 21 der Richtlinie 2008/50/EG zur Anwendung kommt)</w:t>
      </w:r>
    </w:p>
    <w:p>
      <w:pPr>
        <w:pStyle w:val="GesAbsatz"/>
        <w:ind w:left="1276" w:hanging="425"/>
      </w:pPr>
      <w:r>
        <w:t>11.</w:t>
      </w:r>
      <w:r>
        <w:tab/>
        <w:t>Beurteilungsverfahren für Beiträge aus natürlichen Quellen (sofern Artikel 20 der Richtlinie 2008/50/EG zur Anwendung kommt)</w:t>
      </w:r>
    </w:p>
    <w:p>
      <w:pPr>
        <w:pStyle w:val="GesAbsatz"/>
        <w:ind w:left="1276" w:hanging="425"/>
      </w:pPr>
      <w:r>
        <w:t>12.</w:t>
      </w:r>
      <w:r>
        <w:tab/>
        <w:t>Datenqualitätsziele: Messdauer</w:t>
      </w:r>
    </w:p>
    <w:p>
      <w:pPr>
        <w:pStyle w:val="GesAbsatz"/>
        <w:ind w:left="1276" w:hanging="425"/>
      </w:pPr>
      <w:r>
        <w:t>13.</w:t>
      </w:r>
      <w:r>
        <w:tab/>
        <w:t>Datenqualitätsziele: Datenerfassung</w:t>
      </w:r>
    </w:p>
    <w:p>
      <w:pPr>
        <w:pStyle w:val="GesAbsatz"/>
        <w:ind w:left="1276" w:hanging="425"/>
      </w:pPr>
      <w:r>
        <w:t>14.</w:t>
      </w:r>
      <w:r>
        <w:tab/>
        <w:t>Datenqualitätsziele: Schätzung der Unsicherheit</w:t>
      </w:r>
    </w:p>
    <w:p>
      <w:pPr>
        <w:pStyle w:val="GesAbsatz"/>
        <w:ind w:left="1276" w:hanging="425"/>
      </w:pPr>
      <w:r>
        <w:t>15.</w:t>
      </w:r>
      <w:r>
        <w:tab/>
        <w:t>Datenqualitätsziele: Dokumentation der Rückverfolgbarkeit und der Schätzung der Unsicherheit</w:t>
      </w:r>
    </w:p>
    <w:p>
      <w:pPr>
        <w:pStyle w:val="GesAbsatz"/>
        <w:ind w:left="1276" w:hanging="425"/>
      </w:pPr>
      <w:r>
        <w:t>16.</w:t>
      </w:r>
      <w:r>
        <w:tab/>
        <w:t>Datenqualitätsziele: Dokumentation der Qualitätssicherung/der Qualitätskontrolle (Weblink)</w:t>
      </w:r>
    </w:p>
    <w:p>
      <w:pPr>
        <w:pStyle w:val="GesAbsatz"/>
        <w:ind w:left="851" w:hanging="425"/>
        <w:rPr>
          <w:i/>
        </w:rPr>
      </w:pPr>
      <w:r>
        <w:rPr>
          <w:i/>
        </w:rPr>
        <w:t>iv)</w:t>
      </w:r>
      <w:r>
        <w:rPr>
          <w:i/>
        </w:rPr>
        <w:tab/>
        <w:t>Informationen zu den Modellrechnungen</w:t>
      </w:r>
    </w:p>
    <w:p>
      <w:pPr>
        <w:pStyle w:val="GesAbsatz"/>
        <w:ind w:left="1276" w:hanging="425"/>
      </w:pPr>
      <w:r>
        <w:t>1.</w:t>
      </w:r>
      <w:r>
        <w:tab/>
        <w:t>Code der Modellrechnungen</w:t>
      </w:r>
    </w:p>
    <w:p>
      <w:pPr>
        <w:pStyle w:val="GesAbsatz"/>
        <w:ind w:left="1276" w:hanging="425"/>
      </w:pPr>
      <w:r>
        <w:t>2.</w:t>
      </w:r>
      <w:r>
        <w:tab/>
        <w:t>Art des Umweltziels (Datenart „Umweltziel“)</w:t>
      </w:r>
    </w:p>
    <w:p>
      <w:pPr>
        <w:pStyle w:val="GesAbsatz"/>
        <w:ind w:left="1276" w:hanging="425"/>
      </w:pPr>
      <w:r>
        <w:t>3.</w:t>
      </w:r>
      <w:r>
        <w:tab/>
        <w:t>Modellrechnungsverfahren: Name</w:t>
      </w:r>
    </w:p>
    <w:p>
      <w:pPr>
        <w:pStyle w:val="GesAbsatz"/>
        <w:ind w:left="1276" w:hanging="425"/>
      </w:pPr>
      <w:r>
        <w:t>4.</w:t>
      </w:r>
      <w:r>
        <w:tab/>
        <w:t>Modellrechnungsverfahren: Beschreibung</w:t>
      </w:r>
    </w:p>
    <w:p>
      <w:pPr>
        <w:pStyle w:val="GesAbsatz"/>
        <w:ind w:left="1276" w:hanging="425"/>
      </w:pPr>
      <w:r>
        <w:t>5.</w:t>
      </w:r>
      <w:r>
        <w:tab/>
        <w:t>Modellrechnungsverfahren: Dokumentation (Weblink)</w:t>
      </w:r>
    </w:p>
    <w:p>
      <w:pPr>
        <w:pStyle w:val="GesAbsatz"/>
        <w:ind w:left="1276" w:hanging="425"/>
      </w:pPr>
      <w:r>
        <w:t>6.</w:t>
      </w:r>
      <w:r>
        <w:tab/>
        <w:t>Modellrechnungsverfahren: Validierung durch Messung</w:t>
      </w:r>
    </w:p>
    <w:p>
      <w:pPr>
        <w:pStyle w:val="GesAbsatz"/>
        <w:ind w:left="1276" w:hanging="425"/>
      </w:pPr>
      <w:r>
        <w:t>7.</w:t>
      </w:r>
      <w:r>
        <w:tab/>
        <w:t>Modellrechnungsverfahren: Validierung durch Messung an Standorten, die nicht im Rahmen der Luftqualitätsrichtlinie angemeldet wurden</w:t>
      </w:r>
    </w:p>
    <w:p>
      <w:pPr>
        <w:pStyle w:val="GesAbsatz"/>
        <w:ind w:left="1276" w:hanging="425"/>
      </w:pPr>
      <w:r>
        <w:t>8.</w:t>
      </w:r>
      <w:r>
        <w:tab/>
        <w:t>Modellrechnungszeitraum</w:t>
      </w:r>
    </w:p>
    <w:p>
      <w:pPr>
        <w:pStyle w:val="GesAbsatz"/>
        <w:ind w:left="1276" w:hanging="425"/>
      </w:pPr>
      <w:r>
        <w:t>9.</w:t>
      </w:r>
      <w:r>
        <w:tab/>
        <w:t>In der Modellrechnung erfasstes Gebiet (Datenart „räumliche Ausdehnung“)</w:t>
      </w:r>
    </w:p>
    <w:p>
      <w:pPr>
        <w:pStyle w:val="GesAbsatz"/>
        <w:ind w:left="1276" w:hanging="425"/>
      </w:pPr>
      <w:r>
        <w:t>10.</w:t>
      </w:r>
      <w:r>
        <w:tab/>
        <w:t>Räumliche Auflösung</w:t>
      </w:r>
    </w:p>
    <w:p>
      <w:pPr>
        <w:pStyle w:val="GesAbsatz"/>
        <w:ind w:left="1276" w:hanging="425"/>
      </w:pPr>
      <w:r>
        <w:t>11.</w:t>
      </w:r>
      <w:r>
        <w:tab/>
        <w:t>Beurteilungsverfahren für die Ausbringung von Streusand und -salz im Winterdienst (sofern Artikel 21 der Richtlinie 2008/50/EG zur Anwendung kommt)</w:t>
      </w:r>
    </w:p>
    <w:p>
      <w:pPr>
        <w:pStyle w:val="GesAbsatz"/>
        <w:ind w:left="1276" w:hanging="425"/>
      </w:pPr>
      <w:r>
        <w:t>12.</w:t>
      </w:r>
      <w:r>
        <w:tab/>
        <w:t>Beurteilungsverfahren für Beiträge aus natürlichen Quellen (sofern Artikel 20 der Richtlinie 2008/50/EG zur Anwendung kommt)</w:t>
      </w:r>
    </w:p>
    <w:p>
      <w:pPr>
        <w:pStyle w:val="GesAbsatz"/>
        <w:ind w:left="1276" w:hanging="425"/>
      </w:pPr>
      <w:r>
        <w:t>13.</w:t>
      </w:r>
      <w:r>
        <w:tab/>
        <w:t>Datenqualitätsziele: Schätzung der Unsicherheit</w:t>
      </w:r>
    </w:p>
    <w:p>
      <w:pPr>
        <w:pStyle w:val="GesAbsatz"/>
        <w:ind w:left="1276" w:hanging="425"/>
      </w:pPr>
      <w:r>
        <w:t>14.</w:t>
      </w:r>
      <w:r>
        <w:tab/>
        <w:t>Datenqualitätsziele: Dokumentation der Qualitätssicherung/Qualitätskontrolle (Weblink)</w:t>
      </w:r>
    </w:p>
    <w:p>
      <w:pPr>
        <w:pStyle w:val="GesAbsatz"/>
        <w:ind w:left="851" w:hanging="425"/>
        <w:rPr>
          <w:i/>
        </w:rPr>
      </w:pPr>
      <w:r>
        <w:rPr>
          <w:i/>
        </w:rPr>
        <w:t>v)</w:t>
      </w:r>
      <w:r>
        <w:rPr>
          <w:i/>
        </w:rPr>
        <w:tab/>
        <w:t>Informationen zur objektiven Schätzung der Unsicherheit</w:t>
      </w:r>
    </w:p>
    <w:p>
      <w:pPr>
        <w:pStyle w:val="GesAbsatz"/>
        <w:ind w:left="1276" w:hanging="425"/>
      </w:pPr>
      <w:r>
        <w:t>1.</w:t>
      </w:r>
      <w:r>
        <w:tab/>
        <w:t>Code der objektiven Schätzung</w:t>
      </w:r>
    </w:p>
    <w:p>
      <w:pPr>
        <w:pStyle w:val="GesAbsatz"/>
        <w:ind w:left="1276" w:hanging="425"/>
      </w:pPr>
      <w:r>
        <w:t>2.</w:t>
      </w:r>
      <w:r>
        <w:tab/>
        <w:t>Beschreibung</w:t>
      </w:r>
    </w:p>
    <w:p>
      <w:pPr>
        <w:pStyle w:val="GesAbsatz"/>
        <w:ind w:left="1276" w:hanging="425"/>
      </w:pPr>
      <w:r>
        <w:t>3.</w:t>
      </w:r>
      <w:r>
        <w:tab/>
        <w:t>In der objektiven Schätzung erfasstes Gebiet (Datenart „räumliche Ausdehnung“)</w:t>
      </w:r>
    </w:p>
    <w:p>
      <w:pPr>
        <w:pStyle w:val="GesAbsatz"/>
        <w:ind w:left="1276" w:hanging="425"/>
      </w:pPr>
      <w:r>
        <w:t>4.</w:t>
      </w:r>
      <w:r>
        <w:tab/>
        <w:t>Datenqualitätsziel: Schätzung der Unsicherheit</w:t>
      </w:r>
    </w:p>
    <w:p>
      <w:pPr>
        <w:pStyle w:val="GesAbsatz"/>
        <w:ind w:left="1276" w:hanging="425"/>
      </w:pPr>
      <w:r>
        <w:t>5.</w:t>
      </w:r>
      <w:r>
        <w:tab/>
        <w:t>Datenqualitätsziele: Dokumentation der Rückverfolgbarkeit und Schätzung der Unsicherheit</w:t>
      </w:r>
    </w:p>
    <w:p>
      <w:pPr>
        <w:pStyle w:val="GesAbsatz"/>
        <w:ind w:left="1276" w:hanging="425"/>
      </w:pPr>
      <w:r>
        <w:t>6.</w:t>
      </w:r>
      <w:r>
        <w:tab/>
        <w:t>Datenqualitätsziele: Dokumentation der Qualitätssicherung/Qualitätskontrolle (Weblink)</w:t>
      </w:r>
    </w:p>
    <w:p>
      <w:pPr>
        <w:pStyle w:val="GesAbsatz"/>
        <w:ind w:left="426" w:hanging="426"/>
        <w:rPr>
          <w:b/>
        </w:rPr>
      </w:pPr>
      <w:r>
        <w:rPr>
          <w:b/>
        </w:rPr>
        <w:t>E.</w:t>
      </w:r>
      <w:r>
        <w:rPr>
          <w:b/>
        </w:rPr>
        <w:tab/>
        <w:t>Informationen zu den validierten Einzel-Beurteilungsdaten und Einzel-Aktual-Beurteilungsdaten (Artikel 10)</w:t>
      </w:r>
    </w:p>
    <w:p>
      <w:pPr>
        <w:pStyle w:val="GesAbsatz"/>
        <w:ind w:left="851" w:hanging="425"/>
      </w:pPr>
      <w:r>
        <w:t>1.</w:t>
      </w:r>
      <w:r>
        <w:tab/>
        <w:t>Quelle (Datenart „Kontaktangaben“)</w:t>
      </w:r>
    </w:p>
    <w:p>
      <w:pPr>
        <w:pStyle w:val="GesAbsatz"/>
        <w:ind w:left="851" w:hanging="425"/>
      </w:pPr>
      <w:r>
        <w:t>2.</w:t>
      </w:r>
      <w:r>
        <w:tab/>
        <w:t>Dokumentation der Veränderung (Datenart „Dokumentation der Veränderung“)</w:t>
      </w:r>
    </w:p>
    <w:p>
      <w:pPr>
        <w:pStyle w:val="GesAbsatz"/>
        <w:ind w:left="851" w:hanging="425"/>
      </w:pPr>
      <w:r>
        <w:lastRenderedPageBreak/>
        <w:t>3.</w:t>
      </w:r>
      <w:r>
        <w:tab/>
        <w:t>Versionsnummer</w:t>
      </w:r>
    </w:p>
    <w:p>
      <w:pPr>
        <w:pStyle w:val="GesAbsatz"/>
        <w:ind w:left="851" w:hanging="425"/>
      </w:pPr>
      <w:r>
        <w:t>4.</w:t>
      </w:r>
      <w:r>
        <w:tab/>
        <w:t>Schadstoff</w:t>
      </w:r>
    </w:p>
    <w:p>
      <w:pPr>
        <w:pStyle w:val="GesAbsatz"/>
        <w:ind w:left="851" w:hanging="425"/>
      </w:pPr>
      <w:r>
        <w:t>5.</w:t>
      </w:r>
      <w:r>
        <w:tab/>
        <w:t>Messeinheit des Schadstoffs</w:t>
      </w:r>
    </w:p>
    <w:p>
      <w:pPr>
        <w:pStyle w:val="GesAbsatz"/>
        <w:ind w:left="851" w:hanging="425"/>
      </w:pPr>
      <w:r>
        <w:t>6.</w:t>
      </w:r>
      <w:r>
        <w:tab/>
        <w:t>Beurteilungsart</w:t>
      </w:r>
    </w:p>
    <w:p>
      <w:pPr>
        <w:pStyle w:val="GesAbsatz"/>
        <w:ind w:left="851" w:hanging="425"/>
      </w:pPr>
      <w:r>
        <w:t>7.</w:t>
      </w:r>
      <w:r>
        <w:tab/>
        <w:t>Beurteilungsverfahren (Link zu D)</w:t>
      </w:r>
    </w:p>
    <w:p>
      <w:pPr>
        <w:pStyle w:val="GesAbsatz"/>
        <w:ind w:left="851" w:hanging="425"/>
      </w:pPr>
      <w:r>
        <w:t>8.</w:t>
      </w:r>
      <w:r>
        <w:tab/>
        <w:t>Beginn und Ende der Probenahme</w:t>
      </w:r>
    </w:p>
    <w:p>
      <w:pPr>
        <w:pStyle w:val="GesAbsatz"/>
        <w:ind w:left="851" w:hanging="425"/>
      </w:pPr>
      <w:r>
        <w:t>9.</w:t>
      </w:r>
      <w:r>
        <w:tab/>
        <w:t>Zeiteinheiten und Anzahl der Probenahmeeinheiten</w:t>
      </w:r>
    </w:p>
    <w:p>
      <w:pPr>
        <w:pStyle w:val="GesAbsatz"/>
        <w:ind w:left="851" w:hanging="425"/>
      </w:pPr>
      <w:r>
        <w:t>10.</w:t>
      </w:r>
      <w:r>
        <w:tab/>
        <w:t>Messwert (einschließlich Menge der Schadstoffkonzentrationswerte, die natürlichen Quellen und der Ausbringung von Streusand und -salz im Winterdienst zuzurechnen sind [sofern die Artikel 20 und 21 der Richtlinie 2008/50/EG zur Anwendung kommen])</w:t>
      </w:r>
    </w:p>
    <w:p>
      <w:pPr>
        <w:pStyle w:val="GesAbsatz"/>
        <w:ind w:left="851" w:hanging="425"/>
      </w:pPr>
      <w:r>
        <w:t>11.</w:t>
      </w:r>
      <w:r>
        <w:tab/>
        <w:t>Durch die Modellrechnung ermittelter Wert (Datenart „räumliche Beobachtung“) (einschließlich der Menge der Schadstoffkonzentrationswerte, die natürlichen Quellen und der Ausbringung von Streusand und -salz im Winterdienst zuzurechnen sind [sofern die Artikel 20 und 21 der Richtlinie 2008/50/EG zur Anwendung kommen])</w:t>
      </w:r>
    </w:p>
    <w:p>
      <w:pPr>
        <w:pStyle w:val="GesAbsatz"/>
        <w:ind w:left="851" w:hanging="425"/>
      </w:pPr>
      <w:r>
        <w:t>12.</w:t>
      </w:r>
      <w:r>
        <w:tab/>
        <w:t>Gültigkeit</w:t>
      </w:r>
    </w:p>
    <w:p>
      <w:pPr>
        <w:pStyle w:val="GesAbsatz"/>
        <w:ind w:left="851" w:hanging="425"/>
      </w:pPr>
      <w:r>
        <w:t>13.</w:t>
      </w:r>
      <w:r>
        <w:tab/>
        <w:t>Status der Überprüfung</w:t>
      </w:r>
    </w:p>
    <w:p>
      <w:pPr>
        <w:pStyle w:val="GesAbsatz"/>
        <w:rPr>
          <w:b/>
        </w:rPr>
      </w:pPr>
      <w:r>
        <w:rPr>
          <w:b/>
        </w:rPr>
        <w:t>F.</w:t>
      </w:r>
      <w:r>
        <w:rPr>
          <w:b/>
        </w:rPr>
        <w:tab/>
        <w:t>Informationen zu den generierten aggregierten Daten (Artikel 11)</w:t>
      </w:r>
    </w:p>
    <w:p>
      <w:pPr>
        <w:pStyle w:val="GesAbsatz"/>
        <w:ind w:left="851" w:hanging="425"/>
      </w:pPr>
      <w:r>
        <w:t>1.</w:t>
      </w:r>
      <w:r>
        <w:tab/>
        <w:t>Code der Beurteilung</w:t>
      </w:r>
    </w:p>
    <w:p>
      <w:pPr>
        <w:pStyle w:val="GesAbsatz"/>
        <w:ind w:left="851" w:hanging="425"/>
      </w:pPr>
      <w:r>
        <w:t>2.</w:t>
      </w:r>
      <w:r>
        <w:tab/>
        <w:t>Informationen über das Gebiet (Link zu B)</w:t>
      </w:r>
    </w:p>
    <w:p>
      <w:pPr>
        <w:pStyle w:val="GesAbsatz"/>
        <w:ind w:left="851" w:hanging="425"/>
      </w:pPr>
      <w:r>
        <w:t>3.</w:t>
      </w:r>
      <w:r>
        <w:tab/>
        <w:t>Schadstoff</w:t>
      </w:r>
    </w:p>
    <w:p>
      <w:pPr>
        <w:pStyle w:val="GesAbsatz"/>
        <w:ind w:left="851" w:hanging="425"/>
      </w:pPr>
      <w:r>
        <w:t>4.</w:t>
      </w:r>
      <w:r>
        <w:tab/>
        <w:t>Schadstoffeinheit</w:t>
      </w:r>
    </w:p>
    <w:p>
      <w:pPr>
        <w:pStyle w:val="GesAbsatz"/>
        <w:ind w:left="851" w:hanging="425"/>
      </w:pPr>
      <w:r>
        <w:t>5.</w:t>
      </w:r>
      <w:r>
        <w:tab/>
        <w:t>Umweltziel (Datenart „Umweltziel“)</w:t>
      </w:r>
    </w:p>
    <w:p>
      <w:pPr>
        <w:pStyle w:val="GesAbsatz"/>
        <w:ind w:left="851" w:hanging="425"/>
      </w:pPr>
      <w:r>
        <w:t>6.</w:t>
      </w:r>
      <w:r>
        <w:tab/>
        <w:t>Beurteilungsart</w:t>
      </w:r>
    </w:p>
    <w:p>
      <w:pPr>
        <w:pStyle w:val="GesAbsatz"/>
        <w:ind w:left="851" w:hanging="425"/>
      </w:pPr>
      <w:r>
        <w:t>7.</w:t>
      </w:r>
      <w:r>
        <w:tab/>
        <w:t>Beurteilungsverfahren (Link zu D)</w:t>
      </w:r>
    </w:p>
    <w:p>
      <w:pPr>
        <w:pStyle w:val="GesAbsatz"/>
        <w:ind w:left="851" w:hanging="425"/>
      </w:pPr>
      <w:r>
        <w:t>8.</w:t>
      </w:r>
      <w:r>
        <w:tab/>
        <w:t>Zeitangaben: Beginn und Ende des Aggregationszeitraums</w:t>
      </w:r>
    </w:p>
    <w:p>
      <w:pPr>
        <w:pStyle w:val="GesAbsatz"/>
        <w:ind w:left="851" w:hanging="425"/>
      </w:pPr>
      <w:r>
        <w:t>9.</w:t>
      </w:r>
      <w:r>
        <w:tab/>
        <w:t>Aggregierter Messwert</w:t>
      </w:r>
    </w:p>
    <w:p>
      <w:pPr>
        <w:pStyle w:val="GesAbsatz"/>
        <w:ind w:left="851" w:hanging="425"/>
      </w:pPr>
      <w:r>
        <w:t>10.</w:t>
      </w:r>
      <w:r>
        <w:tab/>
        <w:t>Aggregierter durch die Modellrechnung ermittelter Wert (Datenart „räumliche Beobachtung“)</w:t>
      </w:r>
    </w:p>
    <w:p>
      <w:pPr>
        <w:pStyle w:val="GesAbsatz"/>
        <w:ind w:left="851" w:hanging="425"/>
      </w:pPr>
      <w:r>
        <w:t>11.</w:t>
      </w:r>
      <w:r>
        <w:tab/>
        <w:t>Datenqualitätsziel: Messdauer</w:t>
      </w:r>
    </w:p>
    <w:p>
      <w:pPr>
        <w:pStyle w:val="GesAbsatz"/>
        <w:ind w:left="851" w:hanging="425"/>
      </w:pPr>
      <w:r>
        <w:t>12.</w:t>
      </w:r>
      <w:r>
        <w:tab/>
        <w:t>Datenqualitätsziel: Datenerfassung</w:t>
      </w:r>
    </w:p>
    <w:p>
      <w:pPr>
        <w:pStyle w:val="GesAbsatz"/>
        <w:ind w:left="851" w:hanging="425"/>
      </w:pPr>
      <w:r>
        <w:t>13.</w:t>
      </w:r>
      <w:r>
        <w:tab/>
        <w:t>Datenqualitätsziel: objektive Schätzung der Unsicherheit</w:t>
      </w:r>
    </w:p>
    <w:p>
      <w:pPr>
        <w:pStyle w:val="GesAbsatz"/>
        <w:ind w:left="851" w:hanging="425"/>
      </w:pPr>
      <w:r>
        <w:t>14.</w:t>
      </w:r>
      <w:r>
        <w:tab/>
        <w:t>Gültigkeit</w:t>
      </w:r>
    </w:p>
    <w:p>
      <w:pPr>
        <w:pStyle w:val="GesAbsatz"/>
        <w:ind w:left="851" w:hanging="425"/>
      </w:pPr>
      <w:r>
        <w:t>15.</w:t>
      </w:r>
      <w:r>
        <w:tab/>
        <w:t>Status der Überprüfung</w:t>
      </w:r>
    </w:p>
    <w:p>
      <w:pPr>
        <w:pStyle w:val="GesAbsatz"/>
        <w:rPr>
          <w:b/>
        </w:rPr>
      </w:pPr>
      <w:r>
        <w:rPr>
          <w:b/>
        </w:rPr>
        <w:t>G.</w:t>
      </w:r>
      <w:r>
        <w:rPr>
          <w:b/>
        </w:rPr>
        <w:tab/>
        <w:t>Informationen über die Erreichung der Umweltziele (Artikel 12)</w:t>
      </w:r>
    </w:p>
    <w:p>
      <w:pPr>
        <w:pStyle w:val="GesAbsatz"/>
        <w:ind w:left="426"/>
      </w:pPr>
      <w:r>
        <w:t>Diese Informationen müssen alle Gebiete und Ballungsräume einbeziehen und in vollem Umfang mit den gemäß Teil F dieses Anhangs generierten Informationen zu den validierten aggregierten Beurteilungsdaten über Schadstoffe mit festgelegten Umweltzielen vereinbar sein.</w:t>
      </w:r>
    </w:p>
    <w:p>
      <w:pPr>
        <w:pStyle w:val="GesAbsatz"/>
        <w:ind w:left="851" w:hanging="425"/>
      </w:pPr>
      <w:r>
        <w:t>1.</w:t>
      </w:r>
      <w:r>
        <w:tab/>
        <w:t>Quelle (Datenart „Kontaktangaben“)</w:t>
      </w:r>
    </w:p>
    <w:p>
      <w:pPr>
        <w:pStyle w:val="GesAbsatz"/>
        <w:ind w:left="851" w:hanging="425"/>
      </w:pPr>
      <w:r>
        <w:t>2.</w:t>
      </w:r>
      <w:r>
        <w:tab/>
        <w:t>Berichtsjahr</w:t>
      </w:r>
    </w:p>
    <w:p>
      <w:pPr>
        <w:pStyle w:val="GesAbsatz"/>
        <w:ind w:left="851" w:hanging="425"/>
      </w:pPr>
      <w:r>
        <w:t>3.</w:t>
      </w:r>
      <w:r>
        <w:tab/>
        <w:t>Dokumentation der Veränderung (Datenart „Dokumentation der Veränderung“)</w:t>
      </w:r>
    </w:p>
    <w:p>
      <w:pPr>
        <w:pStyle w:val="GesAbsatz"/>
        <w:ind w:left="851" w:hanging="425"/>
      </w:pPr>
      <w:r>
        <w:t>4.</w:t>
      </w:r>
      <w:r>
        <w:tab/>
        <w:t>Informationen über das Gebiet (Link zu B)</w:t>
      </w:r>
    </w:p>
    <w:p>
      <w:pPr>
        <w:pStyle w:val="GesAbsatz"/>
        <w:ind w:left="851" w:hanging="425"/>
      </w:pPr>
      <w:r>
        <w:t>5.</w:t>
      </w:r>
      <w:r>
        <w:tab/>
        <w:t>Überschreitungsfall (Datenart „Überschreitungsfall“)</w:t>
      </w:r>
    </w:p>
    <w:p>
      <w:pPr>
        <w:pStyle w:val="GesAbsatz"/>
        <w:ind w:left="851" w:hanging="425"/>
      </w:pPr>
      <w:r>
        <w:t>6.</w:t>
      </w:r>
      <w:r>
        <w:tab/>
        <w:t>Schadstoff</w:t>
      </w:r>
    </w:p>
    <w:p>
      <w:pPr>
        <w:pStyle w:val="GesAbsatz"/>
        <w:ind w:left="851" w:hanging="425"/>
      </w:pPr>
      <w:r>
        <w:t>7.</w:t>
      </w:r>
      <w:r>
        <w:tab/>
        <w:t>Informationen zur Beurteilung (Link zu D)</w:t>
      </w:r>
    </w:p>
    <w:p>
      <w:pPr>
        <w:pStyle w:val="GesAbsatz"/>
        <w:ind w:left="851" w:hanging="425"/>
      </w:pPr>
      <w:r>
        <w:t>8.</w:t>
      </w:r>
      <w:r>
        <w:tab/>
        <w:t>Überschreitung des Umweltziels</w:t>
      </w:r>
    </w:p>
    <w:p>
      <w:pPr>
        <w:pStyle w:val="GesAbsatz"/>
        <w:ind w:left="851" w:hanging="425"/>
      </w:pPr>
      <w:r>
        <w:t>9.</w:t>
      </w:r>
      <w:r>
        <w:tab/>
        <w:t>Überschreitung des Umweltziels mit Toleranzmarge</w:t>
      </w:r>
    </w:p>
    <w:p>
      <w:pPr>
        <w:pStyle w:val="GesAbsatz"/>
        <w:ind w:left="851" w:hanging="425"/>
      </w:pPr>
      <w:r>
        <w:t>10.</w:t>
      </w:r>
      <w:r>
        <w:tab/>
        <w:t>Überschreitung unter Einbeziehung der natürlichen Quellen</w:t>
      </w:r>
    </w:p>
    <w:p>
      <w:pPr>
        <w:pStyle w:val="GesAbsatz"/>
        <w:ind w:left="851" w:hanging="425"/>
      </w:pPr>
      <w:r>
        <w:lastRenderedPageBreak/>
        <w:t>11.</w:t>
      </w:r>
      <w:r>
        <w:tab/>
        <w:t>Überschreitung unter Einbeziehung der Ausbringung von Streusand und -salz im Winterdienst</w:t>
      </w:r>
    </w:p>
    <w:p>
      <w:pPr>
        <w:pStyle w:val="GesAbsatz"/>
        <w:ind w:left="851" w:hanging="425"/>
      </w:pPr>
      <w:r>
        <w:t>12.</w:t>
      </w:r>
      <w:r>
        <w:tab/>
        <w:t>Überschreitungsfall bereinigt um die Beiträge aus natürlichen Quellen und der Ausbringung von Streusand und -salz im Winterdienst (Datenart „Überschreitungsfall“).</w:t>
      </w:r>
    </w:p>
    <w:p>
      <w:pPr>
        <w:pStyle w:val="GesAbsatz"/>
        <w:ind w:left="851" w:hanging="425"/>
      </w:pPr>
      <w:r>
        <w:t>13.</w:t>
      </w:r>
      <w:r>
        <w:tab/>
        <w:t>Gesamtzahl der Überschreitungsfälle (entsprechend den Nummern 8 bis 11)</w:t>
      </w:r>
    </w:p>
    <w:p>
      <w:pPr>
        <w:pStyle w:val="GesAbsatz"/>
        <w:rPr>
          <w:b/>
        </w:rPr>
      </w:pPr>
      <w:r>
        <w:rPr>
          <w:b/>
        </w:rPr>
        <w:t>H.</w:t>
      </w:r>
      <w:r>
        <w:rPr>
          <w:b/>
        </w:rPr>
        <w:tab/>
        <w:t>Informationen über die Luftqualitätspläne (Artikel 13)</w:t>
      </w:r>
    </w:p>
    <w:p>
      <w:pPr>
        <w:pStyle w:val="GesAbsatz"/>
        <w:ind w:left="851" w:hanging="425"/>
      </w:pPr>
      <w:r>
        <w:t>1.</w:t>
      </w:r>
      <w:r>
        <w:tab/>
        <w:t>Quelle (Datenart „Kontaktangaben“)</w:t>
      </w:r>
    </w:p>
    <w:p>
      <w:pPr>
        <w:pStyle w:val="GesAbsatz"/>
        <w:ind w:left="851" w:hanging="425"/>
      </w:pPr>
      <w:r>
        <w:t>2.</w:t>
      </w:r>
      <w:r>
        <w:tab/>
        <w:t>Dokumentation der Veränderungen (Datenart „Dokumentation der Veränderungen“)</w:t>
      </w:r>
    </w:p>
    <w:p>
      <w:pPr>
        <w:pStyle w:val="GesAbsatz"/>
        <w:ind w:left="851" w:hanging="425"/>
      </w:pPr>
      <w:r>
        <w:t>3.</w:t>
      </w:r>
      <w:r>
        <w:tab/>
        <w:t>Luftqualitätsplan: Code</w:t>
      </w:r>
    </w:p>
    <w:p>
      <w:pPr>
        <w:pStyle w:val="GesAbsatz"/>
        <w:ind w:left="851" w:hanging="425"/>
      </w:pPr>
      <w:r>
        <w:t>4.</w:t>
      </w:r>
      <w:r>
        <w:tab/>
        <w:t>Luftqualitätsplan: Name</w:t>
      </w:r>
    </w:p>
    <w:p>
      <w:pPr>
        <w:pStyle w:val="GesAbsatz"/>
        <w:ind w:left="851" w:hanging="425"/>
      </w:pPr>
      <w:r>
        <w:t>5.</w:t>
      </w:r>
      <w:r>
        <w:tab/>
        <w:t>Luftqualitätsplan: Referenzjahr der ersten Überschreitung</w:t>
      </w:r>
    </w:p>
    <w:p>
      <w:pPr>
        <w:pStyle w:val="GesAbsatz"/>
        <w:ind w:left="851" w:hanging="425"/>
      </w:pPr>
      <w:r>
        <w:t>6.</w:t>
      </w:r>
      <w:r>
        <w:tab/>
        <w:t>Zuständige Behörde (Datenart „Kontaktdaten“)</w:t>
      </w:r>
    </w:p>
    <w:p>
      <w:pPr>
        <w:pStyle w:val="GesAbsatz"/>
        <w:ind w:left="851" w:hanging="425"/>
      </w:pPr>
      <w:r>
        <w:t>7.</w:t>
      </w:r>
      <w:r>
        <w:tab/>
        <w:t>Luftqualitätsplan: Status</w:t>
      </w:r>
    </w:p>
    <w:p>
      <w:pPr>
        <w:pStyle w:val="GesAbsatz"/>
        <w:ind w:left="851" w:hanging="425"/>
      </w:pPr>
      <w:r>
        <w:t>8.</w:t>
      </w:r>
      <w:r>
        <w:tab/>
        <w:t>Luftqualitätsplan: Erfasste Schadstoffe</w:t>
      </w:r>
    </w:p>
    <w:p>
      <w:pPr>
        <w:pStyle w:val="GesAbsatz"/>
        <w:ind w:left="851" w:hanging="425"/>
      </w:pPr>
      <w:r>
        <w:t>9.</w:t>
      </w:r>
      <w:r>
        <w:tab/>
        <w:t>Luftqualitätsplan: Datum der offiziellen Annahme</w:t>
      </w:r>
    </w:p>
    <w:p>
      <w:pPr>
        <w:pStyle w:val="GesAbsatz"/>
        <w:ind w:left="851" w:hanging="425"/>
      </w:pPr>
      <w:r>
        <w:t>10.</w:t>
      </w:r>
      <w:r>
        <w:tab/>
        <w:t>Luftqualitätsplan: Zeitplan für die Durchführung</w:t>
      </w:r>
    </w:p>
    <w:p>
      <w:pPr>
        <w:pStyle w:val="GesAbsatz"/>
        <w:ind w:left="851" w:hanging="425"/>
      </w:pPr>
      <w:r>
        <w:t>11.</w:t>
      </w:r>
      <w:r>
        <w:tab/>
        <w:t>Fundstelle des Luftqualitätsplans (Weblink)</w:t>
      </w:r>
    </w:p>
    <w:p>
      <w:pPr>
        <w:pStyle w:val="GesAbsatz"/>
        <w:ind w:left="851" w:hanging="425"/>
      </w:pPr>
      <w:r>
        <w:t>12.</w:t>
      </w:r>
      <w:r>
        <w:tab/>
        <w:t>Fundstelle zur Durchführung (Weblink)</w:t>
      </w:r>
    </w:p>
    <w:p>
      <w:pPr>
        <w:pStyle w:val="GesAbsatz"/>
        <w:ind w:left="851" w:hanging="425"/>
      </w:pPr>
      <w:r>
        <w:t>13.</w:t>
      </w:r>
      <w:r>
        <w:tab/>
        <w:t>Diesbezügliche Veröffentlichung (Datenart „Veröffentlichung“)</w:t>
      </w:r>
    </w:p>
    <w:p>
      <w:pPr>
        <w:pStyle w:val="GesAbsatz"/>
        <w:ind w:left="851" w:hanging="425"/>
      </w:pPr>
      <w:r>
        <w:t>14.</w:t>
      </w:r>
      <w:r>
        <w:tab/>
        <w:t>Code des/der betreffenden Überschreitungsfalls/-fälle (Link zu K)</w:t>
      </w:r>
    </w:p>
    <w:p>
      <w:pPr>
        <w:pStyle w:val="GesAbsatz"/>
        <w:rPr>
          <w:b/>
        </w:rPr>
      </w:pPr>
      <w:r>
        <w:rPr>
          <w:b/>
        </w:rPr>
        <w:t>I.</w:t>
      </w:r>
      <w:r>
        <w:rPr>
          <w:b/>
        </w:rPr>
        <w:tab/>
        <w:t>Informationen zu der Quellenzuordnung (Artikel 13)</w:t>
      </w:r>
    </w:p>
    <w:p>
      <w:pPr>
        <w:pStyle w:val="GesAbsatz"/>
        <w:ind w:left="851" w:hanging="425"/>
      </w:pPr>
      <w:r>
        <w:t>1.</w:t>
      </w:r>
      <w:r>
        <w:tab/>
        <w:t>Code(s) des Überschreitungsfalls (Link zu K)</w:t>
      </w:r>
    </w:p>
    <w:p>
      <w:pPr>
        <w:pStyle w:val="GesAbsatz"/>
        <w:ind w:left="851" w:hanging="425"/>
      </w:pPr>
      <w:r>
        <w:t>2.</w:t>
      </w:r>
      <w:r>
        <w:tab/>
        <w:t>Referenzjahr</w:t>
      </w:r>
    </w:p>
    <w:p>
      <w:pPr>
        <w:pStyle w:val="GesAbsatz"/>
        <w:ind w:left="851" w:hanging="425"/>
      </w:pPr>
      <w:r>
        <w:t>3.</w:t>
      </w:r>
      <w:r>
        <w:tab/>
        <w:t>Regionale Hintergrundbelastung: insgesamt</w:t>
      </w:r>
    </w:p>
    <w:p>
      <w:pPr>
        <w:pStyle w:val="GesAbsatz"/>
        <w:ind w:left="851" w:hanging="425"/>
      </w:pPr>
      <w:r>
        <w:t>4.</w:t>
      </w:r>
      <w:r>
        <w:tab/>
        <w:t>Regionale Hintergrundbelastung: aus dem Mitgliedstaat stammend</w:t>
      </w:r>
    </w:p>
    <w:p>
      <w:pPr>
        <w:pStyle w:val="GesAbsatz"/>
        <w:ind w:left="851" w:hanging="425"/>
      </w:pPr>
      <w:r>
        <w:t>5.</w:t>
      </w:r>
      <w:r>
        <w:tab/>
        <w:t>Regionale Hintergrundbelastung: grenzüberschreitend</w:t>
      </w:r>
    </w:p>
    <w:p>
      <w:pPr>
        <w:pStyle w:val="GesAbsatz"/>
        <w:ind w:left="851" w:hanging="425"/>
      </w:pPr>
      <w:r>
        <w:t>6.</w:t>
      </w:r>
      <w:r>
        <w:tab/>
        <w:t>Regionale Hintergrundbelastung: natürliche Quellen</w:t>
      </w:r>
    </w:p>
    <w:p>
      <w:pPr>
        <w:pStyle w:val="GesAbsatz"/>
        <w:ind w:left="851" w:hanging="425"/>
      </w:pPr>
      <w:r>
        <w:t>7.</w:t>
      </w:r>
      <w:r>
        <w:tab/>
        <w:t>Zusätzliche städtische Hintergrundbelastung: insgesamt</w:t>
      </w:r>
    </w:p>
    <w:p>
      <w:pPr>
        <w:pStyle w:val="GesAbsatz"/>
        <w:ind w:left="851" w:hanging="425"/>
      </w:pPr>
      <w:r>
        <w:t>8.</w:t>
      </w:r>
      <w:r>
        <w:tab/>
        <w:t>Zusätzliche städtische Hintergrundbelastung: Verkehr</w:t>
      </w:r>
    </w:p>
    <w:p>
      <w:pPr>
        <w:pStyle w:val="GesAbsatz"/>
        <w:ind w:left="851" w:hanging="425"/>
      </w:pPr>
      <w:r>
        <w:t>9.</w:t>
      </w:r>
      <w:r>
        <w:tab/>
        <w:t>Zusätzliche städtische Hintergrundbelastung: Industrie einschließlich Wärme- und Stromerzeugung</w:t>
      </w:r>
    </w:p>
    <w:p>
      <w:pPr>
        <w:pStyle w:val="GesAbsatz"/>
        <w:ind w:left="851" w:hanging="425"/>
      </w:pPr>
      <w:r>
        <w:t>10.</w:t>
      </w:r>
      <w:r>
        <w:tab/>
        <w:t>Zusätzliche städtische Hintergrundbelastung: Landwirtschaft</w:t>
      </w:r>
    </w:p>
    <w:p>
      <w:pPr>
        <w:pStyle w:val="GesAbsatz"/>
        <w:ind w:left="851" w:hanging="425"/>
      </w:pPr>
      <w:r>
        <w:t>11.</w:t>
      </w:r>
      <w:r>
        <w:tab/>
        <w:t>Zusätzliche städtische Hintergrundbelastung: Gewerbe und Wohngebiete</w:t>
      </w:r>
    </w:p>
    <w:p>
      <w:pPr>
        <w:pStyle w:val="GesAbsatz"/>
        <w:ind w:left="851" w:hanging="425"/>
      </w:pPr>
      <w:r>
        <w:t>12.</w:t>
      </w:r>
      <w:r>
        <w:tab/>
        <w:t>Zusätzliche städtische Hintergrundbelastung: Schifffahrt</w:t>
      </w:r>
    </w:p>
    <w:p>
      <w:pPr>
        <w:pStyle w:val="GesAbsatz"/>
        <w:ind w:left="851" w:hanging="425"/>
      </w:pPr>
      <w:r>
        <w:t>13.</w:t>
      </w:r>
      <w:r>
        <w:tab/>
        <w:t>Zusätzliche städtische Hintergrundbelastung: mobile Maschinen und Geräte</w:t>
      </w:r>
    </w:p>
    <w:p>
      <w:pPr>
        <w:pStyle w:val="GesAbsatz"/>
        <w:ind w:left="851" w:hanging="425"/>
      </w:pPr>
      <w:r>
        <w:t>14.</w:t>
      </w:r>
      <w:r>
        <w:tab/>
        <w:t>Zusätzliche städtische Hintergrundbelastung: natürliche Quellen</w:t>
      </w:r>
    </w:p>
    <w:p>
      <w:pPr>
        <w:pStyle w:val="GesAbsatz"/>
        <w:ind w:left="851" w:hanging="425"/>
      </w:pPr>
      <w:r>
        <w:t>15.</w:t>
      </w:r>
      <w:r>
        <w:tab/>
        <w:t>Lokale Zusatzbelastung: grenzüberschreitend</w:t>
      </w:r>
    </w:p>
    <w:p>
      <w:pPr>
        <w:pStyle w:val="GesAbsatz"/>
        <w:ind w:left="851" w:hanging="425"/>
      </w:pPr>
      <w:r>
        <w:t>16.</w:t>
      </w:r>
      <w:r>
        <w:tab/>
        <w:t>Lokale Zusatzbelastung: insgesamt</w:t>
      </w:r>
    </w:p>
    <w:p>
      <w:pPr>
        <w:pStyle w:val="GesAbsatz"/>
        <w:ind w:left="851" w:hanging="425"/>
      </w:pPr>
      <w:r>
        <w:t>17.</w:t>
      </w:r>
      <w:r>
        <w:tab/>
        <w:t>Lokale Zusatzbelastung: Verkehr</w:t>
      </w:r>
    </w:p>
    <w:p>
      <w:pPr>
        <w:pStyle w:val="GesAbsatz"/>
        <w:ind w:left="851" w:hanging="425"/>
      </w:pPr>
      <w:r>
        <w:t>18.</w:t>
      </w:r>
      <w:r>
        <w:tab/>
        <w:t>Lokale Zusatzbelastung: Industrie einschließlich Wärme- und Stromerzeugung</w:t>
      </w:r>
    </w:p>
    <w:p>
      <w:pPr>
        <w:pStyle w:val="GesAbsatz"/>
        <w:ind w:left="851" w:hanging="425"/>
      </w:pPr>
      <w:r>
        <w:t>19.</w:t>
      </w:r>
      <w:r>
        <w:tab/>
        <w:t>Lokale Zusatzbelastung: Landwirtschaft</w:t>
      </w:r>
    </w:p>
    <w:p>
      <w:pPr>
        <w:pStyle w:val="GesAbsatz"/>
        <w:ind w:left="851" w:hanging="425"/>
      </w:pPr>
      <w:r>
        <w:t>20.</w:t>
      </w:r>
      <w:r>
        <w:tab/>
        <w:t>Lokale Zusatzbelastung: Gewerbe und Wohngebiete</w:t>
      </w:r>
    </w:p>
    <w:p>
      <w:pPr>
        <w:pStyle w:val="GesAbsatz"/>
        <w:ind w:left="851" w:hanging="425"/>
      </w:pPr>
      <w:r>
        <w:t>21.</w:t>
      </w:r>
      <w:r>
        <w:tab/>
        <w:t>Lokale Zusatzbelastung: Schifffahrt</w:t>
      </w:r>
    </w:p>
    <w:p>
      <w:pPr>
        <w:pStyle w:val="GesAbsatz"/>
        <w:ind w:left="851" w:hanging="425"/>
      </w:pPr>
      <w:r>
        <w:t>22.</w:t>
      </w:r>
      <w:r>
        <w:tab/>
        <w:t>Lokale Zusatzbelastung: land- und forstwirtschaftliche Zugmaschinen</w:t>
      </w:r>
    </w:p>
    <w:p>
      <w:pPr>
        <w:pStyle w:val="GesAbsatz"/>
        <w:ind w:left="851" w:hanging="425"/>
      </w:pPr>
      <w:r>
        <w:t>23.</w:t>
      </w:r>
      <w:r>
        <w:tab/>
        <w:t>Lokale Zusatzbelastung: natürliche Quellen</w:t>
      </w:r>
    </w:p>
    <w:p>
      <w:pPr>
        <w:pStyle w:val="GesAbsatz"/>
        <w:ind w:left="851" w:hanging="425"/>
      </w:pPr>
      <w:r>
        <w:t>24.</w:t>
      </w:r>
      <w:r>
        <w:tab/>
        <w:t>Lokale Zusatzbelastung: grenzüberschreitend</w:t>
      </w:r>
    </w:p>
    <w:p>
      <w:pPr>
        <w:pStyle w:val="GesAbsatz"/>
        <w:rPr>
          <w:b/>
        </w:rPr>
      </w:pPr>
      <w:r>
        <w:rPr>
          <w:b/>
        </w:rPr>
        <w:lastRenderedPageBreak/>
        <w:t>J.</w:t>
      </w:r>
      <w:r>
        <w:rPr>
          <w:b/>
        </w:rPr>
        <w:tab/>
        <w:t>Informationen über das Szenario für das Jahr der Erreichung der Zielwerte (Artikel 13)</w:t>
      </w:r>
    </w:p>
    <w:p>
      <w:pPr>
        <w:pStyle w:val="GesAbsatz"/>
        <w:ind w:left="851" w:hanging="425"/>
      </w:pPr>
      <w:r>
        <w:t>1.</w:t>
      </w:r>
      <w:r>
        <w:tab/>
        <w:t>Code des Überschreitungsfalls (Link zu G)</w:t>
      </w:r>
    </w:p>
    <w:p>
      <w:pPr>
        <w:pStyle w:val="GesAbsatz"/>
        <w:ind w:left="851" w:hanging="425"/>
      </w:pPr>
      <w:r>
        <w:t>2.</w:t>
      </w:r>
      <w:r>
        <w:tab/>
        <w:t>Code des Szenarios</w:t>
      </w:r>
    </w:p>
    <w:p>
      <w:pPr>
        <w:pStyle w:val="GesAbsatz"/>
        <w:ind w:left="851" w:hanging="425"/>
      </w:pPr>
      <w:r>
        <w:t>3.</w:t>
      </w:r>
      <w:r>
        <w:tab/>
        <w:t>Code des Luftqualitätsplans (Link zu H)</w:t>
      </w:r>
    </w:p>
    <w:p>
      <w:pPr>
        <w:pStyle w:val="GesAbsatz"/>
        <w:ind w:left="851" w:hanging="425"/>
      </w:pPr>
      <w:r>
        <w:t>4.</w:t>
      </w:r>
      <w:r>
        <w:tab/>
        <w:t>Referenzjahr, für das die Prognosen entwickelt wurden</w:t>
      </w:r>
    </w:p>
    <w:p>
      <w:pPr>
        <w:pStyle w:val="GesAbsatz"/>
        <w:ind w:left="851" w:hanging="425"/>
      </w:pPr>
      <w:r>
        <w:t>5.</w:t>
      </w:r>
      <w:r>
        <w:tab/>
        <w:t>Referenzjahr, von dem die Prognosen ausgehen</w:t>
      </w:r>
    </w:p>
    <w:p>
      <w:pPr>
        <w:pStyle w:val="GesAbsatz"/>
        <w:ind w:left="851" w:hanging="425"/>
      </w:pPr>
      <w:r>
        <w:t>6.</w:t>
      </w:r>
      <w:r>
        <w:tab/>
        <w:t>Quellenzuordnung (Link zu I)</w:t>
      </w:r>
    </w:p>
    <w:p>
      <w:pPr>
        <w:pStyle w:val="GesAbsatz"/>
        <w:ind w:left="851" w:hanging="425"/>
      </w:pPr>
      <w:r>
        <w:t>7.</w:t>
      </w:r>
      <w:r>
        <w:tab/>
        <w:t>Diesbezügliche Veröffentlichung (Datenart „Veröffentlichung“)</w:t>
      </w:r>
    </w:p>
    <w:p>
      <w:pPr>
        <w:pStyle w:val="GesAbsatz"/>
        <w:ind w:left="851" w:hanging="425"/>
      </w:pPr>
      <w:r>
        <w:t>8.</w:t>
      </w:r>
      <w:r>
        <w:tab/>
        <w:t>Ausgangsszenario: Beschreibung des Emissionsszenarios</w:t>
      </w:r>
    </w:p>
    <w:p>
      <w:pPr>
        <w:pStyle w:val="GesAbsatz"/>
        <w:ind w:left="851" w:hanging="425"/>
      </w:pPr>
      <w:r>
        <w:t>9.</w:t>
      </w:r>
      <w:r>
        <w:tab/>
        <w:t>Ausgangsszenario: Gesamtheit der Emissionen in der betreffenden räumlichen Einheit</w:t>
      </w:r>
    </w:p>
    <w:p>
      <w:pPr>
        <w:pStyle w:val="GesAbsatz"/>
        <w:ind w:left="851" w:hanging="425"/>
      </w:pPr>
      <w:r>
        <w:t>10.</w:t>
      </w:r>
      <w:r>
        <w:tab/>
        <w:t>Ausgangsszenario: berücksichtigte Maßnahmen (Link zu K)</w:t>
      </w:r>
    </w:p>
    <w:p>
      <w:pPr>
        <w:pStyle w:val="GesAbsatz"/>
        <w:ind w:left="851" w:hanging="425"/>
      </w:pPr>
      <w:r>
        <w:t>11.</w:t>
      </w:r>
      <w:r>
        <w:tab/>
        <w:t>Ausgangsszenario: erwartete Konzentrationsmengen im Prognosejahr</w:t>
      </w:r>
    </w:p>
    <w:p>
      <w:pPr>
        <w:pStyle w:val="GesAbsatz"/>
        <w:ind w:left="851" w:hanging="425"/>
      </w:pPr>
      <w:r>
        <w:t>12.</w:t>
      </w:r>
      <w:r>
        <w:tab/>
        <w:t>Ausgangsszenario: erwartete Anzahl der Überschreitungen im Prognosejahr</w:t>
      </w:r>
    </w:p>
    <w:p>
      <w:pPr>
        <w:pStyle w:val="GesAbsatz"/>
        <w:ind w:left="851" w:hanging="425"/>
      </w:pPr>
      <w:r>
        <w:t>13.</w:t>
      </w:r>
      <w:r>
        <w:tab/>
        <w:t>Prognose: Beschreibung des Emissionsszenarios</w:t>
      </w:r>
    </w:p>
    <w:p>
      <w:pPr>
        <w:pStyle w:val="GesAbsatz"/>
        <w:ind w:left="851" w:hanging="425"/>
      </w:pPr>
      <w:r>
        <w:t>14.</w:t>
      </w:r>
      <w:r>
        <w:tab/>
        <w:t>Prognose: Gesamtheit der Emissionen in der betreffenden räumlichen Einheit</w:t>
      </w:r>
    </w:p>
    <w:p>
      <w:pPr>
        <w:pStyle w:val="GesAbsatz"/>
        <w:ind w:left="851" w:hanging="425"/>
      </w:pPr>
      <w:r>
        <w:t>15.</w:t>
      </w:r>
      <w:r>
        <w:tab/>
        <w:t>Prognose: berücksichtigte Maßnahmen (Link zu K)</w:t>
      </w:r>
    </w:p>
    <w:p>
      <w:pPr>
        <w:pStyle w:val="GesAbsatz"/>
        <w:ind w:left="851" w:hanging="425"/>
      </w:pPr>
      <w:r>
        <w:t>16.</w:t>
      </w:r>
      <w:r>
        <w:tab/>
        <w:t>Prognose: erwartete Konzentrationswerte im Prognosejahr</w:t>
      </w:r>
    </w:p>
    <w:p>
      <w:pPr>
        <w:pStyle w:val="GesAbsatz"/>
        <w:ind w:left="851" w:hanging="425"/>
      </w:pPr>
      <w:r>
        <w:t>17.</w:t>
      </w:r>
      <w:r>
        <w:tab/>
        <w:t>Prognose: erwartete Anzahl der Überschreitungen im Prognosejahr</w:t>
      </w:r>
    </w:p>
    <w:p>
      <w:pPr>
        <w:pStyle w:val="GesAbsatz"/>
        <w:rPr>
          <w:b/>
        </w:rPr>
      </w:pPr>
      <w:r>
        <w:rPr>
          <w:b/>
        </w:rPr>
        <w:t>K.</w:t>
      </w:r>
      <w:r>
        <w:rPr>
          <w:b/>
        </w:rPr>
        <w:tab/>
        <w:t>Informationen über die Maßnahmen (Artikel 13 und 14)</w:t>
      </w:r>
    </w:p>
    <w:p>
      <w:pPr>
        <w:pStyle w:val="GesAbsatz"/>
        <w:ind w:left="851" w:hanging="425"/>
      </w:pPr>
      <w:r>
        <w:t>1.</w:t>
      </w:r>
      <w:r>
        <w:tab/>
        <w:t>Code(s) des Überschreitungsfalls (Link zu G)</w:t>
      </w:r>
    </w:p>
    <w:p>
      <w:pPr>
        <w:pStyle w:val="GesAbsatz"/>
        <w:ind w:left="851" w:hanging="425"/>
      </w:pPr>
      <w:r>
        <w:t>2.</w:t>
      </w:r>
      <w:r>
        <w:tab/>
        <w:t>Code des Luftqualitätsplans (Link zu H)</w:t>
      </w:r>
    </w:p>
    <w:p>
      <w:pPr>
        <w:pStyle w:val="GesAbsatz"/>
        <w:ind w:left="851" w:hanging="425"/>
      </w:pPr>
      <w:r>
        <w:t>3.</w:t>
      </w:r>
      <w:r>
        <w:tab/>
        <w:t>Code des Bewertungsszenarios (Link zu J)</w:t>
      </w:r>
    </w:p>
    <w:p>
      <w:pPr>
        <w:pStyle w:val="GesAbsatz"/>
        <w:ind w:left="851" w:hanging="425"/>
      </w:pPr>
      <w:r>
        <w:t>4.</w:t>
      </w:r>
      <w:r>
        <w:tab/>
        <w:t>Maßnahme: Code</w:t>
      </w:r>
    </w:p>
    <w:p>
      <w:pPr>
        <w:pStyle w:val="GesAbsatz"/>
        <w:ind w:left="851" w:hanging="425"/>
      </w:pPr>
      <w:r>
        <w:t>5.</w:t>
      </w:r>
      <w:r>
        <w:tab/>
        <w:t>Maßnahme: Name</w:t>
      </w:r>
    </w:p>
    <w:p>
      <w:pPr>
        <w:pStyle w:val="GesAbsatz"/>
        <w:ind w:left="851" w:hanging="425"/>
      </w:pPr>
      <w:r>
        <w:t>6.</w:t>
      </w:r>
      <w:r>
        <w:tab/>
        <w:t>Maßnahme: Beschreibung</w:t>
      </w:r>
    </w:p>
    <w:p>
      <w:pPr>
        <w:pStyle w:val="GesAbsatz"/>
        <w:ind w:left="851" w:hanging="425"/>
      </w:pPr>
      <w:r>
        <w:t>7.</w:t>
      </w:r>
      <w:r>
        <w:tab/>
        <w:t>Maßnahme: Kategorie</w:t>
      </w:r>
    </w:p>
    <w:p>
      <w:pPr>
        <w:pStyle w:val="GesAbsatz"/>
        <w:ind w:left="851" w:hanging="425"/>
      </w:pPr>
      <w:r>
        <w:t>8.</w:t>
      </w:r>
      <w:r>
        <w:tab/>
        <w:t>Maßnahme: Art</w:t>
      </w:r>
    </w:p>
    <w:p>
      <w:pPr>
        <w:pStyle w:val="GesAbsatz"/>
        <w:ind w:left="851" w:hanging="425"/>
      </w:pPr>
      <w:r>
        <w:t>9.</w:t>
      </w:r>
      <w:r>
        <w:tab/>
        <w:t>Maßnahme: Verwaltungsebene</w:t>
      </w:r>
    </w:p>
    <w:p>
      <w:pPr>
        <w:pStyle w:val="GesAbsatz"/>
        <w:ind w:left="851" w:hanging="425"/>
      </w:pPr>
      <w:r>
        <w:t>10.</w:t>
      </w:r>
      <w:r>
        <w:tab/>
        <w:t>Maßnahme: Fristen</w:t>
      </w:r>
    </w:p>
    <w:p>
      <w:pPr>
        <w:pStyle w:val="GesAbsatz"/>
        <w:ind w:left="851" w:hanging="425"/>
      </w:pPr>
      <w:r>
        <w:t>11.</w:t>
      </w:r>
      <w:r>
        <w:tab/>
        <w:t>Maßnahme: betroffener Verursachersektor</w:t>
      </w:r>
    </w:p>
    <w:p>
      <w:pPr>
        <w:pStyle w:val="GesAbsatz"/>
        <w:ind w:left="851" w:hanging="425"/>
      </w:pPr>
      <w:r>
        <w:t>12.</w:t>
      </w:r>
      <w:r>
        <w:tab/>
        <w:t>Maßnahme: räumliche Ausdehnung</w:t>
      </w:r>
    </w:p>
    <w:p>
      <w:pPr>
        <w:pStyle w:val="GesAbsatz"/>
        <w:ind w:left="851" w:hanging="425"/>
      </w:pPr>
      <w:r>
        <w:t>13.</w:t>
      </w:r>
      <w:r>
        <w:tab/>
        <w:t>Geschätzte Kosten der Durchführung (sofern entsprechende Angaben vorliegen)</w:t>
      </w:r>
    </w:p>
    <w:p>
      <w:pPr>
        <w:pStyle w:val="GesAbsatz"/>
        <w:ind w:left="851" w:hanging="425"/>
      </w:pPr>
      <w:r>
        <w:t>14.</w:t>
      </w:r>
      <w:r>
        <w:tab/>
        <w:t>Geplante Durchführung: Beginn und Ende</w:t>
      </w:r>
    </w:p>
    <w:p>
      <w:pPr>
        <w:pStyle w:val="GesAbsatz"/>
        <w:ind w:left="851" w:hanging="425"/>
      </w:pPr>
      <w:r>
        <w:t>15.</w:t>
      </w:r>
      <w:r>
        <w:tab/>
        <w:t>Zeitpunkt, an dem die Maßnahme voll wirksam werden soll</w:t>
      </w:r>
    </w:p>
    <w:p>
      <w:pPr>
        <w:pStyle w:val="GesAbsatz"/>
        <w:ind w:left="851" w:hanging="425"/>
      </w:pPr>
      <w:r>
        <w:t>16.</w:t>
      </w:r>
      <w:r>
        <w:tab/>
        <w:t>Andere wichtige Daten der Durchführung</w:t>
      </w:r>
    </w:p>
    <w:p>
      <w:pPr>
        <w:pStyle w:val="GesAbsatz"/>
        <w:ind w:left="851" w:hanging="425"/>
      </w:pPr>
      <w:r>
        <w:t>17.</w:t>
      </w:r>
      <w:r>
        <w:tab/>
        <w:t>Indikator zur Überwachung des Fortschritts</w:t>
      </w:r>
    </w:p>
    <w:p>
      <w:pPr>
        <w:pStyle w:val="GesAbsatz"/>
        <w:ind w:left="851" w:hanging="425"/>
      </w:pPr>
      <w:r>
        <w:t>18.</w:t>
      </w:r>
      <w:r>
        <w:tab/>
        <w:t>Verringerung der jährlichen Emissionen durch die Maßnahme</w:t>
      </w:r>
    </w:p>
    <w:p>
      <w:pPr>
        <w:pStyle w:val="GesAbsatz"/>
        <w:ind w:left="851" w:hanging="425"/>
      </w:pPr>
      <w:r>
        <w:t>19.</w:t>
      </w:r>
      <w:r>
        <w:tab/>
        <w:t>Erwartete Auswirkungen auf die Menge der Konzentrationen im Prognosejahr (sofern entsprechende Angaben vorliegen)</w:t>
      </w:r>
    </w:p>
    <w:p>
      <w:pPr>
        <w:pStyle w:val="GesAbsatz"/>
        <w:ind w:left="851" w:hanging="425"/>
      </w:pPr>
      <w:r>
        <w:t>20.</w:t>
      </w:r>
      <w:r>
        <w:tab/>
        <w:t>Erwartete Auswirkungen auf die Anzahl der Überschreitungen im Prognosejahr (sofern entsprechende Angaben vorliegen).</w:t>
      </w:r>
    </w:p>
    <w:p>
      <w:pPr>
        <w:pStyle w:val="GesAbsatz"/>
        <w:ind w:left="851" w:hanging="425"/>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12.12.2011 (ABl. L 335 v. 17.12.2011 S. 86)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23 vom 26.1.2005, S. 3.</w:t>
      </w:r>
    </w:p>
  </w:footnote>
  <w:footnote w:id="2">
    <w:p>
      <w:pPr>
        <w:pStyle w:val="Funotentext"/>
      </w:pPr>
      <w:r>
        <w:rPr>
          <w:rStyle w:val="Funotenzeichen"/>
        </w:rPr>
        <w:footnoteRef/>
      </w:r>
      <w:r>
        <w:t xml:space="preserve"> ABl. L 152 vom 11.6.2008, S. 1.</w:t>
      </w:r>
    </w:p>
  </w:footnote>
  <w:footnote w:id="3">
    <w:p>
      <w:pPr>
        <w:pStyle w:val="Funotentext"/>
      </w:pPr>
      <w:r>
        <w:rPr>
          <w:rStyle w:val="Funotenzeichen"/>
        </w:rPr>
        <w:footnoteRef/>
      </w:r>
      <w:r>
        <w:t xml:space="preserve"> ABl. L 35 vom 5.2.1997, S. 14.</w:t>
      </w:r>
    </w:p>
  </w:footnote>
  <w:footnote w:id="4">
    <w:p>
      <w:pPr>
        <w:pStyle w:val="Funotentext"/>
      </w:pPr>
      <w:r>
        <w:rPr>
          <w:rStyle w:val="Funotenzeichen"/>
        </w:rPr>
        <w:footnoteRef/>
      </w:r>
      <w:r>
        <w:t xml:space="preserve"> ABl. L 68 vom 6.3.2004, S. 27.</w:t>
      </w:r>
    </w:p>
  </w:footnote>
  <w:footnote w:id="5">
    <w:p>
      <w:pPr>
        <w:pStyle w:val="Funotentext"/>
      </w:pPr>
      <w:r>
        <w:rPr>
          <w:rStyle w:val="Funotenzeichen"/>
        </w:rPr>
        <w:footnoteRef/>
      </w:r>
      <w:r>
        <w:t xml:space="preserve"> ABl. L 156 vom 30.4.2004, S. 90.</w:t>
      </w:r>
    </w:p>
  </w:footnote>
  <w:footnote w:id="6">
    <w:p>
      <w:pPr>
        <w:pStyle w:val="Funotentext"/>
      </w:pPr>
      <w:r>
        <w:rPr>
          <w:rStyle w:val="Funotenzeichen"/>
        </w:rPr>
        <w:footnoteRef/>
      </w:r>
      <w:r>
        <w:t xml:space="preserve"> ABl. L 108 vom 25.4.2007,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60.0-65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1CF9A-2AC5-4F25-82AA-5FC99AAE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1/850/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europa.eu/eli/dec_impl/2011/850/corrigendum/2017-06-20/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D93B-26F7-485C-9FD7-6E59F6FC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7004</Words>
  <Characters>50371</Characters>
  <Application>Microsoft Office Word</Application>
  <DocSecurity>0</DocSecurity>
  <Lines>419</Lines>
  <Paragraphs>114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11</cp:revision>
  <cp:lastPrinted>2004-12-14T12:08:00Z</cp:lastPrinted>
  <dcterms:created xsi:type="dcterms:W3CDTF">2016-04-14T06:58:00Z</dcterms:created>
  <dcterms:modified xsi:type="dcterms:W3CDTF">2023-09-12T11:45:00Z</dcterms:modified>
</cp:coreProperties>
</file>