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46879880"/>
      <w:r>
        <w:t xml:space="preserve">RICHTLINIE </w:t>
      </w:r>
      <w:hyperlink r:id="rId8" w:history="1">
        <w:r>
          <w:rPr>
            <w:rStyle w:val="Hyperlink"/>
          </w:rPr>
          <w:t>2003/87/EG</w:t>
        </w:r>
      </w:hyperlink>
      <w:r>
        <w:t xml:space="preserve"> DES EUROPÄISCHEN PARLAMENTS UND DES RATES vom 13. Oktober 2003 über e</w:t>
      </w:r>
      <w:bookmarkStart w:id="1" w:name="_GoBack"/>
      <w:bookmarkEnd w:id="1"/>
      <w:r>
        <w:t>in System für den Handel mit</w:t>
      </w:r>
      <w:r>
        <w:br/>
        <w:t>Treibhausgasemissionszertifikaten in der Gemeinschaft und zur</w:t>
      </w:r>
      <w:r>
        <w:br/>
        <w:t>Änderung der Richtlinie 96/61/EG des Rates</w:t>
      </w:r>
      <w:bookmarkEnd w:id="0"/>
    </w:p>
    <w:p>
      <w:pPr>
        <w:pStyle w:val="GesAbsatz"/>
        <w:jc w:val="center"/>
        <w:rPr>
          <w:rFonts w:cs="Arial"/>
          <w:szCs w:val="17"/>
        </w:rPr>
      </w:pPr>
      <w:r>
        <w:rPr>
          <w:rFonts w:cs="Arial"/>
          <w:szCs w:val="17"/>
        </w:rPr>
        <w:t>(Text von Bedeutung für den EWR)</w:t>
      </w:r>
    </w:p>
    <w:p>
      <w:pPr>
        <w:pStyle w:val="GesAbsatz"/>
        <w:jc w:val="left"/>
        <w:rPr>
          <w:rFonts w:cs="Arial"/>
          <w:iCs/>
          <w:color w:val="auto"/>
          <w:szCs w:val="17"/>
        </w:rPr>
      </w:pPr>
      <w:r>
        <w:rPr>
          <w:rFonts w:cs="Arial"/>
          <w:b/>
          <w:iCs/>
          <w:color w:val="auto"/>
          <w:szCs w:val="17"/>
        </w:rPr>
        <w:t>Änderungen:</w:t>
      </w:r>
      <w:r>
        <w:rPr>
          <w:rFonts w:cs="Arial"/>
          <w:iCs/>
          <w:color w:val="auto"/>
          <w:szCs w:val="17"/>
        </w:rPr>
        <w:t xml:space="preserve"> </w:t>
      </w:r>
      <w:hyperlink r:id="rId9" w:history="1">
        <w:r>
          <w:rPr>
            <w:rStyle w:val="Hyperlink"/>
            <w:rFonts w:cs="Arial"/>
            <w:iCs/>
            <w:szCs w:val="17"/>
          </w:rPr>
          <w:t>2004/101/EG</w:t>
        </w:r>
      </w:hyperlink>
      <w:r>
        <w:rPr>
          <w:rFonts w:cs="Arial"/>
          <w:iCs/>
          <w:color w:val="auto"/>
          <w:szCs w:val="17"/>
        </w:rPr>
        <w:t xml:space="preserve"> </w:t>
      </w:r>
      <w:r>
        <w:rPr>
          <w:color w:val="auto"/>
        </w:rPr>
        <w:t xml:space="preserve">ABl. L 338 v. </w:t>
      </w:r>
      <w:r>
        <w:rPr>
          <w:color w:val="auto"/>
        </w:rPr>
        <w:fldChar w:fldCharType="begin"/>
      </w:r>
      <w:r>
        <w:rPr>
          <w:color w:val="auto"/>
        </w:rPr>
        <w:instrText xml:space="preserve"> FILLIN   \* MERGEFORMAT </w:instrText>
      </w:r>
      <w:r>
        <w:rPr>
          <w:color w:val="auto"/>
        </w:rPr>
        <w:fldChar w:fldCharType="end"/>
      </w:r>
      <w:r>
        <w:rPr>
          <w:color w:val="auto"/>
        </w:rPr>
        <w:t>13.11.2004 S. 18,</w:t>
      </w:r>
      <w:r>
        <w:rPr>
          <w:rFonts w:cs="Arial"/>
          <w:iCs/>
          <w:color w:val="auto"/>
          <w:szCs w:val="17"/>
        </w:rPr>
        <w:t xml:space="preserve"> in Kraft getreten am 14.11.2004; </w:t>
      </w:r>
      <w:hyperlink r:id="rId10" w:history="1">
        <w:r>
          <w:rPr>
            <w:rStyle w:val="Hyperlink"/>
            <w:rFonts w:cs="Arial"/>
            <w:iCs/>
            <w:szCs w:val="17"/>
          </w:rPr>
          <w:t>2008/101/EG</w:t>
        </w:r>
      </w:hyperlink>
      <w:r>
        <w:rPr>
          <w:rFonts w:cs="Arial"/>
          <w:iCs/>
          <w:color w:val="auto"/>
          <w:szCs w:val="17"/>
        </w:rPr>
        <w:t xml:space="preserve"> ABl. L 8 vom 13.01.2009 S. 3 Inkrafttreten 02.02.2009; </w:t>
      </w:r>
      <w:hyperlink r:id="rId11" w:history="1">
        <w:r>
          <w:rPr>
            <w:rStyle w:val="Hyperlink"/>
            <w:rFonts w:cs="Arial"/>
            <w:iCs/>
            <w:szCs w:val="17"/>
          </w:rPr>
          <w:t>219/2009</w:t>
        </w:r>
      </w:hyperlink>
      <w:r>
        <w:rPr>
          <w:rFonts w:cs="Arial"/>
          <w:iCs/>
          <w:color w:val="auto"/>
          <w:szCs w:val="17"/>
        </w:rPr>
        <w:t xml:space="preserve"> ABl. L 87 v. 31.03.2009 S. 109 Inkrafttreten 20.04.2009; </w:t>
      </w:r>
      <w:hyperlink r:id="rId12" w:history="1">
        <w:r>
          <w:rPr>
            <w:rStyle w:val="Hyperlink"/>
            <w:rFonts w:cs="Arial"/>
            <w:iCs/>
            <w:szCs w:val="17"/>
          </w:rPr>
          <w:t>2009/29/EG</w:t>
        </w:r>
      </w:hyperlink>
      <w:r>
        <w:rPr>
          <w:rFonts w:cs="Arial"/>
          <w:iCs/>
          <w:color w:val="auto"/>
          <w:szCs w:val="17"/>
        </w:rPr>
        <w:t xml:space="preserve"> ABl. L 140 v. 05.06.2009 S. 63; </w:t>
      </w:r>
      <w:hyperlink r:id="rId13" w:history="1">
        <w:r>
          <w:rPr>
            <w:rStyle w:val="Hyperlink"/>
            <w:rFonts w:cs="Arial"/>
            <w:iCs/>
            <w:szCs w:val="17"/>
          </w:rPr>
          <w:t>1359/2013/EU</w:t>
        </w:r>
      </w:hyperlink>
      <w:r>
        <w:rPr>
          <w:rFonts w:cs="Arial"/>
          <w:iCs/>
          <w:color w:val="auto"/>
          <w:szCs w:val="17"/>
        </w:rPr>
        <w:t xml:space="preserve"> ABl. L 343 v. 19.12.2013 S. 1; </w:t>
      </w:r>
      <w:hyperlink r:id="rId14" w:history="1">
        <w:r>
          <w:rPr>
            <w:rStyle w:val="Hyperlink"/>
            <w:rFonts w:cs="Arial"/>
            <w:iCs/>
            <w:szCs w:val="17"/>
          </w:rPr>
          <w:t>421/2014</w:t>
        </w:r>
      </w:hyperlink>
      <w:r>
        <w:rPr>
          <w:rFonts w:cs="Arial"/>
          <w:iCs/>
          <w:color w:val="auto"/>
          <w:szCs w:val="17"/>
        </w:rPr>
        <w:t xml:space="preserve"> ABl. L 129 v. 30.04.2014 S. 1 Inkrafttreten 01.05.2014; ber. </w:t>
      </w:r>
      <w:hyperlink r:id="rId15" w:history="1">
        <w:r>
          <w:rPr>
            <w:rStyle w:val="Hyperlink"/>
            <w:rFonts w:cs="Arial"/>
            <w:iCs/>
            <w:szCs w:val="17"/>
          </w:rPr>
          <w:t>L 140</w:t>
        </w:r>
      </w:hyperlink>
      <w:r>
        <w:rPr>
          <w:rFonts w:cs="Arial"/>
          <w:iCs/>
          <w:color w:val="auto"/>
          <w:szCs w:val="17"/>
        </w:rPr>
        <w:t xml:space="preserve"> S. 177; </w:t>
      </w:r>
      <w:hyperlink r:id="rId16" w:history="1">
        <w:r>
          <w:rPr>
            <w:rStyle w:val="Hyperlink"/>
            <w:rFonts w:cs="Arial"/>
            <w:iCs/>
            <w:szCs w:val="17"/>
          </w:rPr>
          <w:t>2015/1814</w:t>
        </w:r>
      </w:hyperlink>
      <w:r>
        <w:rPr>
          <w:rFonts w:cs="Arial"/>
          <w:iCs/>
          <w:color w:val="auto"/>
          <w:szCs w:val="17"/>
        </w:rPr>
        <w:t xml:space="preserve"> ABl. L 264 v. 09.10.2015 S. 1 Inkrafttreten 29.10.2015; </w:t>
      </w:r>
      <w:hyperlink r:id="rId17" w:history="1">
        <w:r>
          <w:rPr>
            <w:rStyle w:val="Hyperlink"/>
            <w:rFonts w:cs="Arial"/>
            <w:iCs/>
            <w:szCs w:val="17"/>
          </w:rPr>
          <w:t>2017/2392</w:t>
        </w:r>
      </w:hyperlink>
      <w:r>
        <w:rPr>
          <w:rFonts w:cs="Arial"/>
          <w:iCs/>
          <w:color w:val="auto"/>
          <w:szCs w:val="17"/>
        </w:rPr>
        <w:t xml:space="preserve"> ABl. L 350 v. 29.12.2017 S. 7 Inkrafttreten 29.12.2017; </w:t>
      </w:r>
      <w:hyperlink r:id="rId18" w:history="1">
        <w:r>
          <w:rPr>
            <w:rStyle w:val="Hyperlink"/>
            <w:rFonts w:cs="Arial"/>
            <w:iCs/>
            <w:szCs w:val="17"/>
          </w:rPr>
          <w:t>2018/410/EU</w:t>
        </w:r>
      </w:hyperlink>
      <w:r>
        <w:rPr>
          <w:rFonts w:cs="Arial"/>
          <w:iCs/>
          <w:color w:val="auto"/>
          <w:szCs w:val="17"/>
        </w:rPr>
        <w:t xml:space="preserve"> ABl. L 76 v. 19.03.2018 S. 3; </w:t>
      </w:r>
      <w:hyperlink r:id="rId19" w:history="1">
        <w:r>
          <w:rPr>
            <w:rStyle w:val="Hyperlink"/>
            <w:rFonts w:cs="Arial"/>
            <w:iCs/>
            <w:szCs w:val="17"/>
          </w:rPr>
          <w:t>2020/1071</w:t>
        </w:r>
      </w:hyperlink>
      <w:r>
        <w:rPr>
          <w:rFonts w:cs="Arial"/>
          <w:iCs/>
          <w:color w:val="auto"/>
          <w:szCs w:val="17"/>
        </w:rPr>
        <w:t xml:space="preserve"> ABl. L 234 v. 21.07.2020 S. 16; </w:t>
      </w:r>
      <w:hyperlink r:id="rId20" w:history="1">
        <w:r>
          <w:rPr>
            <w:rStyle w:val="Hyperlink"/>
            <w:rFonts w:cs="Arial"/>
            <w:iCs/>
            <w:szCs w:val="17"/>
          </w:rPr>
          <w:t>2021/1416</w:t>
        </w:r>
      </w:hyperlink>
      <w:r>
        <w:rPr>
          <w:rFonts w:cs="Arial"/>
          <w:iCs/>
          <w:color w:val="auto"/>
          <w:szCs w:val="17"/>
        </w:rPr>
        <w:t xml:space="preserve"> ABl. L 305 v. 31.08.2021 S. 1; </w:t>
      </w:r>
      <w:hyperlink r:id="rId21" w:history="1">
        <w:r>
          <w:rPr>
            <w:rStyle w:val="Hyperlink"/>
            <w:rFonts w:cs="Arial"/>
            <w:iCs/>
            <w:szCs w:val="17"/>
          </w:rPr>
          <w:t>2023/136</w:t>
        </w:r>
      </w:hyperlink>
      <w:r>
        <w:rPr>
          <w:rFonts w:cs="Arial"/>
          <w:iCs/>
          <w:color w:val="auto"/>
          <w:szCs w:val="17"/>
        </w:rPr>
        <w:t xml:space="preserve"> ABl. L 19 v. 20.01.2023 S. 1; </w:t>
      </w:r>
      <w:hyperlink r:id="rId22" w:history="1">
        <w:r>
          <w:rPr>
            <w:rStyle w:val="Hyperlink"/>
            <w:rFonts w:cs="Arial"/>
            <w:iCs/>
            <w:szCs w:val="17"/>
          </w:rPr>
          <w:t>2023/435</w:t>
        </w:r>
      </w:hyperlink>
      <w:r>
        <w:rPr>
          <w:rFonts w:cs="Arial"/>
          <w:iCs/>
          <w:color w:val="auto"/>
          <w:szCs w:val="17"/>
        </w:rPr>
        <w:t xml:space="preserve"> ABl. L 63 v. 28.02.2023 S. 1; </w:t>
      </w:r>
      <w:hyperlink r:id="rId23" w:history="1">
        <w:r>
          <w:rPr>
            <w:rStyle w:val="Hyperlink"/>
            <w:rFonts w:cs="Arial"/>
            <w:iCs/>
            <w:szCs w:val="17"/>
          </w:rPr>
          <w:t>2023/958</w:t>
        </w:r>
      </w:hyperlink>
      <w:r>
        <w:rPr>
          <w:rFonts w:cs="Arial"/>
          <w:iCs/>
          <w:color w:val="auto"/>
          <w:szCs w:val="17"/>
        </w:rPr>
        <w:t xml:space="preserve"> ABl. L 130 v. 16.05.2023 S. 115; </w:t>
      </w:r>
    </w:p>
    <w:p>
      <w:pPr>
        <w:pStyle w:val="GesAbsatz"/>
      </w:pPr>
    </w:p>
    <w:p>
      <w:pPr>
        <w:pStyle w:val="GesAbsatz"/>
        <w:jc w:val="center"/>
        <w:rPr>
          <w:rFonts w:cs="Arial"/>
          <w:b/>
          <w:bCs/>
          <w:sz w:val="22"/>
          <w:szCs w:val="17"/>
        </w:rPr>
      </w:pPr>
      <w:r>
        <w:rPr>
          <w:rFonts w:cs="Arial"/>
          <w:b/>
          <w:bCs/>
          <w:sz w:val="22"/>
          <w:szCs w:val="17"/>
        </w:rPr>
        <w:t>Inhalt:</w:t>
      </w:r>
    </w:p>
    <w:p>
      <w:pPr>
        <w:pStyle w:val="Verzeichnis1"/>
        <w:tabs>
          <w:tab w:val="right" w:leader="dot" w:pos="9627"/>
        </w:tabs>
        <w:rPr>
          <w:rFonts w:asciiTheme="minorHAnsi" w:eastAsiaTheme="minorEastAsia" w:hAnsiTheme="minorHAnsi" w:cstheme="minorBidi"/>
          <w:b w:val="0"/>
          <w:bCs w:val="0"/>
          <w:caps w:val="0"/>
          <w:noProof/>
          <w:sz w:val="22"/>
          <w:szCs w:val="22"/>
        </w:rPr>
      </w:pPr>
      <w:r>
        <w:rPr>
          <w:rFonts w:cs="Arial"/>
          <w:b w:val="0"/>
          <w:bCs w:val="0"/>
          <w:caps w:val="0"/>
          <w:szCs w:val="17"/>
        </w:rPr>
        <w:fldChar w:fldCharType="begin"/>
      </w:r>
      <w:r>
        <w:rPr>
          <w:rFonts w:cs="Arial"/>
          <w:b w:val="0"/>
          <w:bCs w:val="0"/>
          <w:caps w:val="0"/>
          <w:szCs w:val="17"/>
        </w:rPr>
        <w:instrText xml:space="preserve"> TOC \o "1-3" \h \z \u </w:instrText>
      </w:r>
      <w:r>
        <w:rPr>
          <w:rFonts w:cs="Arial"/>
          <w:b w:val="0"/>
          <w:bCs w:val="0"/>
          <w:caps w:val="0"/>
          <w:szCs w:val="17"/>
        </w:rPr>
        <w:fldChar w:fldCharType="separate"/>
      </w:r>
      <w:hyperlink w:anchor="_Toc146879880" w:history="1">
        <w:r>
          <w:rPr>
            <w:rStyle w:val="Hyperlink"/>
            <w:noProof/>
          </w:rPr>
          <w:t>RICHTLINIE 2003/87/EG</w:t>
        </w:r>
        <w:r>
          <w:rPr>
            <w:noProof/>
            <w:webHidden/>
          </w:rPr>
          <w:tab/>
        </w:r>
        <w:r>
          <w:rPr>
            <w:noProof/>
            <w:webHidden/>
          </w:rPr>
          <w:fldChar w:fldCharType="begin"/>
        </w:r>
        <w:r>
          <w:rPr>
            <w:noProof/>
            <w:webHidden/>
          </w:rPr>
          <w:instrText xml:space="preserve"> PAGEREF _Toc146879880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881" w:history="1">
        <w:r>
          <w:rPr>
            <w:rStyle w:val="Hyperlink"/>
            <w:noProof/>
          </w:rPr>
          <w:t>KAPITEL I ALLGEMEINE BESTIMMUNGEN</w:t>
        </w:r>
        <w:r>
          <w:rPr>
            <w:noProof/>
            <w:webHidden/>
          </w:rPr>
          <w:tab/>
        </w:r>
        <w:r>
          <w:rPr>
            <w:noProof/>
            <w:webHidden/>
          </w:rPr>
          <w:fldChar w:fldCharType="begin"/>
        </w:r>
        <w:r>
          <w:rPr>
            <w:noProof/>
            <w:webHidden/>
          </w:rPr>
          <w:instrText xml:space="preserve"> PAGEREF _Toc146879881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882" w:history="1">
        <w:r>
          <w:rPr>
            <w:rStyle w:val="Hyperlink"/>
            <w:noProof/>
          </w:rPr>
          <w:t>Artikel 1 Gegenstand</w:t>
        </w:r>
        <w:r>
          <w:rPr>
            <w:noProof/>
            <w:webHidden/>
          </w:rPr>
          <w:tab/>
        </w:r>
        <w:r>
          <w:rPr>
            <w:noProof/>
            <w:webHidden/>
          </w:rPr>
          <w:fldChar w:fldCharType="begin"/>
        </w:r>
        <w:r>
          <w:rPr>
            <w:noProof/>
            <w:webHidden/>
          </w:rPr>
          <w:instrText xml:space="preserve"> PAGEREF _Toc146879882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883" w:history="1">
        <w:r>
          <w:rPr>
            <w:rStyle w:val="Hyperlink"/>
            <w:noProof/>
          </w:rPr>
          <w:t>Artikel 2 Geltungsbereich</w:t>
        </w:r>
        <w:r>
          <w:rPr>
            <w:noProof/>
            <w:webHidden/>
          </w:rPr>
          <w:tab/>
        </w:r>
        <w:r>
          <w:rPr>
            <w:noProof/>
            <w:webHidden/>
          </w:rPr>
          <w:fldChar w:fldCharType="begin"/>
        </w:r>
        <w:r>
          <w:rPr>
            <w:noProof/>
            <w:webHidden/>
          </w:rPr>
          <w:instrText xml:space="preserve"> PAGEREF _Toc146879883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884" w:history="1">
        <w:r>
          <w:rPr>
            <w:rStyle w:val="Hyperlink"/>
            <w:noProof/>
          </w:rPr>
          <w:t>Artikel 3 Begriffsbestimmungen</w:t>
        </w:r>
        <w:r>
          <w:rPr>
            <w:noProof/>
            <w:webHidden/>
          </w:rPr>
          <w:tab/>
        </w:r>
        <w:r>
          <w:rPr>
            <w:noProof/>
            <w:webHidden/>
          </w:rPr>
          <w:fldChar w:fldCharType="begin"/>
        </w:r>
        <w:r>
          <w:rPr>
            <w:noProof/>
            <w:webHidden/>
          </w:rPr>
          <w:instrText xml:space="preserve"> PAGEREF _Toc146879884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885" w:history="1">
        <w:r>
          <w:rPr>
            <w:rStyle w:val="Hyperlink"/>
            <w:noProof/>
          </w:rPr>
          <w:t>KAPITEL II LUFTVERKEHR</w:t>
        </w:r>
        <w:r>
          <w:rPr>
            <w:noProof/>
            <w:webHidden/>
          </w:rPr>
          <w:tab/>
        </w:r>
        <w:r>
          <w:rPr>
            <w:noProof/>
            <w:webHidden/>
          </w:rPr>
          <w:fldChar w:fldCharType="begin"/>
        </w:r>
        <w:r>
          <w:rPr>
            <w:noProof/>
            <w:webHidden/>
          </w:rPr>
          <w:instrText xml:space="preserve"> PAGEREF _Toc146879885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886" w:history="1">
        <w:r>
          <w:rPr>
            <w:rStyle w:val="Hyperlink"/>
            <w:noProof/>
          </w:rPr>
          <w:t>Artikel 3a Anwendungsbereich</w:t>
        </w:r>
        <w:r>
          <w:rPr>
            <w:noProof/>
            <w:webHidden/>
          </w:rPr>
          <w:tab/>
        </w:r>
        <w:r>
          <w:rPr>
            <w:noProof/>
            <w:webHidden/>
          </w:rPr>
          <w:fldChar w:fldCharType="begin"/>
        </w:r>
        <w:r>
          <w:rPr>
            <w:noProof/>
            <w:webHidden/>
          </w:rPr>
          <w:instrText xml:space="preserve"> PAGEREF _Toc146879886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887" w:history="1">
        <w:r>
          <w:rPr>
            <w:rStyle w:val="Hyperlink"/>
            <w:noProof/>
          </w:rPr>
          <w:t>Artikel 3b Luftverkehrstätigkeiten</w:t>
        </w:r>
        <w:r>
          <w:rPr>
            <w:noProof/>
            <w:webHidden/>
          </w:rPr>
          <w:tab/>
        </w:r>
        <w:r>
          <w:rPr>
            <w:noProof/>
            <w:webHidden/>
          </w:rPr>
          <w:fldChar w:fldCharType="begin"/>
        </w:r>
        <w:r>
          <w:rPr>
            <w:noProof/>
            <w:webHidden/>
          </w:rPr>
          <w:instrText xml:space="preserve"> PAGEREF _Toc146879887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888" w:history="1">
        <w:r>
          <w:rPr>
            <w:rStyle w:val="Hyperlink"/>
            <w:noProof/>
          </w:rPr>
          <w:t>Artikel 3c Gesamtmenge der Zertifikate für den Luftverkehr</w:t>
        </w:r>
        <w:r>
          <w:rPr>
            <w:noProof/>
            <w:webHidden/>
          </w:rPr>
          <w:tab/>
        </w:r>
        <w:r>
          <w:rPr>
            <w:noProof/>
            <w:webHidden/>
          </w:rPr>
          <w:fldChar w:fldCharType="begin"/>
        </w:r>
        <w:r>
          <w:rPr>
            <w:noProof/>
            <w:webHidden/>
          </w:rPr>
          <w:instrText xml:space="preserve"> PAGEREF _Toc146879888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889" w:history="1">
        <w:r>
          <w:rPr>
            <w:rStyle w:val="Hyperlink"/>
            <w:noProof/>
          </w:rPr>
          <w:t>Artikel 3d Methode der Zuteilung von Zertifikaten für den Luftverkehr durch Versteigerung</w:t>
        </w:r>
        <w:r>
          <w:rPr>
            <w:noProof/>
            <w:webHidden/>
          </w:rPr>
          <w:tab/>
        </w:r>
        <w:r>
          <w:rPr>
            <w:noProof/>
            <w:webHidden/>
          </w:rPr>
          <w:fldChar w:fldCharType="begin"/>
        </w:r>
        <w:r>
          <w:rPr>
            <w:noProof/>
            <w:webHidden/>
          </w:rPr>
          <w:instrText xml:space="preserve"> PAGEREF _Toc146879889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890" w:history="1">
        <w:r>
          <w:rPr>
            <w:rStyle w:val="Hyperlink"/>
            <w:noProof/>
          </w:rPr>
          <w:t>Artikel 3e (weggefallen)</w:t>
        </w:r>
        <w:r>
          <w:rPr>
            <w:noProof/>
            <w:webHidden/>
          </w:rPr>
          <w:tab/>
        </w:r>
        <w:r>
          <w:rPr>
            <w:noProof/>
            <w:webHidden/>
          </w:rPr>
          <w:fldChar w:fldCharType="begin"/>
        </w:r>
        <w:r>
          <w:rPr>
            <w:noProof/>
            <w:webHidden/>
          </w:rPr>
          <w:instrText xml:space="preserve"> PAGEREF _Toc146879890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891" w:history="1">
        <w:r>
          <w:rPr>
            <w:rStyle w:val="Hyperlink"/>
            <w:noProof/>
          </w:rPr>
          <w:t>Artikel 3f (weggefallen)</w:t>
        </w:r>
        <w:r>
          <w:rPr>
            <w:noProof/>
            <w:webHidden/>
          </w:rPr>
          <w:tab/>
        </w:r>
        <w:r>
          <w:rPr>
            <w:noProof/>
            <w:webHidden/>
          </w:rPr>
          <w:fldChar w:fldCharType="begin"/>
        </w:r>
        <w:r>
          <w:rPr>
            <w:noProof/>
            <w:webHidden/>
          </w:rPr>
          <w:instrText xml:space="preserve"> PAGEREF _Toc146879891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892" w:history="1">
        <w:r>
          <w:rPr>
            <w:rStyle w:val="Hyperlink"/>
            <w:noProof/>
          </w:rPr>
          <w:t>Artikel 3g Überwachungs- und Berichterstattungspläne</w:t>
        </w:r>
        <w:r>
          <w:rPr>
            <w:noProof/>
            <w:webHidden/>
          </w:rPr>
          <w:tab/>
        </w:r>
        <w:r>
          <w:rPr>
            <w:noProof/>
            <w:webHidden/>
          </w:rPr>
          <w:fldChar w:fldCharType="begin"/>
        </w:r>
        <w:r>
          <w:rPr>
            <w:noProof/>
            <w:webHidden/>
          </w:rPr>
          <w:instrText xml:space="preserve"> PAGEREF _Toc146879892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893" w:history="1">
        <w:r>
          <w:rPr>
            <w:rStyle w:val="Hyperlink"/>
            <w:noProof/>
          </w:rPr>
          <w:t>KAPITEL III ORTSFESTE ANLAGEN</w:t>
        </w:r>
        <w:r>
          <w:rPr>
            <w:noProof/>
            <w:webHidden/>
          </w:rPr>
          <w:tab/>
        </w:r>
        <w:r>
          <w:rPr>
            <w:noProof/>
            <w:webHidden/>
          </w:rPr>
          <w:fldChar w:fldCharType="begin"/>
        </w:r>
        <w:r>
          <w:rPr>
            <w:noProof/>
            <w:webHidden/>
          </w:rPr>
          <w:instrText xml:space="preserve"> PAGEREF _Toc146879893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894" w:history="1">
        <w:r>
          <w:rPr>
            <w:rStyle w:val="Hyperlink"/>
            <w:noProof/>
          </w:rPr>
          <w:t>Artikel 3h Geltungsbereich</w:t>
        </w:r>
        <w:r>
          <w:rPr>
            <w:noProof/>
            <w:webHidden/>
          </w:rPr>
          <w:tab/>
        </w:r>
        <w:r>
          <w:rPr>
            <w:noProof/>
            <w:webHidden/>
          </w:rPr>
          <w:fldChar w:fldCharType="begin"/>
        </w:r>
        <w:r>
          <w:rPr>
            <w:noProof/>
            <w:webHidden/>
          </w:rPr>
          <w:instrText xml:space="preserve"> PAGEREF _Toc146879894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895" w:history="1">
        <w:r>
          <w:rPr>
            <w:rStyle w:val="Hyperlink"/>
            <w:noProof/>
          </w:rPr>
          <w:t>Artikel 4 Genehmigungen zur Emission von Treibhausgasen</w:t>
        </w:r>
        <w:r>
          <w:rPr>
            <w:noProof/>
            <w:webHidden/>
          </w:rPr>
          <w:tab/>
        </w:r>
        <w:r>
          <w:rPr>
            <w:noProof/>
            <w:webHidden/>
          </w:rPr>
          <w:fldChar w:fldCharType="begin"/>
        </w:r>
        <w:r>
          <w:rPr>
            <w:noProof/>
            <w:webHidden/>
          </w:rPr>
          <w:instrText xml:space="preserve"> PAGEREF _Toc146879895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896" w:history="1">
        <w:r>
          <w:rPr>
            <w:rStyle w:val="Hyperlink"/>
            <w:noProof/>
          </w:rPr>
          <w:t>Artikel 5 Anträge auf Erteilung der Genehmigung zur Emission von Treibhausgasen</w:t>
        </w:r>
        <w:r>
          <w:rPr>
            <w:noProof/>
            <w:webHidden/>
          </w:rPr>
          <w:tab/>
        </w:r>
        <w:r>
          <w:rPr>
            <w:noProof/>
            <w:webHidden/>
          </w:rPr>
          <w:fldChar w:fldCharType="begin"/>
        </w:r>
        <w:r>
          <w:rPr>
            <w:noProof/>
            <w:webHidden/>
          </w:rPr>
          <w:instrText xml:space="preserve"> PAGEREF _Toc146879896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897" w:history="1">
        <w:r>
          <w:rPr>
            <w:rStyle w:val="Hyperlink"/>
            <w:noProof/>
          </w:rPr>
          <w:t xml:space="preserve">Artikel 6 Voraussetzungen für die Erteilung und Inhalt der Genehmigung </w:t>
        </w:r>
        <w:r>
          <w:rPr>
            <w:rStyle w:val="Hyperlink"/>
            <w:rFonts w:cs="Arial"/>
            <w:noProof/>
          </w:rPr>
          <w:t>zur Emission von Treibhausgasen</w:t>
        </w:r>
        <w:r>
          <w:rPr>
            <w:noProof/>
            <w:webHidden/>
          </w:rPr>
          <w:tab/>
        </w:r>
        <w:r>
          <w:rPr>
            <w:noProof/>
            <w:webHidden/>
          </w:rPr>
          <w:fldChar w:fldCharType="begin"/>
        </w:r>
        <w:r>
          <w:rPr>
            <w:noProof/>
            <w:webHidden/>
          </w:rPr>
          <w:instrText xml:space="preserve"> PAGEREF _Toc146879897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898" w:history="1">
        <w:r>
          <w:rPr>
            <w:rStyle w:val="Hyperlink"/>
            <w:noProof/>
          </w:rPr>
          <w:t>Artikel 7 Änderungen an Anlagen</w:t>
        </w:r>
        <w:r>
          <w:rPr>
            <w:noProof/>
            <w:webHidden/>
          </w:rPr>
          <w:tab/>
        </w:r>
        <w:r>
          <w:rPr>
            <w:noProof/>
            <w:webHidden/>
          </w:rPr>
          <w:fldChar w:fldCharType="begin"/>
        </w:r>
        <w:r>
          <w:rPr>
            <w:noProof/>
            <w:webHidden/>
          </w:rPr>
          <w:instrText xml:space="preserve"> PAGEREF _Toc146879898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899" w:history="1">
        <w:r>
          <w:rPr>
            <w:rStyle w:val="Hyperlink"/>
            <w:noProof/>
          </w:rPr>
          <w:t>Artikel 8 Abstimmung mit der Richtlinie 2010/75/EU</w:t>
        </w:r>
        <w:r>
          <w:rPr>
            <w:noProof/>
            <w:webHidden/>
          </w:rPr>
          <w:tab/>
        </w:r>
        <w:r>
          <w:rPr>
            <w:noProof/>
            <w:webHidden/>
          </w:rPr>
          <w:fldChar w:fldCharType="begin"/>
        </w:r>
        <w:r>
          <w:rPr>
            <w:noProof/>
            <w:webHidden/>
          </w:rPr>
          <w:instrText xml:space="preserve"> PAGEREF _Toc146879899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00" w:history="1">
        <w:r>
          <w:rPr>
            <w:rStyle w:val="Hyperlink"/>
            <w:noProof/>
          </w:rPr>
          <w:t>Artikel 9 Gemeinschaftsweite Menge der vergebenen Zertifikate</w:t>
        </w:r>
        <w:r>
          <w:rPr>
            <w:noProof/>
            <w:webHidden/>
          </w:rPr>
          <w:tab/>
        </w:r>
        <w:r>
          <w:rPr>
            <w:noProof/>
            <w:webHidden/>
          </w:rPr>
          <w:fldChar w:fldCharType="begin"/>
        </w:r>
        <w:r>
          <w:rPr>
            <w:noProof/>
            <w:webHidden/>
          </w:rPr>
          <w:instrText xml:space="preserve"> PAGEREF _Toc146879900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01" w:history="1">
        <w:r>
          <w:rPr>
            <w:rStyle w:val="Hyperlink"/>
            <w:noProof/>
          </w:rPr>
          <w:t>Artikel 9a Anpassung der gemeinschaftsweiten Menge der Zertifikate</w:t>
        </w:r>
        <w:r>
          <w:rPr>
            <w:noProof/>
            <w:webHidden/>
          </w:rPr>
          <w:tab/>
        </w:r>
        <w:r>
          <w:rPr>
            <w:noProof/>
            <w:webHidden/>
          </w:rPr>
          <w:fldChar w:fldCharType="begin"/>
        </w:r>
        <w:r>
          <w:rPr>
            <w:noProof/>
            <w:webHidden/>
          </w:rPr>
          <w:instrText xml:space="preserve"> PAGEREF _Toc146879901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02" w:history="1">
        <w:r>
          <w:rPr>
            <w:rStyle w:val="Hyperlink"/>
            <w:noProof/>
          </w:rPr>
          <w:t>Artikel 10 Versteigerung von Zertifikaten</w:t>
        </w:r>
        <w:r>
          <w:rPr>
            <w:noProof/>
            <w:webHidden/>
          </w:rPr>
          <w:tab/>
        </w:r>
        <w:r>
          <w:rPr>
            <w:noProof/>
            <w:webHidden/>
          </w:rPr>
          <w:fldChar w:fldCharType="begin"/>
        </w:r>
        <w:r>
          <w:rPr>
            <w:noProof/>
            <w:webHidden/>
          </w:rPr>
          <w:instrText xml:space="preserve"> PAGEREF _Toc146879902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03" w:history="1">
        <w:r>
          <w:rPr>
            <w:rStyle w:val="Hyperlink"/>
            <w:noProof/>
          </w:rPr>
          <w:t>Artikel 10a Gemeinschaftsweite Übergangsvorschriften zur Harmonisierung der kostenlosen Zuteilung</w:t>
        </w:r>
        <w:r>
          <w:rPr>
            <w:noProof/>
            <w:webHidden/>
          </w:rPr>
          <w:tab/>
        </w:r>
        <w:r>
          <w:rPr>
            <w:noProof/>
            <w:webHidden/>
          </w:rPr>
          <w:fldChar w:fldCharType="begin"/>
        </w:r>
        <w:r>
          <w:rPr>
            <w:noProof/>
            <w:webHidden/>
          </w:rPr>
          <w:instrText xml:space="preserve"> PAGEREF _Toc146879903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04" w:history="1">
        <w:r>
          <w:rPr>
            <w:rStyle w:val="Hyperlink"/>
            <w:noProof/>
          </w:rPr>
          <w:t>Artikel 10b Übergangsmaßnahmen zur Unterstützung bestimmter energieintensiver Industrien für den Fall der Verlagerung von CO</w:t>
        </w:r>
        <w:r>
          <w:rPr>
            <w:rStyle w:val="Hyperlink"/>
            <w:noProof/>
            <w:vertAlign w:val="subscript"/>
          </w:rPr>
          <w:t>2</w:t>
        </w:r>
        <w:r>
          <w:rPr>
            <w:rStyle w:val="Hyperlink"/>
            <w:noProof/>
          </w:rPr>
          <w:t>-Emissionen</w:t>
        </w:r>
        <w:r>
          <w:rPr>
            <w:noProof/>
            <w:webHidden/>
          </w:rPr>
          <w:tab/>
        </w:r>
        <w:r>
          <w:rPr>
            <w:noProof/>
            <w:webHidden/>
          </w:rPr>
          <w:fldChar w:fldCharType="begin"/>
        </w:r>
        <w:r>
          <w:rPr>
            <w:noProof/>
            <w:webHidden/>
          </w:rPr>
          <w:instrText xml:space="preserve"> PAGEREF _Toc146879904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05" w:history="1">
        <w:r>
          <w:rPr>
            <w:rStyle w:val="Hyperlink"/>
            <w:noProof/>
          </w:rPr>
          <w:t>Artikel 10c Option der übergangsweisen kostenlosen Zuteilung von Zertifikaten zur Modernisierung des Energiesektors</w:t>
        </w:r>
        <w:r>
          <w:rPr>
            <w:noProof/>
            <w:webHidden/>
          </w:rPr>
          <w:tab/>
        </w:r>
        <w:r>
          <w:rPr>
            <w:noProof/>
            <w:webHidden/>
          </w:rPr>
          <w:fldChar w:fldCharType="begin"/>
        </w:r>
        <w:r>
          <w:rPr>
            <w:noProof/>
            <w:webHidden/>
          </w:rPr>
          <w:instrText xml:space="preserve"> PAGEREF _Toc146879905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06" w:history="1">
        <w:r>
          <w:rPr>
            <w:rStyle w:val="Hyperlink"/>
            <w:noProof/>
          </w:rPr>
          <w:t>Artikel 10d Modernisierungsfonds</w:t>
        </w:r>
        <w:r>
          <w:rPr>
            <w:noProof/>
            <w:webHidden/>
          </w:rPr>
          <w:tab/>
        </w:r>
        <w:r>
          <w:rPr>
            <w:noProof/>
            <w:webHidden/>
          </w:rPr>
          <w:fldChar w:fldCharType="begin"/>
        </w:r>
        <w:r>
          <w:rPr>
            <w:noProof/>
            <w:webHidden/>
          </w:rPr>
          <w:instrText xml:space="preserve"> PAGEREF _Toc146879906 \h </w:instrText>
        </w:r>
        <w:r>
          <w:rPr>
            <w:noProof/>
            <w:webHidden/>
          </w:rPr>
        </w:r>
        <w:r>
          <w:rPr>
            <w:noProof/>
            <w:webHidden/>
          </w:rPr>
          <w:fldChar w:fldCharType="separate"/>
        </w:r>
        <w:r>
          <w:rPr>
            <w:noProof/>
            <w:webHidden/>
          </w:rPr>
          <w:t>19</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07" w:history="1">
        <w:r>
          <w:rPr>
            <w:rStyle w:val="Hyperlink"/>
            <w:noProof/>
          </w:rPr>
          <w:t>Artikel 10e Aufbau- und Resilienzfazilität</w:t>
        </w:r>
        <w:r>
          <w:rPr>
            <w:noProof/>
            <w:webHidden/>
          </w:rPr>
          <w:tab/>
        </w:r>
        <w:r>
          <w:rPr>
            <w:noProof/>
            <w:webHidden/>
          </w:rPr>
          <w:fldChar w:fldCharType="begin"/>
        </w:r>
        <w:r>
          <w:rPr>
            <w:noProof/>
            <w:webHidden/>
          </w:rPr>
          <w:instrText xml:space="preserve"> PAGEREF _Toc146879907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08" w:history="1">
        <w:r>
          <w:rPr>
            <w:rStyle w:val="Hyperlink"/>
            <w:noProof/>
          </w:rPr>
          <w:t>Artikel 11 Nationale Umsetzungsmaßnahmen</w:t>
        </w:r>
        <w:r>
          <w:rPr>
            <w:noProof/>
            <w:webHidden/>
          </w:rPr>
          <w:tab/>
        </w:r>
        <w:r>
          <w:rPr>
            <w:noProof/>
            <w:webHidden/>
          </w:rPr>
          <w:fldChar w:fldCharType="begin"/>
        </w:r>
        <w:r>
          <w:rPr>
            <w:noProof/>
            <w:webHidden/>
          </w:rPr>
          <w:instrText xml:space="preserve"> PAGEREF _Toc146879908 \h </w:instrText>
        </w:r>
        <w:r>
          <w:rPr>
            <w:noProof/>
            <w:webHidden/>
          </w:rPr>
        </w:r>
        <w:r>
          <w:rPr>
            <w:noProof/>
            <w:webHidden/>
          </w:rPr>
          <w:fldChar w:fldCharType="separate"/>
        </w:r>
        <w:r>
          <w:rPr>
            <w:noProof/>
            <w:webHidden/>
          </w:rPr>
          <w:t>22</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09" w:history="1">
        <w:r>
          <w:rPr>
            <w:rStyle w:val="Hyperlink"/>
            <w:noProof/>
          </w:rPr>
          <w:t>KAPITEL IV BESTIMMUNGEN FÜR DIE LUFTFAHRT UND ORTSFESTE ANLAGEN</w:t>
        </w:r>
        <w:r>
          <w:rPr>
            <w:noProof/>
            <w:webHidden/>
          </w:rPr>
          <w:tab/>
        </w:r>
        <w:r>
          <w:rPr>
            <w:noProof/>
            <w:webHidden/>
          </w:rPr>
          <w:fldChar w:fldCharType="begin"/>
        </w:r>
        <w:r>
          <w:rPr>
            <w:noProof/>
            <w:webHidden/>
          </w:rPr>
          <w:instrText xml:space="preserve"> PAGEREF _Toc146879909 \h </w:instrText>
        </w:r>
        <w:r>
          <w:rPr>
            <w:noProof/>
            <w:webHidden/>
          </w:rPr>
        </w:r>
        <w:r>
          <w:rPr>
            <w:noProof/>
            <w:webHidden/>
          </w:rPr>
          <w:fldChar w:fldCharType="separate"/>
        </w:r>
        <w:r>
          <w:rPr>
            <w:noProof/>
            <w:webHidden/>
          </w:rPr>
          <w:t>22</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10" w:history="1">
        <w:r>
          <w:rPr>
            <w:rStyle w:val="Hyperlink"/>
            <w:rFonts w:cs="Arial"/>
            <w:noProof/>
          </w:rPr>
          <w:t>Artikel 11a Nutzung von CER und ERU aus Projektmaßnahmen im EU-EHS vor Inkrafttreten eines internationalen Abkommens über den Klimawandel</w:t>
        </w:r>
        <w:r>
          <w:rPr>
            <w:noProof/>
            <w:webHidden/>
          </w:rPr>
          <w:tab/>
        </w:r>
        <w:r>
          <w:rPr>
            <w:noProof/>
            <w:webHidden/>
          </w:rPr>
          <w:fldChar w:fldCharType="begin"/>
        </w:r>
        <w:r>
          <w:rPr>
            <w:noProof/>
            <w:webHidden/>
          </w:rPr>
          <w:instrText xml:space="preserve"> PAGEREF _Toc146879910 \h </w:instrText>
        </w:r>
        <w:r>
          <w:rPr>
            <w:noProof/>
            <w:webHidden/>
          </w:rPr>
        </w:r>
        <w:r>
          <w:rPr>
            <w:noProof/>
            <w:webHidden/>
          </w:rPr>
          <w:fldChar w:fldCharType="separate"/>
        </w:r>
        <w:r>
          <w:rPr>
            <w:noProof/>
            <w:webHidden/>
          </w:rPr>
          <w:t>22</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11" w:history="1">
        <w:r>
          <w:rPr>
            <w:rStyle w:val="Hyperlink"/>
            <w:noProof/>
          </w:rPr>
          <w:t>Artikel 11b Projektmaßnahmen</w:t>
        </w:r>
        <w:r>
          <w:rPr>
            <w:noProof/>
            <w:webHidden/>
          </w:rPr>
          <w:tab/>
        </w:r>
        <w:r>
          <w:rPr>
            <w:noProof/>
            <w:webHidden/>
          </w:rPr>
          <w:fldChar w:fldCharType="begin"/>
        </w:r>
        <w:r>
          <w:rPr>
            <w:noProof/>
            <w:webHidden/>
          </w:rPr>
          <w:instrText xml:space="preserve"> PAGEREF _Toc146879911 \h </w:instrText>
        </w:r>
        <w:r>
          <w:rPr>
            <w:noProof/>
            <w:webHidden/>
          </w:rPr>
        </w:r>
        <w:r>
          <w:rPr>
            <w:noProof/>
            <w:webHidden/>
          </w:rPr>
          <w:fldChar w:fldCharType="separate"/>
        </w:r>
        <w:r>
          <w:rPr>
            <w:noProof/>
            <w:webHidden/>
          </w:rPr>
          <w:t>23</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12" w:history="1">
        <w:r>
          <w:rPr>
            <w:rStyle w:val="Hyperlink"/>
            <w:noProof/>
          </w:rPr>
          <w:t>Artikel 12 Übertragung, Abgabe und Löschung von Zertifikaten</w:t>
        </w:r>
        <w:r>
          <w:rPr>
            <w:noProof/>
            <w:webHidden/>
          </w:rPr>
          <w:tab/>
        </w:r>
        <w:r>
          <w:rPr>
            <w:noProof/>
            <w:webHidden/>
          </w:rPr>
          <w:fldChar w:fldCharType="begin"/>
        </w:r>
        <w:r>
          <w:rPr>
            <w:noProof/>
            <w:webHidden/>
          </w:rPr>
          <w:instrText xml:space="preserve"> PAGEREF _Toc146879912 \h </w:instrText>
        </w:r>
        <w:r>
          <w:rPr>
            <w:noProof/>
            <w:webHidden/>
          </w:rPr>
        </w:r>
        <w:r>
          <w:rPr>
            <w:noProof/>
            <w:webHidden/>
          </w:rPr>
          <w:fldChar w:fldCharType="separate"/>
        </w:r>
        <w:r>
          <w:rPr>
            <w:noProof/>
            <w:webHidden/>
          </w:rPr>
          <w:t>24</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13" w:history="1">
        <w:r>
          <w:rPr>
            <w:rStyle w:val="Hyperlink"/>
            <w:noProof/>
          </w:rPr>
          <w:t>Artikel 13 Gültigkeit der Zertifikate</w:t>
        </w:r>
        <w:r>
          <w:rPr>
            <w:noProof/>
            <w:webHidden/>
          </w:rPr>
          <w:tab/>
        </w:r>
        <w:r>
          <w:rPr>
            <w:noProof/>
            <w:webHidden/>
          </w:rPr>
          <w:fldChar w:fldCharType="begin"/>
        </w:r>
        <w:r>
          <w:rPr>
            <w:noProof/>
            <w:webHidden/>
          </w:rPr>
          <w:instrText xml:space="preserve"> PAGEREF _Toc146879913 \h </w:instrText>
        </w:r>
        <w:r>
          <w:rPr>
            <w:noProof/>
            <w:webHidden/>
          </w:rPr>
        </w:r>
        <w:r>
          <w:rPr>
            <w:noProof/>
            <w:webHidden/>
          </w:rPr>
          <w:fldChar w:fldCharType="separate"/>
        </w:r>
        <w:r>
          <w:rPr>
            <w:noProof/>
            <w:webHidden/>
          </w:rPr>
          <w:t>26</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14" w:history="1">
        <w:r>
          <w:rPr>
            <w:rStyle w:val="Hyperlink"/>
            <w:noProof/>
          </w:rPr>
          <w:t>Artikel 14 Überwachung und Berichterstattung betreffend Emissionen</w:t>
        </w:r>
        <w:r>
          <w:rPr>
            <w:noProof/>
            <w:webHidden/>
          </w:rPr>
          <w:tab/>
        </w:r>
        <w:r>
          <w:rPr>
            <w:noProof/>
            <w:webHidden/>
          </w:rPr>
          <w:fldChar w:fldCharType="begin"/>
        </w:r>
        <w:r>
          <w:rPr>
            <w:noProof/>
            <w:webHidden/>
          </w:rPr>
          <w:instrText xml:space="preserve"> PAGEREF _Toc146879914 \h </w:instrText>
        </w:r>
        <w:r>
          <w:rPr>
            <w:noProof/>
            <w:webHidden/>
          </w:rPr>
        </w:r>
        <w:r>
          <w:rPr>
            <w:noProof/>
            <w:webHidden/>
          </w:rPr>
          <w:fldChar w:fldCharType="separate"/>
        </w:r>
        <w:r>
          <w:rPr>
            <w:noProof/>
            <w:webHidden/>
          </w:rPr>
          <w:t>26</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15" w:history="1">
        <w:r>
          <w:rPr>
            <w:rStyle w:val="Hyperlink"/>
            <w:noProof/>
          </w:rPr>
          <w:t>Artikel 15 Prüfung und Akkreditierung</w:t>
        </w:r>
        <w:r>
          <w:rPr>
            <w:noProof/>
            <w:webHidden/>
          </w:rPr>
          <w:tab/>
        </w:r>
        <w:r>
          <w:rPr>
            <w:noProof/>
            <w:webHidden/>
          </w:rPr>
          <w:fldChar w:fldCharType="begin"/>
        </w:r>
        <w:r>
          <w:rPr>
            <w:noProof/>
            <w:webHidden/>
          </w:rPr>
          <w:instrText xml:space="preserve"> PAGEREF _Toc146879915 \h </w:instrText>
        </w:r>
        <w:r>
          <w:rPr>
            <w:noProof/>
            <w:webHidden/>
          </w:rPr>
        </w:r>
        <w:r>
          <w:rPr>
            <w:noProof/>
            <w:webHidden/>
          </w:rPr>
          <w:fldChar w:fldCharType="separate"/>
        </w:r>
        <w:r>
          <w:rPr>
            <w:noProof/>
            <w:webHidden/>
          </w:rPr>
          <w:t>27</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16" w:history="1">
        <w:r>
          <w:rPr>
            <w:rStyle w:val="Hyperlink"/>
            <w:noProof/>
          </w:rPr>
          <w:t>Artikel 15a Veröffentlichung von Informationen und Vertraulichkeit</w:t>
        </w:r>
        <w:r>
          <w:rPr>
            <w:noProof/>
            <w:webHidden/>
          </w:rPr>
          <w:tab/>
        </w:r>
        <w:r>
          <w:rPr>
            <w:noProof/>
            <w:webHidden/>
          </w:rPr>
          <w:fldChar w:fldCharType="begin"/>
        </w:r>
        <w:r>
          <w:rPr>
            <w:noProof/>
            <w:webHidden/>
          </w:rPr>
          <w:instrText xml:space="preserve"> PAGEREF _Toc146879916 \h </w:instrText>
        </w:r>
        <w:r>
          <w:rPr>
            <w:noProof/>
            <w:webHidden/>
          </w:rPr>
        </w:r>
        <w:r>
          <w:rPr>
            <w:noProof/>
            <w:webHidden/>
          </w:rPr>
          <w:fldChar w:fldCharType="separate"/>
        </w:r>
        <w:r>
          <w:rPr>
            <w:noProof/>
            <w:webHidden/>
          </w:rPr>
          <w:t>28</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17" w:history="1">
        <w:r>
          <w:rPr>
            <w:rStyle w:val="Hyperlink"/>
            <w:noProof/>
          </w:rPr>
          <w:t>Artikel 16 Sanktionen</w:t>
        </w:r>
        <w:r>
          <w:rPr>
            <w:noProof/>
            <w:webHidden/>
          </w:rPr>
          <w:tab/>
        </w:r>
        <w:r>
          <w:rPr>
            <w:noProof/>
            <w:webHidden/>
          </w:rPr>
          <w:fldChar w:fldCharType="begin"/>
        </w:r>
        <w:r>
          <w:rPr>
            <w:noProof/>
            <w:webHidden/>
          </w:rPr>
          <w:instrText xml:space="preserve"> PAGEREF _Toc146879917 \h </w:instrText>
        </w:r>
        <w:r>
          <w:rPr>
            <w:noProof/>
            <w:webHidden/>
          </w:rPr>
        </w:r>
        <w:r>
          <w:rPr>
            <w:noProof/>
            <w:webHidden/>
          </w:rPr>
          <w:fldChar w:fldCharType="separate"/>
        </w:r>
        <w:r>
          <w:rPr>
            <w:noProof/>
            <w:webHidden/>
          </w:rPr>
          <w:t>28</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18" w:history="1">
        <w:r>
          <w:rPr>
            <w:rStyle w:val="Hyperlink"/>
            <w:rFonts w:cs="Arial"/>
            <w:noProof/>
          </w:rPr>
          <w:t>Artikel 17</w:t>
        </w:r>
        <w:r>
          <w:rPr>
            <w:rStyle w:val="Hyperlink"/>
            <w:rFonts w:ascii="EUAlbertina-Italic-Identity-H" w:hAnsi="EUAlbertina-Italic-Identity-H"/>
            <w:i/>
            <w:iCs/>
            <w:noProof/>
          </w:rPr>
          <w:t xml:space="preserve"> </w:t>
        </w:r>
        <w:r>
          <w:rPr>
            <w:rStyle w:val="Hyperlink"/>
            <w:noProof/>
          </w:rPr>
          <w:t>Zugang zu Informationen</w:t>
        </w:r>
        <w:r>
          <w:rPr>
            <w:noProof/>
            <w:webHidden/>
          </w:rPr>
          <w:tab/>
        </w:r>
        <w:r>
          <w:rPr>
            <w:noProof/>
            <w:webHidden/>
          </w:rPr>
          <w:fldChar w:fldCharType="begin"/>
        </w:r>
        <w:r>
          <w:rPr>
            <w:noProof/>
            <w:webHidden/>
          </w:rPr>
          <w:instrText xml:space="preserve"> PAGEREF _Toc146879918 \h </w:instrText>
        </w:r>
        <w:r>
          <w:rPr>
            <w:noProof/>
            <w:webHidden/>
          </w:rPr>
        </w:r>
        <w:r>
          <w:rPr>
            <w:noProof/>
            <w:webHidden/>
          </w:rPr>
          <w:fldChar w:fldCharType="separate"/>
        </w:r>
        <w:r>
          <w:rPr>
            <w:noProof/>
            <w:webHidden/>
          </w:rPr>
          <w:t>29</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19" w:history="1">
        <w:r>
          <w:rPr>
            <w:rStyle w:val="Hyperlink"/>
            <w:noProof/>
          </w:rPr>
          <w:t>Artikel 18 Zuständige Behörde</w:t>
        </w:r>
        <w:r>
          <w:rPr>
            <w:noProof/>
            <w:webHidden/>
          </w:rPr>
          <w:tab/>
        </w:r>
        <w:r>
          <w:rPr>
            <w:noProof/>
            <w:webHidden/>
          </w:rPr>
          <w:fldChar w:fldCharType="begin"/>
        </w:r>
        <w:r>
          <w:rPr>
            <w:noProof/>
            <w:webHidden/>
          </w:rPr>
          <w:instrText xml:space="preserve"> PAGEREF _Toc146879919 \h </w:instrText>
        </w:r>
        <w:r>
          <w:rPr>
            <w:noProof/>
            <w:webHidden/>
          </w:rPr>
        </w:r>
        <w:r>
          <w:rPr>
            <w:noProof/>
            <w:webHidden/>
          </w:rPr>
          <w:fldChar w:fldCharType="separate"/>
        </w:r>
        <w:r>
          <w:rPr>
            <w:noProof/>
            <w:webHidden/>
          </w:rPr>
          <w:t>29</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20" w:history="1">
        <w:r>
          <w:rPr>
            <w:rStyle w:val="Hyperlink"/>
            <w:noProof/>
          </w:rPr>
          <w:t>Artikel 18a Verwaltungsmitgliedstaat</w:t>
        </w:r>
        <w:r>
          <w:rPr>
            <w:noProof/>
            <w:webHidden/>
          </w:rPr>
          <w:tab/>
        </w:r>
        <w:r>
          <w:rPr>
            <w:noProof/>
            <w:webHidden/>
          </w:rPr>
          <w:fldChar w:fldCharType="begin"/>
        </w:r>
        <w:r>
          <w:rPr>
            <w:noProof/>
            <w:webHidden/>
          </w:rPr>
          <w:instrText xml:space="preserve"> PAGEREF _Toc146879920 \h </w:instrText>
        </w:r>
        <w:r>
          <w:rPr>
            <w:noProof/>
            <w:webHidden/>
          </w:rPr>
        </w:r>
        <w:r>
          <w:rPr>
            <w:noProof/>
            <w:webHidden/>
          </w:rPr>
          <w:fldChar w:fldCharType="separate"/>
        </w:r>
        <w:r>
          <w:rPr>
            <w:noProof/>
            <w:webHidden/>
          </w:rPr>
          <w:t>29</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21" w:history="1">
        <w:r>
          <w:rPr>
            <w:rStyle w:val="Hyperlink"/>
            <w:noProof/>
          </w:rPr>
          <w:t>Artikel 18b Unterstützung durch Eurocontrol</w:t>
        </w:r>
        <w:r>
          <w:rPr>
            <w:noProof/>
            <w:webHidden/>
          </w:rPr>
          <w:tab/>
        </w:r>
        <w:r>
          <w:rPr>
            <w:noProof/>
            <w:webHidden/>
          </w:rPr>
          <w:fldChar w:fldCharType="begin"/>
        </w:r>
        <w:r>
          <w:rPr>
            <w:noProof/>
            <w:webHidden/>
          </w:rPr>
          <w:instrText xml:space="preserve"> PAGEREF _Toc146879921 \h </w:instrText>
        </w:r>
        <w:r>
          <w:rPr>
            <w:noProof/>
            <w:webHidden/>
          </w:rPr>
        </w:r>
        <w:r>
          <w:rPr>
            <w:noProof/>
            <w:webHidden/>
          </w:rPr>
          <w:fldChar w:fldCharType="separate"/>
        </w:r>
        <w:r>
          <w:rPr>
            <w:noProof/>
            <w:webHidden/>
          </w:rPr>
          <w:t>30</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22" w:history="1">
        <w:r>
          <w:rPr>
            <w:rStyle w:val="Hyperlink"/>
            <w:noProof/>
          </w:rPr>
          <w:t>Artikel 19 Register</w:t>
        </w:r>
        <w:r>
          <w:rPr>
            <w:noProof/>
            <w:webHidden/>
          </w:rPr>
          <w:tab/>
        </w:r>
        <w:r>
          <w:rPr>
            <w:noProof/>
            <w:webHidden/>
          </w:rPr>
          <w:fldChar w:fldCharType="begin"/>
        </w:r>
        <w:r>
          <w:rPr>
            <w:noProof/>
            <w:webHidden/>
          </w:rPr>
          <w:instrText xml:space="preserve"> PAGEREF _Toc146879922 \h </w:instrText>
        </w:r>
        <w:r>
          <w:rPr>
            <w:noProof/>
            <w:webHidden/>
          </w:rPr>
        </w:r>
        <w:r>
          <w:rPr>
            <w:noProof/>
            <w:webHidden/>
          </w:rPr>
          <w:fldChar w:fldCharType="separate"/>
        </w:r>
        <w:r>
          <w:rPr>
            <w:noProof/>
            <w:webHidden/>
          </w:rPr>
          <w:t>30</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23" w:history="1">
        <w:r>
          <w:rPr>
            <w:rStyle w:val="Hyperlink"/>
            <w:noProof/>
          </w:rPr>
          <w:t>Artikel 20 Zentralverwalter</w:t>
        </w:r>
        <w:r>
          <w:rPr>
            <w:noProof/>
            <w:webHidden/>
          </w:rPr>
          <w:tab/>
        </w:r>
        <w:r>
          <w:rPr>
            <w:noProof/>
            <w:webHidden/>
          </w:rPr>
          <w:fldChar w:fldCharType="begin"/>
        </w:r>
        <w:r>
          <w:rPr>
            <w:noProof/>
            <w:webHidden/>
          </w:rPr>
          <w:instrText xml:space="preserve"> PAGEREF _Toc146879923 \h </w:instrText>
        </w:r>
        <w:r>
          <w:rPr>
            <w:noProof/>
            <w:webHidden/>
          </w:rPr>
        </w:r>
        <w:r>
          <w:rPr>
            <w:noProof/>
            <w:webHidden/>
          </w:rPr>
          <w:fldChar w:fldCharType="separate"/>
        </w:r>
        <w:r>
          <w:rPr>
            <w:noProof/>
            <w:webHidden/>
          </w:rPr>
          <w:t>30</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24" w:history="1">
        <w:r>
          <w:rPr>
            <w:rStyle w:val="Hyperlink"/>
            <w:noProof/>
          </w:rPr>
          <w:t>Artikel 21 Berichterstattung durch die Mitgliedstaaten</w:t>
        </w:r>
        <w:r>
          <w:rPr>
            <w:noProof/>
            <w:webHidden/>
          </w:rPr>
          <w:tab/>
        </w:r>
        <w:r>
          <w:rPr>
            <w:noProof/>
            <w:webHidden/>
          </w:rPr>
          <w:fldChar w:fldCharType="begin"/>
        </w:r>
        <w:r>
          <w:rPr>
            <w:noProof/>
            <w:webHidden/>
          </w:rPr>
          <w:instrText xml:space="preserve"> PAGEREF _Toc146879924 \h </w:instrText>
        </w:r>
        <w:r>
          <w:rPr>
            <w:noProof/>
            <w:webHidden/>
          </w:rPr>
        </w:r>
        <w:r>
          <w:rPr>
            <w:noProof/>
            <w:webHidden/>
          </w:rPr>
          <w:fldChar w:fldCharType="separate"/>
        </w:r>
        <w:r>
          <w:rPr>
            <w:noProof/>
            <w:webHidden/>
          </w:rPr>
          <w:t>30</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25" w:history="1">
        <w:r>
          <w:rPr>
            <w:rStyle w:val="Hyperlink"/>
            <w:rFonts w:cs="Arial"/>
            <w:noProof/>
          </w:rPr>
          <w:t>Artikel 21a</w:t>
        </w:r>
        <w:r>
          <w:rPr>
            <w:rStyle w:val="Hyperlink"/>
            <w:rFonts w:ascii="EUAlbertina-Italic-Identity-H" w:hAnsi="EUAlbertina-Italic-Identity-H"/>
            <w:i/>
            <w:iCs/>
            <w:noProof/>
          </w:rPr>
          <w:t xml:space="preserve"> </w:t>
        </w:r>
        <w:r>
          <w:rPr>
            <w:rStyle w:val="Hyperlink"/>
            <w:noProof/>
          </w:rPr>
          <w:t>Unterstützung des Aufbaus von Kapazitäten</w:t>
        </w:r>
        <w:r>
          <w:rPr>
            <w:noProof/>
            <w:webHidden/>
          </w:rPr>
          <w:tab/>
        </w:r>
        <w:r>
          <w:rPr>
            <w:noProof/>
            <w:webHidden/>
          </w:rPr>
          <w:fldChar w:fldCharType="begin"/>
        </w:r>
        <w:r>
          <w:rPr>
            <w:noProof/>
            <w:webHidden/>
          </w:rPr>
          <w:instrText xml:space="preserve"> PAGEREF _Toc146879925 \h </w:instrText>
        </w:r>
        <w:r>
          <w:rPr>
            <w:noProof/>
            <w:webHidden/>
          </w:rPr>
        </w:r>
        <w:r>
          <w:rPr>
            <w:noProof/>
            <w:webHidden/>
          </w:rPr>
          <w:fldChar w:fldCharType="separate"/>
        </w:r>
        <w:r>
          <w:rPr>
            <w:noProof/>
            <w:webHidden/>
          </w:rPr>
          <w:t>31</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26" w:history="1">
        <w:r>
          <w:rPr>
            <w:rStyle w:val="Hyperlink"/>
            <w:noProof/>
          </w:rPr>
          <w:t>Artikel 22 Änderung der Anhänge</w:t>
        </w:r>
        <w:r>
          <w:rPr>
            <w:noProof/>
            <w:webHidden/>
          </w:rPr>
          <w:tab/>
        </w:r>
        <w:r>
          <w:rPr>
            <w:noProof/>
            <w:webHidden/>
          </w:rPr>
          <w:fldChar w:fldCharType="begin"/>
        </w:r>
        <w:r>
          <w:rPr>
            <w:noProof/>
            <w:webHidden/>
          </w:rPr>
          <w:instrText xml:space="preserve"> PAGEREF _Toc146879926 \h </w:instrText>
        </w:r>
        <w:r>
          <w:rPr>
            <w:noProof/>
            <w:webHidden/>
          </w:rPr>
        </w:r>
        <w:r>
          <w:rPr>
            <w:noProof/>
            <w:webHidden/>
          </w:rPr>
          <w:fldChar w:fldCharType="separate"/>
        </w:r>
        <w:r>
          <w:rPr>
            <w:noProof/>
            <w:webHidden/>
          </w:rPr>
          <w:t>31</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27" w:history="1">
        <w:r>
          <w:rPr>
            <w:rStyle w:val="Hyperlink"/>
            <w:noProof/>
          </w:rPr>
          <w:t>Artikel 22a Ausschussverfahren</w:t>
        </w:r>
        <w:r>
          <w:rPr>
            <w:noProof/>
            <w:webHidden/>
          </w:rPr>
          <w:tab/>
        </w:r>
        <w:r>
          <w:rPr>
            <w:noProof/>
            <w:webHidden/>
          </w:rPr>
          <w:fldChar w:fldCharType="begin"/>
        </w:r>
        <w:r>
          <w:rPr>
            <w:noProof/>
            <w:webHidden/>
          </w:rPr>
          <w:instrText xml:space="preserve"> PAGEREF _Toc146879927 \h </w:instrText>
        </w:r>
        <w:r>
          <w:rPr>
            <w:noProof/>
            <w:webHidden/>
          </w:rPr>
        </w:r>
        <w:r>
          <w:rPr>
            <w:noProof/>
            <w:webHidden/>
          </w:rPr>
          <w:fldChar w:fldCharType="separate"/>
        </w:r>
        <w:r>
          <w:rPr>
            <w:noProof/>
            <w:webHidden/>
          </w:rPr>
          <w:t>31</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28" w:history="1">
        <w:r>
          <w:rPr>
            <w:rStyle w:val="Hyperlink"/>
            <w:noProof/>
          </w:rPr>
          <w:t>Artikel 23 Ausübung der Befugnisübertragung</w:t>
        </w:r>
        <w:r>
          <w:rPr>
            <w:noProof/>
            <w:webHidden/>
          </w:rPr>
          <w:tab/>
        </w:r>
        <w:r>
          <w:rPr>
            <w:noProof/>
            <w:webHidden/>
          </w:rPr>
          <w:fldChar w:fldCharType="begin"/>
        </w:r>
        <w:r>
          <w:rPr>
            <w:noProof/>
            <w:webHidden/>
          </w:rPr>
          <w:instrText xml:space="preserve"> PAGEREF _Toc146879928 \h </w:instrText>
        </w:r>
        <w:r>
          <w:rPr>
            <w:noProof/>
            <w:webHidden/>
          </w:rPr>
        </w:r>
        <w:r>
          <w:rPr>
            <w:noProof/>
            <w:webHidden/>
          </w:rPr>
          <w:fldChar w:fldCharType="separate"/>
        </w:r>
        <w:r>
          <w:rPr>
            <w:noProof/>
            <w:webHidden/>
          </w:rPr>
          <w:t>31</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29" w:history="1">
        <w:r>
          <w:rPr>
            <w:rStyle w:val="Hyperlink"/>
            <w:noProof/>
          </w:rPr>
          <w:t>Artikel 24 Verfahren für die einseitige Einbeziehung zusätzlicher Tätigkeiten und Gase</w:t>
        </w:r>
        <w:r>
          <w:rPr>
            <w:noProof/>
            <w:webHidden/>
          </w:rPr>
          <w:tab/>
        </w:r>
        <w:r>
          <w:rPr>
            <w:noProof/>
            <w:webHidden/>
          </w:rPr>
          <w:fldChar w:fldCharType="begin"/>
        </w:r>
        <w:r>
          <w:rPr>
            <w:noProof/>
            <w:webHidden/>
          </w:rPr>
          <w:instrText xml:space="preserve"> PAGEREF _Toc146879929 \h </w:instrText>
        </w:r>
        <w:r>
          <w:rPr>
            <w:noProof/>
            <w:webHidden/>
          </w:rPr>
        </w:r>
        <w:r>
          <w:rPr>
            <w:noProof/>
            <w:webHidden/>
          </w:rPr>
          <w:fldChar w:fldCharType="separate"/>
        </w:r>
        <w:r>
          <w:rPr>
            <w:noProof/>
            <w:webHidden/>
          </w:rPr>
          <w:t>32</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30" w:history="1">
        <w:r>
          <w:rPr>
            <w:rStyle w:val="Hyperlink"/>
            <w:noProof/>
          </w:rPr>
          <w:t>Artikel 24a Harmonisierte Vorschriften für Projekte zur Emissionsminderung</w:t>
        </w:r>
        <w:r>
          <w:rPr>
            <w:noProof/>
            <w:webHidden/>
          </w:rPr>
          <w:tab/>
        </w:r>
        <w:r>
          <w:rPr>
            <w:noProof/>
            <w:webHidden/>
          </w:rPr>
          <w:fldChar w:fldCharType="begin"/>
        </w:r>
        <w:r>
          <w:rPr>
            <w:noProof/>
            <w:webHidden/>
          </w:rPr>
          <w:instrText xml:space="preserve"> PAGEREF _Toc146879930 \h </w:instrText>
        </w:r>
        <w:r>
          <w:rPr>
            <w:noProof/>
            <w:webHidden/>
          </w:rPr>
        </w:r>
        <w:r>
          <w:rPr>
            <w:noProof/>
            <w:webHidden/>
          </w:rPr>
          <w:fldChar w:fldCharType="separate"/>
        </w:r>
        <w:r>
          <w:rPr>
            <w:noProof/>
            <w:webHidden/>
          </w:rPr>
          <w:t>32</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31" w:history="1">
        <w:r>
          <w:rPr>
            <w:rStyle w:val="Hyperlink"/>
            <w:noProof/>
          </w:rPr>
          <w:t>Artikel 25 Verknüpfung mit anderen Systemen für den Handel mit Treibhausgasemissionen</w:t>
        </w:r>
        <w:r>
          <w:rPr>
            <w:noProof/>
            <w:webHidden/>
          </w:rPr>
          <w:tab/>
        </w:r>
        <w:r>
          <w:rPr>
            <w:noProof/>
            <w:webHidden/>
          </w:rPr>
          <w:fldChar w:fldCharType="begin"/>
        </w:r>
        <w:r>
          <w:rPr>
            <w:noProof/>
            <w:webHidden/>
          </w:rPr>
          <w:instrText xml:space="preserve"> PAGEREF _Toc146879931 \h </w:instrText>
        </w:r>
        <w:r>
          <w:rPr>
            <w:noProof/>
            <w:webHidden/>
          </w:rPr>
        </w:r>
        <w:r>
          <w:rPr>
            <w:noProof/>
            <w:webHidden/>
          </w:rPr>
          <w:fldChar w:fldCharType="separate"/>
        </w:r>
        <w:r>
          <w:rPr>
            <w:noProof/>
            <w:webHidden/>
          </w:rPr>
          <w:t>33</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32" w:history="1">
        <w:r>
          <w:rPr>
            <w:rStyle w:val="Hyperlink"/>
            <w:noProof/>
          </w:rPr>
          <w:t>Artikel 25a Drittlandvorschriften zur Reduzierung der Klimaauswirkungen des Luftverkehrs</w:t>
        </w:r>
        <w:r>
          <w:rPr>
            <w:noProof/>
            <w:webHidden/>
          </w:rPr>
          <w:tab/>
        </w:r>
        <w:r>
          <w:rPr>
            <w:noProof/>
            <w:webHidden/>
          </w:rPr>
          <w:fldChar w:fldCharType="begin"/>
        </w:r>
        <w:r>
          <w:rPr>
            <w:noProof/>
            <w:webHidden/>
          </w:rPr>
          <w:instrText xml:space="preserve"> PAGEREF _Toc146879932 \h </w:instrText>
        </w:r>
        <w:r>
          <w:rPr>
            <w:noProof/>
            <w:webHidden/>
          </w:rPr>
        </w:r>
        <w:r>
          <w:rPr>
            <w:noProof/>
            <w:webHidden/>
          </w:rPr>
          <w:fldChar w:fldCharType="separate"/>
        </w:r>
        <w:r>
          <w:rPr>
            <w:noProof/>
            <w:webHidden/>
          </w:rPr>
          <w:t>33</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33" w:history="1">
        <w:r>
          <w:rPr>
            <w:rStyle w:val="Hyperlink"/>
            <w:noProof/>
          </w:rPr>
          <w:t>Artikel 26 Änderung der Richtlinie 96/61/EG</w:t>
        </w:r>
        <w:r>
          <w:rPr>
            <w:noProof/>
            <w:webHidden/>
          </w:rPr>
          <w:tab/>
        </w:r>
        <w:r>
          <w:rPr>
            <w:noProof/>
            <w:webHidden/>
          </w:rPr>
          <w:fldChar w:fldCharType="begin"/>
        </w:r>
        <w:r>
          <w:rPr>
            <w:noProof/>
            <w:webHidden/>
          </w:rPr>
          <w:instrText xml:space="preserve"> PAGEREF _Toc146879933 \h </w:instrText>
        </w:r>
        <w:r>
          <w:rPr>
            <w:noProof/>
            <w:webHidden/>
          </w:rPr>
        </w:r>
        <w:r>
          <w:rPr>
            <w:noProof/>
            <w:webHidden/>
          </w:rPr>
          <w:fldChar w:fldCharType="separate"/>
        </w:r>
        <w:r>
          <w:rPr>
            <w:noProof/>
            <w:webHidden/>
          </w:rPr>
          <w:t>34</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34" w:history="1">
        <w:r>
          <w:rPr>
            <w:rStyle w:val="Hyperlink"/>
            <w:noProof/>
          </w:rPr>
          <w:t>Artikel 27 Ausschluss kleiner Anlagen vorbehaltlich der Durchführung gleichwertiger Maßnahmen</w:t>
        </w:r>
        <w:r>
          <w:rPr>
            <w:noProof/>
            <w:webHidden/>
          </w:rPr>
          <w:tab/>
        </w:r>
        <w:r>
          <w:rPr>
            <w:noProof/>
            <w:webHidden/>
          </w:rPr>
          <w:fldChar w:fldCharType="begin"/>
        </w:r>
        <w:r>
          <w:rPr>
            <w:noProof/>
            <w:webHidden/>
          </w:rPr>
          <w:instrText xml:space="preserve"> PAGEREF _Toc146879934 \h </w:instrText>
        </w:r>
        <w:r>
          <w:rPr>
            <w:noProof/>
            <w:webHidden/>
          </w:rPr>
        </w:r>
        <w:r>
          <w:rPr>
            <w:noProof/>
            <w:webHidden/>
          </w:rPr>
          <w:fldChar w:fldCharType="separate"/>
        </w:r>
        <w:r>
          <w:rPr>
            <w:noProof/>
            <w:webHidden/>
          </w:rPr>
          <w:t>34</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35" w:history="1">
        <w:r>
          <w:rPr>
            <w:rStyle w:val="Hyperlink"/>
            <w:noProof/>
          </w:rPr>
          <w:t>Artikel 27a Optionaler Ausschluss von Anlagen mit Emissionen von weniger als 2 500 Tonnen</w:t>
        </w:r>
        <w:r>
          <w:rPr>
            <w:noProof/>
            <w:webHidden/>
          </w:rPr>
          <w:tab/>
        </w:r>
        <w:r>
          <w:rPr>
            <w:noProof/>
            <w:webHidden/>
          </w:rPr>
          <w:fldChar w:fldCharType="begin"/>
        </w:r>
        <w:r>
          <w:rPr>
            <w:noProof/>
            <w:webHidden/>
          </w:rPr>
          <w:instrText xml:space="preserve"> PAGEREF _Toc146879935 \h </w:instrText>
        </w:r>
        <w:r>
          <w:rPr>
            <w:noProof/>
            <w:webHidden/>
          </w:rPr>
        </w:r>
        <w:r>
          <w:rPr>
            <w:noProof/>
            <w:webHidden/>
          </w:rPr>
          <w:fldChar w:fldCharType="separate"/>
        </w:r>
        <w:r>
          <w:rPr>
            <w:noProof/>
            <w:webHidden/>
          </w:rPr>
          <w:t>35</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36" w:history="1">
        <w:r>
          <w:rPr>
            <w:rStyle w:val="Hyperlink"/>
            <w:noProof/>
          </w:rPr>
          <w:t>Artikel 28 Anpassungen nach Genehmigung eines internationalen Abkommens über den Klimawandel durch die Union</w:t>
        </w:r>
        <w:r>
          <w:rPr>
            <w:noProof/>
            <w:webHidden/>
          </w:rPr>
          <w:tab/>
        </w:r>
        <w:r>
          <w:rPr>
            <w:noProof/>
            <w:webHidden/>
          </w:rPr>
          <w:fldChar w:fldCharType="begin"/>
        </w:r>
        <w:r>
          <w:rPr>
            <w:noProof/>
            <w:webHidden/>
          </w:rPr>
          <w:instrText xml:space="preserve"> PAGEREF _Toc146879936 \h </w:instrText>
        </w:r>
        <w:r>
          <w:rPr>
            <w:noProof/>
            <w:webHidden/>
          </w:rPr>
        </w:r>
        <w:r>
          <w:rPr>
            <w:noProof/>
            <w:webHidden/>
          </w:rPr>
          <w:fldChar w:fldCharType="separate"/>
        </w:r>
        <w:r>
          <w:rPr>
            <w:noProof/>
            <w:webHidden/>
          </w:rPr>
          <w:t>35</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37" w:history="1">
        <w:r>
          <w:rPr>
            <w:rStyle w:val="Hyperlink"/>
            <w:noProof/>
          </w:rPr>
          <w:t>Artikel 28a Vor der verpflichtenden Umsetzung des globalen  marktbasierten Mechanismus der ICAO geltende Ausnahmen</w:t>
        </w:r>
        <w:r>
          <w:rPr>
            <w:noProof/>
            <w:webHidden/>
          </w:rPr>
          <w:tab/>
        </w:r>
        <w:r>
          <w:rPr>
            <w:noProof/>
            <w:webHidden/>
          </w:rPr>
          <w:fldChar w:fldCharType="begin"/>
        </w:r>
        <w:r>
          <w:rPr>
            <w:noProof/>
            <w:webHidden/>
          </w:rPr>
          <w:instrText xml:space="preserve"> PAGEREF _Toc146879937 \h </w:instrText>
        </w:r>
        <w:r>
          <w:rPr>
            <w:noProof/>
            <w:webHidden/>
          </w:rPr>
        </w:r>
        <w:r>
          <w:rPr>
            <w:noProof/>
            <w:webHidden/>
          </w:rPr>
          <w:fldChar w:fldCharType="separate"/>
        </w:r>
        <w:r>
          <w:rPr>
            <w:noProof/>
            <w:webHidden/>
          </w:rPr>
          <w:t>36</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38" w:history="1">
        <w:r>
          <w:rPr>
            <w:rStyle w:val="Hyperlink"/>
            <w:noProof/>
          </w:rPr>
          <w:t>Artikel 28b Berichterstattung durch die Kommission über die  Umsetzung des globalen marktbasierten  Mechanismus der ICAO und ihre Überprüfung durch die Kommission</w:t>
        </w:r>
        <w:r>
          <w:rPr>
            <w:noProof/>
            <w:webHidden/>
          </w:rPr>
          <w:tab/>
        </w:r>
        <w:r>
          <w:rPr>
            <w:noProof/>
            <w:webHidden/>
          </w:rPr>
          <w:fldChar w:fldCharType="begin"/>
        </w:r>
        <w:r>
          <w:rPr>
            <w:noProof/>
            <w:webHidden/>
          </w:rPr>
          <w:instrText xml:space="preserve"> PAGEREF _Toc146879938 \h </w:instrText>
        </w:r>
        <w:r>
          <w:rPr>
            <w:noProof/>
            <w:webHidden/>
          </w:rPr>
        </w:r>
        <w:r>
          <w:rPr>
            <w:noProof/>
            <w:webHidden/>
          </w:rPr>
          <w:fldChar w:fldCharType="separate"/>
        </w:r>
        <w:r>
          <w:rPr>
            <w:noProof/>
            <w:webHidden/>
          </w:rPr>
          <w:t>37</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39" w:history="1">
        <w:r>
          <w:rPr>
            <w:rStyle w:val="Hyperlink"/>
            <w:noProof/>
          </w:rPr>
          <w:t>Artikel 28c Bestimmungen über die Überwachung, Berichterstattung und Prüfung für die Zwecke des globalen marktbasierten Mechanismus</w:t>
        </w:r>
        <w:r>
          <w:rPr>
            <w:noProof/>
            <w:webHidden/>
          </w:rPr>
          <w:tab/>
        </w:r>
        <w:r>
          <w:rPr>
            <w:noProof/>
            <w:webHidden/>
          </w:rPr>
          <w:fldChar w:fldCharType="begin"/>
        </w:r>
        <w:r>
          <w:rPr>
            <w:noProof/>
            <w:webHidden/>
          </w:rPr>
          <w:instrText xml:space="preserve"> PAGEREF _Toc146879939 \h </w:instrText>
        </w:r>
        <w:r>
          <w:rPr>
            <w:noProof/>
            <w:webHidden/>
          </w:rPr>
        </w:r>
        <w:r>
          <w:rPr>
            <w:noProof/>
            <w:webHidden/>
          </w:rPr>
          <w:fldChar w:fldCharType="separate"/>
        </w:r>
        <w:r>
          <w:rPr>
            <w:noProof/>
            <w:webHidden/>
          </w:rPr>
          <w:t>38</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40" w:history="1">
        <w:r>
          <w:rPr>
            <w:rStyle w:val="Hyperlink"/>
            <w:noProof/>
          </w:rPr>
          <w:t>Artikel 29 Bericht zur Gewährleistung eines besseren Funktionierens des CO</w:t>
        </w:r>
        <w:r>
          <w:rPr>
            <w:rStyle w:val="Hyperlink"/>
            <w:noProof/>
            <w:vertAlign w:val="subscript"/>
          </w:rPr>
          <w:t>2</w:t>
        </w:r>
        <w:r>
          <w:rPr>
            <w:rStyle w:val="Hyperlink"/>
            <w:noProof/>
          </w:rPr>
          <w:t>-Marktes</w:t>
        </w:r>
        <w:r>
          <w:rPr>
            <w:noProof/>
            <w:webHidden/>
          </w:rPr>
          <w:tab/>
        </w:r>
        <w:r>
          <w:rPr>
            <w:noProof/>
            <w:webHidden/>
          </w:rPr>
          <w:fldChar w:fldCharType="begin"/>
        </w:r>
        <w:r>
          <w:rPr>
            <w:noProof/>
            <w:webHidden/>
          </w:rPr>
          <w:instrText xml:space="preserve"> PAGEREF _Toc146879940 \h </w:instrText>
        </w:r>
        <w:r>
          <w:rPr>
            <w:noProof/>
            <w:webHidden/>
          </w:rPr>
        </w:r>
        <w:r>
          <w:rPr>
            <w:noProof/>
            <w:webHidden/>
          </w:rPr>
          <w:fldChar w:fldCharType="separate"/>
        </w:r>
        <w:r>
          <w:rPr>
            <w:noProof/>
            <w:webHidden/>
          </w:rPr>
          <w:t>38</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41" w:history="1">
        <w:r>
          <w:rPr>
            <w:rStyle w:val="Hyperlink"/>
            <w:noProof/>
          </w:rPr>
          <w:t>Artikel 29a Maßnahmen im Fall übermäßiger Preisschwankungen</w:t>
        </w:r>
        <w:r>
          <w:rPr>
            <w:noProof/>
            <w:webHidden/>
          </w:rPr>
          <w:tab/>
        </w:r>
        <w:r>
          <w:rPr>
            <w:noProof/>
            <w:webHidden/>
          </w:rPr>
          <w:fldChar w:fldCharType="begin"/>
        </w:r>
        <w:r>
          <w:rPr>
            <w:noProof/>
            <w:webHidden/>
          </w:rPr>
          <w:instrText xml:space="preserve"> PAGEREF _Toc146879941 \h </w:instrText>
        </w:r>
        <w:r>
          <w:rPr>
            <w:noProof/>
            <w:webHidden/>
          </w:rPr>
        </w:r>
        <w:r>
          <w:rPr>
            <w:noProof/>
            <w:webHidden/>
          </w:rPr>
          <w:fldChar w:fldCharType="separate"/>
        </w:r>
        <w:r>
          <w:rPr>
            <w:noProof/>
            <w:webHidden/>
          </w:rPr>
          <w:t>38</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42" w:history="1">
        <w:r>
          <w:rPr>
            <w:rStyle w:val="Hyperlink"/>
            <w:noProof/>
          </w:rPr>
          <w:t>Artikel 30 Überprüfung im Lichte der Durchführung des Übereinkommens von Paris und der Entwicklung der CO</w:t>
        </w:r>
        <w:r>
          <w:rPr>
            <w:rStyle w:val="Hyperlink"/>
            <w:noProof/>
            <w:vertAlign w:val="subscript"/>
          </w:rPr>
          <w:t>2</w:t>
        </w:r>
        <w:r>
          <w:rPr>
            <w:rStyle w:val="Hyperlink"/>
            <w:noProof/>
          </w:rPr>
          <w:t>-Märkte in anderen führenden Wirtschaftsnationen</w:t>
        </w:r>
        <w:r>
          <w:rPr>
            <w:noProof/>
            <w:webHidden/>
          </w:rPr>
          <w:tab/>
        </w:r>
        <w:r>
          <w:rPr>
            <w:noProof/>
            <w:webHidden/>
          </w:rPr>
          <w:fldChar w:fldCharType="begin"/>
        </w:r>
        <w:r>
          <w:rPr>
            <w:noProof/>
            <w:webHidden/>
          </w:rPr>
          <w:instrText xml:space="preserve"> PAGEREF _Toc146879942 \h </w:instrText>
        </w:r>
        <w:r>
          <w:rPr>
            <w:noProof/>
            <w:webHidden/>
          </w:rPr>
        </w:r>
        <w:r>
          <w:rPr>
            <w:noProof/>
            <w:webHidden/>
          </w:rPr>
          <w:fldChar w:fldCharType="separate"/>
        </w:r>
        <w:r>
          <w:rPr>
            <w:noProof/>
            <w:webHidden/>
          </w:rPr>
          <w:t>38</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43" w:history="1">
        <w:r>
          <w:rPr>
            <w:rStyle w:val="Hyperlink"/>
            <w:noProof/>
          </w:rPr>
          <w:t>KAPITEL V SCHLUSSBESTIMMUNGEN</w:t>
        </w:r>
        <w:r>
          <w:rPr>
            <w:noProof/>
            <w:webHidden/>
          </w:rPr>
          <w:tab/>
        </w:r>
        <w:r>
          <w:rPr>
            <w:noProof/>
            <w:webHidden/>
          </w:rPr>
          <w:fldChar w:fldCharType="begin"/>
        </w:r>
        <w:r>
          <w:rPr>
            <w:noProof/>
            <w:webHidden/>
          </w:rPr>
          <w:instrText xml:space="preserve"> PAGEREF _Toc146879943 \h </w:instrText>
        </w:r>
        <w:r>
          <w:rPr>
            <w:noProof/>
            <w:webHidden/>
          </w:rPr>
        </w:r>
        <w:r>
          <w:rPr>
            <w:noProof/>
            <w:webHidden/>
          </w:rPr>
          <w:fldChar w:fldCharType="separate"/>
        </w:r>
        <w:r>
          <w:rPr>
            <w:noProof/>
            <w:webHidden/>
          </w:rPr>
          <w:t>39</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44" w:history="1">
        <w:r>
          <w:rPr>
            <w:rStyle w:val="Hyperlink"/>
            <w:noProof/>
          </w:rPr>
          <w:t>Artikel 31 Umsetzung</w:t>
        </w:r>
        <w:r>
          <w:rPr>
            <w:noProof/>
            <w:webHidden/>
          </w:rPr>
          <w:tab/>
        </w:r>
        <w:r>
          <w:rPr>
            <w:noProof/>
            <w:webHidden/>
          </w:rPr>
          <w:fldChar w:fldCharType="begin"/>
        </w:r>
        <w:r>
          <w:rPr>
            <w:noProof/>
            <w:webHidden/>
          </w:rPr>
          <w:instrText xml:space="preserve"> PAGEREF _Toc146879944 \h </w:instrText>
        </w:r>
        <w:r>
          <w:rPr>
            <w:noProof/>
            <w:webHidden/>
          </w:rPr>
        </w:r>
        <w:r>
          <w:rPr>
            <w:noProof/>
            <w:webHidden/>
          </w:rPr>
          <w:fldChar w:fldCharType="separate"/>
        </w:r>
        <w:r>
          <w:rPr>
            <w:noProof/>
            <w:webHidden/>
          </w:rPr>
          <w:t>39</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45" w:history="1">
        <w:r>
          <w:rPr>
            <w:rStyle w:val="Hyperlink"/>
            <w:noProof/>
          </w:rPr>
          <w:t>Artikel 32 Inkrafttreten</w:t>
        </w:r>
        <w:r>
          <w:rPr>
            <w:noProof/>
            <w:webHidden/>
          </w:rPr>
          <w:tab/>
        </w:r>
        <w:r>
          <w:rPr>
            <w:noProof/>
            <w:webHidden/>
          </w:rPr>
          <w:fldChar w:fldCharType="begin"/>
        </w:r>
        <w:r>
          <w:rPr>
            <w:noProof/>
            <w:webHidden/>
          </w:rPr>
          <w:instrText xml:space="preserve"> PAGEREF _Toc146879945 \h </w:instrText>
        </w:r>
        <w:r>
          <w:rPr>
            <w:noProof/>
            <w:webHidden/>
          </w:rPr>
        </w:r>
        <w:r>
          <w:rPr>
            <w:noProof/>
            <w:webHidden/>
          </w:rPr>
          <w:fldChar w:fldCharType="separate"/>
        </w:r>
        <w:r>
          <w:rPr>
            <w:noProof/>
            <w:webHidden/>
          </w:rPr>
          <w:t>39</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46" w:history="1">
        <w:r>
          <w:rPr>
            <w:rStyle w:val="Hyperlink"/>
            <w:noProof/>
          </w:rPr>
          <w:t>Artikel 33 Adressaten</w:t>
        </w:r>
        <w:r>
          <w:rPr>
            <w:noProof/>
            <w:webHidden/>
          </w:rPr>
          <w:tab/>
        </w:r>
        <w:r>
          <w:rPr>
            <w:noProof/>
            <w:webHidden/>
          </w:rPr>
          <w:fldChar w:fldCharType="begin"/>
        </w:r>
        <w:r>
          <w:rPr>
            <w:noProof/>
            <w:webHidden/>
          </w:rPr>
          <w:instrText xml:space="preserve"> PAGEREF _Toc146879946 \h </w:instrText>
        </w:r>
        <w:r>
          <w:rPr>
            <w:noProof/>
            <w:webHidden/>
          </w:rPr>
        </w:r>
        <w:r>
          <w:rPr>
            <w:noProof/>
            <w:webHidden/>
          </w:rPr>
          <w:fldChar w:fldCharType="separate"/>
        </w:r>
        <w:r>
          <w:rPr>
            <w:noProof/>
            <w:webHidden/>
          </w:rPr>
          <w:t>39</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47" w:history="1">
        <w:r>
          <w:rPr>
            <w:rStyle w:val="Hyperlink"/>
            <w:noProof/>
          </w:rPr>
          <w:t>ANHANG I KATEGORIEN VON TÄTIGKEITEN,</w:t>
        </w:r>
        <w:r>
          <w:rPr>
            <w:noProof/>
            <w:webHidden/>
          </w:rPr>
          <w:tab/>
        </w:r>
        <w:r>
          <w:rPr>
            <w:noProof/>
            <w:webHidden/>
          </w:rPr>
          <w:fldChar w:fldCharType="begin"/>
        </w:r>
        <w:r>
          <w:rPr>
            <w:noProof/>
            <w:webHidden/>
          </w:rPr>
          <w:instrText xml:space="preserve"> PAGEREF _Toc146879947 \h </w:instrText>
        </w:r>
        <w:r>
          <w:rPr>
            <w:noProof/>
            <w:webHidden/>
          </w:rPr>
        </w:r>
        <w:r>
          <w:rPr>
            <w:noProof/>
            <w:webHidden/>
          </w:rPr>
          <w:fldChar w:fldCharType="separate"/>
        </w:r>
        <w:r>
          <w:rPr>
            <w:noProof/>
            <w:webHidden/>
          </w:rPr>
          <w:t>40</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48" w:history="1">
        <w:r>
          <w:rPr>
            <w:rStyle w:val="Hyperlink"/>
            <w:noProof/>
          </w:rPr>
          <w:t>ANHANG II TREIBHAUSGASE GEMÄSS DEN ARTIKELN 3 UND 30</w:t>
        </w:r>
        <w:r>
          <w:rPr>
            <w:noProof/>
            <w:webHidden/>
          </w:rPr>
          <w:tab/>
        </w:r>
        <w:r>
          <w:rPr>
            <w:noProof/>
            <w:webHidden/>
          </w:rPr>
          <w:fldChar w:fldCharType="begin"/>
        </w:r>
        <w:r>
          <w:rPr>
            <w:noProof/>
            <w:webHidden/>
          </w:rPr>
          <w:instrText xml:space="preserve"> PAGEREF _Toc146879948 \h </w:instrText>
        </w:r>
        <w:r>
          <w:rPr>
            <w:noProof/>
            <w:webHidden/>
          </w:rPr>
        </w:r>
        <w:r>
          <w:rPr>
            <w:noProof/>
            <w:webHidden/>
          </w:rPr>
          <w:fldChar w:fldCharType="separate"/>
        </w:r>
        <w:r>
          <w:rPr>
            <w:noProof/>
            <w:webHidden/>
          </w:rPr>
          <w:t>43</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49" w:history="1">
        <w:r>
          <w:rPr>
            <w:rStyle w:val="Hyperlink"/>
            <w:noProof/>
          </w:rPr>
          <w:t>ANHANG IIa Erhöhung des Prozentsatzes</w:t>
        </w:r>
        <w:r>
          <w:rPr>
            <w:noProof/>
            <w:webHidden/>
          </w:rPr>
          <w:tab/>
        </w:r>
        <w:r>
          <w:rPr>
            <w:noProof/>
            <w:webHidden/>
          </w:rPr>
          <w:fldChar w:fldCharType="begin"/>
        </w:r>
        <w:r>
          <w:rPr>
            <w:noProof/>
            <w:webHidden/>
          </w:rPr>
          <w:instrText xml:space="preserve"> PAGEREF _Toc146879949 \h </w:instrText>
        </w:r>
        <w:r>
          <w:rPr>
            <w:noProof/>
            <w:webHidden/>
          </w:rPr>
        </w:r>
        <w:r>
          <w:rPr>
            <w:noProof/>
            <w:webHidden/>
          </w:rPr>
          <w:fldChar w:fldCharType="separate"/>
        </w:r>
        <w:r>
          <w:rPr>
            <w:noProof/>
            <w:webHidden/>
          </w:rPr>
          <w:t>43</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50" w:history="1">
        <w:r>
          <w:rPr>
            <w:rStyle w:val="Hyperlink"/>
            <w:noProof/>
          </w:rPr>
          <w:t>ANHANG IIb AUFTEILUNG DER MITTEL</w:t>
        </w:r>
        <w:r>
          <w:rPr>
            <w:noProof/>
            <w:webHidden/>
          </w:rPr>
          <w:tab/>
        </w:r>
        <w:r>
          <w:rPr>
            <w:noProof/>
            <w:webHidden/>
          </w:rPr>
          <w:fldChar w:fldCharType="begin"/>
        </w:r>
        <w:r>
          <w:rPr>
            <w:noProof/>
            <w:webHidden/>
          </w:rPr>
          <w:instrText xml:space="preserve"> PAGEREF _Toc146879950 \h </w:instrText>
        </w:r>
        <w:r>
          <w:rPr>
            <w:noProof/>
            <w:webHidden/>
          </w:rPr>
        </w:r>
        <w:r>
          <w:rPr>
            <w:noProof/>
            <w:webHidden/>
          </w:rPr>
          <w:fldChar w:fldCharType="separate"/>
        </w:r>
        <w:r>
          <w:rPr>
            <w:noProof/>
            <w:webHidden/>
          </w:rPr>
          <w:t>44</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51" w:history="1">
        <w:r>
          <w:rPr>
            <w:rStyle w:val="Hyperlink"/>
            <w:noProof/>
          </w:rPr>
          <w:t>ANHANG III KRITERIEN FÜR DIE NATIONALEN ZUTEILUNGSPLÄNE</w:t>
        </w:r>
        <w:r>
          <w:rPr>
            <w:noProof/>
            <w:webHidden/>
          </w:rPr>
          <w:tab/>
        </w:r>
        <w:r>
          <w:rPr>
            <w:noProof/>
            <w:webHidden/>
          </w:rPr>
          <w:fldChar w:fldCharType="begin"/>
        </w:r>
        <w:r>
          <w:rPr>
            <w:noProof/>
            <w:webHidden/>
          </w:rPr>
          <w:instrText xml:space="preserve"> PAGEREF _Toc146879951 \h </w:instrText>
        </w:r>
        <w:r>
          <w:rPr>
            <w:noProof/>
            <w:webHidden/>
          </w:rPr>
        </w:r>
        <w:r>
          <w:rPr>
            <w:noProof/>
            <w:webHidden/>
          </w:rPr>
          <w:fldChar w:fldCharType="separate"/>
        </w:r>
        <w:r>
          <w:rPr>
            <w:noProof/>
            <w:webHidden/>
          </w:rPr>
          <w:t>44</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52" w:history="1">
        <w:r>
          <w:rPr>
            <w:rStyle w:val="Hyperlink"/>
            <w:noProof/>
          </w:rPr>
          <w:t>ANHANG IV GRUNDSÄTZE FÜR DIE ÜBERWACHUNG UND BERICHTERSTATTUNG</w:t>
        </w:r>
        <w:r>
          <w:rPr>
            <w:noProof/>
            <w:webHidden/>
          </w:rPr>
          <w:tab/>
        </w:r>
        <w:r>
          <w:rPr>
            <w:noProof/>
            <w:webHidden/>
          </w:rPr>
          <w:fldChar w:fldCharType="begin"/>
        </w:r>
        <w:r>
          <w:rPr>
            <w:noProof/>
            <w:webHidden/>
          </w:rPr>
          <w:instrText xml:space="preserve"> PAGEREF _Toc146879952 \h </w:instrText>
        </w:r>
        <w:r>
          <w:rPr>
            <w:noProof/>
            <w:webHidden/>
          </w:rPr>
        </w:r>
        <w:r>
          <w:rPr>
            <w:noProof/>
            <w:webHidden/>
          </w:rPr>
          <w:fldChar w:fldCharType="separate"/>
        </w:r>
        <w:r>
          <w:rPr>
            <w:noProof/>
            <w:webHidden/>
          </w:rPr>
          <w:t>45</w:t>
        </w:r>
        <w:r>
          <w:rPr>
            <w:noProof/>
            <w:webHidden/>
          </w:rPr>
          <w:fldChar w:fldCharType="end"/>
        </w:r>
      </w:hyperlink>
    </w:p>
    <w:p>
      <w:pPr>
        <w:pStyle w:val="Verzeichnis2"/>
        <w:tabs>
          <w:tab w:val="right" w:leader="dot" w:pos="9627"/>
        </w:tabs>
        <w:rPr>
          <w:rFonts w:asciiTheme="minorHAnsi" w:eastAsiaTheme="minorEastAsia" w:hAnsiTheme="minorHAnsi" w:cstheme="minorBidi"/>
          <w:smallCaps w:val="0"/>
          <w:noProof/>
          <w:sz w:val="22"/>
          <w:szCs w:val="22"/>
        </w:rPr>
      </w:pPr>
      <w:hyperlink w:anchor="_Toc146879953" w:history="1">
        <w:r>
          <w:rPr>
            <w:rStyle w:val="Hyperlink"/>
            <w:noProof/>
          </w:rPr>
          <w:t>ANHANG V KRITERIEN FÜR DIE PRÜFUNG GEMÄSS ARTIKEL 15</w:t>
        </w:r>
        <w:r>
          <w:rPr>
            <w:noProof/>
            <w:webHidden/>
          </w:rPr>
          <w:tab/>
        </w:r>
        <w:r>
          <w:rPr>
            <w:noProof/>
            <w:webHidden/>
          </w:rPr>
          <w:fldChar w:fldCharType="begin"/>
        </w:r>
        <w:r>
          <w:rPr>
            <w:noProof/>
            <w:webHidden/>
          </w:rPr>
          <w:instrText xml:space="preserve"> PAGEREF _Toc146879953 \h </w:instrText>
        </w:r>
        <w:r>
          <w:rPr>
            <w:noProof/>
            <w:webHidden/>
          </w:rPr>
        </w:r>
        <w:r>
          <w:rPr>
            <w:noProof/>
            <w:webHidden/>
          </w:rPr>
          <w:fldChar w:fldCharType="separate"/>
        </w:r>
        <w:r>
          <w:rPr>
            <w:noProof/>
            <w:webHidden/>
          </w:rPr>
          <w:t>48</w:t>
        </w:r>
        <w:r>
          <w:rPr>
            <w:noProof/>
            <w:webHidden/>
          </w:rPr>
          <w:fldChar w:fldCharType="end"/>
        </w:r>
      </w:hyperlink>
    </w:p>
    <w:p>
      <w:pPr>
        <w:pStyle w:val="GesAbsatz"/>
      </w:pPr>
      <w:r>
        <w:rPr>
          <w:rFonts w:ascii="Times New Roman" w:hAnsi="Times New Roman" w:cs="Arial"/>
          <w:b/>
          <w:bCs/>
          <w:caps/>
          <w:color w:val="auto"/>
          <w:szCs w:val="17"/>
        </w:rPr>
        <w:fldChar w:fldCharType="end"/>
      </w:r>
    </w:p>
    <w:p>
      <w:pPr>
        <w:pStyle w:val="GesAbsatz"/>
        <w:rPr>
          <w:rFonts w:cs="Arial"/>
          <w:szCs w:val="17"/>
        </w:rPr>
      </w:pPr>
      <w:r>
        <w:rPr>
          <w:rFonts w:cs="Arial"/>
          <w:szCs w:val="17"/>
        </w:rPr>
        <w:t>DAS EUROPÄISCHE PARLAMENT UND DER RAT DER EUROPÄISCHEN UNION —</w:t>
      </w:r>
    </w:p>
    <w:p>
      <w:pPr>
        <w:pStyle w:val="GesAbsatz"/>
        <w:rPr>
          <w:rFonts w:cs="Arial"/>
        </w:rPr>
      </w:pPr>
      <w:r>
        <w:rPr>
          <w:rFonts w:cs="Arial"/>
        </w:rPr>
        <w:t>gestützt auf den Vertrag zur Gründung der Europäischen Union, insbesondere auf Artikel 175 Absatz 1,</w:t>
      </w:r>
    </w:p>
    <w:p>
      <w:pPr>
        <w:pStyle w:val="GesAbsatz"/>
        <w:rPr>
          <w:rFonts w:cs="Arial"/>
        </w:rPr>
      </w:pPr>
      <w:r>
        <w:rPr>
          <w:rFonts w:cs="Arial"/>
        </w:rPr>
        <w:t xml:space="preserve">auf Vorschlag der Kommission </w:t>
      </w:r>
      <w:r>
        <w:rPr>
          <w:rStyle w:val="Funotenzeichen"/>
          <w:rFonts w:cs="Arial"/>
        </w:rPr>
        <w:footnoteReference w:id="1"/>
      </w:r>
      <w:r>
        <w:rPr>
          <w:rFonts w:cs="Arial"/>
        </w:rPr>
        <w:t>,</w:t>
      </w:r>
    </w:p>
    <w:p>
      <w:pPr>
        <w:pStyle w:val="GesAbsatz"/>
        <w:rPr>
          <w:rFonts w:cs="Arial"/>
        </w:rPr>
      </w:pPr>
      <w:r>
        <w:rPr>
          <w:rFonts w:cs="Arial"/>
        </w:rPr>
        <w:t xml:space="preserve">nach Stellungnahme des Europäischen Wirtschafts- und Sozialausschusses </w:t>
      </w:r>
      <w:r>
        <w:rPr>
          <w:rStyle w:val="Funotenzeichen"/>
          <w:rFonts w:cs="Arial"/>
        </w:rPr>
        <w:footnoteReference w:id="2"/>
      </w:r>
    </w:p>
    <w:p>
      <w:pPr>
        <w:pStyle w:val="GesAbsatz"/>
        <w:rPr>
          <w:rFonts w:cs="Arial"/>
        </w:rPr>
      </w:pPr>
      <w:r>
        <w:rPr>
          <w:rFonts w:cs="Arial"/>
        </w:rPr>
        <w:t>nach Stellungnahme des Ausschusses der Regionen,</w:t>
      </w:r>
      <w:r>
        <w:rPr>
          <w:rStyle w:val="Funotenzeichen"/>
          <w:rFonts w:cs="Arial"/>
        </w:rPr>
        <w:footnoteReference w:id="3"/>
      </w:r>
    </w:p>
    <w:p>
      <w:pPr>
        <w:pStyle w:val="GesAbsatz"/>
        <w:rPr>
          <w:rFonts w:cs="Arial"/>
        </w:rPr>
      </w:pPr>
      <w:r>
        <w:rPr>
          <w:rFonts w:cs="Arial"/>
        </w:rPr>
        <w:t>gemäß dem Verfahren des Artikels 251 des Vertrags</w:t>
      </w:r>
      <w:r>
        <w:rPr>
          <w:rStyle w:val="Funotenzeichen"/>
          <w:rFonts w:cs="Arial"/>
        </w:rPr>
        <w:footnoteReference w:id="4"/>
      </w:r>
      <w:r>
        <w:rPr>
          <w:rFonts w:cs="Arial"/>
        </w:rPr>
        <w:t>,</w:t>
      </w:r>
    </w:p>
    <w:p>
      <w:pPr>
        <w:pStyle w:val="GesAbsatz"/>
        <w:rPr>
          <w:rFonts w:cs="Arial"/>
        </w:rPr>
      </w:pPr>
      <w:r>
        <w:rPr>
          <w:rFonts w:cs="Arial"/>
        </w:rPr>
        <w:t>in Erwägung nachstehender Gründe:</w:t>
      </w:r>
    </w:p>
    <w:p>
      <w:pPr>
        <w:pStyle w:val="GesAbsatz"/>
        <w:rPr>
          <w:rFonts w:cs="Arial"/>
        </w:rPr>
      </w:pPr>
      <w:r>
        <w:rPr>
          <w:rFonts w:cs="Arial"/>
          <w:szCs w:val="17"/>
        </w:rPr>
        <w:t xml:space="preserve">(1) </w:t>
      </w:r>
      <w:r>
        <w:rPr>
          <w:rFonts w:cs="Arial"/>
        </w:rPr>
        <w:t xml:space="preserve">Mit dem Grünbuch zum Handel mit Treibhausgasemissionen in der Europäischen Union wurde eine europaweite Diskussion über die Angemessenheit und das mögliche Funktionieren des Handels mit Treibhausgasemissionen innerhalb der Europäischen Union in Gang gebracht. Gegenstand des Europäischen Programms zur Klimaänderung (ECCP) waren politische Konzepte und Maßnahmen der Union im Rahmen eines </w:t>
      </w:r>
      <w:r>
        <w:rPr>
          <w:rFonts w:cs="Arial"/>
        </w:rPr>
        <w:lastRenderedPageBreak/>
        <w:t>Prozesses, der auf der Einbeziehung vieler Interessengruppen basierte, sowie ein System für den Handel mit Treibhausgasemissionszertifikaten in der Union (EU-EHS) nach dem Modell des Grünbuchs. In seinen Schlussfolgerungen vom 8. März 2001 erkannte der Rat die besondere Bedeutung des Europäischen Programms zur Klimaänderung und der Arbeiten auf der Grundlage des Grünbuchs an und unterstrich die Dringlichkeit konkreter Maßnahmen auf Gemeinschaftsebene.</w:t>
      </w:r>
    </w:p>
    <w:p>
      <w:pPr>
        <w:pStyle w:val="GesAbsatz"/>
        <w:rPr>
          <w:rFonts w:cs="Arial"/>
        </w:rPr>
      </w:pPr>
      <w:r>
        <w:rPr>
          <w:rFonts w:cs="Arial"/>
          <w:szCs w:val="17"/>
        </w:rPr>
        <w:t xml:space="preserve">(2) </w:t>
      </w:r>
      <w:r>
        <w:rPr>
          <w:rFonts w:cs="Arial"/>
        </w:rPr>
        <w:t>Im sechsten Aktionsprogramm der Union für die Umwelt, das mit der Entscheidung Nr. 1600/2002/EG des Europäischen Parlaments und des Rates</w:t>
      </w:r>
      <w:r>
        <w:rPr>
          <w:rStyle w:val="Funotenzeichen"/>
          <w:rFonts w:cs="Arial"/>
        </w:rPr>
        <w:footnoteReference w:id="5"/>
      </w:r>
      <w:r>
        <w:rPr>
          <w:rFonts w:cs="Arial"/>
        </w:rPr>
        <w:t xml:space="preserve"> eingeführt wurde, wird die Klimaänderung als vorrangiger Maßnahmenbereich definiert und die Einrichtung eines gemeinschaftsweiten Systems für den Emissionshandel bis 2005 gefordert. In dem Programm wird bekräftigt, dass die Union sich zu einer 8%igen Verringerung ihrer Treibhausgasemissionen im Zeitraum 2008-2012 gegenüber dem Stand von 1990 verpflichtet hat und dass die globalen Treibhausgasemissionen längerfristig gegenüber dem Stand von 1990 um etwa 70% gesenkt werden müssen.</w:t>
      </w:r>
    </w:p>
    <w:p>
      <w:pPr>
        <w:pStyle w:val="GesAbsatz"/>
        <w:rPr>
          <w:rFonts w:cs="Arial"/>
        </w:rPr>
      </w:pPr>
      <w:r>
        <w:rPr>
          <w:rFonts w:cs="Arial"/>
          <w:szCs w:val="17"/>
        </w:rPr>
        <w:t xml:space="preserve">(3) </w:t>
      </w:r>
      <w:r>
        <w:rPr>
          <w:rFonts w:cs="Arial"/>
        </w:rPr>
        <w:t xml:space="preserve">Das Ziel des Rahmenübereinkommens der Vereinten Nationen über Klimaänderungen, das mit dem Beschluss 94/69/EG des Rates vom 15. Dezember 1993 über den Abschluss des Rahmenübereinkommens der Vereinten Nationen über Klimaänderungen </w:t>
      </w:r>
      <w:r>
        <w:rPr>
          <w:rStyle w:val="Funotenzeichen"/>
          <w:rFonts w:cs="Arial"/>
        </w:rPr>
        <w:footnoteReference w:id="6"/>
      </w:r>
      <w:r>
        <w:rPr>
          <w:rFonts w:cs="Arial"/>
        </w:rPr>
        <w:t xml:space="preserve"> genehmigt wurde, ist letztlich die Stabilisierung der Treibhausgaskonzentrationen in der Atmosphäre auf einem Stand, der eine gefährliche vom Menschen verursachte Beeinflussung des Klimasystems verhindert.</w:t>
      </w:r>
    </w:p>
    <w:p>
      <w:pPr>
        <w:pStyle w:val="GesAbsatz"/>
        <w:rPr>
          <w:rFonts w:cs="Arial"/>
        </w:rPr>
      </w:pPr>
      <w:r>
        <w:rPr>
          <w:rFonts w:cs="Arial"/>
          <w:szCs w:val="17"/>
        </w:rPr>
        <w:t xml:space="preserve">(4) </w:t>
      </w:r>
      <w:r>
        <w:rPr>
          <w:rFonts w:cs="Arial"/>
        </w:rPr>
        <w:t xml:space="preserve">Bei Inkrafttreten des Kyoto-Protokolls, das mit der Entscheidung 2002/358/EG des Rates vom 25. April 2002 über die Genehmigung des Protokolls von Kyoto zum Rahmenübereinkommen der Vereinten Nationen über Klimaänderungen im Namen der Europäischen Union sowie die gemeinsame Erfüllung der daraus erwachsenden Verpflichtungen </w:t>
      </w:r>
      <w:r>
        <w:rPr>
          <w:rStyle w:val="Funotenzeichen"/>
          <w:rFonts w:cs="Arial"/>
        </w:rPr>
        <w:footnoteReference w:id="7"/>
      </w:r>
      <w:r>
        <w:rPr>
          <w:rFonts w:cs="Arial"/>
        </w:rPr>
        <w:t xml:space="preserve"> genehmigt wurde, werden die Union und ihre Mitgliedstaaten verpflichtet sein, ihre gemeinsamen anthropogenen Treibhausgasemissionen, die in Anhang A des Protokolls aufgeführt sind, im Zeitraum 2008-2012 gegenüber dem Stand von 1990 um 8% zu senken.</w:t>
      </w:r>
    </w:p>
    <w:p>
      <w:pPr>
        <w:pStyle w:val="GesAbsatz"/>
        <w:rPr>
          <w:rFonts w:cs="Arial"/>
        </w:rPr>
      </w:pPr>
      <w:r>
        <w:rPr>
          <w:rFonts w:cs="Arial"/>
          <w:szCs w:val="17"/>
        </w:rPr>
        <w:t xml:space="preserve">(5) </w:t>
      </w:r>
      <w:r>
        <w:rPr>
          <w:rFonts w:cs="Arial"/>
        </w:rPr>
        <w:t>Die Union und ihre Mitgliedstaaten sind übereingekommen, ihre Verpflichtungen zur Verringerung der anthropogenen Treibhausgasemissionen im Rahmen des Kyoto-Protokolls gemäß der Entscheidung 2002/358/EG gemeinsam zu erfüllen. Diese Richtlinie soll dazu beitragen, dass die Verpflichtungen der Europäischen Union und ihrer Mitgliedstaaten durch einen effizienten europäischen Markt für Treibhausgasemissionszertifikate effektiver und unter möglichst geringer Beeinträchtigung der wirtschaftlichen Entwicklung und der Beschäftigungslage erfüllt werden.</w:t>
      </w:r>
    </w:p>
    <w:p>
      <w:pPr>
        <w:pStyle w:val="GesAbsatz"/>
        <w:rPr>
          <w:rFonts w:cs="Arial"/>
        </w:rPr>
      </w:pPr>
      <w:r>
        <w:rPr>
          <w:rFonts w:cs="Arial"/>
          <w:szCs w:val="17"/>
        </w:rPr>
        <w:t xml:space="preserve">(6) </w:t>
      </w:r>
      <w:r>
        <w:rPr>
          <w:rFonts w:cs="Arial"/>
        </w:rPr>
        <w:t>Durch die Entscheidung 93/389/EWG des Rates vom 24. Juni 1993 über ein System zur Beobachtung der Emissionen von CO</w:t>
      </w:r>
      <w:r>
        <w:rPr>
          <w:rFonts w:cs="Arial"/>
          <w:szCs w:val="12"/>
          <w:vertAlign w:val="subscript"/>
        </w:rPr>
        <w:t>2</w:t>
      </w:r>
      <w:r>
        <w:rPr>
          <w:rFonts w:cs="Arial"/>
          <w:szCs w:val="12"/>
        </w:rPr>
        <w:t xml:space="preserve"> </w:t>
      </w:r>
      <w:r>
        <w:rPr>
          <w:rFonts w:cs="Arial"/>
        </w:rPr>
        <w:t>und anderen Treibhausgasen in der Union</w:t>
      </w:r>
      <w:r>
        <w:rPr>
          <w:rStyle w:val="Funotenzeichen"/>
          <w:rFonts w:cs="Arial"/>
        </w:rPr>
        <w:footnoteReference w:id="8"/>
      </w:r>
      <w:r>
        <w:rPr>
          <w:rFonts w:cs="Arial"/>
        </w:rPr>
        <w:t xml:space="preserve"> wurde ein System zur Beobachtung der Treibhausgasemissionen und zur Bewertung der Fortschritte bei der Erfüllung der Verpflichtungen im Hinblick auf diese Emissionen eingeführt. Dieses System wird es den Mitgliedstaaten erleichtern, die Gesamtmenge der zuteilbaren Zertifikate zu bestimmen.</w:t>
      </w:r>
    </w:p>
    <w:p>
      <w:pPr>
        <w:pStyle w:val="GesAbsatz"/>
        <w:rPr>
          <w:rFonts w:cs="Arial"/>
        </w:rPr>
      </w:pPr>
      <w:r>
        <w:rPr>
          <w:rFonts w:cs="Arial"/>
          <w:szCs w:val="17"/>
        </w:rPr>
        <w:t xml:space="preserve">(7) </w:t>
      </w:r>
      <w:r>
        <w:rPr>
          <w:rFonts w:cs="Arial"/>
        </w:rPr>
        <w:t>Gemeinschaftsvorschriften für die Zuteilung der Zertifikate durch die Mitgliedstaaten sind notwendig, um die Integrität des Binnenmarktes zu erhalten und Wettbewerbsverzerrungen zu vermeiden.</w:t>
      </w:r>
    </w:p>
    <w:p>
      <w:pPr>
        <w:pStyle w:val="GesAbsatz"/>
        <w:rPr>
          <w:rFonts w:cs="Arial"/>
        </w:rPr>
      </w:pPr>
      <w:r>
        <w:rPr>
          <w:rFonts w:cs="Arial"/>
          <w:szCs w:val="17"/>
        </w:rPr>
        <w:t xml:space="preserve">(8) </w:t>
      </w:r>
      <w:r>
        <w:rPr>
          <w:rFonts w:cs="Arial"/>
        </w:rPr>
        <w:t>Die Mitgliedstaaten sollten bei der Zuteilung von Zertifikaten das Potenzial bei Tätigkeiten industrieller Verfahren berücksichtigen, die Emissionen zu verringern.</w:t>
      </w:r>
    </w:p>
    <w:p>
      <w:pPr>
        <w:pStyle w:val="GesAbsatz"/>
        <w:rPr>
          <w:rFonts w:cs="Arial"/>
        </w:rPr>
      </w:pPr>
      <w:r>
        <w:rPr>
          <w:rFonts w:cs="Arial"/>
          <w:szCs w:val="17"/>
        </w:rPr>
        <w:t xml:space="preserve">(9) </w:t>
      </w:r>
      <w:r>
        <w:rPr>
          <w:rFonts w:cs="Arial"/>
        </w:rPr>
        <w:t>Die Mitgliedstaaten können vorsehen, dass Zertifikate, die für einen 2008 beginnenden Fünfjahreszeitraum gültig sind, nur an Personen für gelöschte Zertifikate entsprechend der Emissionsverringerung vergeben werden, die diese Personen in ihrem Staatsgebiet während eines 2005 beginnenden Dreijahreszeitraums erzielt haben.</w:t>
      </w:r>
    </w:p>
    <w:p>
      <w:pPr>
        <w:pStyle w:val="GesAbsatz"/>
        <w:rPr>
          <w:rFonts w:cs="Arial"/>
        </w:rPr>
      </w:pPr>
      <w:r>
        <w:rPr>
          <w:rFonts w:cs="Arial"/>
          <w:szCs w:val="17"/>
        </w:rPr>
        <w:t xml:space="preserve">(10) </w:t>
      </w:r>
      <w:r>
        <w:rPr>
          <w:rFonts w:cs="Arial"/>
        </w:rPr>
        <w:t>Beginnend mit dem genannten Fünfjahreszeitraum wird die Übertragung von Zertifikaten an andere Mitgliedstaaten mit entsprechenden Anpassungen der im Rahmen des Kyoto-Protokolls zugeteilten Mengen verknüpft.</w:t>
      </w:r>
    </w:p>
    <w:p>
      <w:pPr>
        <w:pStyle w:val="GesAbsatz"/>
        <w:rPr>
          <w:rFonts w:cs="Arial"/>
        </w:rPr>
      </w:pPr>
      <w:r>
        <w:rPr>
          <w:rFonts w:cs="Arial"/>
          <w:szCs w:val="17"/>
        </w:rPr>
        <w:t xml:space="preserve">(11) </w:t>
      </w:r>
      <w:r>
        <w:rPr>
          <w:rFonts w:cs="Arial"/>
        </w:rPr>
        <w:t>Die Mitgliedstaaten sollten sicherstellen, dass die Betreiber bestimmter Tätigkeiten eine Genehmigung zur Emission von Treibhausgasen besitzen und ihre Emissionen der für diese Tätigkeiten spezifizierten Treibhausgase überwachen und darüber Bericht erstatten.</w:t>
      </w:r>
    </w:p>
    <w:p>
      <w:pPr>
        <w:pStyle w:val="GesAbsatz"/>
        <w:rPr>
          <w:rFonts w:cs="Arial"/>
        </w:rPr>
      </w:pPr>
      <w:r>
        <w:rPr>
          <w:rFonts w:cs="Arial"/>
          <w:szCs w:val="17"/>
        </w:rPr>
        <w:t xml:space="preserve">(12) </w:t>
      </w:r>
      <w:r>
        <w:rPr>
          <w:rFonts w:cs="Arial"/>
        </w:rPr>
        <w:t>Die Mitgliedstaaten sollten Vorschriften über Sanktionen festlegen, die bei einem Verstoß gegen diese Richtlinie zu verhängen sind, und deren Durchsetzung gewährleisten. Die Sanktionen müssen wirksam, verhältnismäßig und abschreckend sein.</w:t>
      </w:r>
    </w:p>
    <w:p>
      <w:pPr>
        <w:pStyle w:val="GesAbsatz"/>
        <w:rPr>
          <w:rFonts w:cs="Arial"/>
        </w:rPr>
      </w:pPr>
      <w:r>
        <w:rPr>
          <w:rFonts w:cs="Arial"/>
          <w:szCs w:val="17"/>
        </w:rPr>
        <w:t xml:space="preserve">(13) </w:t>
      </w:r>
      <w:r>
        <w:rPr>
          <w:rFonts w:cs="Arial"/>
        </w:rPr>
        <w:t xml:space="preserve">Um Transparenz zu gewährleisten, sollte die Öffentlichkeit Zugang zu Informationen über die Zuteilung von Zertifikaten und die Ergebnisse der Überwachung von Emissionen erhalten, der nur den Beschränkungen </w:t>
      </w:r>
      <w:r>
        <w:rPr>
          <w:rFonts w:cs="Arial"/>
        </w:rPr>
        <w:lastRenderedPageBreak/>
        <w:t>gemäß der Richtlinie 2003/4/EG des Europäischen Parlaments und des Rates vom 28. Januar 2003 über den Zugang der Öffentlichkeit zu Umweltinformationen</w:t>
      </w:r>
      <w:r>
        <w:rPr>
          <w:rStyle w:val="Funotenzeichen"/>
          <w:rFonts w:cs="Arial"/>
        </w:rPr>
        <w:footnoteReference w:id="9"/>
      </w:r>
      <w:r>
        <w:rPr>
          <w:rFonts w:cs="Arial"/>
        </w:rPr>
        <w:t xml:space="preserve"> unterliegt.</w:t>
      </w:r>
    </w:p>
    <w:p>
      <w:pPr>
        <w:pStyle w:val="GesAbsatz"/>
        <w:rPr>
          <w:rFonts w:cs="Arial"/>
        </w:rPr>
      </w:pPr>
      <w:r>
        <w:rPr>
          <w:rFonts w:cs="Arial"/>
          <w:szCs w:val="17"/>
        </w:rPr>
        <w:t xml:space="preserve">(14) </w:t>
      </w:r>
      <w:r>
        <w:rPr>
          <w:rFonts w:cs="Arial"/>
        </w:rPr>
        <w:t>Die Mitgliedstaaten sollten einen Bericht über die Durchführung dieser Richtlinie vorlegen, der gemäß der Richtlinie 91/692/EWG des Rates vom 23. Dezember 1991 zur Vereinheitlichung und zweckmäßigen Gestaltung der Berichte über die Durchführung bestimmter Umweltschutzrichtlinien</w:t>
      </w:r>
      <w:r>
        <w:rPr>
          <w:rStyle w:val="Funotenzeichen"/>
          <w:rFonts w:cs="Arial"/>
        </w:rPr>
        <w:footnoteReference w:id="10"/>
      </w:r>
      <w:r>
        <w:rPr>
          <w:rFonts w:cs="Arial"/>
        </w:rPr>
        <w:t xml:space="preserve"> erstellt wird.</w:t>
      </w:r>
    </w:p>
    <w:p>
      <w:pPr>
        <w:pStyle w:val="GesAbsatz"/>
        <w:rPr>
          <w:rFonts w:cs="Arial"/>
        </w:rPr>
      </w:pPr>
      <w:r>
        <w:rPr>
          <w:rFonts w:cs="Arial"/>
          <w:szCs w:val="17"/>
        </w:rPr>
        <w:t xml:space="preserve">(15) </w:t>
      </w:r>
      <w:r>
        <w:rPr>
          <w:rFonts w:cs="Arial"/>
        </w:rPr>
        <w:t>Die Einbeziehung zusätzlicher Anlagen in das EU-EHS sollte gemäß den Bestimmungen dieser Richtlinie erfolgen, wodurch Emissionen von anderen Treibhausgasen als Kohlendioxid, etwa bei Tätigkeiten der Aluminium- und Chemieindustrie, durch das EU-EHS abgedeckt werden können.</w:t>
      </w:r>
    </w:p>
    <w:p>
      <w:pPr>
        <w:pStyle w:val="GesAbsatz"/>
        <w:rPr>
          <w:rFonts w:cs="Arial"/>
        </w:rPr>
      </w:pPr>
      <w:r>
        <w:rPr>
          <w:rFonts w:cs="Arial"/>
          <w:szCs w:val="17"/>
        </w:rPr>
        <w:t xml:space="preserve">(16) </w:t>
      </w:r>
      <w:r>
        <w:rPr>
          <w:rFonts w:cs="Arial"/>
        </w:rPr>
        <w:t>Diese Richtlinie sollte die Mitgliedstaaten nicht daran hindern, nationale Handelssysteme zur Regelung der Treibhausgasemissionen aus anderen als den in Anhang I aufgeführten oder in das EU-EHS einbezogenen Tätigkeiten oder aus Anlagen, die vorübergehend aus dem EU-EHS ausgeschlossen sind, beizubehalten oder einzuführen.</w:t>
      </w:r>
    </w:p>
    <w:p>
      <w:pPr>
        <w:pStyle w:val="GesAbsatz"/>
        <w:rPr>
          <w:rFonts w:cs="Arial"/>
        </w:rPr>
      </w:pPr>
      <w:r>
        <w:rPr>
          <w:rFonts w:cs="Arial"/>
          <w:szCs w:val="17"/>
        </w:rPr>
        <w:t xml:space="preserve">(17) </w:t>
      </w:r>
      <w:r>
        <w:rPr>
          <w:rFonts w:cs="Arial"/>
        </w:rPr>
        <w:t>Die Mitgliedstaaten können als Vertragsparteien des Protokolls von Kyoto am internationalen Emissionshandel mit den anderen in Anhang B dieses Protokolls aufgeführten Parteien teilnehmen.</w:t>
      </w:r>
    </w:p>
    <w:p>
      <w:pPr>
        <w:pStyle w:val="GesAbsatz"/>
        <w:rPr>
          <w:rFonts w:cs="Arial"/>
        </w:rPr>
      </w:pPr>
      <w:r>
        <w:rPr>
          <w:rFonts w:cs="Arial"/>
          <w:szCs w:val="17"/>
        </w:rPr>
        <w:t xml:space="preserve">(18) </w:t>
      </w:r>
      <w:r>
        <w:rPr>
          <w:rFonts w:cs="Arial"/>
        </w:rPr>
        <w:t>Die Herstellung einer Verbindung zwischen dem EU-EHS und den Systemen für den Handel mit Treibhausgasemissionen in Drittländern wird zu einer höheren Kosteneffizienz bei der Verwirklichung der Emissionsverringerungsziele der Union führen, die in der Entscheidung 2002/358/EG über die gemeinsame Erfüllung der Verpflichtungen vorgesehen sind.</w:t>
      </w:r>
    </w:p>
    <w:p>
      <w:pPr>
        <w:pStyle w:val="GesAbsatz"/>
        <w:rPr>
          <w:rFonts w:cs="Arial"/>
        </w:rPr>
      </w:pPr>
      <w:r>
        <w:rPr>
          <w:rFonts w:cs="Arial"/>
          <w:szCs w:val="17"/>
        </w:rPr>
        <w:t xml:space="preserve">(19) </w:t>
      </w:r>
      <w:r>
        <w:rPr>
          <w:rFonts w:cs="Arial"/>
        </w:rPr>
        <w:t>Projektbezogene Mechanismen, einschließlich des Joint Implementation (JI) und des Clean Development Mechanism (CDM), sind wichtig für die Verwirklichung des Zieles, sowohl die Emissionen von Treibhausgasen weltweit zu verringern als auch die Kosteneffizienz des EU-EHS zu verbessern. Im Einklang mit den einschlägigen Bestimmungen des Kyoto-Protokolls und der Vereinbarungen von Marrakesch sollte der Einsatz der Mechanismen als Begleitmaßnahme zu innerstaatlichen Maßnahmen erfolgen, und innerstaatliche Maßnahmen werden somit ein wichtiges Element der unternommenen Bemühungen sein.</w:t>
      </w:r>
    </w:p>
    <w:p>
      <w:pPr>
        <w:pStyle w:val="GesAbsatz"/>
        <w:rPr>
          <w:rFonts w:cs="Arial"/>
        </w:rPr>
      </w:pPr>
      <w:r>
        <w:rPr>
          <w:rFonts w:cs="Arial"/>
          <w:szCs w:val="17"/>
        </w:rPr>
        <w:t xml:space="preserve">(20) </w:t>
      </w:r>
      <w:r>
        <w:rPr>
          <w:rFonts w:cs="Arial"/>
        </w:rPr>
        <w:t>Diese Richtlinie wird den Einsatz energieeffizienterer Technologien, einschließlich der Kraft-Wärme-Kopplungstechnologie, mit geringeren Emissionen je Produktionseinheit fördern, wogegen die zukünftige Richtlinie über die Förderung einer am Nutzwärmebedarf orientierten Kraft-Wärme-Kopplung im Energiebinnenmarkt speziell die Kraft-Wärme-Kopplungstechnologie fördern wird.</w:t>
      </w:r>
    </w:p>
    <w:p>
      <w:pPr>
        <w:pStyle w:val="GesAbsatz"/>
        <w:rPr>
          <w:rFonts w:cs="Arial"/>
        </w:rPr>
      </w:pPr>
      <w:r>
        <w:rPr>
          <w:rFonts w:cs="Arial"/>
          <w:szCs w:val="17"/>
        </w:rPr>
        <w:t xml:space="preserve">(21) </w:t>
      </w:r>
      <w:r>
        <w:rPr>
          <w:rFonts w:cs="Arial"/>
        </w:rPr>
        <w:t>Mit der Richtlinie 96/61/EG des Rates vom 24. September 1996 über die integrierte Vermeidung und Verminderung der Umweltverschmutzung</w:t>
      </w:r>
      <w:r>
        <w:rPr>
          <w:rStyle w:val="Funotenzeichen"/>
          <w:rFonts w:cs="Arial"/>
        </w:rPr>
        <w:footnoteReference w:id="11"/>
      </w:r>
      <w:r>
        <w:rPr>
          <w:rFonts w:cs="Arial"/>
        </w:rPr>
        <w:t xml:space="preserve"> wurde eine allgemeine Regelung zur Vermeidung und Verminderung der Umweltverschmutzung eingeführt, in deren Rahmen auch Genehmigungen für Treibhausgasemissionen erteilt werden können. Die Richtlinie 96/61/EG sollte dahin gehend geändert werden, dass - unbeschadet der sonstigen in jener Richtlinie geregelten Anforderungen - keine Emissionsgrenzwerte für direkte Emissionen von Treibhausgasen aus Anlagen, die unter die vorliegende Richtlinie fallen, vorgeschrieben werden und dass es den Mitgliedstaaten freisteht, keine Energieeffizienzanforderungen in Bezug auf Verbrennungseinheiten oder andere Einheiten am Standort, die Kohlendioxid ausstoßen, festzulegen.</w:t>
      </w:r>
    </w:p>
    <w:p>
      <w:pPr>
        <w:pStyle w:val="GesAbsatz"/>
        <w:rPr>
          <w:rFonts w:cs="Arial"/>
        </w:rPr>
      </w:pPr>
      <w:r>
        <w:rPr>
          <w:rFonts w:cs="Arial"/>
          <w:szCs w:val="17"/>
        </w:rPr>
        <w:t xml:space="preserve">(22) </w:t>
      </w:r>
      <w:r>
        <w:rPr>
          <w:rFonts w:cs="Arial"/>
        </w:rPr>
        <w:t>Diese Richtlinie ist mit dem Rahmenübereinkommen der Vereinten Nationen über Klimaänderungen und dem Kyoto-Protokoll vereinbar. Sie sollte anhand der diesbezüglichen Entwicklungen sowie zur Berücksichtigung der Erfahrungen mit ihrer Durchführung und der bei der Überwachung der Treibhausgasemissionen erzielten Fortschritte überprüft werden.</w:t>
      </w:r>
    </w:p>
    <w:p>
      <w:pPr>
        <w:pStyle w:val="GesAbsatz"/>
        <w:rPr>
          <w:rFonts w:cs="Arial"/>
        </w:rPr>
      </w:pPr>
      <w:r>
        <w:rPr>
          <w:rFonts w:cs="Arial"/>
          <w:szCs w:val="17"/>
        </w:rPr>
        <w:t xml:space="preserve">(23) </w:t>
      </w:r>
      <w:r>
        <w:rPr>
          <w:rFonts w:cs="Arial"/>
        </w:rPr>
        <w:t>Der Emissionszertifikatehandel sollte Teil eines umfassenden und kohärenten Politik- und Maßnahmenpakets sein, das auf Ebene der Mitgliedstaaten und der Union durchgeführt wird. Unbeschadet der Anwendung der Artikel 87 und 88 des Vertrags können die Mitgliedstaaten bei Tätigkeiten, die unter das EU-EHS fallen, die Auswirkungen von ordnungs- und steuerpolitischen sowie sonstigen Maßnahmen prüfen, die auf die gleichen Ziele gerichtet sind. Bei der Überprüfung der Richtlinie sollte berücksichtigt werden, in welchem Umfang diese Ziele erreicht wurden.</w:t>
      </w:r>
    </w:p>
    <w:p>
      <w:pPr>
        <w:pStyle w:val="GesAbsatz"/>
        <w:rPr>
          <w:rFonts w:cs="Arial"/>
        </w:rPr>
      </w:pPr>
      <w:r>
        <w:rPr>
          <w:rFonts w:cs="Arial"/>
          <w:szCs w:val="17"/>
        </w:rPr>
        <w:t xml:space="preserve">(24) </w:t>
      </w:r>
      <w:r>
        <w:rPr>
          <w:rFonts w:cs="Arial"/>
        </w:rPr>
        <w:t>Die Erhebung von Steuern kann im Rahmen der einzelstaatlichen Politik ein Instrument darstellen, mit dem sich Emissionen aus Anlagen, die vorübergehend ausgeschlossen sind, begrenzen lassen.</w:t>
      </w:r>
    </w:p>
    <w:p>
      <w:pPr>
        <w:pStyle w:val="GesAbsatz"/>
        <w:rPr>
          <w:rFonts w:cs="Arial"/>
        </w:rPr>
      </w:pPr>
      <w:r>
        <w:rPr>
          <w:rFonts w:cs="Arial"/>
          <w:szCs w:val="17"/>
        </w:rPr>
        <w:t xml:space="preserve">(25) </w:t>
      </w:r>
      <w:r>
        <w:rPr>
          <w:rFonts w:cs="Arial"/>
        </w:rPr>
        <w:t>Politik und Maßnahmen sollten auf Ebene der Mitgliedstaaten und der Union in allen Wirtschaftssektoren der Europäischen Union, nicht nur in den Sektoren Industrie und Energie, durchgeführt werden, um zu erheblichen Emissionsverringerungen zu gelangen. Die Kommission sollte insbesondere Politik und Maßnahmen auf Gemeinschaftsebene in Betracht ziehen, damit der Verkehrssektor einen wesentlichen Beitrag dazu leistet, dass die Union und ihre Mitgliedstaaten ihren Klimaschutzverpflichtungen gemäß dem Kyoto-Protokoll nachkommen können.</w:t>
      </w:r>
    </w:p>
    <w:p>
      <w:pPr>
        <w:pStyle w:val="GesAbsatz"/>
        <w:rPr>
          <w:rFonts w:cs="Arial"/>
        </w:rPr>
      </w:pPr>
      <w:r>
        <w:rPr>
          <w:rFonts w:cs="Arial"/>
          <w:szCs w:val="17"/>
        </w:rPr>
        <w:lastRenderedPageBreak/>
        <w:t xml:space="preserve">(26) </w:t>
      </w:r>
      <w:r>
        <w:rPr>
          <w:rFonts w:cs="Arial"/>
        </w:rPr>
        <w:t>Ungeachtet des vielfältigen Potenzials marktgestützter Mechanismen sollte die Strategie der Europäischen Union zur Bekämpfung der Klimaänderung auf der Ausgewogenheit zwischen dem EU-EHS und anderen Arten gemeinschaftlicher, einzelstaatlicher und internationaler Maßnahmen beruhen.</w:t>
      </w:r>
    </w:p>
    <w:p>
      <w:pPr>
        <w:pStyle w:val="GesAbsatz"/>
        <w:rPr>
          <w:rFonts w:cs="Arial"/>
        </w:rPr>
      </w:pPr>
      <w:r>
        <w:rPr>
          <w:rFonts w:cs="Arial"/>
          <w:szCs w:val="17"/>
        </w:rPr>
        <w:t xml:space="preserve">(27) </w:t>
      </w:r>
      <w:r>
        <w:rPr>
          <w:rFonts w:cs="Arial"/>
        </w:rPr>
        <w:t>Diese Richtlinie steht in Einklang mit den Grundrechten und befolgt die insbesondere in der Charta der Grundrechte der Europäischen Union anerkannten Prinzipien.</w:t>
      </w:r>
    </w:p>
    <w:p>
      <w:pPr>
        <w:pStyle w:val="GesAbsatz"/>
        <w:rPr>
          <w:rFonts w:cs="Arial"/>
        </w:rPr>
      </w:pPr>
      <w:r>
        <w:rPr>
          <w:rFonts w:cs="Arial"/>
          <w:szCs w:val="17"/>
        </w:rPr>
        <w:t xml:space="preserve">(28) </w:t>
      </w:r>
      <w:r>
        <w:rPr>
          <w:rFonts w:cs="Arial"/>
        </w:rPr>
        <w:t>Die zur Durchführung dieser Richtlinie erforderlichen Maßnahmen sollten gemäß dem Beschluss 1999/468/EG des Rates vom 28. Juni 1999 zur Festlegung der Modalitäten für die Ausübung der der Kommission übertragenen Durchführungsbefugnisse</w:t>
      </w:r>
      <w:r>
        <w:rPr>
          <w:rStyle w:val="Funotenzeichen"/>
          <w:rFonts w:cs="Arial"/>
        </w:rPr>
        <w:footnoteReference w:id="12"/>
      </w:r>
      <w:r>
        <w:rPr>
          <w:rFonts w:cs="Arial"/>
        </w:rPr>
        <w:t xml:space="preserve"> erlassen werden.</w:t>
      </w:r>
    </w:p>
    <w:p>
      <w:pPr>
        <w:pStyle w:val="GesAbsatz"/>
        <w:rPr>
          <w:rFonts w:cs="Arial"/>
        </w:rPr>
      </w:pPr>
      <w:r>
        <w:rPr>
          <w:rFonts w:cs="Arial"/>
          <w:szCs w:val="17"/>
        </w:rPr>
        <w:t xml:space="preserve">(29) </w:t>
      </w:r>
      <w:r>
        <w:rPr>
          <w:rFonts w:cs="Arial"/>
        </w:rPr>
        <w:t>Da die Kriterien 1, 5 und 7 des Anhangs III nicht im Komitologieverfahren geändert werden können, sollten Änderungen hinsichtlich Zeiträumen nach 2012 ausschließlich im Mitentscheidungsverfahren erfolgen.</w:t>
      </w:r>
    </w:p>
    <w:p>
      <w:pPr>
        <w:pStyle w:val="GesAbsatz"/>
        <w:rPr>
          <w:rFonts w:cs="Arial"/>
        </w:rPr>
      </w:pPr>
      <w:r>
        <w:rPr>
          <w:rFonts w:cs="Arial"/>
          <w:szCs w:val="17"/>
        </w:rPr>
        <w:t xml:space="preserve">(30) </w:t>
      </w:r>
      <w:r>
        <w:rPr>
          <w:rFonts w:cs="Arial"/>
        </w:rPr>
        <w:t>Da das Ziel der beabsichtigten Maßnahme, nämlich die Schaffung eines EU-EHS, durch individuelles Handeln der Mitgliedstaaten nicht ausreichend erreicht werden kann und daher wegen des Umfangs und der Auswirkungen der beabsichtigten Maßnahme besser auf Gemeinschaftsebene zu erreichen ist, kann die Union im Einklang mit dem in Artikel 5 des Vertrags niedergelegten Subsidiaritätsprinzip tätig werden. Gemäß dem in demselben Artikel genannten Verhältnismäßigkeitsprinzip geht diese Richtlinie nicht über das für die Erreichung dieses Ziels erforderliche Maß hinaus —</w:t>
      </w:r>
    </w:p>
    <w:p>
      <w:pPr>
        <w:pStyle w:val="GesAbsatz"/>
        <w:rPr>
          <w:rFonts w:cs="Arial"/>
          <w:szCs w:val="17"/>
        </w:rPr>
      </w:pPr>
      <w:r>
        <w:rPr>
          <w:rFonts w:cs="Arial"/>
          <w:szCs w:val="17"/>
        </w:rPr>
        <w:t>HABEN FOLGENDE RICHTLINIE ERLASSEN:</w:t>
      </w:r>
    </w:p>
    <w:p>
      <w:pPr>
        <w:pStyle w:val="berschrift2"/>
      </w:pPr>
      <w:bookmarkStart w:id="2" w:name="_Toc146879881"/>
      <w:r>
        <w:t>KAPITEL I</w:t>
      </w:r>
      <w:r>
        <w:br/>
        <w:t>ALLGEMEINE BESTIMMUNGEN</w:t>
      </w:r>
      <w:bookmarkEnd w:id="2"/>
    </w:p>
    <w:p>
      <w:pPr>
        <w:pStyle w:val="berschrift2"/>
      </w:pPr>
      <w:bookmarkStart w:id="3" w:name="_Toc146879882"/>
      <w:r>
        <w:t>Artikel 1</w:t>
      </w:r>
      <w:r>
        <w:br/>
        <w:t>Gegenstand</w:t>
      </w:r>
      <w:bookmarkEnd w:id="3"/>
    </w:p>
    <w:p>
      <w:pPr>
        <w:pStyle w:val="GesAbsatz"/>
        <w:rPr>
          <w:rFonts w:cs="Arial"/>
        </w:rPr>
      </w:pPr>
      <w:r>
        <w:rPr>
          <w:rFonts w:cs="Arial"/>
        </w:rPr>
        <w:t>Mit dieser Richtlinie wird ein System für den Handel mit Treibhausgasemissionszertifikaten in der Union (nachstehend „EU-EHS“ genannt) geschaffen, um auf kosteneffiziente und wirtschaftlich effiziente Weise auf eine Verringerung von Treibhausgasemissionen hinzuwirken.</w:t>
      </w:r>
    </w:p>
    <w:p>
      <w:pPr>
        <w:pStyle w:val="GesAbsatz"/>
        <w:rPr>
          <w:rFonts w:cs="Arial"/>
        </w:rPr>
      </w:pPr>
      <w:r>
        <w:rPr>
          <w:rFonts w:cs="Arial"/>
        </w:rPr>
        <w:t>Diese Richtlinie schreibt auch eine stärkere Reduzierung von Treibhausgasemissionen vor, um die Verringerungsraten zu erreichen, die aus wissenschaftlicher Sicht zur Vermeidung gefährlicher Klimaänderungen erforderlich sind.</w:t>
      </w:r>
    </w:p>
    <w:p>
      <w:pPr>
        <w:pStyle w:val="GesAbsatz"/>
        <w:rPr>
          <w:rFonts w:cs="Arial"/>
        </w:rPr>
      </w:pPr>
      <w:r>
        <w:rPr>
          <w:rFonts w:cs="Arial"/>
        </w:rPr>
        <w:t>Diese Richtlinie regelt auch die Bewertung und Umsetzung der Verpflichtung der Union zu einer Reduzierung der Treibhausgasemissionen von mehr als 20% im Anschluss an den Abschluss eines internationalen Abkommens über den Klimawandel durch die Union, das zu höheren als den in Artikel 9 vorgesehenen Reduktionen von Treibhausgasemissionen führt, was der auf der Tagung des Europäischen Rates im März 2007 eingegangenen Verpflichtung zu einer Reduzierung von 30% entspricht.</w:t>
      </w:r>
    </w:p>
    <w:p>
      <w:pPr>
        <w:pStyle w:val="berschrift2"/>
      </w:pPr>
      <w:bookmarkStart w:id="4" w:name="_Toc146879883"/>
      <w:r>
        <w:t>Artikel 2</w:t>
      </w:r>
      <w:r>
        <w:br/>
        <w:t>Geltungsbereich</w:t>
      </w:r>
      <w:bookmarkEnd w:id="4"/>
    </w:p>
    <w:p>
      <w:pPr>
        <w:pStyle w:val="GesAbsatz"/>
        <w:rPr>
          <w:rFonts w:cs="Arial"/>
        </w:rPr>
      </w:pPr>
      <w:r>
        <w:rPr>
          <w:rFonts w:cs="Arial"/>
        </w:rPr>
        <w:t>(1) Diese Richtlinie gilt für die Emissionen aus den in Anhang I aufgeführten Tätigkeiten und die Emissionen der in Anhang II aufgeführten Treibhausgase.</w:t>
      </w:r>
    </w:p>
    <w:p>
      <w:pPr>
        <w:pStyle w:val="GesAbsatz"/>
        <w:rPr>
          <w:rFonts w:cs="Arial"/>
        </w:rPr>
      </w:pPr>
      <w:r>
        <w:rPr>
          <w:rFonts w:cs="Arial"/>
        </w:rPr>
        <w:t>(2) Diese Richtlinie gilt unbeschadet der Anforderungen gemäß Richtlinie 96/61/EG.</w:t>
      </w:r>
    </w:p>
    <w:p>
      <w:pPr>
        <w:pStyle w:val="GesAbsatz"/>
        <w:rPr>
          <w:rFonts w:cs="Arial"/>
        </w:rPr>
      </w:pPr>
      <w:r>
        <w:rPr>
          <w:rFonts w:cs="Arial"/>
        </w:rPr>
        <w:t>(3) Die Anwendung dieser Richtlinie auf den Flughafen von Gibraltar erfolgt unbeschadet der Rechtsstandpunkte des Königreichs Spanien und des Vereinigten Königreichs in der strittigen Frage der Souveränität über das Gebiet, auf dem sich der Flughafen befindet.</w:t>
      </w:r>
    </w:p>
    <w:p>
      <w:pPr>
        <w:pStyle w:val="berschrift2"/>
      </w:pPr>
      <w:bookmarkStart w:id="5" w:name="_Toc146879884"/>
      <w:r>
        <w:t>Artikel 3</w:t>
      </w:r>
      <w:r>
        <w:br/>
        <w:t>Begriffsbestimmungen</w:t>
      </w:r>
      <w:bookmarkEnd w:id="5"/>
    </w:p>
    <w:p>
      <w:pPr>
        <w:pStyle w:val="GesAbsatz"/>
        <w:rPr>
          <w:rFonts w:cs="Arial"/>
        </w:rPr>
      </w:pPr>
      <w:r>
        <w:rPr>
          <w:rFonts w:cs="Arial"/>
        </w:rPr>
        <w:t>Im Sinne dieser Richtlinie bezeichnet der Ausdruck</w:t>
      </w:r>
    </w:p>
    <w:p>
      <w:pPr>
        <w:pStyle w:val="GesAbsatz"/>
        <w:ind w:left="426" w:hanging="426"/>
        <w:rPr>
          <w:rFonts w:cs="Arial"/>
        </w:rPr>
      </w:pPr>
      <w:r>
        <w:rPr>
          <w:rFonts w:cs="Arial"/>
        </w:rPr>
        <w:t>a)</w:t>
      </w:r>
      <w:r>
        <w:rPr>
          <w:rFonts w:cs="Arial"/>
        </w:rPr>
        <w:tab/>
        <w:t>„Zertifikat“ das Zertifikat, das zur Emission von einer Tonne Kohlendioxidäquivalent in einem bestimmten Zeitraum berechtigt; es gilt nur für die Erfüllung der Anforderungen dieser Richtlinie und kann nach Maßgabe dieser Richtlinie übertragen werden;</w:t>
      </w:r>
    </w:p>
    <w:p>
      <w:pPr>
        <w:pStyle w:val="GesAbsatz"/>
        <w:ind w:left="426" w:hanging="426"/>
        <w:rPr>
          <w:rFonts w:cs="Arial"/>
        </w:rPr>
      </w:pPr>
      <w:r>
        <w:rPr>
          <w:rFonts w:cs="Arial"/>
        </w:rPr>
        <w:t>b)</w:t>
      </w:r>
      <w:r>
        <w:rPr>
          <w:rFonts w:cs="Arial"/>
        </w:rPr>
        <w:tab/>
        <w:t>„Emissionen“ die Freisetzung von Treibhausgasen in die Atmosphäre aus Quellen in einer Anlage und die Freisetzung der in Anhang I in Verbindung mit der Tätigkeitskategorie „Luftverkehr“ aufgeführten Gase aus einem Flugzeug, das eine derartige Tätigkeit durchführt;</w:t>
      </w:r>
    </w:p>
    <w:p>
      <w:pPr>
        <w:pStyle w:val="GesAbsatz"/>
        <w:ind w:left="426" w:hanging="426"/>
        <w:rPr>
          <w:rFonts w:cs="Arial"/>
        </w:rPr>
      </w:pPr>
      <w:r>
        <w:rPr>
          <w:rFonts w:cs="Arial"/>
        </w:rPr>
        <w:lastRenderedPageBreak/>
        <w:t>c)</w:t>
      </w:r>
      <w:r>
        <w:rPr>
          <w:rFonts w:cs="Arial"/>
        </w:rPr>
        <w:tab/>
        <w:t>„Treibhausgase“ die in Anhang II aufgeführten Gase und sonstige natürliche oder anthropogene gasförmige Bestandteile der Atmosphäre, welche infrarote Strahlung aufnehmen und wieder abgeben;</w:t>
      </w:r>
    </w:p>
    <w:p>
      <w:pPr>
        <w:pStyle w:val="GesAbsatz"/>
        <w:ind w:left="426" w:hanging="426"/>
        <w:rPr>
          <w:rFonts w:cs="Arial"/>
        </w:rPr>
      </w:pPr>
      <w:r>
        <w:rPr>
          <w:rFonts w:cs="Arial"/>
        </w:rPr>
        <w:t>d)</w:t>
      </w:r>
      <w:r>
        <w:rPr>
          <w:rFonts w:cs="Arial"/>
        </w:rPr>
        <w:tab/>
        <w:t>„Genehmigung zur Emission von Treibhausgasen“ eine Genehmigung, die gemäß den Artikeln 5 und 6 erteilt wird;</w:t>
      </w:r>
    </w:p>
    <w:p>
      <w:pPr>
        <w:pStyle w:val="GesAbsatz"/>
        <w:ind w:left="426" w:hanging="426"/>
        <w:rPr>
          <w:rFonts w:cs="Arial"/>
        </w:rPr>
      </w:pPr>
      <w:r>
        <w:rPr>
          <w:rFonts w:cs="Arial"/>
        </w:rPr>
        <w:t>e)</w:t>
      </w:r>
      <w:r>
        <w:rPr>
          <w:rFonts w:cs="Arial"/>
        </w:rPr>
        <w:tab/>
        <w:t>„Anlage“ eine ortsfeste technische Einheit, in der eine oder mehrere der in Anhang I genannten Tätigkeiten sowie andere unmittelbar damit verbundene Tätigkeiten durchgeführt werden, die mit den an diesem Standort durchgeführten Tätigkeiten in einem technischen Zusammenhangstehen und die Auswirkungen auf die Emissionen und die Umweltverschmutzung haben können;</w:t>
      </w:r>
    </w:p>
    <w:p>
      <w:pPr>
        <w:pStyle w:val="GesAbsatz"/>
        <w:ind w:left="426" w:hanging="426"/>
        <w:rPr>
          <w:rFonts w:cs="Arial"/>
        </w:rPr>
      </w:pPr>
      <w:r>
        <w:rPr>
          <w:rFonts w:cs="Arial"/>
        </w:rPr>
        <w:t>f)</w:t>
      </w:r>
      <w:r>
        <w:rPr>
          <w:rFonts w:cs="Arial"/>
        </w:rPr>
        <w:tab/>
        <w:t>„Betreiber“ eine Person, die eine Anlage betreibt oder besitzt oder der - sofern in den nationalen Rechtsvorschriften vorgesehen - die ausschlaggebende wirtschaftliche Verfügungsmacht über den technischen Betrieb einer Anlage übertragen worden ist;</w:t>
      </w:r>
    </w:p>
    <w:p>
      <w:pPr>
        <w:pStyle w:val="GesAbsatz"/>
        <w:ind w:left="426" w:hanging="426"/>
        <w:rPr>
          <w:rFonts w:cs="Arial"/>
        </w:rPr>
      </w:pPr>
      <w:r>
        <w:rPr>
          <w:rFonts w:cs="Arial"/>
        </w:rPr>
        <w:t>g)</w:t>
      </w:r>
      <w:r>
        <w:rPr>
          <w:rFonts w:cs="Arial"/>
        </w:rPr>
        <w:tab/>
        <w:t>„Person“ jede natürliche oder juristische Person;</w:t>
      </w:r>
    </w:p>
    <w:p>
      <w:pPr>
        <w:pStyle w:val="GesAbsatz"/>
        <w:ind w:left="426" w:hanging="426"/>
        <w:rPr>
          <w:rFonts w:cs="Arial"/>
        </w:rPr>
      </w:pPr>
      <w:r>
        <w:rPr>
          <w:rFonts w:cs="Arial"/>
        </w:rPr>
        <w:t>h)</w:t>
      </w:r>
      <w:r>
        <w:rPr>
          <w:rFonts w:cs="Arial"/>
        </w:rPr>
        <w:tab/>
        <w:t xml:space="preserve">„neuer Marktteilnehmer“ eine Anlage, die eine oder mehrere der in Anhang I aufgeführten Tätigkeiten durchführt und der zum ersten Mal in dem Zeitraum, der drei Monate vor dem Termin für die Einreichung des Verzeichnisses gemäß Artikel 11 Absatz 1 beginnt und drei Monate vor dem Termin für die Einreichung des nächsten Verzeichnisses gemäß demselben Artikel endet, eine Genehmigung zur Emission von Treibhausgasen erteilt wurde; </w:t>
      </w:r>
    </w:p>
    <w:p>
      <w:pPr>
        <w:pStyle w:val="GesAbsatz"/>
        <w:ind w:left="426" w:hanging="426"/>
      </w:pPr>
      <w:r>
        <w:rPr>
          <w:rFonts w:cs="Arial"/>
        </w:rPr>
        <w:t>i)</w:t>
      </w:r>
      <w:r>
        <w:rPr>
          <w:rFonts w:cs="Arial"/>
        </w:rPr>
        <w:tab/>
        <w:t>„Ö</w:t>
      </w:r>
      <w:r>
        <w:t>ffentlichkeit“ eine oder mehrere Personen sowie gemäß den nationalen Rechtsvorschriften oder der nationalen Praxis Zusammenschlüsse, Organisationen oder Gruppen von Personen;</w:t>
      </w:r>
    </w:p>
    <w:p>
      <w:pPr>
        <w:pStyle w:val="GesAbsatz"/>
        <w:ind w:left="426" w:hanging="426"/>
        <w:rPr>
          <w:rFonts w:cs="Arial"/>
        </w:rPr>
      </w:pPr>
      <w:r>
        <w:t>j)</w:t>
      </w:r>
      <w:r>
        <w:tab/>
        <w:t>„Tonne Kohlendioxidäquivalent“ eine metrische Tonne Kohlendioxid (CO</w:t>
      </w:r>
      <w:r>
        <w:rPr>
          <w:vertAlign w:val="subscript"/>
        </w:rPr>
        <w:t>2</w:t>
      </w:r>
      <w:r>
        <w:t xml:space="preserve">) oder eine Menge eines anderen </w:t>
      </w:r>
      <w:r>
        <w:rPr>
          <w:rFonts w:cs="Arial"/>
        </w:rPr>
        <w:t>in Anhang II aufgeführten Treibhausgases mit einem äquivalenten Erderwärmungspotenzial.</w:t>
      </w:r>
    </w:p>
    <w:p>
      <w:pPr>
        <w:pStyle w:val="GesAbsatz"/>
        <w:ind w:left="426" w:hanging="426"/>
      </w:pPr>
      <w:r>
        <w:t>k)</w:t>
      </w:r>
      <w:r>
        <w:tab/>
        <w:t>„Anlage-I-Vertragspartei“: eine gemäß Artikel 1 Absatz 7 des Kyoto-Protokolls in Anlage I des Rahmenübereinkommens der Vereinten Nationen über Klimaänderungen (UNFCCC) aufgeführte Vertragspartei, die das Kyoto-Protokoll ratifiziert hat;</w:t>
      </w:r>
    </w:p>
    <w:p>
      <w:pPr>
        <w:pStyle w:val="GesAbsatz"/>
        <w:ind w:left="426" w:hanging="426"/>
      </w:pPr>
      <w:r>
        <w:t>l)</w:t>
      </w:r>
      <w:r>
        <w:tab/>
        <w:t>„Projektmaßnahme“: eine Projektmaßnahme, die von einer oder mehreren Anlage-I-Vertragspartei(en) gemäß Artikel 6 bzw. Artikel 12 des Kyoto-Protokolls und den im Rahmen des UNFCCC oder des Kyoto-Protokolls gefassten Beschlüssen gebilligt wurde;</w:t>
      </w:r>
    </w:p>
    <w:p>
      <w:pPr>
        <w:pStyle w:val="GesAbsatz"/>
        <w:ind w:left="426" w:hanging="426"/>
      </w:pPr>
      <w:r>
        <w:t>n)</w:t>
      </w:r>
      <w:r>
        <w:tab/>
        <w:t>„Emissionsreduktionseinheit“ oder „ERU“: eine nach Artikel 6 des Kyoto-Protokolls und den im Rahmen des UNFCCC oder des Kyoto-Protokolls gefassten Beschlüssen ausgestellte Einheit;</w:t>
      </w:r>
    </w:p>
    <w:p>
      <w:pPr>
        <w:pStyle w:val="GesAbsatz"/>
        <w:ind w:left="426" w:hanging="426"/>
      </w:pPr>
      <w:r>
        <w:t>n)</w:t>
      </w:r>
      <w:r>
        <w:tab/>
        <w:t>„zertifizierte Emissionsreduktion“ oder „CER“: eine nach Artikel 12 des Kyoto-Protokolls und den im Rahmen des UNFCCC oder des Kyoto-Protokolls getroffenen Entscheidungen ausgestellte Einheit.</w:t>
      </w:r>
    </w:p>
    <w:p>
      <w:pPr>
        <w:pStyle w:val="GesAbsatz"/>
        <w:ind w:left="426" w:hanging="426"/>
      </w:pPr>
      <w:r>
        <w:t>o)</w:t>
      </w:r>
      <w:r>
        <w:tab/>
        <w:t>„Luftfahrzeugbetreiber“ die Person, die ein Flugzeug zu dem Zeitpunkt betreibt, zu dem eine Luftverkehrstätigkeit im Sinne des Anhangs I durchgeführt wird, oder, wenn die Identität der Person unbekannt ist oder vom Flugzeugeigentümer nicht angegeben wird, den Eigentümer des Flugzeugs;</w:t>
      </w:r>
    </w:p>
    <w:p>
      <w:pPr>
        <w:pStyle w:val="GesAbsatz"/>
        <w:ind w:left="426" w:hanging="426"/>
      </w:pPr>
      <w:r>
        <w:t>p)</w:t>
      </w:r>
      <w:r>
        <w:tab/>
        <w:t>„gewerblicher Luftverkehrsbetreiber“ den Betreiber, der gegen Entgelt Linien- oder Bedarfsflugverkehrsleistungen für die Öffentlichkeit erbringt, bei denen er Fluggäste, Fracht oder Post befördert;</w:t>
      </w:r>
    </w:p>
    <w:p>
      <w:pPr>
        <w:pStyle w:val="GesAbsatz"/>
        <w:ind w:left="426" w:hanging="426"/>
      </w:pPr>
      <w:r>
        <w:t>q)</w:t>
      </w:r>
      <w:r>
        <w:tab/>
        <w:t>„Verwaltungsmitgliedstaat“ den Mitgliedstaat, der für die Verwaltung des EU-EHS in Bezug auf einen Luftfahrzeugbetreiber gemäß Artikel 18a zuständig ist;</w:t>
      </w:r>
    </w:p>
    <w:p>
      <w:pPr>
        <w:pStyle w:val="GesAbsatz"/>
        <w:ind w:left="426" w:hanging="426"/>
      </w:pPr>
      <w:r>
        <w:t>r)</w:t>
      </w:r>
      <w:r>
        <w:tab/>
        <w:t>„zugeordnete Luftverkehrsemissionen“ Emissionen aus Flugzeugen, die im Rahmen der Luftverkehrstätigkeiten im Sinne des Anhangs I eingesetzt werden und die von einem Flugplatz im Hoheitsgebiet eines Mitgliedstaats starten oder aus einem Drittland kommend auf einem Flugplatz im Hoheitsgebiet eines Mitgliedstaats landen;</w:t>
      </w:r>
    </w:p>
    <w:p>
      <w:pPr>
        <w:pStyle w:val="GesAbsatz"/>
        <w:ind w:left="426" w:hanging="426"/>
      </w:pPr>
      <w:r>
        <w:t>s)</w:t>
      </w:r>
      <w:r>
        <w:tab/>
        <w:t>„historische Luftverkehrsemissionen“ den durchschnittlichen Mittelwert der jährlichen Emissionen von Luftfahrzeugen, die eine Luftverkehrstätigkeit im Sinne des Anhangs I durchführen, in den Kalenderjahren 2004, 2005 und 2006.</w:t>
      </w:r>
    </w:p>
    <w:p>
      <w:pPr>
        <w:pStyle w:val="GesAbsatz"/>
        <w:ind w:left="426" w:hanging="426"/>
      </w:pPr>
      <w:r>
        <w:t>t)</w:t>
      </w:r>
      <w:r>
        <w:tab/>
        <w:t>„Verbrennung“ die Oxidierung von Brennstoffen ungeachtet der Art und Weise, auf welche die Wärme, der Strom oder die mechanische Arbeit, die in diesem Verfahren erzeugt werden, genutzt wird sowie alle sonstigen unmittelbar damit zusammenhängenden Tätigkeiten einschließlich der Abgasreinigung;</w:t>
      </w:r>
    </w:p>
    <w:p>
      <w:pPr>
        <w:pStyle w:val="GesAbsatz"/>
        <w:ind w:left="426" w:hanging="426"/>
      </w:pPr>
      <w:r>
        <w:t>u)</w:t>
      </w:r>
      <w:r>
        <w:tab/>
        <w:t>„Stromerzeuger“ eine Anlage, die am 1. Januar 2005 oder danach Strom zum Verkauf an Dritte erzeugt hat und in der keine anderen Tätigkeiten gemäß Anhang I als die ‚Verbrennung von Brennstoffen‘ durchgeführt werden.</w:t>
      </w:r>
    </w:p>
    <w:p>
      <w:pPr>
        <w:pStyle w:val="GesAbsatz"/>
        <w:ind w:left="426" w:hanging="426"/>
      </w:pPr>
      <w:r>
        <w:t>v)</w:t>
      </w:r>
      <w:r>
        <w:tab/>
        <w:t>Nicht-CO</w:t>
      </w:r>
      <w:r>
        <w:rPr>
          <w:vertAlign w:val="subscript"/>
        </w:rPr>
        <w:t>2</w:t>
      </w:r>
      <w:r>
        <w:t>-Effekte aus dem Luftverkehr“ die Auswirkungen auf das Klima, die sich aus der Freisetzung von Stickstoffoxiden (NO</w:t>
      </w:r>
      <w:r>
        <w:rPr>
          <w:vertAlign w:val="subscript"/>
        </w:rPr>
        <w:t>x</w:t>
      </w:r>
      <w:r>
        <w:t>), Rußpartikeln und oxidierten Schwefelverbindungen während der Verbrennung von Kraftstoff ergeben, und die Auswirkungen von Wasserdampf, einschließlich Kondensstreifen, durch Luftfahrzeuge, die eine Luftverkehrstätigkeit gemäß Anhang I durchführen.</w:t>
      </w:r>
    </w:p>
    <w:p>
      <w:pPr>
        <w:pStyle w:val="berschrift2"/>
      </w:pPr>
      <w:bookmarkStart w:id="6" w:name="_Toc146879885"/>
      <w:r>
        <w:lastRenderedPageBreak/>
        <w:t>KAPITEL II</w:t>
      </w:r>
      <w:r>
        <w:br/>
        <w:t>LUFTVERKEHR</w:t>
      </w:r>
      <w:bookmarkEnd w:id="6"/>
    </w:p>
    <w:p>
      <w:pPr>
        <w:pStyle w:val="berschrift2"/>
      </w:pPr>
      <w:bookmarkStart w:id="7" w:name="_Toc146879886"/>
      <w:r>
        <w:t>Artikel 3a</w:t>
      </w:r>
      <w:r>
        <w:br/>
        <w:t>Anwendungsbereich</w:t>
      </w:r>
      <w:bookmarkEnd w:id="7"/>
    </w:p>
    <w:p>
      <w:pPr>
        <w:pStyle w:val="GesAbsatz"/>
        <w:tabs>
          <w:tab w:val="clear" w:pos="425"/>
        </w:tabs>
      </w:pPr>
      <w:r>
        <w:t>Die Bestimmungen in diesem Kapitel gelten für die Zuteilung und Vergabe von Zertifikaten im Zusammenhang mit den in Anhang I aufgelisteten Luftverkehrstätigkeiten.</w:t>
      </w:r>
    </w:p>
    <w:p>
      <w:pPr>
        <w:pStyle w:val="berschrift2"/>
      </w:pPr>
      <w:bookmarkStart w:id="8" w:name="_Toc146879887"/>
      <w:r>
        <w:t>Artikel 3b</w:t>
      </w:r>
      <w:r>
        <w:br/>
        <w:t>Luftverkehrstätigkeiten</w:t>
      </w:r>
      <w:bookmarkEnd w:id="8"/>
    </w:p>
    <w:p>
      <w:pPr>
        <w:pStyle w:val="GesAbsatz"/>
        <w:tabs>
          <w:tab w:val="clear" w:pos="425"/>
          <w:tab w:val="left" w:pos="426"/>
        </w:tabs>
      </w:pPr>
      <w:r>
        <w:t>Bis zum 2. August 2009 legt die Kommission nach dem in Artikel 23 Absatz 2 genannten Regelungsverfahren Leitlinien für die genaue Auslegung der in Anhang I aufgeführten Luftverkehrstätigkeiten fest.</w:t>
      </w:r>
    </w:p>
    <w:p>
      <w:pPr>
        <w:pStyle w:val="berschrift2"/>
      </w:pPr>
      <w:bookmarkStart w:id="9" w:name="_Toc146879888"/>
      <w:r>
        <w:t>Artikel 3c</w:t>
      </w:r>
      <w:r>
        <w:br/>
        <w:t>Gesamtmenge der Zertifikate für den Luftverkehr</w:t>
      </w:r>
      <w:bookmarkEnd w:id="9"/>
    </w:p>
    <w:p>
      <w:pPr>
        <w:pStyle w:val="GesAbsatz"/>
        <w:tabs>
          <w:tab w:val="clear" w:pos="425"/>
          <w:tab w:val="left" w:pos="426"/>
        </w:tabs>
      </w:pPr>
      <w:r>
        <w:t>(1) Für die Handelsperiode vom 1. Januar 2012 bis 31. Dezember 2012 entspricht die Gesamtmenge der den Luftfahrzeugbetreibern zuzuteilenden Zertifikate 97% der historischen Luftverkehrsemissionen.</w:t>
      </w:r>
    </w:p>
    <w:p>
      <w:pPr>
        <w:pStyle w:val="GesAbsatz"/>
        <w:tabs>
          <w:tab w:val="clear" w:pos="425"/>
          <w:tab w:val="left" w:pos="426"/>
        </w:tabs>
      </w:pPr>
      <w:r>
        <w:t>(2) (weggefallen)</w:t>
      </w:r>
    </w:p>
    <w:p>
      <w:pPr>
        <w:pStyle w:val="GesAbsatz"/>
        <w:tabs>
          <w:tab w:val="clear" w:pos="425"/>
          <w:tab w:val="left" w:pos="426"/>
        </w:tabs>
      </w:pPr>
      <w:r>
        <w:t>Dieser Prozentsatz kann im Rahmen der allgemeinen Überprüfung dieser Richtlinie geändert werden.</w:t>
      </w:r>
    </w:p>
    <w:p>
      <w:pPr>
        <w:pStyle w:val="GesAbsatz"/>
        <w:tabs>
          <w:tab w:val="clear" w:pos="425"/>
          <w:tab w:val="left" w:pos="426"/>
        </w:tabs>
      </w:pPr>
      <w:r>
        <w:t>(3) Die Kommission überprüft die Gesamtmenge der den Luftfahrzeugbetreibern zuzuteilenden Zertifikate gemäß Artikel 30 Absatz 4.</w:t>
      </w:r>
    </w:p>
    <w:p>
      <w:pPr>
        <w:pStyle w:val="GesAbsatz"/>
        <w:tabs>
          <w:tab w:val="clear" w:pos="425"/>
          <w:tab w:val="left" w:pos="426"/>
        </w:tabs>
      </w:pPr>
      <w:r>
        <w:t>(3a) Jede Zuteilung von Zertifikaten für Luftverkehrstätigkeiten von und nach Flugplätzen in Ländern außerhalb des Europäischen Wirtschaftsraums (EWR) unterliegt nach dem 31. Dezember 2023 einer Überprüfung gemäß Artikel 28b.</w:t>
      </w:r>
    </w:p>
    <w:p>
      <w:pPr>
        <w:pStyle w:val="GesAbsatz"/>
        <w:tabs>
          <w:tab w:val="clear" w:pos="425"/>
          <w:tab w:val="left" w:pos="426"/>
        </w:tabs>
      </w:pPr>
      <w:r>
        <w:t>(4) Bis zum 2. August 2009 entscheidet die Kommission anhand der besten verfügbaren Daten, einschließlich Schätzungen auf der Grundlage von Angaben über das tatsächliche Verkehrsaufkommen, über die historischen Luftverkehrsemissionen. Diese Entscheidung wird in dem in Artikel 23 Absatz 1 genannten Ausschuss erörtert.</w:t>
      </w:r>
    </w:p>
    <w:p>
      <w:pPr>
        <w:pStyle w:val="GesAbsatz"/>
        <w:tabs>
          <w:tab w:val="clear" w:pos="425"/>
          <w:tab w:val="left" w:pos="426"/>
        </w:tabs>
      </w:pPr>
      <w:r>
        <w:t>(5) Die Kommission bestimmt die Gesamtmenge der den Luftfahrzeugbetreibern für das Jahr 2024 zuzuteilenden Zertifikate auf der Grundlage der den Luftfahrzeugbetreibern, die im Jahr 2023 Luftverkehrstätigkeiten nach Anhang I durchgeführt haben, insgesamt zugeteilten Zertifikate — gekürzt um den linearen Kürzungsfaktor nach Artikel 9 — und veröffentlicht diese Menge sowie die Menge der Zertifikate, die 2024 gemäß den Vorschriften für die kostenlose Zuteilung, die vor den durch die Richtlinie (EU) 2023/958 des Europäischen Parlaments und des Rates</w:t>
      </w:r>
      <w:r>
        <w:rPr>
          <w:rStyle w:val="Funotenzeichen"/>
        </w:rPr>
        <w:footnoteReference w:id="13"/>
      </w:r>
      <w:r>
        <w:t xml:space="preserve"> eingeführten Änderungen in Kraft waren, kostenlos zugeteilt worden wären.</w:t>
      </w:r>
    </w:p>
    <w:p>
      <w:pPr>
        <w:pStyle w:val="GesAbsatz"/>
      </w:pPr>
      <w:r>
        <w:t>(6) Im Hinblick auf gewerbliche Luftfahrzeugbetreiber werden für den Zeitraum vom 1. Januar 2024 bis zum 31. Dezember 2030 höchstens 20 Mio. der Gesamtmenge der Zertifikate nach Absatz 5 auf transparente, gleiche und diskriminierungsfreie Weise für die Verwendung nachhaltiger Flugkraftstoffe und anderer Flugkraftstoffe, die nicht aus fossilen Kraftstoffen stammen, und die gemäß einer Verordnung zur Gewährleistung gleicher Wettbewerbsbedingungen für einen nachhaltigen Luftverkehr für die Erreichung des Mindestanteils an nachhaltigen Flugkraftstoffen, den Luftfahrzeugbetreibern an Flughäfen der Union von Anbietern von Flugkraftstoffen zur Verfügung gestellte Flugkraftstoffe gemäß der genannten Verordnung enthalten müssen, gezählt werden, für Unterschallflüge reserviert, für die Zertifikate im Einklang mit Artikel 12 Absatz 3 der vorliegenden Richtlinie abzugeben sind. Kann ein zulässiger Flugkraftstoff an einem Flughafen nicht physisch einem bestimmten Flug zugeordnet werden, so stehen die gemäß diesem Unterabsatz reservierten Zertifikate für an diesem Flughafen vertankte zulässige Flugkraftstoffe zur Verfügung, die im Verhältnis zu den Emissionen aus Flügen des Luftfahrzeugbetreibers von diesem Flughafen stehen, für die Zertifikate gemäß Artikel 12 Absatz 3 dieser Richtlinie abgegeben werden müssen.</w:t>
      </w:r>
    </w:p>
    <w:p>
      <w:pPr>
        <w:pStyle w:val="GesAbsatz"/>
        <w:tabs>
          <w:tab w:val="clear" w:pos="425"/>
          <w:tab w:val="left" w:pos="426"/>
        </w:tabs>
      </w:pPr>
      <w:r>
        <w:t>Die gemäß Unterabsatz 1 des vorliegenden Absatzes reservierten Zertifikate werden von den Mitgliedstaaten zugeteilt, um den Preisunterschied zwischen der Verwendung von fossilem Kerosin und der Verwendung der einschlägigen zulässigen Flugkraftstoffe ganz oder teilweise auszugleichen, wobei Anreize aus dem CO</w:t>
      </w:r>
      <w:r>
        <w:rPr>
          <w:vertAlign w:val="subscript"/>
        </w:rPr>
        <w:t>2</w:t>
      </w:r>
      <w:r>
        <w:t xml:space="preserve">-Preis und den harmonisierten Mindeststeuerbeträgen für fossile Kraftstoffe zu berücksichtigen sind. Bei der Berechnung dieses Preisunterschieds berücksichtigt die Kommission den von der Agentur der Europäischen Union für Flugsicherheit entsprechend einer Verordnung zur Gewährleistung gleicher Wettbewerbsbedingungen für einen nachhaltigen Luftverkehr veröffentlichten technischen Bericht. Die Mitgliedstaaten stellen sicher, dass </w:t>
      </w:r>
      <w:r>
        <w:lastRenderedPageBreak/>
        <w:t>die Finanzierung im Rahmen dieses Absatzes auf eine Art und Weise sichtbar ist, die mit den in Artikel 30m Absatz 1 Buchstaben a und b dieser Richtlinie genannten Anforderungen im Einklang steht</w:t>
      </w:r>
    </w:p>
    <w:p>
      <w:pPr>
        <w:pStyle w:val="GesAbsatz"/>
        <w:tabs>
          <w:tab w:val="clear" w:pos="425"/>
          <w:tab w:val="left" w:pos="426"/>
        </w:tabs>
      </w:pPr>
      <w:r>
        <w:t>Die gemäß dem vorliegenden Absatz zugeteilten Zertifikate decken Folgendes ab:</w:t>
      </w:r>
    </w:p>
    <w:p>
      <w:pPr>
        <w:pStyle w:val="GesAbsatz"/>
        <w:ind w:left="426" w:hanging="426"/>
      </w:pPr>
      <w:r>
        <w:t>a)</w:t>
      </w:r>
      <w:r>
        <w:tab/>
        <w:t>70 % des verbleibenden Preisunterschieds zwischen der Verwendung von fossilem Kerosin und Wasserstoff aus erneuerbaren Energiequellen sowie fortschrittlichen Biokraftstoffen im Sinne von Artikel 2 Absatz 2 Nummer 34 der Richtlinie (EU) 2018/2001 des Europäischen Parlaments und des Rates</w:t>
      </w:r>
      <w:r>
        <w:rPr>
          <w:rStyle w:val="Funotenzeichen"/>
        </w:rPr>
        <w:footnoteReference w:id="14"/>
      </w:r>
      <w:r>
        <w:t>, für die der Emissionsfaktor gemäß Anhang IV oder dem nach Artikel 14 der vorliegenden Richtlinie erlassenen Durchführungsrechtsakt null ist;</w:t>
      </w:r>
    </w:p>
    <w:p>
      <w:pPr>
        <w:pStyle w:val="GesAbsatz"/>
        <w:ind w:left="426" w:hanging="426"/>
      </w:pPr>
      <w:r>
        <w:t>b)</w:t>
      </w:r>
      <w:r>
        <w:tab/>
        <w:t>95 % des verbleibenden Preisunterschieds zwischen der Verwendung von fossilem Kerosin und erneuerbaren Kraftstoffen nicht biogenen Ursprungs im Einklang mit Artikel 25 der Richtlinie (EU) 2018/2001, die im Luftverkehr verwendet werden und für die der Emissionsfaktor gemäß Anhang IV oder dem nach Artikel 14 der vorliegenden Richtlinie erlassenen Durchführungsrechtsakt null ist;</w:t>
      </w:r>
    </w:p>
    <w:p>
      <w:pPr>
        <w:pStyle w:val="GesAbsatz"/>
        <w:ind w:left="426" w:hanging="426"/>
      </w:pPr>
      <w:r>
        <w:t>c)</w:t>
      </w:r>
      <w:r>
        <w:tab/>
        <w:t>100 % des verbleibenden Preisunterschieds zwischen der Verwendung von fossilem Kerosin und jeglichem zulässigen Flugkraftstoff, der nicht aus fossilen Kraftstoffen gemäß Unterabsatz 1 dieses Absatzes gewonnen wird, auf Flughäfen auf Inseln mit einer Fläche von weniger als 10 000 km2 und ohne Straßen- oder Schienenverbindung zum Festland, auf Flughäfen, die nicht groß genug sind, um als Flughäfen der Union gemäß einer Verordnung zur Gewährleistung gleicher Wettbewerbsbedingungen für einen nachhaltigen Luftverkehr definiert zu werden, und auf Flughäfen in einem Gebiet in äußerster Randlage;</w:t>
      </w:r>
    </w:p>
    <w:p>
      <w:pPr>
        <w:pStyle w:val="GesAbsatz"/>
        <w:tabs>
          <w:tab w:val="clear" w:pos="425"/>
          <w:tab w:val="left" w:pos="426"/>
        </w:tabs>
        <w:ind w:left="426" w:hanging="426"/>
      </w:pPr>
      <w:r>
        <w:t>d)</w:t>
      </w:r>
      <w:r>
        <w:tab/>
        <w:t>in anderen als den unter den Buchstaben a, b und c genannten Fällen 50 % des verbleibenden Preisunterschieds zwischen der Verwendung von fossilem Kerosin und einem beliebigen der unter Unterabsatz 1 dieses Absatzes fallenden zulässigen Flugkraftstoffe, die nicht aus fossilen Kraftstoffen gewonnen werden.</w:t>
      </w:r>
    </w:p>
    <w:p>
      <w:pPr>
        <w:pStyle w:val="GesAbsatz"/>
      </w:pPr>
      <w:r>
        <w:t xml:space="preserve">Bei der Zuteilung von Zertifikaten gemäß dem vorliegenden Absatz kann eine mögliche Unterstützung im Rahmen anderer Regelungen auf nationaler Ebene berücksichtigt werden. Gewerbliche Luftfahrzeugbetreiber können jährlich eine Zuteilung von Zertifikaten auf der Grundlage der Menge der in diesem Absatz genannten zulässigen Flugkraftstoffe beantragen, die auf Flügen verwendet werden, für die zwischen dem 1. Januar 2024 und dem 31. Dezember 2030 Zertifikate gemäß Artikel 12 Absatz 3 abzugeben sind, ausgenommen Flüge, für die diese Anforderung gemäß Artikel 28a Absatz 1 als erfüllt gilt. Ist die Nachfrage nach Zertifikaten für die Verwendung dieser Kraftstoffe in einem bestimmten Jahr höher als die Verfügbarkeit von Zertifikaten, so wird die Menge der Zertifikate für alle von der Zuteilung betroffenen Luftfahrzeugbetreiber einheitlich für das besagte Jahr verringert. </w:t>
      </w:r>
    </w:p>
    <w:p>
      <w:pPr>
        <w:pStyle w:val="GesAbsatz"/>
      </w:pPr>
      <w:r>
        <w:t>Die Kommission veröffentlicht im Amtsblatt der Europäischen Union jährlich Einzelheiten über die durchschnittliche Kostendifferenz zwischen fossilem Kerosin unter Berücksichtigung von Anreizen aus dem CO</w:t>
      </w:r>
      <w:r>
        <w:rPr>
          <w:vertAlign w:val="subscript"/>
        </w:rPr>
        <w:t>2</w:t>
      </w:r>
      <w:r>
        <w:t>-Preis und den harmonisierten Mindeststeuerbeträgen für fossile Kraftstoffe und den einschlägigen zulässigen Flugkraftstoffen für das Vorjahr.</w:t>
      </w:r>
    </w:p>
    <w:p>
      <w:pPr>
        <w:pStyle w:val="GesAbsatz"/>
        <w:tabs>
          <w:tab w:val="clear" w:pos="425"/>
          <w:tab w:val="left" w:pos="426"/>
        </w:tabs>
      </w:pPr>
      <w:r>
        <w:t>Die Kommission ist befugt, gemäß Artikel 23 delegierte Rechtsakte zur Ergänzung dieser Richtlinie durch die Festlegung detaillierter Vorschriften für die jährliche Berechnung der Kostendifferenz nach Unterabsatz 6 dieses Absatzes, für die Zuteilung von Zertifikaten für die Verwendung der in Unterabsatz 1 dieses Absatzes genannten Kraftstoffe und für die Berechnung der Treibhausgasemissionen, die durch die Verwendung von Kraftstoffen eingespart wurden, wie gemäß dem nach Artikel 14 Absatz 1 erlassenen Durchführungsrechtsakt berichtet, und durch die Festlegung der Vorkehrungen für die Berücksichtigung von Anreizen aus dem Kohlenstoffpreis und harmonisierten Mindeststeuerbeträgen für fossile Kraftstoffe zu erlassen.</w:t>
      </w:r>
    </w:p>
    <w:p>
      <w:pPr>
        <w:pStyle w:val="GesAbsatz"/>
      </w:pPr>
      <w:r>
        <w:t>Bis zum 1. Januar 2028 führt die Kommission eine Bewertung der Anwendung des vorliegenden Absatzes durch und übermittelt die Ergebnisse dieser Bewertung im Rahmen eines Berichts zeitnah dem Europäischen Parlament und dem Rat. Dem Bericht kann gegebenenfalls ein Legislativvorschlag zur Zuteilung einer zahlenmäßig und zeitlich begrenzten Menge von Zertifikaten bis zum 31. Dezember 2034 beigefügt werden, um weitere Anreize für die Verwendung der in Unterabsatz 1 des vorliegenden Absatzes genannten Kraftstoffe zu schaffen, insbesondere für die Verwendung erneuerbarer Kraftstoffe nicht biogenen Ursprungs im Einklang mit Artikel 25 der Richtlinie (EU) 2018/2001, die im Luftverkehr verwendet werden und für die der Emissionsfaktor gemäß Anhang IV oder gemäß dem nach Artikel 14 der vorliegenden Richtlinie erlassenen Durchführungsrechtsakt null ist.</w:t>
      </w:r>
    </w:p>
    <w:p>
      <w:pPr>
        <w:pStyle w:val="GesAbsatz"/>
        <w:tabs>
          <w:tab w:val="clear" w:pos="425"/>
          <w:tab w:val="left" w:pos="426"/>
        </w:tabs>
      </w:pPr>
      <w:r>
        <w:t>Ab dem 1. Januar 2028 bewertet die Kommission die Anwendung dieses Absatzes in dem Jahresbericht, den sie gemäß Artikel 10 Absatz 5 vorzulegen hat.</w:t>
      </w:r>
    </w:p>
    <w:p>
      <w:pPr>
        <w:pStyle w:val="GesAbsatz"/>
      </w:pPr>
      <w:r>
        <w:t xml:space="preserve">(7) Bei Flügen, die von einem Flugplatz im EWR abgehen und an einem Flugplatz im EWR, in der Schweiz oder im Vereinigten Königreich ankommen, und die 2023 nicht unter das EU-EHS fielen, wird die Gesamtmenge der den Luftfahrzeugbetreibern zuzuteilenden Zertifikate um die Höhe der Zuteilungen, einschließlich </w:t>
      </w:r>
      <w:r>
        <w:lastRenderedPageBreak/>
        <w:t>kostenloser Zuteilungen und Versteigerungen, erhöht, die vorgenommen worden wären, wenn sie in jenem Jahr unter das EU-EHS gefallen wären, gekürzt um den linearen Kürzungsfaktor nach Artikel 9.</w:t>
      </w:r>
    </w:p>
    <w:p>
      <w:pPr>
        <w:pStyle w:val="GesAbsatz"/>
        <w:tabs>
          <w:tab w:val="clear" w:pos="425"/>
          <w:tab w:val="left" w:pos="426"/>
        </w:tabs>
      </w:pPr>
      <w:r>
        <w:t>(8) Abweichend von Artikel 12 Absatz 3, Artikel 14 Absatz 3 und Artikel 16 betrachten die Mitgliedstaaten die in diesen Bestimmungen festgelegten Anforderungen als erfüllt und ergreifen gegenüber Luftfahrzeugbetreibern keine Maßnahmen in Bezug auf Emissionen, die bis zum 31. Dezember 2030 bei Flügen zwischen einem Flugplatz in einem Gebiet in äußerster Randlage eines Mitgliedstaats und einem Flugplatz in demselben Mitgliedstaat, einschließlich eines anderen Flugplatzes in demselben Gebiet in äußerster Randlage oder in einem anderen Gebiet in äußerster Randlage desselben Mitgliedstaats, entstehen.</w:t>
      </w:r>
    </w:p>
    <w:p>
      <w:pPr>
        <w:pStyle w:val="berschrift2"/>
      </w:pPr>
      <w:bookmarkStart w:id="10" w:name="_Toc146879889"/>
      <w:r>
        <w:t>Artikel 3d</w:t>
      </w:r>
      <w:r>
        <w:br/>
        <w:t>Methode der Zuteilung von Zertifikaten für den Luftverkehr durch Versteigerung</w:t>
      </w:r>
      <w:bookmarkEnd w:id="10"/>
    </w:p>
    <w:p>
      <w:pPr>
        <w:pStyle w:val="GesAbsatz"/>
      </w:pPr>
      <w:r>
        <w:t>(1) In den Jahren 2024 und 2025 werden 15 % der Zertifikate gemäß Artikel 3c Absätze 5 und 7 sowie 25 % im Jahr 2024 bzw. 50 % im Jahr 2025 der verbleibenden 85 % dieser Zertifikate, die kostenlos zugeteilt worden wären, versteigert, mit Ausnahme der Mengen an Zertifikaten gemäß Artikel 3c Absatz 6 und Artikel 10a Absatz 8 Unterabsatz 4. Die für diese Jahre verbleibenden Zertifikate werden kostenlos zugeteilt.</w:t>
      </w:r>
    </w:p>
    <w:p>
      <w:pPr>
        <w:pStyle w:val="GesAbsatz"/>
        <w:tabs>
          <w:tab w:val="clear" w:pos="425"/>
          <w:tab w:val="left" w:pos="426"/>
        </w:tabs>
      </w:pPr>
      <w:r>
        <w:t>Ab dem 1. Januar 2026 wird die gesamte Menge an Zertifikaten, die in jenem Jahr kostenlos zugeteilt worden wäre, versteigert, mit Ausnahme der Menge an Zertifikaten gemäß Artikel 3c Absatz 6 und Artikel 10a Absatz 8 Unterabsatz 4.</w:t>
      </w:r>
    </w:p>
    <w:p>
      <w:pPr>
        <w:pStyle w:val="GesAbsatz"/>
        <w:tabs>
          <w:tab w:val="clear" w:pos="425"/>
          <w:tab w:val="left" w:pos="426"/>
        </w:tabs>
      </w:pPr>
      <w:r>
        <w:t>(1a) Zertifikate, die kostenlos zugeteilt werden, werden Luftfahrzeugbetreibern im Verhältnis zu ihrem Anteil an den für 2023 berichteten geprüften Emissionen aus Luftverkehrstätigkeiten zugeteilt. Bei dieser Berechnung werden auch die geprüften Emissionen aus Luftverkehrstätigkeiten berücksichtigt, die für Flüge berichtet werden, die erst ab dem 1. Januar 2024 unter das EU-EHS fallen. Bis zum 30. Juni des betreffenden Jahres vergeben die zuständigen Behörden die Zertifikate, die für das betreffende Jahr kostenlos zugeteilt werden.</w:t>
      </w:r>
    </w:p>
    <w:p>
      <w:pPr>
        <w:pStyle w:val="GesAbsatz"/>
        <w:tabs>
          <w:tab w:val="clear" w:pos="425"/>
          <w:tab w:val="left" w:pos="426"/>
        </w:tabs>
      </w:pPr>
      <w:r>
        <w:t>(2) (weggefallen)</w:t>
      </w:r>
    </w:p>
    <w:p>
      <w:pPr>
        <w:pStyle w:val="GesAbsatz"/>
      </w:pPr>
      <w:r>
        <w:t>(3) Der Kommission wird die Befugnis übertragen, zur Ergänzung dieser Richtlinie gemäß Artikel 23 delegierte Rechtsakte zu erlassen, die die genauen Vorkehrungen für die Versteigerung von Luftverkehrszertifikaten gemäß den Absätzen 1 und 1a des vorliegenden Artikels durch die Mitgliedstaaten ergänzt und die genauen Vorkehrungen der Versteigerungen regelt, die für die Übertragung eines Teils der Einkünfte aus solchen Versteigerungen als Eigenmittel gemäß Artikel 311 Absatz 3 des Vertrags über die Arbeitsweise der Europäischen Union (AEUV) auf den Gesamthaushaltsplan der Union erforderlich sind. Die Menge der von den einzelnen Mitgliedstaaten in jeder Handelsperiode zu versteigernden Zertifikate entspricht dem Anteil dieses Mitgliedstaats an den gesamten Luftverkehrsemissionen, wie sie allen Mitgliedstaaten für das Bezugsjahr zugeordnet und gemäß Artikel 14 Absatz 3 gemeldet sowie gemäß Artikel 15 überprüft wurden. Für jede Handelsperiode gemäß Artikel 13 gilt als Bezugsjahr das Kalenderjahr, das 24 Monate vor Beginn der Handelsperiode, auf die sich die Versteigerung bezieht, endet. Die delegierten Rechtsakte müssen sicherstellen, dass die in Artikel 10 Absatz 4 Unterabsatz 1 dargelegten Grundsätze eingehalten werden.</w:t>
      </w:r>
    </w:p>
    <w:p>
      <w:pPr>
        <w:pStyle w:val="GesAbsatz"/>
      </w:pPr>
      <w:r>
        <w:t>(4) Die Mitgliedstaaten bestimmen die Verwendung der Einkünfte aus der Versteigerung von Zertifikaten, die unter dieses Kapitel fallen, mit Ausnahme der als Eigenmittel nach Artikel 311 Absatz 3 AEUV geltenden Einkünfte, die in den Gesamthaushaltsplan der Union eingestellt werden. Die Mitgliedstaaten verwenden die Einkünfte aus der Versteigerung von Zertifikaten oder den entsprechenden finanziellen Gegenwert dieser Einkünfte nach Artikel 10 Absatz 3 dieser Richtlinie.</w:t>
      </w:r>
    </w:p>
    <w:p>
      <w:pPr>
        <w:pStyle w:val="GesAbsatz"/>
      </w:pPr>
      <w:r>
        <w:t>(5) Die der Kommission gemäß dieser Richtlinie übermittelten Informationen entbinden die Mitgliedstaaten nicht von der Unterrichtungspflicht des Artikels 88 Absatz 3 des Vertrags.</w:t>
      </w:r>
    </w:p>
    <w:p>
      <w:pPr>
        <w:pStyle w:val="berschrift2"/>
      </w:pPr>
      <w:bookmarkStart w:id="11" w:name="_Toc146879890"/>
      <w:r>
        <w:t>Artikel 3e</w:t>
      </w:r>
      <w:r>
        <w:br/>
        <w:t>(weggefallen)</w:t>
      </w:r>
      <w:bookmarkEnd w:id="11"/>
    </w:p>
    <w:p>
      <w:pPr>
        <w:pStyle w:val="berschrift2"/>
      </w:pPr>
      <w:bookmarkStart w:id="12" w:name="_Toc146879891"/>
      <w:r>
        <w:t>Artikel 3f</w:t>
      </w:r>
      <w:r>
        <w:br/>
        <w:t>(weggefallen)</w:t>
      </w:r>
      <w:bookmarkEnd w:id="12"/>
    </w:p>
    <w:p>
      <w:pPr>
        <w:pStyle w:val="berschrift2"/>
      </w:pPr>
      <w:bookmarkStart w:id="13" w:name="_Toc146879892"/>
      <w:r>
        <w:t>Artikel 3g</w:t>
      </w:r>
      <w:r>
        <w:br/>
        <w:t>Überwachungs- und Berichterstattungspläne</w:t>
      </w:r>
      <w:bookmarkEnd w:id="13"/>
    </w:p>
    <w:p>
      <w:pPr>
        <w:pStyle w:val="GesAbsatz"/>
        <w:tabs>
          <w:tab w:val="clear" w:pos="425"/>
          <w:tab w:val="left" w:pos="426"/>
        </w:tabs>
      </w:pPr>
      <w:r>
        <w:t>Die Verwaltungsmitgliedstaaten gewährleisten, dass jeder Luftfahrzeugbetreiber der zuständigen Behörde dieses Mitgliedstaats einen Überwachungsplan übermittelt, in dem Maßnahmen zur Überwachung und Berichterstattung hinsichtlich der Emissionen und der Tonnenkilometerangaben für die Zwecke eines Antrags nach Artikel 3e enthalten sind, und dass diese Pläne von der zuständigen Behörde gemäß der Rechtsakte nach Artikel 14 gebilligt werden.</w:t>
      </w:r>
    </w:p>
    <w:p>
      <w:pPr>
        <w:pStyle w:val="berschrift2"/>
      </w:pPr>
      <w:bookmarkStart w:id="14" w:name="_Toc146879893"/>
      <w:r>
        <w:lastRenderedPageBreak/>
        <w:t>KAPITEL III</w:t>
      </w:r>
      <w:r>
        <w:br/>
        <w:t>ORTSFESTE ANLAGEN</w:t>
      </w:r>
      <w:bookmarkEnd w:id="14"/>
    </w:p>
    <w:p>
      <w:pPr>
        <w:pStyle w:val="berschrift2"/>
      </w:pPr>
      <w:bookmarkStart w:id="15" w:name="_Toc146879894"/>
      <w:r>
        <w:t>Artikel 3h</w:t>
      </w:r>
      <w:r>
        <w:br/>
        <w:t>Geltungsbereich</w:t>
      </w:r>
      <w:bookmarkEnd w:id="15"/>
    </w:p>
    <w:p>
      <w:pPr>
        <w:pStyle w:val="GesAbsatz"/>
        <w:tabs>
          <w:tab w:val="clear" w:pos="425"/>
          <w:tab w:val="left" w:pos="426"/>
        </w:tabs>
      </w:pPr>
      <w:r>
        <w:t>Die Bestimmungen dieses Kapitels gelten für Genehmigungen zur Emission von Treibhausgasen und die Zuteilung und Vergabe von Zertifikaten im Zusammenhang mit den in Anhang I aufgelisteten Tätigkeiten, ausgenommen Luftverkehrstätigkeiten.</w:t>
      </w:r>
    </w:p>
    <w:p>
      <w:pPr>
        <w:pStyle w:val="berschrift2"/>
      </w:pPr>
      <w:bookmarkStart w:id="16" w:name="_Toc146879895"/>
      <w:r>
        <w:t>Artikel 4</w:t>
      </w:r>
      <w:r>
        <w:br/>
        <w:t>Genehmigungen zur Emission von Treibhausgasen</w:t>
      </w:r>
      <w:bookmarkEnd w:id="16"/>
    </w:p>
    <w:p>
      <w:pPr>
        <w:pStyle w:val="GesAbsatz"/>
        <w:rPr>
          <w:rFonts w:cs="Arial"/>
        </w:rPr>
      </w:pPr>
      <w:r>
        <w:rPr>
          <w:rFonts w:cs="Arial"/>
        </w:rPr>
        <w:t>Die Mitgliedstaaten stellen sicher, dass ab dem 1. Januar 2005 keine Anlage die in Anhang I genannten Tätigkeiten, bei denen die für diese Tätigkeit spezifizierten Emissionen entstehen, durchführt, es sei denn, der Betreiber verfügt über eine Genehmigung, die von einer zuständigen Behörde gemäß den Artikeln 5 und 6 erteilt wurde, oder die Anlage wurde gemäß Artikel 27 vom EU-EHS ausgeschlossen. Dies gilt auch für Anlagen, die gemäß Artikel 24 in das EU-EHS einbezogen werden.</w:t>
      </w:r>
    </w:p>
    <w:p>
      <w:pPr>
        <w:pStyle w:val="berschrift2"/>
      </w:pPr>
      <w:bookmarkStart w:id="17" w:name="_Toc146879896"/>
      <w:r>
        <w:t>Artikel 5</w:t>
      </w:r>
      <w:r>
        <w:br/>
        <w:t>Anträge auf Erteilung der Genehmigung zur Emission von Treibhausgasen</w:t>
      </w:r>
      <w:bookmarkEnd w:id="17"/>
    </w:p>
    <w:p>
      <w:pPr>
        <w:pStyle w:val="GesAbsatz"/>
        <w:rPr>
          <w:rFonts w:cs="Arial"/>
        </w:rPr>
      </w:pPr>
      <w:r>
        <w:rPr>
          <w:rFonts w:cs="Arial"/>
        </w:rPr>
        <w:t>An die zuständige Behörde gerichtete Anträge auf Erteilung von Genehmigungen zur Emission von Treibhausgasen müssen Angaben zu folgenden Punkten enthalten:</w:t>
      </w:r>
    </w:p>
    <w:p>
      <w:pPr>
        <w:pStyle w:val="GesAbsatz"/>
        <w:ind w:left="426" w:hanging="426"/>
        <w:rPr>
          <w:rFonts w:cs="Arial"/>
        </w:rPr>
      </w:pPr>
      <w:r>
        <w:rPr>
          <w:rFonts w:cs="Arial"/>
        </w:rPr>
        <w:t>a)</w:t>
      </w:r>
      <w:r>
        <w:rPr>
          <w:rFonts w:cs="Arial"/>
        </w:rPr>
        <w:tab/>
        <w:t>Anlage und dort durchgeführte Tätigkeiten und verwendete Technologie,</w:t>
      </w:r>
    </w:p>
    <w:p>
      <w:pPr>
        <w:pStyle w:val="GesAbsatz"/>
        <w:ind w:left="426" w:hanging="426"/>
        <w:rPr>
          <w:rFonts w:cs="Arial"/>
        </w:rPr>
      </w:pPr>
      <w:r>
        <w:rPr>
          <w:rFonts w:cs="Arial"/>
        </w:rPr>
        <w:t>b)</w:t>
      </w:r>
      <w:r>
        <w:rPr>
          <w:rFonts w:cs="Arial"/>
        </w:rPr>
        <w:tab/>
        <w:t>Rohmaterialien und Hilfsstoffe, deren Verwendung wahrscheinlich mit Emissionen von in Anhang I aufgeführten Gasen verbunden ist,</w:t>
      </w:r>
    </w:p>
    <w:p>
      <w:pPr>
        <w:pStyle w:val="GesAbsatz"/>
        <w:ind w:left="426" w:hanging="426"/>
        <w:rPr>
          <w:rFonts w:cs="Arial"/>
        </w:rPr>
      </w:pPr>
      <w:r>
        <w:rPr>
          <w:rFonts w:cs="Arial"/>
        </w:rPr>
        <w:t>c)</w:t>
      </w:r>
      <w:r>
        <w:rPr>
          <w:rFonts w:cs="Arial"/>
        </w:rPr>
        <w:tab/>
        <w:t>Quellen der Emissionen von in Anhang I aufgeführten Gasen aus der Anlage und</w:t>
      </w:r>
    </w:p>
    <w:p>
      <w:pPr>
        <w:pStyle w:val="GesAbsatz"/>
        <w:ind w:left="426" w:hanging="426"/>
        <w:rPr>
          <w:rFonts w:cs="Arial"/>
        </w:rPr>
      </w:pPr>
      <w:r>
        <w:rPr>
          <w:rFonts w:cs="Arial"/>
        </w:rPr>
        <w:t>d)</w:t>
      </w:r>
      <w:r>
        <w:rPr>
          <w:rFonts w:cs="Arial"/>
        </w:rPr>
        <w:tab/>
        <w:t>geplante Maßnahmen zur Überwachung und Berichterstattung betreffend Emissionen im Einklang mit der in Artikel 14 genannten Rechtsakte.</w:t>
      </w:r>
    </w:p>
    <w:p>
      <w:pPr>
        <w:pStyle w:val="GesAbsatz"/>
        <w:rPr>
          <w:rFonts w:cs="Arial"/>
        </w:rPr>
      </w:pPr>
      <w:r>
        <w:rPr>
          <w:rFonts w:cs="Arial"/>
        </w:rPr>
        <w:t>Dem Antrag ist eine nicht-technische Zusammenfassung der in Unterabsatz 1 genannten Punkte beizufügen.</w:t>
      </w:r>
    </w:p>
    <w:p>
      <w:pPr>
        <w:pStyle w:val="berschrift2"/>
      </w:pPr>
      <w:bookmarkStart w:id="18" w:name="_Toc146879897"/>
      <w:r>
        <w:t>Artikel 6</w:t>
      </w:r>
      <w:r>
        <w:br/>
        <w:t xml:space="preserve">Voraussetzungen für die Erteilung und Inhalt der Genehmigung </w:t>
      </w:r>
      <w:r>
        <w:rPr>
          <w:rFonts w:cs="Arial"/>
        </w:rPr>
        <w:t>zur</w:t>
      </w:r>
      <w:r>
        <w:rPr>
          <w:rFonts w:cs="Arial"/>
        </w:rPr>
        <w:br/>
        <w:t>Emission von Treibhausgasen</w:t>
      </w:r>
      <w:bookmarkEnd w:id="18"/>
    </w:p>
    <w:p>
      <w:pPr>
        <w:pStyle w:val="GesAbsatz"/>
        <w:rPr>
          <w:rFonts w:cs="Arial"/>
        </w:rPr>
      </w:pPr>
      <w:r>
        <w:rPr>
          <w:rFonts w:cs="Arial"/>
        </w:rPr>
        <w:t>(1) Die zuständige Behörde erteilt eine Genehmigung zur Emission von Treibhausgasen, durch die die Emission von Treibhausgasen aus der gesamten Anlage oder aus Teilen davon genehmigt wird, wenn sie davon überzeugt ist, dass der Betreiber in der Lage ist, die Emissionen zu überwachen und darüber Bericht zu erstatten.</w:t>
      </w:r>
    </w:p>
    <w:p>
      <w:pPr>
        <w:pStyle w:val="GesAbsatz"/>
        <w:rPr>
          <w:rFonts w:cs="Arial"/>
        </w:rPr>
      </w:pPr>
      <w:r>
        <w:rPr>
          <w:rFonts w:cs="Arial"/>
        </w:rPr>
        <w:t>Eine Genehmigung zur Emission von Treibhausgasen kann sich auf eine oder mehrere vom selben Betreiber am selben Standort betriebene Anlagen beziehen.</w:t>
      </w:r>
    </w:p>
    <w:p>
      <w:pPr>
        <w:pStyle w:val="GesAbsatz"/>
        <w:rPr>
          <w:rFonts w:cs="Arial"/>
        </w:rPr>
      </w:pPr>
      <w:r>
        <w:rPr>
          <w:rFonts w:cs="Arial"/>
        </w:rPr>
        <w:t>(2) Genehmigungen zur Emission von Treibhausgasen enthalten folgende Angaben:</w:t>
      </w:r>
    </w:p>
    <w:p>
      <w:pPr>
        <w:pStyle w:val="GesAbsatz"/>
        <w:ind w:left="426" w:hanging="426"/>
        <w:rPr>
          <w:rFonts w:cs="Arial"/>
        </w:rPr>
      </w:pPr>
      <w:r>
        <w:rPr>
          <w:rFonts w:cs="Arial"/>
        </w:rPr>
        <w:t>a)</w:t>
      </w:r>
      <w:r>
        <w:rPr>
          <w:rFonts w:cs="Arial"/>
        </w:rPr>
        <w:tab/>
        <w:t>Name und Anschrift des Betreibers,</w:t>
      </w:r>
    </w:p>
    <w:p>
      <w:pPr>
        <w:pStyle w:val="GesAbsatz"/>
        <w:ind w:left="426" w:hanging="426"/>
        <w:rPr>
          <w:rFonts w:cs="Arial"/>
        </w:rPr>
      </w:pPr>
      <w:r>
        <w:rPr>
          <w:rFonts w:cs="Arial"/>
        </w:rPr>
        <w:t>b)</w:t>
      </w:r>
      <w:r>
        <w:rPr>
          <w:rFonts w:cs="Arial"/>
        </w:rPr>
        <w:tab/>
        <w:t>Beschreibung der Tätigkeiten und Emissionen der Anlage,</w:t>
      </w:r>
    </w:p>
    <w:p>
      <w:pPr>
        <w:pStyle w:val="GesAbsatz"/>
        <w:ind w:left="426" w:hanging="426"/>
        <w:rPr>
          <w:rFonts w:cs="Arial"/>
        </w:rPr>
      </w:pPr>
      <w:r>
        <w:rPr>
          <w:rFonts w:cs="Arial"/>
        </w:rPr>
        <w:t>c)</w:t>
      </w:r>
      <w:r>
        <w:rPr>
          <w:rFonts w:cs="Arial"/>
        </w:rPr>
        <w:tab/>
        <w:t>einen Überwachungsplan, der den Anforderungen der in Artikel 14 genannten Rechtsakte genügt. Die Mitgliedstaaten können den Betreibern erlauben, die Überwachungspläne zu aktualisieren, ohne die Genehmigung zu ändern. Die Betreiber legen der zuständigen Behörde alle aktualisierten Überwachungspläne zur Billigung vor;</w:t>
      </w:r>
    </w:p>
    <w:p>
      <w:pPr>
        <w:pStyle w:val="GesAbsatz"/>
        <w:ind w:left="426" w:hanging="426"/>
        <w:rPr>
          <w:rFonts w:cs="Arial"/>
        </w:rPr>
      </w:pPr>
      <w:r>
        <w:rPr>
          <w:rFonts w:cs="Arial"/>
        </w:rPr>
        <w:t>d)</w:t>
      </w:r>
      <w:r>
        <w:rPr>
          <w:rFonts w:cs="Arial"/>
        </w:rPr>
        <w:tab/>
        <w:t>Auflagen für die Berichterstattung und</w:t>
      </w:r>
    </w:p>
    <w:p>
      <w:pPr>
        <w:pStyle w:val="GesAbsatz"/>
        <w:ind w:left="426" w:hanging="426"/>
        <w:rPr>
          <w:rFonts w:cs="Arial"/>
        </w:rPr>
      </w:pPr>
      <w:r>
        <w:rPr>
          <w:rFonts w:cs="Arial"/>
        </w:rPr>
        <w:t>e)</w:t>
      </w:r>
      <w:r>
        <w:rPr>
          <w:rFonts w:cs="Arial"/>
        </w:rPr>
        <w:tab/>
        <w:t>eine Verpflichtung zur Abgabe von nicht gemäß Kapitel II vergebenen Zertifikaten in Höhe der nach Artikel 15 geprüften Gesamtemissionen der Anlage in jedem Kalenderjahr binnen vier Monaten nach Jahresende.</w:t>
      </w:r>
    </w:p>
    <w:p>
      <w:pPr>
        <w:pStyle w:val="berschrift2"/>
      </w:pPr>
      <w:bookmarkStart w:id="19" w:name="_Toc146879898"/>
      <w:r>
        <w:t>Artikel 7</w:t>
      </w:r>
      <w:r>
        <w:br/>
        <w:t>Änderungen an Anlagen</w:t>
      </w:r>
      <w:bookmarkEnd w:id="19"/>
    </w:p>
    <w:p>
      <w:pPr>
        <w:pStyle w:val="GesAbsatz"/>
        <w:rPr>
          <w:rFonts w:cs="Arial"/>
        </w:rPr>
      </w:pPr>
      <w:r>
        <w:rPr>
          <w:rFonts w:cs="Arial"/>
        </w:rPr>
        <w:t xml:space="preserve">Der Betreiber unterrichtet die zuständige Behörde von allen geplanten Änderungen der Art oder Funktionsweise der Anlage sowie von einer Erweiterung oder wesentlichen Verringerung der Kapazität der Anlage, die eine Aktualisierung der Genehmigung zur Emission von Treibhausgasen erfordern könnten. Gegebenenfalls </w:t>
      </w:r>
      <w:r>
        <w:rPr>
          <w:rFonts w:cs="Arial"/>
        </w:rPr>
        <w:lastRenderedPageBreak/>
        <w:t>aktualisiert die zuständige Behörde die Genehmigung. Ändert sich die Identität des Betreibers, so aktualisiert die zuständige Behörde die Genehmigung in Bezug auf Namen und Anschrift des neuen Betreibers.</w:t>
      </w:r>
    </w:p>
    <w:p>
      <w:pPr>
        <w:pStyle w:val="berschrift2"/>
      </w:pPr>
      <w:bookmarkStart w:id="20" w:name="_Toc146879899"/>
      <w:r>
        <w:t>Artikel 8</w:t>
      </w:r>
      <w:r>
        <w:br/>
        <w:t>Abstimmung mit der Richtlinie 2010/75/EU</w:t>
      </w:r>
      <w:bookmarkEnd w:id="20"/>
    </w:p>
    <w:p>
      <w:pPr>
        <w:pStyle w:val="GesAbsatz"/>
      </w:pPr>
      <w:r>
        <w:t>Die Mitgliedstaaten ergreifen die erforderlichen Maßnahmen, um sicherzustellen, dass bei Anlagen, deren Tätigkeiten in Anhang I der Richtlinie 2010/75/EU des Europäischen Parlaments und des Rates</w:t>
      </w:r>
      <w:r>
        <w:rPr>
          <w:rStyle w:val="Funotenzeichen"/>
        </w:rPr>
        <w:footnoteReference w:id="15"/>
      </w:r>
      <w:r>
        <w:t xml:space="preserve"> aufgeführt sind, die Voraussetzungen und das Verfahren für die Erteilung einer Genehmigung zur Emission von Treibhausgasen mit den Voraussetzungen und dem Verfahren für die Erteilung der Genehmigung im Sinne dieser Richtlinie abgestimmt werden. Die Anforderungen gemäß Artikel 5, 6 und 7 der vorliegenden Richtlinie können in die Verfahren gemäß der Richtlinie 2010/75/EU integriert werden.</w:t>
      </w:r>
    </w:p>
    <w:p>
      <w:pPr>
        <w:pStyle w:val="berschrift2"/>
      </w:pPr>
      <w:bookmarkStart w:id="21" w:name="_Toc146879900"/>
      <w:r>
        <w:t>Artikel 9</w:t>
      </w:r>
      <w:r>
        <w:br/>
        <w:t>Gemeinschaftsweite Menge der vergebenen Zertifikate</w:t>
      </w:r>
      <w:bookmarkEnd w:id="21"/>
    </w:p>
    <w:p>
      <w:pPr>
        <w:pStyle w:val="GesAbsatz"/>
      </w:pPr>
      <w:r>
        <w:t>Die gemeinschaftsweite Menge der Zertifikate, die ab 2013 jährlich vergeben werden, wird ab der Mitte des Zeitraums von 2008 bis 2012 linear verringert. Die Menge wird um einen linearen Faktor von 1,74%, verglichen mit der durchschnittlichen jährlichen Gesamtmenge der Zertifikate, die von den Mitgliedstaaten nach Maßgabe der Entscheidungen der Kommission über die nationalen Zuteilungspläne für den Zeitraum von 2008 bis 2012 zugeteilt wurden, verringert.</w:t>
      </w:r>
    </w:p>
    <w:p>
      <w:pPr>
        <w:pStyle w:val="GesAbsatz"/>
      </w:pPr>
      <w:r>
        <w:t>Ab 2021 gilt ein linearer Faktor von 2,2 %.</w:t>
      </w:r>
    </w:p>
    <w:p>
      <w:pPr>
        <w:pStyle w:val="berschrift2"/>
      </w:pPr>
      <w:bookmarkStart w:id="22" w:name="_Toc146879901"/>
      <w:r>
        <w:t>Artikel 9a</w:t>
      </w:r>
      <w:r>
        <w:br/>
        <w:t>Anpassung der gemeinschaftsweiten Menge der Zertifikate</w:t>
      </w:r>
      <w:bookmarkEnd w:id="22"/>
    </w:p>
    <w:p>
      <w:pPr>
        <w:pStyle w:val="GesAbsatz"/>
      </w:pPr>
      <w:r>
        <w:t>(1) Für Anlagen, die im Zeitraum von 2008 bis 2012 gemäß Artikel 24 Absatz 1 in das EU-EHS einbezogen wurden, wird die Menge der ab dem 1. Januar 2013 zu vergebenden Zertifikate nach Maßgabe der durchschnittlichen jährlichen Menge der Zertifikate angepasst, die für diese Anlagen während des Zeitraums ihrer Einbeziehung vergeben wurden, ihrerseits angepasst um den linearen Faktor gemäß Artikel 9.</w:t>
      </w:r>
    </w:p>
    <w:p>
      <w:pPr>
        <w:pStyle w:val="GesAbsatz"/>
      </w:pPr>
      <w:r>
        <w:t>(2) Für die Anlagen, die in Anhang I genannte Tätigkeiten durchführen und die erst ab 2013 in das EU-EHS einbezogen werden, gewährleisten die Mitgliedstaaten, dass deren Betreiber der betreffenden zuständigen Behörde hinreichend begründete und von unabhängiger Stelle geprüfte Emissionsdaten vorlegen, damit diese mit Blick auf die Anpassung der gemeinschaftsweiten Menge der zu vergebenden Zertifikate berücksichtigt werden.</w:t>
      </w:r>
    </w:p>
    <w:p>
      <w:pPr>
        <w:pStyle w:val="GesAbsatz"/>
      </w:pPr>
      <w:r>
        <w:t>Diese Angaben sind der betreffenden zuständigen Behörde bis 30. April 2010 gemäß den nach Artikel 14 Absatz 1 erlassenen Vorschriften zu übermitteln.</w:t>
      </w:r>
    </w:p>
    <w:p>
      <w:pPr>
        <w:pStyle w:val="GesAbsatz"/>
      </w:pPr>
      <w:r>
        <w:t>Sind die Angaben hinreichend begründet, so übermittelt die zuständige Behörde diese der Kommission bis 30. Juni 2010, und die anhand des linearen Faktors gemäß Artikel 9 angepasste Menge der zu vergebenden Zertifikate wird entsprechend angepasst. Im Fall von Anlagen, die andere Treibhausgase als CO</w:t>
      </w:r>
      <w:r>
        <w:rPr>
          <w:vertAlign w:val="subscript"/>
        </w:rPr>
        <w:t>2</w:t>
      </w:r>
      <w:r>
        <w:t xml:space="preserve"> ausstoßen, kann die zuständige Behörde entsprechend dem jeweiligen Emissionsreduktionspotenzial dieser Anlagen geringere Emissionen melden.</w:t>
      </w:r>
    </w:p>
    <w:p>
      <w:pPr>
        <w:pStyle w:val="GesAbsatz"/>
      </w:pPr>
      <w:r>
        <w:t>(3) Die Kommission veröffentlicht die angepassten Mengen gemäß den Absätzen 1 und 2 bis 30. September 2010.</w:t>
      </w:r>
    </w:p>
    <w:p>
      <w:pPr>
        <w:pStyle w:val="GesAbsatz"/>
      </w:pPr>
      <w:r>
        <w:t>(4) Für Anlagen, die gemäß Artikel 27 vom EU-EHS ausgeschlossen sind, wird die Menge der gemeinschaftsweit ab dem 1. Januar 2013 zu vergebenden Zertifikate gesenkt, um die anhand des in Artikel 9 genannten linearen Faktors angepassten geprüften jährlichen Durchschnittsemissionen dieser Anlagen im Zeitraum von 2008 bis 2010 widerzuspiegeln.</w:t>
      </w:r>
    </w:p>
    <w:p>
      <w:pPr>
        <w:pStyle w:val="berschrift2"/>
      </w:pPr>
      <w:bookmarkStart w:id="23" w:name="_Toc146879902"/>
      <w:r>
        <w:t>Artikel 10</w:t>
      </w:r>
      <w:r>
        <w:br/>
        <w:t>Versteigerung von Zertifikaten</w:t>
      </w:r>
      <w:bookmarkEnd w:id="23"/>
    </w:p>
    <w:p>
      <w:pPr>
        <w:pStyle w:val="GesAbsatz"/>
        <w:rPr>
          <w:rFonts w:cs="Arial"/>
        </w:rPr>
      </w:pPr>
      <w:r>
        <w:rPr>
          <w:rFonts w:cs="Arial"/>
        </w:rPr>
        <w:t>(1) Ab dem Jahr 2019 versteigern die Mitgliedstaaten sämtliche Zertifikate, die nicht gemäß den Artikeln 10a und 10c dieser Richtlinie kostenlos zugeteilt werden und nicht in die mit dem Beschluss (EU) 2015/1814 des Europäischen Parlaments und des Rates</w:t>
      </w:r>
      <w:r>
        <w:rPr>
          <w:rStyle w:val="Funotenzeichen"/>
          <w:rFonts w:cs="Arial"/>
        </w:rPr>
        <w:footnoteReference w:id="16"/>
      </w:r>
      <w:r>
        <w:rPr>
          <w:rFonts w:cs="Arial"/>
        </w:rPr>
        <w:t xml:space="preserve"> eingerichtete Marktstabilitätsreserve (im Folgenden ‚Marktstabilitätsreserve‘) eingestellt oder gemäß Artikel 12 Absatz 4 dieser Richtlinie gelöscht werden.</w:t>
      </w:r>
    </w:p>
    <w:p>
      <w:pPr>
        <w:pStyle w:val="GesAbsatz"/>
        <w:rPr>
          <w:rFonts w:cs="Arial"/>
        </w:rPr>
      </w:pPr>
      <w:r>
        <w:rPr>
          <w:rFonts w:cs="Arial"/>
        </w:rPr>
        <w:lastRenderedPageBreak/>
        <w:t>Ab 2021 beträgt der Anteil der zu versteigernden Zertifikate 57 %, unbeschadet einer möglichen Kürzung gemäß Artikel 10a Absatz 5a.</w:t>
      </w:r>
    </w:p>
    <w:p>
      <w:pPr>
        <w:pStyle w:val="GesAbsatz"/>
        <w:rPr>
          <w:rFonts w:cs="Arial"/>
        </w:rPr>
      </w:pPr>
      <w:r>
        <w:rPr>
          <w:rFonts w:cs="Arial"/>
        </w:rPr>
        <w:t>2 % der Gesamtmenge der Zertifikate im Zeitraum 2021-2030 werden versteigert, um einen Fonds für die Verbesserung der Energieeffizienz und die Modernisierung der Energiesysteme bestimmter Mitgliedstaaten gemäß Artikel 10d (im Folgenden ‚Modernisierungsfonds‘) einzurichten.</w:t>
      </w:r>
    </w:p>
    <w:p>
      <w:pPr>
        <w:pStyle w:val="GesAbsatz"/>
        <w:rPr>
          <w:rFonts w:cs="Arial"/>
          <w:color w:val="000000" w:themeColor="text1"/>
        </w:rPr>
      </w:pPr>
      <w:r>
        <w:rPr>
          <w:rFonts w:cs="Arial"/>
        </w:rPr>
        <w:t>Die gesamte Restmenge der von den Mitgliedstaaten zu versteigernden Zertifikate wird gemäß Absatz 2 aufgeteilt.</w:t>
      </w:r>
    </w:p>
    <w:p>
      <w:pPr>
        <w:pStyle w:val="GesAbsatz"/>
        <w:rPr>
          <w:rFonts w:cs="Arial"/>
          <w:color w:val="000000" w:themeColor="text1"/>
        </w:rPr>
      </w:pPr>
      <w:r>
        <w:rPr>
          <w:rFonts w:cs="Arial"/>
          <w:color w:val="000000" w:themeColor="text1"/>
        </w:rPr>
        <w:t>(1a) Übersteigt vor Anwendung von Artikel 1 Absatz 5 des Beschlusses (EU) 2015/1814 die Menge der im letzten Jahr jedes in Artikel 13 der vorliegenden Richtlinie genannten Zeitraums von den Mitgliedstaaten zu versteigernden Zertifikate die voraussichtliche durchschnittliche Auktionsmenge für die ersten beiden Jahre des darauffolgenden Zeitraums, so werden zwei Drittel der Differenz zwischen diesen Mengen von den Auktionsmengen des letzten Jahres des Handelszeitraums abgezogen und in gleichen Tranchen den in den ersten beiden Jahren des darauffolgenden Zeitraums von den Mitgliedstaaten zu versteigernden Mengen hinzugefügt.</w:t>
      </w:r>
    </w:p>
    <w:p>
      <w:pPr>
        <w:pStyle w:val="GesAbsatz"/>
        <w:rPr>
          <w:rFonts w:cs="Arial"/>
        </w:rPr>
      </w:pPr>
      <w:r>
        <w:rPr>
          <w:rFonts w:cs="Arial"/>
        </w:rPr>
        <w:t>(2) Die Gesamtmenge der von jedem Mitgliedstaat zu versteigernden Zertifikate setzt sich zusammen aus</w:t>
      </w:r>
    </w:p>
    <w:p>
      <w:pPr>
        <w:pStyle w:val="GesAbsatz"/>
        <w:ind w:left="426" w:hanging="426"/>
        <w:rPr>
          <w:rFonts w:cs="Arial"/>
        </w:rPr>
      </w:pPr>
      <w:r>
        <w:rPr>
          <w:rFonts w:cs="Arial"/>
        </w:rPr>
        <w:t>a)</w:t>
      </w:r>
      <w:r>
        <w:rPr>
          <w:rFonts w:cs="Arial"/>
        </w:rPr>
        <w:tab/>
        <w:t>90% der Gesamtmenge der zu versteigernden Zertifikate, die unter den Mitgliedstaaten in Anteilen aufgeteilt wird, die dem Anteil des betreffenden Mitgliedstaats an den geprüften Emissionen im Rahmen des EU-EHS im Jahr 2005 oder im Durchschnitt des Zeitraums von 2005 bis 2007 - je nachdem, welcher Wert höher ist - entsprechen;</w:t>
      </w:r>
    </w:p>
    <w:p>
      <w:pPr>
        <w:pStyle w:val="GesAbsatz"/>
        <w:ind w:left="426" w:hanging="426"/>
        <w:rPr>
          <w:rFonts w:cs="Arial"/>
        </w:rPr>
      </w:pPr>
      <w:r>
        <w:rPr>
          <w:rFonts w:cs="Arial"/>
        </w:rPr>
        <w:t>b)</w:t>
      </w:r>
      <w:r>
        <w:rPr>
          <w:rFonts w:cs="Arial"/>
        </w:rPr>
        <w:tab/>
        <w:t>10 % der Gesamtmenge der zu versteigernden Zertifikate, die im Interesse von Solidarität, Wachstum und Verbund in der Union unter bestimmten Mitgliedstaaten aufgeteilt wird, wodurch sich die Zahl der von diesen Mitgliedstaaten jeweils versteigerten Zertifikate gemäß Buchstabe a um die in Anhang IIa aufgeführten Prozentsätze erhöht.</w:t>
      </w:r>
    </w:p>
    <w:p>
      <w:pPr>
        <w:pStyle w:val="GesAbsatz"/>
        <w:rPr>
          <w:rFonts w:cs="Arial"/>
        </w:rPr>
      </w:pPr>
      <w:r>
        <w:rPr>
          <w:rFonts w:cs="Arial"/>
        </w:rPr>
        <w:t>Für die Zwecke von Buchstabe a wird der Anteil der Mitgliedstaaten, die 2005 nicht am EU-EHS teilgenommen haben, auf der Grundlage ihrer im Rahmen des EU-EHS geprüften Emissionen des Jahres 2007 berechnet.</w:t>
      </w:r>
    </w:p>
    <w:p>
      <w:pPr>
        <w:pStyle w:val="GesAbsatz"/>
        <w:rPr>
          <w:rFonts w:cs="Arial"/>
        </w:rPr>
      </w:pPr>
      <w:r>
        <w:rPr>
          <w:rFonts w:cs="Arial"/>
        </w:rPr>
        <w:t>Erforderlichenfalls werden die Prozentsätze gemäß Buchstabe b proportional angepasst, um sicherzustellen, dass 10 % der Zertifikate aufgeteilt werden.</w:t>
      </w:r>
    </w:p>
    <w:p>
      <w:pPr>
        <w:pStyle w:val="GesAbsatz"/>
        <w:rPr>
          <w:rFonts w:cs="Arial"/>
        </w:rPr>
      </w:pPr>
      <w:r>
        <w:rPr>
          <w:rFonts w:cs="Arial"/>
        </w:rPr>
        <w:t>(3) Die Mitgliedstaaten bestimmen die Verwendung der Einnahmen aus der Versteigerung der Zertifikate. Mindestens 50% der Einnahmen aus der Versteigerung von Zertifikaten gemäß Absatz 2 einschließlich sämtlicher Versteigerungseinnahmen gemäß Absatz 2 Unterabsatz 1 Buchstaben b und c oder der entsprechende finanzielle Gegenwert dieser Einnahmen sollten für einen oder mehrere der folgenden Zwecke genutzt werden:</w:t>
      </w:r>
    </w:p>
    <w:p>
      <w:pPr>
        <w:pStyle w:val="GesAbsatz"/>
        <w:ind w:left="426" w:hanging="426"/>
        <w:rPr>
          <w:rFonts w:cs="Arial"/>
        </w:rPr>
      </w:pPr>
      <w:r>
        <w:rPr>
          <w:rFonts w:cs="Arial"/>
        </w:rPr>
        <w:t>a)</w:t>
      </w:r>
      <w:r>
        <w:rPr>
          <w:rFonts w:cs="Arial"/>
        </w:rPr>
        <w:tab/>
        <w:t>Reduzierung von Treibhausgasemissionen, einschließlich durch Beiträge zum Globalen Dachfonds für Energieeffizienz und erneuerbare Energien und zum Anpassungsfonds, der auf der 14. Konferenz von Posen über den Klimawandel (COP 14 und COP/MOP 4) operationalisiert wurde, Anpassung an die Auswirkungen des Klimawandels und Finanzierung von Forschung und Entwicklung sowie von Demonstrationsprojekten auf den Gebieten der Emissionsminderung und der Anpassung an die Auswirkungen des Klimawandels, einschließlich der Beteiligung an Initiativen im Rahmen des Europäischen Strategieplans für Energietechnologie und der Europäischen Technologieplattformen;</w:t>
      </w:r>
    </w:p>
    <w:p>
      <w:pPr>
        <w:pStyle w:val="GesAbsatz"/>
        <w:ind w:left="426" w:hanging="426"/>
        <w:rPr>
          <w:rFonts w:cs="Arial"/>
        </w:rPr>
      </w:pPr>
      <w:r>
        <w:rPr>
          <w:rFonts w:cs="Arial"/>
        </w:rPr>
        <w:t>b)</w:t>
      </w:r>
      <w:r>
        <w:rPr>
          <w:rFonts w:cs="Arial"/>
        </w:rPr>
        <w:tab/>
        <w:t>Entwicklung erneuerbarer Energieträger, um die Verpflichtung der Union mit Blick auf erneuerbare Energien zu erfüllen, sowie Entwicklung anderer Technologien, die zum Übergang auf eine sichere und nachhaltige Wirtschaft mit geringem CO</w:t>
      </w:r>
      <w:r>
        <w:rPr>
          <w:rFonts w:cs="Arial"/>
          <w:vertAlign w:val="subscript"/>
        </w:rPr>
        <w:t>2</w:t>
      </w:r>
      <w:r>
        <w:rPr>
          <w:rFonts w:cs="Arial"/>
        </w:rPr>
        <w:t>-Ausstoß beitragen, und Unterstützung bei der Erfüllung der Verpflichtung der Union, die Energieeffizienz auf das in einschlägigen Rechtsakten festgelegte Maß zu steigern;</w:t>
      </w:r>
    </w:p>
    <w:p>
      <w:pPr>
        <w:pStyle w:val="GesAbsatz"/>
        <w:ind w:left="426" w:hanging="426"/>
        <w:rPr>
          <w:rFonts w:cs="Arial"/>
        </w:rPr>
      </w:pPr>
      <w:r>
        <w:rPr>
          <w:rFonts w:cs="Arial"/>
        </w:rPr>
        <w:t>c)</w:t>
      </w:r>
      <w:r>
        <w:rPr>
          <w:rFonts w:cs="Arial"/>
        </w:rPr>
        <w:tab/>
        <w:t>Maßnahmen zur Vermeidung des Abholzens von Wäldern und zur Förderung der Aufforstung und Wiederaufforstung in den Entwicklungsländern, die das internationale Abkommen über den Klimawandel ratifiziert haben; Technologietransfer und Erleichterung der Anpassung dieser Länder an die negativen Auswirkungen des Klimawandels;</w:t>
      </w:r>
    </w:p>
    <w:p>
      <w:pPr>
        <w:pStyle w:val="GesAbsatz"/>
        <w:ind w:left="426" w:hanging="426"/>
        <w:rPr>
          <w:rFonts w:cs="Arial"/>
        </w:rPr>
      </w:pPr>
      <w:r>
        <w:rPr>
          <w:rFonts w:cs="Arial"/>
        </w:rPr>
        <w:t>d)</w:t>
      </w:r>
      <w:r>
        <w:rPr>
          <w:rFonts w:cs="Arial"/>
        </w:rPr>
        <w:tab/>
        <w:t>Kohlenstoffspeicherung durch Fortwirtschaft in der Union;</w:t>
      </w:r>
    </w:p>
    <w:p>
      <w:pPr>
        <w:pStyle w:val="GesAbsatz"/>
        <w:ind w:left="426" w:hanging="426"/>
        <w:rPr>
          <w:rFonts w:cs="Arial"/>
        </w:rPr>
      </w:pPr>
      <w:r>
        <w:rPr>
          <w:rFonts w:cs="Arial"/>
        </w:rPr>
        <w:t>e)</w:t>
      </w:r>
      <w:r>
        <w:rPr>
          <w:rFonts w:cs="Arial"/>
        </w:rPr>
        <w:tab/>
        <w:t>umweltverträgliche Abscheidung und geologische Speicherung von CO</w:t>
      </w:r>
      <w:r>
        <w:rPr>
          <w:rFonts w:cs="Arial"/>
          <w:vertAlign w:val="subscript"/>
        </w:rPr>
        <w:t>2</w:t>
      </w:r>
      <w:r>
        <w:rPr>
          <w:rFonts w:cs="Arial"/>
        </w:rPr>
        <w:t xml:space="preserve"> insbesondere aus mit festen fossilen Brennstoffen betriebenen Kraftwerken und in verschiedenen industriellen Sektoren und Teilsektoren einschließlich in Drittstaaten;</w:t>
      </w:r>
    </w:p>
    <w:p>
      <w:pPr>
        <w:pStyle w:val="GesAbsatz"/>
        <w:ind w:left="426" w:hanging="426"/>
        <w:rPr>
          <w:rFonts w:cs="Arial"/>
        </w:rPr>
      </w:pPr>
      <w:r>
        <w:rPr>
          <w:rFonts w:cs="Arial"/>
        </w:rPr>
        <w:t>f)</w:t>
      </w:r>
      <w:r>
        <w:rPr>
          <w:rFonts w:cs="Arial"/>
        </w:rPr>
        <w:tab/>
        <w:t>Förderung der Umstellung auf emissionsarme und öffentliche Verkehrsmittel;</w:t>
      </w:r>
    </w:p>
    <w:p>
      <w:pPr>
        <w:pStyle w:val="GesAbsatz"/>
        <w:ind w:left="426" w:hanging="426"/>
        <w:rPr>
          <w:rFonts w:cs="Arial"/>
        </w:rPr>
      </w:pPr>
      <w:r>
        <w:rPr>
          <w:rFonts w:cs="Arial"/>
        </w:rPr>
        <w:t>g)</w:t>
      </w:r>
      <w:r>
        <w:rPr>
          <w:rFonts w:cs="Arial"/>
        </w:rPr>
        <w:tab/>
        <w:t>Finanzierung der Erforschung und Entwicklung energieeffizienter und sauberer Technologien in Sektoren, die unter diese Richtlinie fallen;</w:t>
      </w:r>
    </w:p>
    <w:p>
      <w:pPr>
        <w:pStyle w:val="GesAbsatz"/>
        <w:ind w:left="426" w:hanging="426"/>
        <w:rPr>
          <w:rFonts w:cs="Arial"/>
        </w:rPr>
      </w:pPr>
      <w:r>
        <w:rPr>
          <w:rFonts w:cs="Arial"/>
        </w:rPr>
        <w:t>h)</w:t>
      </w:r>
      <w:r>
        <w:rPr>
          <w:rFonts w:cs="Arial"/>
        </w:rPr>
        <w:tab/>
        <w:t>Maßnahmen zur Verbesserung der Energieeffizienz, von Fernwärmenetzen und Wärmedämmung oder zur finanziellen Unterstützung, um soziale Aspekte bei Haushalten mit niedrigem und mittlerem Einkommen anzugehen;</w:t>
      </w:r>
    </w:p>
    <w:p>
      <w:pPr>
        <w:pStyle w:val="GesAbsatz"/>
        <w:rPr>
          <w:rFonts w:cs="Arial"/>
        </w:rPr>
      </w:pPr>
      <w:r>
        <w:rPr>
          <w:rFonts w:cs="Arial"/>
        </w:rPr>
        <w:t>i)</w:t>
      </w:r>
      <w:r>
        <w:rPr>
          <w:rFonts w:cs="Arial"/>
        </w:rPr>
        <w:tab/>
        <w:t>Deckung der Kosten für die Verwaltung des EU-EHS;</w:t>
      </w:r>
    </w:p>
    <w:p>
      <w:pPr>
        <w:pStyle w:val="GesAbsatz"/>
        <w:ind w:left="426" w:hanging="426"/>
        <w:rPr>
          <w:rFonts w:cs="Arial"/>
        </w:rPr>
      </w:pPr>
      <w:r>
        <w:rPr>
          <w:rFonts w:cs="Arial"/>
        </w:rPr>
        <w:lastRenderedPageBreak/>
        <w:t>j)</w:t>
      </w:r>
      <w:r>
        <w:rPr>
          <w:rFonts w:cs="Arial"/>
        </w:rPr>
        <w:tab/>
        <w:t>Finanzierung von Klimaschutzmaßnahmen in gefährdeten Drittländern, einschließlich der Anpassung an die Folgen des Klimawandels;</w:t>
      </w:r>
    </w:p>
    <w:p>
      <w:pPr>
        <w:pStyle w:val="GesAbsatz"/>
        <w:ind w:left="426" w:hanging="426"/>
        <w:rPr>
          <w:rFonts w:cs="Arial"/>
        </w:rPr>
      </w:pPr>
      <w:r>
        <w:rPr>
          <w:rFonts w:cs="Arial"/>
        </w:rPr>
        <w:t>k)</w:t>
      </w:r>
      <w:r>
        <w:rPr>
          <w:rFonts w:cs="Arial"/>
        </w:rPr>
        <w:tab/>
        <w:t>Förderung der Umschulung und die Umstrukturierung des Arbeitsmarktes von Arbeitskräften, um insbesondere in den von der Verlagerung von Arbeitsplätzen am stärksten betroffenen Regionen zu einem fairen Übergang zu einer Wirtschaft mit geringem CO</w:t>
      </w:r>
      <w:r>
        <w:rPr>
          <w:rFonts w:cs="Arial"/>
          <w:vertAlign w:val="subscript"/>
        </w:rPr>
        <w:t>2</w:t>
      </w:r>
      <w:r>
        <w:rPr>
          <w:rFonts w:cs="Arial"/>
        </w:rPr>
        <w:t>-Ausstoß in enger Zusammenarbeit mit den Sozialpartnern beizutragen.</w:t>
      </w:r>
    </w:p>
    <w:p>
      <w:pPr>
        <w:pStyle w:val="GesAbsatz"/>
        <w:rPr>
          <w:rFonts w:cs="Arial"/>
        </w:rPr>
      </w:pPr>
      <w:r>
        <w:rPr>
          <w:rFonts w:cs="Arial"/>
        </w:rPr>
        <w:t>Die Mitgliedstaaten genügen den Anforderungen dieses Absatzes, wenn sie steuerliche oder finanzielle Unterstützungsmaßnahmen haben und durchführen, insbesondere auch in den Entwicklungsländern, oder nationale Rechtsvorschriften zum wirksamen Einsatz von finanzieller Unterstützung, die den in Unterabsatz 1 genannten Zwecken dienen und die einem Gegenwert von mindestens 50% der Einnahmen aus den in Absatz 2 genannten Versteigerungen der Zertifikate entsprechen, einschließlich sämtlicher Einnahmen aus den in Absatz 2 Buchstaben b und c genannten Versteigerungen.</w:t>
      </w:r>
    </w:p>
    <w:p>
      <w:pPr>
        <w:pStyle w:val="GesAbsatz"/>
        <w:rPr>
          <w:rFonts w:cs="Arial"/>
        </w:rPr>
      </w:pPr>
      <w:r>
        <w:rPr>
          <w:rFonts w:cs="Arial"/>
        </w:rPr>
        <w:t>Die Mitgliedstaaten informieren die Kommission in den Berichten, die sie gemäß der Entscheidung Nr. 280/2004/EG vorlegen, über die Verwendung der Einnahmen und die aufgrund dieses Absatzes ergriffenen Maßnahmen.</w:t>
      </w:r>
    </w:p>
    <w:p>
      <w:pPr>
        <w:pStyle w:val="GesAbsatz"/>
        <w:rPr>
          <w:rFonts w:cs="Arial"/>
        </w:rPr>
      </w:pPr>
      <w:r>
        <w:rPr>
          <w:rFonts w:cs="Arial"/>
        </w:rPr>
        <w:t>(4) Der Kommission wird die Befugnis übertragen, zur Ergänzung dieser Richtlinie gemäß Artikel 23 delegierte Rechtsakte zu erlassen, die den zeitlichen und administrativen Ablauf sowie sonstige Aspekte der Versteigerung betreffen, um ein offenes, transparentes, harmonisiertes und nicht diskriminierendes Verfahren sicherzustellen. Hierzu muss das Verfahren vorhersehbar sein, besonders was den Zeitplan und die Abfolge der Versteigerungen und die voraussichtlich zur Verfügung zu stellenden Mengen angeht.</w:t>
      </w:r>
    </w:p>
    <w:p>
      <w:pPr>
        <w:pStyle w:val="GesAbsatz"/>
        <w:rPr>
          <w:rFonts w:cs="Arial"/>
        </w:rPr>
      </w:pPr>
      <w:r>
        <w:rPr>
          <w:rFonts w:cs="Arial"/>
        </w:rPr>
        <w:t>Diese delegierten Rechtsakte müssen sicherstellen, dass die Gestaltung der Versteigerungen gewährleistet, dass</w:t>
      </w:r>
    </w:p>
    <w:p>
      <w:pPr>
        <w:pStyle w:val="GesAbsatz"/>
        <w:ind w:left="426" w:hanging="426"/>
        <w:rPr>
          <w:rFonts w:cs="Arial"/>
        </w:rPr>
      </w:pPr>
      <w:r>
        <w:rPr>
          <w:rFonts w:cs="Arial"/>
        </w:rPr>
        <w:t>a)</w:t>
      </w:r>
      <w:r>
        <w:rPr>
          <w:rFonts w:cs="Arial"/>
        </w:rPr>
        <w:tab/>
        <w:t>die Betreiber, insbesondere die unter das EU-EHS fallenden kleinen und mittleren Unternehmen, einen uneingeschränkten, fairen und gleichberechtigten Zugang haben,</w:t>
      </w:r>
    </w:p>
    <w:p>
      <w:pPr>
        <w:pStyle w:val="GesAbsatz"/>
        <w:ind w:left="426" w:hanging="426"/>
        <w:rPr>
          <w:rFonts w:cs="Arial"/>
        </w:rPr>
      </w:pPr>
      <w:r>
        <w:rPr>
          <w:rFonts w:cs="Arial"/>
        </w:rPr>
        <w:t>b)</w:t>
      </w:r>
      <w:r>
        <w:rPr>
          <w:rFonts w:cs="Arial"/>
        </w:rPr>
        <w:tab/>
        <w:t>alle Teilnehmer zum selben Zeitpunkt Zugang zu denselben Informationen haben und den Auktionsbetrieb nicht beeinträchtigen,</w:t>
      </w:r>
    </w:p>
    <w:p>
      <w:pPr>
        <w:pStyle w:val="GesAbsatz"/>
        <w:ind w:left="426" w:hanging="426"/>
        <w:rPr>
          <w:rFonts w:cs="Arial"/>
        </w:rPr>
      </w:pPr>
      <w:r>
        <w:rPr>
          <w:rFonts w:cs="Arial"/>
        </w:rPr>
        <w:t>c)</w:t>
      </w:r>
      <w:r>
        <w:rPr>
          <w:rFonts w:cs="Arial"/>
        </w:rPr>
        <w:tab/>
        <w:t>die Organisation der Versteigerungen und die Teilnahme an ihnen kosteneffizient sind und unnötige Verwaltungskosten vermieden werden und</w:t>
      </w:r>
    </w:p>
    <w:p>
      <w:pPr>
        <w:pStyle w:val="GesAbsatz"/>
        <w:ind w:left="426" w:hanging="426"/>
        <w:rPr>
          <w:rFonts w:cs="Arial"/>
        </w:rPr>
      </w:pPr>
      <w:r>
        <w:rPr>
          <w:rFonts w:cs="Arial"/>
        </w:rPr>
        <w:t>d)</w:t>
      </w:r>
      <w:r>
        <w:rPr>
          <w:rFonts w:cs="Arial"/>
        </w:rPr>
        <w:tab/>
        <w:t>der Zugang zu Zertifikaten für kleine Emittenten gewährleistet ist.</w:t>
      </w:r>
    </w:p>
    <w:p>
      <w:pPr>
        <w:pStyle w:val="GesAbsatz"/>
        <w:rPr>
          <w:rFonts w:cs="Arial"/>
        </w:rPr>
      </w:pPr>
      <w:r>
        <w:rPr>
          <w:rFonts w:cs="Arial"/>
        </w:rPr>
        <w:t>Die Mitgliedstaaten erstatten über die ordnungsgemäße Anwendung der Versteigerungsregeln für jede Versteigerung Bericht, insbesondere im Hinblick auf den fairen und offenen Zugang, die Transparenz, die Preisbildung und technische und verfahrenstechnische Aspekte. Diese Berichte werden binnen einem Monat nach der Versteigerung vorgelegt und auf der Website der Kommission veröffentlicht.</w:t>
      </w:r>
    </w:p>
    <w:p>
      <w:pPr>
        <w:pStyle w:val="GesAbsatz"/>
        <w:rPr>
          <w:rFonts w:cs="Arial"/>
        </w:rPr>
      </w:pPr>
      <w:r>
        <w:rPr>
          <w:rFonts w:cs="Arial"/>
        </w:rPr>
        <w:t>(5) Die Kommission überwacht das Funktionieren des europäischen CO</w:t>
      </w:r>
      <w:r>
        <w:rPr>
          <w:rFonts w:cs="Arial"/>
          <w:vertAlign w:val="subscript"/>
        </w:rPr>
        <w:t>2</w:t>
      </w:r>
      <w:r>
        <w:rPr>
          <w:rFonts w:cs="Arial"/>
        </w:rPr>
        <w:t>-Marktes. Sie legt dem Europäischen Parlament und dem Rat jährlich einen Bericht über das Funktionieren des CO</w:t>
      </w:r>
      <w:r>
        <w:rPr>
          <w:rFonts w:cs="Arial"/>
          <w:vertAlign w:val="subscript"/>
        </w:rPr>
        <w:t>2</w:t>
      </w:r>
      <w:r>
        <w:rPr>
          <w:rFonts w:cs="Arial"/>
        </w:rPr>
        <w:t>-Marktes und über andere relevante Klimaschutz- und Energiepolitiken unter Berücksichtigung des Auktionsbetriebs, der Liquidität und der gehandelten Mengen vor, in dem auch die Informationen der Mitgliedstaaten zu den in Artikel 10a Absatz 6 genannten finanziellen Maßnahmen zusammengefasst sind. Nötigenfalls stellen die Mitgliedstaaten sicher, dass die einschlägigen Informationen der Kommission spätestens zwei Monate vor Annahme dieses Kommissionsberichts übermittelt werden.</w:t>
      </w:r>
    </w:p>
    <w:p>
      <w:pPr>
        <w:pStyle w:val="berschrift2"/>
      </w:pPr>
      <w:bookmarkStart w:id="24" w:name="_Toc146879903"/>
      <w:r>
        <w:t>Artikel 10a</w:t>
      </w:r>
      <w:r>
        <w:br/>
        <w:t>Gemeinschaftsweite Übergangsvorschriften zur Harmonisierung</w:t>
      </w:r>
      <w:r>
        <w:br/>
        <w:t>der kostenlosen Zuteilung</w:t>
      </w:r>
      <w:bookmarkEnd w:id="24"/>
    </w:p>
    <w:p>
      <w:pPr>
        <w:pStyle w:val="GesAbsatz"/>
        <w:rPr>
          <w:rFonts w:cs="Arial"/>
        </w:rPr>
      </w:pPr>
      <w:r>
        <w:rPr>
          <w:rFonts w:cs="Arial"/>
        </w:rPr>
        <w:t>(1) Der Kommission wird die Befugnis übertragen, zur Ergänzung dieser Richtlinie gemäß Artikel 23 delegierte Rechtsakte zu erlassen, die die unionsweiten und vollständig harmonisierten Maßnahmen für die Zuteilung der in den Absätzen 4, 5, 7 und 19 genannten Zertifikate betreffen.</w:t>
      </w:r>
    </w:p>
    <w:p>
      <w:pPr>
        <w:pStyle w:val="GesAbsatz"/>
        <w:rPr>
          <w:rFonts w:cs="Arial"/>
        </w:rPr>
      </w:pPr>
      <w:r>
        <w:rPr>
          <w:rFonts w:cs="Arial"/>
        </w:rPr>
        <w:t>Die Maßnahmen gemäß Unterabsatz 1 legen so weit wie möglich die gemeinschaftsweiten Ex-ante-Benchmarks fest, um sicherzustellen, dass durch die Art der Zuteilung Anreize für die Reduzierung von Treibhausgasemissionen und für energieeffiziente Techniken geschaffen werden, indem sie den effizientesten Techniken, Ersatzstoffen, alternativen Herstellungsprozessen, der hocheffizienten Kraft-Wärme-Kopplung, der effizienten energetischen Verwertung von Restgasen, der Verwendung von Biomasse sowie der Abscheidung und Speicherung von CO</w:t>
      </w:r>
      <w:r>
        <w:rPr>
          <w:rFonts w:cs="Arial"/>
          <w:vertAlign w:val="subscript"/>
        </w:rPr>
        <w:t>2</w:t>
      </w:r>
      <w:r>
        <w:rPr>
          <w:rFonts w:cs="Arial"/>
        </w:rPr>
        <w:t>, sofern entsprechende Anlagen zur Verfügung stehen, Rechnung tragen, und sie keine Anreize für eine Erhöhung der Emissionen bieten. Für die Stromerzeugung erfolgt keine kostenlose Zuteilung, mit Ausnahme der unter Artikel 10c fallenden Fälle und des aus Restgasen erzeugten Stroms.</w:t>
      </w:r>
    </w:p>
    <w:p>
      <w:pPr>
        <w:pStyle w:val="GesAbsatz"/>
        <w:rPr>
          <w:rFonts w:cs="Arial"/>
        </w:rPr>
      </w:pPr>
      <w:r>
        <w:rPr>
          <w:rFonts w:cs="Arial"/>
        </w:rPr>
        <w:t>In jedem Sektor bzw. Teilsektor wird der Benchmark grundsätzlich für die Produkte und nicht für die Einsatzstoffe berechnet, um die Treibhausgasemissionsreduktionen und Energieeinsparungen während sämtlicher Produktionsprozesse des betreffenden Sektors bzw. Teilsektors zu maximieren.</w:t>
      </w:r>
    </w:p>
    <w:p>
      <w:pPr>
        <w:pStyle w:val="GesAbsatz"/>
        <w:rPr>
          <w:rFonts w:cs="Arial"/>
        </w:rPr>
      </w:pPr>
      <w:r>
        <w:rPr>
          <w:rFonts w:cs="Arial"/>
        </w:rPr>
        <w:lastRenderedPageBreak/>
        <w:t>Die Kommission konsultiert die betroffenen Interessenträger einschließlich der betroffenen Sektoren bzw. Teilsektoren zur Definition der Grundsätze zur Festlegung der Ex-ante-Benchmarks für die jeweiligen Sektoren bzw. Teilsektoren.</w:t>
      </w:r>
    </w:p>
    <w:p>
      <w:pPr>
        <w:pStyle w:val="GesAbsatz"/>
        <w:rPr>
          <w:rFonts w:cs="Arial"/>
        </w:rPr>
      </w:pPr>
      <w:r>
        <w:rPr>
          <w:rFonts w:cs="Arial"/>
        </w:rPr>
        <w:t>Die Kommission überprüft diese Maßnahmen, sobald die Union ein internationales Abkommen über den Klimawandel genehmigt hat, das Reduktionsziele für Treibhausgasemissionen vorschreibt, die mit denen der Union vergleichbar sind, um sicherzustellen, dass eine kostenlose Zuteilung nur erfolgt, wenn dies in Anbetracht des Abkommens voll und ganz gerechtfertigt ist.</w:t>
      </w:r>
    </w:p>
    <w:p>
      <w:pPr>
        <w:pStyle w:val="GesAbsatz"/>
        <w:rPr>
          <w:rFonts w:cs="Arial"/>
        </w:rPr>
      </w:pPr>
      <w:r>
        <w:rPr>
          <w:rFonts w:cs="Arial"/>
        </w:rPr>
        <w:t>(2) Der Ausgangspunkt bei der Festlegung der Grundsätze für die Ex-ante-Benchmarks für die einzelnen Sektoren bzw. Teilsektoren ist die Durchschnittsleistung der 10% effizientesten Anlagen eines Sektors bzw. Teilsektors in der Union in den Jahren 2007 und 2008. Die Kommission konsultiert die betroffenen Interessenträger einschließlich der betroffenen Sektoren bzw. Teilsektoren.</w:t>
      </w:r>
    </w:p>
    <w:p>
      <w:pPr>
        <w:pStyle w:val="GesAbsatz"/>
        <w:rPr>
          <w:rFonts w:cs="Arial"/>
        </w:rPr>
      </w:pPr>
      <w:r>
        <w:rPr>
          <w:rFonts w:cs="Arial"/>
        </w:rPr>
        <w:t>Die gemäß Artikel 14 und 15 erlassenen Rechtsakten harmonisieren die Überwachung, die Berichterstattung und die Überprüfung der produktionsbedingten Treibhausgasemissionen im Hinblick auf die Festlegung der Ex-ante-Benchmarks.</w:t>
      </w:r>
    </w:p>
    <w:p>
      <w:pPr>
        <w:pStyle w:val="GesAbsatz"/>
        <w:rPr>
          <w:rFonts w:cs="Arial"/>
        </w:rPr>
      </w:pPr>
      <w:r>
        <w:rPr>
          <w:rFonts w:cs="Arial"/>
        </w:rPr>
        <w:t>Die Kommission erlässt Durchführungsrechtsakte zur Festlegung der angepassten Benchmarkwerte für die kostenlose Zuteilung. Diese Rechtsakte müssen mit den delegierten Rechtsakten im Einklang stehen, die gemäß Absatz 1 dieses Artikels erlassen wurden, und müssen folgende Voraussetzungen erfüllen:</w:t>
      </w:r>
    </w:p>
    <w:p>
      <w:pPr>
        <w:pStyle w:val="GesAbsatz"/>
        <w:ind w:left="426" w:hanging="426"/>
        <w:rPr>
          <w:rFonts w:cs="Arial"/>
        </w:rPr>
      </w:pPr>
      <w:r>
        <w:rPr>
          <w:rFonts w:cs="Arial"/>
        </w:rPr>
        <w:t>a)</w:t>
      </w:r>
      <w:r>
        <w:rPr>
          <w:rFonts w:cs="Arial"/>
        </w:rPr>
        <w:tab/>
        <w:t>Für den Zeitraum von 2021 bis 2025 werden die Benchmarkwerte anhand der gemäß Artikel 11 für die Jahre 2016 und 2017 übermittelten Informationen festgelegt. Anhand eines Vergleichs dieser Benchmarkwerte mit den Benchmarkwerten im Sinne des Beschlusses 2011/278/EU der Kommission vom 27. April 2011</w:t>
      </w:r>
      <w:r>
        <w:rPr>
          <w:rStyle w:val="Funotenzeichen"/>
          <w:rFonts w:cs="Arial"/>
        </w:rPr>
        <w:footnoteReference w:id="17"/>
      </w:r>
      <w:r>
        <w:rPr>
          <w:rFonts w:cs="Arial"/>
        </w:rPr>
        <w:t xml:space="preserve"> bestimmt die Kommission die jährliche Reduktionsrate für die einzelnen Benchmarks und wendet sie auf die im Zeitraum von 2013 bis 2020 gültigen Benchmarkwerte für jedes Jahr zwischen 2008–2023 an und legt auf diese Weise die Benchmarkwerte für den Zeitraum von 2021 bis 2025 fest.</w:t>
      </w:r>
    </w:p>
    <w:p>
      <w:pPr>
        <w:pStyle w:val="GesAbsatz"/>
        <w:ind w:left="426" w:hanging="426"/>
        <w:rPr>
          <w:rFonts w:cs="Arial"/>
        </w:rPr>
      </w:pPr>
      <w:r>
        <w:rPr>
          <w:rFonts w:cs="Arial"/>
        </w:rPr>
        <w:t>b)</w:t>
      </w:r>
      <w:r>
        <w:rPr>
          <w:rFonts w:cs="Arial"/>
        </w:rPr>
        <w:tab/>
        <w:t>In Fällen, in denen die jährliche Reduktionsrate über 1,6 % oder unter 0,2 % liegt, werden die im Zeitraum von 2013 bis 2020 gültigen Benchmarkwerte für jedes Jahr zwischen 2008 und 2023 um den jeweils relevanten der beiden genannten Prozentsätze verringert und als Benchmarkwerte für die Jahre von 2021 bis 2025 festgelegt.</w:t>
      </w:r>
    </w:p>
    <w:p>
      <w:pPr>
        <w:pStyle w:val="GesAbsatz"/>
        <w:ind w:left="426" w:hanging="426"/>
        <w:rPr>
          <w:rFonts w:cs="Arial"/>
        </w:rPr>
      </w:pPr>
      <w:r>
        <w:rPr>
          <w:rFonts w:cs="Arial"/>
        </w:rPr>
        <w:t>c)</w:t>
      </w:r>
      <w:r>
        <w:rPr>
          <w:rFonts w:cs="Arial"/>
        </w:rPr>
        <w:tab/>
        <w:t>Für den Zeitraum von 2026 bis 2030 werden die Benchmarkwerte auf dieselbe Art wie gemäß den Buchstaben a und b anhand der gemäß Artikel 11 für die Jahre 2021 und 2022 vorgelegten Informationen und anhand der Anwendung der jährlichen Reduktionsrate für jedes Jahr zwischen 2008 und 2028 festgelegt.</w:t>
      </w:r>
    </w:p>
    <w:p>
      <w:pPr>
        <w:pStyle w:val="GesAbsatz"/>
        <w:rPr>
          <w:rFonts w:cs="Arial"/>
        </w:rPr>
      </w:pPr>
      <w:r>
        <w:rPr>
          <w:rFonts w:cs="Arial"/>
        </w:rPr>
        <w:t>Die Benchmarkwerte für Aromaten, Wasserstoff und Synthesegas werden abweichend um denselben Prozentsatz angepasst wie die Raffinerie-Benchmarks, um für die Hersteller dieser Produkte einheitliche Wettbewerbsbedingungen zu gewährleisten.</w:t>
      </w:r>
    </w:p>
    <w:p>
      <w:pPr>
        <w:pStyle w:val="GesAbsatz"/>
        <w:rPr>
          <w:rFonts w:cs="Arial"/>
        </w:rPr>
      </w:pPr>
      <w:r>
        <w:rPr>
          <w:rFonts w:cs="Arial"/>
        </w:rPr>
        <w:t>Die Durchführungsrechtsakte, die im Unterabsatz 3 genannt werden, werden gemäß dem in Artikel 22a Absatz 2 genannten Prüfverfahren erlassen.</w:t>
      </w:r>
    </w:p>
    <w:p>
      <w:pPr>
        <w:pStyle w:val="GesAbsatz"/>
        <w:rPr>
          <w:rFonts w:cs="Arial"/>
        </w:rPr>
      </w:pPr>
      <w:r>
        <w:rPr>
          <w:rFonts w:cs="Arial"/>
        </w:rPr>
        <w:t>Um die effiziente energetische Verwertung von Restgasen im unter Unterabsatz 3 Buchstabe b genannten Zeitraum zu fördern, wird der Benchmarkwert für flüssiges Roheisen, der sich überwiegend auf Restgase bezieht, mit einer jährlichen Reduktionsrate von 0,2 % aktualisiert.</w:t>
      </w:r>
    </w:p>
    <w:p>
      <w:pPr>
        <w:pStyle w:val="GesAbsatz"/>
        <w:rPr>
          <w:rFonts w:cs="Arial"/>
        </w:rPr>
      </w:pPr>
      <w:r>
        <w:rPr>
          <w:rFonts w:cs="Arial"/>
        </w:rPr>
        <w:t>(3) Vorbehaltlich der Absätze 4 und 8 und unbeschadet von Artikel 10c erfolgt keine kostenlose Zuteilung für Stromerzeuger, Anlagen zur Abscheidung von CO</w:t>
      </w:r>
      <w:r>
        <w:rPr>
          <w:rFonts w:cs="Arial"/>
          <w:vertAlign w:val="subscript"/>
        </w:rPr>
        <w:t>2</w:t>
      </w:r>
      <w:r>
        <w:rPr>
          <w:rFonts w:cs="Arial"/>
        </w:rPr>
        <w:t>, Pipelines für die Beförderung von CO</w:t>
      </w:r>
      <w:r>
        <w:rPr>
          <w:rFonts w:cs="Arial"/>
          <w:vertAlign w:val="subscript"/>
        </w:rPr>
        <w:t>2</w:t>
      </w:r>
      <w:r>
        <w:rPr>
          <w:rFonts w:cs="Arial"/>
        </w:rPr>
        <w:t xml:space="preserve"> oder CO</w:t>
      </w:r>
      <w:r>
        <w:rPr>
          <w:rFonts w:cs="Arial"/>
          <w:vertAlign w:val="subscript"/>
        </w:rPr>
        <w:t>2</w:t>
      </w:r>
      <w:r>
        <w:rPr>
          <w:rFonts w:cs="Arial"/>
        </w:rPr>
        <w:t>-Speicherstätten.</w:t>
      </w:r>
    </w:p>
    <w:p>
      <w:pPr>
        <w:pStyle w:val="GesAbsatz"/>
        <w:rPr>
          <w:rFonts w:cs="Arial"/>
        </w:rPr>
      </w:pPr>
      <w:r>
        <w:rPr>
          <w:rFonts w:cs="Arial"/>
        </w:rPr>
        <w:t>(4) Für Fernwärme und hocheffiziente Kraft-Wärme-Kopplung im Sinne der Richtlinie 2012/27/EU des Europäischen Parlaments und des Rates</w:t>
      </w:r>
      <w:r>
        <w:rPr>
          <w:rStyle w:val="Funotenzeichen"/>
          <w:rFonts w:cs="Arial"/>
        </w:rPr>
        <w:footnoteReference w:id="18"/>
      </w:r>
      <w:r>
        <w:rPr>
          <w:rFonts w:cs="Arial"/>
        </w:rPr>
        <w:t xml:space="preserve"> werden für einen wirtschaftlich vertretbaren Bedarf Zertifikate in Bezug auf Wärme- und Kälteerzeugung kostenlos zugeteilt. Nach 2013 wird die Gesamtzuteilung an solche Anlagen für die Erzeugung dieser Art von Wärme jährlich anhand des linearen Faktors gemäß Artikel 9 dieser Richtlinie angepasst, mit Ausnahme der Jahre, in denen die Anpassung dieser Zuteilungen gemäß Absatz 5 dieses Artikels einheitlich vorgenommen wird.</w:t>
      </w:r>
    </w:p>
    <w:p>
      <w:pPr>
        <w:pStyle w:val="GesAbsatz"/>
        <w:rPr>
          <w:rFonts w:cs="Arial"/>
        </w:rPr>
      </w:pPr>
      <w:r>
        <w:rPr>
          <w:rFonts w:cs="Arial"/>
        </w:rPr>
        <w:t xml:space="preserve">(5) Um den Versteigerungsanteil gemäß Artikel 10 einzuhalten, werden in jedem Jahr, in dem die Summe der kostenlosen Zuteilungen die dem Versteigerungsanteil entsprechende Höchstmenge nicht erreicht, die insoweit übrigen Zertifikate verwendet, um zu vermeiden, dass kostenlose Zuteilungen gekürzt werden, damit der Versteigerungsanteil in späteren Jahren eingehalten wird, oder um derartige Kürzungen in Grenzen zu halten. </w:t>
      </w:r>
      <w:r>
        <w:rPr>
          <w:rFonts w:cs="Arial"/>
        </w:rPr>
        <w:lastRenderedPageBreak/>
        <w:t>Wird die Höchstmenge jedoch erreicht, werden die kostenlosen Zuteilungen entsprechend angepasst. Derartige Anpassungen werden einheitlich vorgenommen.</w:t>
      </w:r>
    </w:p>
    <w:p>
      <w:pPr>
        <w:pStyle w:val="GesAbsatz"/>
        <w:rPr>
          <w:rFonts w:cs="Arial"/>
        </w:rPr>
      </w:pPr>
      <w:r>
        <w:rPr>
          <w:rFonts w:cs="Arial"/>
        </w:rPr>
        <w:t>(5a) Abweichend von Absatz 5 wird ein zusätzlicher Betrag von bis zu 3 % der Gesamtmenge der Zertifikate soweit notwendig genutzt, um die verfügbare Höchstmenge im Sinne von Absatz 5 zu erhöhen.</w:t>
      </w:r>
    </w:p>
    <w:p>
      <w:pPr>
        <w:pStyle w:val="GesAbsatz"/>
        <w:rPr>
          <w:rFonts w:cs="Arial"/>
        </w:rPr>
      </w:pPr>
      <w:r>
        <w:rPr>
          <w:rFonts w:cs="Arial"/>
        </w:rPr>
        <w:t>(5b) Sind weniger als 3 % der Gesamtmenge der Zertifikate erforderlich, um die verfügbare Höchstmenge im Sinne von Absatz 5 zu erhöhen,</w:t>
      </w:r>
    </w:p>
    <w:p>
      <w:pPr>
        <w:pStyle w:val="GesAbsatz"/>
        <w:ind w:left="426" w:hanging="426"/>
        <w:rPr>
          <w:rFonts w:cs="Arial"/>
        </w:rPr>
      </w:pPr>
      <w:r>
        <w:rPr>
          <w:rFonts w:cs="Arial"/>
        </w:rPr>
        <w:t>-</w:t>
      </w:r>
      <w:r>
        <w:rPr>
          <w:rFonts w:cs="Arial"/>
        </w:rPr>
        <w:tab/>
        <w:t>werden bis zu 50 Millionen Zertifikate dazu verwendet, die Anzahl der Zertifikate, die für die Innovationsförderung gemäß Artikel 10a Absatz 8 zur Verfügung steht, zu erhöhen, und</w:t>
      </w:r>
    </w:p>
    <w:p>
      <w:pPr>
        <w:pStyle w:val="GesAbsatz"/>
        <w:ind w:left="426" w:hanging="426"/>
        <w:rPr>
          <w:rFonts w:cs="Arial"/>
        </w:rPr>
      </w:pPr>
      <w:r>
        <w:rPr>
          <w:rFonts w:cs="Arial"/>
        </w:rPr>
        <w:t>-</w:t>
      </w:r>
      <w:r>
        <w:rPr>
          <w:rFonts w:cs="Arial"/>
        </w:rPr>
        <w:tab/>
        <w:t>werden bis zu 0,5 % der Gesamtmenge an Zertifikaten dazu verwendet, die Anzahl der Zertifikate, die für die Modernisierung der Energiesysteme bestimmter Mitgliedstaaten gemäß Artikel 10d zur Verfügung steht, zu erhöhen.</w:t>
      </w:r>
    </w:p>
    <w:p>
      <w:pPr>
        <w:pStyle w:val="GesAbsatz"/>
        <w:rPr>
          <w:rFonts w:cs="Arial"/>
        </w:rPr>
      </w:pPr>
      <w:r>
        <w:rPr>
          <w:rFonts w:cs="Arial"/>
        </w:rPr>
        <w:t>(6) Die Mitgliedstaaten sollten zugunsten von Sektoren oder Teilsektoren, die aufgrund erheblicher indirekter Kosten, die durch die Weitergabe der Kosten von Treibhausgasemissionen über die Strompreise tatsächlich entstehen, einem tatsächlichen Risiko einer Verlagerung von CO</w:t>
      </w:r>
      <w:r>
        <w:rPr>
          <w:rFonts w:cs="Arial"/>
          <w:vertAlign w:val="subscript"/>
        </w:rPr>
        <w:t>2</w:t>
      </w:r>
      <w:r>
        <w:rPr>
          <w:rFonts w:cs="Arial"/>
        </w:rPr>
        <w:t>-Emissionen ausgesetzt sind, finanzielle Maßnahmen gemäß den Unterabsätzen 2 und 4 erlassen, vorausgesetzt, dass diese finanziellen Maßnahmen mit den Vorschriften für staatliche Beihilfen im Einklang stehen und insbesondere keine ungerechtfertigten Wettbewerbsverzerrungen im Binnenmarkt verursachen. Übersteigt der für diese finanziellen Maßnahmen zur Verfügung stehende Betrag 25 % der Einkünfte aus der Versteigerung von Zertifikaten, begründet der betreffende Mitgliedstaat, warum er diese Menge überschreitet.</w:t>
      </w:r>
    </w:p>
    <w:p>
      <w:pPr>
        <w:pStyle w:val="GesAbsatz"/>
        <w:rPr>
          <w:rFonts w:cs="Arial"/>
        </w:rPr>
      </w:pPr>
      <w:r>
        <w:rPr>
          <w:rFonts w:cs="Arial"/>
        </w:rPr>
        <w:t>Die Mitgliedstaaten bemühen sich zudem, für die finanziellen Maßnahmen gemäß Unterabsatz 1 nicht mehr als 25 % ihrer Einkünfte aus der Versteigerung von Zertifikaten zu verwenden. Mitgliedstaaten, die finanzielle Maßnahmen gemäß Unterabsatz 1 erlassen haben, müssen den Gesamtbetrag der Kompensation nach Sektor und Teilsektor aufgeschlüsselt und in leicht zugänglicher Form binnen drei Monaten nach Ablauf eines jeden Jahres der Öffentlichkeit zugänglich machen. Ab 2018 veröffentlicht ein Mitgliedstaat in jedem Jahr, in dem er für diese Zwecke mehr als 25 % seiner Einkünfte aus der Versteigerung von Zertifikaten verwendet, einen Bericht, in dem er begründet, warum er diesen Betrag überschreitet. Dieser Bericht enthält einschlägige Angaben zu den Strompreisen für die industriellen Großabnehmer, die diese finanziellen Maßnahmen in Anspruch nehmen, wobei die Anforderungen an den Schutz vertraulicher Informationen allerdings in vollem Umfang zu erfüllen sind. Der Bericht enthält zudem Informationen darüber, ob andere Maßnahmen, mit denen sich die indirekten CO</w:t>
      </w:r>
      <w:r>
        <w:rPr>
          <w:rFonts w:cs="Arial"/>
          <w:vertAlign w:val="subscript"/>
        </w:rPr>
        <w:t>2</w:t>
      </w:r>
      <w:r>
        <w:rPr>
          <w:rFonts w:cs="Arial"/>
        </w:rPr>
        <w:t>-Emissionskosten mittel- bis langfristig senken lassen, gebührend berücksichtigt wurden.</w:t>
      </w:r>
    </w:p>
    <w:p>
      <w:pPr>
        <w:pStyle w:val="GesAbsatz"/>
        <w:rPr>
          <w:rFonts w:cs="Arial"/>
        </w:rPr>
      </w:pPr>
      <w:r>
        <w:rPr>
          <w:rFonts w:cs="Arial"/>
        </w:rPr>
        <w:t>Die Kommission nimmt in dem Bericht gemäß Artikel 10 Absatz 5 unter anderem eine Bewertung der Auswirkungen solcher finanziellen Maßnahmen auf den Binnenmarkt vor und spricht gegebenenfalls Empfehlungen für Maßnahmen aus, die dieser Bewertung zufolge erforderlich sein können.</w:t>
      </w:r>
    </w:p>
    <w:p>
      <w:pPr>
        <w:pStyle w:val="GesAbsatz"/>
        <w:rPr>
          <w:rFonts w:cs="Arial"/>
        </w:rPr>
      </w:pPr>
      <w:r>
        <w:rPr>
          <w:rFonts w:cs="Arial"/>
        </w:rPr>
        <w:t>Diese Maßnahmen werden so ausgestaltet, dass ein angemessener Schutz vor dem Risiko einer Verlagerung von CO</w:t>
      </w:r>
      <w:r>
        <w:rPr>
          <w:rFonts w:cs="Arial"/>
          <w:vertAlign w:val="subscript"/>
        </w:rPr>
        <w:t>2</w:t>
      </w:r>
      <w:r>
        <w:rPr>
          <w:rFonts w:cs="Arial"/>
        </w:rPr>
        <w:t>-Emissionen, der auf Ex-ante-Benchmarks für indirekte CO</w:t>
      </w:r>
      <w:r>
        <w:rPr>
          <w:rFonts w:cs="Arial"/>
          <w:vertAlign w:val="subscript"/>
        </w:rPr>
        <w:t>2</w:t>
      </w:r>
      <w:r>
        <w:rPr>
          <w:rFonts w:cs="Arial"/>
        </w:rPr>
        <w:t>-Emissionen pro Produktionseinheit beruht, sichergestellt wird. Diese Ex-ante-Benchmarks werden für einen bestimmten Sektor bzw. Teilsektor berechnet als Produkt des Stromverbrauchs pro Produktionseinheit entsprechend den effizientesten verfügbaren Techniken und der CO</w:t>
      </w:r>
      <w:r>
        <w:rPr>
          <w:rFonts w:cs="Arial"/>
          <w:vertAlign w:val="subscript"/>
        </w:rPr>
        <w:t>2</w:t>
      </w:r>
      <w:r>
        <w:rPr>
          <w:rFonts w:cs="Arial"/>
        </w:rPr>
        <w:t>-Emissionen des entsprechenden europäischen Stromerzeugungsmix.</w:t>
      </w:r>
    </w:p>
    <w:p>
      <w:pPr>
        <w:pStyle w:val="GesAbsatz"/>
        <w:rPr>
          <w:rFonts w:cs="Arial"/>
        </w:rPr>
      </w:pPr>
      <w:r>
        <w:rPr>
          <w:rFonts w:cs="Arial"/>
        </w:rPr>
        <w:t>(7) Zertifikate aus der Höchstmenge gemäß Absatz 5 dieses Artikels, die bis 2020 nicht kostenlos zugeteilt wurden, werden zusammen mit 200 Millionen Zertifikaten aus der Marktstabilitätsreserve gemäß Artikel 1 Absatz 3 des Beschlusses (EU) 2015/1814 in Form einer Reserve für neue Marktteilnehmer bereitgehalten. Bis zu 200 Millionen der bereitgehaltenen Zertifikate werden nach Ablauf des Zeitraums von 2021 bis 2030 in die Marktstabilitätsreserve zurückgeführt, wenn sie in diesem Zeitraum nicht zugeteilt wurden.</w:t>
      </w:r>
    </w:p>
    <w:p>
      <w:pPr>
        <w:pStyle w:val="GesAbsatz"/>
        <w:rPr>
          <w:rFonts w:cs="Arial"/>
        </w:rPr>
      </w:pPr>
      <w:r>
        <w:rPr>
          <w:rFonts w:cs="Arial"/>
        </w:rPr>
        <w:t>Ab 2021 fließen auch Zertifikate, die Anlagen infolge der Anwendung der Absätze 19 und 20 nicht zugeteilt wurden, in die im ersten Satz von Unterabsatz 1 dieses Absatzes genannte Reserve für neue Marktteilnehmer ein.</w:t>
      </w:r>
    </w:p>
    <w:p>
      <w:pPr>
        <w:pStyle w:val="GesAbsatz"/>
        <w:rPr>
          <w:rFonts w:cs="Arial"/>
        </w:rPr>
      </w:pPr>
      <w:r>
        <w:rPr>
          <w:rFonts w:cs="Arial"/>
        </w:rPr>
        <w:t>Die Zuteilungen werden anhand des linearen Faktors gemäß Artikel 9 angepasst.</w:t>
      </w:r>
    </w:p>
    <w:p>
      <w:pPr>
        <w:pStyle w:val="GesAbsatz"/>
        <w:rPr>
          <w:rFonts w:cs="Arial"/>
        </w:rPr>
      </w:pPr>
      <w:r>
        <w:rPr>
          <w:rFonts w:cs="Arial"/>
        </w:rPr>
        <w:t>Für die Stromerzeugung neuer Marktteilnehmer werden keine Zertifikate kostenlos zugeteilt.</w:t>
      </w:r>
    </w:p>
    <w:p>
      <w:pPr>
        <w:pStyle w:val="GesAbsatz"/>
        <w:rPr>
          <w:rFonts w:cs="Arial"/>
        </w:rPr>
      </w:pPr>
      <w:r>
        <w:rPr>
          <w:rFonts w:cs="Arial"/>
        </w:rPr>
        <w:t>(8) 325 Millionen Zertifikate aus der Menge, die ansonsten gemäß diesem Artikel kostenlos zugeteilt werden könnte, und 75 Millionen Zertifikate aus der Menge, die ansonsten gemäß Artikel 10 versteigert werden könnte, werden zur Verfügung gestellt, um im Gebiet der Union an geografisch ausgewogen verteilten Standorten Innovationen auf dem Gebiet von Technologien und Prozessen mit geringem CO</w:t>
      </w:r>
      <w:r>
        <w:rPr>
          <w:rFonts w:cs="Arial"/>
          <w:vertAlign w:val="subscript"/>
        </w:rPr>
        <w:t>2</w:t>
      </w:r>
      <w:r>
        <w:rPr>
          <w:rFonts w:cs="Arial"/>
        </w:rPr>
        <w:t>-Ausstoß, einschließlich umweltverträglicher CO</w:t>
      </w:r>
      <w:r>
        <w:rPr>
          <w:rFonts w:cs="Arial"/>
          <w:vertAlign w:val="subscript"/>
        </w:rPr>
        <w:t>2</w:t>
      </w:r>
      <w:r>
        <w:rPr>
          <w:rFonts w:cs="Arial"/>
        </w:rPr>
        <w:t>-Abscheidung und -Nutzung (CCU), die maßgeblich zur Eindämmung des Klimawandels beiträgt, sowie von Produkten, die CO</w:t>
      </w:r>
      <w:r>
        <w:rPr>
          <w:rFonts w:cs="Arial"/>
          <w:vertAlign w:val="subscript"/>
        </w:rPr>
        <w:t>2</w:t>
      </w:r>
      <w:r>
        <w:rPr>
          <w:rFonts w:cs="Arial"/>
        </w:rPr>
        <w:t>-intensiv hergestellte Produkte ersetzen, welche in Sektoren nach Anhang I hergestellt werden, zu fördern und einen Anreiz für den Bau und Betrieb von Projekten, die auf die umweltverträgliche Abscheidung und geologische Speicherung (CCS) von CO</w:t>
      </w:r>
      <w:r>
        <w:rPr>
          <w:rFonts w:cs="Arial"/>
          <w:vertAlign w:val="subscript"/>
        </w:rPr>
        <w:t>2</w:t>
      </w:r>
      <w:r>
        <w:rPr>
          <w:rFonts w:cs="Arial"/>
        </w:rPr>
        <w:t xml:space="preserve"> ausgerichtet sind, sowie von innovativen Technologien im Bereich erneuerbarer Energien und der Speicherung von Energie zu schaffen </w:t>
      </w:r>
      <w:r>
        <w:rPr>
          <w:rFonts w:cs="Arial"/>
        </w:rPr>
        <w:lastRenderedPageBreak/>
        <w:t xml:space="preserve">(im Folgenden ‚Innovationsfonds‘). Förderfähig sind Projekte in allen Mitgliedstaaten, einschließlich kleinmaßstäblicher Projekte. </w:t>
      </w:r>
    </w:p>
    <w:p>
      <w:pPr>
        <w:pStyle w:val="GesAbsatz"/>
        <w:rPr>
          <w:rFonts w:cs="Arial"/>
        </w:rPr>
      </w:pPr>
      <w:r>
        <w:rPr>
          <w:rFonts w:cs="Arial"/>
        </w:rPr>
        <w:t>Darüber hinaus werden etwaige noch verbleibende Einkünfte aus den 300 Millionen Zertifikaten, die für den Zeitraum von 2013 bis 2020 im Rahmen des Beschlusses 2010/670/EU der Kommission</w:t>
      </w:r>
      <w:r>
        <w:rPr>
          <w:rStyle w:val="Funotenzeichen"/>
          <w:rFonts w:cs="Arial"/>
        </w:rPr>
        <w:footnoteReference w:id="19"/>
      </w:r>
      <w:r>
        <w:rPr>
          <w:rFonts w:cs="Arial"/>
        </w:rPr>
        <w:t xml:space="preserve"> zur Verfügung standen, durch 50 Millionen nicht zugeteilte Zertifikate aus der Marktstabilitätsreserve ergänzt und diese rechtzeitig zur Innovationsförderung gemäß Unterabsatz 1 eingesetzt.</w:t>
      </w:r>
    </w:p>
    <w:p>
      <w:pPr>
        <w:pStyle w:val="GesAbsatz"/>
        <w:rPr>
          <w:rFonts w:cs="Arial"/>
        </w:rPr>
      </w:pPr>
      <w:r>
        <w:rPr>
          <w:rFonts w:cs="Arial"/>
        </w:rPr>
        <w:t>Die Projekte werden auf der Grundlage objektiver und transparenter Kriterien ausgewählt, wobei gegebenenfalls zu berücksichtigen ist, inwieweit sie zur Verwirklichung einer Emissionsreduktion auf einen Wert deutlich unter den in Absatz 2 genannten Benchmarks beitragen. Die Projekte müssen das Potenzial haben, umfangreich angewandt zu werden oder die den betreffenden Sektoren entstehenden Kosten für den Übergang zu einer Wirtschaft mit geringem CO</w:t>
      </w:r>
      <w:r>
        <w:rPr>
          <w:rFonts w:cs="Arial"/>
          <w:vertAlign w:val="subscript"/>
        </w:rPr>
        <w:t>2</w:t>
      </w:r>
      <w:r>
        <w:rPr>
          <w:rFonts w:cs="Arial"/>
        </w:rPr>
        <w:t>-Ausstoß erheblich zu senken. Projekte, bei denen es um CO</w:t>
      </w:r>
      <w:r>
        <w:rPr>
          <w:rFonts w:cs="Arial"/>
          <w:vertAlign w:val="subscript"/>
        </w:rPr>
        <w:t>2</w:t>
      </w:r>
      <w:r>
        <w:rPr>
          <w:rFonts w:cs="Arial"/>
        </w:rPr>
        <w:t>-Abscheidung und -Nutzung geht, müssen eine Nettoreduktion der Emissionen bewirken und die Vermeidung oder dauerhafte Speicherung von CO</w:t>
      </w:r>
      <w:r>
        <w:rPr>
          <w:rFonts w:cs="Arial"/>
          <w:vertAlign w:val="subscript"/>
        </w:rPr>
        <w:t>2</w:t>
      </w:r>
      <w:r>
        <w:rPr>
          <w:rFonts w:cs="Arial"/>
        </w:rPr>
        <w:t xml:space="preserve"> sicherstellen. Fördermittel werden nur für Technologien zur Verfügung gestellt, die kommerziell noch nicht verfügbar sind, jedoch eine bahnbrechende Lösung darstellen oder ausgereift genug sind, um für die Demonstration in vorkommerziellem Maßstab in Betracht zu kommen. Bis zu 60 % der relevanten Projektkosten können finanziert werden, wovon maximal 40 % nicht an die nachweisliche Vermeidung von Treibhausgasemissionen gebunden sein müssen, sofern mit der angewandten Technologie im Voraus festgesetzte Etappenziele erreicht werden.</w:t>
      </w:r>
    </w:p>
    <w:p>
      <w:pPr>
        <w:pStyle w:val="GesAbsatz"/>
        <w:rPr>
          <w:rFonts w:cs="Arial"/>
        </w:rPr>
      </w:pPr>
      <w:r>
        <w:rPr>
          <w:rFonts w:cs="Arial"/>
        </w:rPr>
        <w:t>Der Kommission wird die Befugnis übertragen, zur Ergänzung dieser Richtlinie gemäß Artikel 23 delegierte Rechtsakte zu erlassen, die Bestimmungen über die Funktionsweise des Innovationsfonds, einschließlich des Auswahlverfahrens und der Auswahlkriterien, betreffen.</w:t>
      </w:r>
    </w:p>
    <w:p>
      <w:pPr>
        <w:pStyle w:val="GesAbsatz"/>
        <w:rPr>
          <w:rFonts w:cs="Arial"/>
        </w:rPr>
      </w:pPr>
      <w:r>
        <w:rPr>
          <w:rFonts w:cs="Arial"/>
        </w:rPr>
        <w:t>Es sind Zertifikate für Projekte bereitzuhalten, die den in Unterabsatz 3 genannten Anforderungen genügen. Die Unterstützung für diese Projekte erfolgt über die Mitgliedstaaten und ergänzt die von den betreffenden Anlagenbetreibern bereitgestellten erheblichen Mittel zur Kofinanzierung. Diese Projekte können auch von den betroffenen Mitgliedstaaten und durch andere Instrumente kofinanziert werden. Kein Projekt erhält mit diesem Mechanismus gemäß dem vorliegenden Absatz eine Unterstützung, die 15% der Gesamtmenge der zu diesem Zweck verfügbaren Zertifikate übersteigt. Diese Zertifikate werden in Absatz 7 berücksichtigt.</w:t>
      </w:r>
    </w:p>
    <w:p>
      <w:pPr>
        <w:pStyle w:val="GesAbsatz"/>
        <w:rPr>
          <w:rFonts w:cs="Arial"/>
        </w:rPr>
      </w:pPr>
      <w:r>
        <w:rPr>
          <w:rFonts w:cs="Arial"/>
        </w:rPr>
        <w:t>(9) Griechenland, dessen Pro-Kopf-Bruttoinlandsprodukt (BIP) zu Marktpreisen im Jahr 2014 unter 60 % des Unionsdurchschnitts lag, kann vor der Anwendung von Absatz 7 zur Kofinanzierung von bis zu 60 % der Dekarbonisierung der Stromversorgung von Inseln innerhalb seines Hoheitsgebiets bis zu 25 Millionen Zertifikate aus der Höchstmenge gemäß Absatz 5 verlangen, die bis zum 31. Dezember 2020 nicht kostenlos zugeteilt werden. Artikel 10d Absatz 3 gilt sinngemäß für solche Zertifikate. Zertifikate können beansprucht werden, wenn ein Projekt zur Dekarbonisierung der Stromversorgung der griechischen Inseln aufgrund des eingeschränkten Zugangs zu den internationalen Kreditmärkten sonst nicht realisiert werden könnte und wenn die Europäische Investitionsbank (EIB) die finanzielle Machbarkeit und den sozioökonomischen Nutzens des Projekts bestätigt.</w:t>
      </w:r>
    </w:p>
    <w:p>
      <w:pPr>
        <w:pStyle w:val="GesAbsatz"/>
        <w:rPr>
          <w:rFonts w:cs="Arial"/>
        </w:rPr>
      </w:pPr>
      <w:r>
        <w:rPr>
          <w:rFonts w:cs="Arial"/>
        </w:rPr>
        <w:t>(10) (gestrichen)</w:t>
      </w:r>
    </w:p>
    <w:p>
      <w:pPr>
        <w:pStyle w:val="GesAbsatz"/>
        <w:rPr>
          <w:rFonts w:cs="Arial"/>
        </w:rPr>
      </w:pPr>
      <w:r>
        <w:rPr>
          <w:rFonts w:cs="Arial"/>
        </w:rPr>
        <w:t>(11) Vorbehaltlich des Artikels 10b entspricht die Zahl der gemäß den Absätzen 4 bis 7 des vorliegenden Artikels kostenlos zugeteilten Zertifikate im Jahr 2013 80% der Menge, die gemäß den in Absatz 1 genannten Maßnahmen festgelegt wurde. Danach wird die kostenlose Zuteilung Jahr für Jahr in gleicher Höhe bis 2020 auf 30% reduziert.</w:t>
      </w:r>
    </w:p>
    <w:p>
      <w:pPr>
        <w:pStyle w:val="GesAbsatz"/>
        <w:rPr>
          <w:rFonts w:cs="Arial"/>
        </w:rPr>
      </w:pPr>
      <w:r>
        <w:rPr>
          <w:rFonts w:cs="Arial"/>
        </w:rPr>
        <w:t>(12) (gestrichen)</w:t>
      </w:r>
    </w:p>
    <w:p>
      <w:pPr>
        <w:pStyle w:val="GesAbsatz"/>
        <w:rPr>
          <w:rFonts w:cs="Arial"/>
        </w:rPr>
      </w:pPr>
      <w:r>
        <w:rPr>
          <w:rFonts w:cs="Arial"/>
        </w:rPr>
        <w:t>(13) (gestrichen)</w:t>
      </w:r>
    </w:p>
    <w:p>
      <w:pPr>
        <w:pStyle w:val="GesAbsatz"/>
        <w:rPr>
          <w:rFonts w:cs="Arial"/>
        </w:rPr>
      </w:pPr>
      <w:r>
        <w:rPr>
          <w:rFonts w:cs="Arial"/>
        </w:rPr>
        <w:t>(14) (gestrichen)</w:t>
      </w:r>
    </w:p>
    <w:p>
      <w:pPr>
        <w:pStyle w:val="GesAbsatz"/>
        <w:rPr>
          <w:rFonts w:cs="Arial"/>
        </w:rPr>
      </w:pPr>
      <w:r>
        <w:rPr>
          <w:rFonts w:cs="Arial"/>
        </w:rPr>
        <w:t>(15) (gestrichen)</w:t>
      </w:r>
    </w:p>
    <w:p>
      <w:pPr>
        <w:pStyle w:val="GesAbsatz"/>
        <w:rPr>
          <w:rFonts w:cs="Arial"/>
        </w:rPr>
      </w:pPr>
      <w:r>
        <w:rPr>
          <w:rFonts w:cs="Arial"/>
        </w:rPr>
        <w:t>(16) (gestrichen)</w:t>
      </w:r>
    </w:p>
    <w:p>
      <w:pPr>
        <w:pStyle w:val="GesAbsatz"/>
        <w:rPr>
          <w:rFonts w:cs="Arial"/>
        </w:rPr>
      </w:pPr>
      <w:r>
        <w:rPr>
          <w:rFonts w:cs="Arial"/>
        </w:rPr>
        <w:t>(17) (gestrichen)</w:t>
      </w:r>
    </w:p>
    <w:p>
      <w:pPr>
        <w:pStyle w:val="GesAbsatz"/>
        <w:rPr>
          <w:rFonts w:cs="Arial"/>
        </w:rPr>
      </w:pPr>
      <w:r>
        <w:rPr>
          <w:rFonts w:cs="Arial"/>
        </w:rPr>
        <w:t>(18) (gestrichen)</w:t>
      </w:r>
    </w:p>
    <w:p>
      <w:pPr>
        <w:pStyle w:val="GesAbsatz"/>
        <w:rPr>
          <w:rFonts w:cs="Arial"/>
        </w:rPr>
      </w:pPr>
      <w:r>
        <w:rPr>
          <w:rFonts w:cs="Arial"/>
        </w:rPr>
        <w:t>(19) Für Anlagen, die ihren Betrieb eingestellt haben, kommt keine kostenlose Zuteilung in Betracht, es sei denn, die Betreiber weisen der zuständigen Behörde nach, dass sie ihre Produktion in der Anlage in einer bestimmten, angemessenen Frist wieder aufnehmen werden. Anlagen, deren Genehmigung zur Emission von Treibhausgasen ausgelaufen ist oder entzogen wurde, und Anlagen, deren Betrieb oder Wiederinbetriebnahme technisch unmöglich ist, gelten als Anlagen, die ihren Betrieb eingestellt haben.</w:t>
      </w:r>
    </w:p>
    <w:p>
      <w:pPr>
        <w:pStyle w:val="GesAbsatz"/>
        <w:rPr>
          <w:rFonts w:cs="Arial"/>
        </w:rPr>
      </w:pPr>
      <w:r>
        <w:rPr>
          <w:rFonts w:cs="Arial"/>
        </w:rPr>
        <w:lastRenderedPageBreak/>
        <w:t>(20) Die Höhe der kostenlosen Zuteilungen an Anlagen, deren Betriebsleistung, berechnet auf der Grundlage eines gleitenden Durchschnitts von zwei Jahren, im Vergleich zu dem Wert, der für die ursprüngliche Berechnung der kostenlosen Zuteilungen für den betreffenden Zeitraum gemäß Artikel 11 Absatz 1 verwendet wurde, um mehr als 15 % gestiegen oder gesunken ist, wird entsprechend angepasst. Diese Anpassungen werden durchgeführt, indem Zuteilungen aus der gemäß Absatz 7 dieses Artikels eingerichteten Reserve für neue Marktteilnehmer entnommen oder ihr hinzugefügt werden.</w:t>
      </w:r>
    </w:p>
    <w:p>
      <w:pPr>
        <w:pStyle w:val="GesAbsatz"/>
        <w:rPr>
          <w:rFonts w:cs="Arial"/>
        </w:rPr>
      </w:pPr>
      <w:r>
        <w:rPr>
          <w:rFonts w:cs="Arial"/>
        </w:rPr>
        <w:t>(21) Um sicherzustellen, dass die in Absatz 20 dieses Artikels genannten Anpassungen und der dort genannte Schwellenwert effizient, nichtdiskriminierend und einheitlich angewandt werden, um unnötigen Verwaltungsaufwand zu vermeiden und um der Manipulation und dem Missbrauch der Anpassungen der Zuteilung vorzubeugen, kann die Kommission Durchführungsrechtsakte verabschieden, in denen weitere Vorkehrungen für die Anpassungen festgelegt werden. Diese Durchführungsrechtsakte werden gemäß dem in Artikel 22a Absatz 2 genannten Prüfverfahren erlassen.</w:t>
      </w:r>
    </w:p>
    <w:p>
      <w:pPr>
        <w:pStyle w:val="berschrift2"/>
      </w:pPr>
      <w:bookmarkStart w:id="25" w:name="_Toc146879904"/>
      <w:r>
        <w:t>Artikel 10b</w:t>
      </w:r>
      <w:r>
        <w:br/>
        <w:t>Übergangsmaßnahmen zur Unterstützung bestimmter energieintensiver</w:t>
      </w:r>
      <w:r>
        <w:br/>
        <w:t>Industrien für den Fall der Verlagerung von CO</w:t>
      </w:r>
      <w:r>
        <w:rPr>
          <w:vertAlign w:val="subscript"/>
        </w:rPr>
        <w:t>2</w:t>
      </w:r>
      <w:r>
        <w:t>-Emissionen</w:t>
      </w:r>
      <w:bookmarkEnd w:id="25"/>
    </w:p>
    <w:p>
      <w:pPr>
        <w:pStyle w:val="GesAbsatz"/>
      </w:pPr>
      <w:r>
        <w:t>(1) Sektoren und Teilsektoren, bei denen das Produkt aus der Multiplikation der Intensität ihres Handels mit Drittländern, definiert als das Verhältnis des Gesamtwerts der Ausfuhren in Drittländer zuzüglich des Wertes der Einfuhren aus Drittländern zur Gesamtgröße des Marktes des Europäischen Wirtschaftsraums (Jahresumsatz plus Gesamteinfuhren aus Drittländern), mit ihrer Emissionsintensität in kg CO</w:t>
      </w:r>
      <w:r>
        <w:rPr>
          <w:vertAlign w:val="subscript"/>
        </w:rPr>
        <w:t>2</w:t>
      </w:r>
      <w:r>
        <w:t>, dividiert durch ihre Bruttowertschöpfung (in EUR) 0,2 überschreitet, gelten als Sektoren bzw. Teilsektoren, bei denen davon ausgegangen wird, dass ein Risiko einer Verlagerung von CO</w:t>
      </w:r>
      <w:r>
        <w:rPr>
          <w:vertAlign w:val="subscript"/>
        </w:rPr>
        <w:t>2</w:t>
      </w:r>
      <w:r>
        <w:t>-Emissionen besteht. Derartigen Sektoren und Teilsektoren werden für den Zeitraum bis 2030 Zertifikate in Höhe von 100 % der gemäß Artikel 10a bestimmten Menge kostenlos zugeteilt.</w:t>
      </w:r>
    </w:p>
    <w:p>
      <w:pPr>
        <w:pStyle w:val="GesAbsatz"/>
      </w:pPr>
      <w:r>
        <w:t>(2) Sektoren und Teilsektoren, bei denen das Produkt aus der Multiplikation der Intensität ihres Handels mit Drittländern mit ihrer Emissionsintensität 0,15 überschreitet, können unter Verwendung von Daten aus den Jahren von 2014 bis 2016 auf Basis einer qualitativen Bewertung und der folgenden Kriterien in die Gruppe gemäß Absatz 1 aufgenommen werden:</w:t>
      </w:r>
    </w:p>
    <w:p>
      <w:pPr>
        <w:pStyle w:val="GesAbsatz"/>
        <w:ind w:left="426" w:hanging="426"/>
      </w:pPr>
      <w:r>
        <w:t>a)</w:t>
      </w:r>
      <w:r>
        <w:tab/>
        <w:t>Umfang, in dem einzelne Anlagen in dem betreffenden Sektor oder Teilsektor in der Lage sind, ihre Emissionsmengen oder ihren Stromverbrauch zu reduzieren;</w:t>
      </w:r>
    </w:p>
    <w:p>
      <w:pPr>
        <w:pStyle w:val="GesAbsatz"/>
        <w:ind w:left="426" w:hanging="426"/>
      </w:pPr>
      <w:r>
        <w:t>b)</w:t>
      </w:r>
      <w:r>
        <w:tab/>
        <w:t>aktuelle und voraussichtliche Marktbedingungen, einschließlich gemeinsamer Referenzpreise, sofern relevant;</w:t>
      </w:r>
    </w:p>
    <w:p>
      <w:pPr>
        <w:pStyle w:val="GesAbsatz"/>
        <w:ind w:left="426" w:hanging="426"/>
      </w:pPr>
      <w:r>
        <w:t>c)</w:t>
      </w:r>
      <w:r>
        <w:tab/>
        <w:t>Gewinnspannen als potenzielle Indikatoren für langfristige Investitionen oder Beschlüsse über Standortverlagerungen unter Berücksichtigung der Änderungen der Produktionskosten im Zusammenhang mit Emissionsreduktionen.</w:t>
      </w:r>
    </w:p>
    <w:p>
      <w:pPr>
        <w:pStyle w:val="GesAbsatz"/>
      </w:pPr>
      <w:r>
        <w:t>(3) Sektoren und Teilsektoren, die den in Absatz 1 genannten Schwellenwert nicht überschreiten, aber eine Emissionsintensität in kg CO</w:t>
      </w:r>
      <w:r>
        <w:rPr>
          <w:vertAlign w:val="subscript"/>
        </w:rPr>
        <w:t>2</w:t>
      </w:r>
      <w:r>
        <w:t>, dividiert durch ihre Bruttowertschöpfung (in EUR), von über 1,5 aufweisen, werden ebenfalls auf 4-stelliger Ebene (NACE-Code der Ebene 4) bewertet. Die Kommission veröffentlicht die Ergebnisse dieser Bewertung.</w:t>
      </w:r>
    </w:p>
    <w:p>
      <w:pPr>
        <w:pStyle w:val="GesAbsatz"/>
      </w:pPr>
      <w:r>
        <w:t>Innerhalb von drei Monaten nach der Veröffentlichung gemäß Unterabsatz 1 können die Sektoren und Teilsektoren gemäß jenem Unterabsatz bei der Kommission entweder eine qualitative Bewertung ihres Risikos der Verlagerung von CO</w:t>
      </w:r>
      <w:r>
        <w:rPr>
          <w:vertAlign w:val="subscript"/>
        </w:rPr>
        <w:t>2</w:t>
      </w:r>
      <w:r>
        <w:t>-Emissionen auf 4-stelliger Ebene (NACE-Code der Ebene 4) oder eine Bewertung auf der Grundlage der für die Statistik der Industrieproduktion in der Union verwendeten Warensystematik auf 8-stelliger Ebene (Prodcom) beantragen. Zu diesem Zweck legen Sektoren und Teilsektoren fundierte, vollständige und unabhängig geprüfte Daten vor, damit die Kommission die Bewertung zusammen mit dem Antrag durchführen kann.</w:t>
      </w:r>
    </w:p>
    <w:p>
      <w:pPr>
        <w:pStyle w:val="GesAbsatz"/>
      </w:pPr>
      <w:r>
        <w:t>Ein Sektor oder Teilsektor, der sich dafür entscheidet, auf 4-stelliger Ebene (NACE-Code der Ebene 4) bewertet zu werden, kann auf der Grundlage der Kriterien nach Absatz 2 Buchstaben a, b und c in die Gruppe gemäß Absatz 1 aufgenommen werden. Ein Sektor oder Teilsektor, der sich dafür entscheidet, auf 8-stelliger Ebene (Prodcom) bewertet zu werden, wird in die Gruppe gemäß Absatz 1 aufgenommen, wenn auf dieser Ebene der in Absatz 1 genannte Schwellenwert von 0,2 überschritten wird.</w:t>
      </w:r>
    </w:p>
    <w:p>
      <w:pPr>
        <w:pStyle w:val="GesAbsatz"/>
      </w:pPr>
      <w:r>
        <w:t>Sektoren und Teilsektoren, für die eine kostenlose Zuteilung auf der Grundlage der Benchmarkwerte gemäß Artikel 10a Absatz 2 Unterabsatz 4 berechnet wird, können ebenfalls eine Bewertung gemäß Unterabsatz 3 beantragen.</w:t>
      </w:r>
    </w:p>
    <w:p>
      <w:pPr>
        <w:pStyle w:val="GesAbsatz"/>
      </w:pPr>
      <w:r>
        <w:lastRenderedPageBreak/>
        <w:t>Abweichend von den Absätzen 1 und 2 kann ein Mitgliedstaat bis zum 30. Juni 2018 beantragen, dass ein im Anhang des Beschlusses 2014/746/EU der Kommission</w:t>
      </w:r>
      <w:r>
        <w:rPr>
          <w:rStyle w:val="Funotenzeichen"/>
        </w:rPr>
        <w:footnoteReference w:id="20"/>
      </w:r>
      <w:r>
        <w:t xml:space="preserve"> aufgeführter Sektor oder Teilsektor in Bezug auf die Klassifikationen auf 6- oder auf 8-stelliger Ebene (Prodcom) als der in Absatz 1 genannten Gruppe zugehörig betrachtet wird. Solche Anträge werden nur geprüft, wenn der betreffende Mitgliedstaat anhand fundierter, vollständiger, geprüfter und auditierter Daten für die fünf letzten Jahre, die von dem betreffenden Sektor bzw. Teilsektor geliefert worden sind, nachweist, dass der Ausnahmeantrag berechtigt ist, und alle einschlägigen Informationen beifügt. Auf Grundlage dieser Daten wird der betreffende Sektor bzw. Teilsektor in Bezug auf diese Klassifikationen in die Gruppe aufgenommen, wenn innerhalb einer heterogenen 4-stelligen Ebene (NACE-Code der Ebene 4) der Nachweis erbracht wurde, dass er auf 6-stelliger oder 8-stelliger Ebene (Prodcom) eine beträchtlich höhere Handels- und Emissionsintensität aufweist, die den Schwellenwert nach Absatz 1 überschreitet.</w:t>
      </w:r>
    </w:p>
    <w:p>
      <w:pPr>
        <w:pStyle w:val="GesAbsatz"/>
      </w:pPr>
      <w:r>
        <w:t>(4) Bei anderen Sektoren und Teilsektoren wird davon ausgegangen, dass sie einen größeren Teil der Kosten von Zertifikaten über die Produktpreise weitergeben können; ihnen werden Zertifikate im Umfang von 30 % der gemäß Artikel 10a bestimmten Menge kostenlos zugeteilt. Soweit im Rahmen der Überprüfung gemäß Artikel 30 nichts anderes beschlossen wird, werden die kostenlosen Zuteilungen an andere Sektoren und Teilsektoren, mit Ausnahme der Fernwärme, in den Jahren nach 2026 um jeweils gleich große Mengen gekürzt, damit 2030 ein auf null abgesenktes Niveau der kostenlosen Zuteilung erreicht wird.</w:t>
      </w:r>
    </w:p>
    <w:p>
      <w:pPr>
        <w:pStyle w:val="GesAbsatz"/>
      </w:pPr>
      <w:r>
        <w:t>(5) Der Kommission wird die Befugnis übertragen, zur Ergänzung dieser Richtlinie bis zum 31. Dezember 2019 gemäß Artikel 23 delegierte Rechtsakte zu erlassen, die Bestimmung der Sektoren bzw. Teilsektoren gemäß den Absätzen 1, 2 und 3 dieses Artikels betreffen, bei denen davon ausgegangen wird, dass ein Risiko einer Verlagerung von CO</w:t>
      </w:r>
      <w:r>
        <w:rPr>
          <w:vertAlign w:val="subscript"/>
        </w:rPr>
        <w:t>2</w:t>
      </w:r>
      <w:r>
        <w:t>-Emissionen für Tätigkeiten mit einem 4-stelligen Code (NACE-Code der Ebene 4) im Fall von Absatz 1 dieses Artikels besteht, wobei die für die drei letzten Kalenderjahre vorliegenden Daten zugrunde gelegt werden.</w:t>
      </w:r>
    </w:p>
    <w:p>
      <w:pPr>
        <w:pStyle w:val="berschrift2"/>
      </w:pPr>
      <w:bookmarkStart w:id="26" w:name="_Toc146879905"/>
      <w:r>
        <w:t>Artikel 10c</w:t>
      </w:r>
      <w:r>
        <w:br/>
        <w:t>Option der übergangsweisen kostenlosen Zuteilung von Zertifikaten</w:t>
      </w:r>
      <w:r>
        <w:br/>
        <w:t>zur Modernisierung des Energiesektors</w:t>
      </w:r>
      <w:bookmarkEnd w:id="26"/>
    </w:p>
    <w:p>
      <w:pPr>
        <w:pStyle w:val="GesAbsatz"/>
      </w:pPr>
      <w:r>
        <w:t>(1) Abweichend von Artikel 10a Absätze 1 bis 5 können Mitgliedstaaten, deren Pro-Kopf-BIP im Jahr 2013 zu Marktpreisen (in EUR) unter 60 % des Unionsdurchschnitts lag, Stromerzeugungsanlagen zur Modernisierung, Diversifizierung und nachhaltigen Umgestaltung des Energiesektors übergangsweise kostenlose Zertifikate zuteilen. Die geförderten Investitionen müssen mit dem Übergang zu einer sicheren und nachhaltigen Wirtschaft mit geringem CO</w:t>
      </w:r>
      <w:r>
        <w:rPr>
          <w:vertAlign w:val="subscript"/>
        </w:rPr>
        <w:t>2</w:t>
      </w:r>
      <w:r>
        <w:t>-Ausstoß sowie mit den Zielen des Rahmens der Union für die Klima- und Energiepolitik bis 2030 und der Verwirklichung der im Übereinkommen von Paris enthaltenen langfristigen Ziele vereinbar sein. Die Ausnahmeregelung gemäß diesem Absatz endet am 31. Dezember 2030.</w:t>
      </w:r>
    </w:p>
    <w:p>
      <w:pPr>
        <w:pStyle w:val="GesAbsatz"/>
      </w:pPr>
      <w:r>
        <w:t>(2) Bei Projekten mit einem Gesamtinvestitionsbedarf von über 12,5 Mio. EUR wählt der betreffende Mitgliedstaat die Investitionen, die durch kostenlose Zuteilung finanziert werden sollen, im Wege eines Ausschreibungsverfahrens aus, die zwischen 2021 und 2030 in einer oder mehreren Runden durchgeführt wird. Im Rahmen dieses Ausschreibungsverfahrens</w:t>
      </w:r>
    </w:p>
    <w:p>
      <w:pPr>
        <w:pStyle w:val="GesAbsatz"/>
        <w:ind w:left="426" w:hanging="426"/>
      </w:pPr>
      <w:r>
        <w:t>a)</w:t>
      </w:r>
      <w:r>
        <w:tab/>
        <w:t>werden die Grundsätze der Transparenz, der Nichtdiskriminierung, der Gleichbehandlung und der wirtschaftlichen Haushaltsführung gewahrt;</w:t>
      </w:r>
    </w:p>
    <w:p>
      <w:pPr>
        <w:pStyle w:val="GesAbsatz"/>
        <w:ind w:left="426" w:hanging="426"/>
      </w:pPr>
      <w:r>
        <w:t>b)</w:t>
      </w:r>
      <w:r>
        <w:tab/>
        <w:t>sind nur Projekte teilnahmeberechtigt, die zur Diversifizierung des Energiemix und der Versorgungsquellen des Mitgliedstaats, zur nötigen Umstrukturierung, zur Umweltverbesserung und Nachbesserung der Infrastruktur, zu sauberen Technologien, wie Technologien für erneuerbare Energien, oder zur Modernisierung des Energieerzeugungssektors, wie effiziente und nachhaltige Fernwärme, und des Energieübertragungs- und Energieverteilungssektors beitragen;</w:t>
      </w:r>
    </w:p>
    <w:p>
      <w:pPr>
        <w:pStyle w:val="GesAbsatz"/>
        <w:ind w:left="426" w:hanging="426"/>
      </w:pPr>
      <w:r>
        <w:t>c)</w:t>
      </w:r>
      <w:r>
        <w:tab/>
        <w:t>wird die Rangordnung der Projekte nach klaren, objektiven, transparenten und nicht diskriminierenden Auswahlkriterien festgelegt, damit nur Projekte ausgewählt werden, die</w:t>
      </w:r>
    </w:p>
    <w:p>
      <w:pPr>
        <w:pStyle w:val="GesAbsatz"/>
        <w:ind w:left="851" w:hanging="425"/>
      </w:pPr>
      <w:r>
        <w:t>i)</w:t>
      </w:r>
      <w:r>
        <w:tab/>
        <w:t>auf Basis einer Kosten-Nutzen-Analyse einen positiven Nettogewinn in Form einer Emissionsreduktion gewährleisten und einen im Voraus festgesetzten hohen Umfang an CO</w:t>
      </w:r>
      <w:r>
        <w:rPr>
          <w:vertAlign w:val="subscript"/>
        </w:rPr>
        <w:t>2</w:t>
      </w:r>
      <w:r>
        <w:t>-Reduktionen unter Berücksichtigung der Größe der Projekte realisieren;</w:t>
      </w:r>
    </w:p>
    <w:p>
      <w:pPr>
        <w:pStyle w:val="GesAbsatz"/>
        <w:ind w:left="851" w:hanging="425"/>
      </w:pPr>
      <w:r>
        <w:t>ii)</w:t>
      </w:r>
      <w:r>
        <w:tab/>
        <w:t>Zusatzcharakter haben, dem Erneuerungs- und Modernisierungsbedarf zweifelsfrei gerecht werden und nicht dazu dienen, eine marktbedingte Steigerung der Energienachfrage zu befriedigen;</w:t>
      </w:r>
    </w:p>
    <w:p>
      <w:pPr>
        <w:pStyle w:val="GesAbsatz"/>
        <w:ind w:left="851" w:hanging="425"/>
      </w:pPr>
      <w:r>
        <w:t>iii)</w:t>
      </w:r>
      <w:r>
        <w:tab/>
        <w:t>das beste Preis-Leistungs-Verhältnis aufweisen; und</w:t>
      </w:r>
    </w:p>
    <w:p>
      <w:pPr>
        <w:pStyle w:val="GesAbsatz"/>
        <w:ind w:left="851" w:hanging="425"/>
      </w:pPr>
      <w:r>
        <w:t>iv)</w:t>
      </w:r>
      <w:r>
        <w:tab/>
        <w:t>weder zur finanziellen Tragfähigkeit von sehr emissionsintensiver Stromerzeugung beitragen oder diese verbessern noch die Abhängigkeit von emissionsintensiven fossilen Brennstoffen erhöhen.</w:t>
      </w:r>
    </w:p>
    <w:p>
      <w:pPr>
        <w:pStyle w:val="GesAbsatz"/>
      </w:pPr>
      <w:r>
        <w:lastRenderedPageBreak/>
        <w:t>Abweichend von Artikel 10 Absatz 1 und unbeschadet des letzten Satzes von Absatz 1 dieses Artikels können die vorgesehenen Zertifikate, falls ein im Rahmen des Ausschreibungsverfahrens ausgewähltes Investitionsprojekt eingestellt oder die beabsichtigte Leistung nicht erreicht wird, frühestens ein Jahr später durch eine einzige zusätzliche Runde des Ausschreibungsverfahrens zur Finanzierung anderer Investitionen verwendet werden.</w:t>
      </w:r>
    </w:p>
    <w:p>
      <w:pPr>
        <w:pStyle w:val="GesAbsatz"/>
      </w:pPr>
      <w:r>
        <w:t>Mitgliedstaaten, die beabsichtigen, von der Option der übergangsweise kostenlosen Zuteilung für die Modernisierung des Energiesektors Gebrauch zu machen, veröffentlichen bis 30. Juni 2019 zwecks Stellungnahme der Öffentlichkeit detaillierte nationale Rahmenvorschriften für das Ausschreibungsverfahren, einschließlich der geplanten Anzahl der in Unterabsatz genannten Runden, und für die Auswahlwahlkriterien.</w:t>
      </w:r>
    </w:p>
    <w:p>
      <w:pPr>
        <w:pStyle w:val="GesAbsatz"/>
      </w:pPr>
      <w:r>
        <w:t>Soweit Investitionen im Wert von weniger als 12,5 Mio. EUR mit der kostenlosen Zuteilung gefördert werden müssen und nicht im Rahmen des in diesem Absatz genannten Ausschreibungsverfahrens ausgewählt werden, wählen die Mitgliedstaaten die Projekte nach objektiven und transparenten Kriterien aus. Die Ergebnisse dieses Auswahlprozesses werden zwecks Stellungnahme der Öffentlichkeit veröffentlicht. Dazu erstellt, veröffentlicht und übermittelt der betreffende Mitgliedstaat der Kommission bis 30. Juni 2019 eine Liste der Investitionen. Wird mehr als eine Investition in dieselbe Anlage getätigt, werden diese in ihrer Gesamtheit bewertet, um festzustellen, ob der vorgenannte Schwellenwert von 12,5 Mio. EUR überschritten wurde, es sei denn, diese Investitionen sind unabhängig voneinander technisch oder finanziell tragfähig.</w:t>
      </w:r>
    </w:p>
    <w:p>
      <w:pPr>
        <w:pStyle w:val="GesAbsatz"/>
      </w:pPr>
      <w:r>
        <w:t>(3) Der Wert der geplanten Investitionen muss zumindest dem Marktwert der kostenlos zugeteilten Zertifikate entsprechen, wobei zugleich jedoch die notwendige Begrenzung direkt damit verbundener Preissteigerungen zu berücksichtigen ist. Der Marktwert entspricht dem Durchschnittspreis, den Zertifikate auf der gemeinsamen Auktionsplattform im vorangegangenen Kalenderjahr erzielt haben. Bis zu 70 % der relevanten Investitionskosten können durch kostenlose Zuteilung gefördert werden, sofern die Restkosten von privaten juristischen Personen finanziert werden.</w:t>
      </w:r>
    </w:p>
    <w:p>
      <w:pPr>
        <w:pStyle w:val="GesAbsatz"/>
      </w:pPr>
      <w:r>
        <w:t>(4) Übergangsweise kostenlose Zuteilungen werden von der Zertifikatmenge, die der Mitgliedstaat sonst versteigern würde, abgezogen. Die Gesamtmenge kostenlos zugeteilter Zertifikate darf nicht mehr als 40 % der Zertifikate betragen, die der betreffende Mitgliedstaat gemäß Artikel 10 Absatz 2 Buchstabe a im Zeitraum von 2021 bis 2030 in identischen Jahrestranchen erhalten wird.</w:t>
      </w:r>
    </w:p>
    <w:p>
      <w:pPr>
        <w:pStyle w:val="GesAbsatz"/>
      </w:pPr>
      <w:r>
        <w:t>(5) Verwendet ein Mitgliedstaat gemäß Artikel 10d Absatz 4 Zertifikate, die im Interesse der Solidarität, des Wachstums und des Verbunds in der Union gemäß Artikel 10 Absatz 2 Buchstabe b aufgeteilt werden, so kann der Mitgliedstaat abweichend von Absatz 4 des vorliegenden Artikels für die übergangsweise kostenlose Zuteilung eine Gesamtmenge von bis zu 60 % der Zertifikate, die er im Zeitraum von 2021 bis 2030 erhalten hat, verwenden, wobei eine entsprechende Anzahl an gemäß Artikel 10 Absatz 2 Buchstabe b aufgeteilten Zertifikaten zu verwenden ist.</w:t>
      </w:r>
    </w:p>
    <w:p>
      <w:pPr>
        <w:pStyle w:val="GesAbsatz"/>
      </w:pPr>
      <w:r>
        <w:t>Alle bis 2020 nicht gemäß diesem Artikel zugeteilten Zertifikate können für Investitionen im Zeitraum von 2021 bis 2030 zugeteilt werden, die im Wege des Ausschreibungsverfahrens gemäß Absatz 2 ausgewählt werden, sofern der betreffende Mitgliedstaat die Kommission bis zum 30. September 2019 über seine Absicht, einige oder alle dieser Zertifikate im Zeitraum von 2021 bis 2030 nicht zuzuteilen, und über die Menge der stattdessen im Jahr 2020 zu versteigernden Zertifikate unterrichtet. Werden derartige Zertifikate im Zeitraum von 2021 bis 2030 zugeteilt, so wird eine entsprechende Menge von Zertifikaten bei der Anwendung der in Unterabsatz 1 dieses Absatzes genannten Obergrenze von 60 % berücksichtigt.</w:t>
      </w:r>
    </w:p>
    <w:p>
      <w:pPr>
        <w:pStyle w:val="GesAbsatz"/>
      </w:pPr>
      <w:r>
        <w:t>(6) Zuteilungen an Betreiber werden von dem Nachweis abhängig gemacht, dass eine nach den Regeln des Ausschreibungsverfahrens ausgewählte Investition getätigt wurde. Ergibt sich aus einer Investition eine zusätzliche Stromerzeugungskapazität, so muss der Betreiber zudem nachweisen, dass eine emissionsintensivere Stromerzeugungskapazität in entsprechendem Umfang von ihm oder einem anderen beteiligten Betreiber bis zur Inbetriebnahme der zusätzlichen Kapazität stillgelegt wurde.</w:t>
      </w:r>
    </w:p>
    <w:p>
      <w:pPr>
        <w:pStyle w:val="GesAbsatz"/>
      </w:pPr>
      <w:r>
        <w:t>(7) Die Mitgliedstaaten verpflichten die begünstigten Stromerzeuger und Netzwerkbetreiber, bis zum 28. Februar jedes Jahres über den Stand der Durchführung ihrer ausgewählten Investitionen, einschließlich des Verhältnisses zwischen kostenlosen Zuteilungen und Investitionsausgaben und der Arten der geförderten Investitionen, zu berichten. Die Mitgliedstaaten erstatten der Kommission diesbezüglich Bericht; die Kommission ihrerseits veröffentlicht diese Berichte.</w:t>
      </w:r>
    </w:p>
    <w:p>
      <w:pPr>
        <w:pStyle w:val="berschrift2"/>
      </w:pPr>
      <w:bookmarkStart w:id="27" w:name="_Toc146879906"/>
      <w:r>
        <w:t>Artikel 10d</w:t>
      </w:r>
      <w:r>
        <w:br/>
        <w:t>Modernisierungsfonds</w:t>
      </w:r>
      <w:bookmarkEnd w:id="27"/>
    </w:p>
    <w:p>
      <w:pPr>
        <w:pStyle w:val="GesAbsatz"/>
      </w:pPr>
      <w:r>
        <w:t>(1) Zur Förderung der von den begünstigten Mitgliedstaaten vorgeschlagenen Investitionen — auch zur Finanzierung kleinmaßstäblicher Investitionsprojekte — zur Modernisierung von Energiesystemen und zur Verbesserung der Energieeffizienz in Mitgliedstaaten, deren Pro-Kopf-BIP zu Marktpreisen im Jahr 2013 unter 60 % des Unionsdurchschnitts lag, wird für den Zeitraum von 2021 bis 2030 ein Fonds (im Folgenden ‚Modernisierungsfonds‘) angelegt. Der Modernisierungsfonds wird durch die Versteigerung von Zertifikaten gemäß Artikel 10 finanziert.</w:t>
      </w:r>
    </w:p>
    <w:p>
      <w:pPr>
        <w:pStyle w:val="GesAbsatz"/>
      </w:pPr>
      <w:r>
        <w:lastRenderedPageBreak/>
        <w:t>Die geförderten Investitionen müssen mit den Zielen dieser Richtlinie sowie mit den Zielen des Rahmens der Union für die Klima- und Energiepolitik bis 2030 und den im Übereinkommen von Paris enthaltenen langfristigen Zielen vereinbar sein. Keine Unterstützung aus dem Modernisierungsfonds wird Energieerzeugungsanlagen gewährt, die feste fossile Brennstoffe verwenden, soweit es sich nicht um effiziente und nachhaltige Fernwärme in Mitgliedstaaten mit einem Pro-Kopf-BIP zu Marktpreisen im Jahr 2013 unter 30 % des Unionsdurchschnitts handelt, sofern eine Menge von Zertifikaten von mindestens entsprechendem Wert für Investitionen nach Artikel 10c verwendet wird, bei denen keine festen fossilen Brennstoffe betroffen sind.</w:t>
      </w:r>
    </w:p>
    <w:p>
      <w:pPr>
        <w:pStyle w:val="GesAbsatz"/>
      </w:pPr>
      <w:r>
        <w:t>(2) Mindestens 70 % der Finanzmittel aus dem Modernisierungsfonds werden dazu verwendet, Investitionen in die Erzeugung und Nutzung von Strom aus erneuerbaren Energiequellen, in die Verbesserung der Energieeffizienz mit Ausnahme von Energieeffizienz der Energieerzeugung unter Verwendung fester fossiler Brennstoffe, in die Energiespeicherung und in die Modernisierung von Energienetzen, einschließlich Fernwärmeleitungen, Netzen für die Stromübertragung und Ausbau der Verbundnetze zwischen den Mitgliedstaaten, zu fördern und einen fairen Übergang in den kohleabhängigen Regionen in den begünstigten Mitgliedstaaten zu unterstützen, um damit die Wiedereingliederung, Umschulung und Weiterbildung der Arbeitnehmer sowie Ausbildung, Stellenvermittlungsinitiativen und Start-up-Unternehmen im Dialog mit den Sozialpartnern zu unterstützen. Auch Investitionen in die Energieeffizienz in den Bereichen Verkehr, Gebäude, Landwirtschaft und Abfallwirtschaft sind förderfähig.</w:t>
      </w:r>
    </w:p>
    <w:p>
      <w:pPr>
        <w:pStyle w:val="GesAbsatz"/>
      </w:pPr>
      <w:r>
        <w:t>(3) Die begünstigten Mitgliedstaaten sind für den Betrieb des Modernisierungsfonds verantwortlich. Die EIB gewährleistet, dass diese Zertifikate gemäß den in Artikel 10 Absatz 4 festgelegten Grundsätzen und Modalitäten versteigert werden, und ist für die Verwaltung der Einkünfte zuständig. Die EIB leitet die Einkünfte auf einen Auszahlungsbeschluss der Kommission hin an die Mitgliedstaaten weiter, sofern diese Auszahlung für Investitionen mit Absatz 2 dieses Artikels oder, falls die Investitionen nicht in die in Absatz 2 dieses Artikels aufgeführten Bereiche fallen, mit den Empfehlungen des Investitionsausschusses in Einklang steht. Die Kommission erlässt ihren Beschluss rechtzeitig. Die Einkünfte werden in Einklang mit den Absätzen 6 bis 12 dieses Artikels gemäß den in Anhang IIb festgelegten Anteilen unter den Mitgliedstaaten aufgeteilt.</w:t>
      </w:r>
    </w:p>
    <w:p>
      <w:pPr>
        <w:pStyle w:val="GesAbsatz"/>
      </w:pPr>
      <w:r>
        <w:t>(4) Jeder betroffene Mitgliedstaat kann die kostenlose Zuteilung nach Artikel 10c Absatz 4 zur Gänze oder teilweise verwenden und die Menge der im Interesse der Solidarität, des Wachstums und des Verbunds in der Union gemäß Artikel 10 Absatz 2 Buchstabe b aufgeteilten Zertifikate oder einen Teil dieser Menge gemäß Artikel 10d verwenden, um Investitionen im Rahmen des Modernisierungsfonds zu unterstützen, womit die diesem Mitgliedstaat zugeteilten Ressourcen erhöht werden. Bis 30. September 2019 meldet der betreffende Mitgliedstaat der Kommission die jeweiligen Mengen von Zertifikaten, die nach Artikel 10 Absatz 2 Buchstabe b, Artikel 10c und Artikel 10d zu verwenden sind.</w:t>
      </w:r>
    </w:p>
    <w:p>
      <w:pPr>
        <w:pStyle w:val="GesAbsatz"/>
      </w:pPr>
      <w:r>
        <w:t>(5) Hiermit wird ein Investitionsausschuss für den Modernisierungsfonds eingesetzt. Der Investitionsausschuss setzt sich zusammen aus je einem Vertreter jedes begünstigten Mitgliedstaats, der Kommission und der EIB sowie drei Vertretern, die für jeweils fünf Jahre von den anderen Mitgliedstaaten gewählt werden. Den Vorsitz führt der Vertreter der Kommission. Aus jedem Mitgliedstaat, der nicht dem Investitionsausschuss angehört, kann ein Vertreter als Beobachter an den Sitzungen des Ausschusses teilnehmen.</w:t>
      </w:r>
    </w:p>
    <w:p>
      <w:pPr>
        <w:pStyle w:val="GesAbsatz"/>
      </w:pPr>
      <w:r>
        <w:t>Der Investitionsausschuss muss transparent handeln. Die Zusammensetzung des Investitionsausschusses und die Lebensläufe und Interessenerklärungen seiner Mitglieder werden der Öffentlichkeit zugänglich gemacht und erforderlichenfalls aktualisiert.</w:t>
      </w:r>
    </w:p>
    <w:p>
      <w:pPr>
        <w:pStyle w:val="GesAbsatz"/>
      </w:pPr>
      <w:r>
        <w:t>(6) Bevor ein begünstigter Mitgliedstaat entscheidet, eine Investition aus seinem Anteil des Modernisierungsfonds zu finanzieren, muss er das Investitionsprojekt dem Investitionsausschuss und der EIB vorstellen. Bestätigt die EIB, dass eine Investition in die in Absatz 2 aufgeführten Bereiche fällt, kann der Mitgliedstaat das Investitionsprojekt aus seinem Anteil finanzieren.</w:t>
      </w:r>
    </w:p>
    <w:p>
      <w:pPr>
        <w:pStyle w:val="GesAbsatz"/>
      </w:pPr>
      <w:r>
        <w:t>Fällt eine Investition in die Modernisierung von Energiesystemen, deren Finanzierung aus dem Modernisierungsfonds vorgeschlagen wird, nicht in die in Absatz 2 aufgeführten Bereiche, bewertet der Investitionsausschuss die technische und finanzielle Machbarkeit dieser Investition und die mit ihr erreichten Emissionsreduktionen und gibt eine Empfehlung über die Finanzierung der Investition aus dem Modernisierungsfonds ab. Der Investitionsausschuss stellt sicher, dass alle Investitionen in Bezug auf Fernwärme eine erhebliche Verbesserung bei Energieeffizienz und Emissionsreduktionen erreichen. Diese Empfehlung kann Vorschläge für angemessene Finanzierungsinstrumente umfassen. Bis zu 70 % der relevanten Kosten einer Investitionen, die nicht in die in Absatz 2 aufgeführten Bereiche fällt, kann mit Mitteln aus dem Modernisierungsfonds unterstützt werden, sofern die übrigen Kosten von privaten juristischen Personen finanziert werden.</w:t>
      </w:r>
    </w:p>
    <w:p>
      <w:pPr>
        <w:pStyle w:val="GesAbsatz"/>
      </w:pPr>
      <w:r>
        <w:t>(7) Der Investitionsausschuss muss bestrebt sein, seine Empfehlungen einvernehmlich zu verabschieden. Ist der Investitionsausschuss nicht in der Lage, innerhalb einer von seinem Vorsitzenden festgesetzten Frist einvernehmlich zu entscheiden, so fasst er den betreffenden Beschluss mit einfacher Mehrheit.</w:t>
      </w:r>
    </w:p>
    <w:p>
      <w:pPr>
        <w:pStyle w:val="GesAbsatz"/>
      </w:pPr>
      <w:r>
        <w:t xml:space="preserve">Unterstützt der Vertreter der EIB die Finanzierung einer Investition nicht, so kann eine Empfehlung nur mit Zweidrittelmehrheit aller Mitglieder angenommen werden. Der Vertreter des Mitgliedstaats, in dem die Investition getätigt wird, und der Vertreter der EIB sind in diesem Fall nicht stimmberechtigt. Dieser Unterabsatz gilt </w:t>
      </w:r>
      <w:r>
        <w:lastRenderedPageBreak/>
        <w:t>nicht im Falle kleinmaßstäblicher Projekte, die über Darlehen einer nationalen Förderbank oder über Zuschüsse finanziert werden, mit denen die Durchführung eines nationalen Programms gefördert wird, dessen spezifische Ziele den Zielen des Modernisierungsfonds entsprechen, sofern nicht mehr als 10 % der Anteile der Mitgliedstaaten gemäß Anhang IIb für dieses Programm verwendet werden.</w:t>
      </w:r>
    </w:p>
    <w:p>
      <w:pPr>
        <w:pStyle w:val="GesAbsatz"/>
      </w:pPr>
      <w:r>
        <w:t>(8) Jegliche gemäß der Absätze 6 und 7 vorgenommene Handlung oder Empfehlung der EIB oder des Investitionsausschusses erfolgt rechtzeitig und unter Angabe der Gründe, auf die sie sich stützt. Diese Handlungen und Empfehlungen werden veröffentlicht.</w:t>
      </w:r>
    </w:p>
    <w:p>
      <w:pPr>
        <w:pStyle w:val="GesAbsatz"/>
      </w:pPr>
      <w:r>
        <w:t>(9) Die begünstigten Mitgliedstaaten sind dafür verantwortlich, die Durchführung der ausgewählten Projekte zu überwachen.</w:t>
      </w:r>
    </w:p>
    <w:p>
      <w:pPr>
        <w:pStyle w:val="GesAbsatz"/>
      </w:pPr>
      <w:r>
        <w:t>(10) Die begünstigten Mitgliedstaaten erstatten der Kommission jährlich über aus dem Modernisierungsfonds finanzierte Investitionen Bericht. Diese Berichte werden veröffentlicht und enthalten</w:t>
      </w:r>
    </w:p>
    <w:p>
      <w:pPr>
        <w:pStyle w:val="GesAbsatz"/>
      </w:pPr>
      <w:r>
        <w:t>a)</w:t>
      </w:r>
      <w:r>
        <w:tab/>
        <w:t>Informationen über die finanzierten Investitionen, aufgeschlüsselt nach begünstigten Mitgliedstaaten;</w:t>
      </w:r>
    </w:p>
    <w:p>
      <w:pPr>
        <w:pStyle w:val="GesAbsatz"/>
        <w:ind w:left="426" w:hanging="426"/>
      </w:pPr>
      <w:r>
        <w:t>b)</w:t>
      </w:r>
      <w:r>
        <w:tab/>
        <w:t>eine Bewertung der Wertschöpfung, gemessen als die mit der Investition erreichte Verbesserung der Energieeffizienz oder Modernisierung des Energiesystems.</w:t>
      </w:r>
    </w:p>
    <w:p>
      <w:pPr>
        <w:pStyle w:val="GesAbsatz"/>
      </w:pPr>
      <w:r>
        <w:t>(11) Der Investitionsausschuss erstattet der Kommission jährlich Bericht über die Erfahrungen mit der Bewertung von Investitionsprojekten. Die Kommission überprüft bis zum 31. Dezember 2024 unter Berücksichtigung der Erkenntnisse des Investitionsausschusses die Bereiche für Projekte gemäß Absatz 2 und die Grundlage, auf die der Investitionsausschuss seine Empfehlungen stützt.</w:t>
      </w:r>
    </w:p>
    <w:p>
      <w:pPr>
        <w:pStyle w:val="GesAbsatz"/>
      </w:pPr>
      <w:r>
        <w:t>(12) Die Kommission erlässt Durchführungsrechtsakte mit detaillierten Vorschriften zur Arbeit des Modernisierungsfonds. Diese Durchführungsrechtsakte werden gemäß dem in Artikel 22a Absatz 2 genannten Prüfverfahren erlassen.</w:t>
      </w:r>
    </w:p>
    <w:p>
      <w:pPr>
        <w:pStyle w:val="berschrift2"/>
      </w:pPr>
      <w:bookmarkStart w:id="28" w:name="_Toc146879907"/>
      <w:r>
        <w:t>Artikel 10e</w:t>
      </w:r>
      <w:r>
        <w:br/>
        <w:t>Aufbau- und Resilienzfazilität</w:t>
      </w:r>
      <w:bookmarkEnd w:id="28"/>
    </w:p>
    <w:p>
      <w:pPr>
        <w:pStyle w:val="GesAbsatz"/>
      </w:pPr>
      <w:r>
        <w:t>(1) Als außerordentliche und einmalige Maßnahme werden bis zum 31. August 2026 die gemäß den Absätzen 2 und 3 dieses Artikels versteigerten Zertifikate versteigert, bis der Gesamtbetrag der Einnahmen aus dieser Versteigerung 20 Mrd. EUR erreicht hat. Diese Einnahmen werden der mit der Verordnung (EU) 2021/241 des Europäischen Parlaments und des Rates</w:t>
      </w:r>
      <w:r>
        <w:rPr>
          <w:rStyle w:val="Funotenzeichen"/>
        </w:rPr>
        <w:footnoteReference w:id="21"/>
      </w:r>
      <w:r>
        <w:t xml:space="preserve"> eingerichteten Aufbau- und Resilienzfazilität zur Verfügung gestellt und im Einklang mit den Bestimmungen jener Verordnung eingesetzt.</w:t>
      </w:r>
    </w:p>
    <w:p>
      <w:pPr>
        <w:pStyle w:val="GesAbsatz"/>
        <w:rPr>
          <w:rFonts w:cs="Arial"/>
        </w:rPr>
      </w:pPr>
      <w:r>
        <w:rPr>
          <w:rFonts w:cs="Arial"/>
        </w:rPr>
        <w:t>(2) Abweichend von Artikel 10a Absatz 8 wird bis zum 31. August 2026 ein Teil der in jenem Absatz genannten Zertifikate versteigert, um zu den in Artikel 21c Absatz 3 Buchstaben b bis f der Verordnung (EU) 2021/241 festgelegten Zielen beizutragen, bis der Betrag der Einnahmen aus dieser Versteigerung 12 Mrd. EUR erreicht hat.</w:t>
      </w:r>
    </w:p>
    <w:p>
      <w:pPr>
        <w:pStyle w:val="GesAbsatz"/>
        <w:rPr>
          <w:rFonts w:cs="Arial"/>
        </w:rPr>
      </w:pPr>
      <w:r>
        <w:rPr>
          <w:rFonts w:cs="Arial"/>
        </w:rPr>
        <w:t>(3) Ein Teil der Zertifikate aus der Menge, die ansonsten von den Mitgliedstaaten gemäß Artikel 10 Absatz 2 Buchstabe a vom 1. Januar 2027 bis zum 31. Dezember 2030 versteigert würde, wird bis zum 31. August 2026 versteigert, um zu den in Artikel 21c Absatz 3 Buchstaben b bis f der Verordnung (EU) 2021/241 genannten Zielen beizutragen, bis der Betrag der Einnahmen aus dieser Versteigerung 8 Mrd. EUR erreicht hat. Diese Zertifikate werden über den betreffenden Zeitraum grundsätzlich in gleichen jährlichen Tranchen versteigert.</w:t>
      </w:r>
    </w:p>
    <w:p>
      <w:pPr>
        <w:pStyle w:val="GesAbsatz"/>
        <w:rPr>
          <w:rFonts w:cs="Arial"/>
        </w:rPr>
      </w:pPr>
      <w:r>
        <w:rPr>
          <w:rFonts w:cs="Arial"/>
        </w:rPr>
        <w:t>(4) Abweichend von Artikel 1 Absatz 5a des Beschlusses (EU) 2015/1814 werden bis zum 31. Dezember 2030 27 Mio. nicht zugeteilte Zertifikate in der Marktstabilitätsreserve aus der kumulierten Menge, die andernfalls bis zum 31. Dezember 2030 für ungültig erklärt werden würde, eingesetzt, um gemäß Artikel 10a Absatz 8 Unterabsatz 1 der vorliegenden Richtlinie Innovationen zu fördern.</w:t>
      </w:r>
    </w:p>
    <w:p>
      <w:pPr>
        <w:pStyle w:val="GesAbsatz"/>
        <w:rPr>
          <w:rFonts w:cs="Arial"/>
        </w:rPr>
      </w:pPr>
      <w:r>
        <w:rPr>
          <w:rFonts w:cs="Arial"/>
        </w:rPr>
        <w:t>(5) Die Kommission gewährleistet, dass die gemäß den Absätzen 2 und 3 zu versteigernden Zertifikate, gegebenenfalls auch für Vorfinanzierungszahlungen im Einklang mit Artikel 21d der Verordnung (EU) 2021/241, gemäß den in Artikel 10 Absatz 4 der vorliegenden Richtlinie festgelegten Grundsätzen und Modalitäten sowie im Einklang mit Artikel 24 der Verordnung (EU) Nr. 1031/2010 der Kommission</w:t>
      </w:r>
      <w:r>
        <w:rPr>
          <w:rStyle w:val="Funotenzeichen"/>
          <w:rFonts w:cs="Arial"/>
        </w:rPr>
        <w:footnoteReference w:id="22"/>
      </w:r>
      <w:r>
        <w:rPr>
          <w:rFonts w:cs="Arial"/>
        </w:rPr>
        <w:t xml:space="preserve"> versteigert werden, damit der Innovationsfonds in dem Zeitraum 2023 bis 2026 mit angemessenen Mitteln ausgestattet ist. Der in diesem Artikel angegebene Zeitraum für Versteigerungen wird ein Jahr nach Anwendungsbeginn im Hinblick auf die Auswirkungen der Versteigerungen gemäß dem vorliegenden Artikel auf den CO</w:t>
      </w:r>
      <w:r>
        <w:rPr>
          <w:rFonts w:cs="Arial"/>
          <w:vertAlign w:val="subscript"/>
        </w:rPr>
        <w:t>2</w:t>
      </w:r>
      <w:r>
        <w:rPr>
          <w:rFonts w:cs="Arial"/>
        </w:rPr>
        <w:t xml:space="preserve"> -Markt und den CO</w:t>
      </w:r>
      <w:r>
        <w:rPr>
          <w:rFonts w:cs="Arial"/>
          <w:vertAlign w:val="subscript"/>
        </w:rPr>
        <w:t>2</w:t>
      </w:r>
      <w:r>
        <w:rPr>
          <w:rFonts w:cs="Arial"/>
        </w:rPr>
        <w:t xml:space="preserve"> -Preis überprüft.</w:t>
      </w:r>
    </w:p>
    <w:p>
      <w:pPr>
        <w:pStyle w:val="GesAbsatz"/>
        <w:rPr>
          <w:rFonts w:cs="Arial"/>
        </w:rPr>
      </w:pPr>
      <w:r>
        <w:rPr>
          <w:rFonts w:cs="Arial"/>
        </w:rPr>
        <w:lastRenderedPageBreak/>
        <w:t>(6) Die gemäß dem vorliegenden Artikel zu versteigernden Zertifikate werden von der EIB in ihrer Funktion als Auktionator auf der gemäß Artikel 26 Absatz 1 der Verordnung (EU) Nr. 1031/2010 bestellten Auktionsplattform versteigert und die durch die Versteigerung erzielten Einnahmen werden der Kommission zur Verfügung gestellt.</w:t>
      </w:r>
    </w:p>
    <w:p>
      <w:pPr>
        <w:pStyle w:val="GesAbsatz"/>
        <w:rPr>
          <w:rFonts w:cs="Arial"/>
        </w:rPr>
      </w:pPr>
      <w:r>
        <w:rPr>
          <w:rFonts w:cs="Arial"/>
        </w:rPr>
        <w:t>(7) Die Erlöse aus der Versteigerung von Zertifikaten gelten als externe zweckgebundene Einnahmen gemäß Artikel 21 Absatz 5 der Verordnung (EU, Euratom) 2018/1046 des Europäischen Parlaments und des Rates</w:t>
      </w:r>
      <w:r>
        <w:rPr>
          <w:rStyle w:val="Funotenzeichen"/>
          <w:rFonts w:cs="Arial"/>
        </w:rPr>
        <w:footnoteReference w:id="23"/>
      </w:r>
      <w:r>
        <w:rPr>
          <w:rFonts w:cs="Arial"/>
        </w:rPr>
        <w:t>.</w:t>
      </w:r>
    </w:p>
    <w:p>
      <w:pPr>
        <w:pStyle w:val="berschrift2"/>
      </w:pPr>
      <w:bookmarkStart w:id="29" w:name="_Toc146879908"/>
      <w:r>
        <w:t>Artikel 11</w:t>
      </w:r>
      <w:r>
        <w:br/>
        <w:t>Nationale Umsetzungsmaßnahmen</w:t>
      </w:r>
      <w:bookmarkEnd w:id="29"/>
    </w:p>
    <w:p>
      <w:pPr>
        <w:pStyle w:val="GesAbsatz"/>
      </w:pPr>
      <w:r>
        <w:t>(1) Jeder Mitgliedstaat veröffentlicht und unterbreitet der Kommission bis 30. September 2011 das Verzeichnis der in seinem Hoheitsgebiet unter diese Richtlinie fallenden Anlagen und alle den einzelnen Anlagen in seinem Hoheitsgebiet kostenlos zugeteilten Zertifikate, die im Einklang mit den Vorschriften gemäß Artikel 10a Absatz 1 und Artikel 10c berechnet wurden.</w:t>
      </w:r>
    </w:p>
    <w:p>
      <w:pPr>
        <w:pStyle w:val="GesAbsatz"/>
      </w:pPr>
      <w:r>
        <w:t>Ein Verzeichnis der Anlagen, die in den fünf Jahren beginnend mit dem 1. Januar 2021 unter diese Richtlinie fallen, wird bis 30. September 2019 übermittelt, Verzeichnisse für jeden der sich anschließenden Fünfjahreszeiträume alle fünf Jahre danach. Jedes Verzeichnis umfasst für die fünf Jahre vor seiner Übermittlung Informationen über Aktivitätsraten, Wärme- und Gasaustausch, Stromerzeugung und Emissionen auf Ebene von etwaigen Anlagenteilen. Kostenlose Zertifikate werden nur Anlagen zugeteilt, für die diese Informationen bereitgestellt werden.</w:t>
      </w:r>
    </w:p>
    <w:p>
      <w:pPr>
        <w:pStyle w:val="GesAbsatz"/>
      </w:pPr>
      <w:r>
        <w:t>(2) Bis 28. Februar jeden Jahres vergeben die zuständigen Behörden die gemäß den Artikeln 10, 10a und 10c berechnete Menge der in dem betreffenden Jahr zuzuteilenden Zertifikate.</w:t>
      </w:r>
    </w:p>
    <w:p>
      <w:pPr>
        <w:pStyle w:val="GesAbsatz"/>
      </w:pPr>
      <w:r>
        <w:t>(3) Die Mitgliedstaaten dürfen Anlagen, deren Eintrag in die in Absatz 1 genannte Liste von der Kommission abgelehnt wurde, keine kostenlosen Zertifikate gemäß Absatz 2 zuteilen.</w:t>
      </w:r>
    </w:p>
    <w:p>
      <w:pPr>
        <w:pStyle w:val="berschrift2"/>
      </w:pPr>
      <w:bookmarkStart w:id="30" w:name="_Toc146879909"/>
      <w:r>
        <w:t>KAPITEL IV</w:t>
      </w:r>
      <w:r>
        <w:br/>
        <w:t>BESTIMMUNGEN FÜR DIE LUFTFAHRT UND ORTSFESTE ANLAGEN</w:t>
      </w:r>
      <w:bookmarkEnd w:id="30"/>
    </w:p>
    <w:p>
      <w:pPr>
        <w:pStyle w:val="berschrift2"/>
      </w:pPr>
      <w:bookmarkStart w:id="31" w:name="_Toc146879910"/>
      <w:r>
        <w:rPr>
          <w:rFonts w:cs="Arial"/>
          <w:szCs w:val="24"/>
        </w:rPr>
        <w:t>Artikel 11a</w:t>
      </w:r>
      <w:r>
        <w:rPr>
          <w:rFonts w:cs="Arial"/>
          <w:szCs w:val="24"/>
        </w:rPr>
        <w:br/>
        <w:t>Nutzung von CER und ERU aus Projektmaßnahmen im EU-EHS vor Inkrafttreten eines internationalen Abkommens über den Klimawandel</w:t>
      </w:r>
      <w:bookmarkEnd w:id="31"/>
    </w:p>
    <w:p>
      <w:pPr>
        <w:pStyle w:val="GesAbsatz"/>
      </w:pPr>
      <w:r>
        <w:t>(1) Vorbehaltlich der Absätze 2 und 3 dieses Artikels können Luftfahrzeugbetreiber, die Inhaber eines von einem Mitgliedstaat ausgestellten Luftverkehrsbetreiberzeugnisses sind oder in einem Mitgliedstaat, einschließlich der Gebiete in äußerster Randlage sowie der überseeischen Gebiete und Schutzgebiete des betreffenden Mitgliedstaats, registriert sind, die folgenden Einheiten nutzen, um ihrer in Artikel 12 Absatz 9 festgelegten Verpflichtung zur Löschung von Einheiten für die gemäß Artikel 12 Absatz 6 gemeldete Menge nachzukommen:</w:t>
      </w:r>
    </w:p>
    <w:p>
      <w:pPr>
        <w:pStyle w:val="GesAbsatz"/>
        <w:ind w:left="426" w:hanging="426"/>
      </w:pPr>
      <w:r>
        <w:t>a)</w:t>
      </w:r>
      <w:r>
        <w:tab/>
        <w:t>Gutschriften, die von an dem Mechanismus nach Artikel 6 Absatz 4 des Übereinkommens von Paris teilnehmenden Vertragsparteien genehmigt wurden;</w:t>
      </w:r>
    </w:p>
    <w:p>
      <w:pPr>
        <w:pStyle w:val="GesAbsatz"/>
        <w:ind w:left="426" w:hanging="426"/>
      </w:pPr>
      <w:r>
        <w:t>b)</w:t>
      </w:r>
      <w:r>
        <w:tab/>
        <w:t>Gutschriften, die von Vertragsparteien genehmigt wurden, die an den vom ICAO-Rat als zulässig eingestuften und in dem nach Absatz 8 erlassenen Durchführungsrechtsakt genannten Gutschriftenprogrammen teilnehmen;</w:t>
      </w:r>
    </w:p>
    <w:p>
      <w:pPr>
        <w:pStyle w:val="GesAbsatz"/>
        <w:ind w:left="426" w:hanging="426"/>
      </w:pPr>
      <w:r>
        <w:t>c)</w:t>
      </w:r>
      <w:r>
        <w:tab/>
        <w:t>Gutschriften, die von Vertragsparteien der Abkommen nach Absatz 5 genehmigt wurden;</w:t>
      </w:r>
    </w:p>
    <w:p>
      <w:pPr>
        <w:pStyle w:val="GesAbsatz"/>
        <w:ind w:left="426" w:hanging="426"/>
      </w:pPr>
      <w:r>
        <w:t>d)</w:t>
      </w:r>
      <w:r>
        <w:tab/>
        <w:t>Gutschriften, die nach Artikel 24a für Projekte auf Unionsebene erteilt wurden.</w:t>
      </w:r>
    </w:p>
    <w:p>
      <w:pPr>
        <w:pStyle w:val="GesAbsatz"/>
      </w:pPr>
      <w:r>
        <w:t>(2) Einheiten nach Absatz 1 Buchstaben a und b können genutzt werden, wenn folgende Bedingungen erfüllt</w:t>
      </w:r>
    </w:p>
    <w:p>
      <w:pPr>
        <w:pStyle w:val="GesAbsatz"/>
      </w:pPr>
      <w:r>
        <w:t>sind:</w:t>
      </w:r>
    </w:p>
    <w:p>
      <w:pPr>
        <w:pStyle w:val="GesAbsatz"/>
        <w:ind w:left="426" w:hanging="426"/>
      </w:pPr>
      <w:r>
        <w:t>a)</w:t>
      </w:r>
      <w:r>
        <w:tab/>
        <w:t>Sie stammen aus einem Staat, der zum Zeitpunkt der Nutzung Vertragspartei des Übereinkommens von Paris ist.</w:t>
      </w:r>
    </w:p>
    <w:p>
      <w:pPr>
        <w:pStyle w:val="GesAbsatz"/>
        <w:ind w:left="426" w:hanging="426"/>
      </w:pPr>
      <w:r>
        <w:t>b)</w:t>
      </w:r>
      <w:r>
        <w:tab/>
        <w:t xml:space="preserve">Sie stammen aus einem Staat, der in dem nach Artikel 25a Absatz 3 erlassenen Durchführungsrechtsakt als Staat aufgeführt ist, der am System zur Verrechnung und Verringerung von Kohlenstoffdioxid für die internationale Luftfahrt (CORSIA) der ICAO teilnimmt. Diese Bedingung gilt weder für vor 2027 entstandene Emissionen noch für die am wenigsten entwickelten Länder oder kleinen Inselentwicklungsstaaten </w:t>
      </w:r>
      <w:r>
        <w:lastRenderedPageBreak/>
        <w:t>im Sinne der Definition der Vereinten Nationen, mit Ausnahme der Staaten, deren Pro-Kopf-BIP dem Unionsdurchschnitt entspricht oder diesen übersteigt.</w:t>
      </w:r>
    </w:p>
    <w:p>
      <w:pPr>
        <w:pStyle w:val="GesAbsatz"/>
      </w:pPr>
      <w:r>
        <w:t>(3) Einheiten nach Absatz 1 Buchstaben a, b und c können genutzt werden, wenn Regelungen für die Genehmigung durch teilnehmende Vertragsparteien, für zeitnahe Anpassungen der Berichterstattung über die anthropogenen Emissionen aus Quellen und den Abbau durch Senken, die unter die national festgelegten Beiträge der teilnehmenden Vertragsparteien fallen, sowie zur Vermeidung einer Doppelzählung und eines Nettoanstiegs der globalen Emissionen getroffen wurden.</w:t>
      </w:r>
    </w:p>
    <w:p>
      <w:pPr>
        <w:pStyle w:val="GesAbsatz"/>
      </w:pPr>
      <w:r>
        <w:t>Die Kommission erlässt Durchführungsrechtsakte zur Festlegung detaillierter Anforderungen an die in Unterabsatz 1 des vorliegenden Absatzes genannten Regelungen, die Berichterstattungs- und Registrierungsanforderungen umfassen können, sowie für die Auflistung der Staaten oder Programme, die diese Regelungen anwenden. Diese Regelungen tragen der Flexibilität Rechnung, die den am wenigsten entwickelten Ländern und kleinen Inselentwicklungsstaaten gemäß Absatz 2 dieses Artikels eingeräumt wird. Diese Durchführungsrechtsakte werden gemäß dem in Artikel 22a Absatz 2 genannten Prüfverfahren erlassen.</w:t>
      </w:r>
    </w:p>
    <w:p>
      <w:pPr>
        <w:pStyle w:val="GesAbsatz"/>
      </w:pPr>
      <w:r>
        <w:t>(4) (weggefallen)</w:t>
      </w:r>
    </w:p>
    <w:p>
      <w:pPr>
        <w:pStyle w:val="GesAbsatz"/>
      </w:pPr>
      <w:r>
        <w:t>(5) Soweit die den Betreibern oder Betreibern von Luftfahrzeugen von den Mitgliedstaaten für den Zeitraum von 2008 bis 2012 gestattete Nutzung von CER/ERU nicht ausgeschöpft worden ist oder ihnen die Nutzung der Gutschriften gemäß Absatz 8 bewilligt wurde und die Verhandlungen über ein internationales Abkommen über den Klimawandel nicht bis zum 31. Dezember 2009 abgeschlossen werden, ist es möglich, im Rahmen des EU-EHS Gutschriften aus Projekten oder anderen emissionsreduzierenden Tätigkeiten, die im Rahmen von Abkommen mit Drittländern durchgeführt werden, zu nutzen, wobei festgelegt ist, in welchem Umfang sie genutzt werden können. Gemäß diesen Abkommen dürfen die Betreiber Gutschriften aus Projektmaßnahmen in diesen Drittländern zur Erfüllung ihrer Verpflichtungen im Rahmen des EU-EHS nutzen.</w:t>
      </w:r>
    </w:p>
    <w:p>
      <w:pPr>
        <w:pStyle w:val="GesAbsatz"/>
      </w:pPr>
      <w:r>
        <w:t>(6) Die Abkommen gemäß Absatz 5 sehen vor, dass Gutschriften aus Projekttypen, die im Zeitraum von 2008 bis 2012 im Rahmen des EU-EHS genutzt werden durften, einschließlich der Technologien für erneuerbare Energien oder Energieeffizienz, die den Technologietransfer und die nachhaltige Entwicklung fördern, im Rahmen des EU-EHS genutzt werden können. Ein solches Abkommen kann auch die Nutzung von Gutschriften aus Projekten vorsehen, bei denen das Referenzszenario unterhalb des Niveaus der kostenlosen Zuteilung im Sinne der Maßnahmen von Artikel 10a oder unterhalb der gemeinschaftsrechtlich vorgeschriebenen Niveaus liegt.</w:t>
      </w:r>
    </w:p>
    <w:p>
      <w:pPr>
        <w:pStyle w:val="GesAbsatz"/>
      </w:pPr>
      <w:r>
        <w:t>(7) Nach Abschluss eines internationalen Abkommens über den Klimawandel werden ab 1. Januar 2013 im Rahmen des EU-EHS nur Gutschriften für Projekte in Drittländern zugelassen, die das Abkommen ratifiziert haben.</w:t>
      </w:r>
    </w:p>
    <w:p>
      <w:pPr>
        <w:pStyle w:val="GesAbsatz"/>
      </w:pPr>
      <w:r>
        <w:t>(8) Die Kommission erlässt Durchführungsrechtsakte, in denen die Einheiten aufgeführt sind, die vom ICAO-Rat als zulässig eingestuft wurden und die die in den Absätzen 2 und 3 dieses Artikels festgelegten Bedingungen erfüllen. Die Kommission erlässt ferner Durchführungsrechtsakte, um diese Liste bei Bedarf zu ändern. Diese Durchführungsrechtsakte werden gemäß dem in Artikel 22a Absatz 2 genannten Prüfverfahren erlassen.</w:t>
      </w:r>
    </w:p>
    <w:p>
      <w:pPr>
        <w:pStyle w:val="berschrift2"/>
      </w:pPr>
      <w:bookmarkStart w:id="32" w:name="_Toc146879911"/>
      <w:r>
        <w:t>Artikel 11b</w:t>
      </w:r>
      <w:r>
        <w:br/>
        <w:t>Projektmaßnahmen</w:t>
      </w:r>
      <w:bookmarkEnd w:id="32"/>
    </w:p>
    <w:p>
      <w:pPr>
        <w:pStyle w:val="GesAbsatz"/>
      </w:pPr>
      <w:r>
        <w:t>(1) Die Mitgliedstaaten haben alle notwendigen Maßnahmen zu ergreifen, um zu gewährleisten, dass Referenzszenarien für Projektmaßnahmen im Sinne der Definition der im Rahmen des UNFCCC oder des Kyoto-Protokolls gefassten Beschlüsse, die in Ländern durchgeführt werden sollen, die mit der EU einen Beitrittsvertrag unterzeichnet haben, dem gemeinschaftlichen Besitzstand voll und ganz entsprechen, einschließlich den in diesem Beitrittsvertrag festgehaltenen befristeten Ausnahmen.</w:t>
      </w:r>
    </w:p>
    <w:p>
      <w:pPr>
        <w:pStyle w:val="GesAbsatz"/>
      </w:pPr>
      <w:r>
        <w:t>Die Union und ihre Mitgliedstaaten genehmigen Projektmaßnahmen nur, wenn alle Projektteilnehmer ihren Sitz entweder in einem Land haben, das in Bezug auf diese Projekte Vertragspartner des internationalen Abkommens ist, oder in einem Land oder in subföderalen oder regionalen Verwaltungseinheiten, die mit dem EU-EHS gemäß Artikel 25 verknüpft sind.</w:t>
      </w:r>
    </w:p>
    <w:p>
      <w:pPr>
        <w:pStyle w:val="GesAbsatz"/>
      </w:pPr>
      <w:r>
        <w:t>(2) Vorbehaltlich der Absätze 3 und 4 müssen die Mitgliedstaaten, in denen Projektmaßnahmen durchgeführt werden, gewährleisten, dass für die Reduzierung oder Begrenzung von Treibhausgasemissionen aus Tätigkeiten, die unter diese Richtlinie fallen, keine ERU oder CER zugeteilt werden.</w:t>
      </w:r>
    </w:p>
    <w:p>
      <w:pPr>
        <w:pStyle w:val="GesAbsatz"/>
      </w:pPr>
      <w:r>
        <w:t>(3) Bis zum 31. Dezember 2012 können ERU und CER im Fall von Projektmaßnahmen im Rahmen von JI und CDM, die die Emissionen einer unter diese Richtlinie fallenden Anlage unmittelbar verringern oder begrenzen, nur dann ausgestellt werden, wenn von dem Betreiber der Anlage Zertifikate in gleicher Anzahl gelöscht werden.</w:t>
      </w:r>
    </w:p>
    <w:p>
      <w:pPr>
        <w:pStyle w:val="GesAbsatz"/>
      </w:pPr>
      <w:r>
        <w:t xml:space="preserve">(4) Bis zum 31. Dezember 2012 können ERU und CER im Fall von Projektmaßnahmen im Rahmen von JI und CDM, die die Emissionen einer unter diese Richtlinie fallenden Anlage indirekt verringern oder begrenzen, nur </w:t>
      </w:r>
      <w:r>
        <w:lastRenderedPageBreak/>
        <w:t>dann ausgestellt werden, wenn Zertifikate in gleicher Anzahl aus dem nationalen Register des Mitgliedstaats gelöscht werden, aus dem die ERU bzw. CER kommen.</w:t>
      </w:r>
    </w:p>
    <w:p>
      <w:pPr>
        <w:pStyle w:val="GesAbsatz"/>
      </w:pPr>
      <w:r>
        <w:t>(5) Ein Mitgliedstaat, der privaten oder öffentlichen Stellen die Teilnahme an Projektmaßnahmen genehmigt, bleibt für die Erfüllung seiner Verpflichtungen aus dem UNFCCC und dem Kyoto-Protokoll verantwortlich und sorgt dafür, dass die Teilnahme in Übereinstimmung mit den aufgrund des UNFCCC oder des Kyoto-Protokolls verabschiedeten einschlägigen Leitlinien, Modalitäten und Verfahren erfolgt.</w:t>
      </w:r>
    </w:p>
    <w:p>
      <w:pPr>
        <w:pStyle w:val="GesAbsatz"/>
      </w:pPr>
      <w:r>
        <w:t>(6) Im Fall von Projektmaßnahmen zur Erzeugung von Elektrizität aus Wasserkraft mit einer Erzeugungskapazität von über 20 MW gewährleisten die Mitgliedstaaten bei der Genehmigung solcher Projektmaßnahmen, dass die einschlägigen internationalen Kriterien und Leitlinien, einschließlich der des Abschlussberichts 2000 ‚Staudämme und Entwicklung: ein neuer Rahmen zur Entscheidungsfindung‘ der Weltkommission für Staudämme, während der Entwicklung dieser Projektmaßnahmen eingehalten werden.</w:t>
      </w:r>
    </w:p>
    <w:p>
      <w:pPr>
        <w:pStyle w:val="berschrift2"/>
      </w:pPr>
      <w:bookmarkStart w:id="33" w:name="_Toc146879912"/>
      <w:r>
        <w:t>Artikel 12</w:t>
      </w:r>
      <w:r>
        <w:br/>
        <w:t>Übertragung, Abgabe und Löschung von Zertifikaten</w:t>
      </w:r>
      <w:bookmarkEnd w:id="33"/>
    </w:p>
    <w:p>
      <w:pPr>
        <w:pStyle w:val="GesAbsatz"/>
        <w:rPr>
          <w:rFonts w:cs="Arial"/>
        </w:rPr>
      </w:pPr>
      <w:r>
        <w:rPr>
          <w:rFonts w:cs="Arial"/>
        </w:rPr>
        <w:t>(1) Die Mitgliedstaaten stellen sicher, dass Zertifikate übertragbar sind zwischen</w:t>
      </w:r>
    </w:p>
    <w:p>
      <w:pPr>
        <w:pStyle w:val="GesAbsatz"/>
        <w:tabs>
          <w:tab w:val="clear" w:pos="425"/>
        </w:tabs>
        <w:ind w:left="426" w:hanging="426"/>
      </w:pPr>
      <w:r>
        <w:t>a)</w:t>
      </w:r>
      <w:r>
        <w:tab/>
        <w:t>Personen innerhalb der Union,</w:t>
      </w:r>
    </w:p>
    <w:p>
      <w:pPr>
        <w:pStyle w:val="GesAbsatz"/>
        <w:tabs>
          <w:tab w:val="clear" w:pos="425"/>
        </w:tabs>
        <w:ind w:left="426" w:hanging="426"/>
      </w:pPr>
      <w:r>
        <w:t>b)</w:t>
      </w:r>
      <w:r>
        <w:tab/>
        <w:t>Personen innerhalb der Union und Personen in Drittländern, in denen diese Zertifikate nach dem in Artikel 25 genannten Verfahren anerkannt werden, wobei nur die Beschränkungen Anwendung finden, die in dieser Richtlinie geregelt sind oder gemäß dieser Richtlinie erlassen werden.</w:t>
      </w:r>
    </w:p>
    <w:p>
      <w:pPr>
        <w:pStyle w:val="GesAbsatz"/>
        <w:tabs>
          <w:tab w:val="clear" w:pos="425"/>
        </w:tabs>
      </w:pPr>
      <w:r>
        <w:t>(1a) Die Kommission prüft bis spätestens 31. Dezember 2010, ob der Markt für Emissionszertifikate vor Insider-Geschäften oder Marktmanipulation geschützt ist, und unterbreitet gegebenenfalls Vorschläge, um diesen Schutz zu gewährleisten. Die relevanten Bestimmungen der Richtlinie 2003/6/EG des Europäischen Parlaments und des Rates vom 28. Januar 2003 über Insider-Geschäfte und Marktmanipulation Marktmissbrauch</w:t>
      </w:r>
      <w:r>
        <w:rPr>
          <w:rStyle w:val="Funotenzeichen"/>
        </w:rPr>
        <w:footnoteReference w:customMarkFollows="1" w:id="24"/>
        <w:t>(*)</w:t>
      </w:r>
      <w:r>
        <w:t xml:space="preserve"> können mit den für die Anwendung im Handel mit Rohstoffen geeigneten Anpassungen angewandt werden.</w:t>
      </w:r>
    </w:p>
    <w:p>
      <w:pPr>
        <w:pStyle w:val="GesAbsatz"/>
        <w:rPr>
          <w:rFonts w:cs="Arial"/>
        </w:rPr>
      </w:pPr>
      <w:r>
        <w:rPr>
          <w:rFonts w:cs="Arial"/>
        </w:rPr>
        <w:t>(2) Die Mitgliedstaaten stellen sicher, dass Zertifikate, die von der zuständigen Behörde eines anderen Mitgliedstaates vergeben wurden, für die Erfüllung der eines Luftfahrzeugbetreibers aus Absatz 2a oder eines Betreibers aus Absatz 3 genutzt werden können.</w:t>
      </w:r>
    </w:p>
    <w:p>
      <w:pPr>
        <w:pStyle w:val="GesAbsatz"/>
        <w:rPr>
          <w:rFonts w:cs="Arial"/>
        </w:rPr>
      </w:pPr>
      <w:r>
        <w:rPr>
          <w:rFonts w:cs="Arial"/>
        </w:rPr>
        <w:t>(2a) Die Verwaltungsmitgliedstaaten stellen sicher, dass jeder Luftfahrzeugbetreiber bis zum 30. April jeden Jahres eine Anzahl von Zertifikaten abgibt, die den - gemäß Artikel 15 überprüften - Gesamtemissionen des vorangegangenen Kalenderjahres aus Luftverkehrstätigkeiten im Sinne von Anhang I, die der Luftfahrzeugbetreiber durchgeführt hat, entspricht. Die Mitgliedstaaten stellen sicher, dass die gemäß diesem Absatz abgegebenen Zertifikate anschließend gelöscht werden.</w:t>
      </w:r>
    </w:p>
    <w:p>
      <w:pPr>
        <w:pStyle w:val="GesAbsatz"/>
        <w:rPr>
          <w:rFonts w:cs="Arial"/>
        </w:rPr>
      </w:pPr>
      <w:r>
        <w:rPr>
          <w:rFonts w:cs="Arial"/>
        </w:rPr>
        <w:t>(3) Für den Zeitraum bis zum 31. Dezember 2020 stellen die Mitgliedstaaten sicher, dass der Betreiber für jede Anlage bis zum 30. April jeden Jahres eine Anzahl von nicht gemäß Kapitel II ausgegebenen Zertifikaten abgibt, die den gemäß Artikel 15 geprüften Gesamtemissionen der Anlage im vorhergehenden Kalenderjahr entspricht, und dass diese Zertifikate anschließend gelöscht werden. Ab 1. Januar 2021 stellen die Mitgliedstaaten sicher, dass der Betreiber für jede Anlage bis spätestens 30. April jeden Jahres eine Anzahl von Zertifikaten abgibt, die den gemäß Artikel 15 geprüften Gesamtemissionen der Anlage im vorhergehenden Kalenderjahr entspricht, und dass diese Zertifikate anschließend gelöscht werden, vorbehaltlich der Überprüfung gemäß Artikel 28b.</w:t>
      </w:r>
    </w:p>
    <w:p>
      <w:pPr>
        <w:pStyle w:val="GesAbsatz"/>
        <w:rPr>
          <w:rFonts w:cs="Arial"/>
        </w:rPr>
      </w:pPr>
      <w:r>
        <w:rPr>
          <w:rFonts w:cs="Arial"/>
        </w:rPr>
        <w:t>(3-a) Wann immer und solange dies erforderlich ist, um die Umweltwirksamkeit des EU-EHS zu erhalten, wird Luftfahrzeugbetreibern und sonstigen Betreibern im EU-EHS die Verwendung von Zertifikaten untersagt, die von einem Mitgliedstaat ausgestellt werden, in Bezug auf welchen Verpflichtungen für Luftfahrzeugbetreiber und sonstige Betreiber hinfällig werden. Der in Artikel 19 genannte Rechtsakt enthält die Maßnahmen, die in den im vorliegenden Absatz genannten Fällen erforderlich sind.</w:t>
      </w:r>
    </w:p>
    <w:p>
      <w:pPr>
        <w:pStyle w:val="GesAbsatz"/>
        <w:rPr>
          <w:rFonts w:cs="Arial"/>
        </w:rPr>
      </w:pPr>
      <w:r>
        <w:rPr>
          <w:rFonts w:cs="Arial"/>
        </w:rPr>
        <w:t>(3a) Verpflichtungen zur Abgabe von Zertifikaten gelten nicht für Emissionen, die aufgrund einer Prüfung als abgeschieden und zur ständigen Speicherung in eine Anlage verbracht anzusehen sind, für die eine Genehmigung in Übereinstimmung mit der Richtlinie 2009/31/EG des Europäischen Parlaments und des Rates vom 23. April 2009 über die geologische Speicherung von Kohlendioxid</w:t>
      </w:r>
      <w:r>
        <w:rPr>
          <w:rStyle w:val="Funotenzeichen"/>
          <w:rFonts w:cs="Arial"/>
        </w:rPr>
        <w:footnoteReference w:customMarkFollows="1" w:id="25"/>
        <w:t>(**)</w:t>
      </w:r>
      <w:r>
        <w:rPr>
          <w:rFonts w:cs="Arial"/>
        </w:rPr>
        <w:t xml:space="preserve"> gilt.</w:t>
      </w:r>
    </w:p>
    <w:p>
      <w:pPr>
        <w:pStyle w:val="GesAbsatz"/>
        <w:rPr>
          <w:rFonts w:cs="Arial"/>
        </w:rPr>
      </w:pPr>
      <w:r>
        <w:rPr>
          <w:rFonts w:cs="Arial"/>
        </w:rPr>
        <w:t xml:space="preserve">(4) Die Mitgliedstaaten stellen durch die notwendigen Maßnahmen sicher, dass Zertifikate jederzeit gelöscht werden, wenn der Inhaber dies beantragt. Im Fall der Stilllegung von Stromerzeugungskapazitäten in ihrem Hoheitsgebiet aufgrund zusätzlicher nationaler Maßnahmen können die Mitgliedstaaten Zertifikate aus der Gesamtmenge der Zertifikate, die von ihnen gemäß Artikel 10 Absatz 2 zu versteigern sind, maximal in Höhe der Durchschnittsmenge der geprüften Emissionen der betreffenden Anlage während eines Zeitraums von fünf </w:t>
      </w:r>
      <w:r>
        <w:rPr>
          <w:rFonts w:cs="Arial"/>
        </w:rPr>
        <w:lastRenderedPageBreak/>
        <w:t>Jahren vor der Stilllegung löschen. Der betreffende Mitgliedstaat unterrichtet die Kommission über eine derartige beabsichtige Löschung gemäß den nach Artikel 10 Absatz 4 erlassenen delegierten Rechtsakten.</w:t>
      </w:r>
    </w:p>
    <w:p>
      <w:pPr>
        <w:pStyle w:val="GesAbsatz"/>
        <w:rPr>
          <w:rFonts w:cs="Arial"/>
        </w:rPr>
      </w:pPr>
      <w:r>
        <w:rPr>
          <w:rFonts w:cs="Arial"/>
        </w:rPr>
        <w:t>(5) Die Absätze 1 und 2 gelten unbeschadet des Artikels 10c.</w:t>
      </w:r>
    </w:p>
    <w:p>
      <w:pPr>
        <w:pStyle w:val="GesAbsatz"/>
        <w:rPr>
          <w:rFonts w:cs="Arial"/>
        </w:rPr>
      </w:pPr>
      <w:r>
        <w:rPr>
          <w:rFonts w:cs="Arial"/>
        </w:rPr>
        <w:t>(6) Im Einklang mit der Methode, die in dem in Absatz 8 dieses Artikels genannten Durchführungsrechtsakt festgelegt ist, berechnen die Mitgliedstaaten jährlich die Kompensationspflichten für das vorangegangene Kalenderjahr für Flüge nach, aus und zwischen Staaten, die in dem nach Artikel 25a Absatz 3 erlassenen Durchführungsrechtsakt aufgeführt sind, und für Flüge zwischen der Schweiz oder dem Vereinigten Königreich und Staaten, die in dem nach Artikel 25a Absatz 3 erlassenen Durchführungsrechtsakt aufgeführt sind, und unterrichten bis zum 30. November jedes Jahres die Luftfahrzeugbetreiber.</w:t>
      </w:r>
    </w:p>
    <w:p>
      <w:pPr>
        <w:pStyle w:val="GesAbsatz"/>
        <w:rPr>
          <w:rFonts w:cs="Arial"/>
        </w:rPr>
      </w:pPr>
      <w:r>
        <w:rPr>
          <w:rFonts w:cs="Arial"/>
        </w:rPr>
        <w:t>Im Einklang mit der Methode, die in dem in Absatz 8 genannten Durchführungsrechtsakt festgelegt ist, berechnen die Mitgliedstaaten ferner die gesamten endgültigen Kompensationspflichten für einen bestimmten CORSIA-Compliance-Zeitraum und unterrichten bis zum 30. November des Jahres, das auf das letzte Jahr des betreffenden CORSIA-Compliance-Zeitraums folgt, die Luftfahrzeugbetreiber, die die in Unterabsatz 3 des vorliegenden Absatzes aufgeführten Bedingungen dieser Pflichten erfüllen.</w:t>
      </w:r>
    </w:p>
    <w:p>
      <w:pPr>
        <w:pStyle w:val="GesAbsatz"/>
        <w:rPr>
          <w:rFonts w:cs="Arial"/>
        </w:rPr>
      </w:pPr>
      <w:r>
        <w:rPr>
          <w:rFonts w:cs="Arial"/>
        </w:rPr>
        <w:t>Die Mitgliedstaaten unterrichten die Luftfahrzeugbetreiber, die alle nachstehend aufgeführten Bedingungen erfüllen, über die Höhe der Kompensation:</w:t>
      </w:r>
    </w:p>
    <w:p>
      <w:pPr>
        <w:pStyle w:val="GesAbsatz"/>
        <w:ind w:left="426" w:hanging="426"/>
        <w:rPr>
          <w:rFonts w:cs="Arial"/>
        </w:rPr>
      </w:pPr>
      <w:r>
        <w:rPr>
          <w:rFonts w:cs="Arial"/>
        </w:rPr>
        <w:t>a)</w:t>
      </w:r>
      <w:r>
        <w:rPr>
          <w:rFonts w:cs="Arial"/>
        </w:rPr>
        <w:tab/>
        <w:t>Sie verfügen über ein von einem Mitgliedstaat ausgestelltes Luftverkehrsbetreiberzeugnis oder sind in einem Mitgliedstaat, einschließlich der Gebiete in äußerster Randlage sowie der überseeischen Gebiete und Schutzgebiete dieses Mitgliedstaats, registriert und</w:t>
      </w:r>
    </w:p>
    <w:p>
      <w:pPr>
        <w:pStyle w:val="GesAbsatz"/>
        <w:ind w:left="426" w:hanging="426"/>
        <w:rPr>
          <w:rFonts w:cs="Arial"/>
        </w:rPr>
      </w:pPr>
      <w:r>
        <w:rPr>
          <w:rFonts w:cs="Arial"/>
        </w:rPr>
        <w:t>b)</w:t>
      </w:r>
      <w:r>
        <w:rPr>
          <w:rFonts w:cs="Arial"/>
        </w:rPr>
        <w:tab/>
        <w:t>sie erzeugen jährliche CO</w:t>
      </w:r>
      <w:r>
        <w:rPr>
          <w:rFonts w:cs="Arial"/>
          <w:vertAlign w:val="subscript"/>
        </w:rPr>
        <w:t>2</w:t>
      </w:r>
      <w:r>
        <w:rPr>
          <w:rFonts w:cs="Arial"/>
        </w:rPr>
        <w:t>-Emissionen von mehr als 10 000 Tonnen aus dem Einsatz von Flugzeugen mit einer höchstzulässigen Startmasse von mehr als 5 700 kg, die seit dem 1. Januar 2021 Flüge nach Anhang I durchführen, welche nicht in demselben Mitgliedstaat, einschließlich der Gebiete in äußerster Randlage desselben Mitgliedstaats, starten und landen.</w:t>
      </w:r>
    </w:p>
    <w:p>
      <w:pPr>
        <w:pStyle w:val="GesAbsatz"/>
        <w:rPr>
          <w:rFonts w:cs="Arial"/>
        </w:rPr>
      </w:pPr>
      <w:r>
        <w:rPr>
          <w:rFonts w:cs="Arial"/>
        </w:rPr>
        <w:t>Für die Zwecke von Unterabsatz 1 Buchstabe b werden CO2-Emissionen aus den nachstehend genannten Arten von Flügen nicht berücksichtigt:</w:t>
      </w:r>
    </w:p>
    <w:p>
      <w:pPr>
        <w:pStyle w:val="GesAbsatz"/>
        <w:ind w:left="426" w:hanging="426"/>
        <w:rPr>
          <w:rFonts w:cs="Arial"/>
        </w:rPr>
      </w:pPr>
      <w:r>
        <w:rPr>
          <w:rFonts w:cs="Arial"/>
        </w:rPr>
        <w:t>i)</w:t>
      </w:r>
      <w:r>
        <w:rPr>
          <w:rFonts w:cs="Arial"/>
        </w:rPr>
        <w:tab/>
        <w:t>Flüge im staatlichen Auftrag;</w:t>
      </w:r>
    </w:p>
    <w:p>
      <w:pPr>
        <w:pStyle w:val="GesAbsatz"/>
        <w:ind w:left="426" w:hanging="426"/>
        <w:rPr>
          <w:rFonts w:cs="Arial"/>
        </w:rPr>
      </w:pPr>
      <w:r>
        <w:rPr>
          <w:rFonts w:cs="Arial"/>
        </w:rPr>
        <w:t>ii)</w:t>
      </w:r>
      <w:r>
        <w:rPr>
          <w:rFonts w:cs="Arial"/>
        </w:rPr>
        <w:tab/>
        <w:t>Flüge im humanitären Einsatz;</w:t>
      </w:r>
    </w:p>
    <w:p>
      <w:pPr>
        <w:pStyle w:val="GesAbsatz"/>
        <w:ind w:left="426" w:hanging="426"/>
        <w:rPr>
          <w:rFonts w:cs="Arial"/>
        </w:rPr>
      </w:pPr>
      <w:r>
        <w:rPr>
          <w:rFonts w:cs="Arial"/>
        </w:rPr>
        <w:t>iii)</w:t>
      </w:r>
      <w:r>
        <w:rPr>
          <w:rFonts w:cs="Arial"/>
        </w:rPr>
        <w:tab/>
        <w:t>medizinische Flüge,</w:t>
      </w:r>
    </w:p>
    <w:p>
      <w:pPr>
        <w:pStyle w:val="GesAbsatz"/>
        <w:ind w:left="426" w:hanging="426"/>
        <w:rPr>
          <w:rFonts w:cs="Arial"/>
        </w:rPr>
      </w:pPr>
      <w:r>
        <w:rPr>
          <w:rFonts w:cs="Arial"/>
        </w:rPr>
        <w:t>iv)</w:t>
      </w:r>
      <w:r>
        <w:rPr>
          <w:rFonts w:cs="Arial"/>
        </w:rPr>
        <w:tab/>
        <w:t>Militärflüge,</w:t>
      </w:r>
    </w:p>
    <w:p>
      <w:pPr>
        <w:pStyle w:val="GesAbsatz"/>
        <w:ind w:left="426" w:hanging="426"/>
        <w:rPr>
          <w:rFonts w:cs="Arial"/>
        </w:rPr>
      </w:pPr>
      <w:r>
        <w:rPr>
          <w:rFonts w:cs="Arial"/>
        </w:rPr>
        <w:t>v)</w:t>
      </w:r>
      <w:r>
        <w:rPr>
          <w:rFonts w:cs="Arial"/>
        </w:rPr>
        <w:tab/>
        <w:t>Löschflüge;</w:t>
      </w:r>
    </w:p>
    <w:p>
      <w:pPr>
        <w:pStyle w:val="GesAbsatz"/>
        <w:ind w:left="426" w:hanging="426"/>
        <w:rPr>
          <w:rFonts w:cs="Arial"/>
        </w:rPr>
      </w:pPr>
      <w:r>
        <w:rPr>
          <w:rFonts w:cs="Arial"/>
        </w:rPr>
        <w:t>vi)</w:t>
      </w:r>
      <w:r>
        <w:rPr>
          <w:rFonts w:cs="Arial"/>
        </w:rPr>
        <w:tab/>
        <w:t>Flüge vor oder nach einem Flug im humanitären Einsatz, einem medizinischen Flug oder einem Löschflug, sofern diese Flüge mit demselben Luftfahrzeug erfolgten und für die Durchführung der damit verbundenen Tätigkeiten in den Bereichen humanitäre Hilfe, medizinische Versorgung oder Brandbekämpfung oder die anschließende Verlegung des Luftfahrzeugs für seinen nächsten Einsatz erforderlich waren.</w:t>
      </w:r>
    </w:p>
    <w:p>
      <w:pPr>
        <w:pStyle w:val="GesAbsatz"/>
        <w:rPr>
          <w:rFonts w:cs="Arial"/>
        </w:rPr>
      </w:pPr>
      <w:r>
        <w:rPr>
          <w:rFonts w:cs="Arial"/>
        </w:rPr>
        <w:t>(7) Solange noch kein Rechtsakt zur Änderung der vorliegenden Richtlinie in Bezug auf den Beitrag der Luftfahrt zum gesamtwirtschaftlichen Emissionsreduktionsziel der Union und die angemessene Umsetzung eines globalen marktbasierten Mechanismus vorliegt und für den Fall, dass die Frist für die Umsetzung eines solchen Rechtsakts nicht bis zum 30. November 2023 abgelaufen ist und der von der ICAO zu veröffentlichende Anstiegsfaktor auf Sektorenebene für die Emissionen im Jahr 2022 null ist, teilen die Mitgliedstaaten den Luftfahrzeugbetreibern bis zum 30. November 2023 mit, dass für das Jahr 2022 ihre Kompensationspflichten im Sinne von Absatz 3.2.1 der CORSIA SARPs der ICAO bei null liegen.</w:t>
      </w:r>
    </w:p>
    <w:p>
      <w:pPr>
        <w:pStyle w:val="GesAbsatz"/>
        <w:rPr>
          <w:rFonts w:cs="Arial"/>
        </w:rPr>
      </w:pPr>
      <w:r>
        <w:rPr>
          <w:rFonts w:cs="Arial"/>
        </w:rPr>
        <w:t>(8) Die Berechnung der Kompensationspflichten gemäß Absatz 6 dieses Artikels für die Zwecke von CORSIA erfolgt im Einklang mit einer von der Kommission festzulegenden Methode für Flüge nach, aus und zwischen Staaten, die in dem nach Artikel 25a Absatz 3 erlassenen Durchführungsrechtsakt aufgeführt sind, und Flügen zwischen der Schweiz oder dem Vereinigten Königreich und Staaten, die in dem nach Artikel 25a Absatz 3 erlassenen Durchführungsrechtsakt aufgeführt sind.</w:t>
      </w:r>
    </w:p>
    <w:p>
      <w:pPr>
        <w:pStyle w:val="GesAbsatz"/>
        <w:rPr>
          <w:rFonts w:cs="Arial"/>
        </w:rPr>
      </w:pPr>
      <w:r>
        <w:rPr>
          <w:rFonts w:cs="Arial"/>
        </w:rPr>
        <w:t xml:space="preserve">Die Kommission erlässt Durchführungsrechtsakte zur Festlegung der Methode für die Berechnung der Kompensationspflichten für Luftfahrzeugbetreiber gemäß Unterabsatz 1 des vorliegenden Absatzes. </w:t>
      </w:r>
    </w:p>
    <w:p>
      <w:pPr>
        <w:pStyle w:val="GesAbsatz"/>
        <w:rPr>
          <w:rFonts w:cs="Arial"/>
        </w:rPr>
      </w:pPr>
      <w:r>
        <w:rPr>
          <w:rFonts w:cs="Arial"/>
        </w:rPr>
        <w:t>In diesen Durchführungsrechtsakten wird insbesondere die Anwendung der Anforderungen präzisiert, die sich aus den einschlägigen Bestimmungen dieser Richtlinie, insbesondere aus den Artikeln 3c, 11a, 12 und 25a, und, soweit dies unter Berücksichtigung der einschlägigen Bestimmungen dieser Richtlinie möglich ist, aus den Internationalen Richtlinien und Empfehlungen zum Umweltschutz für CORSIA (CORSIA-SARPs) ergeben.</w:t>
      </w:r>
    </w:p>
    <w:p>
      <w:pPr>
        <w:pStyle w:val="GesAbsatz"/>
        <w:rPr>
          <w:rFonts w:cs="Arial"/>
        </w:rPr>
      </w:pPr>
      <w:r>
        <w:rPr>
          <w:rFonts w:cs="Arial"/>
        </w:rPr>
        <w:t>Diese Durchführungsrechtsakte werden gemäß dem in Artikel 22a Absatz 2 genannten Prüfverfahren erlassen. Der erste entsprechende Durchführungsrechtsakt wird bis zum 30. Juni 2024 erlassen.</w:t>
      </w:r>
    </w:p>
    <w:p>
      <w:pPr>
        <w:pStyle w:val="GesAbsatz"/>
        <w:rPr>
          <w:rFonts w:cs="Arial"/>
        </w:rPr>
      </w:pPr>
      <w:r>
        <w:rPr>
          <w:rFonts w:cs="Arial"/>
        </w:rPr>
        <w:lastRenderedPageBreak/>
        <w:t>(9) Luftfahrzeugbetreiber, die Inhaber eines von einem Mitgliedstaat ausgestellten Luftverkehrsbetreiberzeugnisses sind oder in einem Mitgliedstaat, einschließlich der Gebiete in äußerster Randlage sowie der überseeischen Gebiete und Schutzgebiete des betreffenden Mitgliedstaats, registriert sind, löschen Einheiten nach Artikel 11a nur für die Menge, die der betreffende Mitgliedstaat für den jeweiligen CORSIA-Compliance-Zeitraum nach Absatz 6 gemeldet hat. Die Löschung erfolgt für die Emissionen im Zeitraum 2021 bis 2023 bis zum 31. Januar 2025 und für die Emissionen im Zeitraum 2024 bis 2026 bis zum 31. Januar 2028.</w:t>
      </w:r>
    </w:p>
    <w:p>
      <w:pPr>
        <w:pStyle w:val="berschrift2"/>
      </w:pPr>
      <w:bookmarkStart w:id="34" w:name="_Toc146879913"/>
      <w:r>
        <w:t>Artikel 13</w:t>
      </w:r>
      <w:r>
        <w:br/>
        <w:t>Gültigkeit der Zertifikate</w:t>
      </w:r>
      <w:bookmarkEnd w:id="34"/>
    </w:p>
    <w:p>
      <w:pPr>
        <w:pStyle w:val="GesAbsatz"/>
      </w:pPr>
      <w:r>
        <w:t>Ab dem 1. Januar 2013 vergebene Zertifikate sind für unbegrenzte Zeit gültig. Auf Zertifikaten, die ab dem 1. Januar 2021 vergeben werden, ist anzugeben, in welcher Handelsperiode von zehn Jahren, beginnend mit dem 1. Januar 2021, sie vergeben wurden; sie sind für Emissionen ab dem ersten Jahr dieser Handelsperiode gültig.</w:t>
      </w:r>
    </w:p>
    <w:p>
      <w:pPr>
        <w:pStyle w:val="berschrift2"/>
      </w:pPr>
      <w:bookmarkStart w:id="35" w:name="_Toc146879914"/>
      <w:r>
        <w:t>Artikel 14</w:t>
      </w:r>
      <w:r>
        <w:br/>
        <w:t>Überwachung und Berichterstattung betreffend Emissionen</w:t>
      </w:r>
      <w:bookmarkEnd w:id="35"/>
    </w:p>
    <w:p>
      <w:pPr>
        <w:pStyle w:val="GesAbsatz"/>
        <w:rPr>
          <w:rFonts w:cs="Arial"/>
        </w:rPr>
      </w:pPr>
      <w:r>
        <w:rPr>
          <w:rFonts w:cs="Arial"/>
        </w:rPr>
        <w:t>(1) Die Kommission erlässt Durchführungsrechtsakte über die genauen Vorkehrungen für die Überwachung von und die Berichterstattung über Emissionen und gegebenenfalls über Tätigkeitsdaten aus den in Anhang I aufgeführten Tätigkeiten sowie über die Überwachung von und Berichterstattung über Tonnenkilometer-Angaben zum Zweck eines Antrags gemäß Artikel 3e oder 3f, die auf den in Anhang IV dargestellten Grundsätzen für die Überwachung und Berichterstattung und die in Absatz 2 des vorliegenden Artikels dargestellten Anforderungen basiert. In diesen Durchführungsrechtsakten wird ferner das Erderwärmungspotenzial jedes Treibhausgases in den Überwachungs- und Berichterstattungsanforderungen in Bezug auf dieses Gas angegeben.</w:t>
      </w:r>
    </w:p>
    <w:p>
      <w:pPr>
        <w:pStyle w:val="GesAbsatz"/>
        <w:rPr>
          <w:rFonts w:cs="Arial"/>
        </w:rPr>
      </w:pPr>
      <w:r>
        <w:rPr>
          <w:rFonts w:cs="Arial"/>
        </w:rPr>
        <w:t>Diese Durchführungsrechtsakte werden gemäß dem in Artikel 22a Absatz 2 genannten Prüfverfahren erlassen.</w:t>
      </w:r>
    </w:p>
    <w:p>
      <w:pPr>
        <w:pStyle w:val="GesAbsatz"/>
        <w:rPr>
          <w:rFonts w:cs="Arial"/>
        </w:rPr>
      </w:pPr>
      <w:r>
        <w:rPr>
          <w:rFonts w:cs="Arial"/>
        </w:rPr>
        <w:t>(2) Die Rechtsakte gemäß Absatz 1 trägt den genauesten und aktuellsten wissenschaftlichen Erkenntnissen, insbesondere aus dem IPCC, Rechnung und kann auch vorschreiben, dass Betreiber über Emissionen im Zusammenhang mit der Herstellung von Gütern berichten müssen, die von energieintensiven, potenziell im internationalen Wettbewerb stehenden Industrien produziert werden. Jene Verordnung kann auch Anforderungen an die Prüfung der Informationen durch unabhängige Stellen festlegen.</w:t>
      </w:r>
    </w:p>
    <w:p>
      <w:pPr>
        <w:pStyle w:val="GesAbsatz"/>
        <w:rPr>
          <w:rFonts w:cs="Arial"/>
        </w:rPr>
      </w:pPr>
      <w:r>
        <w:rPr>
          <w:rFonts w:cs="Arial"/>
        </w:rPr>
        <w:t>Diese Vorschriften können auch die Berichterstattung über die Höhe der unter das EU-EHS fallenden und mit der Herstellung solcher Güter verbundenen Emissionen aus der Stromerzeugung umfassen.</w:t>
      </w:r>
    </w:p>
    <w:p>
      <w:pPr>
        <w:pStyle w:val="GesAbsatz"/>
        <w:rPr>
          <w:rFonts w:cs="Arial"/>
        </w:rPr>
      </w:pPr>
      <w:r>
        <w:rPr>
          <w:rFonts w:cs="Arial"/>
        </w:rPr>
        <w:t>(3) Die Mitgliedstaatengewährleisten, dass jeder Betreiber einer Anlage oder eines Luftfahrzeugs die Emissionen dieser Anlage in dem betreffenden Kalenderjahr bzw. die Emissionen dieses Luftfahrzeugs ab dem 1. Januar 2010 nach Maßgabe der Rechtsakte gemäß Absatz 1 überwacht und der zuständigen Behörde nach Ende jedes Kalenderjahres darüber Bericht erstattet.</w:t>
      </w:r>
    </w:p>
    <w:p>
      <w:pPr>
        <w:pStyle w:val="GesAbsatz"/>
        <w:rPr>
          <w:rFonts w:cs="Arial"/>
        </w:rPr>
      </w:pPr>
      <w:r>
        <w:rPr>
          <w:rFonts w:cs="Arial"/>
        </w:rPr>
        <w:t>(4) In der Rechtsakte gemäß Absatz 1 können auch Anforderungen für die Verwendung von automatisierten Systemen und Datenaustauschformaten vorgesehen werden, damit im Zusammenhang mit dem Überwachungsplan, dem jährlichen Emissionsbericht und den Prüfungstätigkeiten die Kommunikation zwischen dem Betreiber, der Prüfstelle und den zuständigen Behörden harmonisiert wird.</w:t>
      </w:r>
    </w:p>
    <w:p>
      <w:pPr>
        <w:pStyle w:val="GesAbsatz"/>
        <w:rPr>
          <w:rFonts w:cs="Arial"/>
        </w:rPr>
      </w:pPr>
      <w:r>
        <w:rPr>
          <w:rFonts w:cs="Arial"/>
        </w:rPr>
        <w:t>(5) Die Luftfahrzeugbetreiber berichten einmal jährlich über die ab dem 1. Januar 2025 auftretenden Nicht-CO2-Effekte aus dem Luftverkehr. Zu diesem Zweck erlässt die Kommission bis zum 31. August 2024 einen Durchführungsrechtsakt gemäß Absatz 1, um Nicht-CO</w:t>
      </w:r>
      <w:r>
        <w:rPr>
          <w:rFonts w:cs="Arial"/>
          <w:vertAlign w:val="subscript"/>
        </w:rPr>
        <w:t>2</w:t>
      </w:r>
      <w:r>
        <w:rPr>
          <w:rFonts w:cs="Arial"/>
        </w:rPr>
        <w:t>-Effekte aus dem Luftverkehr in einen Überwachungs-, Berichterstattungs- und Prüfungsrahmen einzubeziehen. Dieser Überwachungs-, Berichterstattungs- und Prüfungsrahmen enthält mindestens die verfügbaren dreidimensionalen Flugbahndaten des Luftfahrzeugs sowie die Umgebungsfeuchtigkeit und -temperatur, damit ein CO</w:t>
      </w:r>
      <w:r>
        <w:rPr>
          <w:rFonts w:cs="Arial"/>
          <w:vertAlign w:val="subscript"/>
        </w:rPr>
        <w:t>2</w:t>
      </w:r>
      <w:r>
        <w:rPr>
          <w:rFonts w:cs="Arial"/>
        </w:rPr>
        <w:t>-Äquivalent pro Flug erzeugt werden kann. Die Kommission sorgt vorbehaltlich der verfügbaren Ressourcen für die Verfügbarkeit von Instrumenten zur Erleichterung und weitestgehenden Automatisierung der Überwachung, Berichterstattung und Prüfung, um den Verwaltungsaufwand zu minimieren.</w:t>
      </w:r>
    </w:p>
    <w:p>
      <w:pPr>
        <w:pStyle w:val="GesAbsatz"/>
        <w:rPr>
          <w:rFonts w:cs="Arial"/>
        </w:rPr>
      </w:pPr>
      <w:r>
        <w:rPr>
          <w:rFonts w:cs="Arial"/>
        </w:rPr>
        <w:t>Ab dem 1. Januar 2025 stellen die Mitgliedstaaten sicher, dass jeder Luftfahrzeugbetreiber die Nicht-CO2-Effekte jedes Luftfahrzeugs, das dieser in jedem Kalenderjahr betreibt, überwacht und der zuständigen Behörde nach Ablauf eines jeden Jahres gemäß den in Absatz 1 genannten Durchführungsrechtsakten berichtet.</w:t>
      </w:r>
    </w:p>
    <w:p>
      <w:pPr>
        <w:pStyle w:val="GesAbsatz"/>
        <w:rPr>
          <w:rFonts w:cs="Arial"/>
        </w:rPr>
      </w:pPr>
      <w:r>
        <w:rPr>
          <w:rFonts w:cs="Arial"/>
        </w:rPr>
        <w:t>Die Kommission legt ab 2026 im Rahmen des Berichts nach Artikel 10 Absatz 5 jährlich einen Bericht über die Ergebnisse der Anwendung des Überwachungs-, Berichterstattungs- und Prüfungsrahmens nach Unterabsatz 1 des vorliegenden Absatzes vor.</w:t>
      </w:r>
    </w:p>
    <w:p>
      <w:pPr>
        <w:pStyle w:val="GesAbsatz"/>
        <w:rPr>
          <w:rFonts w:cs="Arial"/>
        </w:rPr>
      </w:pPr>
      <w:r>
        <w:rPr>
          <w:rFonts w:cs="Arial"/>
        </w:rPr>
        <w:t>Auf der Grundlage der Ergebnisse der Anwendung des Überwachungs-, Berichterstattungs- und Prüfungsrahmens für Nicht-CO</w:t>
      </w:r>
      <w:r>
        <w:rPr>
          <w:rFonts w:cs="Arial"/>
          <w:vertAlign w:val="subscript"/>
        </w:rPr>
        <w:t>2</w:t>
      </w:r>
      <w:r>
        <w:rPr>
          <w:rFonts w:cs="Arial"/>
        </w:rPr>
        <w:t xml:space="preserve">-Effekte aus dem Luftverkehr legt die Kommission bis zum 31. Dezember 2027 einen Bericht und, nach der Durchführung einer Folgenabschätzung, gegebenenfalls einen Legislativvorschlag vor, der </w:t>
      </w:r>
      <w:r>
        <w:rPr>
          <w:rFonts w:cs="Arial"/>
        </w:rPr>
        <w:lastRenderedPageBreak/>
        <w:t>dem Ziel dient, Nicht-CO</w:t>
      </w:r>
      <w:r>
        <w:rPr>
          <w:rFonts w:cs="Arial"/>
          <w:vertAlign w:val="subscript"/>
        </w:rPr>
        <w:t>2</w:t>
      </w:r>
      <w:r>
        <w:rPr>
          <w:rFonts w:cs="Arial"/>
        </w:rPr>
        <w:t>-Effekte aus dem Luftverkehr durch eine Ausweitung des Anwendungsbereichs des EU-EHS auf Nicht-CO</w:t>
      </w:r>
      <w:r>
        <w:rPr>
          <w:rFonts w:cs="Arial"/>
          <w:vertAlign w:val="subscript"/>
        </w:rPr>
        <w:t>2</w:t>
      </w:r>
      <w:r>
        <w:rPr>
          <w:rFonts w:cs="Arial"/>
        </w:rPr>
        <w:t>-Effekte aus dem Luftverkehr abzumildern.</w:t>
      </w:r>
    </w:p>
    <w:p>
      <w:pPr>
        <w:pStyle w:val="GesAbsatz"/>
        <w:rPr>
          <w:rFonts w:cs="Arial"/>
        </w:rPr>
      </w:pPr>
      <w:r>
        <w:rPr>
          <w:rFonts w:cs="Arial"/>
        </w:rPr>
        <w:t>(6) Die Kommission veröffentlicht spätestens drei Monate nach Ablauf der jeweiligen Berichterstattungsfrist in nutzerfreundlich aufbereiteter Weise mindestens die folgenden aggregierten jährlichen Emissionsdaten im Zusammenhang mit Luftverkehrstätigkeiten, die den Mitgliedstaaten gemeldet oder der Kommission gemäß der Durchführungsverordnung (EU) 2018/2066 der Kommission</w:t>
      </w:r>
      <w:r>
        <w:rPr>
          <w:rStyle w:val="Funotenzeichen"/>
          <w:rFonts w:cs="Arial"/>
        </w:rPr>
        <w:footnoteReference w:id="26"/>
      </w:r>
      <w:r>
        <w:rPr>
          <w:rFonts w:cs="Arial"/>
        </w:rPr>
        <w:t xml:space="preserve"> und Artikel 7 der Delegierten Verordnung (EU) 2019/1603 der Kommission</w:t>
      </w:r>
      <w:r>
        <w:rPr>
          <w:rStyle w:val="Funotenzeichen"/>
          <w:rFonts w:cs="Arial"/>
        </w:rPr>
        <w:footnoteReference w:id="27"/>
      </w:r>
      <w:r>
        <w:rPr>
          <w:rFonts w:cs="Arial"/>
        </w:rPr>
        <w:t xml:space="preserve"> übermittelt wurden:</w:t>
      </w:r>
    </w:p>
    <w:p>
      <w:pPr>
        <w:pStyle w:val="GesAbsatz"/>
        <w:rPr>
          <w:rFonts w:cs="Arial"/>
        </w:rPr>
      </w:pPr>
      <w:r>
        <w:rPr>
          <w:rFonts w:cs="Arial"/>
        </w:rPr>
        <w:t>a)</w:t>
      </w:r>
      <w:r>
        <w:rPr>
          <w:rFonts w:cs="Arial"/>
        </w:rPr>
        <w:tab/>
        <w:t>je Flugplatzpaar innerhalb des EWR:</w:t>
      </w:r>
    </w:p>
    <w:p>
      <w:pPr>
        <w:pStyle w:val="GesAbsatz"/>
        <w:tabs>
          <w:tab w:val="clear" w:pos="425"/>
        </w:tabs>
        <w:ind w:left="851" w:hanging="425"/>
        <w:rPr>
          <w:rFonts w:cs="Arial"/>
        </w:rPr>
      </w:pPr>
      <w:r>
        <w:rPr>
          <w:rFonts w:cs="Arial"/>
        </w:rPr>
        <w:t>i)</w:t>
      </w:r>
      <w:r>
        <w:rPr>
          <w:rFonts w:cs="Arial"/>
        </w:rPr>
        <w:tab/>
        <w:t>Emissionen aus allen Flügen;</w:t>
      </w:r>
    </w:p>
    <w:p>
      <w:pPr>
        <w:pStyle w:val="GesAbsatz"/>
        <w:tabs>
          <w:tab w:val="clear" w:pos="425"/>
        </w:tabs>
        <w:ind w:left="851" w:hanging="425"/>
        <w:rPr>
          <w:rFonts w:cs="Arial"/>
        </w:rPr>
      </w:pPr>
      <w:r>
        <w:rPr>
          <w:rFonts w:cs="Arial"/>
        </w:rPr>
        <w:t>ii)</w:t>
      </w:r>
      <w:r>
        <w:rPr>
          <w:rFonts w:cs="Arial"/>
        </w:rPr>
        <w:tab/>
        <w:t>Gesamtzahl der Flüge;</w:t>
      </w:r>
    </w:p>
    <w:p>
      <w:pPr>
        <w:pStyle w:val="GesAbsatz"/>
        <w:tabs>
          <w:tab w:val="clear" w:pos="425"/>
        </w:tabs>
        <w:ind w:left="851" w:hanging="425"/>
        <w:rPr>
          <w:rFonts w:cs="Arial"/>
        </w:rPr>
      </w:pPr>
      <w:r>
        <w:rPr>
          <w:rFonts w:cs="Arial"/>
        </w:rPr>
        <w:t>iii)</w:t>
      </w:r>
      <w:r>
        <w:rPr>
          <w:rFonts w:cs="Arial"/>
        </w:rPr>
        <w:tab/>
        <w:t>Gesamtzahl der Fluggäste;</w:t>
      </w:r>
    </w:p>
    <w:p>
      <w:pPr>
        <w:pStyle w:val="GesAbsatz"/>
        <w:tabs>
          <w:tab w:val="clear" w:pos="425"/>
        </w:tabs>
        <w:ind w:left="851" w:hanging="425"/>
        <w:rPr>
          <w:rFonts w:cs="Arial"/>
        </w:rPr>
      </w:pPr>
      <w:r>
        <w:rPr>
          <w:rFonts w:cs="Arial"/>
        </w:rPr>
        <w:t>iv)</w:t>
      </w:r>
      <w:r>
        <w:rPr>
          <w:rFonts w:cs="Arial"/>
        </w:rPr>
        <w:tab/>
        <w:t>Luftfahrzeugtypen;</w:t>
      </w:r>
    </w:p>
    <w:p>
      <w:pPr>
        <w:pStyle w:val="GesAbsatz"/>
        <w:rPr>
          <w:rFonts w:cs="Arial"/>
        </w:rPr>
      </w:pPr>
      <w:r>
        <w:rPr>
          <w:rFonts w:cs="Arial"/>
        </w:rPr>
        <w:t>b)</w:t>
      </w:r>
      <w:r>
        <w:rPr>
          <w:rFonts w:cs="Arial"/>
        </w:rPr>
        <w:tab/>
        <w:t>je Luftfahrzeugbetreiber:</w:t>
      </w:r>
    </w:p>
    <w:p>
      <w:pPr>
        <w:pStyle w:val="GesAbsatz"/>
        <w:tabs>
          <w:tab w:val="clear" w:pos="425"/>
        </w:tabs>
        <w:ind w:left="851" w:hanging="425"/>
        <w:rPr>
          <w:rFonts w:cs="Arial"/>
        </w:rPr>
      </w:pPr>
      <w:r>
        <w:rPr>
          <w:rFonts w:cs="Arial"/>
        </w:rPr>
        <w:t>i)</w:t>
      </w:r>
      <w:r>
        <w:rPr>
          <w:rFonts w:cs="Arial"/>
        </w:rPr>
        <w:tab/>
        <w:t>Daten über die Emissionen aus Flügen innerhalb des EWR, aus Flügen, die im EWR starten, aus Flügen, die im EWR landen, und aus Flügen zwischen zwei Drittländern, aufgeschlüsselt nach Staatenpaaren, sowie Daten über Emissionen, die der Verpflichtung zur Löschung von im Rahmen von CORSIA zulässigen Emissionseinheiten unterliegen;</w:t>
      </w:r>
    </w:p>
    <w:p>
      <w:pPr>
        <w:pStyle w:val="GesAbsatz"/>
        <w:tabs>
          <w:tab w:val="clear" w:pos="425"/>
        </w:tabs>
        <w:ind w:left="851" w:hanging="425"/>
        <w:rPr>
          <w:rFonts w:cs="Arial"/>
        </w:rPr>
      </w:pPr>
      <w:r>
        <w:rPr>
          <w:rFonts w:cs="Arial"/>
        </w:rPr>
        <w:t>ii)</w:t>
      </w:r>
      <w:r>
        <w:rPr>
          <w:rFonts w:cs="Arial"/>
        </w:rPr>
        <w:tab/>
        <w:t>Betrag der Kompensationspflichten, berechnet gemäß Artikel 12 Absatz 8;</w:t>
      </w:r>
    </w:p>
    <w:p>
      <w:pPr>
        <w:pStyle w:val="GesAbsatz"/>
        <w:tabs>
          <w:tab w:val="clear" w:pos="425"/>
        </w:tabs>
        <w:ind w:left="851" w:hanging="425"/>
        <w:rPr>
          <w:rFonts w:cs="Arial"/>
        </w:rPr>
      </w:pPr>
      <w:r>
        <w:rPr>
          <w:rFonts w:cs="Arial"/>
        </w:rPr>
        <w:t>iii)</w:t>
      </w:r>
      <w:r>
        <w:rPr>
          <w:rFonts w:cs="Arial"/>
        </w:rPr>
        <w:tab/>
        <w:t>Betrag und Art der Gutschriften gemäß Artikel 11a, die zur Erfüllung der Kompensationspflichten des Luftfahrzeugbetreibers gemäß Ziffer ii des vorliegenden Buchstabens verwendet wurden.</w:t>
      </w:r>
    </w:p>
    <w:p>
      <w:pPr>
        <w:pStyle w:val="GesAbsatz"/>
        <w:tabs>
          <w:tab w:val="clear" w:pos="425"/>
        </w:tabs>
        <w:ind w:left="851" w:hanging="425"/>
        <w:rPr>
          <w:rFonts w:cs="Arial"/>
        </w:rPr>
      </w:pPr>
      <w:r>
        <w:rPr>
          <w:rFonts w:cs="Arial"/>
        </w:rPr>
        <w:t>iv)</w:t>
      </w:r>
      <w:r>
        <w:rPr>
          <w:rFonts w:cs="Arial"/>
        </w:rPr>
        <w:tab/>
        <w:t>Menge und Kategorie der verwendeten Kraftstoffe, für die der Emissionsfaktor gemäß dieser Richtlinie null ist, oder die den Luftfahrzeugbetreiber berechtigen, Zertifikate gemäß Artikel 3c Absatz 6 zu erhalten.</w:t>
      </w:r>
    </w:p>
    <w:p>
      <w:pPr>
        <w:pStyle w:val="GesAbsatz"/>
        <w:rPr>
          <w:rFonts w:cs="Arial"/>
        </w:rPr>
      </w:pPr>
      <w:r>
        <w:rPr>
          <w:rFonts w:cs="Arial"/>
        </w:rPr>
        <w:t>In Bezug auf die Buchstaben a und b des vorliegenden Absatzes kann ein Luftfahrzeugbetreiber unter bestimmten Umständen, in denen er auf einer sehr begrenzten Zahl von Flugplatzpaaren oder in einer sehr begrenzten Zahl von Staatenpaaren tätig ist, die Kompensationspflichten unterliegen, oder auf einer sehr begrenzten Zahl von Staatenpaaren, für die keine Kompensationspflichten gelten, beantragen, dass der Verwaltungsmitgliedstaat diese Daten nicht auf der Ebene des Luftfahrzeugbetreibers veröffentlicht, wobei zu erläutern ist, warum die Offenlegung dem geschäftlichen Interesse des Luftfahrzeugbetreibers schaden würde. Auf der Grundlage dieses Antrags kann der Verwaltungsmitgliedstaat bei der Kommission beantragen, diese Daten auf einer höheren Aggregationsebene zu veröffentlichen. Über derartige Anträge entscheidet die Kommission.</w:t>
      </w:r>
    </w:p>
    <w:p>
      <w:pPr>
        <w:pStyle w:val="berschrift2"/>
      </w:pPr>
      <w:bookmarkStart w:id="36" w:name="_Toc146879915"/>
      <w:r>
        <w:t>Artikel 15</w:t>
      </w:r>
      <w:r>
        <w:br/>
        <w:t>Prüfung und Akkreditierung</w:t>
      </w:r>
      <w:bookmarkEnd w:id="36"/>
    </w:p>
    <w:p>
      <w:pPr>
        <w:pStyle w:val="GesAbsatz"/>
      </w:pPr>
      <w:r>
        <w:t>Die Mitgliedstaaten stellen sicher, dass die von den Betreibern und Luftfahrzeugbetreibern gemäß Artikel 14 Absatz 3 vorgelegten Berichte anhand der Kriterien des Anhangs V und etwaiger Durchführungsvorschriften, die die Kommission gemäß diesem Artikel erlassen hat, geprüft werden und die zuständige Behörde hiervon unterrichtet wird.</w:t>
      </w:r>
    </w:p>
    <w:p>
      <w:pPr>
        <w:pStyle w:val="GesAbsatz"/>
      </w:pPr>
      <w:r>
        <w:t>Die Mitgliedstaaten stellen sicher, dass ein Betreiber oder Luftfahrzeugbetreiber, dessen Bericht bis zum 31. März jeden Jahres in Bezug auf die Emissionen des Vorjahres nicht gemäß den Kriterien des Anhangs V und etwaiger Durchführungsvorschriften, die die Kommission gemäß diesem Artikel erlassen hat, als zufrieden stellend bewertet wurde, keine weiteren Zertifikate übertragen kann, bis ein Bericht dieses Betreibers oder Luftfahrzeugbetreibers als zufrieden stellend bewertet wurde.</w:t>
      </w:r>
    </w:p>
    <w:p>
      <w:pPr>
        <w:pStyle w:val="GesAbsatz"/>
      </w:pPr>
      <w:r>
        <w:t xml:space="preserve">Die Kommission erlässt Durchführungsrechtsakte über die Prüfung von Emissionsberichten auf Grundlage der in Anhang V genannten Grundsätze und über die Akkreditierung und Überwachung der Prüfstellen. Die Kommission kann ferner Durchführungsrechtakte über die Überprüfung der von Luftfahrzeugbetreibern gemäß Artikel 14 Absatz 3 vorgelegten Berichte und der gemäß den Artikeln 3e und 3f eingereichten Anträge erlassen, die auch die von den Prüfstellen anzuwendenden Prüfverfahren einschließen. Sie legt die Bedingungen für </w:t>
      </w:r>
      <w:r>
        <w:lastRenderedPageBreak/>
        <w:t>die Akkreditierung, den Entzug der Akkreditierung, die gegenseitige Anerkennung sowie gegebenenfalls für die gegenseitige Begutachtung (‚peer evaluation‘) der Prüfstellen fest.</w:t>
      </w:r>
    </w:p>
    <w:p>
      <w:pPr>
        <w:pStyle w:val="GesAbsatz"/>
      </w:pPr>
      <w:r>
        <w:t>Diese Durchführungsrechtsakte werden gemäß dem in Artikel 22a Absatz 2 genannten Prüfverfahren erlassen.</w:t>
      </w:r>
    </w:p>
    <w:p>
      <w:pPr>
        <w:pStyle w:val="berschrift2"/>
      </w:pPr>
      <w:bookmarkStart w:id="37" w:name="_Toc146879916"/>
      <w:r>
        <w:t>Artikel 15a</w:t>
      </w:r>
      <w:r>
        <w:br/>
        <w:t>Veröffentlichung von Informationen und Vertraulichkeit</w:t>
      </w:r>
      <w:bookmarkEnd w:id="37"/>
    </w:p>
    <w:p>
      <w:pPr>
        <w:pStyle w:val="GesAbsatz"/>
      </w:pPr>
      <w:r>
        <w:t>Die Mitgliedstaaten und die Kommission stellen sicher, dass alle Entscheidungen und Berichte über die Menge und die Zuteilung der Zertifikate sowie über die Überwachung, Berichterstattung und Prüfung der Emissionen umgehend veröffentlicht werden, um einen ordentlichen und diskriminierungsfreien Zugang zu diesen Informationen zu gewährleisten.</w:t>
      </w:r>
    </w:p>
    <w:p>
      <w:pPr>
        <w:pStyle w:val="GesAbsatz"/>
      </w:pPr>
      <w:r>
        <w:t>Unter das Berufsgeheimnis fallende Informationen dürfen keinen anderen Personen und Stellen mitgeteilt werden, sofern dies nicht in den geltenden Rechts- und Verwaltungsvorschriften vorgesehen ist.</w:t>
      </w:r>
    </w:p>
    <w:p>
      <w:pPr>
        <w:pStyle w:val="berschrift2"/>
      </w:pPr>
      <w:bookmarkStart w:id="38" w:name="_Toc146879917"/>
      <w:r>
        <w:t>Artikel 16</w:t>
      </w:r>
      <w:r>
        <w:br/>
        <w:t>Sanktionen</w:t>
      </w:r>
      <w:bookmarkEnd w:id="38"/>
    </w:p>
    <w:p>
      <w:pPr>
        <w:pStyle w:val="GesAbsatz"/>
        <w:rPr>
          <w:rFonts w:cs="Arial"/>
        </w:rPr>
      </w:pPr>
      <w:r>
        <w:rPr>
          <w:rFonts w:cs="Arial"/>
        </w:rPr>
        <w:t>(1) Die Mitgliedstaaten legen Vorschriften über Sanktionen fest, die bei einem Verstoß gegen die gemäß dieser Richtlinie erlassenen nationalen Vorschriften zu verhängen sind, und treffen die notwendigen Maßnahmen, um die Durchsetzung dieser Vorschriften zu gewährleisten. Die Sanktionen müssen wirksam, verhältnismäßig und abschreckend sein. Die Mitgliedstaaten teilen der Kommission diese Vorschriften mit und melden ihr spätere Änderungen unverzüglich.</w:t>
      </w:r>
    </w:p>
    <w:p>
      <w:pPr>
        <w:pStyle w:val="GesAbsatz"/>
        <w:rPr>
          <w:rFonts w:cs="Arial"/>
        </w:rPr>
      </w:pPr>
      <w:r>
        <w:rPr>
          <w:rFonts w:cs="Arial"/>
        </w:rPr>
        <w:t>(2) Die Mitgliedstaaten stellen sicher, dass die Namen der Betreiber und Luftfahrzeugbetreiber, die gegen die Verpflichtungen gemäß dieser Richtlinie zur Abgabe einer ausreichenden Anzahl von Zertifikaten verstoßen, veröffentlicht werden.</w:t>
      </w:r>
    </w:p>
    <w:p>
      <w:pPr>
        <w:pStyle w:val="GesAbsatz"/>
        <w:rPr>
          <w:rFonts w:cs="Arial"/>
        </w:rPr>
      </w:pPr>
      <w:r>
        <w:rPr>
          <w:rFonts w:cs="Arial"/>
        </w:rPr>
        <w:t>(3) Die Mitgliedstaaten stellen sicher, dass Betreibern oder Luftfahrzeugbetreibern, die nicht bis zum 30. April jeden Jahres eine ausreichende Anzahl von Zertifikaten zur Abdeckung ihrer Emissionen im Vorjahr abgeben, eine Sanktion wegen Emissionsüberschreitung auferlegt wird. Die Sanktion wegen Emissionsüberschreitung beträgt für jede ausgestoßene Tonne Kohlendioxidäquivalent, für die der Betreiber oder Luftfahrzeugbetreiber keine Zertifikate abgegeben hat, 100 EUR. Die Zahlung der Sanktion entbindet den Betreiber nicht von der Verpflichtung, Zertifikate in Höhe dieser Emissionsüberschreitung abzugeben, wenn er die Zertifikate für das folgende Kalenderjahr abgibt.</w:t>
      </w:r>
    </w:p>
    <w:p>
      <w:pPr>
        <w:pStyle w:val="GesAbsatz"/>
        <w:rPr>
          <w:rFonts w:cs="Arial"/>
        </w:rPr>
      </w:pPr>
      <w:r>
        <w:rPr>
          <w:rFonts w:cs="Arial"/>
        </w:rPr>
        <w:t>(4) Für ab dem 1. Januar 2013 vergebene Zertifikate erhöht sich die Sanktion wegen Emissionsüberschreitung entsprechend dem Europäischen Verbraucherpreisindex.</w:t>
      </w:r>
    </w:p>
    <w:p>
      <w:pPr>
        <w:pStyle w:val="GesAbsatz"/>
        <w:rPr>
          <w:rFonts w:cs="Arial"/>
        </w:rPr>
      </w:pPr>
      <w:r>
        <w:rPr>
          <w:rFonts w:cs="Arial"/>
        </w:rPr>
        <w:t>(5) Erfüllt ein Luftfahrzeugbetreiber die Vorschriften dieser Richtlinie nicht und konnte die Einhaltung der Vorschriften nicht durch sonstige Durchsetzungsmaßnahmen gewährleistet werden, so kann der betreffende Verwaltungsmitgliedstaat die Kommission ersuchen, eine Betriebsuntersagung für den betreffenden Luftfahrzeugbetreiber zu beschließen.</w:t>
      </w:r>
    </w:p>
    <w:p>
      <w:pPr>
        <w:pStyle w:val="GesAbsatz"/>
        <w:rPr>
          <w:rFonts w:cs="Arial"/>
        </w:rPr>
      </w:pPr>
      <w:r>
        <w:rPr>
          <w:rFonts w:cs="Arial"/>
        </w:rPr>
        <w:t>(6) Ein Ersuchen des Verwaltungsmitgliedstaats nach Absatz 5 beinhaltet</w:t>
      </w:r>
    </w:p>
    <w:p>
      <w:pPr>
        <w:pStyle w:val="GesAbsatz"/>
        <w:ind w:left="426" w:hanging="426"/>
        <w:rPr>
          <w:rFonts w:cs="Arial"/>
        </w:rPr>
      </w:pPr>
      <w:r>
        <w:rPr>
          <w:rFonts w:cs="Arial"/>
        </w:rPr>
        <w:t>a)</w:t>
      </w:r>
      <w:r>
        <w:rPr>
          <w:rFonts w:cs="Arial"/>
        </w:rPr>
        <w:tab/>
        <w:t>einen Nachweis, dass der Luftfahrzeugbetreiber seinen Verpflichtungen im Rahmen dieser Richtlinie nicht nachgekommen ist,</w:t>
      </w:r>
    </w:p>
    <w:p>
      <w:pPr>
        <w:pStyle w:val="GesAbsatz"/>
        <w:rPr>
          <w:rFonts w:cs="Arial"/>
        </w:rPr>
      </w:pPr>
      <w:r>
        <w:rPr>
          <w:rFonts w:cs="Arial"/>
        </w:rPr>
        <w:t>b)</w:t>
      </w:r>
      <w:r>
        <w:rPr>
          <w:rFonts w:cs="Arial"/>
        </w:rPr>
        <w:tab/>
        <w:t>Angaben zu den Durchsetzungsmaßnahmen, die dieser Mitgliedstaat getroffen hat,</w:t>
      </w:r>
    </w:p>
    <w:p>
      <w:pPr>
        <w:pStyle w:val="GesAbsatz"/>
        <w:rPr>
          <w:rFonts w:cs="Arial"/>
        </w:rPr>
      </w:pPr>
      <w:r>
        <w:rPr>
          <w:rFonts w:cs="Arial"/>
        </w:rPr>
        <w:t>c)</w:t>
      </w:r>
      <w:r>
        <w:rPr>
          <w:rFonts w:cs="Arial"/>
        </w:rPr>
        <w:tab/>
        <w:t>eine Begründung für die Verhängung einer Betriebsuntersagung auf Gemeinschaftsebene und</w:t>
      </w:r>
    </w:p>
    <w:p>
      <w:pPr>
        <w:pStyle w:val="GesAbsatz"/>
        <w:ind w:left="426" w:hanging="426"/>
        <w:rPr>
          <w:rFonts w:cs="Arial"/>
        </w:rPr>
      </w:pPr>
      <w:r>
        <w:rPr>
          <w:rFonts w:cs="Arial"/>
        </w:rPr>
        <w:t>d)</w:t>
      </w:r>
      <w:r>
        <w:rPr>
          <w:rFonts w:cs="Arial"/>
        </w:rPr>
        <w:tab/>
        <w:t>eine Empfehlung für den Geltungsbereich einer Betriebsuntersagung auf Gemeinschaftsebene und Auflagen, die zu erfüllen sind.</w:t>
      </w:r>
    </w:p>
    <w:p>
      <w:pPr>
        <w:pStyle w:val="GesAbsatz"/>
        <w:rPr>
          <w:rFonts w:cs="Arial"/>
        </w:rPr>
      </w:pPr>
      <w:r>
        <w:rPr>
          <w:rFonts w:cs="Arial"/>
        </w:rPr>
        <w:t>(7) Werden Ersuchen nach Absatz 5 an die Kommission gerichtet, so unterrichtet die Kommission die anderen Mitgliedstaaten über deren Vertreter im Ausschuss nach Artikel 23 Absatz 1 gemäß der Geschäftsordnung des Ausschusses.</w:t>
      </w:r>
    </w:p>
    <w:p>
      <w:pPr>
        <w:pStyle w:val="GesAbsatz"/>
        <w:rPr>
          <w:rFonts w:cs="Arial"/>
        </w:rPr>
      </w:pPr>
      <w:r>
        <w:rPr>
          <w:rFonts w:cs="Arial"/>
        </w:rPr>
        <w:t>(8) Vor einer Entscheidung über ein Ersuchen nach Absatz 5 erfolgen, sofern angezeigt und durchführbar, Konsultationen mit den Behörden, die für die Aufsicht über den betreffenden Luftfahrzeugbetreiber zuständig sind. Die Konsultationen erfolgen möglichst gemeinsam durch die Kommission und die Mitgliedstaaten.</w:t>
      </w:r>
    </w:p>
    <w:p>
      <w:pPr>
        <w:pStyle w:val="GesAbsatz"/>
        <w:rPr>
          <w:rFonts w:cs="Arial"/>
        </w:rPr>
      </w:pPr>
      <w:r>
        <w:rPr>
          <w:rFonts w:cs="Arial"/>
        </w:rPr>
        <w:t>(9) Prüft die Kommission, ob sie eine Entscheidung über ein Ersuchen nach Absatz 5 erlassen soll, so teilt sie dem betreffenden Luftfahrzeugbetreiber die wesentlichen Fakten und Erwägungen mit, die die Grundlage hierfür bilden. Dem betreffenden Luftfahrzeugbetreiber wird Gelegenheit gegeben, der Kommission innerhalb von 10 Arbeitstagen ab dem Datum der Mitteilung schriftlich Bemerkungen zu übermitteln.</w:t>
      </w:r>
    </w:p>
    <w:p>
      <w:pPr>
        <w:pStyle w:val="GesAbsatz"/>
        <w:rPr>
          <w:rFonts w:cs="Arial"/>
        </w:rPr>
      </w:pPr>
      <w:r>
        <w:rPr>
          <w:rFonts w:cs="Arial"/>
        </w:rPr>
        <w:t>(10) Auf Ersuchen eines Mitgliedstaats kann die Kommission nach dem in Artikel 23 Absatz 2 genannten Regelungsverfahren eine Entscheidung über die Verhängung einer Betriebsuntersagung für den betreffenden Luftfahrzeugbetreiber treffen.</w:t>
      </w:r>
    </w:p>
    <w:p>
      <w:pPr>
        <w:pStyle w:val="GesAbsatz"/>
        <w:rPr>
          <w:rFonts w:cs="Arial"/>
        </w:rPr>
      </w:pPr>
      <w:r>
        <w:rPr>
          <w:rFonts w:cs="Arial"/>
        </w:rPr>
        <w:lastRenderedPageBreak/>
        <w:t>(11) Jeder Mitgliedstaat vollstreckt in seinem Hoheitsgebiet die gemäß Absatz 10 erlassenen Entscheidungen. Er informiert die Kommission über alle zur Durchführung der Entscheidung getroffenen Maßnahmen.</w:t>
      </w:r>
    </w:p>
    <w:p>
      <w:pPr>
        <w:pStyle w:val="GesAbsatz"/>
        <w:rPr>
          <w:rFonts w:cs="Arial"/>
        </w:rPr>
      </w:pPr>
      <w:r>
        <w:rPr>
          <w:rFonts w:cs="Arial"/>
        </w:rPr>
        <w:t>(12) Die Kommission erlässt Durchführungsrechtsakte mit genauen Bestimmungen für die in diesem Artikel genannten Verfahren. Diese Durchführungsrechtsakte werden gemäß dem in Artikel 22a Absatz 2 genannten Prüfverfahren erlassen.</w:t>
      </w:r>
    </w:p>
    <w:p>
      <w:pPr>
        <w:pStyle w:val="berschrift2"/>
      </w:pPr>
      <w:bookmarkStart w:id="39" w:name="_Toc146879918"/>
      <w:r>
        <w:rPr>
          <w:rFonts w:cs="Arial"/>
        </w:rPr>
        <w:t>Artikel 17</w:t>
      </w:r>
      <w:r>
        <w:rPr>
          <w:rFonts w:ascii="EUAlbertina-Italic-Identity-H" w:hAnsi="EUAlbertina-Italic-Identity-H"/>
          <w:i/>
          <w:iCs/>
        </w:rPr>
        <w:br/>
      </w:r>
      <w:r>
        <w:t>Zugang zu Informationen</w:t>
      </w:r>
      <w:bookmarkEnd w:id="39"/>
    </w:p>
    <w:p>
      <w:pPr>
        <w:pStyle w:val="GesAbsatz"/>
        <w:rPr>
          <w:rFonts w:cs="Arial"/>
        </w:rPr>
      </w:pPr>
      <w:r>
        <w:t>Entscheidungen über die Zuteilung von Zertifikaten, Informationen über Projektmaßnahmen, an denen ein Mitgliedstaat teilnimmt oder an denen sich private oder öffentliche Stellen mit Genehmigung des Mitgliedstaats beteiligen, und die in der Genehmigung zur Emission von Treibhausgasen vorgeschriebenen Emissionsberichte, die von der zuständigen Stelle bereitgehalten werden, sind in Übereinstimmung mit der Richtlinie 2003/4/EG der Öffentlichkeit zugänglich zu machen.</w:t>
      </w:r>
    </w:p>
    <w:p>
      <w:pPr>
        <w:pStyle w:val="berschrift2"/>
      </w:pPr>
      <w:bookmarkStart w:id="40" w:name="_Toc146879919"/>
      <w:r>
        <w:t>Artikel 18</w:t>
      </w:r>
      <w:r>
        <w:br/>
        <w:t>Zuständige Behörde</w:t>
      </w:r>
      <w:bookmarkEnd w:id="40"/>
    </w:p>
    <w:p>
      <w:pPr>
        <w:pStyle w:val="GesAbsatz"/>
        <w:rPr>
          <w:rFonts w:cs="Arial"/>
        </w:rPr>
      </w:pPr>
      <w:r>
        <w:rPr>
          <w:rFonts w:cs="Arial"/>
        </w:rPr>
        <w:t>Die Mitgliedstaaten sorgen für die Schaffung des für die Durchführung dieser Richtlinie geeigneten verwaltungstechnischen Rahmens, einschließlich der Benennung der entsprechenden zuständigen Behörde(n). Wird mehr als eine zuständige Behörde benannt, so muss die Tätigkeit der betreffenden Behörden im Rahmen dieser Richtlinie koordiniert werden.</w:t>
      </w:r>
    </w:p>
    <w:p>
      <w:pPr>
        <w:pStyle w:val="GesAbsatz"/>
      </w:pPr>
      <w:r>
        <w:t>Die Mitgliedstaaten müssen insbesondere die Koordinierung zwischen der von ihnen benannten Anlaufstelle für die Genehmigung der Projektmaßnahmen, die nach Artikel 6 Absatz 1 Buchstabe a des Kyoto-Protokolls vorgeschlagen werden, und ihrer für die Umsetzung von Artikel 12 des Kyoto-Protokolls benannten zuständigen Stelle gewährleisten, die jeweils gemäß den im Rahmen des UNFCCC oder des Kyoto-Protokolls gefassten Beschlüssen bestimmt werden.</w:t>
      </w:r>
    </w:p>
    <w:p>
      <w:pPr>
        <w:pStyle w:val="berschrift2"/>
      </w:pPr>
      <w:bookmarkStart w:id="41" w:name="_Toc146879920"/>
      <w:r>
        <w:t>Artikel 18a</w:t>
      </w:r>
      <w:r>
        <w:br/>
        <w:t>Verwaltungsmitgliedstaat</w:t>
      </w:r>
      <w:bookmarkEnd w:id="41"/>
    </w:p>
    <w:p>
      <w:pPr>
        <w:pStyle w:val="GesAbsatz"/>
      </w:pPr>
      <w:r>
        <w:t>(1) Verwaltungsmitgliedstaat eines Luftfahrzeugbetreibers ist</w:t>
      </w:r>
    </w:p>
    <w:p>
      <w:pPr>
        <w:pStyle w:val="GesAbsatz"/>
        <w:ind w:left="426" w:hanging="426"/>
      </w:pPr>
      <w:r>
        <w:t>a)</w:t>
      </w:r>
      <w:r>
        <w:tab/>
        <w:t>im Falle eines Luftfahrzeugbetreibers mit einer von einem Mitgliedstaat gemäß der Verordnung (EWG) Nr. 2407/92 des Rates vom 23. Juli 1992 über die Erteilung von Betriebsgenehmigungen an Luftfahrtunternehmen</w:t>
      </w:r>
      <w:r>
        <w:rPr>
          <w:rStyle w:val="Funotenzeichen"/>
        </w:rPr>
        <w:footnoteReference w:customMarkFollows="1" w:id="28"/>
        <w:t>*)</w:t>
      </w:r>
      <w:r>
        <w:t xml:space="preserve"> erteilten gültigen Betriebsgenehmigung der Mitgliedstaat, der die Betriebsgenehmigung für den betreffenden Luftfahrzeugbetreiber erteilt hat, und</w:t>
      </w:r>
    </w:p>
    <w:p>
      <w:pPr>
        <w:pStyle w:val="GesAbsatz"/>
        <w:ind w:left="426" w:hanging="426"/>
      </w:pPr>
      <w:r>
        <w:t>b)</w:t>
      </w:r>
      <w:r>
        <w:tab/>
        <w:t>in allen anderen Fällen der Mitgliedstaat mit dem höchsten Schätzwert für zugeordnete Luftverkehrsemissionen in Bezug auf Flüge, die der Luftfahrzeugbetreiber im Basisjahr durchführt.</w:t>
      </w:r>
    </w:p>
    <w:p>
      <w:pPr>
        <w:pStyle w:val="GesAbsatz"/>
      </w:pPr>
      <w:r>
        <w:t>(2) Werden dem Verwaltungsmitgliedstaat eines unter Absatz 1 Buchstabe b dieses Artikels fallenden Luftfahrzeugbetreibers in den ersten beiden Jahren einer Handelsperiode nach Artikel 13 keine der zugeordneten Luftverkehrsemissionen aus Flügen, die von diesem Luftfahrzeugbetreiber durchgeführt wurden, zugeordnet, so wird dieser Luftfahrzeugbetreiber für die nächste Handelsperiode einem anderen Verwaltungsmitgliedstaat übertragen. Neuer Verwaltungsmitgliedstaat ist der Mitgliedstaat mit dem höchsten Schätzwert für zugeordnete Luftverkehrsemissionen in Bezug auf Flüge, die der betreffende Luftfahrzeugbetreiber während der ersten beiden Jahre der vorhergehenden Handelsperiode durchgeführt hat.</w:t>
      </w:r>
    </w:p>
    <w:p>
      <w:pPr>
        <w:pStyle w:val="GesAbsatz"/>
      </w:pPr>
      <w:r>
        <w:t>(3) Auf der Grundlage der besten verfügbaren Informationen trifft die Kommission folgende Maßnahmen:</w:t>
      </w:r>
    </w:p>
    <w:p>
      <w:pPr>
        <w:pStyle w:val="GesAbsatz"/>
        <w:ind w:left="426" w:hanging="426"/>
      </w:pPr>
      <w:r>
        <w:t>a)</w:t>
      </w:r>
      <w:r>
        <w:tab/>
        <w:t>Sie veröffentlicht bis zum 1. Februar 2009 eine Liste der Luftfahrzeugbetreiber, die am oder nach dem 1. Januar 2006 einer Luftverkehrstätigkeit im Sinne des Anhangs I nachgegangen sind, mit Angabe des für die einzelnen Luftfahrzeugbetreiber zuständigen Verwaltungsmitgliedstaats gemäß Absatz 1; und</w:t>
      </w:r>
    </w:p>
    <w:p>
      <w:pPr>
        <w:pStyle w:val="GesAbsatz"/>
        <w:ind w:left="426" w:hanging="426"/>
      </w:pPr>
      <w:r>
        <w:t>b)</w:t>
      </w:r>
      <w:r>
        <w:tab/>
        <w:t>sie aktualisiert die Liste ab 2024 mindestens alle zwei Jahre zur Aufnahme der Luftfahrzeugbetreiber, die anschließend einer Luftverkehrstätigkeit im Sinne des Anhangs I nachgegangen sind; ist ein Luftfahrzeugbetreiber in den vier aufeinanderfolgenden Kalenderjahren vor der Aktualisierung der Liste keiner Luftverkehrstätigkeit im Sinne des Anhangs I nachgegangen, so wird dieser Luftfahrzeugbetreiber nicht in die Liste aufgenommen.</w:t>
      </w:r>
    </w:p>
    <w:p>
      <w:pPr>
        <w:pStyle w:val="GesAbsatz"/>
      </w:pPr>
      <w:r>
        <w:t>(4) Die Kommission kann nach dem in Artikel 23 Absatz 2 genannten Regelungsverfahren Leitlinien in Bezug auf die Verwaltung von Luftfahrzeugbetreibern durch die Verwaltungsmitgliedstaaten gemäß dieser Richtlinie entwickeln.</w:t>
      </w:r>
    </w:p>
    <w:p>
      <w:pPr>
        <w:pStyle w:val="GesAbsatz"/>
      </w:pPr>
      <w:r>
        <w:lastRenderedPageBreak/>
        <w:t>(5) Für die Zwecke des Absatzes 1 gilt als ‚Basisjahr‘ in Bezug auf Luftfahrzeugbetreiber, die ihre Tätigkeit in der Union nach dem 1. Januar 2006 aufgenommen haben, das erste Kalenderjahr der Tätigkeit und in allen anderen Fällen das am 1. Januar 2006 beginnende Kalenderjahr.</w:t>
      </w:r>
    </w:p>
    <w:p>
      <w:pPr>
        <w:pStyle w:val="berschrift2"/>
      </w:pPr>
      <w:bookmarkStart w:id="42" w:name="_Toc146879921"/>
      <w:r>
        <w:t>Artikel 18b</w:t>
      </w:r>
      <w:r>
        <w:br/>
        <w:t>Unterstützung durch Eurocontrol</w:t>
      </w:r>
      <w:bookmarkEnd w:id="42"/>
    </w:p>
    <w:p>
      <w:pPr>
        <w:pStyle w:val="GesAbsatz"/>
      </w:pPr>
      <w:r>
        <w:t>Um ihren Verpflichtungen gemäß Artikel 3b Absatz 4 und Artikel 18a nachzukommen, kann die Kommission Unterstützung durch Eurocontrol oder eine andere einschlägige Organisation beantragen und zu diesem Zweck mit diesen Organisationen entsprechende Vereinbarungen treffen.</w:t>
      </w:r>
    </w:p>
    <w:p>
      <w:pPr>
        <w:pStyle w:val="berschrift2"/>
      </w:pPr>
      <w:bookmarkStart w:id="43" w:name="_Toc146879922"/>
      <w:r>
        <w:t>Artikel 19</w:t>
      </w:r>
      <w:r>
        <w:br/>
        <w:t>Register</w:t>
      </w:r>
      <w:bookmarkEnd w:id="43"/>
    </w:p>
    <w:p>
      <w:pPr>
        <w:pStyle w:val="GesAbsatz"/>
      </w:pPr>
      <w:r>
        <w:t>(1) Die ab dem 1. Januar 2012 vergebenen Zertifikate werden im Gemeinschaftsregister zwecks Durchführung von Verfahren im Zusammenhang mit der Führung von im Mitgliedstaat eröffneten Konten und der Zuteilung, Abgabe und Löschung von Zertifikaten im Rahmen der in Absatz 3 genannten Rechtsakte der Kommission geführt.</w:t>
      </w:r>
    </w:p>
    <w:p>
      <w:pPr>
        <w:pStyle w:val="GesAbsatz"/>
      </w:pPr>
      <w:r>
        <w:t>Jeder Mitgliedstaat muss in der Lage sein, genehmigte Tätigkeiten im Rahmen des UNFCCC oder des Kyoto-Protokolls auszuführen.</w:t>
      </w:r>
    </w:p>
    <w:p>
      <w:pPr>
        <w:pStyle w:val="GesAbsatz"/>
        <w:rPr>
          <w:rFonts w:cs="Arial"/>
        </w:rPr>
      </w:pPr>
      <w:r>
        <w:rPr>
          <w:rFonts w:cs="Arial"/>
        </w:rPr>
        <w:t>(2) Jede Person kann Inhaber von Zertifikaten sein. Das Register ist der Öffentlichkeit zugänglich zu machen und in getrennte Konten aufzugliedern, um die Zertifikate der einzelnen Personen zu erfassen, an die und von denen Zertifikate vergeben oder übertragen werden.</w:t>
      </w:r>
    </w:p>
    <w:p>
      <w:pPr>
        <w:pStyle w:val="GesAbsatz"/>
      </w:pPr>
      <w:r>
        <w:t>(3) Der Kommission wird die Befugnis übertragen, zur Ergänzung dieser Richtlinie gemäß Artikel 23 delegierte Rechtsakte zu erlassen, die alle nötigen Anforderungen in Bezug auf das Unionsregister für die am 1. Januar 2013 beginnende Handelsperiode und die folgenden Handelsperioden in Form standardisierter elektronischer Datenbanken festlegen, die gemeinsame Datenelemente enthalten und dazu dienen, Vergabe, Besitz, Übertragung und gegebenenfalls Löschung von Zertifikaten zu verfolgen und den Zugang der Öffentlichkeit und die Vertraulichkeit in angemessener Weise zu gewährleisten. Diese delegierten Rechtsakte beinhalten auch Bestimmungen für das Inkraftsetzen von Regeln für die gegenseitige Anerkennung von Zertifikaten im Rahmen von Vereinbarungen zur Verknüpfung von Emissionshandelssystemen.</w:t>
      </w:r>
    </w:p>
    <w:p>
      <w:pPr>
        <w:pStyle w:val="GesAbsatz"/>
      </w:pPr>
      <w:r>
        <w:t>(4) Die Rechtsakte gemäß Absatz 3 enthält geeignete Modalitäten, nach denen das Gemeinschaftsregister die zur Durchführung der Vereinbarungen gemäß Artikel 25 Absatz 1b erforderlichen Transaktionen und sonstigen Vorgänge vornimmt. Diese Rechtsakte erfasst auch Prozesse für Änderungen und das Zwischenfallmanagement im Gemeinschaftsregister in Bezug auf die in Absatz 1 des vorliegenden Artikels behandelten Aspekte. Diese Verordnung enthält geeignete Modalitäten für das Gemeinschaftsregister, damit sichergestellt wird, dass Initiativen der Mitgliedstaaten zur Effizienzsteigerung, zur Steuerung der Verwaltungskosten und zur Qualitätskontrolle möglich sind.</w:t>
      </w:r>
    </w:p>
    <w:p>
      <w:pPr>
        <w:pStyle w:val="berschrift2"/>
      </w:pPr>
      <w:bookmarkStart w:id="44" w:name="_Toc146879923"/>
      <w:r>
        <w:t>Artikel 20</w:t>
      </w:r>
      <w:r>
        <w:br/>
        <w:t>Zentralverwalter</w:t>
      </w:r>
      <w:bookmarkEnd w:id="44"/>
    </w:p>
    <w:p>
      <w:pPr>
        <w:pStyle w:val="GesAbsatz"/>
        <w:rPr>
          <w:rFonts w:cs="Arial"/>
        </w:rPr>
      </w:pPr>
      <w:r>
        <w:rPr>
          <w:rFonts w:cs="Arial"/>
        </w:rPr>
        <w:t>(1) Die Kommission benennt einen Zentralverwalter, um ein unabhängiges Transaktionsprotokoll über Vergabe, Übertragung und Löschung der Zertifikate zu führen.</w:t>
      </w:r>
    </w:p>
    <w:p>
      <w:pPr>
        <w:pStyle w:val="GesAbsatz"/>
        <w:rPr>
          <w:rFonts w:cs="Arial"/>
        </w:rPr>
      </w:pPr>
      <w:r>
        <w:rPr>
          <w:rFonts w:cs="Arial"/>
        </w:rPr>
        <w:t>(2) Der Zentralverwalter führt anhand des unabhängigen Transaktionsprotokolls eine automatisierte Kontrolle jeder Transaktion in den Registern durch, um sicherzustellen, dass keine Unregelmäßigkeiten bezüglich Vergabe, Übertragung und Löschung der Zertifikate vorliegen.</w:t>
      </w:r>
    </w:p>
    <w:p>
      <w:pPr>
        <w:pStyle w:val="GesAbsatz"/>
        <w:rPr>
          <w:rFonts w:cs="Arial"/>
        </w:rPr>
      </w:pPr>
      <w:r>
        <w:rPr>
          <w:rFonts w:cs="Arial"/>
        </w:rPr>
        <w:t>(3) Werden bei der automatisierten Kontrolle Unregelmäßigkeiten festgestellt, so unterrichtet der Zentralverwalter den bzw. die betreffenden Mitgliedstaaten, die die fraglichen Transaktionen oder weitere Transaktionen im Zusammenhang mit den betreffenden Zertifikaten nicht in das bzw. die Register eintragen, bis die Unregelmäßigkeiten beseitigt sind.</w:t>
      </w:r>
    </w:p>
    <w:p>
      <w:pPr>
        <w:pStyle w:val="berschrift2"/>
      </w:pPr>
      <w:bookmarkStart w:id="45" w:name="_Toc146879924"/>
      <w:r>
        <w:t>Artikel 21</w:t>
      </w:r>
      <w:r>
        <w:br/>
        <w:t>Berichterstattung durch die Mitgliedstaaten</w:t>
      </w:r>
      <w:bookmarkEnd w:id="45"/>
    </w:p>
    <w:p>
      <w:pPr>
        <w:tabs>
          <w:tab w:val="clear" w:pos="425"/>
        </w:tabs>
        <w:autoSpaceDE w:val="0"/>
        <w:autoSpaceDN w:val="0"/>
        <w:adjustRightInd w:val="0"/>
        <w:spacing w:after="0"/>
        <w:rPr>
          <w:rFonts w:cs="Arial"/>
        </w:rPr>
      </w:pPr>
      <w:r>
        <w:rPr>
          <w:rFonts w:cs="Arial"/>
        </w:rPr>
        <w:t xml:space="preserve">(1) Die Mitgliedstaaten legen der Kommission jedes Jahr einen Bericht über die Anwendung dieser Richtlinie vor. </w:t>
      </w:r>
      <w:r>
        <w:t>Besonders berücksichtigt werden in dem Bericht die Regelungen für die Zuteilung der Zertifikate, die Führung der Register, die Anwendung der Durchführungsmaßnahmen für die Überwachung und Berichterstattung, die Prüfung und die Akkreditierung sowie Fragen im Zusammenhang mit der Einhaltung dieser Richtlinie und der steuerlichen Behandlung der Zertifikate, falls zutreffend.</w:t>
      </w:r>
      <w:r>
        <w:rPr>
          <w:rFonts w:cs="Arial"/>
        </w:rPr>
        <w:t xml:space="preserve"> Der erste Bericht ist der Kommission bis zum 30. Juni 2005 zu übermitteln. Der Bericht ist auf der Grundlage eines Fragebogens oder einer Vorlage zu erstellen, der bzw. die von der Kommission in Form von Durchführungsrechtsakten angenommen wurde. </w:t>
      </w:r>
      <w:r>
        <w:rPr>
          <w:rFonts w:cs="Arial"/>
        </w:rPr>
        <w:lastRenderedPageBreak/>
        <w:t>Diese Durchführungsrechtsakte werden gemäß dem in Artikel 22a Absatz 2 genannten Prüfverfahren erlassen. Der Fragebogen bzw. die Vorlage wird den Mitgliedstaaten spätestens sechs Monate vor Ablauf der Frist für die Übermittlung des ersten Berichts zugesandt.</w:t>
      </w:r>
    </w:p>
    <w:p>
      <w:pPr>
        <w:pStyle w:val="GesAbsatz"/>
        <w:rPr>
          <w:rFonts w:cs="Arial"/>
        </w:rPr>
      </w:pPr>
      <w:r>
        <w:rPr>
          <w:rFonts w:cs="Arial"/>
        </w:rPr>
        <w:t>(2) Auf der Grundlage der in Absatz 1 genannten Berichte veröffentlicht die Kommission binnen drei Monaten nach Eingang der Berichte aus den Mitgliedstaaten einen Bericht über die Anwendung dieser Richtlinie.</w:t>
      </w:r>
    </w:p>
    <w:p>
      <w:pPr>
        <w:pStyle w:val="GesAbsatz"/>
      </w:pPr>
      <w:r>
        <w:t>(3) Die Kommission trifft Vorkehrungen für einen Informationsaustausch zwischen den zuständigen Behörden der Mitgliedstaaten über Entwicklungen in Bezug auf die Zuteilung, die Nutzung von ERU und CER im Rahmen des EU-EHS, die Führung der Register, die Überwachung, Berichterstattung, Prüfung, Akkreditierung, Informationstechnologien und die Einhaltung der Vorschriften dieser Richtlinie.</w:t>
      </w:r>
    </w:p>
    <w:p>
      <w:pPr>
        <w:pStyle w:val="GesAbsatz"/>
        <w:rPr>
          <w:rFonts w:cs="Arial"/>
        </w:rPr>
      </w:pPr>
      <w:r>
        <w:rPr>
          <w:rFonts w:cs="Arial"/>
        </w:rPr>
        <w:t>(4) Alle drei Jahre werden in dem in Absatz 1 genannten Bericht auch die gleichwertigen Maßnahmen für kleine Anlagen, die vom EU-EHS ausgeschlossen sind, besonders berücksichtigt. Der Aspekt der gleichwertigen Maßnahmen für kleine Anlagen wird in den in Absatz 3 genannten Informationsaustausch einbezogen.</w:t>
      </w:r>
    </w:p>
    <w:p>
      <w:pPr>
        <w:pStyle w:val="berschrift2"/>
      </w:pPr>
      <w:bookmarkStart w:id="46" w:name="_Toc146879925"/>
      <w:r>
        <w:rPr>
          <w:rFonts w:cs="Arial"/>
        </w:rPr>
        <w:t>Artikel 21a</w:t>
      </w:r>
      <w:r>
        <w:rPr>
          <w:rFonts w:ascii="EUAlbertina-Italic-Identity-H" w:hAnsi="EUAlbertina-Italic-Identity-H"/>
          <w:i/>
          <w:iCs/>
        </w:rPr>
        <w:br/>
      </w:r>
      <w:r>
        <w:t>Unterstützung des Aufbaus von Kapazitäten</w:t>
      </w:r>
      <w:bookmarkEnd w:id="46"/>
    </w:p>
    <w:p>
      <w:pPr>
        <w:pStyle w:val="GesAbsatz"/>
        <w:rPr>
          <w:rFonts w:ascii="EUAlbertina-Italic-Identity-H" w:hAnsi="EUAlbertina-Italic-Identity-H"/>
        </w:rPr>
      </w:pPr>
      <w:r>
        <w:t>Gemäß dem UNFCCC, dem Kyoto-Protokoll und den zu ihrer Umsetzung getroffenen Entscheidungen bemühen sich die Kommission und die Mitgliedstaaten darum, den Aufbau von Kapazitäten in Entwicklungs- und in Transformationsländern auf eine Art und Weise zu unterstützen, die es ihnen ermöglicht, JI und CDM in vollem Umfang so zu nutzen, dass sie ihre Strategien für eine nachhaltige Entwicklung ergänzen und die Beteiligung von Einrichtungen bei der Entwicklung und Durchführung von JI- und CDM-Projektmaßnahmen erleichtert wird.</w:t>
      </w:r>
    </w:p>
    <w:p>
      <w:pPr>
        <w:pStyle w:val="berschrift2"/>
      </w:pPr>
      <w:bookmarkStart w:id="47" w:name="_Toc146879926"/>
      <w:r>
        <w:t>Artikel 22</w:t>
      </w:r>
      <w:r>
        <w:br/>
        <w:t>Änderung der Anhänge</w:t>
      </w:r>
      <w:bookmarkEnd w:id="47"/>
    </w:p>
    <w:p>
      <w:pPr>
        <w:pStyle w:val="GesAbsatz"/>
      </w:pPr>
      <w:r>
        <w:t>Der Kommission wird die Befugnis übertragen, gemäß Artikel 23 delegierte Rechtsakte zu erlassen, mit denen die Anhänge dieser Richtlinie mit Ausnahme der Anhänge I, IIa und IIb unter Berücksichtigung der in Artikel 21 vorgesehenen Berichte und der bei der Anwendung dieser Richtlinie gesammelten Erfahrungen gegebenenfalls geändert werden. Die Anhänge IV und V können geändert werden, um die Überwachung und Prüfung von Emissionen und die diesbezügliche Berichterstattung zu verbessern.</w:t>
      </w:r>
    </w:p>
    <w:p>
      <w:pPr>
        <w:pStyle w:val="berschrift2"/>
      </w:pPr>
      <w:bookmarkStart w:id="48" w:name="_Toc146879927"/>
      <w:r>
        <w:t>Artikel 22a</w:t>
      </w:r>
      <w:r>
        <w:br/>
        <w:t>Ausschussverfahren</w:t>
      </w:r>
      <w:bookmarkEnd w:id="48"/>
    </w:p>
    <w:p>
      <w:pPr>
        <w:pStyle w:val="GesAbsatz"/>
      </w:pPr>
      <w:r>
        <w:t>(1) Die Kommission wird von dem Ausschuss für Klimaänderung unterstützt, der mit Artikel 26 der Verordnung (EU) Nr. 525/2013 des Europäischen Parlaments und des Rates</w:t>
      </w:r>
      <w:r>
        <w:rPr>
          <w:rStyle w:val="Funotenzeichen"/>
        </w:rPr>
        <w:footnoteReference w:id="29"/>
      </w:r>
      <w:r>
        <w:t xml:space="preserve"> eingesetzt wurde. Dieser Ausschuss ist ein Ausschuss im Sinne der Verordnung (EU) Nr. 182/2011 des Europäischen Parlaments und des Rates</w:t>
      </w:r>
      <w:r>
        <w:rPr>
          <w:rStyle w:val="Funotenzeichen"/>
        </w:rPr>
        <w:footnoteReference w:id="30"/>
      </w:r>
      <w:r>
        <w:t>.</w:t>
      </w:r>
    </w:p>
    <w:p>
      <w:pPr>
        <w:pStyle w:val="GesAbsatz"/>
      </w:pPr>
      <w:r>
        <w:t>(2) Wird auf diesen Absatz Bezug genommen, so gilt Artikel 5 der Verordnung (EU) Nr. 182/2011.</w:t>
      </w:r>
    </w:p>
    <w:p>
      <w:pPr>
        <w:pStyle w:val="GesAbsatz"/>
      </w:pPr>
      <w:r>
        <w:t>Gibt der Ausschuss keine Stellungnahme ab, so erlässt die Kommission den Durchführungsrechtsakt nicht und Artikel 5 Absatz 4 Unterabsatz 3 der Verordnung (EU) Nr. 182/2011 findet Anwendung.</w:t>
      </w:r>
    </w:p>
    <w:p>
      <w:pPr>
        <w:pStyle w:val="berschrift2"/>
      </w:pPr>
      <w:bookmarkStart w:id="49" w:name="_Toc146879928"/>
      <w:r>
        <w:t>Artikel 23</w:t>
      </w:r>
      <w:r>
        <w:br/>
        <w:t>Ausübung der Befugnisübertragung</w:t>
      </w:r>
      <w:bookmarkEnd w:id="49"/>
    </w:p>
    <w:p>
      <w:pPr>
        <w:pStyle w:val="GesAbsatz"/>
        <w:rPr>
          <w:rFonts w:cs="Arial"/>
        </w:rPr>
      </w:pPr>
      <w:r>
        <w:rPr>
          <w:rFonts w:cs="Arial"/>
        </w:rPr>
        <w:t>(1) Die Befugnis zum Erlass delegierter Rechtsakte wird der Kommission unter den in diesem Artikel festgelegten Bedingungen übertragen.</w:t>
      </w:r>
    </w:p>
    <w:p>
      <w:pPr>
        <w:pStyle w:val="GesAbsatz"/>
        <w:rPr>
          <w:rFonts w:cs="Arial"/>
        </w:rPr>
      </w:pPr>
      <w:r>
        <w:rPr>
          <w:rFonts w:cs="Arial"/>
        </w:rPr>
        <w:t>(2) Die Befugnis zum Erlass delegierter Rechtsakte gemäß Artikel 3d Absatz 3, Artikel 10 Absatz 4, Artikel 10a Absätze 1 und 8, Artikel 10b Absatz 5, Artikel 19 Absatz 3, Artikel 22, Artikel 24 Absatz 3, Artikel 24a Absatz 1, Artikel 25a Absatz 1 und Artikel 28c wird der Kommission auf unbestimmte Zeit ab dem 8. April 2018 übertragen.</w:t>
      </w:r>
    </w:p>
    <w:p>
      <w:pPr>
        <w:pStyle w:val="GesAbsatz"/>
        <w:rPr>
          <w:rFonts w:cs="Arial"/>
        </w:rPr>
      </w:pPr>
      <w:r>
        <w:rPr>
          <w:rFonts w:cs="Arial"/>
        </w:rPr>
        <w:t xml:space="preserve">(3) Die Befugnisübertragung gemäß Artikel 3d Absatz 3, Artikel 10 Absatz 4, Artikel 10a Absätze 1 und 8, Artikel 10b Absatz 5, Artikel 19 Absatz 3, Artikel 22, Artikel 24 Absatz 3, Artikel 24a Absatz 1, Artikel 25a Absatz 1 und Artikel 28c kann vom Europäischen Parlament oder vom Rat jederzeit widerrufen werden. Der Beschluss über den Widerruf beendet die Übertragung der in diesem Beschluss angegebenen Befugnis. Er </w:t>
      </w:r>
      <w:r>
        <w:rPr>
          <w:rFonts w:cs="Arial"/>
        </w:rPr>
        <w:lastRenderedPageBreak/>
        <w:t>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rPr>
          <w:rFonts w:cs="Arial"/>
        </w:rPr>
      </w:pPr>
      <w:r>
        <w:rPr>
          <w:rFonts w:cs="Arial"/>
        </w:rPr>
        <w:t>(4) Vor dem Erlass eines delegierten Rechtsakts konsultiert die Kommission die von den einzelnen Mitgliedstaaten benannten Sachverständigen, im Einklang mit den in der Interinstitutionellen Vereinbarung vom 13. April 2016 über bessere Rechtsetzung</w:t>
      </w:r>
      <w:r>
        <w:rPr>
          <w:rStyle w:val="Funotenzeichen"/>
          <w:rFonts w:cs="Arial"/>
        </w:rPr>
        <w:footnoteReference w:id="31"/>
      </w:r>
      <w:r>
        <w:rPr>
          <w:rFonts w:cs="Arial"/>
        </w:rPr>
        <w:t xml:space="preserve"> enthaltenen Grundsätzen.</w:t>
      </w:r>
    </w:p>
    <w:p>
      <w:pPr>
        <w:pStyle w:val="GesAbsatz"/>
        <w:rPr>
          <w:rFonts w:cs="Arial"/>
        </w:rPr>
      </w:pPr>
      <w:r>
        <w:rPr>
          <w:rFonts w:cs="Arial"/>
        </w:rPr>
        <w:t>(5) Sobald die Kommission einen delegierten Rechtsakt erlässt, übermittelt sie ihn gleichzeitig dem Europäischen Parlament und dem Rat.</w:t>
      </w:r>
    </w:p>
    <w:p>
      <w:pPr>
        <w:pStyle w:val="GesAbsatz"/>
        <w:rPr>
          <w:rFonts w:cs="Arial"/>
        </w:rPr>
      </w:pPr>
      <w:r>
        <w:rPr>
          <w:rFonts w:cs="Arial"/>
        </w:rPr>
        <w:t xml:space="preserve">(6) Ein delegierter Rechtsakt, der gemäß Artikel 3d Absatz 3, Artikel 10 Absatz 4, Artikel 10a Absätze 1 und 8, Artikel 10b Absatz 5, Artikel 19 Absatz 3 sowie Artikel 22, Artikel 24 Absatz 3, Artikel 24a Absatz 1, Artikel 25a Absatz 1und Artikel 28c erlassen wurde, tritt nur in Kraft, wenn weder das Europäische Parlament noch der Rat innerhalb einer Frist von zwei Monaten nach Übermittlung dieses Rechtsakts an das Europäisches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 </w:t>
      </w:r>
    </w:p>
    <w:p>
      <w:pPr>
        <w:pStyle w:val="berschrift2"/>
      </w:pPr>
      <w:bookmarkStart w:id="50" w:name="_Toc146879929"/>
      <w:r>
        <w:t>Artikel 24</w:t>
      </w:r>
      <w:r>
        <w:br/>
        <w:t>Verfahren für die einseitige Einbeziehung zusätzlicher Tätigkeiten und Gase</w:t>
      </w:r>
      <w:bookmarkEnd w:id="50"/>
    </w:p>
    <w:p>
      <w:pPr>
        <w:pStyle w:val="GesAbsatz"/>
        <w:rPr>
          <w:rFonts w:cs="Arial"/>
        </w:rPr>
      </w:pPr>
      <w:r>
        <w:rPr>
          <w:rFonts w:cs="Arial"/>
        </w:rPr>
        <w:t>(1) Ab 2008 können die Mitgliedstaaten den Handel mit Emissionszertifikaten gemäß dieser Richtlinie auf nicht in Anhang I genannte Tätigkeiten und Treibhausgase ausweiten, soweit alle einschlägigen Kriterien, insbesondere die Auswirkungen auf den Binnenmarkt, mögliche Wettbewerbsverzerrungen, die Umweltwirksamkeit des EU-EHS und die Zuverlässigkeit des vorgesehenen Überwachungs- und Berichterstattungsverfahrens, berücksichtigt werden und sofern die Einbeziehung solcher Tätigkeiten und Treibhausgase von der Kommission gemäß delegierten Rechtsakten gebilligt wird, für deren Erlass der Kommission gemäß Artikel 23 die Befugnis übertragen wird.</w:t>
      </w:r>
    </w:p>
    <w:p>
      <w:pPr>
        <w:pStyle w:val="GesAbsatz"/>
        <w:rPr>
          <w:rFonts w:cs="Arial"/>
        </w:rPr>
      </w:pPr>
      <w:r>
        <w:rPr>
          <w:rFonts w:cs="Arial"/>
        </w:rPr>
        <w:t>(2) Genehmigt die Kommission die Einbeziehung zusätzlicher Tätigkeiten und Gase, so kann sie gleichzeitig die Vergabe zusätzlicher Zertifikate gestatten und anderen Mitgliedstaaten die Einbeziehung solcher Tätigkeiten und Gase genehmigen.</w:t>
      </w:r>
    </w:p>
    <w:p>
      <w:pPr>
        <w:pStyle w:val="GesAbsatz"/>
        <w:rPr>
          <w:rFonts w:cs="Arial"/>
        </w:rPr>
      </w:pPr>
      <w:r>
        <w:rPr>
          <w:rFonts w:cs="Arial"/>
        </w:rPr>
        <w:t>(3) Auf Initiative der Kommission oder auf Ersuchen eines Mitgliedstaats kann eine Rechtsakte über die Überwachung von und Berichterstattung über Emissionen aus Tätigkeiten und Anlagen und Treibhausgase, die in Anhang I nicht in Kombination miteinander aufgeführt sind, erlassen werden, wenn die betreffende Überwachung und Berichterstattung mit ausreichender Genauigkeit erfolgen kann.</w:t>
      </w:r>
    </w:p>
    <w:p>
      <w:pPr>
        <w:pStyle w:val="GesAbsatz"/>
        <w:rPr>
          <w:rFonts w:cs="Arial"/>
        </w:rPr>
      </w:pPr>
      <w:r>
        <w:rPr>
          <w:rFonts w:cs="Arial"/>
        </w:rPr>
        <w:t>Der Kommission wird die Befugnis übertragen, zur Ergänzung dieser Richtlinie in diesem Sinne gemäß Artikel 23 delegierte Rechtsakte zu erlassen.</w:t>
      </w:r>
    </w:p>
    <w:p>
      <w:pPr>
        <w:pStyle w:val="berschrift2"/>
      </w:pPr>
      <w:bookmarkStart w:id="51" w:name="_Toc146879930"/>
      <w:r>
        <w:t>Artikel 24a</w:t>
      </w:r>
      <w:r>
        <w:br/>
        <w:t>Harmonisierte Vorschriften für Projekte zur Emissionsminderung</w:t>
      </w:r>
      <w:bookmarkEnd w:id="51"/>
    </w:p>
    <w:p>
      <w:pPr>
        <w:pStyle w:val="GesAbsatz"/>
        <w:rPr>
          <w:rFonts w:cs="Arial"/>
        </w:rPr>
      </w:pPr>
      <w:r>
        <w:rPr>
          <w:rFonts w:cs="Arial"/>
        </w:rPr>
        <w:t>(1) Zusätzlich zu der in Artikel 24 vorgesehenen Einbeziehung kann die Kommission Maßnahmen für die Vergabe von Zertifikaten oder Gutschriften in Bezug auf Projekte erlassen, die von Mitgliedstaaten verwaltet werden und Reduzierungen von Treibhausgasemissionen bewirken, die nicht vom EU-EHS erfasst werden.</w:t>
      </w:r>
    </w:p>
    <w:p>
      <w:pPr>
        <w:pStyle w:val="GesAbsatz"/>
        <w:rPr>
          <w:rFonts w:cs="Arial"/>
        </w:rPr>
      </w:pPr>
      <w:r>
        <w:rPr>
          <w:rFonts w:cs="Arial"/>
        </w:rPr>
        <w:t>Diese Maßnahmen sind mit Rechtsakten, die gemäß dem vor dem 8. April 2018 geltenden vormaligen Artikel 11b Absatz 7 erlassen wurden, vereinbar. Der Kommission wird die Befugnis übertragen, zur Ergänzung dieser Richtlinie gemäß Artikel 23 delegierte Rechtsakte zu erlassen, die das zu befolgende Verfahren festlegen.</w:t>
      </w:r>
    </w:p>
    <w:p>
      <w:pPr>
        <w:pStyle w:val="GesAbsatz"/>
        <w:rPr>
          <w:rFonts w:cs="Arial"/>
        </w:rPr>
      </w:pPr>
      <w:r>
        <w:rPr>
          <w:rFonts w:cs="Arial"/>
        </w:rPr>
        <w:t>Solche Maßnahmen dürfen nicht zur doppelten Anrechnung von Emissionsminderungen führen und der Durchführung anderer politischer Maßnahmen zur Verringerung von nicht unter das EU-EHS fallenden Emissionen nicht im Wege stehen. Es werden nur dann Maßnahmen erlassen, wenn eine Einbeziehung gemäß Artikel 24 nicht möglich ist, und bei der nächsten Überprüfung des EU-EHS wird untersucht, ob die Erfassung dieser Emissionen gemeinschaftsweit harmonisiert werden kann.</w:t>
      </w:r>
    </w:p>
    <w:p>
      <w:pPr>
        <w:pStyle w:val="GesAbsatz"/>
        <w:rPr>
          <w:rFonts w:cs="Arial"/>
        </w:rPr>
      </w:pPr>
      <w:r>
        <w:rPr>
          <w:rFonts w:cs="Arial"/>
        </w:rPr>
        <w:t>(2) (gestrichen)</w:t>
      </w:r>
    </w:p>
    <w:p>
      <w:pPr>
        <w:pStyle w:val="GesAbsatz"/>
        <w:rPr>
          <w:rFonts w:cs="Arial"/>
        </w:rPr>
      </w:pPr>
      <w:r>
        <w:rPr>
          <w:rFonts w:cs="Arial"/>
        </w:rPr>
        <w:t>(3) Die Mitgliedstaaten können die Vergabe von Zertifikaten oder Gutschriften in Bezug auf bestimmte Arten von Projekten ablehnen, die in ihrem Hoheitsgebiet Treibhausgasemissionen reduzieren.</w:t>
      </w:r>
    </w:p>
    <w:p>
      <w:pPr>
        <w:pStyle w:val="GesAbsatz"/>
        <w:rPr>
          <w:rFonts w:cs="Arial"/>
        </w:rPr>
      </w:pPr>
      <w:r>
        <w:rPr>
          <w:rFonts w:cs="Arial"/>
        </w:rPr>
        <w:t>Solche Projekte werden auf der Grundlage der Zustimmung des Mitgliedstaats durchgeführt, in dem dieses Projekt stattfindet.</w:t>
      </w:r>
    </w:p>
    <w:p>
      <w:pPr>
        <w:pStyle w:val="berschrift2"/>
      </w:pPr>
      <w:bookmarkStart w:id="52" w:name="_Toc146879931"/>
      <w:r>
        <w:lastRenderedPageBreak/>
        <w:t>Artikel 25</w:t>
      </w:r>
      <w:r>
        <w:br/>
        <w:t>Verknüpfung mit anderen Systemen für den Handel mit Treibhausgasemissionen</w:t>
      </w:r>
      <w:bookmarkEnd w:id="52"/>
    </w:p>
    <w:p>
      <w:pPr>
        <w:pStyle w:val="GesAbsatz"/>
        <w:rPr>
          <w:rFonts w:cs="Arial"/>
        </w:rPr>
      </w:pPr>
      <w:r>
        <w:rPr>
          <w:rFonts w:cs="Arial"/>
        </w:rPr>
        <w:t>(1) Mit den in Anhang B des Kyoto-Protokolls aufgeführten Drittländern, die das Protokoll ratifiziert haben, sollten im Hinblick auf die gegenseitige Anerkennung der Zertifikate, die im Rahmen des EU-EHS und anderer Systeme für den Handel mit Treibhausgasemissionen erteilt wurden, gemäß Artikel 300 des Vertrags Abkommen geschlossen werden.</w:t>
      </w:r>
    </w:p>
    <w:p>
      <w:pPr>
        <w:pStyle w:val="GesAbsatz"/>
        <w:rPr>
          <w:rFonts w:cs="Arial"/>
        </w:rPr>
      </w:pPr>
      <w:r>
        <w:rPr>
          <w:rFonts w:cs="Arial"/>
        </w:rPr>
        <w:t>(1a) Es können Abkommen geschlossen werden, die die gegenseitige Anerkennung von Zertifikaten im Rahmen des EU-EHS und von Zertifikaten vorsehen, die im Rahmen anderer kompatibler verbindlicher Handelssysteme für Treibhausgasemissionen mit absoluten Emissionsobergrenzen vergeben werden, die in Drittländern oder in subföderalen oder regionalen Verwaltungseinheiten bestehen.</w:t>
      </w:r>
    </w:p>
    <w:p>
      <w:pPr>
        <w:pStyle w:val="GesAbsatz"/>
        <w:rPr>
          <w:rFonts w:cs="Arial"/>
        </w:rPr>
      </w:pPr>
      <w:r>
        <w:rPr>
          <w:rFonts w:cs="Arial"/>
        </w:rPr>
        <w:t>(1b) Mit Drittländern oder subföderalen oder regionalen Verwaltungseinheiten können nicht bindende Vereinbarungen getroffen werden, um eine administrative und technische Koordinierung in Bezug auf Zertifikate im Rahmen des EU-EHS oder anderer verbindlicher Handelssysteme für Treibhausgasemissionen mit absoluten Emissionsobergrenzen vorzusehen.</w:t>
      </w:r>
    </w:p>
    <w:p>
      <w:pPr>
        <w:pStyle w:val="berschrift2"/>
      </w:pPr>
      <w:bookmarkStart w:id="53" w:name="_Toc146879932"/>
      <w:r>
        <w:t>Artikel 25a</w:t>
      </w:r>
      <w:r>
        <w:br/>
        <w:t>Drittlandvorschriften zur Reduzierung der Klimaauswirkungen des Luftverkehrs</w:t>
      </w:r>
      <w:bookmarkEnd w:id="53"/>
    </w:p>
    <w:p>
      <w:pPr>
        <w:pStyle w:val="GesAbsatz"/>
        <w:rPr>
          <w:rFonts w:cs="Arial"/>
        </w:rPr>
      </w:pPr>
      <w:r>
        <w:rPr>
          <w:rFonts w:cs="Arial"/>
        </w:rPr>
        <w:t>(1) Erlässt ein Drittland Maßnahmen zur Reduzierung der Klimaauswirkungen von Flügen, die in seinem Hoheitsgebiet starten und in der Union enden, so prüft die Kommission nach Konsultation dieses Drittlands und der Mitgliedstaaten in dem Ausschuss gemäß Artikel 22a, welche Möglichkeiten zur Verfügung stehen, um eine optimale Wechselwirkung zwischen dem EU-EHS und den Maßnahmen des Drittlandes zu erreichen.</w:t>
      </w:r>
    </w:p>
    <w:p>
      <w:pPr>
        <w:pStyle w:val="GesAbsatz"/>
        <w:rPr>
          <w:rFonts w:cs="Arial"/>
        </w:rPr>
      </w:pPr>
      <w:r>
        <w:rPr>
          <w:rFonts w:cs="Arial"/>
        </w:rPr>
        <w:t>Der Kommission wird die Befugnis übertragen, gemäß Artikel 23 delegierte Rechtsakte zur Änderung des Anhangs I dieser Richtlinie zu erlassen, um Flüge aus dem betreffenden Drittland von den Luftverkehrstätigkeiten gemäß Anhang I auszuschließen oder um sonstige aufgrund eines nach Artikel 218 des Vertrags über die Arbeitsweise der Europäischen Union geschlossenen Abkommens erforderliche Änderungen in Bezug auf die Luftverkehrstätigkeiten gemäß Anhang I, mit Ausnahme des Geltungsbereichs, vorzunehmen.</w:t>
      </w:r>
    </w:p>
    <w:p>
      <w:pPr>
        <w:pStyle w:val="GesAbsatz"/>
        <w:rPr>
          <w:rFonts w:cs="Arial"/>
        </w:rPr>
      </w:pPr>
      <w:r>
        <w:rPr>
          <w:rFonts w:cs="Arial"/>
        </w:rPr>
        <w:t>Die Kommission kann dem Europäischen Parlament und dem Rat sonstige Änderungen an dieser Richtlinie vorschlagen.</w:t>
      </w:r>
    </w:p>
    <w:p>
      <w:pPr>
        <w:pStyle w:val="GesAbsatz"/>
        <w:rPr>
          <w:rFonts w:cs="Arial"/>
        </w:rPr>
      </w:pPr>
      <w:r>
        <w:rPr>
          <w:rFonts w:cs="Arial"/>
        </w:rPr>
        <w:t>Die Kommission kann dem Rat gegebenenfalls auch Empfehlungen nach Artikel 300 Absatz 1 des Vertrags unterbreiten, um Verhandlungen im Hinblick auf den Abschluss eines Abkommens mit dem betreffenden Drittland aufzunehmen.</w:t>
      </w:r>
    </w:p>
    <w:p>
      <w:pPr>
        <w:pStyle w:val="GesAbsatz"/>
        <w:rPr>
          <w:rFonts w:cs="Arial"/>
        </w:rPr>
      </w:pPr>
      <w:r>
        <w:rPr>
          <w:rFonts w:cs="Arial"/>
        </w:rPr>
        <w:t>(2) Die Union und die Mitgliedstaaten streben weiterhin Vereinbarungen über globale Maßnahmen zur Verringerung der Treibhausgasemissionen aus dem Luftverkehr im Einklang mit den Zielvorgaben der Verordnung (EU) 2021/1119 und des Übereinkommens von Paris an. Liegen solche Vereinbarungen vor, so prüft die Kommission, ob diese Richtlinie, soweit sie auf Luftfahrzeugbetreiber Anwendung findet, geändert werden muss.</w:t>
      </w:r>
    </w:p>
    <w:p>
      <w:pPr>
        <w:pStyle w:val="GesAbsatz"/>
        <w:rPr>
          <w:rFonts w:cs="Arial"/>
        </w:rPr>
      </w:pPr>
      <w:r>
        <w:rPr>
          <w:rFonts w:cs="Arial"/>
        </w:rPr>
        <w:t>(3) Die Kommission erlässt einen Durchführungsrechtsakt mit einer Liste von Staaten (ohne EWR-Länder, die Schweiz und das Vereinigte Königreich), bei denen davon ausgegangen wird, dass sie für die Zwecke dieser Richtlinie CORSIA anwenden, mit dem Jahr 2019 als Referenzjahr für die Jahre 2021 bis 2023 und einem Referenzwert von 85 % der Emissionen des Jahres 2019 für jedes Jahr ab dem Jahr 2024. Dieser Durchführungsrechtsakt wird gemäß dem in Artikel 22a Absatz 2 genannten Prüfverfahren erlassen.</w:t>
      </w:r>
    </w:p>
    <w:p>
      <w:pPr>
        <w:pStyle w:val="GesAbsatz"/>
        <w:rPr>
          <w:rFonts w:cs="Arial"/>
        </w:rPr>
      </w:pPr>
      <w:r>
        <w:rPr>
          <w:rFonts w:cs="Arial"/>
        </w:rPr>
        <w:t>(4) In Bezug auf Emissionen, die bis zum 31. Dezember 2026 bei Flügen in oder aus Staaten, die in dem nach Absatz 3 des vorliegenden Artikels erlassenen Durchführungsrechtsakt aufgeführt sind, entstehen, sind Luftfahrzeugbetreiber nicht verpflichtet, gemäß Artikel 12 Absatz 3 Zertifikate für diese Emissionen abzugeben.</w:t>
      </w:r>
    </w:p>
    <w:p>
      <w:pPr>
        <w:pStyle w:val="GesAbsatz"/>
        <w:rPr>
          <w:rFonts w:cs="Arial"/>
        </w:rPr>
      </w:pPr>
      <w:r>
        <w:rPr>
          <w:rFonts w:cs="Arial"/>
        </w:rPr>
        <w:t>(5) In Bezug auf Emissionen, die bis zum 31. Dezember 2026 bei Flügen zwischen dem EWR und Staaten entstehen, die nicht in dem nach Absatz 3 des vorliegenden Artikels erlassenen Durchführungsrechtsakt aufgeführt sind, ausgenommen Flüge in die Schweiz und das Vereinigte Königreich, sind Luftfahrzeugbetreiber nicht verpflichtet, gemäß Artikel 12 Absatz 3 Zertifikate für diese Emissionen abzugeben.</w:t>
      </w:r>
    </w:p>
    <w:p>
      <w:pPr>
        <w:pStyle w:val="GesAbsatz"/>
        <w:rPr>
          <w:rFonts w:cs="Arial"/>
        </w:rPr>
      </w:pPr>
      <w:r>
        <w:rPr>
          <w:rFonts w:cs="Arial"/>
        </w:rPr>
        <w:t>(6) In Bezug auf Emissionen aus Flügen in die und aus den am wenigsten entwickelten Ländern und kleinen Inselentwicklungsstaaten im Sinne der Definition der Vereinten Nationen, mit Ausnahme derjenigen, die in dem nach Absatz 3 des vorliegenden Artikels erlassenen Durchführungsrechtsakt aufgeführt sind, und Staaten, deren Pro-Kopf-BIP dem Unionsdurchschnitt entspricht oder diesen übersteigt, sind Luftfahrzeugbetreiber nicht verpflichtet, gemäß Artikel 12 Absatz 3 Zertifikate für diese Emissionen abzugeben.</w:t>
      </w:r>
    </w:p>
    <w:p>
      <w:pPr>
        <w:pStyle w:val="GesAbsatz"/>
        <w:rPr>
          <w:rFonts w:cs="Arial"/>
        </w:rPr>
      </w:pPr>
      <w:r>
        <w:rPr>
          <w:rFonts w:cs="Arial"/>
        </w:rPr>
        <w:t>(7) Stellt die Kommission fest, dass eine erhebliche Wettbewerbsverzerrung — beispielsweise eine Wettbewerbsverzerrung durch ein Drittland, das in seinem innerstaatlichen Recht CORSIA weniger streng anwendet oder CORSIA nicht bei allen Luftfahrzeugbetreibern in gleicher Weise durchsetzt — zum Nachteil von Luftfahrzeugbetreibern vorliegt, die Inhaber eines von einem Mitgliedstaat ausgestellten Luftverkehrsbetreiberzeugnisses sind oder in einem Mitgliedstaat, einschließlich der Gebiete in äußerster Randlage sowie der über</w:t>
      </w:r>
      <w:r>
        <w:rPr>
          <w:rFonts w:cs="Arial"/>
        </w:rPr>
        <w:lastRenderedPageBreak/>
        <w:t>seeischen Gebiete und Schutzgebiete dieses Mitgliedstaats, registriert sind, erlässt sie Durchführungsrechtsakte, um diese Luftfahrzeugbetreiber von den Kompensationspflichten nach Artikel 12 Absatz 9 in Bezug auf Emissionen aus Flügen in und aus solchen Staaten zu befreien. Diese Durchführungsrechtsakte werden gemäß dem in Artikel 22a Absatz 2 genannten Prüfverfahren erlassen.</w:t>
      </w:r>
    </w:p>
    <w:p>
      <w:pPr>
        <w:pStyle w:val="GesAbsatz"/>
        <w:rPr>
          <w:rFonts w:cs="Arial"/>
        </w:rPr>
      </w:pPr>
      <w:r>
        <w:rPr>
          <w:rFonts w:cs="Arial"/>
        </w:rPr>
        <w:t>(8) Führen Luftfahrzeugbetreiber, die Inhaber eines von einem Mitgliedstaat ausgestellten Luftverkehrsbetreiberzeugnisses sind oder in einem Mitgliedstaat, einschließlich der Gebiete in äußerster Randlage sowie der überseeischen Gebiete und Schutzgebiete dieses Mitgliedstaats, registriert sind, Flüge zwischen zwei verschiedenen Staaten durch, die in dem nach Absatz 3 des vorliegenden Artikels erlassenen Durchführungsrechtsakt aufgeführt sind, einschließlich Flügen zwischen der Schweiz, dem Vereinigten Königreich und den in dem nach Absatz 3 dieses Artikels erlassenen Durchführungsrechtsakt aufgeführten Staaten, und gestatten diese Staaten es ihnen, andere Einheiten als diejenigen in der nach Artikel 11a Absatz 8 angenommenen Liste zu verwenden, so ist die Kommission befugt, Durchführungsrechtsakte zu erlassen, auf deren Grundlage es diesen Luftfahrzeugbetreibern gestattet wird, zusätzlich zu den in jener Liste genannten Einheiten weitere Arten von Einheiten zu nutzen oder die in Artikel 11a Absätze 2 und 3 festgelegten Bedingungen im Hinblick auf die Emissionen aus diesen Flügen nicht einzuhalten. Diese Durchführungsrechtsakte werden gemäß dem in Artikel 22a Absatz 2 genannten Prüfverfahren erlassen.</w:t>
      </w:r>
    </w:p>
    <w:p>
      <w:pPr>
        <w:pStyle w:val="berschrift2"/>
      </w:pPr>
      <w:bookmarkStart w:id="54" w:name="_Toc146879933"/>
      <w:r>
        <w:t>Artikel 26</w:t>
      </w:r>
      <w:r>
        <w:br/>
        <w:t>Änderung der Richtlinie 96/61/EG</w:t>
      </w:r>
      <w:bookmarkEnd w:id="54"/>
    </w:p>
    <w:p>
      <w:pPr>
        <w:pStyle w:val="GesAbsatz"/>
        <w:rPr>
          <w:rFonts w:cs="Arial"/>
        </w:rPr>
      </w:pPr>
      <w:r>
        <w:rPr>
          <w:rFonts w:cs="Arial"/>
        </w:rPr>
        <w:t>In Artikel 9 Absatz 3 der Richtlinie 96/61/EG werden folgende Unterabsätze angefügt:</w:t>
      </w:r>
    </w:p>
    <w:p>
      <w:pPr>
        <w:pStyle w:val="GesAbsatz"/>
      </w:pPr>
      <w:r>
        <w:t>„Sind Treibhausgasemissionen einer Anlage in Anhang I der Richtlinie 2003/87/EG des Europäischen Parlaments und des Rates vom 13. Oktober 2003 über ein System für den Handel mit Treibhausgasemissionszertifikaten in der Gemeinschaft und zur Änderung der Richtlinie 96/61/EG des Rates (*) in Zusammenhang mit einer in dieser Anlage durchgeführten Tätigkeit aufgeführt, so enthält die Genehmigung keine Emissionsgrenzwerte für direkte Emissionen dieses Gases, es sei denn, dies ist erforderlich, um sicherzustellen, dass keine erhebliche lokale Umweltverschmutzung bewirkt wird.</w:t>
      </w:r>
    </w:p>
    <w:p>
      <w:pPr>
        <w:pStyle w:val="GesAbsatz"/>
      </w:pPr>
      <w:r>
        <w:t>Den Mitgliedstaaten steht es frei, für die in Anhang I der Richtlinie 2003/87/EG aufgeführten Tätigkeiten keine Energieeffizienzanforderungen in Bezug auf Verbrennungseinheiten oder andere Einheiten am Standort, die Kohlendioxid ausstoßen, festzulegen.</w:t>
      </w:r>
    </w:p>
    <w:p>
      <w:pPr>
        <w:pStyle w:val="GesAbsatz"/>
      </w:pPr>
      <w:r>
        <w:t>Falls erforderlich, wird die Genehmigung durch die zuständigen Behörden entsprechend geändert. Die vorstehenden drei Unterabsätze gelten nicht für Anlagen, die gemäß Artikel 27 der Richtlinie 2003/87/EG vorübergehend aus dem System für den Handel mit Treibhausgasemissionszertifikaten in der Gemeinschaft ausgeschlossen sind.</w:t>
      </w:r>
    </w:p>
    <w:p>
      <w:pPr>
        <w:pStyle w:val="GesAbsatz"/>
      </w:pPr>
      <w:r>
        <w:rPr>
          <w:sz w:val="18"/>
        </w:rPr>
        <w:t>(*) ABl. L 275 vom 25.10.2003, S. 32.“</w:t>
      </w:r>
    </w:p>
    <w:p>
      <w:pPr>
        <w:pStyle w:val="berschrift2"/>
      </w:pPr>
      <w:bookmarkStart w:id="55" w:name="_Toc146879934"/>
      <w:r>
        <w:t>Artikel 27</w:t>
      </w:r>
      <w:r>
        <w:br/>
        <w:t>Ausschluss kleiner Anlagen vorbehaltlich der Durchführung</w:t>
      </w:r>
      <w:r>
        <w:br/>
        <w:t>gleichwertiger Maßnahmen</w:t>
      </w:r>
      <w:bookmarkEnd w:id="55"/>
    </w:p>
    <w:p>
      <w:pPr>
        <w:pStyle w:val="GesAbsatz"/>
      </w:pPr>
      <w:r>
        <w:t>(1) Die Mitgliedstaaten können nach Konsultation des Betreibers Anlagen, die der zuständigen Behörde in jedem der drei Jahre, die der Mitteilung gemäß Buchstabe a vorangehen, Emissionen von weniger als 25 000 t CO</w:t>
      </w:r>
      <w:r>
        <w:rPr>
          <w:vertAlign w:val="subscript"/>
        </w:rPr>
        <w:t>2</w:t>
      </w:r>
      <w:r>
        <w:t>-Äquivalent (ohne Emissionen aus Biomasse) gemeldet haben und - wenn Verbrennungstätigkeiten durchgeführt werden - eine Feuerungswärmeleistung von weniger als 35 MW haben und für die Maßnahmen gelten, mit denen ein gleichwertiger Beitrag zur Emissionsminderung erreicht wird, aus dem EU-EHS ausschließen, wenn der betreffende Mitgliedstaat die folgenden Bedingungen erfüllt:</w:t>
      </w:r>
    </w:p>
    <w:p>
      <w:pPr>
        <w:pStyle w:val="GesAbsatz"/>
        <w:ind w:left="426" w:hanging="426"/>
      </w:pPr>
      <w:r>
        <w:t>a)</w:t>
      </w:r>
      <w:r>
        <w:tab/>
        <w:t>Er teilt der Kommission jede dieser Anlagen mit, unter Angabe der bestehenden gleichwertigen Maßnahmen, die auf diese Anlage Anwendung finden, mit denen ein gleichwertiger Beitrag zur Emissionsminderung erreicht wird, bevor das Verzeichnis der Anlagen gemäß Artikel 11 Absatz 1 vorgelegt werden muss und spätestens wenn diese Liste der Kommission vorgelegt wird;</w:t>
      </w:r>
    </w:p>
    <w:p>
      <w:pPr>
        <w:pStyle w:val="GesAbsatz"/>
        <w:ind w:left="426" w:hanging="426"/>
      </w:pPr>
      <w:r>
        <w:t>b)</w:t>
      </w:r>
      <w:r>
        <w:tab/>
        <w:t>er bestätigt, dass durch Überwachungsvorkehrungen geprüft wird, ob eine Anlage in einem Kalenderjahr25 000 t CO</w:t>
      </w:r>
      <w:r>
        <w:rPr>
          <w:vertAlign w:val="subscript"/>
        </w:rPr>
        <w:t>2</w:t>
      </w:r>
      <w:r>
        <w:t>-Äquivalent oder mehr (ohne Emissionen aus Biomasse) emittiert; die Mitgliedstaaten können für Anlagen mit durchschnittlichen geprüften jährlichen Emissionen zwischen 2008 und 2010 von weniger als 5 000 t pro Jahr gemäß Artikel 14 vereinfachte Maßnahmen zur Überwachung, Berichterstattung und Prüfung zulassen;</w:t>
      </w:r>
    </w:p>
    <w:p>
      <w:pPr>
        <w:pStyle w:val="GesAbsatz"/>
        <w:ind w:left="426" w:hanging="426"/>
      </w:pPr>
      <w:r>
        <w:t>c)</w:t>
      </w:r>
      <w:r>
        <w:tab/>
        <w:t>er bestätigt - für den Fall, dass eine Anlage in einem Kalenderjahr 25 000 t CO</w:t>
      </w:r>
      <w:r>
        <w:rPr>
          <w:vertAlign w:val="subscript"/>
        </w:rPr>
        <w:t>2</w:t>
      </w:r>
      <w:r>
        <w:t>-Äquivalent oder mehr (ohne Emissionen aus Biomasse) emittiert oder die Maßnahmen, die auf diese Anlage Anwendung finden, mit denen ein gleichwertiger Beitrag zur Emissionsminderung erreicht wird, nicht mehr in Kraft sind -, dass die betreffende Anlage wieder in das EU-EHS einbezogen wird;</w:t>
      </w:r>
    </w:p>
    <w:p>
      <w:pPr>
        <w:pStyle w:val="GesAbsatz"/>
        <w:ind w:left="426" w:hanging="426"/>
      </w:pPr>
      <w:r>
        <w:lastRenderedPageBreak/>
        <w:t>d)</w:t>
      </w:r>
      <w:r>
        <w:tab/>
        <w:t>er veröffentlicht die Informationen gemäß den Buchstaben a, b und c, damit die Öffentlichkeit Stellung nehmen kann.</w:t>
      </w:r>
    </w:p>
    <w:p>
      <w:pPr>
        <w:pStyle w:val="GesAbsatz"/>
      </w:pPr>
      <w:r>
        <w:t>Krankenhäuser können ebenfalls ausgenommen werden, wenn sie gleichwertige Maßnahmen ergreifen.</w:t>
      </w:r>
    </w:p>
    <w:p>
      <w:pPr>
        <w:pStyle w:val="GesAbsatz"/>
      </w:pPr>
      <w:r>
        <w:t>(2) Wenn die Kommission innerhalb von sechs Monaten nach Ablauf einer Dreimonatsfrist ab dem Tag, an dem die Mitteilung zur Stellungnahme der Öffentlichkeit erfolgt ist, keine Einwände erhebt, so gilt die Ausnahme als angenommen.</w:t>
      </w:r>
    </w:p>
    <w:p>
      <w:pPr>
        <w:pStyle w:val="GesAbsatz"/>
      </w:pPr>
      <w:r>
        <w:t>Nach der Abgabe von Zertifikaten für den Zeitraum, in dem die Anlage in das EU-EHS einbezogen war, wird die betreffende Anlage aus dem System ausgeschlossen, und der Mitgliedstaat vergibt für sie keine weiteren kostenlosen Zertifikate gemäß Artikel 10a.</w:t>
      </w:r>
    </w:p>
    <w:p>
      <w:pPr>
        <w:pStyle w:val="GesAbsatz"/>
      </w:pPr>
      <w:r>
        <w:t>(3) Wenn eine Anlage gemäß Absatz 1 Buchstabe c wieder in das EU-EHS einbezogen wird, werden die gemäß Artikel 10a vergebenen Zertifikate mit dem Jahr der Wiedereinbeziehung wieder zugeteilt. Die für diese Anlagen vergebenen Zertifikate werden von der Menge abgezogen, die von dem Mitgliedstaat, in dem sich die Anlage befindet, gemäß Artikel 10 Absatz 2 versteigert wird.</w:t>
      </w:r>
    </w:p>
    <w:p>
      <w:pPr>
        <w:pStyle w:val="GesAbsatz"/>
      </w:pPr>
      <w:r>
        <w:t>Diese Anlagen verbleiben für den Rest des in Artikel 11 Absatz 1 genannten Zeitraums, in dem sie wieder einbezogen wurden, im EU-EHS.</w:t>
      </w:r>
    </w:p>
    <w:p>
      <w:pPr>
        <w:pStyle w:val="GesAbsatz"/>
      </w:pPr>
      <w:r>
        <w:t>(4) Für Anlagen, die im Zeitraum von 2008 bis 2012 nicht in das EU-EHS einbezogen waren, können im Hinblick auf die Festlegung der Emissionen in den drei Jahren, die der Mitteilung gemäß Absatz 1 Buchstabe a vorhergehen, vereinfachte Anforderungen für die Überwachung, Berichterstattung und Prüfung angewendet werden.</w:t>
      </w:r>
    </w:p>
    <w:p>
      <w:pPr>
        <w:pStyle w:val="berschrift2"/>
      </w:pPr>
      <w:bookmarkStart w:id="56" w:name="_Toc146879935"/>
      <w:r>
        <w:t>Artikel 27a</w:t>
      </w:r>
      <w:r>
        <w:br/>
        <w:t>Optionaler Ausschluss von Anlagen mit Emissionen von weniger als 2 500 Tonnen</w:t>
      </w:r>
      <w:bookmarkEnd w:id="56"/>
    </w:p>
    <w:p>
      <w:pPr>
        <w:pStyle w:val="GesAbsatz"/>
      </w:pPr>
      <w:r>
        <w:t>(1) Die Mitgliedstaaten können Anlagen, die der zuständigen Behörde des betreffenden Mitgliedstaats in jedem der drei Jahre, die der Mitteilung gemäß Buchstabe a vorangehen, Emissionen von weniger als 2 500 t CO</w:t>
      </w:r>
      <w:r>
        <w:rPr>
          <w:vertAlign w:val="subscript"/>
        </w:rPr>
        <w:t>2</w:t>
      </w:r>
      <w:r>
        <w:t>-Äquivalent (ohne Emissionen aus Biomasse) gemeldet haben, aus dem EU-EHS ausschließen, wenn der betreffende Mitgliedstaat:</w:t>
      </w:r>
    </w:p>
    <w:p>
      <w:pPr>
        <w:pStyle w:val="GesAbsatz"/>
        <w:ind w:left="426" w:hanging="426"/>
      </w:pPr>
      <w:r>
        <w:t>a)</w:t>
      </w:r>
      <w:r>
        <w:tab/>
        <w:t>der Kommission jede dieser Anlagen mitteilt, bevor das Verzeichnis der Anlagen gemäß Artikel 11 Absatz 1 vorgelegt werden muss und spätestens wenn dieses Verzeichnis der Kommission vorgelegt wird;</w:t>
      </w:r>
    </w:p>
    <w:p>
      <w:pPr>
        <w:pStyle w:val="GesAbsatz"/>
        <w:ind w:left="426" w:hanging="426"/>
      </w:pPr>
      <w:r>
        <w:t>b)</w:t>
      </w:r>
      <w:r>
        <w:tab/>
        <w:t>bestätigt, dass durch vereinfachte Überwachungsvorkehrungen geprüft wird, ob eine Anlage in einem Kalenderjahr 2 500 t CO</w:t>
      </w:r>
      <w:r>
        <w:rPr>
          <w:vertAlign w:val="subscript"/>
        </w:rPr>
        <w:t>2</w:t>
      </w:r>
      <w:r>
        <w:t>-Äquivalent oder mehr (ohne Emissionen aus Biomasse) emittiert;</w:t>
      </w:r>
    </w:p>
    <w:p>
      <w:pPr>
        <w:pStyle w:val="GesAbsatz"/>
        <w:ind w:left="426" w:hanging="426"/>
      </w:pPr>
      <w:r>
        <w:t>c)</w:t>
      </w:r>
      <w:r>
        <w:tab/>
        <w:t>bestätigt für den Fall, dass eine Anlage in einem Kalenderjahr 2 500 t CO</w:t>
      </w:r>
      <w:r>
        <w:rPr>
          <w:vertAlign w:val="subscript"/>
        </w:rPr>
        <w:t>2</w:t>
      </w:r>
      <w:r>
        <w:t>-Äquivalent oder mehr (ohne Emissionen aus Biomasse) emittiert, dass die betreffende Anlage wieder in das EU-EHS einbezogen wird; und</w:t>
      </w:r>
    </w:p>
    <w:p>
      <w:pPr>
        <w:pStyle w:val="GesAbsatz"/>
        <w:ind w:left="426" w:hanging="426"/>
      </w:pPr>
      <w:r>
        <w:t>d)</w:t>
      </w:r>
      <w:r>
        <w:tab/>
        <w:t>die Informationen gemäß den Buchstaben a, b und c der Öffentlichkeit zugänglich macht.</w:t>
      </w:r>
    </w:p>
    <w:p>
      <w:pPr>
        <w:pStyle w:val="GesAbsatz"/>
      </w:pPr>
      <w:r>
        <w:t>(2) Wenn eine Anlage gemäß Absatz 1 Buchstabe c dieses Artikels wieder in das EU-EHS einbezogen wird, werden die gemäß Artikel 10a zugeteilten Zertifikate beginnend mit dem Jahr der Wiedereinbeziehung zugeteilt. Die für die Anlage zugeteilten Zertifikate werden von der Menge abgezogen, die von dem Mitgliedstaat, in dem sich die Anlage befindet, gemäß Artikel 10 Absatz 2 versteigert wird.</w:t>
      </w:r>
    </w:p>
    <w:p>
      <w:pPr>
        <w:pStyle w:val="GesAbsatz"/>
      </w:pPr>
      <w:r>
        <w:t>(3) Die Mitgliedstaten können unter den in den Absätzen 1 und 2 genannten Bedingungen auch Reserve- oder Ersatzeinheiten, die weniger als 300 Stunden in jedem der drei Jahre, die der Mitteilung gemäß Absatz 1 Buchstabe a vorangegangen sind, in Betrieb waren, vom EU-EHS ausschließen.</w:t>
      </w:r>
    </w:p>
    <w:p>
      <w:pPr>
        <w:pStyle w:val="berschrift2"/>
      </w:pPr>
      <w:bookmarkStart w:id="57" w:name="_Toc146879936"/>
      <w:r>
        <w:t>Artikel 28</w:t>
      </w:r>
      <w:r>
        <w:br/>
        <w:t>Anpassungen nach Genehmigung eines internationalen Abkommens</w:t>
      </w:r>
      <w:r>
        <w:br/>
        <w:t>über den Klimawandel durch die Union</w:t>
      </w:r>
      <w:bookmarkEnd w:id="57"/>
    </w:p>
    <w:p>
      <w:pPr>
        <w:pStyle w:val="GesAbsatz"/>
      </w:pPr>
      <w:r>
        <w:t>(1) Innerhalb von drei Monaten nach der Unterzeichnung eines internationalen Abkommens über den Klimawandel durch die Union, das verbindliche Reduktionen von Treibhausgasemissionen bis 2020 von über 20% gegenüber dem Niveau von 1990 vorsieht - was der auf der Tagung des Europäischen Rates vom März 2007 unterstützten Verpflichtung zur Reduzierung um 30% entspricht - legt die Kommission einen Bericht vor, in dem insbesondere folgende Aspekte bewertet werden:</w:t>
      </w:r>
    </w:p>
    <w:p>
      <w:pPr>
        <w:pStyle w:val="GesAbsatz"/>
        <w:ind w:left="426" w:hanging="426"/>
      </w:pPr>
      <w:r>
        <w:t>a)</w:t>
      </w:r>
      <w:r>
        <w:tab/>
        <w:t>die Art der im Rahmen der internationalen Verhandlungen vereinbarten Maßnahmen sowie die Verpflichtungen anderer Industrieländer zu Emissionsreduktionen, die denen der Union vergleichbar sind, sowie die Verpflichtungen wirtschaftlich weiter fortgeschrittener Entwicklungsländer zu einem angemessenen Beitrag entsprechend ihrer Verantwortung und ihren jeweiligen Fähigkeiten;</w:t>
      </w:r>
    </w:p>
    <w:p>
      <w:pPr>
        <w:pStyle w:val="GesAbsatz"/>
        <w:ind w:left="426" w:hanging="426"/>
      </w:pPr>
      <w:r>
        <w:t>b)</w:t>
      </w:r>
      <w:r>
        <w:tab/>
        <w:t xml:space="preserve">die Auswirkungen des internationalen Abkommens über den Klimawandel und folglich Optionen, die auf Gemeinschaftsebene erforderlich sind, um das ehrgeizigere Reduktionsziel von 30% in ausgewogener, </w:t>
      </w:r>
      <w:r>
        <w:lastRenderedPageBreak/>
        <w:t>transparenter und gerechter Weise zu erreichen, wobei die im Rahmen des ersten Verpflichtungszeitraum des Kyoto-Protokolls geleistete Arbeit zu berücksichtigen ist;</w:t>
      </w:r>
    </w:p>
    <w:p>
      <w:pPr>
        <w:pStyle w:val="GesAbsatz"/>
        <w:ind w:left="426" w:hanging="426"/>
      </w:pPr>
      <w:r>
        <w:t>c)</w:t>
      </w:r>
      <w:r>
        <w:tab/>
        <w:t>die Wettbewerbsfähigkeit der verarbeitenden Industrie in der Union im Zusammenhang mit den Risiken der Verlagerung von CO</w:t>
      </w:r>
      <w:r>
        <w:rPr>
          <w:vertAlign w:val="subscript"/>
        </w:rPr>
        <w:t>2</w:t>
      </w:r>
      <w:r>
        <w:t>-Emissionen;</w:t>
      </w:r>
    </w:p>
    <w:p>
      <w:pPr>
        <w:pStyle w:val="GesAbsatz"/>
        <w:ind w:left="426" w:hanging="426"/>
      </w:pPr>
      <w:r>
        <w:t>d)</w:t>
      </w:r>
      <w:r>
        <w:tab/>
        <w:t>die Auswirkung des internationalen Abkommens über den Klimawandel auf andere Wirtschaftszweige in der Union;</w:t>
      </w:r>
    </w:p>
    <w:p>
      <w:pPr>
        <w:pStyle w:val="GesAbsatz"/>
        <w:ind w:left="426" w:hanging="426"/>
      </w:pPr>
      <w:r>
        <w:t>e)</w:t>
      </w:r>
      <w:r>
        <w:tab/>
        <w:t>die Auswirkungen auf den Agrarsektor in der Union einschließlich des Risikos einer Verlagerung von CO</w:t>
      </w:r>
      <w:r>
        <w:rPr>
          <w:vertAlign w:val="subscript"/>
        </w:rPr>
        <w:t>2</w:t>
      </w:r>
      <w:r>
        <w:t>-Emissionen;</w:t>
      </w:r>
    </w:p>
    <w:p>
      <w:pPr>
        <w:pStyle w:val="GesAbsatz"/>
        <w:ind w:left="426" w:hanging="426"/>
      </w:pPr>
      <w:r>
        <w:t>f)</w:t>
      </w:r>
      <w:r>
        <w:tab/>
        <w:t>die Modalitäten für die Einbeziehung von Emissionen und Kohlenstoffspeicherung im Zusammenhang mit Landnutzung, Landnutzungsänderung und Forstwirtschaft in der Union;</w:t>
      </w:r>
    </w:p>
    <w:p>
      <w:pPr>
        <w:pStyle w:val="GesAbsatz"/>
        <w:ind w:left="426" w:hanging="426"/>
      </w:pPr>
      <w:r>
        <w:t>g)</w:t>
      </w:r>
      <w:r>
        <w:tab/>
        <w:t>die Aufforstung, die Wiederaufforstung sowie die Vermeidung von Entwaldung und Waldschädigung in Drittstaaten im Fall der Einführung eines international anerkannten Systems in diesem Zusammenhang;</w:t>
      </w:r>
    </w:p>
    <w:p>
      <w:pPr>
        <w:pStyle w:val="GesAbsatz"/>
        <w:ind w:left="426" w:hanging="426"/>
      </w:pPr>
      <w:r>
        <w:t>h)</w:t>
      </w:r>
      <w:r>
        <w:tab/>
        <w:t>die Notwendigkeit zusätzlicher Gemeinschaftsstrategien und -maßnahmen zur Einhaltung der Verpflichtungen der Union und der Mitgliedstaaten zu Treibhausgasreduktionen.</w:t>
      </w:r>
    </w:p>
    <w:p>
      <w:pPr>
        <w:pStyle w:val="GesAbsatz"/>
      </w:pPr>
      <w:r>
        <w:t>(2) Auf der Grundlage des Berichts gemäß Absatz 1 unterbreitet die Kommission gegebenenfalls dem Europäischen Parlament und dem Rat einen Legislativvorschlag zur Änderung der vorliegenden Richtlinie gemäß Absatz 1 im Hinblick auf das Inkrafttreten der Änderungsrichtlinie nach der Genehmigung des internationalen Abkommens über den Klimawandel durch die Union und im Hinblick auf die im Rahmen dieses Abkommens zu erfüllende Verpflichtung zu Emissionsreduktionen.</w:t>
      </w:r>
    </w:p>
    <w:p>
      <w:pPr>
        <w:pStyle w:val="GesAbsatz"/>
      </w:pPr>
      <w:r>
        <w:t>Der Vorschlag stützt sich auf die Grundsätze Transparenz, Wirtschaftlichkeit und Kosteneffizienz sowie Fairness und Solidarität bei der Lastenverteilung auf die Mitgliedstaaten.</w:t>
      </w:r>
    </w:p>
    <w:p>
      <w:pPr>
        <w:pStyle w:val="GesAbsatz"/>
      </w:pPr>
      <w:r>
        <w:t>(3) Der Vorschlag ermöglicht den Betreibern, zusätzlich zu den Gutschriften gemäß dieser Richtlinie gegebenenfalls CER, ERU oder sonstige genehmigte Gutschriften aus Drittländern, die das internationale Abkommen über den Klimawandel ratifiziert haben, zu nutzen.</w:t>
      </w:r>
    </w:p>
    <w:p>
      <w:pPr>
        <w:pStyle w:val="GesAbsatz"/>
      </w:pPr>
      <w:r>
        <w:t>(4) Der Vorschlag schließt ferner gegebenenfalls weitere Maßnahmen ein, die erforderlich sind, um die verbindlichen Reduktionen gemäß Absatz 1 auf transparente, ausgewogene und gerechte Art und Weise zu erreichen, und insbesondere Durchführungsmaßnahmen, die es den Betreibern gestatten, gegebenenfalls im Rahmen des EU-EHS zusätzlich zu den in Artikel 11a Absätze 2 bis 5 genannten weitere Projektgutschriften zu verwenden oder andere im Rahmen des internationalen Abkommens über den Klimawandel geschaffene Mechanismen zu nutzen.</w:t>
      </w:r>
    </w:p>
    <w:p>
      <w:pPr>
        <w:pStyle w:val="GesAbsatz"/>
      </w:pPr>
      <w:r>
        <w:t>(5) Der Vorschlag enthält geeignete Übergangsmaßnahmen und aufschiebende Maßnahmen für die Zeit vor dem Inkrafttreten des internationalen Abkommens.</w:t>
      </w:r>
    </w:p>
    <w:p>
      <w:pPr>
        <w:pStyle w:val="berschrift2"/>
      </w:pPr>
      <w:bookmarkStart w:id="58" w:name="_Toc146879937"/>
      <w:r>
        <w:t>Artikel 28a</w:t>
      </w:r>
      <w:r>
        <w:br/>
        <w:t xml:space="preserve">Vor der verpflichtenden Umsetzung des globalen </w:t>
      </w:r>
      <w:r>
        <w:br/>
        <w:t>marktbasierten Mechanismus der ICAO geltende Ausnahmen</w:t>
      </w:r>
      <w:bookmarkEnd w:id="58"/>
    </w:p>
    <w:p>
      <w:pPr>
        <w:pStyle w:val="GesAbsatz"/>
      </w:pPr>
      <w:r>
        <w:t>(1) Abweichend von Artikel 12 Absatz 3, Artikel 14 Absatz 3 und Artikel 16 betrachten die Mitgliedstaaten die in diesen Vorschriften vorgesehenen Anforderungen als erfüllt und ergreifen gegen Luftfahrzeugbetreiber keine Maßnahmen in Bezug auf</w:t>
      </w:r>
    </w:p>
    <w:p>
      <w:pPr>
        <w:pStyle w:val="GesAbsatz"/>
        <w:ind w:left="426" w:hanging="426"/>
      </w:pPr>
      <w:r>
        <w:t>a)</w:t>
      </w:r>
      <w:r>
        <w:tab/>
        <w:t>alle Emissionen aus Flügen von und nach Flugplätzen in Staaten außerhalb des EWR mit Ausnahme von Flügen nach Flugplätzen im Vereinigten Königreich oder in der Schweiz, in jedem Kalenderjahr ab dem 1. Januar 2021 bis zum 31. Dezember 2026, vorbehaltlich der Überprüfung gemäß Artikel 28b;</w:t>
      </w:r>
    </w:p>
    <w:p>
      <w:pPr>
        <w:pStyle w:val="GesAbsatz"/>
        <w:ind w:left="426" w:hanging="426"/>
      </w:pPr>
      <w:r>
        <w:t>b)</w:t>
      </w:r>
      <w:r>
        <w:tab/>
        <w:t>alle Emissionen aus Flügen zwischen einem Flugplatz in einem Gebiet in äußerster Randlage im Sinne des Artikels 349 AEUV und einem Flugplatz in einem anderen Gebiet des EWR in jedem Kalenderjahr ab dem 1. Januar 2013 bis zum 31. Dezember 2023, vorbehaltlich der Überprüfung gemäß Artikel 28b.</w:t>
      </w:r>
    </w:p>
    <w:p>
      <w:pPr>
        <w:pStyle w:val="GesAbsatz"/>
      </w:pPr>
      <w:r>
        <w:t>Für die Zwecke der Artikel 11a, 12 und 14 gelten die geprüften Emissionen aus nicht in Unterabsatz 1 dieses Absatzes genannten Flügen als die geprüften Emissionen des Luftfahrzeugbetreibers.</w:t>
      </w:r>
    </w:p>
    <w:p>
      <w:pPr>
        <w:pStyle w:val="GesAbsatz"/>
      </w:pPr>
      <w:r>
        <w:t>(2) Abweichend von Artikel 3d Absatz 3 wird die Menge der von jedem Mitgliedstaat für den Zeitraum vom 1. Januar 2013 bis zum 31. Dezember 2026 zu versteigernden Zertifikate verringert, damit sie dem Anteil der zugeordneten Luftverkehrsemissionen für Flüge entsprechen, die nicht unter die Ausnahmen gemäß Absatz  1 Buchstaben a und b des vorliegenden Artikels fallen.</w:t>
      </w:r>
    </w:p>
    <w:p>
      <w:pPr>
        <w:pStyle w:val="GesAbsatz"/>
      </w:pPr>
      <w:r>
        <w:t>(3) Abweichend von Artikel 3g müssen Luftfahrzeugbetreiber für Flüge, die unter die Ausnahmen gemäß Absatz 1 Buchstaben a und b des vorliegenden Artikels fallen, keine Überwachungspläne, in denen Maßnahmen zur Überwachung und Berichterstattung hinsichtlich Emissionen enthalten sind, übermitteln.</w:t>
      </w:r>
    </w:p>
    <w:p>
      <w:pPr>
        <w:pStyle w:val="GesAbsatz"/>
      </w:pPr>
      <w:r>
        <w:t xml:space="preserve">(4) Betragen die jährlichen Gesamtemissionen eines Luftfahrzeugbetreibers weniger als 25 000 Tonnen CO2 oder betragen die jährlichen Gesamtemissionen eines Luftfahrzeugbetreibers aus nicht in Absatz 1 Buchstaben a und b des vorliegenden Artikels genannten Flügen weniger als 3 000 Tonnen CO2, so werden seine </w:t>
      </w:r>
      <w:r>
        <w:lastRenderedPageBreak/>
        <w:t>Emissionen abweichend von den Artikeln 3g, 12, 15 und 18a als geprüfte Emissionen erachtet, wenn sie mit dem Instrument für Kleinemittenten ermittelt wurden, das gemäß der Verordnung (EU) Nr. 606/2010 der Kommission</w:t>
      </w:r>
      <w:r>
        <w:rPr>
          <w:rStyle w:val="Funotenzeichen"/>
        </w:rPr>
        <w:footnoteReference w:id="32"/>
      </w:r>
      <w:r>
        <w:t xml:space="preserve"> zulässig ist und von Eurocontrol mit Daten aus seiner Unterstützungseinrichtung für das Emissionshandelssystem aufgefüllt wurde. Die Mitgliedstaaten dürfen auf nichtgewerbliche Luftfahrzeugbetreiber vereinfachte Verfahren anwenden, solange solche Verfahren nicht weniger genau als das Instrument für Kleinemittenten sind.</w:t>
      </w:r>
    </w:p>
    <w:p>
      <w:pPr>
        <w:pStyle w:val="GesAbsatz"/>
      </w:pPr>
      <w:r>
        <w:t>(5) Für Länder, mit denen ein Abkommen gemäß Artikel 25 oder 25a geschlossen wurde, gilt Absatz 1 des vorliegenden Artikels lediglich im Einklang mit den Bedingungen dieses Abkommens.</w:t>
      </w:r>
    </w:p>
    <w:p>
      <w:pPr>
        <w:pStyle w:val="berschrift2"/>
      </w:pPr>
      <w:bookmarkStart w:id="59" w:name="_Toc146879938"/>
      <w:r>
        <w:t>Artikel 28b</w:t>
      </w:r>
      <w:r>
        <w:br/>
        <w:t xml:space="preserve">Berichterstattung durch die Kommission über die </w:t>
      </w:r>
      <w:r>
        <w:br/>
        <w:t xml:space="preserve">Umsetzung des globalen marktbasierten </w:t>
      </w:r>
      <w:r>
        <w:br/>
        <w:t>Mechanismus der ICAO und ihre Überprüfung durch die Kommission</w:t>
      </w:r>
      <w:bookmarkEnd w:id="59"/>
    </w:p>
    <w:p>
      <w:pPr>
        <w:pStyle w:val="GesAbsatz"/>
      </w:pPr>
      <w:r>
        <w:t>(1) Die Kommission erstattet dem Europäischen Parlament und dem Rat vor dem 1. Januar 2027 und danach alle drei Jahre Bericht über die Fortschritte bei den Verhandlungen in der ICAO über die Umsetzung des ab 2021 für Emissionen geltenden globalen marktbasierten Mechanismus, insbesondere im Hinblick auf</w:t>
      </w:r>
    </w:p>
    <w:p>
      <w:pPr>
        <w:pStyle w:val="GesAbsatz"/>
        <w:ind w:left="426" w:hanging="426"/>
      </w:pPr>
      <w:r>
        <w:t>a)</w:t>
      </w:r>
      <w:r>
        <w:tab/>
        <w:t>die einschlägigen Instrumente der ICAO, einschließlich Richtlinien und Empfehlungen, sowie die Fortschritte bei der Umsetzung aller Bestandteile des Maßnahmenkatalogs der ICAO zur Erreichung des langfristig global angestrebten Ziels, das auf der 41. ICAO-Versammlung angenommen wurde,</w:t>
      </w:r>
    </w:p>
    <w:p>
      <w:pPr>
        <w:pStyle w:val="GesAbsatz"/>
        <w:ind w:left="426" w:hanging="426"/>
      </w:pPr>
      <w:r>
        <w:t>b)</w:t>
      </w:r>
      <w:r>
        <w:tab/>
        <w:t>die vom ICAO-Rat gebilligten Empfehlungen von Bedeutung für den globalen marktbasierten Mechanismus, einschließlich etwaiger Änderungen in Bezug auf die Referenzjahre,</w:t>
      </w:r>
    </w:p>
    <w:p>
      <w:pPr>
        <w:pStyle w:val="GesAbsatz"/>
        <w:ind w:left="426" w:hanging="426"/>
      </w:pPr>
      <w:r>
        <w:t>c)</w:t>
      </w:r>
      <w:r>
        <w:tab/>
        <w:t>die Einrichtung eines weltweiten Registers,</w:t>
      </w:r>
    </w:p>
    <w:p>
      <w:pPr>
        <w:pStyle w:val="GesAbsatz"/>
        <w:ind w:left="426" w:hanging="426"/>
      </w:pPr>
      <w:r>
        <w:t>d)</w:t>
      </w:r>
      <w:r>
        <w:tab/>
        <w:t>die nationalen Maßnahmen, die Drittländer ergriffen haben, damit der ab 2021 für Emissionen geltende globale marktbasierte Mechanismus umgesetzt wird,</w:t>
      </w:r>
    </w:p>
    <w:p>
      <w:pPr>
        <w:pStyle w:val="GesAbsatz"/>
        <w:ind w:left="426" w:hanging="426"/>
      </w:pPr>
      <w:r>
        <w:t>e)</w:t>
      </w:r>
      <w:r>
        <w:tab/>
        <w:t>das Ausmaß der Beteiligung an der Kompensation im Rahmen von CORSIA seitens Drittländern, einschließlich der Auswirkungen ihrer Vorbehalte in Bezug auf diese Beteiligung, und</w:t>
      </w:r>
    </w:p>
    <w:p>
      <w:pPr>
        <w:pStyle w:val="GesAbsatz"/>
        <w:ind w:left="426" w:hanging="426"/>
      </w:pPr>
      <w:r>
        <w:t>f)</w:t>
      </w:r>
      <w:r>
        <w:tab/>
        <w:t>andere wichtige internationale Entwicklungen und anwendbare Instrumente sowie die Fortschritte bei der Verringerung der Auswirkungen des Luftverkehrs auf das Klima.</w:t>
      </w:r>
    </w:p>
    <w:p>
      <w:pPr>
        <w:pStyle w:val="GesAbsatz"/>
      </w:pPr>
      <w:r>
        <w:t>Im Einklang mit der weltweiten Bestandsaufnahme des Übereinkommens von Paris berichtet die Kommission außerdem über die Anstrengungen zur Verwirklichung des langfristig global angestrebten Emissionsreduktionsziels für den Luftverkehrssektor, bis 2050 CO</w:t>
      </w:r>
      <w:r>
        <w:rPr>
          <w:vertAlign w:val="subscript"/>
        </w:rPr>
        <w:t>2</w:t>
      </w:r>
      <w:r>
        <w:t>-Neutralität zu erreichen, die im Einklang mit den Kriterien nach Unterabsatz 1 Buchstaben a bis f bewertet werden.</w:t>
      </w:r>
    </w:p>
    <w:p>
      <w:pPr>
        <w:pStyle w:val="GesAbsatz"/>
      </w:pPr>
      <w:r>
        <w:t>(2) Bis zum 1. Juli 2026 legt die Kommission dem Europäischen Parlament und dem Rat einen Bericht vor, in dem die Umweltwirksamkeit des globalen marktbasierten Mechanismus der ICAO bewertet wird, darunter auch seine allgemeinen Zielvorgaben in Bezug auf die Ziele im Rahmen des Übereinkommens von Paris, das Ausmaß der Beteiligung an der Kompensation im Rahmen von CORSIA, seine Durchsetzbarkeit, die Transparenz, die Sanktionen bei Nichteinhaltung, die Verfahren zur Beteiligung der Öffentlichkeit, die Qualität der Kompensationsgutschriften, die Emissionsüberwachung, -berichterstattung und -prüfung, die Register, die Rechenschaftspflicht sowie die Vorschriften über die Verwendung von Biokraftstoffen. Die Kommission veröffentlicht diesen Bericht ebenfalls bis zum 1. Juli 2026.</w:t>
      </w:r>
    </w:p>
    <w:p>
      <w:pPr>
        <w:pStyle w:val="GesAbsatz"/>
      </w:pPr>
      <w:r>
        <w:t>(3) Die Kommission fügt dem in Absatz 2 genannten Bericht gegebenenfalls einen Legislativvorschlag zur Änderung dieser Richtlinie im Einklang mit dem Temperaturziel gemäß dem Übereinkommen von Paris, der Verpflichtung der Union zur gesamtwirtschaftlichen Verringerung der Treibhausgasemissionen bis 2030 und dem Ziel der Verwirklichung der Klimaneutralität bis spätestens 2050 sowie dem Ziel der Wahrung der Umweltwirksamkeit und Effektivität der Klimamaßnahmen der Union bei. Das EU-EHS wird in dem beigefügten Vorschlag gegebenenfalls ab Januar 2027 auf Flüge von Flugplätzen in Staaten im EWR nach Flugplätzen außerhalb des EWR angewandt, und Flüge von Flugplätzen außerhalb des EWR, die im EWR landen, werden ausgeschlossen, wenn aus dem Bericht nach Absatz 2 hervorgeht, dass</w:t>
      </w:r>
    </w:p>
    <w:p>
      <w:pPr>
        <w:pStyle w:val="GesAbsatz"/>
        <w:ind w:left="426" w:hanging="426"/>
      </w:pPr>
      <w:r>
        <w:t>a)</w:t>
      </w:r>
      <w:r>
        <w:tab/>
        <w:t>die ICAO-Versammlung CORSIA bis zum 31. Dezember 2025 nicht im Einklang mit ihrem langfristig global angestrebten Ziel, die Ziele des Übereinkommens von Paris zu erreichen, gestärkt hat oder</w:t>
      </w:r>
    </w:p>
    <w:p>
      <w:pPr>
        <w:pStyle w:val="GesAbsatz"/>
        <w:ind w:left="426" w:hanging="426"/>
      </w:pPr>
      <w:r>
        <w:t>b)</w:t>
      </w:r>
      <w:r>
        <w:tab/>
        <w:t>auf die Staaten, die in dem nach Artikel 25a Absatz 3 erlassenen Durchführungsrechtsakt aufgeführt sind, weniger als 70 % der Emissionen aus der internationalen Luftfahrt entfallen, wobei die neuesten verfügbaren Daten zugrunde gelegt werden,</w:t>
      </w:r>
    </w:p>
    <w:p>
      <w:pPr>
        <w:pStyle w:val="GesAbsatz"/>
      </w:pPr>
      <w:r>
        <w:lastRenderedPageBreak/>
        <w:t>In dem beigefügten Vorschlag wird Luftfahrzeugbetreibern ferner gegebenenfalls die Möglichkeit eingeräumt, etwaige durch die Kompensation im Rahmen von CORSIA auf diesen Strecken entstandene Kosten abzuziehen, um eine doppelte Belastung zu vermeiden. Sind die in Unterabsatz 1 Buchstaben a und b dieses Absatzes genannten Bedingungen nicht erfüllt, so wird diese Richtlinie mit dem Vorschlag bei Bedarf dahin gehend geändert, dass das EU-EHS weiterhin nur für Flüge innerhalb des EWR, für Flüge in die Schweiz und in das Vereinigte Königreich sowie für Flüge in Staaten, die nicht in dem nach Artikel 25a Absatz 3 erlassenen Durchführungsrechtsakt aufgeführt sind, gilt.</w:t>
      </w:r>
    </w:p>
    <w:p>
      <w:pPr>
        <w:pStyle w:val="berschrift2"/>
      </w:pPr>
      <w:bookmarkStart w:id="60" w:name="_Toc146879939"/>
      <w:r>
        <w:t>Artikel 28c</w:t>
      </w:r>
      <w:r>
        <w:br/>
        <w:t>Bestimmungen über die Überwachung, Berichterstattung und Prüfung</w:t>
      </w:r>
      <w:r>
        <w:br/>
        <w:t>für die Zwecke des globalen marktbasierten Mechanismus</w:t>
      </w:r>
      <w:bookmarkEnd w:id="60"/>
    </w:p>
    <w:p>
      <w:pPr>
        <w:pStyle w:val="GesAbsatz"/>
      </w:pPr>
      <w:r>
        <w:t xml:space="preserve">Der Kommission wird die Befugnis übertragen, zur Ergänzung dieser Richtlinie gemäß Artikel 23 delegierte Rechtsakte zu erlassen, die eine angemessene Emissionsüberwachung, -berichterstattung und -prüfung für die Zwecke der Durchführung des globalen marktbasierten Mechanismus der ICAO auf allen von ihm erfassten Flugstrecken betreffen. Diese delegierten Rechtsakte stützen sich auf die im Rahmen der ICAO angenommenen Instrumente, verhindern jegliche Wettbewerbsverzerrungen, stimmen mit den Grundsätzen der in Artikel 14 Absatz 1 genannten Rechtsakten überein und gewährleisten, dass die vorgelegten Emissionsberichte im Einklang mit den Prüfgrundsätzen und -kriterien des Artikels 15 geprüft werden. </w:t>
      </w:r>
    </w:p>
    <w:p>
      <w:pPr>
        <w:pStyle w:val="berschrift2"/>
      </w:pPr>
      <w:bookmarkStart w:id="61" w:name="_Toc146879940"/>
      <w:r>
        <w:t>Artikel 29</w:t>
      </w:r>
      <w:r>
        <w:br/>
        <w:t>Bericht zur Gewährleistung eines besseren Funktionierens des CO</w:t>
      </w:r>
      <w:r>
        <w:rPr>
          <w:vertAlign w:val="subscript"/>
        </w:rPr>
        <w:t>2</w:t>
      </w:r>
      <w:r>
        <w:t>-Marktes</w:t>
      </w:r>
      <w:bookmarkEnd w:id="61"/>
    </w:p>
    <w:p>
      <w:pPr>
        <w:pStyle w:val="GesAbsatz"/>
      </w:pPr>
      <w:r>
        <w:t>Wenn der Kommission auf der Grundlage der regelmäßigen Berichte über den CO</w:t>
      </w:r>
      <w:r>
        <w:rPr>
          <w:vertAlign w:val="subscript"/>
        </w:rPr>
        <w:t>2</w:t>
      </w:r>
      <w:r>
        <w:t>-Markt gemäß Artikel 10 Absatz 5 Nachweise vorliegen, dass der CO</w:t>
      </w:r>
      <w:r>
        <w:rPr>
          <w:vertAlign w:val="subscript"/>
        </w:rPr>
        <w:t>2</w:t>
      </w:r>
      <w:r>
        <w:t>-Markt nicht richtig funktioniert, legt sie dem Europäischen Parlament und dem Rat einen Bericht vor. Diesem Bericht können gegebenenfalls Vorschläge beigefügt sein, wie die Transparenz auf dem CO</w:t>
      </w:r>
      <w:r>
        <w:rPr>
          <w:vertAlign w:val="subscript"/>
        </w:rPr>
        <w:t>2</w:t>
      </w:r>
      <w:r>
        <w:t>-Markt erhöht und durch welche Maßnahmen sein Funktionieren verbessert werden kann.</w:t>
      </w:r>
    </w:p>
    <w:p>
      <w:pPr>
        <w:pStyle w:val="berschrift2"/>
      </w:pPr>
      <w:bookmarkStart w:id="62" w:name="_Toc146879941"/>
      <w:r>
        <w:t>Artikel 29a</w:t>
      </w:r>
      <w:r>
        <w:br/>
        <w:t>Maßnahmen im Fall übermäßiger Preisschwankungen</w:t>
      </w:r>
      <w:bookmarkEnd w:id="62"/>
    </w:p>
    <w:p>
      <w:pPr>
        <w:pStyle w:val="GesAbsatz"/>
      </w:pPr>
      <w:r>
        <w:t>(1) Wenn der Preis der Zertifikate mehr als sechs aufeinander folgende Monate lang mehr als das Dreifache des Durchschnittspreises der Zertifikate in den beiden vorhergehenden Jahren auf dem europäischen CO</w:t>
      </w:r>
      <w:r>
        <w:rPr>
          <w:vertAlign w:val="subscript"/>
        </w:rPr>
        <w:t>2</w:t>
      </w:r>
      <w:r>
        <w:t>-Markt beträgt, beruft die Kommission unverzüglich eine Sitzung des mit Artikel 9 der Entscheidung Nr. 280/2004/EG eingesetzten Ausschusses ein.</w:t>
      </w:r>
    </w:p>
    <w:p>
      <w:pPr>
        <w:pStyle w:val="GesAbsatz"/>
      </w:pPr>
      <w:r>
        <w:t>(2) Wenn die in Absatz 1 beschriebene Preisentwicklung nicht auf veränderte Marktgegebenheiten zurückzuführen ist, kann unter Berücksichtigung des Umfangs der Preisentwicklung eine der folgenden Maßnahmen getroffen werden:</w:t>
      </w:r>
    </w:p>
    <w:p>
      <w:pPr>
        <w:pStyle w:val="GesAbsatz"/>
        <w:ind w:left="426" w:hanging="426"/>
      </w:pPr>
      <w:r>
        <w:t>a)</w:t>
      </w:r>
      <w:r>
        <w:tab/>
        <w:t>eine Maßnahme, die es den Mitgliedstaaten ermöglicht, die Versteigerung eines Teils der zu versteigernden Menge vorzuverlegen;</w:t>
      </w:r>
    </w:p>
    <w:p>
      <w:pPr>
        <w:pStyle w:val="GesAbsatz"/>
        <w:ind w:left="426" w:hanging="426"/>
      </w:pPr>
      <w:r>
        <w:t>b)</w:t>
      </w:r>
      <w:r>
        <w:tab/>
        <w:t>eine Maßnahme, die es den Mitgliedstaaten ermöglicht, bis zu 25% der in der Reserve für neue Marktteilnehmer befindlichen Zertifikate zu versteigern.</w:t>
      </w:r>
    </w:p>
    <w:p>
      <w:pPr>
        <w:pStyle w:val="GesAbsatz"/>
      </w:pPr>
      <w:r>
        <w:t>Diese Maßnahmen werden nach dem in Artikel 23 Absatz 4 genannten Verwaltungsverfahren erlassen.</w:t>
      </w:r>
    </w:p>
    <w:p>
      <w:pPr>
        <w:pStyle w:val="GesAbsatz"/>
      </w:pPr>
      <w:r>
        <w:t>(3) Alle Maßnahmen tragen den Berichten, die die Kommission dem Europäischen Parlament und dem Rat gemäß Artikel 29 vorlegt, sowie allen anderen maßgeblichen Informationen der Mitgliedstaaten so weit wie möglich Rechnung.</w:t>
      </w:r>
    </w:p>
    <w:p>
      <w:pPr>
        <w:pStyle w:val="GesAbsatz"/>
      </w:pPr>
      <w:r>
        <w:t>(4) Die Vorschriften für die Anwendung dieser Bestimmungen werden in der in Artikel 10 Absatz 4 genannten Rechtsakte festgelegt.</w:t>
      </w:r>
    </w:p>
    <w:p>
      <w:pPr>
        <w:pStyle w:val="berschrift2"/>
      </w:pPr>
      <w:bookmarkStart w:id="63" w:name="_Toc146879942"/>
      <w:r>
        <w:t>Artikel 30</w:t>
      </w:r>
      <w:r>
        <w:br/>
        <w:t>Überprüfung im Lichte der Durchführung des Übereinkommens von Paris und der Entwicklung der CO</w:t>
      </w:r>
      <w:r>
        <w:rPr>
          <w:vertAlign w:val="subscript"/>
        </w:rPr>
        <w:t>2</w:t>
      </w:r>
      <w:r>
        <w:t>-Märkte in anderen führenden Wirtschaftsnationen</w:t>
      </w:r>
      <w:bookmarkEnd w:id="63"/>
    </w:p>
    <w:p>
      <w:pPr>
        <w:pStyle w:val="GesAbsatz"/>
        <w:rPr>
          <w:rFonts w:cs="Arial"/>
        </w:rPr>
      </w:pPr>
      <w:r>
        <w:rPr>
          <w:rFonts w:cs="Arial"/>
        </w:rPr>
        <w:t>(1) Diese Richtlinie wird im Lichte der internationalen Entwicklungen und der Anstrengungen, die zur Verwirklichung der langfristigen Ziele des Übereinkommens von Paris unternommen werden, fortlaufend überprüft.</w:t>
      </w:r>
    </w:p>
    <w:p>
      <w:pPr>
        <w:pStyle w:val="GesAbsatz"/>
        <w:rPr>
          <w:rFonts w:cs="Arial"/>
        </w:rPr>
      </w:pPr>
      <w:r>
        <w:rPr>
          <w:rFonts w:cs="Arial"/>
        </w:rPr>
        <w:t>(2) Die Maßnahmen nach den Artikeln 10a und 10b zur Unterstützung bestimmter energieintensiver Industrien, bei denen es möglicherweise zu einer Verlagerung von CO</w:t>
      </w:r>
      <w:r>
        <w:rPr>
          <w:rFonts w:cs="Arial"/>
          <w:vertAlign w:val="subscript"/>
        </w:rPr>
        <w:t>2</w:t>
      </w:r>
      <w:r>
        <w:rPr>
          <w:rFonts w:cs="Arial"/>
        </w:rPr>
        <w:t>-Emissionen kommt, werden im Lichte der Klimaschutzmaßnahmen in anderen führenden Wirtschaftsnationen ebenfalls fortlaufend überprüft. In diesem Zusammenhang überprüft die Kommission zudem, ob die Maßnahmen in Bezug auf die Kompensation indirekter Kosten weiter harmonisiert werden sollten.</w:t>
      </w:r>
    </w:p>
    <w:p>
      <w:pPr>
        <w:pStyle w:val="GesAbsatz"/>
        <w:rPr>
          <w:rFonts w:cs="Arial"/>
        </w:rPr>
      </w:pPr>
      <w:r>
        <w:rPr>
          <w:rFonts w:cs="Arial"/>
        </w:rPr>
        <w:lastRenderedPageBreak/>
        <w:t>(3) Die Kommission erstattet dem Europäischen Parlament und dem Rat im Zusammenhang mit jeder im Übereinkommen von Paris vereinbarten globalen Bestandsaufnahme Bericht, insbesondere in Bezug auf die Notwendigkeit zusätzlicher Unionsstrategien und -maßnahmen, damit die Union und ihre Mitgliedstaaten die erforderlichen Treibhausgasemissionsreduktionen verwirklichen können, und auch hinsichtlich des linearen Faktors gemäß Artikel 9. Die Kommission kann dem Europäischen Parlament und dem Rat gegebenenfalls Vorschläge zur Änderung dieser Richtlinie unterbreiten.</w:t>
      </w:r>
    </w:p>
    <w:p>
      <w:pPr>
        <w:pStyle w:val="GesAbsatz"/>
        <w:rPr>
          <w:rFonts w:cs="Arial"/>
        </w:rPr>
      </w:pPr>
      <w:r>
        <w:rPr>
          <w:rFonts w:cs="Arial"/>
        </w:rPr>
        <w:t>(4) Die Kommission legt vor dem 1. Januar 2020 eine aktualisierte Analyse der Nicht-CO</w:t>
      </w:r>
      <w:r>
        <w:rPr>
          <w:rFonts w:cs="Arial"/>
          <w:vertAlign w:val="subscript"/>
        </w:rPr>
        <w:t>2</w:t>
      </w:r>
      <w:r>
        <w:rPr>
          <w:rFonts w:cs="Arial"/>
        </w:rPr>
        <w:t xml:space="preserve">-Effekte aus dem Luftverkehr vor, gegebenenfalls verbunden mit Vorschlägen, wie diese Effekte bestmöglich angegangen werden können. </w:t>
      </w:r>
    </w:p>
    <w:p>
      <w:pPr>
        <w:pStyle w:val="GesAbsatz"/>
        <w:rPr>
          <w:rFonts w:cs="Arial"/>
        </w:rPr>
      </w:pPr>
      <w:r>
        <w:rPr>
          <w:rFonts w:cs="Arial"/>
        </w:rPr>
        <w:t>(8) Die Kommission nimmt im Jahr 2026 Folgendes in den Bericht gemäß Artikel 10 Absatz 5 auf:</w:t>
      </w:r>
    </w:p>
    <w:p>
      <w:pPr>
        <w:pStyle w:val="GesAbsatz"/>
        <w:ind w:left="426" w:hanging="426"/>
        <w:rPr>
          <w:rFonts w:cs="Arial"/>
        </w:rPr>
      </w:pPr>
      <w:r>
        <w:rPr>
          <w:rFonts w:cs="Arial"/>
        </w:rPr>
        <w:t>a)</w:t>
      </w:r>
      <w:r>
        <w:rPr>
          <w:rFonts w:cs="Arial"/>
        </w:rPr>
        <w:tab/>
        <w:t>eine Bewertung der Auswirkungen von Flügen über eine Entfernung von weniger als 1 000 km auf die Umwelt und das Klima sowie Überlegungen zu Optionen zur Verringerung dieser Auswirkungen, einschließlich einer Prüfung der verfügbaren alternativen öffentlichen Verkehrsmittel und der verstärkten Nutzung nachhaltiger Flugkraftstoffe,</w:t>
      </w:r>
    </w:p>
    <w:p>
      <w:pPr>
        <w:pStyle w:val="GesAbsatz"/>
        <w:ind w:left="426" w:hanging="426"/>
        <w:rPr>
          <w:rFonts w:cs="Arial"/>
        </w:rPr>
      </w:pPr>
      <w:r>
        <w:rPr>
          <w:rFonts w:cs="Arial"/>
        </w:rPr>
        <w:t>b)</w:t>
      </w:r>
      <w:r>
        <w:rPr>
          <w:rFonts w:cs="Arial"/>
        </w:rPr>
        <w:tab/>
        <w:t>eine Bewertung der Auswirkungen von Flügen, die von Betreibern durchgeführt werden, die gemäß Buchstabe h oder k des Eintrags ‚Luftverkehr‘ in der Spalte ‚Tätigkeiten‘ der Tabelle in Anhang I befreit sind, auf die Umwelt und das Klima sowie Überlegungen zu Optionen zur Verringerung dieser Auswirkungen,</w:t>
      </w:r>
    </w:p>
    <w:p>
      <w:pPr>
        <w:pStyle w:val="GesAbsatz"/>
        <w:ind w:left="426" w:hanging="426"/>
        <w:rPr>
          <w:rFonts w:cs="Arial"/>
        </w:rPr>
      </w:pPr>
      <w:r>
        <w:rPr>
          <w:rFonts w:cs="Arial"/>
        </w:rPr>
        <w:t>c)</w:t>
      </w:r>
      <w:r>
        <w:rPr>
          <w:rFonts w:cs="Arial"/>
        </w:rPr>
        <w:tab/>
        <w:t>eine Bewertung der sozialen Auswirkungen dieser Richtlinie im Luftverkehrssektor, unter anderem auf das Personal und die Kosten für Flugreisen, und</w:t>
      </w:r>
    </w:p>
    <w:p>
      <w:pPr>
        <w:pStyle w:val="GesAbsatz"/>
        <w:ind w:left="426" w:hanging="426"/>
        <w:rPr>
          <w:rFonts w:cs="Arial"/>
        </w:rPr>
      </w:pPr>
      <w:r>
        <w:rPr>
          <w:rFonts w:cs="Arial"/>
        </w:rPr>
        <w:t>d)</w:t>
      </w:r>
      <w:r>
        <w:rPr>
          <w:rFonts w:cs="Arial"/>
        </w:rPr>
        <w:tab/>
        <w:t>eine Bewertung der Luftverkehrsanbindung von Inseln und abgelegenen Gebieten, auch unter Berücksichtigung der Wettbewerbsfähigkeit und der Verlagerung von CO</w:t>
      </w:r>
      <w:r>
        <w:rPr>
          <w:rFonts w:cs="Arial"/>
          <w:vertAlign w:val="subscript"/>
        </w:rPr>
        <w:t>2</w:t>
      </w:r>
      <w:r>
        <w:rPr>
          <w:rFonts w:cs="Arial"/>
        </w:rPr>
        <w:t>-Emissionen sowie der Auswirkungen auf die Umwelt und das Klima.</w:t>
      </w:r>
    </w:p>
    <w:p>
      <w:pPr>
        <w:pStyle w:val="GesAbsatz"/>
      </w:pPr>
      <w:r>
        <w:rPr>
          <w:rFonts w:cs="Arial"/>
        </w:rPr>
        <w:t>Der in Artikel 10 Absatz 5 vorgesehene Bericht wird gegebenenfalls auch bei einer künftigen Überarbeitung dieser Richtlinie berücksichtigt.</w:t>
      </w:r>
    </w:p>
    <w:p>
      <w:pPr>
        <w:pStyle w:val="berschrift2"/>
      </w:pPr>
      <w:bookmarkStart w:id="64" w:name="_Toc146879943"/>
      <w:r>
        <w:t>KAPITEL V</w:t>
      </w:r>
      <w:r>
        <w:br/>
        <w:t>SCHLUSSBESTIMMUNGEN</w:t>
      </w:r>
      <w:bookmarkEnd w:id="64"/>
    </w:p>
    <w:p>
      <w:pPr>
        <w:pStyle w:val="berschrift2"/>
      </w:pPr>
      <w:bookmarkStart w:id="65" w:name="_Toc146879944"/>
      <w:r>
        <w:t>Artikel 31</w:t>
      </w:r>
      <w:r>
        <w:br/>
        <w:t>Umsetzung</w:t>
      </w:r>
      <w:bookmarkEnd w:id="65"/>
    </w:p>
    <w:p>
      <w:pPr>
        <w:pStyle w:val="GesAbsatz"/>
        <w:tabs>
          <w:tab w:val="clear" w:pos="425"/>
        </w:tabs>
        <w:rPr>
          <w:rFonts w:cs="Arial"/>
        </w:rPr>
      </w:pPr>
      <w:r>
        <w:rPr>
          <w:rFonts w:cs="Arial"/>
        </w:rPr>
        <w:t xml:space="preserve">(1) Die Mitgliedstaaten setzen die Rechts- und Verwaltungsvorschriften in Kraft, die erforderlich sind, um dieser Richtlinie spätestens ab dem 31. Dezember 2003 nachzukommen. Sie setzen die Kommission unverzüglich davon in Kenntnis. Die Kommission teilt den anderen Mitgliedstaaten diese Rechts- und Verwaltungsvorschriften mit. </w:t>
      </w:r>
    </w:p>
    <w:p>
      <w:pPr>
        <w:pStyle w:val="GesAbsatz"/>
        <w:tabs>
          <w:tab w:val="clear" w:pos="425"/>
        </w:tabs>
        <w:rPr>
          <w:rFonts w:cs="Arial"/>
        </w:rPr>
      </w:pPr>
      <w:r>
        <w:rPr>
          <w:rFonts w:cs="Arial"/>
        </w:rPr>
        <w:t>Wenn die Mitgliedstaaten diese Vorschriften erlassen, nehmen sie in den Vorschriften selbst oder durch einen Hinweis bei der amtlichen Veröffentlichung auf diese Richtlinie Bezug. Die Mitgliedstaaten regeln die Einzelheiten der Bezugnahme.</w:t>
      </w:r>
    </w:p>
    <w:p>
      <w:pPr>
        <w:pStyle w:val="GesAbsatz"/>
        <w:rPr>
          <w:rFonts w:cs="Arial"/>
        </w:rPr>
      </w:pPr>
      <w:r>
        <w:rPr>
          <w:rFonts w:cs="Arial"/>
        </w:rPr>
        <w:t>(2) Die Mitgliedstaaten teilen der Kommission den Wortlaut der innerstaatlichen Rechtsvorschriften mit, die sie auf dem unter diese Richtlinie fallenden Gebiet erlassen. Die Kommission setzt die anderen Mitgliedstaaten davon in Kenntnis.</w:t>
      </w:r>
    </w:p>
    <w:p>
      <w:pPr>
        <w:pStyle w:val="berschrift2"/>
      </w:pPr>
      <w:bookmarkStart w:id="66" w:name="_Toc146879945"/>
      <w:r>
        <w:t>Artikel 32</w:t>
      </w:r>
      <w:r>
        <w:br/>
        <w:t>Inkrafttreten</w:t>
      </w:r>
      <w:bookmarkEnd w:id="66"/>
    </w:p>
    <w:p>
      <w:pPr>
        <w:pStyle w:val="GesAbsatz"/>
        <w:rPr>
          <w:rFonts w:cs="Arial"/>
        </w:rPr>
      </w:pPr>
      <w:r>
        <w:rPr>
          <w:rFonts w:cs="Arial"/>
        </w:rPr>
        <w:t xml:space="preserve">Diese Richtlinie tritt am Tag ihrer Veröffentlichung im Amtsblatt der Europäischen Union in Kraft. </w:t>
      </w:r>
    </w:p>
    <w:p>
      <w:pPr>
        <w:pStyle w:val="berschrift2"/>
      </w:pPr>
      <w:bookmarkStart w:id="67" w:name="_Toc146879946"/>
      <w:r>
        <w:t>Artikel 33</w:t>
      </w:r>
      <w:r>
        <w:br/>
        <w:t>Adressaten</w:t>
      </w:r>
      <w:bookmarkEnd w:id="67"/>
    </w:p>
    <w:p>
      <w:pPr>
        <w:pStyle w:val="GesAbsatz"/>
        <w:rPr>
          <w:rFonts w:cs="Arial"/>
        </w:rPr>
      </w:pPr>
      <w:r>
        <w:rPr>
          <w:rFonts w:cs="Arial"/>
        </w:rPr>
        <w:t>Diese Richtlinie ist an alle Mitgliedstaaten gerichtet.</w:t>
      </w:r>
    </w:p>
    <w:p>
      <w:pPr>
        <w:pStyle w:val="berschrift2"/>
        <w:spacing w:after="0"/>
        <w:jc w:val="left"/>
      </w:pPr>
      <w:r>
        <w:br w:type="page"/>
      </w:r>
      <w:bookmarkStart w:id="68" w:name="_Toc146879947"/>
      <w:r>
        <w:lastRenderedPageBreak/>
        <w:t>ANHANG I</w:t>
      </w:r>
      <w:r>
        <w:br/>
        <w:t>KATEGORIEN VON TÄTIGKEITEN,</w:t>
      </w:r>
      <w:bookmarkEnd w:id="68"/>
      <w:r>
        <w:t xml:space="preserve"> </w:t>
      </w:r>
    </w:p>
    <w:p>
      <w:pPr>
        <w:pStyle w:val="GesAbsatz"/>
        <w:spacing w:before="0"/>
        <w:rPr>
          <w:rFonts w:cs="Arial"/>
          <w:b/>
          <w:sz w:val="24"/>
          <w:szCs w:val="24"/>
        </w:rPr>
      </w:pPr>
      <w:r>
        <w:rPr>
          <w:rFonts w:cs="Arial"/>
          <w:b/>
          <w:sz w:val="24"/>
          <w:szCs w:val="24"/>
        </w:rPr>
        <w:t>DIE IN DEN GELTUNGSBEREICH DIESER RICHTLINIE FALLEN</w:t>
      </w:r>
    </w:p>
    <w:p>
      <w:pPr>
        <w:pStyle w:val="GesAbsatz"/>
        <w:ind w:left="426" w:hanging="426"/>
      </w:pPr>
      <w:r>
        <w:t>1.</w:t>
      </w:r>
      <w:r>
        <w:tab/>
        <w:t>Anlagen oder Anlagenteile, die für Zwecke der Forschung, Entwicklung und Prüfung neuer Produkte und Prozesse genutzt werden, sowie Anlagen, die ausschließlich Biomasse nutzen, fallen nicht unter diese Richtlinie.</w:t>
      </w:r>
    </w:p>
    <w:p>
      <w:pPr>
        <w:pStyle w:val="GesAbsatz"/>
        <w:ind w:left="426" w:hanging="426"/>
      </w:pPr>
      <w:r>
        <w:t>2.</w:t>
      </w:r>
      <w:r>
        <w:tab/>
        <w:t>Die im Folgenden genannten Schwellenwerte beziehen sich allgemein auf Produktionskapazitäten oder Leistungen. Werden mehrere unter derselben Kategorie aufgeführte Tätigkeiten in ein und derselben Anlage durchgeführt, so werden die Kapazitäten dieser Tätigkeiten addiert.</w:t>
      </w:r>
    </w:p>
    <w:p>
      <w:pPr>
        <w:pStyle w:val="GesAbsatz"/>
        <w:ind w:left="426" w:hanging="426"/>
      </w:pPr>
      <w:r>
        <w:t>3.</w:t>
      </w:r>
      <w:r>
        <w:tab/>
        <w:t xml:space="preserve">Wenn die Gesamtfeuerungswärmeleistung einer Anlage berechnet wird, um darüber zu entscheiden, ob die Anlage in das EU-EHS aufgenommen werden soll, werden die Feuerungswärmeleistungen aller technischen Einheiten addiert, die Bestandteil der Anlage sind und in denen Brennstoffe innerhalb der Anlage verbrannt werden. Bei diesen Einheiten kann es sich unter anderem um alle Arten von Heizkesseln, Brennern, Turbinen, Erhitzern, Industrieöfen, Verbrennungsöfen, Kalzinierungsöfen, Brennöfen, Öfen, Trocknern, Motoren, Brennstoffzellen, CLC-Einheiten (‚Chemical Looping </w:t>
      </w:r>
      <w:r>
        <w:rPr>
          <w:lang w:val="en-US"/>
        </w:rPr>
        <w:t>Combustion</w:t>
      </w:r>
      <w:r>
        <w:t xml:space="preserve"> Units‘), Fackeln und thermischen oder katalytischen Nachbrennern handeln. Einheiten mit einer Feuerungswärmeleistung von weniger als 3 MW und Einheiten, die ausschließlich Biomasse nutzen, werden bei dieser Berechnung nicht berücksichtigt. Als ‚Einheiten, die ausschließlich Biomasse nutzen‘ gelten auch Einheiten, die nur bei Inbetriebnahme und Abschaltung fossile Brennstoffe nutzen.</w:t>
      </w:r>
    </w:p>
    <w:p>
      <w:pPr>
        <w:pStyle w:val="GesAbsatz"/>
        <w:ind w:left="426" w:hanging="426"/>
      </w:pPr>
      <w:r>
        <w:t>4.</w:t>
      </w:r>
      <w:r>
        <w:tab/>
        <w:t>Wenn die Einheit einer Tätigkeit dient, für die der Schwellenwert nicht als Feuerungswärmeleistung ausgedrückt wird, so hat der Schwellenwert dieser Tätigkeit Vorrang für die Entscheidung über die Aufnahme in das EU-EHS.</w:t>
      </w:r>
    </w:p>
    <w:p>
      <w:pPr>
        <w:pStyle w:val="GesAbsatz"/>
        <w:ind w:left="426" w:hanging="426"/>
      </w:pPr>
      <w:r>
        <w:t>5.</w:t>
      </w:r>
      <w:r>
        <w:tab/>
        <w:t>Wenn festgestellt wird, dass der Kapazitätsschwellenwert einer in diesem Anhang genannten Tätigkeit in einer Anlage überschritten wird, werden alle Einheiten, in denen Brennstoffe verbrannt werden, außer Einheiten zur Verbrennung von gefährlichen oder Siedlungsabfällen, in die Genehmigung zur Emission von Treibhausgasen aufgenommen.</w:t>
      </w:r>
    </w:p>
    <w:p>
      <w:pPr>
        <w:pStyle w:val="GesAbsatz"/>
        <w:ind w:left="426" w:hanging="426"/>
      </w:pPr>
      <w:r>
        <w:t>6.</w:t>
      </w:r>
      <w:r>
        <w:tab/>
        <w:t>Ab 1. Januar 2012 werden alle Flüge einbezogen, die auf Flugplätzen enden oder von Flugplätzen abgehen, die sich in einem Hoheitsgebiet eines Mitgliedstaats befinden, auf das der Vertrag Anwendung findet.</w:t>
      </w:r>
    </w:p>
    <w:p>
      <w:pPr>
        <w:pStyle w:val="GesAbsatz"/>
        <w:rPr>
          <w:rFonts w:cs="Arial"/>
          <w:szCs w:val="17"/>
        </w:rPr>
      </w:pPr>
    </w:p>
    <w:tbl>
      <w:tblPr>
        <w:tblW w:w="9606"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5688"/>
        <w:gridCol w:w="3918"/>
      </w:tblGrid>
      <w:tr>
        <w:trPr>
          <w:trHeight w:val="90"/>
        </w:trPr>
        <w:tc>
          <w:tcPr>
            <w:tcW w:w="5688" w:type="dxa"/>
            <w:tcBorders>
              <w:top w:val="single" w:sz="4" w:space="0" w:color="auto"/>
              <w:bottom w:val="single" w:sz="4" w:space="0" w:color="auto"/>
            </w:tcBorders>
          </w:tcPr>
          <w:p>
            <w:pPr>
              <w:pStyle w:val="GesAbsatz"/>
              <w:rPr>
                <w:rFonts w:cs="Arial"/>
                <w:sz w:val="18"/>
                <w:szCs w:val="18"/>
              </w:rPr>
            </w:pPr>
            <w:r>
              <w:rPr>
                <w:rFonts w:cs="Arial"/>
                <w:sz w:val="18"/>
                <w:szCs w:val="18"/>
              </w:rPr>
              <w:t>Tätigkeiten</w:t>
            </w:r>
          </w:p>
        </w:tc>
        <w:tc>
          <w:tcPr>
            <w:tcW w:w="3918" w:type="dxa"/>
            <w:tcBorders>
              <w:top w:val="single" w:sz="4" w:space="0" w:color="auto"/>
              <w:bottom w:val="single" w:sz="4" w:space="0" w:color="auto"/>
            </w:tcBorders>
          </w:tcPr>
          <w:p>
            <w:pPr>
              <w:pStyle w:val="GesAbsatz"/>
              <w:rPr>
                <w:rFonts w:cs="Arial"/>
                <w:sz w:val="18"/>
                <w:szCs w:val="18"/>
              </w:rPr>
            </w:pPr>
            <w:r>
              <w:rPr>
                <w:rFonts w:cs="Arial"/>
                <w:sz w:val="18"/>
                <w:szCs w:val="18"/>
              </w:rPr>
              <w:t>Treibhausgase</w:t>
            </w:r>
          </w:p>
        </w:tc>
      </w:tr>
      <w:tr>
        <w:trPr>
          <w:trHeight w:val="294"/>
        </w:trPr>
        <w:tc>
          <w:tcPr>
            <w:tcW w:w="5688" w:type="dxa"/>
            <w:tcBorders>
              <w:top w:val="single" w:sz="4" w:space="0" w:color="auto"/>
            </w:tcBorders>
          </w:tcPr>
          <w:p>
            <w:pPr>
              <w:pStyle w:val="GesAbsatz"/>
              <w:rPr>
                <w:rFonts w:cs="Arial"/>
                <w:sz w:val="18"/>
                <w:szCs w:val="18"/>
              </w:rPr>
            </w:pPr>
            <w:r>
              <w:rPr>
                <w:rFonts w:cs="Arial"/>
                <w:sz w:val="18"/>
                <w:szCs w:val="18"/>
              </w:rPr>
              <w:t>Verbrennung von Brennstoffen in Anlagen mit einer Gesamtfeuerungswärmeleistung von über 20 MW (ausgenommen Anlagen für die Verbrennung von gefährlichen oder Siedlungsabfällen)</w:t>
            </w:r>
          </w:p>
        </w:tc>
        <w:tc>
          <w:tcPr>
            <w:tcW w:w="3918" w:type="dxa"/>
            <w:tcBorders>
              <w:top w:val="single" w:sz="4" w:space="0" w:color="auto"/>
            </w:tcBorders>
          </w:tcPr>
          <w:p>
            <w:pPr>
              <w:pStyle w:val="GesAbsatz"/>
              <w:rPr>
                <w:rFonts w:cs="Arial"/>
                <w:sz w:val="18"/>
                <w:szCs w:val="18"/>
              </w:rPr>
            </w:pPr>
            <w:r>
              <w:rPr>
                <w:rFonts w:cs="Arial"/>
                <w:sz w:val="18"/>
                <w:szCs w:val="18"/>
              </w:rPr>
              <w:t>Kohlendioxid</w:t>
            </w:r>
          </w:p>
        </w:tc>
      </w:tr>
      <w:tr>
        <w:trPr>
          <w:trHeight w:val="103"/>
        </w:trPr>
        <w:tc>
          <w:tcPr>
            <w:tcW w:w="5688" w:type="dxa"/>
          </w:tcPr>
          <w:p>
            <w:pPr>
              <w:pStyle w:val="GesAbsatz"/>
              <w:rPr>
                <w:rFonts w:cs="Arial"/>
                <w:sz w:val="18"/>
                <w:szCs w:val="18"/>
              </w:rPr>
            </w:pPr>
            <w:r>
              <w:rPr>
                <w:rFonts w:cs="Arial"/>
                <w:sz w:val="18"/>
                <w:szCs w:val="18"/>
              </w:rPr>
              <w:t>Raffination von Mineralöl</w:t>
            </w:r>
          </w:p>
        </w:tc>
        <w:tc>
          <w:tcPr>
            <w:tcW w:w="3918" w:type="dxa"/>
          </w:tcPr>
          <w:p>
            <w:pPr>
              <w:pStyle w:val="GesAbsatz"/>
              <w:rPr>
                <w:rFonts w:cs="Arial"/>
                <w:sz w:val="18"/>
                <w:szCs w:val="18"/>
              </w:rPr>
            </w:pPr>
            <w:r>
              <w:rPr>
                <w:rFonts w:cs="Arial"/>
                <w:sz w:val="18"/>
                <w:szCs w:val="18"/>
              </w:rPr>
              <w:t>Kohlendioxid</w:t>
            </w:r>
          </w:p>
        </w:tc>
      </w:tr>
      <w:tr>
        <w:trPr>
          <w:trHeight w:val="103"/>
        </w:trPr>
        <w:tc>
          <w:tcPr>
            <w:tcW w:w="5688" w:type="dxa"/>
          </w:tcPr>
          <w:p>
            <w:pPr>
              <w:pStyle w:val="GesAbsatz"/>
              <w:rPr>
                <w:rFonts w:cs="Arial"/>
                <w:sz w:val="18"/>
                <w:szCs w:val="18"/>
              </w:rPr>
            </w:pPr>
            <w:r>
              <w:rPr>
                <w:rFonts w:cs="Arial"/>
                <w:sz w:val="18"/>
                <w:szCs w:val="18"/>
              </w:rPr>
              <w:t>Herstellung von Koks</w:t>
            </w:r>
          </w:p>
        </w:tc>
        <w:tc>
          <w:tcPr>
            <w:tcW w:w="3918" w:type="dxa"/>
          </w:tcPr>
          <w:p>
            <w:pPr>
              <w:pStyle w:val="GesAbsatz"/>
              <w:rPr>
                <w:rFonts w:cs="Arial"/>
                <w:sz w:val="18"/>
                <w:szCs w:val="18"/>
              </w:rPr>
            </w:pPr>
            <w:r>
              <w:rPr>
                <w:rFonts w:cs="Arial"/>
                <w:sz w:val="18"/>
                <w:szCs w:val="18"/>
              </w:rPr>
              <w:t>Kohlendioxid</w:t>
            </w:r>
          </w:p>
        </w:tc>
      </w:tr>
      <w:tr>
        <w:trPr>
          <w:trHeight w:val="199"/>
        </w:trPr>
        <w:tc>
          <w:tcPr>
            <w:tcW w:w="5688" w:type="dxa"/>
          </w:tcPr>
          <w:p>
            <w:pPr>
              <w:pStyle w:val="GesAbsatz"/>
              <w:rPr>
                <w:rFonts w:cs="Arial"/>
                <w:sz w:val="18"/>
                <w:szCs w:val="18"/>
              </w:rPr>
            </w:pPr>
            <w:r>
              <w:rPr>
                <w:rFonts w:cs="Arial"/>
                <w:sz w:val="18"/>
                <w:szCs w:val="18"/>
              </w:rPr>
              <w:t>Röstung oder Sinterung einschließlich Pelletierung von Metallerz (einschließlich Sulfiderz)</w:t>
            </w:r>
          </w:p>
        </w:tc>
        <w:tc>
          <w:tcPr>
            <w:tcW w:w="3918" w:type="dxa"/>
          </w:tcPr>
          <w:p>
            <w:pPr>
              <w:pStyle w:val="GesAbsatz"/>
              <w:rPr>
                <w:rFonts w:cs="Arial"/>
                <w:sz w:val="18"/>
                <w:szCs w:val="18"/>
              </w:rPr>
            </w:pPr>
            <w:r>
              <w:rPr>
                <w:rFonts w:cs="Arial"/>
                <w:sz w:val="18"/>
                <w:szCs w:val="18"/>
              </w:rPr>
              <w:t>Kohlendioxid</w:t>
            </w:r>
          </w:p>
        </w:tc>
      </w:tr>
      <w:tr>
        <w:trPr>
          <w:trHeight w:val="294"/>
        </w:trPr>
        <w:tc>
          <w:tcPr>
            <w:tcW w:w="5688" w:type="dxa"/>
          </w:tcPr>
          <w:p>
            <w:pPr>
              <w:pStyle w:val="GesAbsatz"/>
              <w:rPr>
                <w:rFonts w:cs="Arial"/>
                <w:sz w:val="18"/>
                <w:szCs w:val="18"/>
              </w:rPr>
            </w:pPr>
            <w:r>
              <w:rPr>
                <w:rFonts w:cs="Arial"/>
                <w:sz w:val="18"/>
                <w:szCs w:val="18"/>
              </w:rPr>
              <w:t>Herstellung von Roheisen oder Stahl (Primär- oder Sekundärschmelzbetrieb), einschließlich Stranggießen, mit einer Kapazität über 2,5 t pro Stunde</w:t>
            </w:r>
          </w:p>
        </w:tc>
        <w:tc>
          <w:tcPr>
            <w:tcW w:w="3918" w:type="dxa"/>
          </w:tcPr>
          <w:p>
            <w:pPr>
              <w:pStyle w:val="GesAbsatz"/>
              <w:rPr>
                <w:rFonts w:cs="Arial"/>
                <w:sz w:val="18"/>
                <w:szCs w:val="18"/>
              </w:rPr>
            </w:pPr>
            <w:r>
              <w:rPr>
                <w:rFonts w:cs="Arial"/>
                <w:sz w:val="18"/>
                <w:szCs w:val="18"/>
              </w:rPr>
              <w:t>Kohlendioxid</w:t>
            </w:r>
          </w:p>
        </w:tc>
      </w:tr>
      <w:tr>
        <w:trPr>
          <w:trHeight w:val="486"/>
        </w:trPr>
        <w:tc>
          <w:tcPr>
            <w:tcW w:w="5688" w:type="dxa"/>
          </w:tcPr>
          <w:p>
            <w:pPr>
              <w:pStyle w:val="GesAbsatz"/>
              <w:rPr>
                <w:rFonts w:cs="Arial"/>
                <w:sz w:val="18"/>
                <w:szCs w:val="18"/>
              </w:rPr>
            </w:pPr>
            <w:r>
              <w:rPr>
                <w:rFonts w:cs="Arial"/>
                <w:sz w:val="18"/>
                <w:szCs w:val="18"/>
              </w:rPr>
              <w:t>Herstellung oder Verarbeitung von Eisenmetallen (einschließlich Eisenlegierungen) bei Betrieb von Verbrennungseinheiten mit einer Gesamtfeuerungswärmeleistung von über 20 MW. Die Verarbeitung umfasst unter anderem Walzwerke, Öfen zum Wiederaufheizen, Glühöfen, Schmiedewerke, Gießereien, Beschichtungs- und Beizanlagen.</w:t>
            </w:r>
          </w:p>
        </w:tc>
        <w:tc>
          <w:tcPr>
            <w:tcW w:w="3918" w:type="dxa"/>
          </w:tcPr>
          <w:p>
            <w:pPr>
              <w:pStyle w:val="GesAbsatz"/>
              <w:rPr>
                <w:rFonts w:cs="Arial"/>
                <w:sz w:val="18"/>
                <w:szCs w:val="18"/>
              </w:rPr>
            </w:pPr>
            <w:r>
              <w:rPr>
                <w:rFonts w:cs="Arial"/>
                <w:sz w:val="18"/>
                <w:szCs w:val="18"/>
              </w:rPr>
              <w:t>Kohlendioxid</w:t>
            </w:r>
          </w:p>
        </w:tc>
      </w:tr>
      <w:tr>
        <w:trPr>
          <w:trHeight w:val="199"/>
        </w:trPr>
        <w:tc>
          <w:tcPr>
            <w:tcW w:w="5688" w:type="dxa"/>
          </w:tcPr>
          <w:p>
            <w:pPr>
              <w:pStyle w:val="GesAbsatz"/>
              <w:rPr>
                <w:rFonts w:cs="Arial"/>
                <w:sz w:val="18"/>
                <w:szCs w:val="18"/>
              </w:rPr>
            </w:pPr>
            <w:r>
              <w:rPr>
                <w:rFonts w:cs="Arial"/>
                <w:sz w:val="18"/>
                <w:szCs w:val="18"/>
              </w:rPr>
              <w:t>Herstellung von Primäraluminium</w:t>
            </w:r>
          </w:p>
        </w:tc>
        <w:tc>
          <w:tcPr>
            <w:tcW w:w="3918" w:type="dxa"/>
          </w:tcPr>
          <w:p>
            <w:pPr>
              <w:pStyle w:val="GesAbsatz"/>
              <w:rPr>
                <w:rFonts w:cs="Arial"/>
                <w:sz w:val="18"/>
                <w:szCs w:val="18"/>
              </w:rPr>
            </w:pPr>
            <w:r>
              <w:rPr>
                <w:rFonts w:cs="Arial"/>
                <w:sz w:val="18"/>
                <w:szCs w:val="18"/>
              </w:rPr>
              <w:t>Kohlendioxid und perfluorierte Kohlenwasserstoffe (PFC)</w:t>
            </w:r>
          </w:p>
        </w:tc>
      </w:tr>
      <w:tr>
        <w:trPr>
          <w:trHeight w:val="199"/>
        </w:trPr>
        <w:tc>
          <w:tcPr>
            <w:tcW w:w="5688" w:type="dxa"/>
          </w:tcPr>
          <w:p>
            <w:pPr>
              <w:pStyle w:val="GesAbsatz"/>
              <w:rPr>
                <w:rFonts w:cs="Arial"/>
                <w:sz w:val="18"/>
                <w:szCs w:val="18"/>
              </w:rPr>
            </w:pPr>
            <w:r>
              <w:rPr>
                <w:rFonts w:cs="Arial"/>
                <w:sz w:val="18"/>
                <w:szCs w:val="18"/>
              </w:rPr>
              <w:t>Herstellung von Sekundäraluminium bei Betrieb von Verbrennungseinheiten mit einer Gesamtfeuerungswärmeleistung von über 20 MW</w:t>
            </w:r>
          </w:p>
        </w:tc>
        <w:tc>
          <w:tcPr>
            <w:tcW w:w="3918" w:type="dxa"/>
          </w:tcPr>
          <w:p>
            <w:pPr>
              <w:pStyle w:val="GesAbsatz"/>
              <w:rPr>
                <w:rFonts w:cs="Arial"/>
                <w:sz w:val="18"/>
                <w:szCs w:val="18"/>
              </w:rPr>
            </w:pPr>
            <w:r>
              <w:rPr>
                <w:rFonts w:cs="Arial"/>
                <w:sz w:val="18"/>
                <w:szCs w:val="18"/>
              </w:rPr>
              <w:t>Kohlendioxid</w:t>
            </w:r>
          </w:p>
        </w:tc>
      </w:tr>
      <w:tr>
        <w:trPr>
          <w:trHeight w:val="486"/>
        </w:trPr>
        <w:tc>
          <w:tcPr>
            <w:tcW w:w="5688" w:type="dxa"/>
          </w:tcPr>
          <w:p>
            <w:pPr>
              <w:pStyle w:val="GesAbsatz"/>
              <w:rPr>
                <w:rFonts w:cs="Arial"/>
                <w:sz w:val="18"/>
                <w:szCs w:val="18"/>
              </w:rPr>
            </w:pPr>
            <w:r>
              <w:rPr>
                <w:rFonts w:cs="Arial"/>
                <w:sz w:val="18"/>
                <w:szCs w:val="18"/>
              </w:rPr>
              <w:t>Herstellung oder Verarbeitung von Nichteisenmetallen einschließlich der Herstellung von Legierungen, Raffinationsprodukten, Gussprodukten usw. bei Betrieb von Verbrennungseinheiten mit einer Gesamtfeuerungswärmeleistung (einschließlich der als Reduktionsmittel verwendeten Brennstoffe) von über 20 MW</w:t>
            </w:r>
          </w:p>
        </w:tc>
        <w:tc>
          <w:tcPr>
            <w:tcW w:w="3918" w:type="dxa"/>
          </w:tcPr>
          <w:p>
            <w:pPr>
              <w:pStyle w:val="GesAbsatz"/>
              <w:rPr>
                <w:rFonts w:cs="Arial"/>
                <w:sz w:val="18"/>
                <w:szCs w:val="18"/>
              </w:rPr>
            </w:pPr>
            <w:r>
              <w:rPr>
                <w:rFonts w:cs="Arial"/>
                <w:sz w:val="18"/>
                <w:szCs w:val="18"/>
              </w:rPr>
              <w:t>Kohlendioxid</w:t>
            </w:r>
          </w:p>
        </w:tc>
      </w:tr>
      <w:tr>
        <w:trPr>
          <w:trHeight w:val="294"/>
        </w:trPr>
        <w:tc>
          <w:tcPr>
            <w:tcW w:w="5688" w:type="dxa"/>
          </w:tcPr>
          <w:p>
            <w:pPr>
              <w:pStyle w:val="GesAbsatz"/>
              <w:rPr>
                <w:rFonts w:cs="Arial"/>
                <w:sz w:val="18"/>
                <w:szCs w:val="18"/>
              </w:rPr>
            </w:pPr>
            <w:r>
              <w:rPr>
                <w:rFonts w:cs="Arial"/>
                <w:sz w:val="18"/>
                <w:szCs w:val="18"/>
              </w:rPr>
              <w:lastRenderedPageBreak/>
              <w:t>Herstellung von Zementklinker in Drehrohröfen mit einer Produktionskapazität von über 500 t pro Tag oder in anderen Öfen mit einer Produktionskapazität über 50 t pro Tag</w:t>
            </w:r>
          </w:p>
        </w:tc>
        <w:tc>
          <w:tcPr>
            <w:tcW w:w="3918" w:type="dxa"/>
          </w:tcPr>
          <w:p>
            <w:pPr>
              <w:pStyle w:val="GesAbsatz"/>
              <w:rPr>
                <w:rFonts w:cs="Arial"/>
                <w:sz w:val="18"/>
                <w:szCs w:val="18"/>
              </w:rPr>
            </w:pPr>
            <w:r>
              <w:rPr>
                <w:rFonts w:cs="Arial"/>
                <w:sz w:val="18"/>
                <w:szCs w:val="18"/>
              </w:rPr>
              <w:t>Kohlendioxid</w:t>
            </w:r>
          </w:p>
        </w:tc>
      </w:tr>
      <w:tr>
        <w:trPr>
          <w:trHeight w:val="294"/>
        </w:trPr>
        <w:tc>
          <w:tcPr>
            <w:tcW w:w="5688" w:type="dxa"/>
          </w:tcPr>
          <w:p>
            <w:pPr>
              <w:pStyle w:val="GesAbsatz"/>
              <w:rPr>
                <w:rFonts w:cs="Arial"/>
                <w:sz w:val="18"/>
                <w:szCs w:val="18"/>
              </w:rPr>
            </w:pPr>
            <w:r>
              <w:rPr>
                <w:rFonts w:cs="Arial"/>
                <w:sz w:val="18"/>
                <w:szCs w:val="18"/>
              </w:rPr>
              <w:t>Herstellung von Kalk oder Brennen von Dolomit oder Magnesit in Drehrohröfen oder in anderen Öfen mit einer Produktionskapazität über 50 t pro Tag</w:t>
            </w:r>
          </w:p>
        </w:tc>
        <w:tc>
          <w:tcPr>
            <w:tcW w:w="3918" w:type="dxa"/>
          </w:tcPr>
          <w:p>
            <w:pPr>
              <w:pStyle w:val="GesAbsatz"/>
              <w:rPr>
                <w:rFonts w:cs="Arial"/>
                <w:sz w:val="18"/>
                <w:szCs w:val="18"/>
              </w:rPr>
            </w:pPr>
            <w:r>
              <w:rPr>
                <w:rFonts w:cs="Arial"/>
                <w:sz w:val="18"/>
                <w:szCs w:val="18"/>
              </w:rPr>
              <w:t>Kohlendioxid</w:t>
            </w:r>
          </w:p>
        </w:tc>
      </w:tr>
      <w:tr>
        <w:trPr>
          <w:trHeight w:val="199"/>
        </w:trPr>
        <w:tc>
          <w:tcPr>
            <w:tcW w:w="5688" w:type="dxa"/>
          </w:tcPr>
          <w:p>
            <w:pPr>
              <w:pStyle w:val="GesAbsatz"/>
              <w:rPr>
                <w:rFonts w:cs="Arial"/>
                <w:sz w:val="18"/>
                <w:szCs w:val="18"/>
              </w:rPr>
            </w:pPr>
            <w:r>
              <w:rPr>
                <w:rFonts w:cs="Arial"/>
                <w:sz w:val="18"/>
                <w:szCs w:val="18"/>
              </w:rPr>
              <w:t>Herstellung von Glas einschließlich Glasfasern mit einer Schmelzkapazität von über 20 t pro Tag</w:t>
            </w:r>
          </w:p>
        </w:tc>
        <w:tc>
          <w:tcPr>
            <w:tcW w:w="3918" w:type="dxa"/>
          </w:tcPr>
          <w:p>
            <w:pPr>
              <w:pStyle w:val="GesAbsatz"/>
              <w:rPr>
                <w:rFonts w:cs="Arial"/>
                <w:sz w:val="18"/>
                <w:szCs w:val="18"/>
              </w:rPr>
            </w:pPr>
            <w:r>
              <w:rPr>
                <w:rFonts w:cs="Arial"/>
                <w:sz w:val="18"/>
                <w:szCs w:val="18"/>
              </w:rPr>
              <w:t>Kohlendioxid</w:t>
            </w:r>
          </w:p>
        </w:tc>
      </w:tr>
      <w:tr>
        <w:trPr>
          <w:trHeight w:val="390"/>
        </w:trPr>
        <w:tc>
          <w:tcPr>
            <w:tcW w:w="5688" w:type="dxa"/>
          </w:tcPr>
          <w:p>
            <w:pPr>
              <w:pStyle w:val="GesAbsatz"/>
              <w:rPr>
                <w:rFonts w:cs="Arial"/>
                <w:sz w:val="18"/>
                <w:szCs w:val="18"/>
              </w:rPr>
            </w:pPr>
            <w:r>
              <w:rPr>
                <w:rFonts w:cs="Arial"/>
                <w:sz w:val="18"/>
                <w:szCs w:val="18"/>
              </w:rPr>
              <w:t>Herstellung von keramischen Erzeugnissen durch Brennen, und zwar insbesondere von Dachziegeln, Ziegelsteinen, feuerfesten Steinen, Fliesen, Steinzeug oder Porzellan mit einer Produktionskapazität von über 75 t pro Tag</w:t>
            </w:r>
          </w:p>
        </w:tc>
        <w:tc>
          <w:tcPr>
            <w:tcW w:w="3918" w:type="dxa"/>
          </w:tcPr>
          <w:p>
            <w:pPr>
              <w:pStyle w:val="GesAbsatz"/>
              <w:rPr>
                <w:rFonts w:cs="Arial"/>
                <w:sz w:val="18"/>
                <w:szCs w:val="18"/>
              </w:rPr>
            </w:pPr>
            <w:r>
              <w:rPr>
                <w:rFonts w:cs="Arial"/>
                <w:sz w:val="18"/>
                <w:szCs w:val="18"/>
              </w:rPr>
              <w:t>Kohlendioxid</w:t>
            </w:r>
          </w:p>
        </w:tc>
      </w:tr>
      <w:tr>
        <w:trPr>
          <w:trHeight w:val="294"/>
        </w:trPr>
        <w:tc>
          <w:tcPr>
            <w:tcW w:w="5688" w:type="dxa"/>
          </w:tcPr>
          <w:p>
            <w:pPr>
              <w:pStyle w:val="GesAbsatz"/>
              <w:rPr>
                <w:rFonts w:cs="Arial"/>
                <w:sz w:val="18"/>
                <w:szCs w:val="18"/>
              </w:rPr>
            </w:pPr>
            <w:r>
              <w:rPr>
                <w:rFonts w:cs="Arial"/>
                <w:sz w:val="18"/>
                <w:szCs w:val="18"/>
              </w:rPr>
              <w:t>Herstellung von Dämmmaterial aus Mineralwolle unter Verwendung von Glas, Stein oder Schlacke mit einer Schmelzkapazität von über 20 t pro Tag</w:t>
            </w:r>
          </w:p>
        </w:tc>
        <w:tc>
          <w:tcPr>
            <w:tcW w:w="3918" w:type="dxa"/>
          </w:tcPr>
          <w:p>
            <w:pPr>
              <w:pStyle w:val="GesAbsatz"/>
              <w:rPr>
                <w:rFonts w:cs="Arial"/>
                <w:sz w:val="18"/>
                <w:szCs w:val="18"/>
              </w:rPr>
            </w:pPr>
            <w:r>
              <w:rPr>
                <w:rFonts w:cs="Arial"/>
                <w:sz w:val="18"/>
                <w:szCs w:val="18"/>
              </w:rPr>
              <w:t>Kohlendioxid</w:t>
            </w:r>
          </w:p>
        </w:tc>
      </w:tr>
      <w:tr>
        <w:trPr>
          <w:trHeight w:val="294"/>
        </w:trPr>
        <w:tc>
          <w:tcPr>
            <w:tcW w:w="5688" w:type="dxa"/>
          </w:tcPr>
          <w:p>
            <w:pPr>
              <w:pStyle w:val="GesAbsatz"/>
              <w:rPr>
                <w:rFonts w:cs="Arial"/>
                <w:sz w:val="18"/>
                <w:szCs w:val="18"/>
              </w:rPr>
            </w:pPr>
            <w:r>
              <w:rPr>
                <w:rFonts w:cs="Arial"/>
                <w:sz w:val="18"/>
                <w:szCs w:val="18"/>
              </w:rPr>
              <w:t>Trocknen oder Brennen von Gips oder Herstellung von Gipskartonplatten und sonstigen Gipserzeugnissen bei Betrieb von Verbrennungseinheiten mit einer Gesamtfeuerungswärmeleistung von über 20 MW</w:t>
            </w:r>
          </w:p>
        </w:tc>
        <w:tc>
          <w:tcPr>
            <w:tcW w:w="3918" w:type="dxa"/>
          </w:tcPr>
          <w:p>
            <w:pPr>
              <w:pStyle w:val="GesAbsatz"/>
              <w:rPr>
                <w:rFonts w:cs="Arial"/>
                <w:sz w:val="18"/>
                <w:szCs w:val="18"/>
              </w:rPr>
            </w:pPr>
            <w:r>
              <w:rPr>
                <w:rFonts w:cs="Arial"/>
                <w:sz w:val="18"/>
                <w:szCs w:val="18"/>
              </w:rPr>
              <w:t>Kohlendioxid</w:t>
            </w:r>
          </w:p>
        </w:tc>
      </w:tr>
      <w:tr>
        <w:trPr>
          <w:trHeight w:val="103"/>
        </w:trPr>
        <w:tc>
          <w:tcPr>
            <w:tcW w:w="5688" w:type="dxa"/>
          </w:tcPr>
          <w:p>
            <w:pPr>
              <w:pStyle w:val="GesAbsatz"/>
              <w:rPr>
                <w:rFonts w:cs="Arial"/>
                <w:sz w:val="18"/>
                <w:szCs w:val="18"/>
              </w:rPr>
            </w:pPr>
            <w:r>
              <w:rPr>
                <w:rFonts w:cs="Arial"/>
                <w:sz w:val="18"/>
                <w:szCs w:val="18"/>
              </w:rPr>
              <w:t>Herstellung von Zellstoff aus Holz oder anderen Faserstoffen</w:t>
            </w:r>
          </w:p>
        </w:tc>
        <w:tc>
          <w:tcPr>
            <w:tcW w:w="3918" w:type="dxa"/>
          </w:tcPr>
          <w:p>
            <w:pPr>
              <w:pStyle w:val="GesAbsatz"/>
              <w:rPr>
                <w:rFonts w:cs="Arial"/>
                <w:sz w:val="18"/>
                <w:szCs w:val="18"/>
              </w:rPr>
            </w:pPr>
            <w:r>
              <w:rPr>
                <w:rFonts w:cs="Arial"/>
                <w:sz w:val="18"/>
                <w:szCs w:val="18"/>
              </w:rPr>
              <w:t>Kohlendioxid</w:t>
            </w:r>
          </w:p>
        </w:tc>
      </w:tr>
      <w:tr>
        <w:trPr>
          <w:trHeight w:val="199"/>
        </w:trPr>
        <w:tc>
          <w:tcPr>
            <w:tcW w:w="5688" w:type="dxa"/>
          </w:tcPr>
          <w:p>
            <w:pPr>
              <w:pStyle w:val="GesAbsatz"/>
              <w:rPr>
                <w:rFonts w:cs="Arial"/>
                <w:sz w:val="18"/>
                <w:szCs w:val="18"/>
              </w:rPr>
            </w:pPr>
            <w:r>
              <w:rPr>
                <w:rFonts w:cs="Arial"/>
                <w:sz w:val="18"/>
                <w:szCs w:val="18"/>
              </w:rPr>
              <w:t>Herstellung von Papier und Karton mit einer Produktionskapazität über 20 t pro Tag</w:t>
            </w:r>
          </w:p>
        </w:tc>
        <w:tc>
          <w:tcPr>
            <w:tcW w:w="3918" w:type="dxa"/>
          </w:tcPr>
          <w:p>
            <w:pPr>
              <w:pStyle w:val="GesAbsatz"/>
              <w:rPr>
                <w:rFonts w:cs="Arial"/>
                <w:sz w:val="18"/>
                <w:szCs w:val="18"/>
              </w:rPr>
            </w:pPr>
            <w:r>
              <w:rPr>
                <w:rFonts w:cs="Arial"/>
                <w:sz w:val="18"/>
                <w:szCs w:val="18"/>
              </w:rPr>
              <w:t>Kohlendioxid</w:t>
            </w:r>
          </w:p>
        </w:tc>
      </w:tr>
      <w:tr>
        <w:trPr>
          <w:trHeight w:val="390"/>
        </w:trPr>
        <w:tc>
          <w:tcPr>
            <w:tcW w:w="5688" w:type="dxa"/>
          </w:tcPr>
          <w:p>
            <w:pPr>
              <w:pStyle w:val="GesAbsatz"/>
              <w:rPr>
                <w:rFonts w:cs="Arial"/>
                <w:sz w:val="18"/>
                <w:szCs w:val="18"/>
              </w:rPr>
            </w:pPr>
            <w:r>
              <w:rPr>
                <w:rFonts w:cs="Arial"/>
                <w:sz w:val="18"/>
                <w:szCs w:val="18"/>
              </w:rPr>
              <w:t>Herstellung von Industrieruß durch Karbonisierung organischer Stoffe wie Öle, Teere, Crack- und Destillationsrückstände bei Betrieb von Verbrennungseinheiten mit einer Gesamtfeuerungswärmeleistung von über 20 MW</w:t>
            </w:r>
          </w:p>
        </w:tc>
        <w:tc>
          <w:tcPr>
            <w:tcW w:w="3918" w:type="dxa"/>
          </w:tcPr>
          <w:p>
            <w:pPr>
              <w:pStyle w:val="GesAbsatz"/>
              <w:rPr>
                <w:rFonts w:cs="Arial"/>
                <w:sz w:val="18"/>
                <w:szCs w:val="18"/>
              </w:rPr>
            </w:pPr>
            <w:r>
              <w:rPr>
                <w:rFonts w:cs="Arial"/>
                <w:sz w:val="18"/>
                <w:szCs w:val="18"/>
              </w:rPr>
              <w:t>Kohlendioxid</w:t>
            </w:r>
          </w:p>
        </w:tc>
      </w:tr>
      <w:tr>
        <w:trPr>
          <w:trHeight w:val="103"/>
        </w:trPr>
        <w:tc>
          <w:tcPr>
            <w:tcW w:w="5688" w:type="dxa"/>
          </w:tcPr>
          <w:p>
            <w:pPr>
              <w:pStyle w:val="GesAbsatz"/>
              <w:rPr>
                <w:rFonts w:cs="Arial"/>
                <w:sz w:val="18"/>
                <w:szCs w:val="18"/>
              </w:rPr>
            </w:pPr>
            <w:r>
              <w:rPr>
                <w:rFonts w:cs="Arial"/>
                <w:sz w:val="18"/>
                <w:szCs w:val="18"/>
              </w:rPr>
              <w:t>Herstellung von Salpetersäure</w:t>
            </w:r>
          </w:p>
        </w:tc>
        <w:tc>
          <w:tcPr>
            <w:tcW w:w="3918" w:type="dxa"/>
          </w:tcPr>
          <w:p>
            <w:pPr>
              <w:pStyle w:val="GesAbsatz"/>
              <w:rPr>
                <w:rFonts w:cs="Arial"/>
                <w:sz w:val="18"/>
                <w:szCs w:val="18"/>
              </w:rPr>
            </w:pPr>
            <w:r>
              <w:rPr>
                <w:rFonts w:cs="Arial"/>
                <w:sz w:val="18"/>
                <w:szCs w:val="18"/>
              </w:rPr>
              <w:t>Kohlendioxid und Distickstoffoxid</w:t>
            </w:r>
          </w:p>
        </w:tc>
      </w:tr>
      <w:tr>
        <w:trPr>
          <w:trHeight w:val="103"/>
        </w:trPr>
        <w:tc>
          <w:tcPr>
            <w:tcW w:w="5688" w:type="dxa"/>
          </w:tcPr>
          <w:p>
            <w:pPr>
              <w:pStyle w:val="GesAbsatz"/>
              <w:rPr>
                <w:rFonts w:cs="Arial"/>
                <w:sz w:val="18"/>
                <w:szCs w:val="18"/>
              </w:rPr>
            </w:pPr>
            <w:r>
              <w:rPr>
                <w:rFonts w:cs="Arial"/>
                <w:sz w:val="18"/>
                <w:szCs w:val="18"/>
              </w:rPr>
              <w:t>Herstellung von Adipinsäure</w:t>
            </w:r>
          </w:p>
        </w:tc>
        <w:tc>
          <w:tcPr>
            <w:tcW w:w="3918" w:type="dxa"/>
          </w:tcPr>
          <w:p>
            <w:pPr>
              <w:pStyle w:val="GesAbsatz"/>
              <w:rPr>
                <w:rFonts w:cs="Arial"/>
                <w:sz w:val="18"/>
                <w:szCs w:val="18"/>
              </w:rPr>
            </w:pPr>
            <w:r>
              <w:rPr>
                <w:rFonts w:cs="Arial"/>
                <w:sz w:val="18"/>
                <w:szCs w:val="18"/>
              </w:rPr>
              <w:t>Kohlendioxid und Distickstoffoxid</w:t>
            </w:r>
          </w:p>
        </w:tc>
      </w:tr>
      <w:tr>
        <w:trPr>
          <w:trHeight w:val="103"/>
        </w:trPr>
        <w:tc>
          <w:tcPr>
            <w:tcW w:w="5688" w:type="dxa"/>
          </w:tcPr>
          <w:p>
            <w:pPr>
              <w:pStyle w:val="GesAbsatz"/>
              <w:rPr>
                <w:rFonts w:cs="Arial"/>
                <w:sz w:val="18"/>
                <w:szCs w:val="18"/>
              </w:rPr>
            </w:pPr>
            <w:r>
              <w:rPr>
                <w:rFonts w:cs="Arial"/>
                <w:sz w:val="18"/>
                <w:szCs w:val="18"/>
              </w:rPr>
              <w:t>Herstellung von Glyoxal und Glyoxylsäure</w:t>
            </w:r>
          </w:p>
        </w:tc>
        <w:tc>
          <w:tcPr>
            <w:tcW w:w="3918" w:type="dxa"/>
          </w:tcPr>
          <w:p>
            <w:pPr>
              <w:pStyle w:val="GesAbsatz"/>
              <w:rPr>
                <w:rFonts w:cs="Arial"/>
                <w:sz w:val="18"/>
                <w:szCs w:val="18"/>
              </w:rPr>
            </w:pPr>
            <w:r>
              <w:rPr>
                <w:rFonts w:cs="Arial"/>
                <w:sz w:val="18"/>
                <w:szCs w:val="18"/>
              </w:rPr>
              <w:t>Kohlendioxid und Distickstoffoxid</w:t>
            </w:r>
          </w:p>
        </w:tc>
      </w:tr>
      <w:tr>
        <w:trPr>
          <w:trHeight w:val="103"/>
        </w:trPr>
        <w:tc>
          <w:tcPr>
            <w:tcW w:w="5688" w:type="dxa"/>
          </w:tcPr>
          <w:p>
            <w:pPr>
              <w:pStyle w:val="GesAbsatz"/>
              <w:rPr>
                <w:rFonts w:cs="Arial"/>
                <w:sz w:val="18"/>
                <w:szCs w:val="18"/>
              </w:rPr>
            </w:pPr>
            <w:r>
              <w:rPr>
                <w:rFonts w:cs="Arial"/>
                <w:sz w:val="18"/>
                <w:szCs w:val="18"/>
              </w:rPr>
              <w:t>Herstellung von Ammoniak</w:t>
            </w:r>
          </w:p>
        </w:tc>
        <w:tc>
          <w:tcPr>
            <w:tcW w:w="3918" w:type="dxa"/>
          </w:tcPr>
          <w:p>
            <w:pPr>
              <w:pStyle w:val="GesAbsatz"/>
              <w:rPr>
                <w:rFonts w:cs="Arial"/>
                <w:sz w:val="18"/>
                <w:szCs w:val="18"/>
              </w:rPr>
            </w:pPr>
            <w:r>
              <w:rPr>
                <w:rFonts w:cs="Arial"/>
                <w:sz w:val="18"/>
                <w:szCs w:val="18"/>
              </w:rPr>
              <w:t>Kohlendioxid</w:t>
            </w:r>
          </w:p>
        </w:tc>
      </w:tr>
      <w:tr>
        <w:trPr>
          <w:trHeight w:val="294"/>
        </w:trPr>
        <w:tc>
          <w:tcPr>
            <w:tcW w:w="5688" w:type="dxa"/>
          </w:tcPr>
          <w:p>
            <w:pPr>
              <w:pStyle w:val="GesAbsatz"/>
              <w:rPr>
                <w:rFonts w:cs="Arial"/>
                <w:sz w:val="18"/>
                <w:szCs w:val="18"/>
              </w:rPr>
            </w:pPr>
            <w:r>
              <w:rPr>
                <w:rFonts w:cs="Arial"/>
                <w:sz w:val="18"/>
                <w:szCs w:val="18"/>
              </w:rPr>
              <w:t>Herstellung von organischen Grundchemikalien durch Cracken, Reformieren, partielle oder vollständige Oxidation oder ähnliche Verfahren, mit einer Produktionskapazität von über 100 t pro Tag</w:t>
            </w:r>
          </w:p>
        </w:tc>
        <w:tc>
          <w:tcPr>
            <w:tcW w:w="3918" w:type="dxa"/>
          </w:tcPr>
          <w:p>
            <w:pPr>
              <w:pStyle w:val="GesAbsatz"/>
              <w:rPr>
                <w:rFonts w:cs="Arial"/>
                <w:sz w:val="18"/>
                <w:szCs w:val="18"/>
              </w:rPr>
            </w:pPr>
            <w:r>
              <w:rPr>
                <w:rFonts w:cs="Arial"/>
                <w:sz w:val="18"/>
                <w:szCs w:val="18"/>
              </w:rPr>
              <w:t>Kohlendioxid</w:t>
            </w:r>
          </w:p>
        </w:tc>
      </w:tr>
      <w:tr>
        <w:trPr>
          <w:trHeight w:val="294"/>
        </w:trPr>
        <w:tc>
          <w:tcPr>
            <w:tcW w:w="5688" w:type="dxa"/>
          </w:tcPr>
          <w:p>
            <w:pPr>
              <w:pStyle w:val="GesAbsatz"/>
              <w:rPr>
                <w:rFonts w:cs="Arial"/>
                <w:sz w:val="18"/>
                <w:szCs w:val="18"/>
              </w:rPr>
            </w:pPr>
            <w:r>
              <w:rPr>
                <w:rFonts w:cs="Arial"/>
                <w:sz w:val="18"/>
                <w:szCs w:val="18"/>
              </w:rPr>
              <w:t>Herstellung von Wasserstoff (H</w:t>
            </w:r>
            <w:r>
              <w:rPr>
                <w:rFonts w:cs="Arial"/>
                <w:sz w:val="18"/>
                <w:szCs w:val="18"/>
                <w:vertAlign w:val="subscript"/>
              </w:rPr>
              <w:t>2</w:t>
            </w:r>
            <w:r>
              <w:rPr>
                <w:rFonts w:cs="Arial"/>
                <w:sz w:val="18"/>
                <w:szCs w:val="18"/>
              </w:rPr>
              <w:t>) und Synthesegas durch Reformieren oder partielle Oxidation mit einer Produktionskapazität von über 25 t pro Tag</w:t>
            </w:r>
          </w:p>
        </w:tc>
        <w:tc>
          <w:tcPr>
            <w:tcW w:w="3918" w:type="dxa"/>
          </w:tcPr>
          <w:p>
            <w:pPr>
              <w:pStyle w:val="GesAbsatz"/>
              <w:rPr>
                <w:rFonts w:cs="Arial"/>
                <w:sz w:val="18"/>
                <w:szCs w:val="18"/>
              </w:rPr>
            </w:pPr>
            <w:r>
              <w:rPr>
                <w:rFonts w:cs="Arial"/>
                <w:sz w:val="18"/>
                <w:szCs w:val="18"/>
              </w:rPr>
              <w:t>Kohlendioxid</w:t>
            </w:r>
          </w:p>
        </w:tc>
      </w:tr>
      <w:tr>
        <w:trPr>
          <w:trHeight w:val="114"/>
        </w:trPr>
        <w:tc>
          <w:tcPr>
            <w:tcW w:w="5688" w:type="dxa"/>
          </w:tcPr>
          <w:p>
            <w:pPr>
              <w:pStyle w:val="GesAbsatz"/>
              <w:rPr>
                <w:rFonts w:cs="Arial"/>
                <w:sz w:val="18"/>
                <w:szCs w:val="18"/>
              </w:rPr>
            </w:pPr>
            <w:r>
              <w:rPr>
                <w:rFonts w:cs="Arial"/>
                <w:sz w:val="18"/>
                <w:szCs w:val="18"/>
              </w:rPr>
              <w:t>Herstellung von Soda (Na</w:t>
            </w:r>
            <w:r>
              <w:rPr>
                <w:rFonts w:cs="Arial"/>
                <w:sz w:val="18"/>
                <w:szCs w:val="18"/>
                <w:vertAlign w:val="subscript"/>
              </w:rPr>
              <w:t>2</w:t>
            </w:r>
            <w:r>
              <w:rPr>
                <w:rFonts w:cs="Arial"/>
                <w:sz w:val="18"/>
                <w:szCs w:val="18"/>
              </w:rPr>
              <w:t>CO</w:t>
            </w:r>
            <w:r>
              <w:rPr>
                <w:rFonts w:cs="Arial"/>
                <w:sz w:val="18"/>
                <w:szCs w:val="18"/>
                <w:vertAlign w:val="subscript"/>
              </w:rPr>
              <w:t>3</w:t>
            </w:r>
            <w:r>
              <w:rPr>
                <w:rFonts w:cs="Arial"/>
                <w:sz w:val="18"/>
                <w:szCs w:val="18"/>
              </w:rPr>
              <w:t>) und Natriumbicarbonat (NaHCO</w:t>
            </w:r>
            <w:r>
              <w:rPr>
                <w:rFonts w:cs="Arial"/>
                <w:sz w:val="18"/>
                <w:szCs w:val="18"/>
                <w:vertAlign w:val="subscript"/>
              </w:rPr>
              <w:t>3</w:t>
            </w:r>
            <w:r>
              <w:rPr>
                <w:rFonts w:cs="Arial"/>
                <w:sz w:val="18"/>
                <w:szCs w:val="18"/>
              </w:rPr>
              <w:t>)</w:t>
            </w:r>
          </w:p>
        </w:tc>
        <w:tc>
          <w:tcPr>
            <w:tcW w:w="3918" w:type="dxa"/>
          </w:tcPr>
          <w:p>
            <w:pPr>
              <w:pStyle w:val="GesAbsatz"/>
              <w:rPr>
                <w:rFonts w:cs="Arial"/>
                <w:sz w:val="18"/>
                <w:szCs w:val="18"/>
              </w:rPr>
            </w:pPr>
            <w:r>
              <w:rPr>
                <w:rFonts w:cs="Arial"/>
                <w:sz w:val="18"/>
                <w:szCs w:val="18"/>
              </w:rPr>
              <w:t>Kohlendioxid</w:t>
            </w:r>
          </w:p>
        </w:tc>
      </w:tr>
      <w:tr>
        <w:trPr>
          <w:trHeight w:val="294"/>
        </w:trPr>
        <w:tc>
          <w:tcPr>
            <w:tcW w:w="5688" w:type="dxa"/>
          </w:tcPr>
          <w:p>
            <w:pPr>
              <w:pStyle w:val="GesAbsatz"/>
              <w:rPr>
                <w:rFonts w:cs="Arial"/>
                <w:sz w:val="18"/>
                <w:szCs w:val="18"/>
              </w:rPr>
            </w:pPr>
            <w:r>
              <w:rPr>
                <w:rFonts w:cs="Arial"/>
                <w:sz w:val="18"/>
                <w:szCs w:val="18"/>
              </w:rPr>
              <w:t>Abscheidung von Treibhausgasen aus von unter diese Richtlinie fallenden Anlagen zwecks Beförderung und geologischer Speicherung in einer gemäß der Richtlinie 2009/31/EG genehmigten Speicherstätte</w:t>
            </w:r>
          </w:p>
        </w:tc>
        <w:tc>
          <w:tcPr>
            <w:tcW w:w="3918" w:type="dxa"/>
          </w:tcPr>
          <w:p>
            <w:pPr>
              <w:pStyle w:val="GesAbsatz"/>
              <w:rPr>
                <w:rFonts w:cs="Arial"/>
                <w:sz w:val="18"/>
                <w:szCs w:val="18"/>
              </w:rPr>
            </w:pPr>
            <w:r>
              <w:rPr>
                <w:rFonts w:cs="Arial"/>
                <w:sz w:val="18"/>
                <w:szCs w:val="18"/>
              </w:rPr>
              <w:t>Kohlendioxid</w:t>
            </w:r>
          </w:p>
        </w:tc>
      </w:tr>
      <w:tr>
        <w:trPr>
          <w:trHeight w:val="294"/>
        </w:trPr>
        <w:tc>
          <w:tcPr>
            <w:tcW w:w="5688" w:type="dxa"/>
          </w:tcPr>
          <w:p>
            <w:pPr>
              <w:pStyle w:val="GesAbsatz"/>
              <w:rPr>
                <w:rFonts w:cs="Arial"/>
                <w:sz w:val="18"/>
                <w:szCs w:val="18"/>
              </w:rPr>
            </w:pPr>
            <w:r>
              <w:rPr>
                <w:rFonts w:cs="Arial"/>
                <w:sz w:val="18"/>
                <w:szCs w:val="18"/>
              </w:rPr>
              <w:t>Beförderung von Treibhausgasen in Pipelines zwecks geologischer Speicherung in einer gemäß der Richtlinie 2009/31/EG genehmigten Speicherstätte</w:t>
            </w:r>
          </w:p>
        </w:tc>
        <w:tc>
          <w:tcPr>
            <w:tcW w:w="3918" w:type="dxa"/>
          </w:tcPr>
          <w:p>
            <w:pPr>
              <w:pStyle w:val="GesAbsatz"/>
              <w:rPr>
                <w:rFonts w:cs="Arial"/>
                <w:sz w:val="18"/>
                <w:szCs w:val="18"/>
              </w:rPr>
            </w:pPr>
            <w:r>
              <w:rPr>
                <w:rFonts w:cs="Arial"/>
                <w:sz w:val="18"/>
                <w:szCs w:val="18"/>
              </w:rPr>
              <w:t>Kohlendioxid</w:t>
            </w:r>
          </w:p>
        </w:tc>
      </w:tr>
      <w:tr>
        <w:trPr>
          <w:trHeight w:val="199"/>
        </w:trPr>
        <w:tc>
          <w:tcPr>
            <w:tcW w:w="5688" w:type="dxa"/>
          </w:tcPr>
          <w:p>
            <w:pPr>
              <w:pStyle w:val="GesAbsatz"/>
              <w:rPr>
                <w:rFonts w:cs="Arial"/>
                <w:sz w:val="18"/>
                <w:szCs w:val="18"/>
              </w:rPr>
            </w:pPr>
            <w:r>
              <w:rPr>
                <w:rFonts w:cs="Arial"/>
                <w:sz w:val="18"/>
                <w:szCs w:val="18"/>
              </w:rPr>
              <w:t>Geologische Speicherung von Treibhausgasen in einer gemäß der Richtlinie 2009/31/EG genehmigten Speicherstätte</w:t>
            </w:r>
          </w:p>
        </w:tc>
        <w:tc>
          <w:tcPr>
            <w:tcW w:w="3918" w:type="dxa"/>
          </w:tcPr>
          <w:p>
            <w:pPr>
              <w:pStyle w:val="GesAbsatz"/>
              <w:rPr>
                <w:rFonts w:cs="Arial"/>
                <w:sz w:val="18"/>
                <w:szCs w:val="18"/>
              </w:rPr>
            </w:pPr>
            <w:r>
              <w:rPr>
                <w:rFonts w:cs="Arial"/>
                <w:sz w:val="18"/>
                <w:szCs w:val="18"/>
              </w:rPr>
              <w:t>Kohlendioxid</w:t>
            </w:r>
          </w:p>
        </w:tc>
      </w:tr>
      <w:tr>
        <w:trPr>
          <w:trHeight w:val="199"/>
        </w:trPr>
        <w:tc>
          <w:tcPr>
            <w:tcW w:w="5688" w:type="dxa"/>
          </w:tcPr>
          <w:p>
            <w:pPr>
              <w:pStyle w:val="GesAbsatz"/>
              <w:rPr>
                <w:rFonts w:cs="Arial"/>
                <w:sz w:val="18"/>
                <w:szCs w:val="18"/>
              </w:rPr>
            </w:pPr>
            <w:r>
              <w:rPr>
                <w:rFonts w:cs="Arial"/>
                <w:sz w:val="18"/>
                <w:szCs w:val="18"/>
              </w:rPr>
              <w:t>Luftverkehr</w:t>
            </w:r>
          </w:p>
        </w:tc>
        <w:tc>
          <w:tcPr>
            <w:tcW w:w="3918" w:type="dxa"/>
          </w:tcPr>
          <w:p>
            <w:pPr>
              <w:pStyle w:val="GesAbsatz"/>
              <w:rPr>
                <w:rFonts w:cs="Arial"/>
                <w:sz w:val="18"/>
                <w:szCs w:val="18"/>
              </w:rPr>
            </w:pPr>
            <w:r>
              <w:rPr>
                <w:rFonts w:cs="Arial"/>
                <w:sz w:val="18"/>
                <w:szCs w:val="18"/>
              </w:rPr>
              <w:t>Kohlendioxid</w:t>
            </w:r>
          </w:p>
        </w:tc>
      </w:tr>
      <w:tr>
        <w:trPr>
          <w:trHeight w:val="199"/>
        </w:trPr>
        <w:tc>
          <w:tcPr>
            <w:tcW w:w="5688" w:type="dxa"/>
          </w:tcPr>
          <w:p>
            <w:pPr>
              <w:pStyle w:val="GesAbsatz"/>
              <w:rPr>
                <w:rFonts w:cs="Arial"/>
                <w:sz w:val="18"/>
                <w:szCs w:val="18"/>
              </w:rPr>
            </w:pPr>
            <w:r>
              <w:rPr>
                <w:rFonts w:cs="Arial"/>
                <w:sz w:val="18"/>
                <w:szCs w:val="18"/>
              </w:rPr>
              <w:t>Flüge, die von einem Flugplatz abgehen oder auf einem Flugplatzenden, der sich in einem Hoheitsgebiet eines Mitgliedstaats befindet, auf das der Vertrag Anwendung findet.</w:t>
            </w:r>
          </w:p>
          <w:p>
            <w:pPr>
              <w:pStyle w:val="GesAbsatz"/>
              <w:rPr>
                <w:rFonts w:cs="Arial"/>
                <w:sz w:val="18"/>
                <w:szCs w:val="18"/>
              </w:rPr>
            </w:pPr>
            <w:r>
              <w:rPr>
                <w:rFonts w:cs="Arial"/>
                <w:sz w:val="18"/>
                <w:szCs w:val="18"/>
              </w:rPr>
              <w:t xml:space="preserve">Flüge zwischen Flugplätzen in zwei verschiedenen in dem nach Artikel 25a Absatz 3 erlassenen Durchführungsrechtsakt aufgeführten Staaten, Flüge zwischen der Schweiz oder dem Vereinigten Königreich und in dem nach Artikel 25a Absatz 3 erlassenen Durchführungsrechtsakt aufgeführten Staaten und — für die Zwecke von Artikel 12 Absätze 6 und 8 und Artikel 28c — alle anderen Flüge zwischen </w:t>
            </w:r>
            <w:r>
              <w:rPr>
                <w:rFonts w:cs="Arial"/>
                <w:sz w:val="18"/>
                <w:szCs w:val="18"/>
              </w:rPr>
              <w:lastRenderedPageBreak/>
              <w:t>Flugplätzen in zwei verschiedenen Drittländern, die von Luftfahrzeugbetreibern durchgeführt werden, die alle nachstehenden Bedingungen erfüllen:</w:t>
            </w:r>
          </w:p>
          <w:p>
            <w:pPr>
              <w:pStyle w:val="GesAbsatz"/>
              <w:tabs>
                <w:tab w:val="clear" w:pos="425"/>
              </w:tabs>
              <w:ind w:left="316" w:hanging="316"/>
              <w:rPr>
                <w:rFonts w:cs="Arial"/>
                <w:sz w:val="18"/>
                <w:szCs w:val="18"/>
              </w:rPr>
            </w:pPr>
            <w:r>
              <w:rPr>
                <w:rFonts w:cs="Arial"/>
                <w:sz w:val="18"/>
                <w:szCs w:val="18"/>
              </w:rPr>
              <w:t>a)</w:t>
            </w:r>
            <w:r>
              <w:rPr>
                <w:rFonts w:cs="Arial"/>
                <w:sz w:val="18"/>
                <w:szCs w:val="18"/>
              </w:rPr>
              <w:tab/>
              <w:t>Sie verfügen über ein von einem Mitgliedstaat ausgestelltes Luftverkehrsbetreiberzeugnis oder sind in einem Mitgliedstaat, einschließlich der Gebiete in äußerster Randlage sowie der überseeischen Gebiete und Schutzgebiete dieses Mitgliedstaats, registriert und</w:t>
            </w:r>
          </w:p>
          <w:p>
            <w:pPr>
              <w:pStyle w:val="GesAbsatz"/>
              <w:tabs>
                <w:tab w:val="clear" w:pos="425"/>
              </w:tabs>
              <w:ind w:left="316" w:hanging="316"/>
              <w:rPr>
                <w:rFonts w:cs="Arial"/>
                <w:sz w:val="18"/>
                <w:szCs w:val="18"/>
              </w:rPr>
            </w:pPr>
            <w:r>
              <w:rPr>
                <w:rFonts w:cs="Arial"/>
                <w:sz w:val="18"/>
                <w:szCs w:val="18"/>
              </w:rPr>
              <w:t>b)</w:t>
            </w:r>
            <w:r>
              <w:rPr>
                <w:rFonts w:cs="Arial"/>
                <w:sz w:val="18"/>
                <w:szCs w:val="18"/>
              </w:rPr>
              <w:tab/>
              <w:t>sie erzeugen jährliche CO</w:t>
            </w:r>
            <w:r>
              <w:rPr>
                <w:rFonts w:cs="Arial"/>
                <w:sz w:val="18"/>
                <w:szCs w:val="18"/>
                <w:vertAlign w:val="subscript"/>
              </w:rPr>
              <w:t>2</w:t>
            </w:r>
            <w:r>
              <w:rPr>
                <w:rFonts w:cs="Arial"/>
                <w:sz w:val="18"/>
                <w:szCs w:val="18"/>
              </w:rPr>
              <w:t>-Emissionen von mehr als 10 000 Tonnen aus dem Einsatz von Flugzeugen mit einer höchstzulässigen Startmasse von mehr als 5 700 kg, die seit dem 1. Januar 2021 Flüge nach diesem Anhang durchführen, welche nicht in demselben Mitgliedstaat, einschließlich der Gebiete in äußerster Randlage desselben Mitgliedstaats, starten und landen; für die Zwecke dieses Buchstabens werden Emissionen der nachstehend genannten Arten von Flügen nicht berücksichtigt:</w:t>
            </w:r>
          </w:p>
          <w:p>
            <w:pPr>
              <w:pStyle w:val="GesAbsatz"/>
              <w:tabs>
                <w:tab w:val="clear" w:pos="425"/>
              </w:tabs>
              <w:ind w:left="599" w:hanging="283"/>
              <w:rPr>
                <w:rFonts w:cs="Arial"/>
                <w:sz w:val="18"/>
                <w:szCs w:val="18"/>
              </w:rPr>
            </w:pPr>
            <w:r>
              <w:rPr>
                <w:rFonts w:cs="Arial"/>
                <w:sz w:val="18"/>
                <w:szCs w:val="18"/>
              </w:rPr>
              <w:t>i)</w:t>
            </w:r>
            <w:r>
              <w:rPr>
                <w:rFonts w:cs="Arial"/>
                <w:sz w:val="18"/>
                <w:szCs w:val="18"/>
              </w:rPr>
              <w:tab/>
              <w:t>Flüge im staatlichen Auftrag,</w:t>
            </w:r>
          </w:p>
          <w:p>
            <w:pPr>
              <w:pStyle w:val="GesAbsatz"/>
              <w:ind w:left="599" w:hanging="283"/>
              <w:rPr>
                <w:rFonts w:cs="Arial"/>
                <w:sz w:val="18"/>
                <w:szCs w:val="18"/>
              </w:rPr>
            </w:pPr>
            <w:r>
              <w:rPr>
                <w:rFonts w:cs="Arial"/>
                <w:sz w:val="18"/>
                <w:szCs w:val="18"/>
              </w:rPr>
              <w:t>ii)</w:t>
            </w:r>
            <w:r>
              <w:rPr>
                <w:rFonts w:cs="Arial"/>
                <w:sz w:val="18"/>
                <w:szCs w:val="18"/>
              </w:rPr>
              <w:tab/>
              <w:t>Flüge im humanitären Einsatz,</w:t>
            </w:r>
          </w:p>
          <w:p>
            <w:pPr>
              <w:pStyle w:val="GesAbsatz"/>
              <w:ind w:left="599" w:hanging="283"/>
              <w:rPr>
                <w:rFonts w:cs="Arial"/>
                <w:sz w:val="18"/>
                <w:szCs w:val="18"/>
              </w:rPr>
            </w:pPr>
            <w:r>
              <w:rPr>
                <w:rFonts w:cs="Arial"/>
                <w:sz w:val="18"/>
                <w:szCs w:val="18"/>
              </w:rPr>
              <w:t>iii)</w:t>
            </w:r>
            <w:r>
              <w:rPr>
                <w:rFonts w:cs="Arial"/>
                <w:sz w:val="18"/>
                <w:szCs w:val="18"/>
              </w:rPr>
              <w:tab/>
              <w:t>medizinische Flüge,</w:t>
            </w:r>
          </w:p>
          <w:p>
            <w:pPr>
              <w:pStyle w:val="GesAbsatz"/>
              <w:ind w:left="599" w:hanging="283"/>
              <w:rPr>
                <w:rFonts w:cs="Arial"/>
                <w:sz w:val="18"/>
                <w:szCs w:val="18"/>
              </w:rPr>
            </w:pPr>
            <w:r>
              <w:rPr>
                <w:rFonts w:cs="Arial"/>
                <w:sz w:val="18"/>
                <w:szCs w:val="18"/>
              </w:rPr>
              <w:t>iv)</w:t>
            </w:r>
            <w:r>
              <w:rPr>
                <w:rFonts w:cs="Arial"/>
                <w:sz w:val="18"/>
                <w:szCs w:val="18"/>
              </w:rPr>
              <w:tab/>
              <w:t>Militärflüge,</w:t>
            </w:r>
          </w:p>
          <w:p>
            <w:pPr>
              <w:pStyle w:val="GesAbsatz"/>
              <w:ind w:left="599" w:hanging="283"/>
              <w:rPr>
                <w:rFonts w:cs="Arial"/>
                <w:sz w:val="18"/>
                <w:szCs w:val="18"/>
              </w:rPr>
            </w:pPr>
            <w:r>
              <w:rPr>
                <w:rFonts w:cs="Arial"/>
                <w:sz w:val="18"/>
                <w:szCs w:val="18"/>
              </w:rPr>
              <w:t>v)</w:t>
            </w:r>
            <w:r>
              <w:rPr>
                <w:rFonts w:cs="Arial"/>
                <w:sz w:val="18"/>
                <w:szCs w:val="18"/>
              </w:rPr>
              <w:tab/>
              <w:t>Löschflüge,</w:t>
            </w:r>
          </w:p>
          <w:p>
            <w:pPr>
              <w:pStyle w:val="GesAbsatz"/>
              <w:ind w:left="599" w:hanging="283"/>
              <w:rPr>
                <w:rFonts w:cs="Arial"/>
                <w:sz w:val="18"/>
                <w:szCs w:val="18"/>
              </w:rPr>
            </w:pPr>
            <w:r>
              <w:rPr>
                <w:rFonts w:cs="Arial"/>
                <w:sz w:val="18"/>
                <w:szCs w:val="18"/>
              </w:rPr>
              <w:t>vi)</w:t>
            </w:r>
            <w:r>
              <w:rPr>
                <w:rFonts w:cs="Arial"/>
                <w:sz w:val="18"/>
                <w:szCs w:val="18"/>
              </w:rPr>
              <w:tab/>
              <w:t>Flüge vor oder nach einem Flug im humanitären Einsatz, einem medizinischen Flug oder einem Löschflug, sofern diese Flüge mit demselben Luftfahrzeug erfolgten und für die Durchführung der damit verbundenen Tätigkeiten in den Bereichen humanitäre Hilfe, medizinische Versorgung oder Brandbekämpfung oder die anschließende Verlegung des Luftfahrzeugs für seinen nächsten Einsatz erforderlich waren.</w:t>
            </w:r>
          </w:p>
          <w:p>
            <w:pPr>
              <w:pStyle w:val="GesAbsatz"/>
              <w:rPr>
                <w:rFonts w:cs="Arial"/>
                <w:sz w:val="18"/>
                <w:szCs w:val="18"/>
              </w:rPr>
            </w:pPr>
          </w:p>
        </w:tc>
        <w:tc>
          <w:tcPr>
            <w:tcW w:w="3918" w:type="dxa"/>
          </w:tcPr>
          <w:p>
            <w:pPr>
              <w:pStyle w:val="GesAbsatz"/>
              <w:rPr>
                <w:rFonts w:cs="Arial"/>
                <w:sz w:val="18"/>
                <w:szCs w:val="18"/>
              </w:rPr>
            </w:pPr>
          </w:p>
        </w:tc>
      </w:tr>
      <w:tr>
        <w:trPr>
          <w:trHeight w:val="199"/>
        </w:trPr>
        <w:tc>
          <w:tcPr>
            <w:tcW w:w="5688" w:type="dxa"/>
          </w:tcPr>
          <w:p>
            <w:pPr>
              <w:pStyle w:val="GesAbsatz"/>
              <w:rPr>
                <w:rFonts w:cs="Arial"/>
                <w:sz w:val="18"/>
                <w:szCs w:val="18"/>
              </w:rPr>
            </w:pPr>
            <w:r>
              <w:rPr>
                <w:rFonts w:cs="Arial"/>
                <w:sz w:val="18"/>
                <w:szCs w:val="18"/>
              </w:rPr>
              <w:t>Nicht unter diese Tätigkeit fallen:</w:t>
            </w:r>
          </w:p>
        </w:tc>
        <w:tc>
          <w:tcPr>
            <w:tcW w:w="3918" w:type="dxa"/>
          </w:tcPr>
          <w:p>
            <w:pPr>
              <w:pStyle w:val="GesAbsatz"/>
              <w:rPr>
                <w:rFonts w:cs="Arial"/>
                <w:sz w:val="18"/>
                <w:szCs w:val="18"/>
              </w:rPr>
            </w:pPr>
          </w:p>
        </w:tc>
      </w:tr>
      <w:tr>
        <w:trPr>
          <w:trHeight w:val="199"/>
        </w:trPr>
        <w:tc>
          <w:tcPr>
            <w:tcW w:w="5688" w:type="dxa"/>
          </w:tcPr>
          <w:p>
            <w:pPr>
              <w:pStyle w:val="GesAbsatz"/>
              <w:ind w:left="426" w:hanging="426"/>
              <w:rPr>
                <w:rFonts w:cs="Arial"/>
                <w:sz w:val="18"/>
                <w:szCs w:val="18"/>
              </w:rPr>
            </w:pPr>
            <w:r>
              <w:rPr>
                <w:rFonts w:cs="Arial"/>
                <w:sz w:val="18"/>
                <w:szCs w:val="18"/>
              </w:rPr>
              <w:t>a)</w:t>
            </w:r>
            <w:r>
              <w:rPr>
                <w:rFonts w:cs="Arial"/>
                <w:sz w:val="18"/>
                <w:szCs w:val="18"/>
              </w:rPr>
              <w:tab/>
              <w:t>Flüge, die ausschließlich zur Beförderung von in offizieller Mission befindlichen regierenden Monarchen und ihren unmittelbaren Familienangehörigen sowie Staatschefs, Regierungschefs und von zur Regierung gehörenden Ministern eines Nichtmitgliedstaats durchgeführt werden, soweit dies durch einen entsprechenden Statusindikator im Flugplan vermerkt ist;</w:t>
            </w:r>
          </w:p>
        </w:tc>
        <w:tc>
          <w:tcPr>
            <w:tcW w:w="3918" w:type="dxa"/>
          </w:tcPr>
          <w:p>
            <w:pPr>
              <w:pStyle w:val="GesAbsatz"/>
              <w:rPr>
                <w:rFonts w:cs="Arial"/>
                <w:sz w:val="18"/>
                <w:szCs w:val="18"/>
              </w:rPr>
            </w:pPr>
          </w:p>
        </w:tc>
      </w:tr>
      <w:tr>
        <w:trPr>
          <w:trHeight w:val="199"/>
        </w:trPr>
        <w:tc>
          <w:tcPr>
            <w:tcW w:w="5688" w:type="dxa"/>
          </w:tcPr>
          <w:p>
            <w:pPr>
              <w:pStyle w:val="GesAbsatz"/>
              <w:rPr>
                <w:rFonts w:cs="Arial"/>
                <w:sz w:val="18"/>
                <w:szCs w:val="18"/>
              </w:rPr>
            </w:pPr>
            <w:r>
              <w:rPr>
                <w:rFonts w:cs="Arial"/>
                <w:sz w:val="18"/>
                <w:szCs w:val="18"/>
              </w:rPr>
              <w:t>b)</w:t>
            </w:r>
            <w:r>
              <w:rPr>
                <w:rFonts w:cs="Arial"/>
                <w:sz w:val="18"/>
                <w:szCs w:val="18"/>
              </w:rPr>
              <w:tab/>
              <w:t>Militärflüge in Militärluftfahrzeugen sowie Zoll- und Polizeiflüge;</w:t>
            </w:r>
          </w:p>
        </w:tc>
        <w:tc>
          <w:tcPr>
            <w:tcW w:w="3918" w:type="dxa"/>
          </w:tcPr>
          <w:p>
            <w:pPr>
              <w:pStyle w:val="GesAbsatz"/>
              <w:rPr>
                <w:rFonts w:cs="Arial"/>
                <w:sz w:val="18"/>
                <w:szCs w:val="18"/>
              </w:rPr>
            </w:pPr>
          </w:p>
        </w:tc>
      </w:tr>
      <w:tr>
        <w:trPr>
          <w:trHeight w:val="199"/>
        </w:trPr>
        <w:tc>
          <w:tcPr>
            <w:tcW w:w="5688" w:type="dxa"/>
          </w:tcPr>
          <w:p>
            <w:pPr>
              <w:pStyle w:val="GesAbsatz"/>
              <w:ind w:left="426" w:hanging="426"/>
              <w:rPr>
                <w:rFonts w:cs="Arial"/>
                <w:sz w:val="18"/>
                <w:szCs w:val="18"/>
              </w:rPr>
            </w:pPr>
            <w:r>
              <w:rPr>
                <w:rFonts w:cs="Arial"/>
                <w:sz w:val="18"/>
                <w:szCs w:val="18"/>
              </w:rPr>
              <w:t>c)</w:t>
            </w:r>
            <w:r>
              <w:rPr>
                <w:rFonts w:cs="Arial"/>
                <w:sz w:val="18"/>
                <w:szCs w:val="18"/>
              </w:rPr>
              <w:tab/>
              <w:t>Flüge im Zusammenhang mit Such- und Rettungseinsätzen, Löschflüge, Flüge im humanitären Einsatz sowie Ambulanzflüge in medizinischen Notfällen, soweit eine Genehmigung der jeweils zuständigen Behörde vorliegt;</w:t>
            </w:r>
          </w:p>
        </w:tc>
        <w:tc>
          <w:tcPr>
            <w:tcW w:w="3918" w:type="dxa"/>
          </w:tcPr>
          <w:p>
            <w:pPr>
              <w:pStyle w:val="GesAbsatz"/>
              <w:rPr>
                <w:rFonts w:cs="Arial"/>
                <w:sz w:val="18"/>
                <w:szCs w:val="18"/>
              </w:rPr>
            </w:pPr>
          </w:p>
        </w:tc>
      </w:tr>
      <w:tr>
        <w:trPr>
          <w:trHeight w:val="199"/>
        </w:trPr>
        <w:tc>
          <w:tcPr>
            <w:tcW w:w="5688" w:type="dxa"/>
          </w:tcPr>
          <w:p>
            <w:pPr>
              <w:pStyle w:val="GesAbsatz"/>
              <w:ind w:left="426" w:hanging="426"/>
              <w:rPr>
                <w:rFonts w:cs="Arial"/>
                <w:sz w:val="18"/>
                <w:szCs w:val="18"/>
              </w:rPr>
            </w:pPr>
            <w:r>
              <w:rPr>
                <w:rFonts w:cs="Arial"/>
                <w:sz w:val="18"/>
                <w:szCs w:val="18"/>
              </w:rPr>
              <w:t>d)</w:t>
            </w:r>
            <w:r>
              <w:rPr>
                <w:rFonts w:cs="Arial"/>
                <w:sz w:val="18"/>
                <w:szCs w:val="18"/>
              </w:rPr>
              <w:tab/>
              <w:t>Flüge, die ausschließlich nach Sichtflugregeln im Sinne des Anhangs 2 des Chicagoer Abkommens durchgeführt werden;</w:t>
            </w:r>
          </w:p>
        </w:tc>
        <w:tc>
          <w:tcPr>
            <w:tcW w:w="3918" w:type="dxa"/>
          </w:tcPr>
          <w:p>
            <w:pPr>
              <w:pStyle w:val="GesAbsatz"/>
              <w:rPr>
                <w:rFonts w:cs="Arial"/>
                <w:sz w:val="18"/>
                <w:szCs w:val="18"/>
              </w:rPr>
            </w:pPr>
          </w:p>
        </w:tc>
      </w:tr>
      <w:tr>
        <w:trPr>
          <w:trHeight w:val="199"/>
        </w:trPr>
        <w:tc>
          <w:tcPr>
            <w:tcW w:w="5688" w:type="dxa"/>
          </w:tcPr>
          <w:p>
            <w:pPr>
              <w:pStyle w:val="GesAbsatz"/>
              <w:ind w:left="426" w:hanging="426"/>
              <w:rPr>
                <w:rFonts w:cs="Arial"/>
                <w:sz w:val="18"/>
                <w:szCs w:val="18"/>
              </w:rPr>
            </w:pPr>
            <w:r>
              <w:rPr>
                <w:rFonts w:cs="Arial"/>
                <w:sz w:val="18"/>
                <w:szCs w:val="18"/>
              </w:rPr>
              <w:t>e)</w:t>
            </w:r>
            <w:r>
              <w:rPr>
                <w:rFonts w:cs="Arial"/>
                <w:sz w:val="18"/>
                <w:szCs w:val="18"/>
              </w:rPr>
              <w:tab/>
              <w:t>Flüge, bei denen das Luftfahrzeug ohne Zwischenlandung wieder zum Ausgangsflugplatz zurückkehrt;</w:t>
            </w:r>
          </w:p>
        </w:tc>
        <w:tc>
          <w:tcPr>
            <w:tcW w:w="3918" w:type="dxa"/>
          </w:tcPr>
          <w:p>
            <w:pPr>
              <w:pStyle w:val="GesAbsatz"/>
              <w:rPr>
                <w:rFonts w:cs="Arial"/>
                <w:sz w:val="18"/>
                <w:szCs w:val="18"/>
              </w:rPr>
            </w:pPr>
          </w:p>
        </w:tc>
      </w:tr>
      <w:tr>
        <w:trPr>
          <w:trHeight w:val="199"/>
        </w:trPr>
        <w:tc>
          <w:tcPr>
            <w:tcW w:w="5688" w:type="dxa"/>
          </w:tcPr>
          <w:p>
            <w:pPr>
              <w:pStyle w:val="GesAbsatz"/>
              <w:ind w:left="426" w:hanging="426"/>
              <w:rPr>
                <w:rFonts w:cs="Arial"/>
                <w:sz w:val="18"/>
                <w:szCs w:val="18"/>
              </w:rPr>
            </w:pPr>
            <w:r>
              <w:rPr>
                <w:rFonts w:cs="Arial"/>
                <w:sz w:val="18"/>
                <w:szCs w:val="18"/>
              </w:rPr>
              <w:t>f)</w:t>
            </w:r>
            <w:r>
              <w:rPr>
                <w:rFonts w:cs="Arial"/>
                <w:sz w:val="18"/>
                <w:szCs w:val="18"/>
              </w:rPr>
              <w:tab/>
              <w:t>Übungsflüge, die ausschließlich zum Erwerb eines Pilotenscheins oder einer Berechtigung für die Cockpit-Besatzung durchgeführt werden, sofern dies im Flugplan entsprechend vermerkt ist; diese Flüge dürfen nicht zur Beförderung von Fluggästen und/oder Fracht oder zur Positionierung oder Überführung von Luftfahrzeugen dienen;</w:t>
            </w:r>
          </w:p>
        </w:tc>
        <w:tc>
          <w:tcPr>
            <w:tcW w:w="3918" w:type="dxa"/>
          </w:tcPr>
          <w:p>
            <w:pPr>
              <w:pStyle w:val="GesAbsatz"/>
              <w:rPr>
                <w:rFonts w:cs="Arial"/>
                <w:sz w:val="18"/>
                <w:szCs w:val="18"/>
              </w:rPr>
            </w:pPr>
          </w:p>
        </w:tc>
      </w:tr>
      <w:tr>
        <w:trPr>
          <w:trHeight w:val="199"/>
        </w:trPr>
        <w:tc>
          <w:tcPr>
            <w:tcW w:w="5688" w:type="dxa"/>
          </w:tcPr>
          <w:p>
            <w:pPr>
              <w:pStyle w:val="GesAbsatz"/>
              <w:ind w:left="426" w:hanging="426"/>
              <w:rPr>
                <w:rFonts w:cs="Arial"/>
                <w:sz w:val="18"/>
                <w:szCs w:val="18"/>
              </w:rPr>
            </w:pPr>
            <w:r>
              <w:rPr>
                <w:rFonts w:cs="Arial"/>
                <w:sz w:val="18"/>
                <w:szCs w:val="18"/>
              </w:rPr>
              <w:t>g)</w:t>
            </w:r>
            <w:r>
              <w:rPr>
                <w:rFonts w:cs="Arial"/>
                <w:sz w:val="18"/>
                <w:szCs w:val="18"/>
              </w:rPr>
              <w:tab/>
              <w:t>Flüge, die ausschließlich der wissenschaftlichen Forschung oder der Kontrolle, Erprobung oder Zulassung von Luftfahrzeugen oder Ausrüstung, unabhängig davon, ob es sich um Bord- oder Bodenausrüstung handelt, dienen;</w:t>
            </w:r>
          </w:p>
        </w:tc>
        <w:tc>
          <w:tcPr>
            <w:tcW w:w="3918" w:type="dxa"/>
          </w:tcPr>
          <w:p>
            <w:pPr>
              <w:pStyle w:val="GesAbsatz"/>
              <w:rPr>
                <w:rFonts w:cs="Arial"/>
                <w:sz w:val="18"/>
                <w:szCs w:val="18"/>
              </w:rPr>
            </w:pPr>
          </w:p>
        </w:tc>
      </w:tr>
      <w:tr>
        <w:trPr>
          <w:trHeight w:val="199"/>
        </w:trPr>
        <w:tc>
          <w:tcPr>
            <w:tcW w:w="5688" w:type="dxa"/>
          </w:tcPr>
          <w:p>
            <w:pPr>
              <w:pStyle w:val="GesAbsatz"/>
              <w:ind w:left="426" w:hanging="426"/>
              <w:rPr>
                <w:rFonts w:cs="Arial"/>
                <w:sz w:val="18"/>
                <w:szCs w:val="18"/>
              </w:rPr>
            </w:pPr>
            <w:r>
              <w:rPr>
                <w:rFonts w:cs="Arial"/>
                <w:sz w:val="18"/>
                <w:szCs w:val="18"/>
              </w:rPr>
              <w:t>h)</w:t>
            </w:r>
            <w:r>
              <w:rPr>
                <w:rFonts w:cs="Arial"/>
                <w:sz w:val="18"/>
                <w:szCs w:val="18"/>
              </w:rPr>
              <w:tab/>
              <w:t>Flüge von Luftfahrzeugen mit einer höchstzulässigen Startmasse von weniger als 5 700 kg;</w:t>
            </w:r>
          </w:p>
        </w:tc>
        <w:tc>
          <w:tcPr>
            <w:tcW w:w="3918" w:type="dxa"/>
          </w:tcPr>
          <w:p>
            <w:pPr>
              <w:pStyle w:val="GesAbsatz"/>
              <w:rPr>
                <w:rFonts w:cs="Arial"/>
                <w:sz w:val="18"/>
                <w:szCs w:val="18"/>
              </w:rPr>
            </w:pPr>
          </w:p>
        </w:tc>
      </w:tr>
      <w:tr>
        <w:trPr>
          <w:trHeight w:val="199"/>
        </w:trPr>
        <w:tc>
          <w:tcPr>
            <w:tcW w:w="5688" w:type="dxa"/>
          </w:tcPr>
          <w:p>
            <w:pPr>
              <w:pStyle w:val="GesAbsatz"/>
              <w:ind w:left="426" w:hanging="426"/>
              <w:rPr>
                <w:rFonts w:cs="Arial"/>
                <w:sz w:val="18"/>
                <w:szCs w:val="18"/>
              </w:rPr>
            </w:pPr>
            <w:r>
              <w:rPr>
                <w:rFonts w:cs="Arial"/>
                <w:sz w:val="18"/>
                <w:szCs w:val="18"/>
              </w:rPr>
              <w:t>i)</w:t>
            </w:r>
            <w:r>
              <w:rPr>
                <w:rFonts w:cs="Arial"/>
                <w:sz w:val="18"/>
                <w:szCs w:val="18"/>
              </w:rPr>
              <w:tab/>
              <w:t xml:space="preserve">Flüge im Rahmen von gemeinwirtschaftlichen Verpflichtungen nach Maßgabe der Verordnung (EWG) Nr. 2408/92 auf Routen </w:t>
            </w:r>
            <w:r>
              <w:rPr>
                <w:rFonts w:cs="Arial"/>
                <w:sz w:val="18"/>
                <w:szCs w:val="18"/>
              </w:rPr>
              <w:lastRenderedPageBreak/>
              <w:t>innerhalb von Gebieten in äußerster Randlage im Sinne von Artikel 299 Absatz 2 des Vertrags oder auf Routen mit einer angebotenen Kapazität von höchstens 50 000 Sitzplätzen pro Jahr;</w:t>
            </w:r>
          </w:p>
        </w:tc>
        <w:tc>
          <w:tcPr>
            <w:tcW w:w="3918" w:type="dxa"/>
          </w:tcPr>
          <w:p>
            <w:pPr>
              <w:pStyle w:val="GesAbsatz"/>
              <w:rPr>
                <w:rFonts w:cs="Arial"/>
                <w:sz w:val="18"/>
                <w:szCs w:val="18"/>
              </w:rPr>
            </w:pPr>
          </w:p>
        </w:tc>
      </w:tr>
      <w:tr>
        <w:trPr>
          <w:trHeight w:val="199"/>
        </w:trPr>
        <w:tc>
          <w:tcPr>
            <w:tcW w:w="5688" w:type="dxa"/>
          </w:tcPr>
          <w:p>
            <w:pPr>
              <w:pStyle w:val="GesAbsatz"/>
              <w:ind w:left="426" w:hanging="426"/>
              <w:rPr>
                <w:rFonts w:cs="Arial"/>
                <w:sz w:val="18"/>
                <w:szCs w:val="18"/>
              </w:rPr>
            </w:pPr>
            <w:r>
              <w:rPr>
                <w:rFonts w:cs="Arial"/>
                <w:sz w:val="18"/>
                <w:szCs w:val="18"/>
              </w:rPr>
              <w:t>j)</w:t>
            </w:r>
            <w:r>
              <w:rPr>
                <w:rFonts w:cs="Arial"/>
                <w:sz w:val="18"/>
                <w:szCs w:val="18"/>
              </w:rPr>
              <w:tab/>
              <w:t>Flüge, die abgesehen von diesem Buchstaben unter diese Tätigkeit fallen würden und von einem gewerblichen Luftverkehrsbetreiberdurchgeführt werden, sofern dieser Betreiber entweder</w:t>
            </w:r>
          </w:p>
        </w:tc>
        <w:tc>
          <w:tcPr>
            <w:tcW w:w="3918" w:type="dxa"/>
          </w:tcPr>
          <w:p>
            <w:pPr>
              <w:pStyle w:val="GesAbsatz"/>
              <w:rPr>
                <w:rFonts w:cs="Arial"/>
                <w:sz w:val="18"/>
                <w:szCs w:val="18"/>
              </w:rPr>
            </w:pPr>
          </w:p>
        </w:tc>
      </w:tr>
      <w:tr>
        <w:trPr>
          <w:trHeight w:val="199"/>
        </w:trPr>
        <w:tc>
          <w:tcPr>
            <w:tcW w:w="5688" w:type="dxa"/>
          </w:tcPr>
          <w:p>
            <w:pPr>
              <w:pStyle w:val="GesAbsatz"/>
              <w:ind w:left="709" w:hanging="283"/>
              <w:rPr>
                <w:rFonts w:cs="Arial"/>
                <w:sz w:val="18"/>
                <w:szCs w:val="18"/>
              </w:rPr>
            </w:pPr>
            <w:r>
              <w:rPr>
                <w:rFonts w:cs="Arial"/>
                <w:sz w:val="18"/>
                <w:szCs w:val="18"/>
              </w:rPr>
              <w:t>-</w:t>
            </w:r>
            <w:r>
              <w:rPr>
                <w:rFonts w:cs="Arial"/>
                <w:sz w:val="18"/>
                <w:szCs w:val="18"/>
              </w:rPr>
              <w:tab/>
              <w:t>weniger als 243 Flüge in jedem von drei aufeinander folgenden Viermonatszeiträumen durchführt oder</w:t>
            </w:r>
          </w:p>
        </w:tc>
        <w:tc>
          <w:tcPr>
            <w:tcW w:w="3918" w:type="dxa"/>
          </w:tcPr>
          <w:p>
            <w:pPr>
              <w:pStyle w:val="GesAbsatz"/>
              <w:rPr>
                <w:rFonts w:cs="Arial"/>
                <w:sz w:val="18"/>
                <w:szCs w:val="18"/>
              </w:rPr>
            </w:pPr>
          </w:p>
        </w:tc>
      </w:tr>
      <w:tr>
        <w:trPr>
          <w:trHeight w:val="199"/>
        </w:trPr>
        <w:tc>
          <w:tcPr>
            <w:tcW w:w="5688" w:type="dxa"/>
          </w:tcPr>
          <w:p>
            <w:pPr>
              <w:pStyle w:val="GesAbsatz"/>
              <w:ind w:left="709" w:hanging="283"/>
              <w:rPr>
                <w:rFonts w:cs="Arial"/>
                <w:sz w:val="18"/>
                <w:szCs w:val="18"/>
              </w:rPr>
            </w:pPr>
            <w:r>
              <w:rPr>
                <w:rFonts w:cs="Arial"/>
                <w:sz w:val="18"/>
                <w:szCs w:val="18"/>
              </w:rPr>
              <w:t>-</w:t>
            </w:r>
            <w:r>
              <w:rPr>
                <w:rFonts w:cs="Arial"/>
                <w:sz w:val="18"/>
                <w:szCs w:val="18"/>
              </w:rPr>
              <w:tab/>
              <w:t>die jährlichen Gesamtemissionen der Flüge dieses Betreibers weniger als 10 000 Tonnen betragen.</w:t>
            </w:r>
          </w:p>
          <w:p>
            <w:pPr>
              <w:pStyle w:val="GesAbsatz"/>
              <w:tabs>
                <w:tab w:val="clear" w:pos="425"/>
              </w:tabs>
              <w:ind w:left="436" w:hanging="10"/>
              <w:rPr>
                <w:rFonts w:cs="Arial"/>
                <w:sz w:val="18"/>
                <w:szCs w:val="18"/>
              </w:rPr>
            </w:pPr>
            <w:r>
              <w:rPr>
                <w:rFonts w:cs="Arial"/>
                <w:sz w:val="18"/>
                <w:szCs w:val="18"/>
              </w:rPr>
              <w:t>Flüge, die unter den Buchstaben l und m genannt sind oder die ausschließlich zur Beförderung in Ausübung ihres Amtes von regierenden Monarchen und ihren unmittelbaren Familienangehörigen, sowie von Staatschefs, Regierungschefs und zur Regierung gehörenden Ministern eines Mitgliedstaats durchgeführt werden, können von den Vorschriften unter diesem Buchstaben nicht ausgenommen werden.</w:t>
            </w:r>
          </w:p>
        </w:tc>
        <w:tc>
          <w:tcPr>
            <w:tcW w:w="3918" w:type="dxa"/>
          </w:tcPr>
          <w:p>
            <w:pPr>
              <w:pStyle w:val="GesAbsatz"/>
              <w:rPr>
                <w:rFonts w:cs="Arial"/>
                <w:sz w:val="18"/>
                <w:szCs w:val="18"/>
              </w:rPr>
            </w:pPr>
          </w:p>
        </w:tc>
      </w:tr>
      <w:tr>
        <w:trPr>
          <w:trHeight w:val="199"/>
        </w:trPr>
        <w:tc>
          <w:tcPr>
            <w:tcW w:w="5688" w:type="dxa"/>
          </w:tcPr>
          <w:p>
            <w:pPr>
              <w:pStyle w:val="GesAbsatz"/>
              <w:ind w:left="426" w:hanging="426"/>
              <w:rPr>
                <w:rFonts w:cs="Arial"/>
                <w:sz w:val="18"/>
                <w:szCs w:val="18"/>
              </w:rPr>
            </w:pPr>
            <w:r>
              <w:rPr>
                <w:rFonts w:cs="Arial"/>
                <w:sz w:val="18"/>
                <w:szCs w:val="18"/>
              </w:rPr>
              <w:t>k)</w:t>
            </w:r>
            <w:r>
              <w:rPr>
                <w:rFonts w:cs="Arial"/>
                <w:sz w:val="18"/>
                <w:szCs w:val="18"/>
              </w:rPr>
              <w:tab/>
            </w:r>
            <w:r>
              <w:rPr>
                <w:rFonts w:cs="Arial"/>
                <w:sz w:val="18"/>
                <w:szCs w:val="18"/>
              </w:rPr>
              <w:tab/>
              <w:t>vom 1. Januar 2013 bis zum 31. Dezember 2030 Flüge, die abgesehen von diesem Buchstaben unter diese Tätigkeit fallen würden und von einem nichtgewerblichen Luftfahrzeugbetreiber durchgeführt werden, dessen Flüge jährliche Gesamtemissionen von weniger als 1 000 Tonnen aufweisen (einschließlich Emissionen aus unter den Buchstaben l und m genannten Flügen);</w:t>
            </w:r>
          </w:p>
          <w:p>
            <w:pPr>
              <w:pStyle w:val="GesAbsatz"/>
              <w:ind w:left="426" w:hanging="426"/>
              <w:rPr>
                <w:rFonts w:cs="Arial"/>
                <w:sz w:val="18"/>
                <w:szCs w:val="18"/>
              </w:rPr>
            </w:pPr>
            <w:r>
              <w:rPr>
                <w:rFonts w:cs="Arial"/>
                <w:sz w:val="18"/>
                <w:szCs w:val="18"/>
              </w:rPr>
              <w:t>l)</w:t>
            </w:r>
            <w:r>
              <w:rPr>
                <w:rFonts w:cs="Arial"/>
                <w:sz w:val="18"/>
                <w:szCs w:val="18"/>
              </w:rPr>
              <w:tab/>
              <w:t>Flüge, die von Flugplätzen in der Schweiz abgehen und auf Flugplätzen im EWR enden.</w:t>
            </w:r>
          </w:p>
          <w:p>
            <w:pPr>
              <w:pStyle w:val="GesAbsatz"/>
              <w:ind w:left="426" w:hanging="426"/>
              <w:rPr>
                <w:rFonts w:cs="Arial"/>
                <w:sz w:val="18"/>
                <w:szCs w:val="18"/>
              </w:rPr>
            </w:pPr>
            <w:r>
              <w:rPr>
                <w:rFonts w:cs="Arial"/>
                <w:sz w:val="18"/>
                <w:szCs w:val="18"/>
              </w:rPr>
              <w:t>m)</w:t>
            </w:r>
            <w:r>
              <w:rPr>
                <w:rFonts w:cs="Arial"/>
                <w:sz w:val="18"/>
                <w:szCs w:val="18"/>
              </w:rPr>
              <w:tab/>
              <w:t>Flüge, die von Flugplätzen im Vereinigten Königreich abgehen und auf Flugplätzen im EWR enden.</w:t>
            </w:r>
          </w:p>
        </w:tc>
        <w:tc>
          <w:tcPr>
            <w:tcW w:w="3918" w:type="dxa"/>
          </w:tcPr>
          <w:p>
            <w:pPr>
              <w:pStyle w:val="GesAbsatz"/>
              <w:rPr>
                <w:rFonts w:cs="Arial"/>
                <w:sz w:val="18"/>
                <w:szCs w:val="18"/>
              </w:rPr>
            </w:pPr>
          </w:p>
        </w:tc>
      </w:tr>
    </w:tbl>
    <w:p>
      <w:pPr>
        <w:pStyle w:val="GesAbsatz"/>
        <w:rPr>
          <w:rFonts w:cs="Arial"/>
          <w:szCs w:val="17"/>
        </w:rPr>
      </w:pPr>
    </w:p>
    <w:p>
      <w:pPr>
        <w:pStyle w:val="berschrift2"/>
        <w:jc w:val="left"/>
      </w:pPr>
      <w:bookmarkStart w:id="69" w:name="_Toc146879948"/>
      <w:r>
        <w:t>ANHANG II</w:t>
      </w:r>
      <w:r>
        <w:br/>
        <w:t>TREIBHAUSGASE GEMÄSS DEN ARTIKELN 3 UND 30</w:t>
      </w:r>
      <w:bookmarkEnd w:id="69"/>
    </w:p>
    <w:p>
      <w:pPr>
        <w:pStyle w:val="GesAbsatz"/>
        <w:rPr>
          <w:rFonts w:cs="Arial"/>
          <w:szCs w:val="17"/>
          <w:lang w:val="en-GB"/>
        </w:rPr>
      </w:pPr>
      <w:r>
        <w:rPr>
          <w:rFonts w:cs="Arial"/>
          <w:szCs w:val="17"/>
          <w:lang w:val="en-GB"/>
        </w:rPr>
        <w:t>Kohlendioxid (CO</w:t>
      </w:r>
      <w:r>
        <w:rPr>
          <w:rFonts w:cs="Arial"/>
          <w:szCs w:val="10"/>
          <w:vertAlign w:val="subscript"/>
          <w:lang w:val="en-GB"/>
        </w:rPr>
        <w:t>2</w:t>
      </w:r>
      <w:r>
        <w:rPr>
          <w:rFonts w:cs="Arial"/>
          <w:szCs w:val="17"/>
          <w:lang w:val="en-GB"/>
        </w:rPr>
        <w:t>)</w:t>
      </w:r>
    </w:p>
    <w:p>
      <w:pPr>
        <w:pStyle w:val="GesAbsatz"/>
        <w:rPr>
          <w:rFonts w:cs="Arial"/>
          <w:szCs w:val="17"/>
          <w:lang w:val="en-GB"/>
        </w:rPr>
      </w:pPr>
      <w:r>
        <w:rPr>
          <w:rFonts w:cs="Arial"/>
          <w:szCs w:val="17"/>
          <w:lang w:val="en-GB"/>
        </w:rPr>
        <w:t>Methan (CH</w:t>
      </w:r>
      <w:r>
        <w:rPr>
          <w:rFonts w:cs="Arial"/>
          <w:szCs w:val="10"/>
          <w:vertAlign w:val="subscript"/>
          <w:lang w:val="en-GB"/>
        </w:rPr>
        <w:t>4</w:t>
      </w:r>
      <w:r>
        <w:rPr>
          <w:rFonts w:cs="Arial"/>
          <w:szCs w:val="17"/>
          <w:lang w:val="en-GB"/>
        </w:rPr>
        <w:t>)</w:t>
      </w:r>
    </w:p>
    <w:p>
      <w:pPr>
        <w:pStyle w:val="GesAbsatz"/>
        <w:rPr>
          <w:rFonts w:cs="Arial"/>
          <w:szCs w:val="17"/>
          <w:lang w:val="en-GB"/>
        </w:rPr>
      </w:pPr>
      <w:r>
        <w:rPr>
          <w:rFonts w:cs="Arial"/>
          <w:szCs w:val="17"/>
          <w:lang w:val="en-GB"/>
        </w:rPr>
        <w:t>Distickstoffoxid (N</w:t>
      </w:r>
      <w:r>
        <w:rPr>
          <w:rFonts w:cs="Arial"/>
          <w:szCs w:val="10"/>
          <w:vertAlign w:val="subscript"/>
          <w:lang w:val="en-GB"/>
        </w:rPr>
        <w:t>2</w:t>
      </w:r>
      <w:r>
        <w:rPr>
          <w:rFonts w:cs="Arial"/>
          <w:szCs w:val="17"/>
          <w:lang w:val="en-GB"/>
        </w:rPr>
        <w:t>O)</w:t>
      </w:r>
    </w:p>
    <w:p>
      <w:pPr>
        <w:pStyle w:val="GesAbsatz"/>
        <w:rPr>
          <w:rFonts w:cs="Arial"/>
          <w:szCs w:val="17"/>
        </w:rPr>
      </w:pPr>
      <w:r>
        <w:rPr>
          <w:rFonts w:cs="Arial"/>
          <w:szCs w:val="17"/>
        </w:rPr>
        <w:t>Fluorkohlenwasserstoffe (FKW)</w:t>
      </w:r>
    </w:p>
    <w:p>
      <w:pPr>
        <w:pStyle w:val="GesAbsatz"/>
        <w:rPr>
          <w:rFonts w:cs="Arial"/>
          <w:szCs w:val="17"/>
        </w:rPr>
      </w:pPr>
      <w:r>
        <w:rPr>
          <w:rFonts w:cs="Arial"/>
          <w:szCs w:val="17"/>
        </w:rPr>
        <w:t>Perfluorierte Kohlenwasserstoffe</w:t>
      </w:r>
    </w:p>
    <w:p>
      <w:pPr>
        <w:pStyle w:val="GesAbsatz"/>
        <w:rPr>
          <w:rFonts w:cs="Arial"/>
          <w:szCs w:val="17"/>
        </w:rPr>
      </w:pPr>
      <w:r>
        <w:rPr>
          <w:rFonts w:cs="Arial"/>
          <w:szCs w:val="17"/>
        </w:rPr>
        <w:t>Schwefelhexafluorid (SF</w:t>
      </w:r>
      <w:r>
        <w:rPr>
          <w:rFonts w:cs="Arial"/>
          <w:szCs w:val="10"/>
          <w:vertAlign w:val="subscript"/>
        </w:rPr>
        <w:t>6</w:t>
      </w:r>
      <w:r>
        <w:rPr>
          <w:rFonts w:cs="Arial"/>
          <w:szCs w:val="17"/>
        </w:rPr>
        <w:t>)</w:t>
      </w:r>
    </w:p>
    <w:p>
      <w:pPr>
        <w:pStyle w:val="berschrift2"/>
        <w:spacing w:after="0"/>
        <w:jc w:val="left"/>
      </w:pPr>
      <w:bookmarkStart w:id="70" w:name="_Toc146879949"/>
      <w:r>
        <w:t>ANHANG IIa</w:t>
      </w:r>
      <w:r>
        <w:br/>
        <w:t>Erhöhung des Prozentsatzes</w:t>
      </w:r>
      <w:bookmarkEnd w:id="70"/>
      <w:r>
        <w:t xml:space="preserve"> </w:t>
      </w:r>
    </w:p>
    <w:p>
      <w:pPr>
        <w:pStyle w:val="GesAbsatz"/>
        <w:spacing w:before="0"/>
        <w:rPr>
          <w:rFonts w:cs="Arial"/>
          <w:b/>
          <w:sz w:val="24"/>
          <w:szCs w:val="24"/>
        </w:rPr>
      </w:pPr>
      <w:r>
        <w:rPr>
          <w:rFonts w:cs="Arial"/>
          <w:b/>
          <w:sz w:val="24"/>
          <w:szCs w:val="24"/>
        </w:rPr>
        <w:t>der von den Mitgliedstaaten gemäß Artikel 10 Absatz 2 Buchstabe a zu versteigernden Zertifikate zwecks Emissionsminderung und Anpassung an die Folgen des Klimawandels im Interesse der Solidarität und des Wachstums in der Union</w:t>
      </w:r>
    </w:p>
    <w:p>
      <w:pPr>
        <w:pStyle w:val="GesAbsatz"/>
        <w:rPr>
          <w:rFonts w:cs="Arial"/>
          <w:szCs w:val="17"/>
        </w:rPr>
      </w:pPr>
    </w:p>
    <w:p>
      <w:pPr>
        <w:pStyle w:val="GesAbsatz"/>
        <w:ind w:left="3402"/>
        <w:rPr>
          <w:rFonts w:cs="Arial"/>
          <w:szCs w:val="17"/>
        </w:rPr>
      </w:pPr>
      <w:r>
        <w:rPr>
          <w:rFonts w:cs="Arial"/>
          <w:szCs w:val="17"/>
        </w:rPr>
        <w:t>Anteil des Mitgliedstaats</w:t>
      </w:r>
    </w:p>
    <w:p>
      <w:pPr>
        <w:pStyle w:val="GesAbsatz"/>
        <w:tabs>
          <w:tab w:val="left" w:pos="3969"/>
          <w:tab w:val="left" w:pos="4253"/>
        </w:tabs>
        <w:rPr>
          <w:rFonts w:cs="Arial"/>
          <w:szCs w:val="17"/>
        </w:rPr>
      </w:pPr>
      <w:r>
        <w:rPr>
          <w:rFonts w:cs="Arial"/>
          <w:szCs w:val="17"/>
        </w:rPr>
        <w:t>Bulgarien</w:t>
      </w:r>
      <w:r>
        <w:rPr>
          <w:rFonts w:cs="Arial"/>
          <w:szCs w:val="17"/>
        </w:rPr>
        <w:tab/>
        <w:t>53%</w:t>
      </w:r>
    </w:p>
    <w:p>
      <w:pPr>
        <w:pStyle w:val="GesAbsatz"/>
        <w:tabs>
          <w:tab w:val="left" w:pos="3969"/>
          <w:tab w:val="left" w:pos="4253"/>
        </w:tabs>
        <w:rPr>
          <w:rFonts w:cs="Arial"/>
          <w:szCs w:val="17"/>
        </w:rPr>
      </w:pPr>
      <w:r>
        <w:rPr>
          <w:rFonts w:cs="Arial"/>
          <w:szCs w:val="17"/>
        </w:rPr>
        <w:t>Tschechische Republik</w:t>
      </w:r>
      <w:r>
        <w:rPr>
          <w:rFonts w:cs="Arial"/>
          <w:szCs w:val="17"/>
        </w:rPr>
        <w:tab/>
        <w:t>31%</w:t>
      </w:r>
    </w:p>
    <w:p>
      <w:pPr>
        <w:pStyle w:val="GesAbsatz"/>
        <w:tabs>
          <w:tab w:val="left" w:pos="3969"/>
          <w:tab w:val="left" w:pos="4253"/>
        </w:tabs>
        <w:rPr>
          <w:rFonts w:cs="Arial"/>
          <w:szCs w:val="17"/>
        </w:rPr>
      </w:pPr>
      <w:r>
        <w:rPr>
          <w:rFonts w:cs="Arial"/>
          <w:szCs w:val="17"/>
        </w:rPr>
        <w:t>Estland</w:t>
      </w:r>
      <w:r>
        <w:rPr>
          <w:rFonts w:cs="Arial"/>
          <w:szCs w:val="17"/>
        </w:rPr>
        <w:tab/>
        <w:t>42%</w:t>
      </w:r>
    </w:p>
    <w:p>
      <w:pPr>
        <w:pStyle w:val="GesAbsatz"/>
        <w:tabs>
          <w:tab w:val="left" w:pos="3969"/>
          <w:tab w:val="left" w:pos="4253"/>
        </w:tabs>
        <w:rPr>
          <w:rFonts w:cs="Arial"/>
          <w:szCs w:val="17"/>
        </w:rPr>
      </w:pPr>
      <w:r>
        <w:rPr>
          <w:rFonts w:cs="Arial"/>
          <w:szCs w:val="17"/>
        </w:rPr>
        <w:t>Griechenland</w:t>
      </w:r>
      <w:r>
        <w:rPr>
          <w:rFonts w:cs="Arial"/>
          <w:szCs w:val="17"/>
        </w:rPr>
        <w:tab/>
        <w:t>17%</w:t>
      </w:r>
    </w:p>
    <w:p>
      <w:pPr>
        <w:pStyle w:val="GesAbsatz"/>
        <w:tabs>
          <w:tab w:val="left" w:pos="3969"/>
          <w:tab w:val="left" w:pos="4253"/>
        </w:tabs>
        <w:rPr>
          <w:rFonts w:cs="Arial"/>
          <w:szCs w:val="17"/>
        </w:rPr>
      </w:pPr>
      <w:r>
        <w:rPr>
          <w:rFonts w:cs="Arial"/>
          <w:szCs w:val="17"/>
        </w:rPr>
        <w:t>Spanien</w:t>
      </w:r>
      <w:r>
        <w:rPr>
          <w:rFonts w:cs="Arial"/>
          <w:szCs w:val="17"/>
        </w:rPr>
        <w:tab/>
        <w:t>13%</w:t>
      </w:r>
    </w:p>
    <w:p>
      <w:pPr>
        <w:pStyle w:val="GesAbsatz"/>
        <w:tabs>
          <w:tab w:val="left" w:pos="3969"/>
          <w:tab w:val="left" w:pos="4253"/>
        </w:tabs>
        <w:rPr>
          <w:rFonts w:cs="Arial"/>
          <w:szCs w:val="17"/>
        </w:rPr>
      </w:pPr>
      <w:r>
        <w:rPr>
          <w:rFonts w:cs="Arial"/>
          <w:szCs w:val="17"/>
        </w:rPr>
        <w:t>Zypern</w:t>
      </w:r>
      <w:r>
        <w:rPr>
          <w:rFonts w:cs="Arial"/>
          <w:szCs w:val="17"/>
        </w:rPr>
        <w:tab/>
        <w:t>20%</w:t>
      </w:r>
    </w:p>
    <w:p>
      <w:pPr>
        <w:pStyle w:val="GesAbsatz"/>
        <w:tabs>
          <w:tab w:val="left" w:pos="3969"/>
          <w:tab w:val="left" w:pos="4253"/>
        </w:tabs>
        <w:rPr>
          <w:rFonts w:cs="Arial"/>
          <w:szCs w:val="17"/>
        </w:rPr>
      </w:pPr>
      <w:r>
        <w:rPr>
          <w:rFonts w:cs="Arial"/>
          <w:szCs w:val="17"/>
        </w:rPr>
        <w:t>Lettland</w:t>
      </w:r>
      <w:r>
        <w:rPr>
          <w:rFonts w:cs="Arial"/>
          <w:szCs w:val="17"/>
        </w:rPr>
        <w:tab/>
        <w:t>56%</w:t>
      </w:r>
    </w:p>
    <w:p>
      <w:pPr>
        <w:pStyle w:val="GesAbsatz"/>
        <w:tabs>
          <w:tab w:val="left" w:pos="3969"/>
          <w:tab w:val="left" w:pos="4253"/>
        </w:tabs>
        <w:rPr>
          <w:rFonts w:cs="Arial"/>
          <w:szCs w:val="17"/>
        </w:rPr>
      </w:pPr>
      <w:r>
        <w:rPr>
          <w:rFonts w:cs="Arial"/>
          <w:szCs w:val="17"/>
        </w:rPr>
        <w:t>Litauen</w:t>
      </w:r>
      <w:r>
        <w:rPr>
          <w:rFonts w:cs="Arial"/>
          <w:szCs w:val="17"/>
        </w:rPr>
        <w:tab/>
        <w:t>46%</w:t>
      </w:r>
    </w:p>
    <w:p>
      <w:pPr>
        <w:pStyle w:val="GesAbsatz"/>
        <w:tabs>
          <w:tab w:val="left" w:pos="3969"/>
          <w:tab w:val="left" w:pos="4253"/>
        </w:tabs>
        <w:rPr>
          <w:rFonts w:cs="Arial"/>
          <w:szCs w:val="17"/>
        </w:rPr>
      </w:pPr>
      <w:r>
        <w:rPr>
          <w:rFonts w:cs="Arial"/>
          <w:szCs w:val="17"/>
        </w:rPr>
        <w:t>Ungarn</w:t>
      </w:r>
      <w:r>
        <w:rPr>
          <w:rFonts w:cs="Arial"/>
          <w:szCs w:val="17"/>
        </w:rPr>
        <w:tab/>
        <w:t>28%</w:t>
      </w:r>
    </w:p>
    <w:p>
      <w:pPr>
        <w:pStyle w:val="GesAbsatz"/>
        <w:tabs>
          <w:tab w:val="left" w:pos="3969"/>
          <w:tab w:val="left" w:pos="4253"/>
        </w:tabs>
        <w:rPr>
          <w:rFonts w:cs="Arial"/>
          <w:szCs w:val="17"/>
        </w:rPr>
      </w:pPr>
      <w:r>
        <w:rPr>
          <w:rFonts w:cs="Arial"/>
          <w:szCs w:val="17"/>
        </w:rPr>
        <w:lastRenderedPageBreak/>
        <w:t>Malta</w:t>
      </w:r>
      <w:r>
        <w:rPr>
          <w:rFonts w:cs="Arial"/>
          <w:szCs w:val="17"/>
        </w:rPr>
        <w:tab/>
        <w:t>23%</w:t>
      </w:r>
    </w:p>
    <w:p>
      <w:pPr>
        <w:pStyle w:val="GesAbsatz"/>
        <w:tabs>
          <w:tab w:val="left" w:pos="3969"/>
          <w:tab w:val="left" w:pos="4253"/>
        </w:tabs>
        <w:rPr>
          <w:rFonts w:cs="Arial"/>
          <w:szCs w:val="17"/>
        </w:rPr>
      </w:pPr>
      <w:r>
        <w:rPr>
          <w:rFonts w:cs="Arial"/>
          <w:szCs w:val="17"/>
        </w:rPr>
        <w:t>Polen</w:t>
      </w:r>
      <w:r>
        <w:rPr>
          <w:rFonts w:cs="Arial"/>
          <w:szCs w:val="17"/>
        </w:rPr>
        <w:tab/>
        <w:t>39%</w:t>
      </w:r>
    </w:p>
    <w:p>
      <w:pPr>
        <w:pStyle w:val="GesAbsatz"/>
        <w:tabs>
          <w:tab w:val="left" w:pos="3969"/>
          <w:tab w:val="left" w:pos="4253"/>
        </w:tabs>
        <w:rPr>
          <w:rFonts w:cs="Arial"/>
          <w:szCs w:val="17"/>
        </w:rPr>
      </w:pPr>
      <w:r>
        <w:rPr>
          <w:rFonts w:cs="Arial"/>
          <w:szCs w:val="17"/>
        </w:rPr>
        <w:t>Portugal</w:t>
      </w:r>
      <w:r>
        <w:rPr>
          <w:rFonts w:cs="Arial"/>
          <w:szCs w:val="17"/>
        </w:rPr>
        <w:tab/>
        <w:t>16%</w:t>
      </w:r>
    </w:p>
    <w:p>
      <w:pPr>
        <w:pStyle w:val="GesAbsatz"/>
        <w:tabs>
          <w:tab w:val="left" w:pos="3969"/>
          <w:tab w:val="left" w:pos="4253"/>
        </w:tabs>
        <w:rPr>
          <w:rFonts w:cs="Arial"/>
          <w:szCs w:val="17"/>
        </w:rPr>
      </w:pPr>
      <w:r>
        <w:rPr>
          <w:rFonts w:cs="Arial"/>
          <w:szCs w:val="17"/>
        </w:rPr>
        <w:t>Rumänien</w:t>
      </w:r>
      <w:r>
        <w:rPr>
          <w:rFonts w:cs="Arial"/>
          <w:szCs w:val="17"/>
        </w:rPr>
        <w:tab/>
        <w:t>53%</w:t>
      </w:r>
    </w:p>
    <w:p>
      <w:pPr>
        <w:pStyle w:val="GesAbsatz"/>
        <w:tabs>
          <w:tab w:val="left" w:pos="3969"/>
          <w:tab w:val="left" w:pos="4253"/>
        </w:tabs>
        <w:rPr>
          <w:rFonts w:cs="Arial"/>
          <w:szCs w:val="17"/>
        </w:rPr>
      </w:pPr>
      <w:r>
        <w:rPr>
          <w:rFonts w:cs="Arial"/>
          <w:szCs w:val="17"/>
        </w:rPr>
        <w:t>Slowenien</w:t>
      </w:r>
      <w:r>
        <w:rPr>
          <w:rFonts w:cs="Arial"/>
          <w:szCs w:val="17"/>
        </w:rPr>
        <w:tab/>
        <w:t>20%</w:t>
      </w:r>
    </w:p>
    <w:p>
      <w:pPr>
        <w:pStyle w:val="GesAbsatz"/>
        <w:tabs>
          <w:tab w:val="left" w:pos="3969"/>
          <w:tab w:val="left" w:pos="4253"/>
        </w:tabs>
        <w:rPr>
          <w:rFonts w:cs="Arial"/>
          <w:szCs w:val="17"/>
        </w:rPr>
      </w:pPr>
      <w:r>
        <w:rPr>
          <w:rFonts w:cs="Arial"/>
          <w:szCs w:val="17"/>
        </w:rPr>
        <w:t>Slowakei</w:t>
      </w:r>
      <w:r>
        <w:rPr>
          <w:rFonts w:cs="Arial"/>
          <w:szCs w:val="17"/>
        </w:rPr>
        <w:tab/>
        <w:t>41%</w:t>
      </w:r>
    </w:p>
    <w:p>
      <w:pPr>
        <w:pStyle w:val="berschrift2"/>
        <w:spacing w:after="0"/>
        <w:jc w:val="left"/>
      </w:pPr>
      <w:bookmarkStart w:id="71" w:name="_Toc146879950"/>
      <w:r>
        <w:t>ANHANG IIb</w:t>
      </w:r>
      <w:r>
        <w:br/>
        <w:t>AUFTEILUNG DER MITTEL</w:t>
      </w:r>
      <w:bookmarkEnd w:id="71"/>
      <w:r>
        <w:t xml:space="preserve"> </w:t>
      </w:r>
    </w:p>
    <w:p>
      <w:pPr>
        <w:pStyle w:val="GesAbsatz"/>
        <w:tabs>
          <w:tab w:val="left" w:pos="3969"/>
          <w:tab w:val="left" w:pos="4253"/>
        </w:tabs>
        <w:spacing w:before="0"/>
        <w:rPr>
          <w:rFonts w:cs="Arial"/>
          <w:b/>
          <w:sz w:val="24"/>
          <w:szCs w:val="24"/>
        </w:rPr>
      </w:pPr>
      <w:r>
        <w:rPr>
          <w:rFonts w:cs="Arial"/>
          <w:b/>
          <w:sz w:val="24"/>
          <w:szCs w:val="24"/>
        </w:rPr>
        <w:t>AUS DEM MODERNISIERUNGSFONDS BIS 31. DEZEMBER 2030</w:t>
      </w:r>
    </w:p>
    <w:p/>
    <w:tbl>
      <w:tblPr>
        <w:tblW w:w="0" w:type="auto"/>
        <w:tblBorders>
          <w:top w:val="single" w:sz="4" w:space="0" w:color="auto"/>
          <w:bottom w:val="single" w:sz="4" w:space="0" w:color="auto"/>
          <w:insideH w:val="single" w:sz="6" w:space="0" w:color="auto"/>
          <w:insideV w:val="single" w:sz="6" w:space="0" w:color="auto"/>
        </w:tblBorders>
        <w:tblLayout w:type="fixed"/>
        <w:tblLook w:val="0000" w:firstRow="0" w:lastRow="0" w:firstColumn="0" w:lastColumn="0" w:noHBand="0" w:noVBand="0"/>
      </w:tblPr>
      <w:tblGrid>
        <w:gridCol w:w="3352"/>
        <w:gridCol w:w="4553"/>
      </w:tblGrid>
      <w:tr>
        <w:trPr>
          <w:trHeight w:val="103"/>
        </w:trPr>
        <w:tc>
          <w:tcPr>
            <w:tcW w:w="3352" w:type="dxa"/>
            <w:tcBorders>
              <w:top w:val="single" w:sz="6" w:space="0" w:color="auto"/>
              <w:bottom w:val="single" w:sz="6" w:space="0" w:color="auto"/>
              <w:right w:val="single" w:sz="6" w:space="0" w:color="auto"/>
            </w:tcBorders>
          </w:tcPr>
          <w:p>
            <w:pPr>
              <w:pStyle w:val="GesAbsatz"/>
            </w:pPr>
          </w:p>
        </w:tc>
        <w:tc>
          <w:tcPr>
            <w:tcW w:w="4553" w:type="dxa"/>
            <w:tcBorders>
              <w:top w:val="single" w:sz="6" w:space="0" w:color="auto"/>
              <w:left w:val="single" w:sz="6" w:space="0" w:color="auto"/>
              <w:bottom w:val="single" w:sz="6" w:space="0" w:color="auto"/>
            </w:tcBorders>
          </w:tcPr>
          <w:p>
            <w:pPr>
              <w:pStyle w:val="GesAbsatz"/>
            </w:pPr>
            <w:r>
              <w:t>Anteil am Modernisierungsfonds</w:t>
            </w:r>
          </w:p>
        </w:tc>
      </w:tr>
      <w:tr>
        <w:trPr>
          <w:trHeight w:val="103"/>
        </w:trPr>
        <w:tc>
          <w:tcPr>
            <w:tcW w:w="3352" w:type="dxa"/>
            <w:tcBorders>
              <w:top w:val="single" w:sz="6" w:space="0" w:color="auto"/>
              <w:bottom w:val="single" w:sz="6" w:space="0" w:color="auto"/>
              <w:right w:val="single" w:sz="6" w:space="0" w:color="auto"/>
            </w:tcBorders>
          </w:tcPr>
          <w:p>
            <w:pPr>
              <w:pStyle w:val="GesAbsatz"/>
              <w:rPr>
                <w:rFonts w:eastAsia="PMingLiU"/>
              </w:rPr>
            </w:pPr>
            <w:r>
              <w:t>Bulgarien</w:t>
            </w:r>
          </w:p>
        </w:tc>
        <w:tc>
          <w:tcPr>
            <w:tcW w:w="4553" w:type="dxa"/>
            <w:tcBorders>
              <w:top w:val="single" w:sz="6" w:space="0" w:color="auto"/>
              <w:left w:val="single" w:sz="6" w:space="0" w:color="auto"/>
              <w:bottom w:val="single" w:sz="6" w:space="0" w:color="auto"/>
            </w:tcBorders>
          </w:tcPr>
          <w:p>
            <w:pPr>
              <w:pStyle w:val="GesAbsatz"/>
              <w:rPr>
                <w:rFonts w:eastAsia="PMingLiU"/>
              </w:rPr>
            </w:pPr>
            <w:r>
              <w:t>5,84 %</w:t>
            </w:r>
          </w:p>
        </w:tc>
      </w:tr>
      <w:tr>
        <w:trPr>
          <w:trHeight w:val="103"/>
        </w:trPr>
        <w:tc>
          <w:tcPr>
            <w:tcW w:w="3352" w:type="dxa"/>
            <w:tcBorders>
              <w:top w:val="single" w:sz="6" w:space="0" w:color="auto"/>
              <w:bottom w:val="single" w:sz="6" w:space="0" w:color="auto"/>
              <w:right w:val="single" w:sz="6" w:space="0" w:color="auto"/>
            </w:tcBorders>
          </w:tcPr>
          <w:p>
            <w:pPr>
              <w:pStyle w:val="GesAbsatz"/>
              <w:rPr>
                <w:rFonts w:eastAsia="PMingLiU"/>
              </w:rPr>
            </w:pPr>
            <w:r>
              <w:t>Tschechische Republik</w:t>
            </w:r>
          </w:p>
        </w:tc>
        <w:tc>
          <w:tcPr>
            <w:tcW w:w="4553" w:type="dxa"/>
            <w:tcBorders>
              <w:top w:val="single" w:sz="6" w:space="0" w:color="auto"/>
              <w:left w:val="single" w:sz="6" w:space="0" w:color="auto"/>
              <w:bottom w:val="single" w:sz="6" w:space="0" w:color="auto"/>
            </w:tcBorders>
          </w:tcPr>
          <w:p>
            <w:pPr>
              <w:pStyle w:val="GesAbsatz"/>
              <w:rPr>
                <w:rFonts w:eastAsia="PMingLiU"/>
              </w:rPr>
            </w:pPr>
            <w:r>
              <w:t>15,59 %</w:t>
            </w:r>
          </w:p>
        </w:tc>
      </w:tr>
      <w:tr>
        <w:trPr>
          <w:trHeight w:val="103"/>
        </w:trPr>
        <w:tc>
          <w:tcPr>
            <w:tcW w:w="3352" w:type="dxa"/>
            <w:tcBorders>
              <w:top w:val="single" w:sz="6" w:space="0" w:color="auto"/>
              <w:bottom w:val="single" w:sz="6" w:space="0" w:color="auto"/>
              <w:right w:val="single" w:sz="6" w:space="0" w:color="auto"/>
            </w:tcBorders>
          </w:tcPr>
          <w:p>
            <w:pPr>
              <w:pStyle w:val="GesAbsatz"/>
              <w:rPr>
                <w:rFonts w:eastAsia="PMingLiU"/>
              </w:rPr>
            </w:pPr>
            <w:r>
              <w:t>Estland</w:t>
            </w:r>
          </w:p>
        </w:tc>
        <w:tc>
          <w:tcPr>
            <w:tcW w:w="4553" w:type="dxa"/>
            <w:tcBorders>
              <w:top w:val="single" w:sz="6" w:space="0" w:color="auto"/>
              <w:left w:val="single" w:sz="6" w:space="0" w:color="auto"/>
              <w:bottom w:val="single" w:sz="6" w:space="0" w:color="auto"/>
            </w:tcBorders>
          </w:tcPr>
          <w:p>
            <w:pPr>
              <w:pStyle w:val="GesAbsatz"/>
              <w:rPr>
                <w:rFonts w:eastAsia="PMingLiU"/>
              </w:rPr>
            </w:pPr>
            <w:r>
              <w:t>2,78 %</w:t>
            </w:r>
          </w:p>
        </w:tc>
      </w:tr>
      <w:tr>
        <w:trPr>
          <w:trHeight w:val="103"/>
        </w:trPr>
        <w:tc>
          <w:tcPr>
            <w:tcW w:w="3352" w:type="dxa"/>
            <w:tcBorders>
              <w:top w:val="single" w:sz="6" w:space="0" w:color="auto"/>
              <w:bottom w:val="single" w:sz="6" w:space="0" w:color="auto"/>
              <w:right w:val="single" w:sz="6" w:space="0" w:color="auto"/>
            </w:tcBorders>
          </w:tcPr>
          <w:p>
            <w:pPr>
              <w:pStyle w:val="GesAbsatz"/>
              <w:rPr>
                <w:rFonts w:eastAsia="PMingLiU"/>
              </w:rPr>
            </w:pPr>
            <w:r>
              <w:t>Kroatien</w:t>
            </w:r>
          </w:p>
        </w:tc>
        <w:tc>
          <w:tcPr>
            <w:tcW w:w="4553" w:type="dxa"/>
            <w:tcBorders>
              <w:top w:val="single" w:sz="6" w:space="0" w:color="auto"/>
              <w:left w:val="single" w:sz="6" w:space="0" w:color="auto"/>
              <w:bottom w:val="single" w:sz="6" w:space="0" w:color="auto"/>
            </w:tcBorders>
          </w:tcPr>
          <w:p>
            <w:pPr>
              <w:pStyle w:val="GesAbsatz"/>
              <w:rPr>
                <w:rFonts w:eastAsia="PMingLiU"/>
              </w:rPr>
            </w:pPr>
            <w:r>
              <w:t>3,14 %</w:t>
            </w:r>
          </w:p>
        </w:tc>
      </w:tr>
      <w:tr>
        <w:trPr>
          <w:trHeight w:val="103"/>
        </w:trPr>
        <w:tc>
          <w:tcPr>
            <w:tcW w:w="3352" w:type="dxa"/>
            <w:tcBorders>
              <w:top w:val="single" w:sz="6" w:space="0" w:color="auto"/>
              <w:bottom w:val="single" w:sz="6" w:space="0" w:color="auto"/>
              <w:right w:val="single" w:sz="6" w:space="0" w:color="auto"/>
            </w:tcBorders>
          </w:tcPr>
          <w:p>
            <w:pPr>
              <w:pStyle w:val="GesAbsatz"/>
              <w:rPr>
                <w:rFonts w:eastAsia="PMingLiU"/>
              </w:rPr>
            </w:pPr>
            <w:r>
              <w:t>Lettland</w:t>
            </w:r>
          </w:p>
        </w:tc>
        <w:tc>
          <w:tcPr>
            <w:tcW w:w="4553" w:type="dxa"/>
            <w:tcBorders>
              <w:top w:val="single" w:sz="6" w:space="0" w:color="auto"/>
              <w:left w:val="single" w:sz="6" w:space="0" w:color="auto"/>
              <w:bottom w:val="single" w:sz="6" w:space="0" w:color="auto"/>
            </w:tcBorders>
          </w:tcPr>
          <w:p>
            <w:pPr>
              <w:pStyle w:val="GesAbsatz"/>
              <w:rPr>
                <w:rFonts w:eastAsia="PMingLiU"/>
              </w:rPr>
            </w:pPr>
            <w:r>
              <w:t>1,44 %</w:t>
            </w:r>
          </w:p>
        </w:tc>
      </w:tr>
      <w:tr>
        <w:trPr>
          <w:trHeight w:val="103"/>
        </w:trPr>
        <w:tc>
          <w:tcPr>
            <w:tcW w:w="3352" w:type="dxa"/>
            <w:tcBorders>
              <w:top w:val="single" w:sz="6" w:space="0" w:color="auto"/>
              <w:bottom w:val="single" w:sz="6" w:space="0" w:color="auto"/>
              <w:right w:val="single" w:sz="6" w:space="0" w:color="auto"/>
            </w:tcBorders>
          </w:tcPr>
          <w:p>
            <w:pPr>
              <w:pStyle w:val="GesAbsatz"/>
              <w:rPr>
                <w:rFonts w:eastAsia="PMingLiU"/>
              </w:rPr>
            </w:pPr>
            <w:r>
              <w:t>Litauen</w:t>
            </w:r>
          </w:p>
        </w:tc>
        <w:tc>
          <w:tcPr>
            <w:tcW w:w="4553" w:type="dxa"/>
            <w:tcBorders>
              <w:top w:val="single" w:sz="6" w:space="0" w:color="auto"/>
              <w:left w:val="single" w:sz="6" w:space="0" w:color="auto"/>
              <w:bottom w:val="single" w:sz="6" w:space="0" w:color="auto"/>
            </w:tcBorders>
          </w:tcPr>
          <w:p>
            <w:pPr>
              <w:pStyle w:val="GesAbsatz"/>
              <w:rPr>
                <w:rFonts w:eastAsia="PMingLiU"/>
              </w:rPr>
            </w:pPr>
            <w:r>
              <w:t>2,57 %</w:t>
            </w:r>
          </w:p>
        </w:tc>
      </w:tr>
      <w:tr>
        <w:trPr>
          <w:trHeight w:val="103"/>
        </w:trPr>
        <w:tc>
          <w:tcPr>
            <w:tcW w:w="3352" w:type="dxa"/>
            <w:tcBorders>
              <w:top w:val="single" w:sz="6" w:space="0" w:color="auto"/>
              <w:bottom w:val="single" w:sz="6" w:space="0" w:color="auto"/>
              <w:right w:val="single" w:sz="6" w:space="0" w:color="auto"/>
            </w:tcBorders>
          </w:tcPr>
          <w:p>
            <w:pPr>
              <w:pStyle w:val="GesAbsatz"/>
              <w:rPr>
                <w:rFonts w:eastAsia="PMingLiU"/>
              </w:rPr>
            </w:pPr>
            <w:r>
              <w:t>Ungarn</w:t>
            </w:r>
          </w:p>
        </w:tc>
        <w:tc>
          <w:tcPr>
            <w:tcW w:w="4553" w:type="dxa"/>
            <w:tcBorders>
              <w:top w:val="single" w:sz="6" w:space="0" w:color="auto"/>
              <w:left w:val="single" w:sz="6" w:space="0" w:color="auto"/>
              <w:bottom w:val="single" w:sz="6" w:space="0" w:color="auto"/>
            </w:tcBorders>
          </w:tcPr>
          <w:p>
            <w:pPr>
              <w:pStyle w:val="GesAbsatz"/>
              <w:rPr>
                <w:rFonts w:eastAsia="PMingLiU"/>
              </w:rPr>
            </w:pPr>
            <w:r>
              <w:t>7,12 %</w:t>
            </w:r>
          </w:p>
        </w:tc>
      </w:tr>
      <w:tr>
        <w:trPr>
          <w:trHeight w:val="103"/>
        </w:trPr>
        <w:tc>
          <w:tcPr>
            <w:tcW w:w="3352" w:type="dxa"/>
            <w:tcBorders>
              <w:top w:val="single" w:sz="6" w:space="0" w:color="auto"/>
              <w:bottom w:val="single" w:sz="6" w:space="0" w:color="auto"/>
              <w:right w:val="single" w:sz="6" w:space="0" w:color="auto"/>
            </w:tcBorders>
          </w:tcPr>
          <w:p>
            <w:pPr>
              <w:pStyle w:val="GesAbsatz"/>
              <w:rPr>
                <w:rFonts w:eastAsia="PMingLiU"/>
              </w:rPr>
            </w:pPr>
            <w:r>
              <w:t>Polen</w:t>
            </w:r>
          </w:p>
        </w:tc>
        <w:tc>
          <w:tcPr>
            <w:tcW w:w="4553" w:type="dxa"/>
            <w:tcBorders>
              <w:top w:val="single" w:sz="6" w:space="0" w:color="auto"/>
              <w:left w:val="single" w:sz="6" w:space="0" w:color="auto"/>
              <w:bottom w:val="single" w:sz="6" w:space="0" w:color="auto"/>
            </w:tcBorders>
          </w:tcPr>
          <w:p>
            <w:pPr>
              <w:pStyle w:val="GesAbsatz"/>
              <w:rPr>
                <w:rFonts w:eastAsia="PMingLiU"/>
              </w:rPr>
            </w:pPr>
            <w:r>
              <w:t>43,41 %</w:t>
            </w:r>
          </w:p>
        </w:tc>
      </w:tr>
      <w:tr>
        <w:trPr>
          <w:trHeight w:val="103"/>
        </w:trPr>
        <w:tc>
          <w:tcPr>
            <w:tcW w:w="3352" w:type="dxa"/>
            <w:tcBorders>
              <w:top w:val="single" w:sz="6" w:space="0" w:color="auto"/>
              <w:bottom w:val="single" w:sz="6" w:space="0" w:color="auto"/>
              <w:right w:val="single" w:sz="6" w:space="0" w:color="auto"/>
            </w:tcBorders>
          </w:tcPr>
          <w:p>
            <w:pPr>
              <w:pStyle w:val="GesAbsatz"/>
              <w:rPr>
                <w:rFonts w:eastAsia="PMingLiU"/>
              </w:rPr>
            </w:pPr>
            <w:r>
              <w:t xml:space="preserve">Rumänien </w:t>
            </w:r>
          </w:p>
        </w:tc>
        <w:tc>
          <w:tcPr>
            <w:tcW w:w="4553" w:type="dxa"/>
            <w:tcBorders>
              <w:top w:val="single" w:sz="6" w:space="0" w:color="auto"/>
              <w:left w:val="single" w:sz="6" w:space="0" w:color="auto"/>
              <w:bottom w:val="single" w:sz="6" w:space="0" w:color="auto"/>
            </w:tcBorders>
          </w:tcPr>
          <w:p>
            <w:pPr>
              <w:pStyle w:val="GesAbsatz"/>
              <w:rPr>
                <w:rFonts w:eastAsia="PMingLiU"/>
              </w:rPr>
            </w:pPr>
            <w:r>
              <w:t>11,98 %</w:t>
            </w:r>
          </w:p>
        </w:tc>
      </w:tr>
      <w:tr>
        <w:trPr>
          <w:trHeight w:val="103"/>
        </w:trPr>
        <w:tc>
          <w:tcPr>
            <w:tcW w:w="3352" w:type="dxa"/>
            <w:tcBorders>
              <w:top w:val="single" w:sz="6" w:space="0" w:color="auto"/>
              <w:bottom w:val="single" w:sz="4" w:space="0" w:color="auto"/>
              <w:right w:val="single" w:sz="6" w:space="0" w:color="auto"/>
            </w:tcBorders>
          </w:tcPr>
          <w:p>
            <w:pPr>
              <w:pStyle w:val="GesAbsatz"/>
            </w:pPr>
            <w:r>
              <w:t>Slowakei</w:t>
            </w:r>
          </w:p>
        </w:tc>
        <w:tc>
          <w:tcPr>
            <w:tcW w:w="4553" w:type="dxa"/>
            <w:tcBorders>
              <w:top w:val="single" w:sz="6" w:space="0" w:color="auto"/>
              <w:left w:val="single" w:sz="6" w:space="0" w:color="auto"/>
              <w:bottom w:val="single" w:sz="4" w:space="0" w:color="auto"/>
            </w:tcBorders>
          </w:tcPr>
          <w:p>
            <w:pPr>
              <w:pStyle w:val="GesAbsatz"/>
            </w:pPr>
            <w:r>
              <w:rPr>
                <w:rFonts w:eastAsia="PMingLiU"/>
              </w:rPr>
              <w:t>6,13 %</w:t>
            </w:r>
          </w:p>
        </w:tc>
      </w:tr>
    </w:tbl>
    <w:p/>
    <w:p>
      <w:pPr>
        <w:pStyle w:val="berschrift2"/>
        <w:spacing w:after="0"/>
        <w:jc w:val="left"/>
      </w:pPr>
      <w:bookmarkStart w:id="72" w:name="_Toc146879951"/>
      <w:r>
        <w:t>ANHANG III</w:t>
      </w:r>
      <w:r>
        <w:br/>
        <w:t>KRITERIEN FÜR DIE NATIONALEN ZUTEILUNGSPLÄNE</w:t>
      </w:r>
      <w:bookmarkEnd w:id="72"/>
      <w:r>
        <w:t xml:space="preserve"> </w:t>
      </w:r>
    </w:p>
    <w:p>
      <w:pPr>
        <w:pStyle w:val="GesAbsatz"/>
        <w:tabs>
          <w:tab w:val="left" w:pos="3969"/>
          <w:tab w:val="left" w:pos="4253"/>
        </w:tabs>
        <w:spacing w:before="0"/>
        <w:rPr>
          <w:rFonts w:cs="Arial"/>
          <w:b/>
          <w:sz w:val="24"/>
          <w:szCs w:val="24"/>
        </w:rPr>
      </w:pPr>
      <w:r>
        <w:rPr>
          <w:rFonts w:cs="Arial"/>
          <w:b/>
          <w:sz w:val="24"/>
          <w:szCs w:val="24"/>
        </w:rPr>
        <w:t>GEMÄSS DEN ARTIKELN 9, 22 UND 30</w:t>
      </w:r>
    </w:p>
    <w:p>
      <w:pPr>
        <w:pStyle w:val="GesAbsatz"/>
        <w:ind w:left="426" w:hanging="426"/>
      </w:pPr>
    </w:p>
    <w:p>
      <w:pPr>
        <w:pStyle w:val="GesAbsatz"/>
        <w:ind w:left="426" w:hanging="426"/>
      </w:pPr>
      <w:r>
        <w:t>1.</w:t>
      </w:r>
      <w:r>
        <w:tab/>
        <w:t>Die Gesamtmenge der Zertifikate, die im jeweiligen Zeitraum zugeteilt werden sollen, muss mit der in der Entscheidung 2002/358/EG und im Kyoto-Protokoll enthaltenen Verpflichtung des Mitgliedstaats zur Begrenzung seiner Emissionen in Einklang stehen unter Berücksichtigung des Anteils der Gesamtemissionen, dem diese Zertifikate im Vergleich zu Emissionen aus Quellen entsprechen, die nicht unter diese Richtlinie fallen, sowie der nationalen energiepolitischen Maßnahmen; ferner sollte sie dem nationalen Klimaschutzprogramm entsprechen. Die Gesamtmenge der zuzuteilenden Zertifikate darf nicht höher sein als der wahrscheinliche Bedarf für die strikte Anwendung der Kriterien dieses Anhangs. Bis 2008 muss die Menge so groß sein, dass sie mit einem Weg zur Erreichung oder Übererfüllung der Zielvorgaben jedes Mitgliedstaats gemäß der Entscheidung 2002/358/EG und dem Kyoto-Protokoll vereinbar ist.</w:t>
      </w:r>
    </w:p>
    <w:p>
      <w:pPr>
        <w:pStyle w:val="GesAbsatz"/>
        <w:ind w:left="426" w:hanging="426"/>
      </w:pPr>
      <w:r>
        <w:t>2.</w:t>
      </w:r>
      <w:r>
        <w:tab/>
        <w:t>Die Gesamtmenge der Zertifikate, die zugeteilt werden sollen, muss vereinbar sein mit Bewertungen der tatsächlichen und der erwarteten Fortschritte bei der Erbringung des Beitrags der Mitgliedstaaten zu den Verpflichtungen der Union gemäß der Entscheidung 93/389/EWG.</w:t>
      </w:r>
    </w:p>
    <w:p>
      <w:pPr>
        <w:pStyle w:val="GesAbsatz"/>
        <w:ind w:left="426" w:hanging="426"/>
      </w:pPr>
      <w:r>
        <w:t>3.</w:t>
      </w:r>
      <w:r>
        <w:tab/>
        <w:t>Die Mengen der Zertifikate, die zugeteilt werden sollen, müssen mit dem Potenzial - auch dem technischen Potenzial - der unter dieses System fallenden Tätigkeiten zur Emissionsverringerung in Einklang stehen. Die Mitgliedstaaten können bei ihrer Aufteilung von Zertifikaten die durchschnittlichen Treibhausgasemissionen je Erzeugnis in den einzelnen Tätigkeitsbereichen und die in diesen Tätigkeitsbereichen erreichbaren Fortschritte zugrunde legen.</w:t>
      </w:r>
    </w:p>
    <w:p>
      <w:pPr>
        <w:pStyle w:val="GesAbsatz"/>
        <w:ind w:left="426" w:hanging="426"/>
      </w:pPr>
      <w:r>
        <w:t>4.</w:t>
      </w:r>
      <w:r>
        <w:tab/>
        <w:t>Der Plan muss mit den übrigen rechtlichen und politischen Instrumenten der Union in Einklang stehen. Ein als Ergebnis von neuen rechtlichen Anforderungen unvermeidbarer Emissionsanstieg sollte berücksichtigt werden.</w:t>
      </w:r>
    </w:p>
    <w:p>
      <w:pPr>
        <w:pStyle w:val="GesAbsatz"/>
        <w:ind w:left="426" w:hanging="426"/>
      </w:pPr>
      <w:r>
        <w:t>5.</w:t>
      </w:r>
      <w:r>
        <w:tab/>
        <w:t>Gemäß den Anforderungen des Vertrags, insbesondere der Artikel 87 und 88, darf der Plan Unternehmen oder Sektoren nicht in einer Weise unterschiedlich behandeln, dass bestimmte Unternehmen oder Tätigkeiten ungerechtfertigt bevorzugt werden.</w:t>
      </w:r>
    </w:p>
    <w:p>
      <w:pPr>
        <w:pStyle w:val="GesAbsatz"/>
        <w:ind w:left="426" w:hanging="426"/>
      </w:pPr>
      <w:r>
        <w:lastRenderedPageBreak/>
        <w:t>6.</w:t>
      </w:r>
      <w:r>
        <w:tab/>
        <w:t>Der Plan muss Angaben darüber enthalten, wie neue Marktteilnehmer sich am EU-EHS in dem betreffenden Mitgliedstaat beteiligen können.</w:t>
      </w:r>
    </w:p>
    <w:p>
      <w:pPr>
        <w:pStyle w:val="GesAbsatz"/>
        <w:ind w:left="426" w:hanging="426"/>
      </w:pPr>
      <w:r>
        <w:t>7.</w:t>
      </w:r>
      <w:r>
        <w:tab/>
        <w:t>Der Plan kann Vorleistungen berücksichtigen, und er muss Angaben darüber enthalten, wie Vorleistungen Rechnung getragen wird. Aus Referenzdokumenten zu den besten verfügbaren Technologien resultierende Benchmarks dürfen von den Mitgliedstaaten bei der Aufstellung ihrer nationalen Zuteilungspläne verwendet werden, und diese Benchmarks können ein Element der Ermöglichung frühzeitiger Maßnahmen enthalten.</w:t>
      </w:r>
    </w:p>
    <w:p>
      <w:pPr>
        <w:pStyle w:val="GesAbsatz"/>
        <w:ind w:left="426" w:hanging="426"/>
      </w:pPr>
      <w:r>
        <w:t>8.</w:t>
      </w:r>
      <w:r>
        <w:tab/>
        <w:t>Der Plan muss Angaben darüber enthalten, wie saubere Technologien - einschließlich energieeffizienter Technologien - berücksichtigt werden.</w:t>
      </w:r>
    </w:p>
    <w:p>
      <w:pPr>
        <w:pStyle w:val="GesAbsatz"/>
        <w:ind w:left="426" w:hanging="426"/>
      </w:pPr>
      <w:r>
        <w:t>9.</w:t>
      </w:r>
      <w:r>
        <w:tab/>
        <w:t>Der Plan muss Vorschriften für die Möglichkeit von Bemerkungen der Öffentlichkeit sowie Angaben darüber enthalten, wie diese Bemerkungen angemessen berücksichtigt werden, bevor eine Entscheidung über die Zuteilung der Zertifikate getroffen wird.</w:t>
      </w:r>
    </w:p>
    <w:p>
      <w:pPr>
        <w:pStyle w:val="GesAbsatz"/>
        <w:ind w:left="426" w:hanging="426"/>
      </w:pPr>
      <w:r>
        <w:t>10.</w:t>
      </w:r>
      <w:r>
        <w:tab/>
        <w:t>Der Plan muss eine Liste der unter diese Richtlinie fallenden Anlagen unter Angabe der Anzahl Zertifikate enthalten, die den einzelnen Anlagen zugeteilt werden sollen.</w:t>
      </w:r>
    </w:p>
    <w:p>
      <w:pPr>
        <w:pStyle w:val="GesAbsatz"/>
        <w:ind w:left="426" w:hanging="426"/>
      </w:pPr>
      <w:r>
        <w:t>11.</w:t>
      </w:r>
      <w:r>
        <w:tab/>
        <w:t>Der Plan kann Angaben darüber enthalten, wie dem Wettbewerb aus Ländern bzw. Anlagen außerhalb der Europäischen Union Rechnung getragen wird.</w:t>
      </w:r>
    </w:p>
    <w:p>
      <w:pPr>
        <w:pStyle w:val="GesAbsatz"/>
        <w:ind w:left="426" w:hanging="426"/>
        <w:rPr>
          <w:rFonts w:cs="Arial"/>
          <w:szCs w:val="17"/>
        </w:rPr>
      </w:pPr>
      <w:r>
        <w:t>12.</w:t>
      </w:r>
      <w:r>
        <w:tab/>
        <w:t>In dem Plan wird die Obergrenze des Umfangs, in dem CER und ERU von den Betreibern im Rahmen des EU-EHS genutzt werden dürfen, als Prozentanteil der Zuteilung von Zertifikaten für die einzelnen Anlagen angegeben. Der Prozentanteil muss mit den ergänzenden Verpflichtungen des Mitgliedstaats im Rahmen des Kyoto-Protokolls und der Beschlüsse, die aufgrund des UNFCCC oder des Kyoto-Protokolls gefasst worden sind, in Einklang stehen.</w:t>
      </w:r>
    </w:p>
    <w:p>
      <w:pPr>
        <w:pStyle w:val="berschrift2"/>
        <w:spacing w:after="0"/>
        <w:jc w:val="left"/>
      </w:pPr>
      <w:bookmarkStart w:id="73" w:name="_Toc146879952"/>
      <w:r>
        <w:t>ANHANG IV</w:t>
      </w:r>
      <w:r>
        <w:br/>
        <w:t>GRUNDSÄTZE FÜR DIE ÜBERWACHUNG UND BERICHTERSTATTUNG</w:t>
      </w:r>
      <w:bookmarkEnd w:id="73"/>
      <w:r>
        <w:t xml:space="preserve"> </w:t>
      </w:r>
    </w:p>
    <w:p>
      <w:pPr>
        <w:pStyle w:val="GesAbsatz"/>
        <w:tabs>
          <w:tab w:val="left" w:pos="3969"/>
          <w:tab w:val="left" w:pos="4253"/>
        </w:tabs>
        <w:spacing w:before="0"/>
        <w:rPr>
          <w:rFonts w:cs="Arial"/>
          <w:b/>
          <w:sz w:val="24"/>
          <w:szCs w:val="24"/>
        </w:rPr>
      </w:pPr>
      <w:r>
        <w:rPr>
          <w:rFonts w:cs="Arial"/>
          <w:b/>
          <w:sz w:val="24"/>
          <w:szCs w:val="24"/>
        </w:rPr>
        <w:t>GEMÄSS ARTIKEL 14 ABSATZ 1</w:t>
      </w:r>
    </w:p>
    <w:p>
      <w:pPr>
        <w:pStyle w:val="GesAbsatz"/>
        <w:rPr>
          <w:rFonts w:cs="Arial"/>
          <w:szCs w:val="17"/>
        </w:rPr>
      </w:pPr>
    </w:p>
    <w:p>
      <w:pPr>
        <w:pStyle w:val="GesAbsatz"/>
        <w:rPr>
          <w:rFonts w:cs="Arial"/>
          <w:b/>
          <w:bCs/>
          <w:szCs w:val="17"/>
        </w:rPr>
      </w:pPr>
      <w:r>
        <w:rPr>
          <w:rFonts w:cs="Arial"/>
          <w:b/>
          <w:bCs/>
          <w:szCs w:val="17"/>
        </w:rPr>
        <w:t>TEIL A - Überwachung und Berichterstattung betreffend Emissionen aus ortsfesten Anlagen</w:t>
      </w:r>
    </w:p>
    <w:p>
      <w:pPr>
        <w:pStyle w:val="GesAbsatz"/>
        <w:rPr>
          <w:rFonts w:cs="Arial"/>
          <w:b/>
          <w:bCs/>
          <w:szCs w:val="17"/>
        </w:rPr>
      </w:pPr>
      <w:r>
        <w:rPr>
          <w:rFonts w:cs="Arial"/>
          <w:b/>
          <w:bCs/>
          <w:szCs w:val="17"/>
        </w:rPr>
        <w:t>Überwachung der Kohlendioxidemissionen</w:t>
      </w:r>
    </w:p>
    <w:p>
      <w:pPr>
        <w:pStyle w:val="GesAbsatz"/>
        <w:rPr>
          <w:rFonts w:cs="Arial"/>
          <w:szCs w:val="17"/>
        </w:rPr>
      </w:pPr>
      <w:r>
        <w:rPr>
          <w:rFonts w:cs="Arial"/>
          <w:szCs w:val="17"/>
        </w:rPr>
        <w:t>Die Überwachung der Emissionen erfolgt entweder durch Berechnung oder auf der Grundlage von Messungen.</w:t>
      </w:r>
    </w:p>
    <w:p>
      <w:pPr>
        <w:pStyle w:val="GesAbsatz"/>
        <w:rPr>
          <w:rFonts w:cs="Arial"/>
          <w:b/>
          <w:bCs/>
          <w:szCs w:val="17"/>
        </w:rPr>
      </w:pPr>
      <w:r>
        <w:rPr>
          <w:rFonts w:cs="Arial"/>
          <w:b/>
          <w:bCs/>
          <w:szCs w:val="17"/>
        </w:rPr>
        <w:t>Berechnung</w:t>
      </w:r>
    </w:p>
    <w:p>
      <w:pPr>
        <w:pStyle w:val="GesAbsatz"/>
        <w:rPr>
          <w:rFonts w:cs="Arial"/>
          <w:szCs w:val="17"/>
        </w:rPr>
      </w:pPr>
      <w:r>
        <w:rPr>
          <w:rFonts w:cs="Arial"/>
          <w:szCs w:val="17"/>
        </w:rPr>
        <w:t>Die Berechnung der Emissionen erfolgt nach folgender Formel:</w:t>
      </w:r>
    </w:p>
    <w:p>
      <w:pPr>
        <w:pStyle w:val="GesAbsatz"/>
        <w:tabs>
          <w:tab w:val="clear" w:pos="425"/>
          <w:tab w:val="left" w:pos="1320"/>
        </w:tabs>
        <w:rPr>
          <w:rFonts w:cs="Arial"/>
          <w:szCs w:val="17"/>
        </w:rPr>
      </w:pPr>
      <w:r>
        <w:rPr>
          <w:rFonts w:cs="Arial"/>
          <w:szCs w:val="17"/>
        </w:rPr>
        <w:tab/>
        <w:t>Tätigkeitsdaten × Emissionsfaktor × Oxidationsfaktor</w:t>
      </w:r>
    </w:p>
    <w:p>
      <w:pPr>
        <w:pStyle w:val="GesAbsatz"/>
        <w:rPr>
          <w:rFonts w:cs="Arial"/>
          <w:szCs w:val="17"/>
        </w:rPr>
      </w:pPr>
      <w:r>
        <w:rPr>
          <w:rFonts w:cs="Arial"/>
          <w:szCs w:val="17"/>
        </w:rPr>
        <w:t>Die Überwachung der Tätigkeitsdaten (Brennstoffverbrauch, Produktionsrate usw.) erfolgt auf der Grundlage von Daten über eingesetzte Brenn- oder Rohstoffe oder Messungen.</w:t>
      </w:r>
    </w:p>
    <w:p>
      <w:pPr>
        <w:pStyle w:val="GesAbsatz"/>
        <w:rPr>
          <w:rFonts w:cs="Arial"/>
          <w:szCs w:val="17"/>
        </w:rPr>
      </w:pPr>
      <w:r>
        <w:rPr>
          <w:rFonts w:cs="Arial"/>
          <w:szCs w:val="17"/>
        </w:rPr>
        <w:t>Es werden etablierte Emissionsfaktoren verwendet. Für alle Brennstoffe können tätigkeitsspezifische Emissionsfaktoren verwendet werden. Für alle Brennstoffe außer nichtkommerziellen Brennstoffen (Brennstoffe aus Abfall wie Reifen und Gase aus industriellen Verfahren) können Standardfaktoren verwendet werden. Flözspezifische Standardwerte für Kohle und EU-spezifische oder erzeugerländerspezifische Standardwerte für Erdgas sind noch weiter auszuarbeiten. Für Raffinerieerzeugnisse können IPCC-Standardwerte verwendet werden. Der Emissionsfaktor für Biomasse ist Null.</w:t>
      </w:r>
    </w:p>
    <w:p>
      <w:pPr>
        <w:pStyle w:val="GesAbsatz"/>
        <w:rPr>
          <w:rFonts w:cs="Arial"/>
          <w:szCs w:val="17"/>
        </w:rPr>
      </w:pPr>
      <w:r>
        <w:rPr>
          <w:rFonts w:cs="Arial"/>
          <w:szCs w:val="17"/>
        </w:rPr>
        <w:t>Wird beim Emissionsfaktor nicht berücksichtigt, dass ein Teil des Kohlenstoffs nicht oxidiert wird, so ist ein zusätzlicher Oxidationsfaktor zu verwenden. Wurden tätigkeitsspezifische Emissionsfaktoren berechnet, bei denen die Oxidation bereits berücksichtigt ist, so muss ein Oxidationsfaktor nicht verwendet werden.</w:t>
      </w:r>
    </w:p>
    <w:p>
      <w:pPr>
        <w:pStyle w:val="GesAbsatz"/>
        <w:rPr>
          <w:rFonts w:cs="Arial"/>
          <w:szCs w:val="17"/>
        </w:rPr>
      </w:pPr>
      <w:r>
        <w:rPr>
          <w:rFonts w:cs="Arial"/>
          <w:szCs w:val="17"/>
        </w:rPr>
        <w:t>Es sind gemäß der Richtlinie 96/61/EG entwickelte Standardoxidationsfaktoren zu verwenden, es sei denn, der Betreiber kann nachweisen, dass tätigkeitsspezifische Faktoren genauer sind.</w:t>
      </w:r>
    </w:p>
    <w:p>
      <w:pPr>
        <w:pStyle w:val="GesAbsatz"/>
        <w:rPr>
          <w:rFonts w:cs="Arial"/>
          <w:szCs w:val="17"/>
        </w:rPr>
      </w:pPr>
      <w:r>
        <w:rPr>
          <w:rFonts w:cs="Arial"/>
          <w:szCs w:val="17"/>
        </w:rPr>
        <w:t xml:space="preserve">Für jede Tätigkeit und Anlage sowie für jeden Brennstoff ist eine eigene Berechnung anzustellen. </w:t>
      </w:r>
    </w:p>
    <w:p>
      <w:pPr>
        <w:pStyle w:val="GesAbsatz"/>
        <w:rPr>
          <w:rFonts w:cs="Arial"/>
          <w:b/>
          <w:bCs/>
          <w:szCs w:val="17"/>
        </w:rPr>
      </w:pPr>
      <w:r>
        <w:rPr>
          <w:rFonts w:cs="Arial"/>
          <w:b/>
          <w:bCs/>
          <w:szCs w:val="17"/>
        </w:rPr>
        <w:t>Messung</w:t>
      </w:r>
    </w:p>
    <w:p>
      <w:pPr>
        <w:pStyle w:val="GesAbsatz"/>
        <w:rPr>
          <w:rFonts w:cs="Arial"/>
          <w:szCs w:val="17"/>
        </w:rPr>
      </w:pPr>
      <w:r>
        <w:rPr>
          <w:rFonts w:cs="Arial"/>
          <w:szCs w:val="17"/>
        </w:rPr>
        <w:t>Bei der Messung der Emissionen sind standardisierte oder etablierte Verfahren zu verwenden; die Messung ist durch eine flankierende Emissionsberechnung zu bestätigen.</w:t>
      </w:r>
    </w:p>
    <w:p>
      <w:pPr>
        <w:pStyle w:val="GesAbsatz"/>
        <w:rPr>
          <w:rFonts w:cs="Arial"/>
          <w:b/>
          <w:bCs/>
          <w:szCs w:val="17"/>
        </w:rPr>
      </w:pPr>
      <w:r>
        <w:rPr>
          <w:rFonts w:cs="Arial"/>
          <w:b/>
          <w:bCs/>
          <w:szCs w:val="17"/>
        </w:rPr>
        <w:t>Überwachung anderer Treibhausgasemissionen</w:t>
      </w:r>
    </w:p>
    <w:p>
      <w:pPr>
        <w:pStyle w:val="GesAbsatz"/>
        <w:rPr>
          <w:rFonts w:cs="Arial"/>
          <w:szCs w:val="17"/>
        </w:rPr>
      </w:pPr>
      <w:r>
        <w:rPr>
          <w:rFonts w:cs="Arial"/>
          <w:szCs w:val="17"/>
        </w:rPr>
        <w:t>Zu verwenden sind standardisierte oder etablierte Verfahren, die von der Kommission in Zusammenarbeit mit allen relevanten Interessenträgern entwickelt und gemäß Artikel 14 Absatz 1 angenommen worden sind.</w:t>
      </w:r>
    </w:p>
    <w:p>
      <w:pPr>
        <w:pStyle w:val="GesAbsatz"/>
        <w:rPr>
          <w:rFonts w:cs="Arial"/>
          <w:b/>
          <w:bCs/>
          <w:szCs w:val="17"/>
        </w:rPr>
      </w:pPr>
      <w:r>
        <w:rPr>
          <w:rFonts w:cs="Arial"/>
          <w:b/>
          <w:bCs/>
          <w:szCs w:val="17"/>
        </w:rPr>
        <w:t>Berichterstattung über die Emissionen</w:t>
      </w:r>
    </w:p>
    <w:p>
      <w:pPr>
        <w:pStyle w:val="GesAbsatz"/>
        <w:rPr>
          <w:rFonts w:cs="Arial"/>
          <w:szCs w:val="17"/>
        </w:rPr>
      </w:pPr>
      <w:r>
        <w:rPr>
          <w:rFonts w:cs="Arial"/>
          <w:szCs w:val="17"/>
        </w:rPr>
        <w:t>Jeder Betreiber hat im Bericht für eine Anlage folgende Informationen zu liefern:</w:t>
      </w:r>
    </w:p>
    <w:p>
      <w:pPr>
        <w:pStyle w:val="GesAbsatz"/>
        <w:rPr>
          <w:rFonts w:cs="Arial"/>
          <w:szCs w:val="17"/>
        </w:rPr>
      </w:pPr>
      <w:r>
        <w:rPr>
          <w:rFonts w:cs="Arial"/>
          <w:szCs w:val="17"/>
        </w:rPr>
        <w:lastRenderedPageBreak/>
        <w:t>A.</w:t>
      </w:r>
      <w:r>
        <w:rPr>
          <w:rFonts w:cs="Arial"/>
          <w:szCs w:val="17"/>
        </w:rPr>
        <w:tab/>
        <w:t>Anlagedaten einschließlich:</w:t>
      </w:r>
    </w:p>
    <w:p>
      <w:pPr>
        <w:pStyle w:val="GesAbsatz"/>
        <w:tabs>
          <w:tab w:val="clear" w:pos="425"/>
        </w:tabs>
        <w:ind w:left="851" w:hanging="425"/>
      </w:pPr>
      <w:r>
        <w:t>-</w:t>
      </w:r>
      <w:r>
        <w:tab/>
        <w:t>Name der Anlage,</w:t>
      </w:r>
    </w:p>
    <w:p>
      <w:pPr>
        <w:pStyle w:val="GesAbsatz"/>
        <w:tabs>
          <w:tab w:val="clear" w:pos="425"/>
        </w:tabs>
        <w:ind w:left="851" w:hanging="425"/>
      </w:pPr>
      <w:r>
        <w:t>-</w:t>
      </w:r>
      <w:r>
        <w:tab/>
        <w:t>Anschrift, einschließlich Postleitzahl und Land,</w:t>
      </w:r>
    </w:p>
    <w:p>
      <w:pPr>
        <w:pStyle w:val="GesAbsatz"/>
        <w:tabs>
          <w:tab w:val="clear" w:pos="425"/>
        </w:tabs>
        <w:ind w:left="851" w:hanging="425"/>
      </w:pPr>
      <w:r>
        <w:t>-</w:t>
      </w:r>
      <w:r>
        <w:tab/>
        <w:t>Art und Anzahl der in der Anlage durchgeführten Tätigkeiten gemäß Anhang I,</w:t>
      </w:r>
    </w:p>
    <w:p>
      <w:pPr>
        <w:pStyle w:val="GesAbsatz"/>
        <w:tabs>
          <w:tab w:val="clear" w:pos="425"/>
        </w:tabs>
        <w:ind w:left="851" w:hanging="425"/>
      </w:pPr>
      <w:r>
        <w:t>-</w:t>
      </w:r>
      <w:r>
        <w:tab/>
        <w:t>Anschrift, Telefonnummer, Faxnummer und E-Mail-Adresse eines Ansprechpartners und</w:t>
      </w:r>
    </w:p>
    <w:p>
      <w:pPr>
        <w:pStyle w:val="GesAbsatz"/>
        <w:tabs>
          <w:tab w:val="clear" w:pos="425"/>
        </w:tabs>
        <w:ind w:left="851" w:hanging="425"/>
      </w:pPr>
      <w:r>
        <w:t>-</w:t>
      </w:r>
      <w:r>
        <w:tab/>
        <w:t>Name des Besitzers der Anlage und etwaiger Mutterunternehmen.</w:t>
      </w:r>
    </w:p>
    <w:p>
      <w:pPr>
        <w:pStyle w:val="GesAbsatz"/>
        <w:ind w:left="426" w:hanging="426"/>
        <w:rPr>
          <w:rFonts w:cs="Arial"/>
          <w:szCs w:val="17"/>
        </w:rPr>
      </w:pPr>
      <w:r>
        <w:rPr>
          <w:rFonts w:cs="Arial"/>
          <w:szCs w:val="17"/>
        </w:rPr>
        <w:t>B.</w:t>
      </w:r>
      <w:r>
        <w:rPr>
          <w:rFonts w:cs="Arial"/>
          <w:szCs w:val="17"/>
        </w:rPr>
        <w:tab/>
      </w:r>
      <w:r>
        <w:t>Für</w:t>
      </w:r>
      <w:r>
        <w:rPr>
          <w:rFonts w:cs="Arial"/>
          <w:szCs w:val="17"/>
        </w:rPr>
        <w:t xml:space="preserve"> jede am Standort durchgeführte Tätigkeit gemäß Anhang I, für die Emissionen berechnet werden:</w:t>
      </w:r>
    </w:p>
    <w:p>
      <w:pPr>
        <w:pStyle w:val="GesAbsatz"/>
        <w:tabs>
          <w:tab w:val="clear" w:pos="425"/>
        </w:tabs>
        <w:ind w:left="851" w:hanging="425"/>
      </w:pPr>
      <w:r>
        <w:rPr>
          <w:rFonts w:cs="Arial"/>
          <w:szCs w:val="17"/>
        </w:rPr>
        <w:t>-</w:t>
      </w:r>
      <w:r>
        <w:rPr>
          <w:rFonts w:cs="Arial"/>
          <w:szCs w:val="17"/>
        </w:rPr>
        <w:tab/>
        <w:t>Tät</w:t>
      </w:r>
      <w:r>
        <w:t>igkeitsdaten,</w:t>
      </w:r>
    </w:p>
    <w:p>
      <w:pPr>
        <w:pStyle w:val="GesAbsatz"/>
        <w:tabs>
          <w:tab w:val="clear" w:pos="425"/>
        </w:tabs>
        <w:ind w:left="851" w:hanging="425"/>
      </w:pPr>
      <w:r>
        <w:t>-</w:t>
      </w:r>
      <w:r>
        <w:tab/>
        <w:t>Emissionsfaktoren,</w:t>
      </w:r>
    </w:p>
    <w:p>
      <w:pPr>
        <w:pStyle w:val="GesAbsatz"/>
        <w:tabs>
          <w:tab w:val="clear" w:pos="425"/>
        </w:tabs>
        <w:ind w:left="851" w:hanging="425"/>
      </w:pPr>
      <w:r>
        <w:t>-</w:t>
      </w:r>
      <w:r>
        <w:tab/>
        <w:t>Oxidationsfaktoren,</w:t>
      </w:r>
    </w:p>
    <w:p>
      <w:pPr>
        <w:pStyle w:val="GesAbsatz"/>
        <w:tabs>
          <w:tab w:val="clear" w:pos="425"/>
        </w:tabs>
        <w:ind w:left="851" w:hanging="425"/>
      </w:pPr>
      <w:r>
        <w:t>-</w:t>
      </w:r>
      <w:r>
        <w:tab/>
        <w:t>Gesamtemissionen und</w:t>
      </w:r>
    </w:p>
    <w:p>
      <w:pPr>
        <w:pStyle w:val="GesAbsatz"/>
        <w:tabs>
          <w:tab w:val="clear" w:pos="425"/>
        </w:tabs>
        <w:ind w:left="851" w:hanging="425"/>
        <w:rPr>
          <w:rFonts w:cs="Arial"/>
          <w:szCs w:val="17"/>
        </w:rPr>
      </w:pPr>
      <w:r>
        <w:t>-</w:t>
      </w:r>
      <w:r>
        <w:tab/>
        <w:t>Unsiche</w:t>
      </w:r>
      <w:r>
        <w:rPr>
          <w:rFonts w:cs="Arial"/>
          <w:szCs w:val="17"/>
        </w:rPr>
        <w:t>rheitsfaktoren.</w:t>
      </w:r>
    </w:p>
    <w:p>
      <w:pPr>
        <w:pStyle w:val="GesAbsatz"/>
        <w:ind w:left="426" w:hanging="426"/>
        <w:rPr>
          <w:rFonts w:cs="Arial"/>
          <w:szCs w:val="17"/>
        </w:rPr>
      </w:pPr>
      <w:r>
        <w:rPr>
          <w:rFonts w:cs="Arial"/>
          <w:szCs w:val="17"/>
        </w:rPr>
        <w:t>C.</w:t>
      </w:r>
      <w:r>
        <w:rPr>
          <w:rFonts w:cs="Arial"/>
          <w:szCs w:val="17"/>
        </w:rPr>
        <w:tab/>
      </w:r>
      <w:r>
        <w:t>Für</w:t>
      </w:r>
      <w:r>
        <w:rPr>
          <w:rFonts w:cs="Arial"/>
          <w:szCs w:val="17"/>
        </w:rPr>
        <w:t xml:space="preserve"> jede am Standort durchgeführte Tätigkeit gemäß Anhang I, für die Emissionen gemessen werden:</w:t>
      </w:r>
    </w:p>
    <w:p>
      <w:pPr>
        <w:pStyle w:val="GesAbsatz"/>
        <w:tabs>
          <w:tab w:val="clear" w:pos="425"/>
        </w:tabs>
        <w:ind w:left="851" w:hanging="425"/>
      </w:pPr>
      <w:r>
        <w:rPr>
          <w:rFonts w:cs="Arial"/>
          <w:szCs w:val="17"/>
        </w:rPr>
        <w:t>-</w:t>
      </w:r>
      <w:r>
        <w:rPr>
          <w:rFonts w:cs="Arial"/>
          <w:szCs w:val="17"/>
        </w:rPr>
        <w:tab/>
        <w:t>Gesamte</w:t>
      </w:r>
      <w:r>
        <w:t>missionen,</w:t>
      </w:r>
    </w:p>
    <w:p>
      <w:pPr>
        <w:pStyle w:val="GesAbsatz"/>
        <w:tabs>
          <w:tab w:val="clear" w:pos="425"/>
        </w:tabs>
        <w:ind w:left="851" w:hanging="425"/>
      </w:pPr>
      <w:r>
        <w:t>-</w:t>
      </w:r>
      <w:r>
        <w:tab/>
        <w:t>Angaben zur Zuverlässigkeit der Messverfahren und</w:t>
      </w:r>
    </w:p>
    <w:p>
      <w:pPr>
        <w:pStyle w:val="GesAbsatz"/>
        <w:tabs>
          <w:tab w:val="clear" w:pos="425"/>
        </w:tabs>
        <w:ind w:left="851" w:hanging="425"/>
        <w:rPr>
          <w:rFonts w:cs="Arial"/>
          <w:szCs w:val="17"/>
        </w:rPr>
      </w:pPr>
      <w:r>
        <w:t>-</w:t>
      </w:r>
      <w:r>
        <w:tab/>
        <w:t>Unsicherheits</w:t>
      </w:r>
      <w:r>
        <w:rPr>
          <w:rFonts w:cs="Arial"/>
          <w:szCs w:val="17"/>
        </w:rPr>
        <w:t>faktoren.</w:t>
      </w:r>
    </w:p>
    <w:p>
      <w:pPr>
        <w:pStyle w:val="GesAbsatz"/>
        <w:ind w:left="426" w:hanging="426"/>
      </w:pPr>
      <w:r>
        <w:t>D.</w:t>
      </w:r>
      <w:r>
        <w:tab/>
        <w:t>Für Emissionen aus der Verbrennung ist im Bericht außerdem der Oxidationsfaktor anzugeben, es sei denn, die Oxidation wurde bereits bei der Berechnung eines tätigkeitsspezifischen Emissionsfaktors einbezogen.</w:t>
      </w:r>
    </w:p>
    <w:p>
      <w:pPr>
        <w:pStyle w:val="GesAbsatz"/>
        <w:rPr>
          <w:rFonts w:cs="Arial"/>
          <w:szCs w:val="17"/>
        </w:rPr>
      </w:pPr>
      <w:r>
        <w:rPr>
          <w:rFonts w:cs="Arial"/>
          <w:szCs w:val="17"/>
        </w:rPr>
        <w:t>Die Mitgliedstaaten treffen Maßnahmen zur Koordinierung der Anforderungen für die Berichterstattung mit bereits bestehenden Anforderungen für die Berichterstattung, um den Berichterstattungsaufwand der Unternehmen möglichst gering zu halten.</w:t>
      </w:r>
    </w:p>
    <w:p>
      <w:pPr>
        <w:pStyle w:val="GesAbsatz"/>
        <w:rPr>
          <w:rFonts w:cs="Arial"/>
          <w:b/>
          <w:szCs w:val="17"/>
        </w:rPr>
      </w:pPr>
      <w:r>
        <w:rPr>
          <w:rFonts w:cs="Arial"/>
          <w:b/>
          <w:szCs w:val="17"/>
        </w:rPr>
        <w:t>TEIL B - Überwachung und Berichterstattung betreffend Emissionen aus Luftverkehrstätigkeiten</w:t>
      </w:r>
    </w:p>
    <w:p>
      <w:pPr>
        <w:pStyle w:val="GesAbsatz"/>
        <w:rPr>
          <w:rFonts w:cs="Arial"/>
          <w:b/>
          <w:szCs w:val="17"/>
        </w:rPr>
      </w:pPr>
      <w:r>
        <w:rPr>
          <w:rFonts w:cs="Arial"/>
          <w:b/>
          <w:szCs w:val="17"/>
        </w:rPr>
        <w:t>Überwachung der Kohlendioxidemissionen</w:t>
      </w:r>
    </w:p>
    <w:p>
      <w:pPr>
        <w:pStyle w:val="GesAbsatz"/>
        <w:rPr>
          <w:rFonts w:cs="Arial"/>
          <w:szCs w:val="17"/>
        </w:rPr>
      </w:pPr>
      <w:r>
        <w:rPr>
          <w:rFonts w:cs="Arial"/>
          <w:szCs w:val="17"/>
        </w:rPr>
        <w:t>Die Überwachung der Emissionen erfolgt durch Berechnung. Die Berechnung der Emissionen erfolgt nach folgender Formel:</w:t>
      </w:r>
    </w:p>
    <w:p>
      <w:pPr>
        <w:pStyle w:val="GesAbsatz"/>
        <w:rPr>
          <w:rFonts w:cs="Arial"/>
          <w:b/>
          <w:szCs w:val="17"/>
        </w:rPr>
      </w:pPr>
      <w:r>
        <w:rPr>
          <w:rFonts w:cs="Arial"/>
          <w:b/>
          <w:szCs w:val="17"/>
        </w:rPr>
        <w:t>Treibstoffverbrauch × Emissionsfaktor</w:t>
      </w:r>
    </w:p>
    <w:p>
      <w:pPr>
        <w:pStyle w:val="GesAbsatz"/>
        <w:rPr>
          <w:rFonts w:cs="Arial"/>
          <w:szCs w:val="17"/>
        </w:rPr>
      </w:pPr>
      <w:r>
        <w:rPr>
          <w:rFonts w:cs="Arial"/>
          <w:szCs w:val="17"/>
        </w:rPr>
        <w:t>Zum Treibstoffverbrauch zählen auch Treibstoffe, die vom Hilfsmotor verbraucht werden. Der tatsächliche Treibstoffverbrauch jedes Flugs wird so weit wie möglich herangezogen und nach folgender Formel berechnet:</w:t>
      </w:r>
    </w:p>
    <w:p>
      <w:pPr>
        <w:pStyle w:val="GesAbsatz"/>
        <w:rPr>
          <w:rFonts w:cs="Arial"/>
          <w:szCs w:val="17"/>
        </w:rPr>
      </w:pPr>
      <w:r>
        <w:rPr>
          <w:rFonts w:cs="Arial"/>
          <w:szCs w:val="17"/>
        </w:rPr>
        <w:t>Treibstoffmenge in den Luftfahrzeugstanks nach abgeschlossener Betankung für den betreffenden Flug – Treibstoffmenge in den Luftfahrzeugstanks nach abgeschlossener Betankung für den Folgeflug + Treibstoffbetankung für diesen Folgeflug.</w:t>
      </w:r>
    </w:p>
    <w:p>
      <w:pPr>
        <w:pStyle w:val="GesAbsatz"/>
        <w:rPr>
          <w:rFonts w:cs="Arial"/>
          <w:szCs w:val="17"/>
        </w:rPr>
      </w:pPr>
      <w:r>
        <w:rPr>
          <w:rFonts w:cs="Arial"/>
          <w:szCs w:val="17"/>
        </w:rPr>
        <w:t>Liegen keine Daten über den tatsächlichen Treibstoffverbrauch vor, so wird der Treibstoffverbrauch auf der Grundlage der besten verfügbaren Informationen nach einem standardisierten Mehrstufenkonzept geschätzt.</w:t>
      </w:r>
    </w:p>
    <w:p>
      <w:pPr>
        <w:pStyle w:val="GesAbsatz"/>
        <w:rPr>
          <w:rFonts w:cs="Arial"/>
          <w:szCs w:val="17"/>
        </w:rPr>
      </w:pPr>
      <w:r>
        <w:rPr>
          <w:rFonts w:cs="Arial"/>
          <w:szCs w:val="17"/>
        </w:rPr>
        <w:t>Es werden Standardemissionsfaktoren aus den IPCC-Leitlinien von 2006 oder späteren Aktualisierungen dieser Leitlinien zugrunde gelegt, es sei denn, tätigkeitsspezifische Emissionsfaktoren, die von unabhängigen akkreditierten Laboratorien nach anerkannten Analysemethoden identifiziert wurden, erweisen sich als genauer. Der Emissionsfaktor für Biomasse ist null. Der Emissionsfaktor für Jetkerosin (JET A1 oder JET A) beträgt 3,16 (Tonnen CO</w:t>
      </w:r>
      <w:r>
        <w:rPr>
          <w:rFonts w:cs="Arial"/>
          <w:szCs w:val="17"/>
          <w:vertAlign w:val="subscript"/>
        </w:rPr>
        <w:t>2</w:t>
      </w:r>
      <w:r>
        <w:rPr>
          <w:rFonts w:cs="Arial"/>
          <w:szCs w:val="17"/>
        </w:rPr>
        <w:t xml:space="preserve"> pro Tonnen Kraftstoff).</w:t>
      </w:r>
    </w:p>
    <w:p>
      <w:pPr>
        <w:pStyle w:val="GesAbsatz"/>
        <w:rPr>
          <w:rFonts w:cs="Arial"/>
          <w:szCs w:val="17"/>
        </w:rPr>
      </w:pPr>
      <w:r>
        <w:rPr>
          <w:rFonts w:cs="Arial"/>
          <w:szCs w:val="17"/>
        </w:rPr>
        <w:t>Emissionen aus erneuerbaren Kraftstoffen nicht biogenen Ursprungs, bei denen Wasserstoff aus erneuerbaren Quellen gemäß Artikel 25 der Richtlinie (EU) 2018/2001 verwendet wird, werden für Luftfahrzeugbetreiber, die diese Kraftstoffe verwenden, als emissionsfrei eingestuft, bis der in Artikel 14 Absatz 1 der vorliegenden Richtlinie genannte Durchführungsrechtsakt erlassen ist.</w:t>
      </w:r>
    </w:p>
    <w:p>
      <w:pPr>
        <w:pStyle w:val="GesAbsatz"/>
        <w:rPr>
          <w:rFonts w:cs="Arial"/>
          <w:szCs w:val="17"/>
        </w:rPr>
      </w:pPr>
      <w:r>
        <w:rPr>
          <w:rFonts w:cs="Arial"/>
          <w:szCs w:val="17"/>
        </w:rPr>
        <w:t>Für jeden Flug und jeden Treibstoff wird eine gesonderte Berechnung vorgenommen.</w:t>
      </w:r>
    </w:p>
    <w:p>
      <w:pPr>
        <w:pStyle w:val="GesAbsatz"/>
        <w:rPr>
          <w:rFonts w:cs="Arial"/>
          <w:b/>
          <w:szCs w:val="17"/>
        </w:rPr>
      </w:pPr>
      <w:r>
        <w:rPr>
          <w:rFonts w:cs="Arial"/>
          <w:b/>
          <w:szCs w:val="17"/>
        </w:rPr>
        <w:t>Berichterstattung über die Emissionen</w:t>
      </w:r>
    </w:p>
    <w:p>
      <w:pPr>
        <w:pStyle w:val="GesAbsatz"/>
        <w:rPr>
          <w:rFonts w:cs="Arial"/>
          <w:szCs w:val="17"/>
        </w:rPr>
      </w:pPr>
      <w:r>
        <w:rPr>
          <w:rFonts w:cs="Arial"/>
          <w:szCs w:val="17"/>
        </w:rPr>
        <w:t>Jeder Luftfahrzeugbetreiber nimmt in seinen Bericht gemäß Artikel 14 Absatz 3 folgende Informationen auf:</w:t>
      </w:r>
    </w:p>
    <w:p>
      <w:pPr>
        <w:pStyle w:val="GesAbsatz"/>
        <w:rPr>
          <w:rFonts w:cs="Arial"/>
          <w:szCs w:val="17"/>
        </w:rPr>
      </w:pPr>
      <w:r>
        <w:rPr>
          <w:rFonts w:cs="Arial"/>
          <w:szCs w:val="17"/>
        </w:rPr>
        <w:t>A.</w:t>
      </w:r>
      <w:r>
        <w:rPr>
          <w:rFonts w:cs="Arial"/>
          <w:szCs w:val="17"/>
        </w:rPr>
        <w:tab/>
        <w:t>Angaben zum Luftfahrzeugbetreiber, einschließlich</w:t>
      </w:r>
    </w:p>
    <w:p>
      <w:pPr>
        <w:pStyle w:val="GesAbsatz"/>
        <w:ind w:left="851" w:hanging="425"/>
        <w:rPr>
          <w:rFonts w:cs="Arial"/>
          <w:szCs w:val="17"/>
        </w:rPr>
      </w:pPr>
      <w:r>
        <w:rPr>
          <w:rFonts w:cs="Arial"/>
          <w:szCs w:val="17"/>
        </w:rPr>
        <w:t>-</w:t>
      </w:r>
      <w:r>
        <w:rPr>
          <w:rFonts w:cs="Arial"/>
          <w:szCs w:val="17"/>
        </w:rPr>
        <w:tab/>
        <w:t>Name des Luftfahrzeugbetreibers;</w:t>
      </w:r>
    </w:p>
    <w:p>
      <w:pPr>
        <w:pStyle w:val="GesAbsatz"/>
        <w:ind w:left="851" w:hanging="425"/>
        <w:rPr>
          <w:rFonts w:cs="Arial"/>
          <w:szCs w:val="17"/>
        </w:rPr>
      </w:pPr>
      <w:r>
        <w:rPr>
          <w:rFonts w:cs="Arial"/>
          <w:szCs w:val="17"/>
        </w:rPr>
        <w:t>-</w:t>
      </w:r>
      <w:r>
        <w:rPr>
          <w:rFonts w:cs="Arial"/>
          <w:szCs w:val="17"/>
        </w:rPr>
        <w:tab/>
        <w:t>zuständiger Verwaltungsmitgliedstaat;</w:t>
      </w:r>
    </w:p>
    <w:p>
      <w:pPr>
        <w:pStyle w:val="GesAbsatz"/>
        <w:ind w:left="851" w:hanging="425"/>
        <w:rPr>
          <w:rFonts w:cs="Arial"/>
          <w:szCs w:val="17"/>
        </w:rPr>
      </w:pPr>
      <w:r>
        <w:rPr>
          <w:rFonts w:cs="Arial"/>
          <w:szCs w:val="17"/>
        </w:rPr>
        <w:t>-</w:t>
      </w:r>
      <w:r>
        <w:rPr>
          <w:rFonts w:cs="Arial"/>
          <w:szCs w:val="17"/>
        </w:rPr>
        <w:tab/>
        <w:t>Anschrift, einschließlich Postleitzahl und Land und, falls abweichend, Kontaktadresse im Verwaltungsmitgliedstaat;</w:t>
      </w:r>
    </w:p>
    <w:p>
      <w:pPr>
        <w:pStyle w:val="GesAbsatz"/>
        <w:ind w:left="851" w:hanging="425"/>
        <w:rPr>
          <w:rFonts w:cs="Arial"/>
          <w:szCs w:val="17"/>
        </w:rPr>
      </w:pPr>
      <w:r>
        <w:rPr>
          <w:rFonts w:cs="Arial"/>
          <w:szCs w:val="17"/>
        </w:rPr>
        <w:t>-</w:t>
      </w:r>
      <w:r>
        <w:rPr>
          <w:rFonts w:cs="Arial"/>
          <w:szCs w:val="17"/>
        </w:rPr>
        <w:tab/>
        <w:t>Luftfahrzeugzulassungsnummern und die im Berichtszeitraum für die Luftverkehrstätigkeiten des Betreibers gemäß Anhang I verwendeten Luftfahrzeugtypen;</w:t>
      </w:r>
    </w:p>
    <w:p>
      <w:pPr>
        <w:pStyle w:val="GesAbsatz"/>
        <w:ind w:left="851" w:hanging="425"/>
        <w:rPr>
          <w:rFonts w:cs="Arial"/>
          <w:szCs w:val="17"/>
        </w:rPr>
      </w:pPr>
      <w:r>
        <w:rPr>
          <w:rFonts w:cs="Arial"/>
          <w:szCs w:val="17"/>
        </w:rPr>
        <w:lastRenderedPageBreak/>
        <w:t>-</w:t>
      </w:r>
      <w:r>
        <w:rPr>
          <w:rFonts w:cs="Arial"/>
          <w:szCs w:val="17"/>
        </w:rPr>
        <w:tab/>
        <w:t>Nummer und Ausstellungsbehörde des Luftverkehrsbetreiberzeugnisses und der Betriebsgenehmigung, auf deren Grundlage die Luftverkehrstätigkeiten des Betreibers gemäß Anhang I durchgeführt wurden;</w:t>
      </w:r>
    </w:p>
    <w:p>
      <w:pPr>
        <w:pStyle w:val="GesAbsatz"/>
        <w:ind w:left="851" w:hanging="425"/>
        <w:rPr>
          <w:rFonts w:cs="Arial"/>
          <w:szCs w:val="17"/>
        </w:rPr>
      </w:pPr>
      <w:r>
        <w:rPr>
          <w:rFonts w:cs="Arial"/>
          <w:szCs w:val="17"/>
        </w:rPr>
        <w:t>-</w:t>
      </w:r>
      <w:r>
        <w:rPr>
          <w:rFonts w:cs="Arial"/>
          <w:szCs w:val="17"/>
        </w:rPr>
        <w:tab/>
        <w:t>Anschrift, Telefonnummer, Faxnummer und E-Mail-Anschrift eines Ansprechpartners;</w:t>
      </w:r>
    </w:p>
    <w:p>
      <w:pPr>
        <w:pStyle w:val="GesAbsatz"/>
        <w:ind w:left="851" w:hanging="425"/>
        <w:rPr>
          <w:rFonts w:cs="Arial"/>
          <w:szCs w:val="17"/>
        </w:rPr>
      </w:pPr>
      <w:r>
        <w:rPr>
          <w:rFonts w:cs="Arial"/>
          <w:szCs w:val="17"/>
        </w:rPr>
        <w:t>-</w:t>
      </w:r>
      <w:r>
        <w:rPr>
          <w:rFonts w:cs="Arial"/>
          <w:szCs w:val="17"/>
        </w:rPr>
        <w:tab/>
        <w:t>Name des Luftfahrzeugeigentümers.</w:t>
      </w:r>
    </w:p>
    <w:p>
      <w:pPr>
        <w:pStyle w:val="GesAbsatz"/>
        <w:rPr>
          <w:rFonts w:cs="Arial"/>
          <w:szCs w:val="17"/>
        </w:rPr>
      </w:pPr>
      <w:r>
        <w:rPr>
          <w:rFonts w:cs="Arial"/>
          <w:szCs w:val="17"/>
        </w:rPr>
        <w:t>B.</w:t>
      </w:r>
      <w:r>
        <w:rPr>
          <w:rFonts w:cs="Arial"/>
          <w:szCs w:val="17"/>
        </w:rPr>
        <w:tab/>
        <w:t>Für jeden Treibstofftyp, für den Emissionen berechnet werden:</w:t>
      </w:r>
    </w:p>
    <w:p>
      <w:pPr>
        <w:pStyle w:val="GesAbsatz"/>
        <w:ind w:left="851" w:hanging="425"/>
        <w:rPr>
          <w:rFonts w:cs="Arial"/>
          <w:szCs w:val="17"/>
        </w:rPr>
      </w:pPr>
      <w:r>
        <w:rPr>
          <w:rFonts w:cs="Arial"/>
          <w:szCs w:val="17"/>
        </w:rPr>
        <w:t>-</w:t>
      </w:r>
      <w:r>
        <w:rPr>
          <w:rFonts w:cs="Arial"/>
          <w:szCs w:val="17"/>
        </w:rPr>
        <w:tab/>
        <w:t>Treibstoffverbrauch;</w:t>
      </w:r>
    </w:p>
    <w:p>
      <w:pPr>
        <w:pStyle w:val="GesAbsatz"/>
        <w:ind w:left="851" w:hanging="425"/>
        <w:rPr>
          <w:rFonts w:cs="Arial"/>
          <w:szCs w:val="17"/>
        </w:rPr>
      </w:pPr>
      <w:r>
        <w:rPr>
          <w:rFonts w:cs="Arial"/>
          <w:szCs w:val="17"/>
        </w:rPr>
        <w:t>-</w:t>
      </w:r>
      <w:r>
        <w:rPr>
          <w:rFonts w:cs="Arial"/>
          <w:szCs w:val="17"/>
        </w:rPr>
        <w:tab/>
        <w:t>Emissionsfaktor;</w:t>
      </w:r>
    </w:p>
    <w:p>
      <w:pPr>
        <w:pStyle w:val="GesAbsatz"/>
        <w:ind w:left="851" w:hanging="425"/>
        <w:rPr>
          <w:rFonts w:cs="Arial"/>
          <w:szCs w:val="17"/>
        </w:rPr>
      </w:pPr>
      <w:r>
        <w:rPr>
          <w:rFonts w:cs="Arial"/>
          <w:szCs w:val="17"/>
        </w:rPr>
        <w:t>-</w:t>
      </w:r>
      <w:r>
        <w:rPr>
          <w:rFonts w:cs="Arial"/>
          <w:szCs w:val="17"/>
        </w:rPr>
        <w:tab/>
        <w:t>Gesamtwert der aggregierten Emissionen aus allen Flügen, die während des Berichtszeitraums im Rahmen der Luftverkehrstätigkeiten des Betreibers gemäß Anhang I durchgeführt wurden;</w:t>
      </w:r>
    </w:p>
    <w:p>
      <w:pPr>
        <w:pStyle w:val="GesAbsatz"/>
        <w:ind w:left="851" w:hanging="425"/>
        <w:rPr>
          <w:rFonts w:cs="Arial"/>
          <w:szCs w:val="17"/>
        </w:rPr>
      </w:pPr>
      <w:r>
        <w:rPr>
          <w:rFonts w:cs="Arial"/>
          <w:szCs w:val="17"/>
        </w:rPr>
        <w:t>-</w:t>
      </w:r>
      <w:r>
        <w:rPr>
          <w:rFonts w:cs="Arial"/>
          <w:szCs w:val="17"/>
        </w:rPr>
        <w:tab/>
        <w:t>aggregierte Emissionen aus</w:t>
      </w:r>
    </w:p>
    <w:p>
      <w:pPr>
        <w:pStyle w:val="GesAbsatz"/>
        <w:ind w:left="1276" w:hanging="425"/>
        <w:rPr>
          <w:rFonts w:cs="Arial"/>
          <w:szCs w:val="17"/>
        </w:rPr>
      </w:pPr>
      <w:r>
        <w:rPr>
          <w:rFonts w:cs="Arial"/>
          <w:szCs w:val="17"/>
        </w:rPr>
        <w:t>-</w:t>
      </w:r>
      <w:r>
        <w:rPr>
          <w:rFonts w:cs="Arial"/>
          <w:szCs w:val="17"/>
        </w:rPr>
        <w:tab/>
        <w:t>allen Flügen, die während des Berichtszeitraums im Rahmen der Luftverkehrstätigkeiten des Betreibers gemäß Anhang I durchgeführt wurden und die von einem Flugplatz im Hoheitsgebiet eines Mitgliedstaats abgingen und an einem Flugplatz im Hoheitsgebiet desselben Mitgliedstaats endeten;</w:t>
      </w:r>
    </w:p>
    <w:p>
      <w:pPr>
        <w:pStyle w:val="GesAbsatz"/>
        <w:ind w:left="1276" w:hanging="425"/>
        <w:rPr>
          <w:rFonts w:cs="Arial"/>
          <w:szCs w:val="17"/>
        </w:rPr>
      </w:pPr>
      <w:r>
        <w:rPr>
          <w:rFonts w:cs="Arial"/>
          <w:szCs w:val="17"/>
        </w:rPr>
        <w:t>-</w:t>
      </w:r>
      <w:r>
        <w:rPr>
          <w:rFonts w:cs="Arial"/>
          <w:szCs w:val="17"/>
        </w:rPr>
        <w:tab/>
        <w:t>allen anderen Flügen, die während des Berichtszeitraums im Rahmen der Luftverkehrstätigkeiten des Betreibers gemäß Anhang I durchgeführt wurden;</w:t>
      </w:r>
    </w:p>
    <w:p>
      <w:pPr>
        <w:pStyle w:val="GesAbsatz"/>
        <w:ind w:left="851" w:hanging="425"/>
        <w:rPr>
          <w:rFonts w:cs="Arial"/>
          <w:szCs w:val="17"/>
        </w:rPr>
      </w:pPr>
      <w:r>
        <w:rPr>
          <w:rFonts w:cs="Arial"/>
          <w:szCs w:val="17"/>
        </w:rPr>
        <w:t>-</w:t>
      </w:r>
      <w:r>
        <w:rPr>
          <w:rFonts w:cs="Arial"/>
          <w:szCs w:val="17"/>
        </w:rPr>
        <w:tab/>
        <w:t>aggregierte Emissionen aus allen Flügen, die während des Berichtszeitraums im Rahmen der Luftverkehrstätigkeiten des Betreibers gemäß Anhang I durchgeführt wurden und die</w:t>
      </w:r>
    </w:p>
    <w:p>
      <w:pPr>
        <w:pStyle w:val="GesAbsatz"/>
        <w:ind w:left="1276" w:hanging="425"/>
        <w:rPr>
          <w:rFonts w:cs="Arial"/>
          <w:szCs w:val="17"/>
        </w:rPr>
      </w:pPr>
      <w:r>
        <w:rPr>
          <w:rFonts w:cs="Arial"/>
          <w:szCs w:val="17"/>
        </w:rPr>
        <w:t>-</w:t>
      </w:r>
      <w:r>
        <w:rPr>
          <w:rFonts w:cs="Arial"/>
          <w:szCs w:val="17"/>
        </w:rPr>
        <w:tab/>
        <w:t>aus jedem Mitgliedstaat abgingen und</w:t>
      </w:r>
    </w:p>
    <w:p>
      <w:pPr>
        <w:pStyle w:val="GesAbsatz"/>
        <w:ind w:left="1276" w:hanging="425"/>
        <w:rPr>
          <w:rFonts w:cs="Arial"/>
          <w:szCs w:val="17"/>
        </w:rPr>
      </w:pPr>
      <w:r>
        <w:rPr>
          <w:rFonts w:cs="Arial"/>
          <w:szCs w:val="17"/>
        </w:rPr>
        <w:t>-</w:t>
      </w:r>
      <w:r>
        <w:rPr>
          <w:rFonts w:cs="Arial"/>
          <w:szCs w:val="17"/>
        </w:rPr>
        <w:tab/>
        <w:t>in jedem Mitgliedstaat aus einem Drittland ankamen;</w:t>
      </w:r>
    </w:p>
    <w:p>
      <w:pPr>
        <w:pStyle w:val="GesAbsatz"/>
        <w:ind w:left="851" w:hanging="425"/>
        <w:rPr>
          <w:rFonts w:cs="Arial"/>
          <w:szCs w:val="17"/>
        </w:rPr>
      </w:pPr>
      <w:r>
        <w:rPr>
          <w:rFonts w:cs="Arial"/>
          <w:szCs w:val="17"/>
        </w:rPr>
        <w:t>-</w:t>
      </w:r>
      <w:r>
        <w:rPr>
          <w:rFonts w:cs="Arial"/>
          <w:szCs w:val="17"/>
        </w:rPr>
        <w:tab/>
        <w:t>Unsicherheitsfaktor.</w:t>
      </w:r>
    </w:p>
    <w:p>
      <w:pPr>
        <w:pStyle w:val="GesAbsatz"/>
        <w:rPr>
          <w:rFonts w:cs="Arial"/>
          <w:b/>
          <w:szCs w:val="17"/>
        </w:rPr>
      </w:pPr>
      <w:r>
        <w:rPr>
          <w:rFonts w:cs="Arial"/>
          <w:b/>
          <w:szCs w:val="17"/>
        </w:rPr>
        <w:t>Überwachung von Tonnenkilometerdaten für die Zwecke der Artikel 3e und 3f</w:t>
      </w:r>
    </w:p>
    <w:p>
      <w:pPr>
        <w:pStyle w:val="GesAbsatz"/>
        <w:rPr>
          <w:rFonts w:cs="Arial"/>
          <w:szCs w:val="17"/>
        </w:rPr>
      </w:pPr>
      <w:r>
        <w:rPr>
          <w:rFonts w:cs="Arial"/>
          <w:szCs w:val="17"/>
        </w:rPr>
        <w:t>Zur Beantragung der Zuteilung von Zertifikaten gemäß Artikel 3e Absatz 1 oder Artikel 3f Absatz 2 wird der Umfang der Luftverkehrstätigkeit in Tonnenkilometern nach folgender Formel berechnet:</w:t>
      </w:r>
    </w:p>
    <w:p>
      <w:pPr>
        <w:pStyle w:val="GesAbsatz"/>
        <w:rPr>
          <w:rFonts w:cs="Arial"/>
          <w:szCs w:val="17"/>
        </w:rPr>
      </w:pPr>
      <w:r>
        <w:rPr>
          <w:rFonts w:cs="Arial"/>
          <w:szCs w:val="17"/>
        </w:rPr>
        <w:t>Tonnenkilometer = Flugstrecke × Nutzlast,</w:t>
      </w:r>
    </w:p>
    <w:p>
      <w:pPr>
        <w:pStyle w:val="GesAbsatz"/>
        <w:rPr>
          <w:rFonts w:cs="Arial"/>
          <w:szCs w:val="17"/>
        </w:rPr>
      </w:pPr>
      <w:r>
        <w:rPr>
          <w:rFonts w:cs="Arial"/>
          <w:szCs w:val="17"/>
        </w:rPr>
        <w:t>wobei</w:t>
      </w:r>
    </w:p>
    <w:p>
      <w:pPr>
        <w:pStyle w:val="GesAbsatz"/>
        <w:rPr>
          <w:rFonts w:cs="Arial"/>
          <w:szCs w:val="17"/>
        </w:rPr>
      </w:pPr>
      <w:r>
        <w:rPr>
          <w:rFonts w:cs="Arial"/>
          <w:szCs w:val="17"/>
        </w:rPr>
        <w:t>„Flugstrecke“ die Großkreisentfernung zwischen Abflug- und Ankunftsflugplatz zuzüglich eines zusätzlichen unveränderlichen Faktors von 95 km bezeichnet, und</w:t>
      </w:r>
    </w:p>
    <w:p>
      <w:pPr>
        <w:pStyle w:val="GesAbsatz"/>
        <w:rPr>
          <w:rFonts w:cs="Arial"/>
          <w:szCs w:val="17"/>
        </w:rPr>
      </w:pPr>
      <w:r>
        <w:rPr>
          <w:rFonts w:cs="Arial"/>
          <w:szCs w:val="17"/>
        </w:rPr>
        <w:t>„Nutzlast“ die Gesamtmasse der beförderten Fracht, Post und Fluggäste bezeichnet.</w:t>
      </w:r>
    </w:p>
    <w:p>
      <w:pPr>
        <w:pStyle w:val="GesAbsatz"/>
        <w:rPr>
          <w:rFonts w:cs="Arial"/>
          <w:szCs w:val="17"/>
        </w:rPr>
      </w:pPr>
      <w:r>
        <w:rPr>
          <w:rFonts w:cs="Arial"/>
          <w:szCs w:val="17"/>
        </w:rPr>
        <w:t>Für die Berechnung der Nutzlast gilt Folgendes:</w:t>
      </w:r>
    </w:p>
    <w:p>
      <w:pPr>
        <w:pStyle w:val="GesAbsatz"/>
        <w:ind w:left="426" w:hanging="426"/>
        <w:rPr>
          <w:rFonts w:cs="Arial"/>
          <w:szCs w:val="17"/>
        </w:rPr>
      </w:pPr>
      <w:r>
        <w:rPr>
          <w:rFonts w:cs="Arial"/>
          <w:szCs w:val="17"/>
        </w:rPr>
        <w:t>-</w:t>
      </w:r>
      <w:r>
        <w:rPr>
          <w:rFonts w:cs="Arial"/>
          <w:szCs w:val="17"/>
        </w:rPr>
        <w:tab/>
        <w:t>Die Zahl der Fluggäste entspricht der Zahl der an Bord befindlichen Personen mit Ausnahme des Bordpersonals;</w:t>
      </w:r>
    </w:p>
    <w:p>
      <w:pPr>
        <w:pStyle w:val="GesAbsatz"/>
        <w:ind w:left="426" w:hanging="426"/>
        <w:rPr>
          <w:rFonts w:cs="Arial"/>
          <w:szCs w:val="17"/>
        </w:rPr>
      </w:pPr>
      <w:r>
        <w:rPr>
          <w:rFonts w:cs="Arial"/>
          <w:szCs w:val="17"/>
        </w:rPr>
        <w:t>-</w:t>
      </w:r>
      <w:r>
        <w:rPr>
          <w:rFonts w:cs="Arial"/>
          <w:szCs w:val="17"/>
        </w:rPr>
        <w:tab/>
        <w:t>ein Luftfahrzeugbetreiber kann entweder die in seinen Unterlagen über die Massen- und Schwerpunktberechnung eingetragene tatsächliche Masse oder die Standardmasse für Fluggäste und aufgegebenes Gepäck oder auf jeden Fluggast und sein aufgegebenes Gepäck einen Standardwert von 100 kg anwenden.</w:t>
      </w:r>
    </w:p>
    <w:p>
      <w:pPr>
        <w:pStyle w:val="GesAbsatz"/>
        <w:rPr>
          <w:rFonts w:cs="Arial"/>
          <w:b/>
          <w:szCs w:val="17"/>
        </w:rPr>
      </w:pPr>
      <w:r>
        <w:rPr>
          <w:rFonts w:cs="Arial"/>
          <w:b/>
          <w:szCs w:val="17"/>
        </w:rPr>
        <w:t>Berichterstattung betreffend Tonnenkilometerdaten für die Zwecke der Artikel 3e und 3f</w:t>
      </w:r>
    </w:p>
    <w:p>
      <w:pPr>
        <w:pStyle w:val="GesAbsatz"/>
        <w:rPr>
          <w:rFonts w:cs="Arial"/>
          <w:szCs w:val="17"/>
        </w:rPr>
      </w:pPr>
      <w:r>
        <w:rPr>
          <w:rFonts w:cs="Arial"/>
          <w:szCs w:val="17"/>
        </w:rPr>
        <w:t>Jeder Luftfahrzeugbetreiber nimmt in seinen Antrag gemäß Artikel 3e Absatz 1 oder Artikel 3f Absatz 2 folgende Informationen auf:</w:t>
      </w:r>
    </w:p>
    <w:p>
      <w:pPr>
        <w:pStyle w:val="GesAbsatz"/>
        <w:rPr>
          <w:rFonts w:cs="Arial"/>
          <w:szCs w:val="17"/>
        </w:rPr>
      </w:pPr>
      <w:r>
        <w:rPr>
          <w:rFonts w:cs="Arial"/>
          <w:szCs w:val="17"/>
        </w:rPr>
        <w:t>A.</w:t>
      </w:r>
      <w:r>
        <w:rPr>
          <w:rFonts w:cs="Arial"/>
          <w:szCs w:val="17"/>
        </w:rPr>
        <w:tab/>
        <w:t>Angaben zum Luftfahrzeugbetreiber, einschließlich</w:t>
      </w:r>
    </w:p>
    <w:p>
      <w:pPr>
        <w:pStyle w:val="GesAbsatz"/>
        <w:ind w:left="851" w:hanging="425"/>
        <w:rPr>
          <w:rFonts w:cs="Arial"/>
          <w:szCs w:val="17"/>
        </w:rPr>
      </w:pPr>
      <w:r>
        <w:rPr>
          <w:rFonts w:cs="Arial"/>
          <w:szCs w:val="17"/>
        </w:rPr>
        <w:t>-</w:t>
      </w:r>
      <w:r>
        <w:rPr>
          <w:rFonts w:cs="Arial"/>
          <w:szCs w:val="17"/>
        </w:rPr>
        <w:tab/>
        <w:t>Name des Luftfahrzeugbetreibers;</w:t>
      </w:r>
    </w:p>
    <w:p>
      <w:pPr>
        <w:pStyle w:val="GesAbsatz"/>
        <w:ind w:left="851" w:hanging="425"/>
        <w:rPr>
          <w:rFonts w:cs="Arial"/>
          <w:szCs w:val="17"/>
        </w:rPr>
      </w:pPr>
      <w:r>
        <w:rPr>
          <w:rFonts w:cs="Arial"/>
          <w:szCs w:val="17"/>
        </w:rPr>
        <w:t>-</w:t>
      </w:r>
      <w:r>
        <w:rPr>
          <w:rFonts w:cs="Arial"/>
          <w:szCs w:val="17"/>
        </w:rPr>
        <w:tab/>
        <w:t>zuständiger Verwaltungsmitgliedstaat;</w:t>
      </w:r>
    </w:p>
    <w:p>
      <w:pPr>
        <w:pStyle w:val="GesAbsatz"/>
        <w:ind w:left="851" w:hanging="425"/>
        <w:rPr>
          <w:rFonts w:cs="Arial"/>
          <w:szCs w:val="17"/>
        </w:rPr>
      </w:pPr>
      <w:r>
        <w:rPr>
          <w:rFonts w:cs="Arial"/>
          <w:szCs w:val="17"/>
        </w:rPr>
        <w:t>-</w:t>
      </w:r>
      <w:r>
        <w:rPr>
          <w:rFonts w:cs="Arial"/>
          <w:szCs w:val="17"/>
        </w:rPr>
        <w:tab/>
        <w:t>Anschrift, einschließlich Postleitzahl und Land und, falls abweichend, Kontaktadresse im Verwaltungsmitgliedstaat;</w:t>
      </w:r>
    </w:p>
    <w:p>
      <w:pPr>
        <w:pStyle w:val="GesAbsatz"/>
        <w:ind w:left="851" w:hanging="425"/>
        <w:rPr>
          <w:rFonts w:cs="Arial"/>
          <w:szCs w:val="17"/>
        </w:rPr>
      </w:pPr>
      <w:r>
        <w:rPr>
          <w:rFonts w:cs="Arial"/>
          <w:szCs w:val="17"/>
        </w:rPr>
        <w:t>-</w:t>
      </w:r>
      <w:r>
        <w:rPr>
          <w:rFonts w:cs="Arial"/>
          <w:szCs w:val="17"/>
        </w:rPr>
        <w:tab/>
        <w:t>Luftfahrzeugzulassungsnummern und die im Antragsjahr für die Luftverkehrstätigkeiten des Betreibers gemäß Anhang I verwendeten Luftfahrzeugtypen;</w:t>
      </w:r>
    </w:p>
    <w:p>
      <w:pPr>
        <w:pStyle w:val="GesAbsatz"/>
        <w:ind w:left="851" w:hanging="425"/>
        <w:rPr>
          <w:rFonts w:cs="Arial"/>
          <w:szCs w:val="17"/>
        </w:rPr>
      </w:pPr>
      <w:r>
        <w:rPr>
          <w:rFonts w:cs="Arial"/>
          <w:szCs w:val="17"/>
        </w:rPr>
        <w:t>-</w:t>
      </w:r>
      <w:r>
        <w:rPr>
          <w:rFonts w:cs="Arial"/>
          <w:szCs w:val="17"/>
        </w:rPr>
        <w:tab/>
        <w:t>Nummer und Ausstellungsbehörde des Luftverkehrsbetreiberzeugnisses und der Betriebsgenehmigung, auf deren Grundlage die Luftverkehrstätigkeiten des Betreibers gemäß Anhang I durchgeführt wurden;</w:t>
      </w:r>
    </w:p>
    <w:p>
      <w:pPr>
        <w:pStyle w:val="GesAbsatz"/>
        <w:ind w:left="851" w:hanging="425"/>
        <w:rPr>
          <w:rFonts w:cs="Arial"/>
          <w:szCs w:val="17"/>
        </w:rPr>
      </w:pPr>
      <w:r>
        <w:rPr>
          <w:rFonts w:cs="Arial"/>
          <w:szCs w:val="17"/>
        </w:rPr>
        <w:t>-</w:t>
      </w:r>
      <w:r>
        <w:rPr>
          <w:rFonts w:cs="Arial"/>
          <w:szCs w:val="17"/>
        </w:rPr>
        <w:tab/>
        <w:t>Anschrift, Telefonnummer, Faxnummer und E-Mail-Anschrift eines Ansprechpartners;</w:t>
      </w:r>
    </w:p>
    <w:p>
      <w:pPr>
        <w:pStyle w:val="GesAbsatz"/>
        <w:ind w:left="851" w:hanging="425"/>
        <w:rPr>
          <w:rFonts w:cs="Arial"/>
          <w:szCs w:val="17"/>
        </w:rPr>
      </w:pPr>
      <w:r>
        <w:rPr>
          <w:rFonts w:cs="Arial"/>
          <w:szCs w:val="17"/>
        </w:rPr>
        <w:t>-</w:t>
      </w:r>
      <w:r>
        <w:rPr>
          <w:rFonts w:cs="Arial"/>
          <w:szCs w:val="17"/>
        </w:rPr>
        <w:tab/>
        <w:t>Name des Luftfahrzeugeigentümers.</w:t>
      </w:r>
    </w:p>
    <w:p>
      <w:pPr>
        <w:pStyle w:val="GesAbsatz"/>
        <w:rPr>
          <w:rFonts w:cs="Arial"/>
          <w:szCs w:val="17"/>
        </w:rPr>
      </w:pPr>
      <w:r>
        <w:rPr>
          <w:rFonts w:cs="Arial"/>
          <w:szCs w:val="17"/>
        </w:rPr>
        <w:t>B.</w:t>
      </w:r>
      <w:r>
        <w:rPr>
          <w:rFonts w:cs="Arial"/>
          <w:szCs w:val="17"/>
        </w:rPr>
        <w:tab/>
        <w:t>Tonnenkilometerdaten:</w:t>
      </w:r>
    </w:p>
    <w:p>
      <w:pPr>
        <w:pStyle w:val="GesAbsatz"/>
        <w:ind w:left="851" w:hanging="425"/>
        <w:rPr>
          <w:rFonts w:cs="Arial"/>
          <w:szCs w:val="17"/>
        </w:rPr>
      </w:pPr>
      <w:r>
        <w:rPr>
          <w:rFonts w:cs="Arial"/>
          <w:szCs w:val="17"/>
        </w:rPr>
        <w:lastRenderedPageBreak/>
        <w:t>-</w:t>
      </w:r>
      <w:r>
        <w:rPr>
          <w:rFonts w:cs="Arial"/>
          <w:szCs w:val="17"/>
        </w:rPr>
        <w:tab/>
        <w:t>Zahl der Flüge je Flugplatzpaar;</w:t>
      </w:r>
    </w:p>
    <w:p>
      <w:pPr>
        <w:pStyle w:val="GesAbsatz"/>
        <w:ind w:left="851" w:hanging="425"/>
        <w:rPr>
          <w:rFonts w:cs="Arial"/>
          <w:szCs w:val="17"/>
        </w:rPr>
      </w:pPr>
      <w:r>
        <w:rPr>
          <w:rFonts w:cs="Arial"/>
          <w:szCs w:val="17"/>
        </w:rPr>
        <w:t>-</w:t>
      </w:r>
      <w:r>
        <w:rPr>
          <w:rFonts w:cs="Arial"/>
          <w:szCs w:val="17"/>
        </w:rPr>
        <w:tab/>
        <w:t>Zahl der Fluggastkilometer je Flugplatzpaar;</w:t>
      </w:r>
    </w:p>
    <w:p>
      <w:pPr>
        <w:pStyle w:val="GesAbsatz"/>
        <w:ind w:left="851" w:hanging="425"/>
        <w:rPr>
          <w:rFonts w:cs="Arial"/>
          <w:szCs w:val="17"/>
        </w:rPr>
      </w:pPr>
      <w:r>
        <w:rPr>
          <w:rFonts w:cs="Arial"/>
          <w:szCs w:val="17"/>
        </w:rPr>
        <w:t>-</w:t>
      </w:r>
      <w:r>
        <w:rPr>
          <w:rFonts w:cs="Arial"/>
          <w:szCs w:val="17"/>
        </w:rPr>
        <w:tab/>
        <w:t>Zahl der Tonnenkilometer je Flugplatzpaar;</w:t>
      </w:r>
    </w:p>
    <w:p>
      <w:pPr>
        <w:pStyle w:val="GesAbsatz"/>
        <w:ind w:left="851" w:hanging="425"/>
        <w:rPr>
          <w:rFonts w:cs="Arial"/>
          <w:szCs w:val="17"/>
        </w:rPr>
      </w:pPr>
      <w:r>
        <w:rPr>
          <w:rFonts w:cs="Arial"/>
          <w:szCs w:val="17"/>
        </w:rPr>
        <w:t>-</w:t>
      </w:r>
      <w:r>
        <w:rPr>
          <w:rFonts w:cs="Arial"/>
          <w:szCs w:val="17"/>
        </w:rPr>
        <w:tab/>
        <w:t>für die Berechnung der Masse von Fluggästen und aufgegebenem Gepäck verwendete Methode;</w:t>
      </w:r>
    </w:p>
    <w:p>
      <w:pPr>
        <w:pStyle w:val="GesAbsatz"/>
        <w:ind w:left="851" w:hanging="425"/>
        <w:rPr>
          <w:rFonts w:cs="Arial"/>
          <w:szCs w:val="17"/>
        </w:rPr>
      </w:pPr>
      <w:r>
        <w:rPr>
          <w:rFonts w:cs="Arial"/>
          <w:szCs w:val="17"/>
        </w:rPr>
        <w:t>-</w:t>
      </w:r>
      <w:r>
        <w:rPr>
          <w:rFonts w:cs="Arial"/>
          <w:szCs w:val="17"/>
        </w:rPr>
        <w:tab/>
        <w:t>Gesamtzahl der Tonnenkilometer für alle Flüge, die in dem Berichtsjahr durchgeführt wurden und unter die Luftverkehrstätigkeiten des Luftfahrzeugbetreibers gemäß Anhang I fallen.</w:t>
      </w:r>
    </w:p>
    <w:p>
      <w:pPr>
        <w:pStyle w:val="berschrift2"/>
        <w:jc w:val="left"/>
      </w:pPr>
      <w:bookmarkStart w:id="74" w:name="_Toc146879953"/>
      <w:r>
        <w:t>ANHANG V</w:t>
      </w:r>
      <w:r>
        <w:br/>
        <w:t>KRITERIEN FÜR DIE PRÜFUNG GEMÄSS ARTIKEL 15</w:t>
      </w:r>
      <w:bookmarkEnd w:id="74"/>
    </w:p>
    <w:p>
      <w:pPr>
        <w:rPr>
          <w:b/>
        </w:rPr>
      </w:pPr>
      <w:r>
        <w:rPr>
          <w:b/>
        </w:rPr>
        <w:t>TEIL A - Prüfung von Emissionen aus ortsfesten Anlagen</w:t>
      </w:r>
    </w:p>
    <w:p>
      <w:pPr>
        <w:pStyle w:val="GesAbsatz"/>
        <w:rPr>
          <w:rFonts w:cs="Arial"/>
          <w:b/>
          <w:bCs/>
          <w:szCs w:val="17"/>
        </w:rPr>
      </w:pPr>
      <w:r>
        <w:rPr>
          <w:rFonts w:cs="Arial"/>
          <w:b/>
          <w:bCs/>
          <w:szCs w:val="17"/>
        </w:rPr>
        <w:t>Allgemeine Grundsätze</w:t>
      </w:r>
    </w:p>
    <w:p>
      <w:pPr>
        <w:pStyle w:val="GesAbsatz"/>
        <w:ind w:left="426" w:hanging="426"/>
        <w:rPr>
          <w:rFonts w:cs="Arial"/>
          <w:szCs w:val="17"/>
        </w:rPr>
      </w:pPr>
      <w:r>
        <w:rPr>
          <w:rFonts w:cs="Arial"/>
          <w:szCs w:val="17"/>
        </w:rPr>
        <w:t>1.</w:t>
      </w:r>
      <w:r>
        <w:rPr>
          <w:rFonts w:cs="Arial"/>
          <w:szCs w:val="17"/>
        </w:rPr>
        <w:tab/>
        <w:t>Die Emissionen aus allen in Anhang I aufgeführten Tätigkeiten unterliegen einer Prüfung.</w:t>
      </w:r>
    </w:p>
    <w:p>
      <w:pPr>
        <w:pStyle w:val="GesAbsatz"/>
        <w:ind w:left="426" w:hanging="426"/>
        <w:rPr>
          <w:rFonts w:cs="Arial"/>
          <w:szCs w:val="17"/>
        </w:rPr>
      </w:pPr>
      <w:r>
        <w:rPr>
          <w:rFonts w:cs="Arial"/>
          <w:szCs w:val="17"/>
        </w:rPr>
        <w:t>2.</w:t>
      </w:r>
      <w:r>
        <w:rPr>
          <w:rFonts w:cs="Arial"/>
          <w:szCs w:val="17"/>
        </w:rPr>
        <w:tab/>
        <w:t>Im Rahmen des Prüfungsverfahrens wird auf den Bericht gemäß Artikel 14 Absatz 3 und auf die Überwachung im Vorjahr eingegangen. Geprüft werden ferner die Zuverlässigkeit, Glaubwürdigkeit und Genauigkeit der Überwachungssysteme sowie die übermittelten Daten und Angaben zu den Emissionen, insbesondere:</w:t>
      </w:r>
    </w:p>
    <w:p>
      <w:pPr>
        <w:pStyle w:val="GesAbsatz"/>
        <w:tabs>
          <w:tab w:val="clear" w:pos="425"/>
        </w:tabs>
        <w:ind w:left="851" w:hanging="425"/>
      </w:pPr>
      <w:r>
        <w:t>a)</w:t>
      </w:r>
      <w:r>
        <w:tab/>
        <w:t>die übermittelten Tätigkeitsdaten und damit verbundenen Messungen und Berechnungen;</w:t>
      </w:r>
    </w:p>
    <w:p>
      <w:pPr>
        <w:pStyle w:val="GesAbsatz"/>
        <w:tabs>
          <w:tab w:val="clear" w:pos="425"/>
        </w:tabs>
        <w:ind w:left="851" w:hanging="425"/>
      </w:pPr>
      <w:r>
        <w:t>b)</w:t>
      </w:r>
      <w:r>
        <w:tab/>
        <w:t>Wahl und Anwendung der Emissionsfaktoren;</w:t>
      </w:r>
    </w:p>
    <w:p>
      <w:pPr>
        <w:pStyle w:val="GesAbsatz"/>
        <w:tabs>
          <w:tab w:val="clear" w:pos="425"/>
        </w:tabs>
        <w:ind w:left="851" w:hanging="425"/>
      </w:pPr>
      <w:r>
        <w:t>c)</w:t>
      </w:r>
      <w:r>
        <w:tab/>
        <w:t>die Berechnungen für die Bestimmung der Gesamtemissionen und</w:t>
      </w:r>
    </w:p>
    <w:p>
      <w:pPr>
        <w:pStyle w:val="GesAbsatz"/>
        <w:tabs>
          <w:tab w:val="clear" w:pos="425"/>
        </w:tabs>
        <w:ind w:left="851" w:hanging="425"/>
      </w:pPr>
      <w:r>
        <w:t>d)</w:t>
      </w:r>
      <w:r>
        <w:tab/>
        <w:t>bei Messungen die Angemessenheit der Wahl und Anwendung der Messverfahren.</w:t>
      </w:r>
    </w:p>
    <w:p>
      <w:pPr>
        <w:pStyle w:val="GesAbsatz"/>
        <w:ind w:left="426" w:hanging="426"/>
        <w:rPr>
          <w:rFonts w:cs="Arial"/>
          <w:szCs w:val="17"/>
        </w:rPr>
      </w:pPr>
      <w:r>
        <w:rPr>
          <w:rFonts w:cs="Arial"/>
          <w:szCs w:val="17"/>
        </w:rPr>
        <w:t>3.</w:t>
      </w:r>
      <w:r>
        <w:rPr>
          <w:rFonts w:cs="Arial"/>
          <w:szCs w:val="17"/>
        </w:rPr>
        <w:tab/>
        <w:t>Die Validierung der Angaben zu den Emissionen ist nur möglich, wenn zuverlässige und glaubwürdige Daten und Informationen eine Bestimmung der Emissionen mit einem hohen Zuverlässigkeitsgrad gestatten. Ein hoher Zuverlässigkeitsgrad verlangt vom Betreiber den Nachweis, dass</w:t>
      </w:r>
    </w:p>
    <w:p>
      <w:pPr>
        <w:pStyle w:val="GesAbsatz"/>
        <w:tabs>
          <w:tab w:val="clear" w:pos="425"/>
        </w:tabs>
        <w:ind w:left="851" w:hanging="425"/>
      </w:pPr>
      <w:r>
        <w:t>a)</w:t>
      </w:r>
      <w:r>
        <w:tab/>
        <w:t>die übermittelten Daten schlüssig sind,</w:t>
      </w:r>
    </w:p>
    <w:p>
      <w:pPr>
        <w:pStyle w:val="GesAbsatz"/>
        <w:tabs>
          <w:tab w:val="clear" w:pos="425"/>
        </w:tabs>
        <w:ind w:left="851" w:hanging="425"/>
      </w:pPr>
      <w:r>
        <w:t>b)</w:t>
      </w:r>
      <w:r>
        <w:tab/>
        <w:t>die Erhebung der Daten in Einklang mit geltenden wissenschaftlichen Standards erfolgt ist und</w:t>
      </w:r>
    </w:p>
    <w:p>
      <w:pPr>
        <w:pStyle w:val="GesAbsatz"/>
        <w:tabs>
          <w:tab w:val="clear" w:pos="425"/>
        </w:tabs>
        <w:ind w:left="851" w:hanging="425"/>
        <w:rPr>
          <w:rFonts w:cs="Arial"/>
          <w:szCs w:val="17"/>
        </w:rPr>
      </w:pPr>
      <w:r>
        <w:t>c)</w:t>
      </w:r>
      <w:r>
        <w:tab/>
        <w:t xml:space="preserve">die </w:t>
      </w:r>
      <w:r>
        <w:rPr>
          <w:rFonts w:cs="Arial"/>
          <w:szCs w:val="17"/>
        </w:rPr>
        <w:t>einschlägigen Angaben über die Anlage vollständig und schlüssig sind.</w:t>
      </w:r>
    </w:p>
    <w:p>
      <w:pPr>
        <w:pStyle w:val="GesAbsatz"/>
        <w:ind w:left="426" w:hanging="426"/>
      </w:pPr>
      <w:r>
        <w:t>4.</w:t>
      </w:r>
      <w:r>
        <w:tab/>
        <w:t>Die prüfende Instanz erhält Zugang zu allen Standorten und zu allen Informationen, die mit dem Gegenstand der Prüfung im Zusammenhang stehen.</w:t>
      </w:r>
    </w:p>
    <w:p>
      <w:pPr>
        <w:pStyle w:val="GesAbsatz"/>
        <w:ind w:left="426" w:hanging="426"/>
      </w:pPr>
      <w:r>
        <w:t>5.</w:t>
      </w:r>
      <w:r>
        <w:tab/>
        <w:t>Die prüfende Instanz berücksichtigt, ob die Anlage im Rahmen des EU-EHS für das Umweltmanagement und die Umweltbetriebsprüfung (EMAS) registriert ist.</w:t>
      </w:r>
    </w:p>
    <w:p>
      <w:pPr>
        <w:pStyle w:val="GesAbsatz"/>
        <w:rPr>
          <w:rFonts w:cs="Arial"/>
          <w:b/>
          <w:bCs/>
          <w:szCs w:val="17"/>
        </w:rPr>
      </w:pPr>
      <w:r>
        <w:rPr>
          <w:rFonts w:cs="Arial"/>
          <w:b/>
          <w:bCs/>
          <w:szCs w:val="17"/>
        </w:rPr>
        <w:t>Methodik</w:t>
      </w:r>
    </w:p>
    <w:p>
      <w:pPr>
        <w:pStyle w:val="GesAbsatz"/>
        <w:rPr>
          <w:rFonts w:cs="Arial"/>
          <w:i/>
          <w:iCs/>
          <w:szCs w:val="17"/>
        </w:rPr>
      </w:pPr>
      <w:r>
        <w:rPr>
          <w:rFonts w:cs="Arial"/>
          <w:i/>
          <w:iCs/>
          <w:szCs w:val="17"/>
        </w:rPr>
        <w:t>Strategische Analyse</w:t>
      </w:r>
    </w:p>
    <w:p>
      <w:pPr>
        <w:pStyle w:val="GesAbsatz"/>
        <w:ind w:left="426" w:hanging="426"/>
        <w:rPr>
          <w:rFonts w:cs="Arial"/>
          <w:szCs w:val="17"/>
        </w:rPr>
      </w:pPr>
      <w:r>
        <w:t>6.</w:t>
      </w:r>
      <w:r>
        <w:tab/>
        <w:t>Die</w:t>
      </w:r>
      <w:r>
        <w:rPr>
          <w:rFonts w:cs="Arial"/>
          <w:szCs w:val="17"/>
        </w:rPr>
        <w:t xml:space="preserve"> Prüfung basiert auf einer strategischen Analyse aller Tätigkeiten, die in der Anlage durchgeführt werden. Dazu benötigt die prüfende Instanz einen Überblick über alle Tätigkeiten und ihre Bedeutung für die Emissionen.</w:t>
      </w:r>
    </w:p>
    <w:p>
      <w:pPr>
        <w:pStyle w:val="GesAbsatz"/>
        <w:rPr>
          <w:rFonts w:cs="Arial"/>
          <w:i/>
          <w:iCs/>
          <w:szCs w:val="17"/>
        </w:rPr>
      </w:pPr>
      <w:r>
        <w:rPr>
          <w:rFonts w:cs="Arial"/>
          <w:i/>
          <w:iCs/>
          <w:szCs w:val="17"/>
        </w:rPr>
        <w:t>Prozessanalyse</w:t>
      </w:r>
    </w:p>
    <w:p>
      <w:pPr>
        <w:pStyle w:val="GesAbsatz"/>
        <w:ind w:left="426" w:hanging="426"/>
        <w:rPr>
          <w:rFonts w:cs="Arial"/>
          <w:szCs w:val="17"/>
        </w:rPr>
      </w:pPr>
      <w:r>
        <w:rPr>
          <w:rFonts w:cs="Arial"/>
          <w:szCs w:val="17"/>
        </w:rPr>
        <w:t>7.</w:t>
      </w:r>
      <w:r>
        <w:rPr>
          <w:rFonts w:cs="Arial"/>
          <w:szCs w:val="17"/>
        </w:rPr>
        <w:tab/>
        <w:t xml:space="preserve">Die Prüfung der übermittelten Informationen erfolgt bei Bedarf am Standort der Anlage. Die prüfende </w:t>
      </w:r>
      <w:r>
        <w:t>Instanz</w:t>
      </w:r>
      <w:r>
        <w:rPr>
          <w:rFonts w:cs="Arial"/>
          <w:szCs w:val="17"/>
        </w:rPr>
        <w:t xml:space="preserve"> führt Stichproben durch, um die Zuverlässigkeit der übermittelten Daten und Informationen zu ermitteln.</w:t>
      </w:r>
    </w:p>
    <w:p>
      <w:pPr>
        <w:pStyle w:val="GesAbsatz"/>
        <w:rPr>
          <w:rFonts w:cs="Arial"/>
          <w:i/>
          <w:iCs/>
          <w:szCs w:val="17"/>
        </w:rPr>
      </w:pPr>
      <w:r>
        <w:rPr>
          <w:rFonts w:cs="Arial"/>
          <w:i/>
          <w:iCs/>
          <w:szCs w:val="17"/>
        </w:rPr>
        <w:t>Risikoanalyse</w:t>
      </w:r>
    </w:p>
    <w:p>
      <w:pPr>
        <w:pStyle w:val="GesAbsatz"/>
        <w:ind w:left="426" w:hanging="426"/>
        <w:rPr>
          <w:rFonts w:cs="Arial"/>
          <w:szCs w:val="17"/>
        </w:rPr>
      </w:pPr>
      <w:r>
        <w:rPr>
          <w:rFonts w:cs="Arial"/>
          <w:szCs w:val="17"/>
        </w:rPr>
        <w:t>8.</w:t>
      </w:r>
      <w:r>
        <w:rPr>
          <w:rFonts w:cs="Arial"/>
          <w:szCs w:val="17"/>
        </w:rPr>
        <w:tab/>
        <w:t>Die prüfende Instanz unterzieht alle Quellen von Emissionen in der Anlage einer Bewertung in Bezug auf die Zuverlässigkeit der Daten über jede Quelle, die zu den Gesamtemissionen der Anlage beiträgt.</w:t>
      </w:r>
    </w:p>
    <w:p>
      <w:pPr>
        <w:pStyle w:val="GesAbsatz"/>
        <w:ind w:left="426" w:hanging="426"/>
        <w:rPr>
          <w:rFonts w:cs="Arial"/>
          <w:szCs w:val="17"/>
        </w:rPr>
      </w:pPr>
      <w:r>
        <w:rPr>
          <w:rFonts w:cs="Arial"/>
          <w:szCs w:val="17"/>
        </w:rPr>
        <w:t>9.</w:t>
      </w:r>
      <w:r>
        <w:rPr>
          <w:rFonts w:cs="Arial"/>
          <w:szCs w:val="17"/>
        </w:rPr>
        <w:tab/>
        <w:t>Anhand dieser Analyse ermittelt die prüfende Instanz ausdrücklich die Quellen mit hohem Fehlerrisiko und andere Aspekte des Überwachungs- und Berichterstattungsverfahrens, die zu Fehlern bei der Bestimmung der Gesamtemissionen führen könnten. Hier sind insbesondere die Wahl der Emissionsfaktoren und die Berechnungen zur Bestimmung der Emissionen einzelner Emissionsquellen zu nennen. Besondere Aufmerksamkeit ist Quellen mit einem hohen Fehlerrisiko und den genannten anderen Aspekten des Überwachungsverfahrens zu widmen.</w:t>
      </w:r>
    </w:p>
    <w:p>
      <w:pPr>
        <w:pStyle w:val="GesAbsatz"/>
        <w:ind w:left="426" w:hanging="426"/>
        <w:rPr>
          <w:rFonts w:cs="Arial"/>
          <w:szCs w:val="17"/>
        </w:rPr>
      </w:pPr>
      <w:r>
        <w:rPr>
          <w:rFonts w:cs="Arial"/>
          <w:szCs w:val="17"/>
        </w:rPr>
        <w:t>10.</w:t>
      </w:r>
      <w:r>
        <w:rPr>
          <w:rFonts w:cs="Arial"/>
          <w:szCs w:val="17"/>
        </w:rPr>
        <w:tab/>
        <w:t xml:space="preserve">Die prüfende Instanz berücksichtigt etwaige effektive Verfahren zur Beherrschung der Risiken, die der Betreiber anwendet, um Unsicherheiten so gering wie möglich zu halten. </w:t>
      </w:r>
    </w:p>
    <w:p>
      <w:pPr>
        <w:pStyle w:val="GesAbsatz"/>
        <w:tabs>
          <w:tab w:val="clear" w:pos="425"/>
        </w:tabs>
        <w:rPr>
          <w:rFonts w:cs="Arial"/>
          <w:i/>
          <w:iCs/>
          <w:szCs w:val="17"/>
        </w:rPr>
      </w:pPr>
      <w:r>
        <w:rPr>
          <w:rFonts w:cs="Arial"/>
          <w:i/>
          <w:iCs/>
          <w:szCs w:val="17"/>
        </w:rPr>
        <w:t>Bericht</w:t>
      </w:r>
    </w:p>
    <w:p>
      <w:pPr>
        <w:pStyle w:val="GesAbsatz"/>
        <w:ind w:left="426" w:hanging="426"/>
        <w:rPr>
          <w:rFonts w:cs="Arial"/>
          <w:szCs w:val="17"/>
        </w:rPr>
      </w:pPr>
      <w:r>
        <w:rPr>
          <w:rFonts w:cs="Arial"/>
          <w:szCs w:val="17"/>
        </w:rPr>
        <w:t>11.</w:t>
      </w:r>
      <w:r>
        <w:rPr>
          <w:rFonts w:cs="Arial"/>
          <w:szCs w:val="17"/>
        </w:rPr>
        <w:tab/>
        <w:t xml:space="preserve">Die prüfende Instanz erstellt einen Bericht über die Validierung, in dem angegeben wird, ob der Bericht gemäß Artikel 14 Absatz 3 zufrieden stellend ist. In diesem Bericht sind alle für die durchgeführten Arbeiten relevanten Aspekte aufzuführen. Die Erklärung, dass der Bericht gemäß Artikel 14 Absatz 3 zufrieden </w:t>
      </w:r>
      <w:r>
        <w:rPr>
          <w:rFonts w:cs="Arial"/>
          <w:szCs w:val="17"/>
        </w:rPr>
        <w:lastRenderedPageBreak/>
        <w:t>stellend ist, kann abgegeben werden, wenn die prüfende Instanz zu der Ansicht gelangt, dass zu den Gesamtemissionen keine wesentlich falschen Angaben gemacht wurden.</w:t>
      </w:r>
    </w:p>
    <w:p>
      <w:pPr>
        <w:pStyle w:val="GesAbsatz"/>
        <w:tabs>
          <w:tab w:val="clear" w:pos="425"/>
        </w:tabs>
        <w:rPr>
          <w:rFonts w:cs="Arial"/>
          <w:i/>
          <w:iCs/>
          <w:szCs w:val="17"/>
        </w:rPr>
      </w:pPr>
      <w:r>
        <w:rPr>
          <w:rFonts w:cs="Arial"/>
          <w:i/>
          <w:iCs/>
          <w:szCs w:val="17"/>
        </w:rPr>
        <w:t>Mindestanforderungen an die Kompetenz der prüfenden Instanz</w:t>
      </w:r>
    </w:p>
    <w:p>
      <w:pPr>
        <w:pStyle w:val="GesAbsatz"/>
        <w:ind w:left="426" w:hanging="426"/>
      </w:pPr>
      <w:r>
        <w:t>12.</w:t>
      </w:r>
      <w:r>
        <w:tab/>
        <w:t>Die prüfende Instanz muss unabhängig von dem Betreiber sein, ihre Aufgabe professionell und objektiv ausführen und vertraut sein mit</w:t>
      </w:r>
    </w:p>
    <w:p>
      <w:pPr>
        <w:pStyle w:val="GesAbsatz"/>
        <w:tabs>
          <w:tab w:val="clear" w:pos="425"/>
        </w:tabs>
        <w:ind w:left="851" w:hanging="425"/>
      </w:pPr>
      <w:r>
        <w:t>a)</w:t>
      </w:r>
      <w:r>
        <w:tab/>
        <w:t>den Bestimmungen dieser Richtlinie sowie den einschlägigen Normen und Leitlinien, die von der Kommission gemäß Artikel 14 Absatz 1 verabschiedet werden,</w:t>
      </w:r>
    </w:p>
    <w:p>
      <w:pPr>
        <w:pStyle w:val="GesAbsatz"/>
        <w:tabs>
          <w:tab w:val="clear" w:pos="425"/>
        </w:tabs>
        <w:ind w:left="851" w:hanging="425"/>
      </w:pPr>
      <w:r>
        <w:t>b)</w:t>
      </w:r>
      <w:r>
        <w:tab/>
        <w:t>den Rechts- und Verwaltungsvorschriften, die für die zu prüfenden Tätigkeiten von Belang sind, und</w:t>
      </w:r>
    </w:p>
    <w:p>
      <w:pPr>
        <w:pStyle w:val="GesAbsatz"/>
        <w:tabs>
          <w:tab w:val="clear" w:pos="425"/>
        </w:tabs>
        <w:ind w:left="851" w:hanging="425"/>
      </w:pPr>
      <w:r>
        <w:t>c)</w:t>
      </w:r>
      <w:r>
        <w:tab/>
        <w:t>dem Zustandekommen aller Informationen über die einzelnen Emissionsquellen in der Anlage, insbesondere im Hinblick auf Sammlung, messtechnische Erhebung, Berechnung und Übermittlung von Daten.</w:t>
      </w:r>
    </w:p>
    <w:p>
      <w:pPr>
        <w:pStyle w:val="GesAbsatz"/>
        <w:tabs>
          <w:tab w:val="clear" w:pos="425"/>
          <w:tab w:val="left" w:pos="426"/>
        </w:tabs>
        <w:ind w:left="426" w:hanging="425"/>
        <w:rPr>
          <w:b/>
        </w:rPr>
      </w:pPr>
      <w:r>
        <w:rPr>
          <w:b/>
        </w:rPr>
        <w:t>TEIL B - Prüfung von Emissionen aus Luftverkehrstätigkeiten</w:t>
      </w:r>
    </w:p>
    <w:p>
      <w:pPr>
        <w:pStyle w:val="GesAbsatz"/>
        <w:tabs>
          <w:tab w:val="clear" w:pos="425"/>
          <w:tab w:val="left" w:pos="426"/>
        </w:tabs>
        <w:ind w:left="426" w:hanging="425"/>
      </w:pPr>
      <w:r>
        <w:t>13.</w:t>
      </w:r>
      <w:r>
        <w:tab/>
        <w:t>Die in diesem Anhang festgelegten allgemeinen Grundsätze und Methoden finden auf die Prüfung von Berichten über Emissionen aus Flügen im Rahmen einer Luftverkehrstätigkeit gemäß Anhang I Anwendung.</w:t>
      </w:r>
    </w:p>
    <w:p>
      <w:pPr>
        <w:pStyle w:val="GesAbsatz"/>
        <w:tabs>
          <w:tab w:val="clear" w:pos="425"/>
        </w:tabs>
        <w:ind w:left="426" w:firstLine="1"/>
      </w:pPr>
      <w:r>
        <w:t>Zu diesem Zwecke gilt Folgendes:</w:t>
      </w:r>
    </w:p>
    <w:p>
      <w:pPr>
        <w:pStyle w:val="GesAbsatz"/>
        <w:tabs>
          <w:tab w:val="clear" w:pos="425"/>
        </w:tabs>
        <w:ind w:left="851" w:hanging="425"/>
      </w:pPr>
      <w:r>
        <w:t>a)</w:t>
      </w:r>
      <w:r>
        <w:tab/>
        <w:t>Der Begriff ‚Betreiber‘ nach Nummer 3 ist im Sinne eines Luftfahrzeugbetreibers zu verstehen, und die Bezugnahme auf die Anlage nach Buchstabe c dieser Nummer gilt als eine Bezugnahme auf das Luftfahrzeug, das zur Durchführung der unter den Bericht fallenden Luftverkehrstätigkeiten eingesetzt wurde;</w:t>
      </w:r>
    </w:p>
    <w:p>
      <w:pPr>
        <w:pStyle w:val="GesAbsatz"/>
        <w:tabs>
          <w:tab w:val="clear" w:pos="425"/>
        </w:tabs>
        <w:ind w:left="851" w:hanging="425"/>
      </w:pPr>
      <w:r>
        <w:t>b)</w:t>
      </w:r>
      <w:r>
        <w:tab/>
        <w:t>unter Nummer 5 gilt die Bezugnahme auf die Anlage als Bezugnahme auf den Luftfahrzeugbetreiber;</w:t>
      </w:r>
    </w:p>
    <w:p>
      <w:pPr>
        <w:pStyle w:val="GesAbsatz"/>
        <w:tabs>
          <w:tab w:val="clear" w:pos="425"/>
        </w:tabs>
        <w:ind w:left="851" w:hanging="425"/>
      </w:pPr>
      <w:r>
        <w:t>c)</w:t>
      </w:r>
      <w:r>
        <w:tab/>
        <w:t>unter Nummer 6 gilt die Bezugnahme auf Tätigkeiten, die in der Anlage durchgeführt werden, als Bezugnahme auf unter den Bericht fallende Luftverkehrstätigkeiten des Luftfahrzeugbetreibers;</w:t>
      </w:r>
    </w:p>
    <w:p>
      <w:pPr>
        <w:pStyle w:val="GesAbsatz"/>
        <w:tabs>
          <w:tab w:val="clear" w:pos="425"/>
        </w:tabs>
        <w:ind w:left="851" w:hanging="425"/>
      </w:pPr>
      <w:r>
        <w:t>d)</w:t>
      </w:r>
      <w:r>
        <w:tab/>
        <w:t>unter Nummer 7 gilt die Bezugnahme auf den Standort der Anlage als Bezugnahme auf die Standorte, die der Luftfahrzeugbetreiber zur Durchführung der unter den Bericht fallenden Luftverkehrstätigkeiten nutzt;</w:t>
      </w:r>
    </w:p>
    <w:p>
      <w:pPr>
        <w:pStyle w:val="GesAbsatz"/>
        <w:tabs>
          <w:tab w:val="clear" w:pos="425"/>
        </w:tabs>
        <w:ind w:left="851" w:hanging="425"/>
      </w:pPr>
      <w:r>
        <w:t>e)</w:t>
      </w:r>
      <w:r>
        <w:tab/>
        <w:t>unter den Nummern 8 und 9 gelten die Bezugnahmen auf Quellen von Emissionen als Bezugnahme auf das Luftfahrzeug, für das der Luftfahrzeugbetreiber verantwortlich ist; und</w:t>
      </w:r>
    </w:p>
    <w:p>
      <w:pPr>
        <w:pStyle w:val="GesAbsatz"/>
        <w:tabs>
          <w:tab w:val="clear" w:pos="425"/>
        </w:tabs>
        <w:ind w:left="851" w:hanging="425"/>
      </w:pPr>
      <w:r>
        <w:t>f)</w:t>
      </w:r>
      <w:r>
        <w:tab/>
        <w:t>unter den Nummern 10 und 12 gelten die Bezugnahmen auf den Betreiber als Bezugnahmen auf den Luftfahrzeugbetreiber.</w:t>
      </w:r>
    </w:p>
    <w:p>
      <w:pPr>
        <w:pStyle w:val="GesAbsatz"/>
        <w:tabs>
          <w:tab w:val="clear" w:pos="425"/>
        </w:tabs>
        <w:ind w:firstLine="1"/>
        <w:rPr>
          <w:b/>
        </w:rPr>
      </w:pPr>
      <w:r>
        <w:rPr>
          <w:b/>
        </w:rPr>
        <w:t>Zusätzliche Bestimmungen für die Prüfung von Berichten über Emissionen des Luftverkehrs</w:t>
      </w:r>
    </w:p>
    <w:p>
      <w:pPr>
        <w:pStyle w:val="GesAbsatz"/>
        <w:tabs>
          <w:tab w:val="clear" w:pos="425"/>
          <w:tab w:val="left" w:pos="426"/>
        </w:tabs>
        <w:ind w:firstLine="1"/>
      </w:pPr>
      <w:r>
        <w:t>14.</w:t>
      </w:r>
      <w:r>
        <w:tab/>
        <w:t>Die Prüfstelle stellt insbesondere sicher, dass</w:t>
      </w:r>
    </w:p>
    <w:p>
      <w:pPr>
        <w:pStyle w:val="GesAbsatz"/>
        <w:tabs>
          <w:tab w:val="clear" w:pos="425"/>
        </w:tabs>
        <w:ind w:left="851" w:hanging="425"/>
      </w:pPr>
      <w:r>
        <w:t>a)</w:t>
      </w:r>
      <w:r>
        <w:tab/>
        <w:t>alle Flüge berücksichtigt werden, die unter eine der Luftverkehrstätigkeiten gemäß Anhang I fallen. Die Prüfstelle verwendet hierzu Flugplandaten und sonstige Daten über den Flugbetrieb des Luftfahrzeugbetreibers, einschließlich Daten von Eurocontrol, die der Luftfahrzeugbetreiber angefordert hat;</w:t>
      </w:r>
    </w:p>
    <w:p>
      <w:pPr>
        <w:pStyle w:val="GesAbsatz"/>
        <w:tabs>
          <w:tab w:val="clear" w:pos="425"/>
        </w:tabs>
        <w:ind w:left="851" w:hanging="425"/>
      </w:pPr>
      <w:r>
        <w:t>b)</w:t>
      </w:r>
      <w:r>
        <w:tab/>
        <w:t>insgesamt Übereinstimmung besteht zwischen den Daten über den Gesamttreibstoffverbrauch und den Daten über den Treibstoffkauf oder die anderweitige Treibstoffversorgung des für die Luftverkehrstätigkeit eingesetzten Luftfahrzeugs.</w:t>
      </w:r>
    </w:p>
    <w:p>
      <w:pPr>
        <w:pStyle w:val="GesAbsatz"/>
        <w:tabs>
          <w:tab w:val="clear" w:pos="425"/>
        </w:tabs>
        <w:ind w:firstLine="1"/>
        <w:rPr>
          <w:b/>
        </w:rPr>
      </w:pPr>
      <w:r>
        <w:rPr>
          <w:b/>
        </w:rPr>
        <w:t>Zusätzliche Bestimmungen für die Prüfung von Tonnenkilometerdaten, die für die Zwecke der Artikel 3e und 3f übermittelt wurden</w:t>
      </w:r>
    </w:p>
    <w:p>
      <w:pPr>
        <w:pStyle w:val="GesAbsatz"/>
        <w:tabs>
          <w:tab w:val="clear" w:pos="425"/>
        </w:tabs>
        <w:ind w:left="426" w:hanging="425"/>
      </w:pPr>
      <w:r>
        <w:t>15.</w:t>
      </w:r>
      <w:r>
        <w:tab/>
        <w:t>Die in diesem Anhang festgelegten allgemeinen Grundsätze und Methoden für die Prüfung von Emissionsberichten gemäß Artikel 14 Absatz 3 finden gegebenenfalls auch analog auf die Prüfung von Tonnenkilometerdaten Anwendung.</w:t>
      </w:r>
    </w:p>
    <w:p>
      <w:pPr>
        <w:pStyle w:val="GesAbsatz"/>
        <w:tabs>
          <w:tab w:val="clear" w:pos="425"/>
        </w:tabs>
        <w:ind w:left="426" w:hanging="425"/>
      </w:pPr>
      <w:r>
        <w:t>16.</w:t>
      </w:r>
      <w:r>
        <w:tab/>
        <w:t>Die Prüfstelle stellt insbesondere sicher, dass im Antrag des Luftfahrzeugbetreibers gemäß Artikel 3e Absatz 1 und Artikel 3f Absatz 2 nur Flüge berücksichtigt werden, die tatsächlich durchgeführt wurden und die unter eine der Luftverkehrstätigkeiten gemäß Anhang I fallen, für die der Luftfahrzeugbetreiber verantwortlich ist. Die Prüfstelle verwendet hierzu Daten über den Flugbetrieb des Luftfahrzeugbetreibers, einschließlich Daten von Eurocontrol, die der Luftfahrzeugbetreiber angefordert hat. Die Prüfstelle stellt ferner sicher, dass die vom Luftfahrzeugbetreiber mitgeteilte Nutzlast den Nutzlastdaten entspricht, die der Luftfahrzeugbetreiber zu Zwecken der Sicherheit angibt.</w:t>
      </w:r>
    </w:p>
    <w:sectPr>
      <w:headerReference w:type="default" r:id="rId24"/>
      <w:footerReference w:type="even" r:id="rId25"/>
      <w:footerReference w:type="default" r:id="rId26"/>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Italic-Identity-H">
    <w:altName w:val="Times New Roman"/>
    <w:panose1 w:val="00000000000000000000"/>
    <w:charset w:val="EE"/>
    <w:family w:val="auto"/>
    <w:notTrueType/>
    <w:pitch w:val="default"/>
    <w:sig w:usb0="00000005" w:usb1="00000000" w:usb2="00000000" w:usb3="00000000" w:csb0="00000002"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lear" w:pos="425"/>
        <w:tab w:val="right" w:pos="8505"/>
        <w:tab w:val="right" w:pos="9639"/>
      </w:tabs>
      <w:spacing w:after="0"/>
      <w:jc w:val="left"/>
      <w:rPr>
        <w:sz w:val="16"/>
      </w:rPr>
    </w:pPr>
    <w:r>
      <w:rPr>
        <w:sz w:val="16"/>
      </w:rPr>
      <w:tab/>
      <w:t>13.10.2003 (ABl. L 275 v. 25.10.2003 S. 32)</w:t>
    </w:r>
    <w:r>
      <w:rPr>
        <w:sz w:val="16"/>
      </w:rPr>
      <w:tab/>
      <w:t xml:space="preserve">Seite </w:t>
    </w:r>
    <w:r>
      <w:rPr>
        <w:sz w:val="16"/>
      </w:rPr>
      <w:fldChar w:fldCharType="begin"/>
    </w:r>
    <w:r>
      <w:rPr>
        <w:sz w:val="16"/>
      </w:rPr>
      <w:instrText xml:space="preserve"> PAGE  \* MERGEFORMAT </w:instrText>
    </w:r>
    <w:r>
      <w:rPr>
        <w:sz w:val="16"/>
      </w:rPr>
      <w:fldChar w:fldCharType="separate"/>
    </w:r>
    <w:r>
      <w:rPr>
        <w:noProof/>
        <w:sz w:val="16"/>
      </w:rPr>
      <w:t>1</w:t>
    </w:r>
    <w:r>
      <w:rPr>
        <w:sz w:val="16"/>
      </w:rPr>
      <w:fldChar w:fldCharType="end"/>
    </w:r>
  </w:p>
  <w:p>
    <w:pPr>
      <w:tabs>
        <w:tab w:val="clear" w:pos="425"/>
        <w:tab w:val="right" w:pos="8505"/>
        <w:tab w:val="right" w:pos="9639"/>
      </w:tabs>
      <w:spacing w:after="0"/>
      <w:jc w:val="left"/>
      <w:rPr>
        <w:sz w:val="16"/>
        <w:lang w:val="en-US"/>
      </w:rPr>
    </w:pPr>
    <w:r>
      <w:rPr>
        <w:sz w:val="16"/>
      </w:rPr>
      <w:tab/>
    </w:r>
    <w:r>
      <w:rPr>
        <w:sz w:val="16"/>
        <w:lang w:val="en-US"/>
      </w:rPr>
      <w:t>Stand 10.05.2023 (ABl. L 130 v. 16.05.2023 S. 115)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rFonts w:cs="Arial"/>
          <w:szCs w:val="17"/>
        </w:rPr>
        <w:t>ABl. C 75 E vom 26.3.2002, S. 33.</w:t>
      </w:r>
    </w:p>
  </w:footnote>
  <w:footnote w:id="2">
    <w:p>
      <w:pPr>
        <w:pStyle w:val="Funotentext"/>
      </w:pPr>
      <w:r>
        <w:rPr>
          <w:rStyle w:val="Funotenzeichen"/>
        </w:rPr>
        <w:footnoteRef/>
      </w:r>
      <w:r>
        <w:t xml:space="preserve"> </w:t>
      </w:r>
      <w:r>
        <w:rPr>
          <w:rFonts w:cs="Arial"/>
          <w:szCs w:val="17"/>
        </w:rPr>
        <w:t>ABl. C 221 vom 17.9.2002, S. 27.</w:t>
      </w:r>
    </w:p>
  </w:footnote>
  <w:footnote w:id="3">
    <w:p>
      <w:pPr>
        <w:pStyle w:val="Funotentext"/>
      </w:pPr>
      <w:r>
        <w:rPr>
          <w:rStyle w:val="Funotenzeichen"/>
        </w:rPr>
        <w:footnoteRef/>
      </w:r>
      <w:r>
        <w:t xml:space="preserve"> </w:t>
      </w:r>
      <w:r>
        <w:rPr>
          <w:rFonts w:cs="Arial"/>
          <w:szCs w:val="17"/>
        </w:rPr>
        <w:t>ABl. C 192 vom 12.8.2002, S. 59.</w:t>
      </w:r>
    </w:p>
  </w:footnote>
  <w:footnote w:id="4">
    <w:p>
      <w:pPr>
        <w:pStyle w:val="Funotentext"/>
        <w:tabs>
          <w:tab w:val="clear" w:pos="425"/>
          <w:tab w:val="left" w:pos="120"/>
        </w:tabs>
        <w:ind w:left="120" w:hanging="120"/>
      </w:pPr>
      <w:r>
        <w:rPr>
          <w:rStyle w:val="Funotenzeichen"/>
        </w:rPr>
        <w:footnoteRef/>
      </w:r>
      <w:r>
        <w:rPr>
          <w:rFonts w:cs="Arial"/>
          <w:szCs w:val="17"/>
        </w:rPr>
        <w:t xml:space="preserve"> Stellungnahme des Europäischen Parlaments vom 10. Oktober 2002 (noch nicht im Amtsblatt veröffentlicht), Gemeinsamer Standpunkt des Rates vom 18. März 2003 (ABl. C 125 E vom 27.5.2003, S. 72), Beschluss des Europäischen Parlaments vom 2. Juli 2003 (noch nicht im Amtsblatt veröffentlicht) und Beschluss des Rates vom 22. Juli 2003.</w:t>
      </w:r>
    </w:p>
  </w:footnote>
  <w:footnote w:id="5">
    <w:p>
      <w:pPr>
        <w:pStyle w:val="Funotentext"/>
      </w:pPr>
      <w:r>
        <w:rPr>
          <w:rStyle w:val="Funotenzeichen"/>
        </w:rPr>
        <w:footnoteRef/>
      </w:r>
      <w:r>
        <w:t xml:space="preserve"> </w:t>
      </w:r>
      <w:r>
        <w:rPr>
          <w:rFonts w:cs="Arial"/>
          <w:szCs w:val="17"/>
        </w:rPr>
        <w:t>ABl. L 242 vom 10.9.2002, S. 1.</w:t>
      </w:r>
    </w:p>
  </w:footnote>
  <w:footnote w:id="6">
    <w:p>
      <w:pPr>
        <w:pStyle w:val="Funotentext"/>
        <w:tabs>
          <w:tab w:val="clear" w:pos="425"/>
          <w:tab w:val="left" w:pos="240"/>
        </w:tabs>
      </w:pPr>
      <w:r>
        <w:rPr>
          <w:rStyle w:val="Funotenzeichen"/>
        </w:rPr>
        <w:footnoteRef/>
      </w:r>
      <w:r>
        <w:t xml:space="preserve"> </w:t>
      </w:r>
      <w:r>
        <w:rPr>
          <w:rFonts w:cs="Arial"/>
          <w:szCs w:val="17"/>
        </w:rPr>
        <w:t>ABl. L 33 vom 7.2.1994, S. 11.</w:t>
      </w:r>
    </w:p>
  </w:footnote>
  <w:footnote w:id="7">
    <w:p>
      <w:pPr>
        <w:pStyle w:val="Funotentext"/>
        <w:tabs>
          <w:tab w:val="clear" w:pos="425"/>
          <w:tab w:val="left" w:pos="240"/>
        </w:tabs>
      </w:pPr>
      <w:r>
        <w:rPr>
          <w:rStyle w:val="Funotenzeichen"/>
        </w:rPr>
        <w:footnoteRef/>
      </w:r>
      <w:r>
        <w:t xml:space="preserve"> </w:t>
      </w:r>
      <w:r>
        <w:rPr>
          <w:rFonts w:cs="Arial"/>
          <w:szCs w:val="17"/>
        </w:rPr>
        <w:t>ABl. L 130 vom 15.5.2002, S. 1.</w:t>
      </w:r>
    </w:p>
  </w:footnote>
  <w:footnote w:id="8">
    <w:p>
      <w:pPr>
        <w:pStyle w:val="Funotentext"/>
      </w:pPr>
      <w:r>
        <w:rPr>
          <w:rStyle w:val="Funotenzeichen"/>
        </w:rPr>
        <w:footnoteRef/>
      </w:r>
      <w:r>
        <w:t xml:space="preserve"> </w:t>
      </w:r>
      <w:r>
        <w:rPr>
          <w:rFonts w:cs="Arial"/>
          <w:szCs w:val="17"/>
        </w:rPr>
        <w:t>ABl. L 167 vom 9.7.1993, S. 31. Geändert durch die Entscheidung 1999/296/EG (ABl. L 117 vom 5.5.1999, S. 35).</w:t>
      </w:r>
    </w:p>
  </w:footnote>
  <w:footnote w:id="9">
    <w:p>
      <w:pPr>
        <w:pStyle w:val="Funotentext"/>
      </w:pPr>
      <w:r>
        <w:rPr>
          <w:rStyle w:val="Funotenzeichen"/>
        </w:rPr>
        <w:footnoteRef/>
      </w:r>
      <w:r>
        <w:t xml:space="preserve"> </w:t>
      </w:r>
      <w:r>
        <w:rPr>
          <w:rFonts w:cs="Arial"/>
          <w:szCs w:val="17"/>
        </w:rPr>
        <w:t>ABl. L 41 vom 14.2.2003, S. 26.</w:t>
      </w:r>
    </w:p>
  </w:footnote>
  <w:footnote w:id="10">
    <w:p>
      <w:pPr>
        <w:pStyle w:val="Funotentext"/>
      </w:pPr>
      <w:r>
        <w:rPr>
          <w:rStyle w:val="Funotenzeichen"/>
        </w:rPr>
        <w:footnoteRef/>
      </w:r>
      <w:r>
        <w:t xml:space="preserve"> </w:t>
      </w:r>
      <w:r>
        <w:rPr>
          <w:rFonts w:cs="Arial"/>
          <w:szCs w:val="17"/>
        </w:rPr>
        <w:t>ABl. L 377 vom 31.12.1991, S. 48.</w:t>
      </w:r>
    </w:p>
  </w:footnote>
  <w:footnote w:id="11">
    <w:p>
      <w:pPr>
        <w:pStyle w:val="Funotentext"/>
      </w:pPr>
      <w:r>
        <w:rPr>
          <w:rStyle w:val="Funotenzeichen"/>
        </w:rPr>
        <w:footnoteRef/>
      </w:r>
      <w:r>
        <w:t xml:space="preserve"> </w:t>
      </w:r>
      <w:r>
        <w:rPr>
          <w:rFonts w:cs="Arial"/>
          <w:szCs w:val="17"/>
        </w:rPr>
        <w:t xml:space="preserve"> ABl. L 257 vom 10.10.1996, S. 26.</w:t>
      </w:r>
    </w:p>
  </w:footnote>
  <w:footnote w:id="12">
    <w:p>
      <w:pPr>
        <w:pStyle w:val="Funotentext"/>
      </w:pPr>
      <w:r>
        <w:rPr>
          <w:rStyle w:val="Funotenzeichen"/>
        </w:rPr>
        <w:footnoteRef/>
      </w:r>
      <w:r>
        <w:t xml:space="preserve"> </w:t>
      </w:r>
      <w:r>
        <w:rPr>
          <w:rFonts w:cs="Arial"/>
          <w:szCs w:val="17"/>
        </w:rPr>
        <w:t>ABl. L 184 vom 17.7.1999, S. 23.</w:t>
      </w:r>
    </w:p>
  </w:footnote>
  <w:footnote w:id="13">
    <w:p>
      <w:pPr>
        <w:pStyle w:val="Funotentext"/>
      </w:pPr>
      <w:r>
        <w:rPr>
          <w:rStyle w:val="Funotenzeichen"/>
        </w:rPr>
        <w:footnoteRef/>
      </w:r>
      <w:r>
        <w:t xml:space="preserve"> Richtlinie (EU) 2023/958 des Europäischen Parlaments und des Rates vom 10. Mai 2023 zur Änderung der Richtlinie 2003/87/EG in Bezug auf den Beitrag des Luftverkehrs zum gesamtwirtschaftlichen Emissionsreduktionsziel der Union und die angemessene Umsetzung eines globalen marktbasierten Mechanismus (ABl. L 130 vom 16.5.2023, S. 115).</w:t>
      </w:r>
    </w:p>
  </w:footnote>
  <w:footnote w:id="14">
    <w:p>
      <w:pPr>
        <w:pStyle w:val="Funotentext"/>
      </w:pPr>
      <w:r>
        <w:rPr>
          <w:rStyle w:val="Funotenzeichen"/>
        </w:rPr>
        <w:footnoteRef/>
      </w:r>
      <w:r>
        <w:t xml:space="preserve"> Richtlinie (EU) 2018/2001 des Europäischen Parlaments und des Rates vom 11. Dezember 2018 zur Förderung der Nutzung von Energie aus erneuerbaren Quellen (ABl. L 328 vom 21.12.2018, S. 82).</w:t>
      </w:r>
    </w:p>
  </w:footnote>
  <w:footnote w:id="15">
    <w:p>
      <w:pPr>
        <w:pStyle w:val="Funotentext"/>
      </w:pPr>
      <w:r>
        <w:rPr>
          <w:rStyle w:val="Funotenzeichen"/>
        </w:rPr>
        <w:footnoteRef/>
      </w:r>
      <w:r>
        <w:t xml:space="preserve"> Richtlinie 2010/75/EU des Europäischen Parlaments und des Rates vom 24. November 2010 über Industrieemissionen (integrierte Vermeidung und Verminderung der Umweltverschmutzung) (ABl. L 334 vom 17.12.2010, S. 17).</w:t>
      </w:r>
    </w:p>
  </w:footnote>
  <w:footnote w:id="16">
    <w:p>
      <w:pPr>
        <w:pStyle w:val="Funotentext"/>
      </w:pPr>
      <w:r>
        <w:rPr>
          <w:rStyle w:val="Funotenzeichen"/>
        </w:rPr>
        <w:footnoteRef/>
      </w:r>
      <w:r>
        <w:t xml:space="preserve"> Beschluss (EU) 2015/1814 des Europäischen Parlaments und des Rates vom 6. Oktober 2015 über die Einrichtung und Anwendung einer Marktstabilitätsreserve für das System für den Handel mit Treibhausgasemissionszertifikaten in der Union und zur Änderung der Richtlinie 2003/87/EG (ABl. L 264 vom 9.10.2015, S. 1).</w:t>
      </w:r>
    </w:p>
  </w:footnote>
  <w:footnote w:id="17">
    <w:p>
      <w:pPr>
        <w:pStyle w:val="Funotentext"/>
      </w:pPr>
      <w:r>
        <w:rPr>
          <w:rStyle w:val="Funotenzeichen"/>
        </w:rPr>
        <w:footnoteRef/>
      </w:r>
      <w:r>
        <w:t xml:space="preserve"> Beschluss 2011/278/EU der Kommission vom 27. April 2011 zur Festlegung EU-weiter Übergangsvorschriften zur Harmonisierung der kostenlosen Zuteilung von Emissionszertifikaten gemäß Artikel 10a der Richtlinie 2003/87/EG des Europäischen Parlaments und des Rates (ABl. L 130 vom 17.5.2011, S. 1).</w:t>
      </w:r>
    </w:p>
  </w:footnote>
  <w:footnote w:id="18">
    <w:p>
      <w:pPr>
        <w:pStyle w:val="Funotentext"/>
      </w:pPr>
      <w:r>
        <w:rPr>
          <w:rStyle w:val="Funotenzeichen"/>
        </w:rPr>
        <w:footnoteRef/>
      </w:r>
      <w:r>
        <w:t xml:space="preserve"> Richtlinie 2012/27/EU des Europäischen Parlaments und des Rates vom 25. Oktober 2012 zur Energieeffizienz, zur Änderung der Richtlinien 2009/125/EG und 2010/30/EU und zur Aufhebung der Richtlinien 2004/8/EG und 2006/32/EG (ABl. L 315 vom 14.11.2012, S. 1).</w:t>
      </w:r>
    </w:p>
  </w:footnote>
  <w:footnote w:id="19">
    <w:p>
      <w:pPr>
        <w:pStyle w:val="Funotentext"/>
      </w:pPr>
      <w:r>
        <w:rPr>
          <w:rStyle w:val="Funotenzeichen"/>
        </w:rPr>
        <w:footnoteRef/>
      </w:r>
      <w:r>
        <w:t xml:space="preserve"> Beschluss 2010/670/EU der Kommission vom 3. November 2010 über Kriterien und Maßnahmen für die Finanzierung von kommerziellen Demonstrationsprojekten, die auf eine umweltverträgliche Abscheidung und geologische Speicherung von CO</w:t>
      </w:r>
      <w:r>
        <w:rPr>
          <w:vertAlign w:val="subscript"/>
        </w:rPr>
        <w:t>2</w:t>
      </w:r>
      <w:r>
        <w:t xml:space="preserve"> abzielen, und von Demonstrationsprojekten für innovative Technologien für erneuerbare Energien im Rahmen des Gemeinschaftssystems für den Handel mit Treibhausgasemissionszertifikaten nach der Richtlinie 2003/87/EG des Europäischen Parlaments und des Rates (ABl. L 290 vom 6.11.2010, S. 39).“</w:t>
      </w:r>
    </w:p>
  </w:footnote>
  <w:footnote w:id="20">
    <w:p>
      <w:pPr>
        <w:pStyle w:val="Funotentext"/>
      </w:pPr>
      <w:r>
        <w:rPr>
          <w:rStyle w:val="Funotenzeichen"/>
        </w:rPr>
        <w:footnoteRef/>
      </w:r>
      <w:r>
        <w:t xml:space="preserve"> Beschluss 2014/746/EU der Kommission vom 27. Oktober 2014 zur Festlegung eines Verzeichnisses der Sektoren und Teilsektoren, von denen angenommen wird, dass sie im Zeitraum 2015-2019 einem erheblichen Risiko einer Verlagerung von CO</w:t>
      </w:r>
      <w:r>
        <w:rPr>
          <w:vertAlign w:val="subscript"/>
        </w:rPr>
        <w:t>2</w:t>
      </w:r>
      <w:r>
        <w:t>-Emissionen ausgesetzt sind, gemäß der Richtlinie 2003/87/EG des Europäischen Parlaments und des Rates (ABl. L 308 vom 29.10.2014, S. 114).</w:t>
      </w:r>
    </w:p>
  </w:footnote>
  <w:footnote w:id="21">
    <w:p>
      <w:pPr>
        <w:pStyle w:val="Funotentext"/>
      </w:pPr>
      <w:r>
        <w:rPr>
          <w:rStyle w:val="Funotenzeichen"/>
        </w:rPr>
        <w:footnoteRef/>
      </w:r>
      <w:r>
        <w:t xml:space="preserve"> Verordnung (EU) 2021/241 des Europäischen Parlaments und des Rates vom 12. Februar 2021 zur Einrichtung der Aufbau- und Resilienzfazilität (ABl. L 57 vom 18.2.2021, S. 17).</w:t>
      </w:r>
    </w:p>
  </w:footnote>
  <w:footnote w:id="22">
    <w:p>
      <w:pPr>
        <w:pStyle w:val="Funotentext"/>
      </w:pPr>
      <w:r>
        <w:rPr>
          <w:rStyle w:val="Funotenzeichen"/>
        </w:rPr>
        <w:footnoteRef/>
      </w:r>
      <w:r>
        <w:t xml:space="preserve"> Verordnung (EU) Nr. 1031/2010 der Kommission vom 12. November 2010 über den zeitlichen und administrativen Ablauf sowie sonstige Aspekte der Versteigerung von Treibhausgasemissionszertifikaten gemäß der Richtlinie 2003/87/EG des Europäischen Parlaments und des Rates über ein System für den Handel mit Treibhausgasemissionszertifikaten in der Gemeinschaft (ABl. L 302 vom 18.11.2010, S. 1).</w:t>
      </w:r>
    </w:p>
  </w:footnote>
  <w:footnote w:id="23">
    <w:p>
      <w:pPr>
        <w:pStyle w:val="Funotentext"/>
      </w:pPr>
      <w:r>
        <w:rPr>
          <w:rStyle w:val="Funotenzeichen"/>
        </w:rPr>
        <w:footnoteRef/>
      </w:r>
      <w:r>
        <w:t xml:space="preserve"> Verordnung (EU, Euratom) 2018/1046 des Europäischen Parlaments und des Rates vom 18. Juli 2018 über die Haushaltsordnung für den Gesamthaushaltsplan der Union, zur Änderung der Verordnungen (EU) Nr. 1296/2013, (EU) Nr. 1301/2013, (EU) Nr. 1303/2013, (EU) Nr. 1304/2013, (EU) Nr. 1309/2013, (EU) Nr. 1316/2013, (EU) Nr. 223/2014, (EU) Nr. 283/2014 und des Beschlusses Nr. 541/2014/EU sowie zur Aufhebung der Verordnung (EU, Euratom) Nr. 966/2012 (ABl. L 193 vom 30.7.2018, S. 1).</w:t>
      </w:r>
    </w:p>
  </w:footnote>
  <w:footnote w:id="24">
    <w:p>
      <w:pPr>
        <w:pStyle w:val="Funotentext"/>
      </w:pPr>
      <w:r>
        <w:rPr>
          <w:rStyle w:val="Funotenzeichen"/>
        </w:rPr>
        <w:t>(*)</w:t>
      </w:r>
      <w:r>
        <w:t>ABl. L 96 vom 12.4.2003, S. 16.</w:t>
      </w:r>
    </w:p>
  </w:footnote>
  <w:footnote w:id="25">
    <w:p>
      <w:pPr>
        <w:pStyle w:val="Funotentext"/>
      </w:pPr>
      <w:r>
        <w:rPr>
          <w:rStyle w:val="Funotenzeichen"/>
        </w:rPr>
        <w:t>(**)</w:t>
      </w:r>
      <w:r>
        <w:t xml:space="preserve"> ABl. L 140 vom 5.6.2009, S. 114</w:t>
      </w:r>
    </w:p>
  </w:footnote>
  <w:footnote w:id="26">
    <w:p>
      <w:pPr>
        <w:pStyle w:val="Funotentext"/>
      </w:pPr>
      <w:r>
        <w:rPr>
          <w:rStyle w:val="Funotenzeichen"/>
        </w:rPr>
        <w:footnoteRef/>
      </w:r>
      <w:r>
        <w:t xml:space="preserve"> Durchführungsverordnung (EU) 2018/2066 der Kommission vom 19. Dezember 2018 über die Überwachung von und die Berichterstattung über Treibhausgasemissionen gemäß der Richtlinie 2003/87/EG des Europäischen Parlaments und des Rates und zur Änderung der Verordnung (EU) Nr. 601/2012 der Kommission (ABl. L 334 vom 31.12.2018, S. 1).</w:t>
      </w:r>
    </w:p>
  </w:footnote>
  <w:footnote w:id="27">
    <w:p>
      <w:pPr>
        <w:pStyle w:val="Funotentext"/>
      </w:pPr>
      <w:r>
        <w:rPr>
          <w:rStyle w:val="Funotenzeichen"/>
        </w:rPr>
        <w:footnoteRef/>
      </w:r>
      <w:r>
        <w:t xml:space="preserve"> Delegierte Verordnung (EU) 2019/1603 der Kommission vom 18. Juli 2019 zur Ergänzung der Richtlinie 2003/87/EG des Europäischen Parlaments und des Rates betreffend die von der Internationalen Zivilluftfahrt-Organisation angenommenen Maßnahmen für die Überwachung von, die Berichterstattung über und die Prüfung von Luftverkehrsemissionen für die Zwecke der Umsetzung eines globalen marktbasierten Mechanismus (ABl. L 250 vom 30.9.2019, S. 10).</w:t>
      </w:r>
    </w:p>
  </w:footnote>
  <w:footnote w:id="28">
    <w:p>
      <w:pPr>
        <w:pStyle w:val="Funotentext"/>
      </w:pPr>
      <w:r>
        <w:rPr>
          <w:rStyle w:val="Funotenzeichen"/>
        </w:rPr>
        <w:t>*)</w:t>
      </w:r>
      <w:r>
        <w:t xml:space="preserve"> ABl. L 240 vom 24.08.1992, S. 1.</w:t>
      </w:r>
    </w:p>
  </w:footnote>
  <w:footnote w:id="29">
    <w:p>
      <w:pPr>
        <w:pStyle w:val="Funotentext"/>
      </w:pPr>
      <w:r>
        <w:rPr>
          <w:rStyle w:val="Funotenzeichen"/>
        </w:rPr>
        <w:footnoteRef/>
      </w:r>
      <w:r>
        <w:t xml:space="preserve"> Verordnung (EU) Nr. 525/2013 des Europäischen Parlaments und des Rates vom 21. Mai 2013 über ein System für die Überwachung von Treibhausgasemissionen sowie für die Berichterstattung über diese Emissionen und über andere klimaschutzrelevante Informationen auf Ebene der Mitgliedstaaten und der Union und zur Aufhebung der Entscheidung Nr. 280/2004/EG (ABl. L 165 vom 18.6.2013, S. 13).</w:t>
      </w:r>
    </w:p>
  </w:footnote>
  <w:footnote w:id="30">
    <w:p>
      <w:pPr>
        <w:pStyle w:val="Funotentext"/>
      </w:pPr>
      <w:r>
        <w:rPr>
          <w:rStyle w:val="Funotenzeichen"/>
        </w:rPr>
        <w:footnoteRef/>
      </w:r>
      <w:r>
        <w:t xml:space="preserve">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31">
    <w:p>
      <w:pPr>
        <w:pStyle w:val="Funotentext"/>
      </w:pPr>
      <w:r>
        <w:rPr>
          <w:rStyle w:val="Funotenzeichen"/>
        </w:rPr>
        <w:footnoteRef/>
      </w:r>
      <w:r>
        <w:t xml:space="preserve"> ABl. L 123 vom 12.5.2016, S. 1.</w:t>
      </w:r>
    </w:p>
  </w:footnote>
  <w:footnote w:id="32">
    <w:p>
      <w:pPr>
        <w:pStyle w:val="Funotentext"/>
      </w:pPr>
      <w:r>
        <w:rPr>
          <w:rStyle w:val="Funotenzeichen"/>
        </w:rPr>
        <w:footnoteRef/>
      </w:r>
      <w:r>
        <w:t xml:space="preserve"> Verordnung (EU) Nr. 606/2010 der Kommission vom 9. Juli 2010 zur Genehmigung eines von der Europäischen Organisation für Flugsicherung (Eurocontrol) entwickelten vereinfachten Instruments zur Schätzung des Treibstoffverbrauchs bestimmter Luftfahrzeugbetreiber, die Kleinemittenten sind (ABl. L 175 vom 10.7.2010, S. 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60.0-02</w:t>
    </w:r>
  </w:p>
  <w:p>
    <w:pPr>
      <w:pStyle w:val="Kopfzeile"/>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7F1"/>
    <w:multiLevelType w:val="hybridMultilevel"/>
    <w:tmpl w:val="02F825DE"/>
    <w:lvl w:ilvl="0" w:tplc="E49820B2">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1D2340"/>
    <w:multiLevelType w:val="hybridMultilevel"/>
    <w:tmpl w:val="0412919E"/>
    <w:lvl w:ilvl="0" w:tplc="6BA65B5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C234AF3"/>
    <w:multiLevelType w:val="hybridMultilevel"/>
    <w:tmpl w:val="17D00AE0"/>
    <w:lvl w:ilvl="0" w:tplc="6BA65B5A">
      <w:start w:val="1"/>
      <w:numFmt w:val="lowerLetter"/>
      <w:lvlText w:val="%1)"/>
      <w:lvlJc w:val="left"/>
      <w:pPr>
        <w:tabs>
          <w:tab w:val="num" w:pos="360"/>
        </w:tabs>
        <w:ind w:left="360" w:hanging="360"/>
      </w:pPr>
      <w:rPr>
        <w:rFonts w:hint="default"/>
      </w:rPr>
    </w:lvl>
    <w:lvl w:ilvl="1" w:tplc="A43AC90E">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DDD0D0D"/>
    <w:multiLevelType w:val="hybridMultilevel"/>
    <w:tmpl w:val="3F46CB2E"/>
    <w:lvl w:ilvl="0" w:tplc="A43AC90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EBF59AD"/>
    <w:multiLevelType w:val="hybridMultilevel"/>
    <w:tmpl w:val="4B9E4876"/>
    <w:lvl w:ilvl="0" w:tplc="B3FC603A">
      <w:start w:val="1"/>
      <w:numFmt w:val="bullet"/>
      <w:lvlText w:val="-"/>
      <w:lvlJc w:val="left"/>
      <w:pPr>
        <w:tabs>
          <w:tab w:val="num" w:pos="360"/>
        </w:tabs>
        <w:ind w:left="360" w:hanging="360"/>
      </w:pPr>
      <w:rPr>
        <w:rFonts w:hint="default"/>
        <w:sz w:val="16"/>
      </w:rPr>
    </w:lvl>
    <w:lvl w:ilvl="1" w:tplc="6E02DDFC">
      <w:start w:val="11"/>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A4D69"/>
    <w:multiLevelType w:val="hybridMultilevel"/>
    <w:tmpl w:val="E0A0F366"/>
    <w:lvl w:ilvl="0" w:tplc="F4F894C2">
      <w:start w:val="1"/>
      <w:numFmt w:val="decimal"/>
      <w:lvlText w:val="%1."/>
      <w:lvlJc w:val="left"/>
      <w:pPr>
        <w:tabs>
          <w:tab w:val="num" w:pos="3672"/>
        </w:tabs>
        <w:ind w:left="3672" w:hanging="432"/>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C0C3928"/>
    <w:multiLevelType w:val="hybridMultilevel"/>
    <w:tmpl w:val="EF0A16E8"/>
    <w:lvl w:ilvl="0" w:tplc="1202507A">
      <w:start w:val="1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8D1323"/>
    <w:multiLevelType w:val="hybridMultilevel"/>
    <w:tmpl w:val="D77C610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CC55CAD"/>
    <w:multiLevelType w:val="hybridMultilevel"/>
    <w:tmpl w:val="1A3A9CF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E765F0E"/>
    <w:multiLevelType w:val="hybridMultilevel"/>
    <w:tmpl w:val="E00E3C8E"/>
    <w:lvl w:ilvl="0" w:tplc="AD3C5B7C">
      <w:start w:val="3"/>
      <w:numFmt w:val="decimal"/>
      <w:lvlText w:val="%1."/>
      <w:lvlJc w:val="left"/>
      <w:pPr>
        <w:tabs>
          <w:tab w:val="num" w:pos="792"/>
        </w:tabs>
        <w:ind w:left="792" w:hanging="432"/>
      </w:pPr>
      <w:rPr>
        <w:rFonts w:ascii="Arial" w:hAnsi="Arial" w:hint="default"/>
      </w:rPr>
    </w:lvl>
    <w:lvl w:ilvl="1" w:tplc="72E07890">
      <w:start w:val="1"/>
      <w:numFmt w:val="lowerLetter"/>
      <w:lvlText w:val="%2)"/>
      <w:lvlJc w:val="left"/>
      <w:pPr>
        <w:tabs>
          <w:tab w:val="num" w:pos="1440"/>
        </w:tabs>
        <w:ind w:left="1440" w:hanging="360"/>
      </w:pPr>
      <w:rPr>
        <w:rFonts w:hint="default"/>
      </w:rPr>
    </w:lvl>
    <w:lvl w:ilvl="2" w:tplc="8DDCD4A6">
      <w:start w:val="4"/>
      <w:numFmt w:val="decimal"/>
      <w:lvlText w:val="%3."/>
      <w:lvlJc w:val="left"/>
      <w:pPr>
        <w:tabs>
          <w:tab w:val="num" w:pos="2412"/>
        </w:tabs>
        <w:ind w:left="2412" w:hanging="432"/>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EC639D9"/>
    <w:multiLevelType w:val="hybridMultilevel"/>
    <w:tmpl w:val="3B86D62A"/>
    <w:lvl w:ilvl="0" w:tplc="A43AC90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3B4797C"/>
    <w:multiLevelType w:val="hybridMultilevel"/>
    <w:tmpl w:val="A9C68C88"/>
    <w:lvl w:ilvl="0" w:tplc="B3FC603A">
      <w:start w:val="1"/>
      <w:numFmt w:val="bullet"/>
      <w:lvlText w:val="-"/>
      <w:lvlJc w:val="left"/>
      <w:pPr>
        <w:tabs>
          <w:tab w:val="num" w:pos="360"/>
        </w:tabs>
        <w:ind w:left="36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3A7D19"/>
    <w:multiLevelType w:val="hybridMultilevel"/>
    <w:tmpl w:val="91E6C092"/>
    <w:lvl w:ilvl="0" w:tplc="A43AC90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59B6AF7"/>
    <w:multiLevelType w:val="hybridMultilevel"/>
    <w:tmpl w:val="BFAA8D86"/>
    <w:lvl w:ilvl="0" w:tplc="6BA65B5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1A837D7"/>
    <w:multiLevelType w:val="hybridMultilevel"/>
    <w:tmpl w:val="06CC047C"/>
    <w:lvl w:ilvl="0" w:tplc="97F887AC">
      <w:start w:val="6"/>
      <w:numFmt w:val="decimal"/>
      <w:lvlText w:val="%1."/>
      <w:lvlJc w:val="left"/>
      <w:pPr>
        <w:tabs>
          <w:tab w:val="num" w:pos="3672"/>
        </w:tabs>
        <w:ind w:left="3672" w:hanging="432"/>
      </w:pPr>
      <w:rPr>
        <w:rFonts w:hint="default"/>
      </w:r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32F4D8E"/>
    <w:multiLevelType w:val="hybridMultilevel"/>
    <w:tmpl w:val="23FE5026"/>
    <w:lvl w:ilvl="0" w:tplc="6BA65B5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84E4926"/>
    <w:multiLevelType w:val="hybridMultilevel"/>
    <w:tmpl w:val="C3FC45AE"/>
    <w:lvl w:ilvl="0" w:tplc="A43AC90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BFF7134"/>
    <w:multiLevelType w:val="hybridMultilevel"/>
    <w:tmpl w:val="521087DA"/>
    <w:lvl w:ilvl="0" w:tplc="B3FC603A">
      <w:start w:val="1"/>
      <w:numFmt w:val="bullet"/>
      <w:lvlText w:val="-"/>
      <w:lvlJc w:val="left"/>
      <w:pPr>
        <w:tabs>
          <w:tab w:val="num" w:pos="360"/>
        </w:tabs>
        <w:ind w:left="36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0701A3"/>
    <w:multiLevelType w:val="hybridMultilevel"/>
    <w:tmpl w:val="1076E160"/>
    <w:lvl w:ilvl="0" w:tplc="6BA65B5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2DD6014"/>
    <w:multiLevelType w:val="hybridMultilevel"/>
    <w:tmpl w:val="521087DA"/>
    <w:lvl w:ilvl="0" w:tplc="B3FC603A">
      <w:start w:val="1"/>
      <w:numFmt w:val="bullet"/>
      <w:lvlText w:val="-"/>
      <w:lvlJc w:val="left"/>
      <w:pPr>
        <w:tabs>
          <w:tab w:val="num" w:pos="360"/>
        </w:tabs>
        <w:ind w:left="36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D4426D"/>
    <w:multiLevelType w:val="hybridMultilevel"/>
    <w:tmpl w:val="E0E0B682"/>
    <w:lvl w:ilvl="0" w:tplc="1202507A">
      <w:start w:val="1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E36461"/>
    <w:multiLevelType w:val="hybridMultilevel"/>
    <w:tmpl w:val="44141734"/>
    <w:lvl w:ilvl="0" w:tplc="6BA65B5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4E91613E"/>
    <w:multiLevelType w:val="hybridMultilevel"/>
    <w:tmpl w:val="750609D6"/>
    <w:lvl w:ilvl="0" w:tplc="272636F8">
      <w:start w:val="1"/>
      <w:numFmt w:val="lowerLetter"/>
      <w:lvlText w:val="%1)"/>
      <w:lvlJc w:val="left"/>
      <w:pPr>
        <w:tabs>
          <w:tab w:val="num" w:pos="720"/>
        </w:tabs>
        <w:ind w:left="720" w:hanging="360"/>
      </w:pPr>
      <w:rPr>
        <w:rFonts w:hint="default"/>
      </w:rPr>
    </w:lvl>
    <w:lvl w:ilvl="1" w:tplc="B80ADF24">
      <w:start w:val="2"/>
      <w:numFmt w:val="lowerLetter"/>
      <w:lvlText w:val="%2)"/>
      <w:lvlJc w:val="left"/>
      <w:pPr>
        <w:tabs>
          <w:tab w:val="num" w:pos="1440"/>
        </w:tabs>
        <w:ind w:left="142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0AD5650"/>
    <w:multiLevelType w:val="hybridMultilevel"/>
    <w:tmpl w:val="A9C68C88"/>
    <w:lvl w:ilvl="0" w:tplc="B3FC603A">
      <w:start w:val="1"/>
      <w:numFmt w:val="bullet"/>
      <w:lvlText w:val="-"/>
      <w:lvlJc w:val="left"/>
      <w:pPr>
        <w:tabs>
          <w:tab w:val="num" w:pos="360"/>
        </w:tabs>
        <w:ind w:left="36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D22154"/>
    <w:multiLevelType w:val="hybridMultilevel"/>
    <w:tmpl w:val="DA188824"/>
    <w:lvl w:ilvl="0" w:tplc="A43AC90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32D36A6"/>
    <w:multiLevelType w:val="hybridMultilevel"/>
    <w:tmpl w:val="839EC110"/>
    <w:lvl w:ilvl="0" w:tplc="E49820B2">
      <w:start w:val="1"/>
      <w:numFmt w:val="lowerLetter"/>
      <w:lvlText w:val="%1)"/>
      <w:lvlJc w:val="left"/>
      <w:pPr>
        <w:tabs>
          <w:tab w:val="num" w:pos="360"/>
        </w:tabs>
        <w:ind w:left="36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8365F05"/>
    <w:multiLevelType w:val="hybridMultilevel"/>
    <w:tmpl w:val="30AEF80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AEB2690"/>
    <w:multiLevelType w:val="hybridMultilevel"/>
    <w:tmpl w:val="7D12BB72"/>
    <w:lvl w:ilvl="0" w:tplc="D1A40D1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1164E7F"/>
    <w:multiLevelType w:val="hybridMultilevel"/>
    <w:tmpl w:val="E0BE7A80"/>
    <w:lvl w:ilvl="0" w:tplc="A43AC90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1A00FD8"/>
    <w:multiLevelType w:val="hybridMultilevel"/>
    <w:tmpl w:val="123A78B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2397097"/>
    <w:multiLevelType w:val="hybridMultilevel"/>
    <w:tmpl w:val="5C00096A"/>
    <w:lvl w:ilvl="0" w:tplc="E49820B2">
      <w:start w:val="1"/>
      <w:numFmt w:val="lowerLetter"/>
      <w:lvlText w:val="%1)"/>
      <w:lvlJc w:val="left"/>
      <w:pPr>
        <w:tabs>
          <w:tab w:val="num" w:pos="360"/>
        </w:tabs>
        <w:ind w:left="360" w:hanging="360"/>
      </w:pPr>
      <w:rPr>
        <w:rFonts w:hint="default"/>
      </w:rPr>
    </w:lvl>
    <w:lvl w:ilvl="1" w:tplc="2724DA7E">
      <w:start w:val="4"/>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4A02122"/>
    <w:multiLevelType w:val="hybridMultilevel"/>
    <w:tmpl w:val="A7366D68"/>
    <w:lvl w:ilvl="0" w:tplc="A74C7D7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C80E86"/>
    <w:multiLevelType w:val="hybridMultilevel"/>
    <w:tmpl w:val="DE8A0914"/>
    <w:lvl w:ilvl="0" w:tplc="6BA65B5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5594232"/>
    <w:multiLevelType w:val="hybridMultilevel"/>
    <w:tmpl w:val="96388900"/>
    <w:lvl w:ilvl="0" w:tplc="F4F894C2">
      <w:start w:val="1"/>
      <w:numFmt w:val="decimal"/>
      <w:lvlText w:val="%1."/>
      <w:lvlJc w:val="left"/>
      <w:pPr>
        <w:tabs>
          <w:tab w:val="num" w:pos="3672"/>
        </w:tabs>
        <w:ind w:left="3672" w:hanging="432"/>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681A76B9"/>
    <w:multiLevelType w:val="hybridMultilevel"/>
    <w:tmpl w:val="F5E4F4C0"/>
    <w:lvl w:ilvl="0" w:tplc="6BA65B5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688B576B"/>
    <w:multiLevelType w:val="hybridMultilevel"/>
    <w:tmpl w:val="9514AC5C"/>
    <w:lvl w:ilvl="0" w:tplc="A43AC90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6C694586"/>
    <w:multiLevelType w:val="hybridMultilevel"/>
    <w:tmpl w:val="ABD450EA"/>
    <w:lvl w:ilvl="0" w:tplc="40AC7BF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6D88548A"/>
    <w:multiLevelType w:val="hybridMultilevel"/>
    <w:tmpl w:val="D0D4013A"/>
    <w:lvl w:ilvl="0" w:tplc="89FC17B4">
      <w:start w:val="6"/>
      <w:numFmt w:val="decimal"/>
      <w:lvlText w:val="%1."/>
      <w:lvlJc w:val="left"/>
      <w:pPr>
        <w:tabs>
          <w:tab w:val="num" w:pos="792"/>
        </w:tabs>
        <w:ind w:left="792" w:hanging="432"/>
      </w:pPr>
      <w:rPr>
        <w:rFonts w:ascii="Arial" w:hAnsi="Arial" w:hint="default"/>
      </w:rPr>
    </w:lvl>
    <w:lvl w:ilvl="1" w:tplc="80F82EAC">
      <w:start w:val="7"/>
      <w:numFmt w:val="decimal"/>
      <w:lvlText w:val="%2."/>
      <w:lvlJc w:val="left"/>
      <w:pPr>
        <w:tabs>
          <w:tab w:val="num" w:pos="1512"/>
        </w:tabs>
        <w:ind w:left="1512" w:hanging="432"/>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71867F0C"/>
    <w:multiLevelType w:val="hybridMultilevel"/>
    <w:tmpl w:val="92F89E38"/>
    <w:lvl w:ilvl="0" w:tplc="6BA65B5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74622A05"/>
    <w:multiLevelType w:val="hybridMultilevel"/>
    <w:tmpl w:val="8C842C74"/>
    <w:lvl w:ilvl="0" w:tplc="9DC661E8">
      <w:start w:val="1"/>
      <w:numFmt w:val="decimal"/>
      <w:lvlText w:val="%1."/>
      <w:lvlJc w:val="left"/>
      <w:pPr>
        <w:tabs>
          <w:tab w:val="num" w:pos="792"/>
        </w:tabs>
        <w:ind w:left="792" w:hanging="432"/>
      </w:pPr>
      <w:rPr>
        <w:rFonts w:ascii="Arial" w:hAnsi="Arial" w:hint="default"/>
      </w:rPr>
    </w:lvl>
    <w:lvl w:ilvl="1" w:tplc="6BA65B5A">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6"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6"/>
  </w:num>
  <w:num w:numId="2">
    <w:abstractNumId w:val="14"/>
  </w:num>
  <w:num w:numId="3">
    <w:abstractNumId w:val="8"/>
  </w:num>
  <w:num w:numId="4">
    <w:abstractNumId w:val="44"/>
  </w:num>
  <w:num w:numId="5">
    <w:abstractNumId w:val="2"/>
  </w:num>
  <w:num w:numId="6">
    <w:abstractNumId w:val="3"/>
  </w:num>
  <w:num w:numId="7">
    <w:abstractNumId w:val="31"/>
  </w:num>
  <w:num w:numId="8">
    <w:abstractNumId w:val="37"/>
  </w:num>
  <w:num w:numId="9">
    <w:abstractNumId w:val="32"/>
  </w:num>
  <w:num w:numId="10">
    <w:abstractNumId w:val="25"/>
  </w:num>
  <w:num w:numId="11">
    <w:abstractNumId w:val="20"/>
  </w:num>
  <w:num w:numId="12">
    <w:abstractNumId w:val="39"/>
  </w:num>
  <w:num w:numId="13">
    <w:abstractNumId w:val="5"/>
  </w:num>
  <w:num w:numId="14">
    <w:abstractNumId w:val="17"/>
  </w:num>
  <w:num w:numId="15">
    <w:abstractNumId w:val="33"/>
  </w:num>
  <w:num w:numId="16">
    <w:abstractNumId w:val="43"/>
  </w:num>
  <w:num w:numId="17">
    <w:abstractNumId w:val="13"/>
  </w:num>
  <w:num w:numId="18">
    <w:abstractNumId w:val="22"/>
  </w:num>
  <w:num w:numId="19">
    <w:abstractNumId w:val="40"/>
  </w:num>
  <w:num w:numId="20">
    <w:abstractNumId w:val="36"/>
  </w:num>
  <w:num w:numId="21">
    <w:abstractNumId w:val="28"/>
  </w:num>
  <w:num w:numId="22">
    <w:abstractNumId w:val="19"/>
  </w:num>
  <w:num w:numId="23">
    <w:abstractNumId w:val="16"/>
  </w:num>
  <w:num w:numId="24">
    <w:abstractNumId w:val="7"/>
  </w:num>
  <w:num w:numId="25">
    <w:abstractNumId w:val="10"/>
  </w:num>
  <w:num w:numId="26">
    <w:abstractNumId w:val="1"/>
  </w:num>
  <w:num w:numId="27">
    <w:abstractNumId w:val="38"/>
  </w:num>
  <w:num w:numId="28">
    <w:abstractNumId w:val="11"/>
  </w:num>
  <w:num w:numId="29">
    <w:abstractNumId w:val="30"/>
  </w:num>
  <w:num w:numId="30">
    <w:abstractNumId w:val="24"/>
  </w:num>
  <w:num w:numId="31">
    <w:abstractNumId w:val="9"/>
  </w:num>
  <w:num w:numId="32">
    <w:abstractNumId w:val="6"/>
  </w:num>
  <w:num w:numId="33">
    <w:abstractNumId w:val="21"/>
  </w:num>
  <w:num w:numId="34">
    <w:abstractNumId w:val="23"/>
  </w:num>
  <w:num w:numId="35">
    <w:abstractNumId w:val="15"/>
  </w:num>
  <w:num w:numId="36">
    <w:abstractNumId w:val="27"/>
  </w:num>
  <w:num w:numId="37">
    <w:abstractNumId w:val="45"/>
  </w:num>
  <w:num w:numId="38">
    <w:abstractNumId w:val="34"/>
  </w:num>
  <w:num w:numId="39">
    <w:abstractNumId w:val="4"/>
  </w:num>
  <w:num w:numId="40">
    <w:abstractNumId w:val="12"/>
  </w:num>
  <w:num w:numId="41">
    <w:abstractNumId w:val="18"/>
  </w:num>
  <w:num w:numId="42">
    <w:abstractNumId w:val="42"/>
  </w:num>
  <w:num w:numId="43">
    <w:abstractNumId w:val="35"/>
  </w:num>
  <w:num w:numId="44">
    <w:abstractNumId w:val="29"/>
  </w:num>
  <w:num w:numId="45">
    <w:abstractNumId w:val="0"/>
  </w:num>
  <w:num w:numId="46">
    <w:abstractNumId w:val="41"/>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0DE67498-DC35-4BE6-A673-91BC9C9C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after="120"/>
      <w:jc w:val="both"/>
    </w:pPr>
    <w:rPr>
      <w:rFonts w:ascii="Arial" w:hAnsi="Arial"/>
    </w:rPr>
  </w:style>
  <w:style w:type="paragraph" w:styleId="berschrift1">
    <w:name w:val="heading 1"/>
    <w:basedOn w:val="Standard"/>
    <w:next w:val="Standard"/>
    <w:qFormat/>
    <w:pPr>
      <w:keepNext/>
      <w:overflowPunct w:val="0"/>
      <w:autoSpaceDE w:val="0"/>
      <w:autoSpaceDN w:val="0"/>
      <w:adjustRightInd w:val="0"/>
      <w:spacing w:after="60"/>
      <w:jc w:val="center"/>
      <w:textAlignment w:val="baseline"/>
      <w:outlineLvl w:val="0"/>
    </w:pPr>
    <w:rPr>
      <w:b/>
      <w:kern w:val="28"/>
      <w:sz w:val="28"/>
    </w:rPr>
  </w:style>
  <w:style w:type="paragraph" w:styleId="berschrift2">
    <w:name w:val="heading 2"/>
    <w:basedOn w:val="Standard"/>
    <w:next w:val="Standard"/>
    <w:qFormat/>
    <w:pPr>
      <w:keepNext/>
      <w:overflowPunct w:val="0"/>
      <w:autoSpaceDE w:val="0"/>
      <w:autoSpaceDN w:val="0"/>
      <w:adjustRightInd w:val="0"/>
      <w:spacing w:before="240" w:after="60"/>
      <w:jc w:val="center"/>
      <w:textAlignment w:val="baseline"/>
      <w:outlineLvl w:val="1"/>
    </w:pPr>
    <w:rPr>
      <w:b/>
      <w:sz w:val="24"/>
    </w:rPr>
  </w:style>
  <w:style w:type="paragraph" w:styleId="berschrift3">
    <w:name w:val="heading 3"/>
    <w:basedOn w:val="Standard"/>
    <w:next w:val="Standard"/>
    <w:qFormat/>
    <w:pPr>
      <w:keepNext/>
      <w:overflowPunct w:val="0"/>
      <w:autoSpaceDE w:val="0"/>
      <w:autoSpaceDN w:val="0"/>
      <w:adjustRightInd w:val="0"/>
      <w:spacing w:before="240" w:after="180"/>
      <w:jc w:val="center"/>
      <w:textAlignment w:val="baseline"/>
      <w:outlineLvl w:val="2"/>
    </w:pPr>
    <w:rPr>
      <w:b/>
    </w:rPr>
  </w:style>
  <w:style w:type="paragraph" w:styleId="berschrift4">
    <w:name w:val="heading 4"/>
    <w:basedOn w:val="Standard"/>
    <w:next w:val="Standard"/>
    <w:qFormat/>
    <w:pPr>
      <w:keepNext/>
      <w:spacing w:before="240" w:after="60"/>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pPr>
      <w:overflowPunct w:val="0"/>
      <w:autoSpaceDE w:val="0"/>
      <w:autoSpaceDN w:val="0"/>
      <w:adjustRightInd w:val="0"/>
      <w:spacing w:before="60" w:after="60"/>
      <w:textAlignment w:val="baseline"/>
    </w:pPr>
    <w:rPr>
      <w:color w:val="000000"/>
    </w:rPr>
  </w:style>
  <w:style w:type="paragraph" w:styleId="Kopfzeile">
    <w:name w:val="header"/>
    <w:basedOn w:val="Standard"/>
    <w:qFormat/>
    <w:pPr>
      <w:tabs>
        <w:tab w:val="center" w:pos="4536"/>
        <w:tab w:val="right" w:pos="9072"/>
      </w:tabs>
      <w:overflowPunct w:val="0"/>
      <w:autoSpaceDE w:val="0"/>
      <w:autoSpaceDN w:val="0"/>
      <w:adjustRightInd w:val="0"/>
      <w:jc w:val="right"/>
      <w:textAlignment w:val="baseline"/>
    </w:pPr>
  </w:style>
  <w:style w:type="paragraph" w:styleId="Fuzeile">
    <w:name w:val="footer"/>
    <w:basedOn w:val="Standard"/>
    <w:pPr>
      <w:tabs>
        <w:tab w:val="clear" w:pos="425"/>
        <w:tab w:val="right" w:pos="8505"/>
        <w:tab w:val="right" w:pos="9639"/>
      </w:tabs>
      <w:overflowPunct w:val="0"/>
      <w:autoSpaceDE w:val="0"/>
      <w:autoSpaceDN w:val="0"/>
      <w:adjustRightInd w:val="0"/>
      <w:spacing w:after="0"/>
      <w:jc w:val="left"/>
      <w:textAlignment w:val="baseline"/>
    </w:pPr>
    <w:rPr>
      <w:sz w:val="16"/>
    </w:rPr>
  </w:style>
  <w:style w:type="paragraph" w:styleId="Textkrper">
    <w:name w:val="Body Text"/>
    <w:basedOn w:val="Standard"/>
    <w:pPr>
      <w:tabs>
        <w:tab w:val="clear" w:pos="425"/>
      </w:tabs>
      <w:autoSpaceDE w:val="0"/>
      <w:autoSpaceDN w:val="0"/>
      <w:adjustRightInd w:val="0"/>
      <w:spacing w:after="0"/>
      <w:jc w:val="left"/>
    </w:pPr>
    <w:rPr>
      <w:rFonts w:cs="Arial"/>
    </w:rPr>
  </w:style>
  <w:style w:type="paragraph" w:styleId="Verzeichnis1">
    <w:name w:val="toc 1"/>
    <w:basedOn w:val="Standard"/>
    <w:next w:val="Standard"/>
    <w:autoRedefine/>
    <w:uiPriority w:val="39"/>
    <w:pPr>
      <w:tabs>
        <w:tab w:val="clear" w:pos="425"/>
      </w:tabs>
      <w:spacing w:before="120"/>
      <w:jc w:val="left"/>
    </w:pPr>
    <w:rPr>
      <w:rFonts w:ascii="Times New Roman" w:hAnsi="Times New Roman"/>
      <w:b/>
      <w:bCs/>
      <w:caps/>
    </w:rPr>
  </w:style>
  <w:style w:type="paragraph" w:styleId="Verzeichnis2">
    <w:name w:val="toc 2"/>
    <w:basedOn w:val="Standard"/>
    <w:next w:val="Standard"/>
    <w:autoRedefine/>
    <w:uiPriority w:val="39"/>
    <w:pPr>
      <w:tabs>
        <w:tab w:val="clear" w:pos="425"/>
      </w:tabs>
      <w:spacing w:after="0"/>
      <w:ind w:left="200"/>
      <w:jc w:val="left"/>
    </w:pPr>
    <w:rPr>
      <w:rFonts w:ascii="Times New Roman" w:hAnsi="Times New Roman"/>
      <w:smallCaps/>
    </w:rPr>
  </w:style>
  <w:style w:type="paragraph" w:styleId="Verzeichnis3">
    <w:name w:val="toc 3"/>
    <w:basedOn w:val="Standard"/>
    <w:next w:val="Standard"/>
    <w:autoRedefine/>
    <w:semiHidden/>
    <w:pPr>
      <w:tabs>
        <w:tab w:val="clear" w:pos="425"/>
      </w:tabs>
      <w:spacing w:after="0"/>
      <w:ind w:left="400"/>
      <w:jc w:val="left"/>
    </w:pPr>
    <w:rPr>
      <w:rFonts w:ascii="Times New Roman" w:hAnsi="Times New Roman"/>
      <w:i/>
      <w:iCs/>
    </w:rPr>
  </w:style>
  <w:style w:type="paragraph" w:styleId="Verzeichnis4">
    <w:name w:val="toc 4"/>
    <w:basedOn w:val="Standard"/>
    <w:next w:val="Standard"/>
    <w:autoRedefine/>
    <w:semiHidden/>
    <w:pPr>
      <w:tabs>
        <w:tab w:val="clear" w:pos="425"/>
      </w:tabs>
      <w:spacing w:after="0"/>
      <w:ind w:left="600"/>
      <w:jc w:val="left"/>
    </w:pPr>
    <w:rPr>
      <w:rFonts w:ascii="Times New Roman" w:hAnsi="Times New Roman"/>
      <w:sz w:val="18"/>
      <w:szCs w:val="18"/>
    </w:rPr>
  </w:style>
  <w:style w:type="paragraph" w:styleId="Verzeichnis5">
    <w:name w:val="toc 5"/>
    <w:basedOn w:val="Standard"/>
    <w:next w:val="Standard"/>
    <w:autoRedefine/>
    <w:semiHidden/>
    <w:pPr>
      <w:tabs>
        <w:tab w:val="clear" w:pos="425"/>
      </w:tabs>
      <w:spacing w:after="0"/>
      <w:ind w:left="800"/>
      <w:jc w:val="left"/>
    </w:pPr>
    <w:rPr>
      <w:rFonts w:ascii="Times New Roman" w:hAnsi="Times New Roman"/>
      <w:sz w:val="18"/>
      <w:szCs w:val="18"/>
    </w:rPr>
  </w:style>
  <w:style w:type="paragraph" w:styleId="Verzeichnis6">
    <w:name w:val="toc 6"/>
    <w:basedOn w:val="Standard"/>
    <w:next w:val="Standard"/>
    <w:autoRedefine/>
    <w:semiHidden/>
    <w:pPr>
      <w:tabs>
        <w:tab w:val="clear" w:pos="425"/>
      </w:tabs>
      <w:spacing w:after="0"/>
      <w:ind w:left="1000"/>
      <w:jc w:val="left"/>
    </w:pPr>
    <w:rPr>
      <w:rFonts w:ascii="Times New Roman" w:hAnsi="Times New Roman"/>
      <w:sz w:val="18"/>
      <w:szCs w:val="18"/>
    </w:rPr>
  </w:style>
  <w:style w:type="paragraph" w:styleId="Verzeichnis7">
    <w:name w:val="toc 7"/>
    <w:basedOn w:val="Standard"/>
    <w:next w:val="Standard"/>
    <w:autoRedefine/>
    <w:semiHidden/>
    <w:pPr>
      <w:tabs>
        <w:tab w:val="clear" w:pos="425"/>
      </w:tabs>
      <w:spacing w:after="0"/>
      <w:ind w:left="1200"/>
      <w:jc w:val="left"/>
    </w:pPr>
    <w:rPr>
      <w:rFonts w:ascii="Times New Roman" w:hAnsi="Times New Roman"/>
      <w:sz w:val="18"/>
      <w:szCs w:val="18"/>
    </w:rPr>
  </w:style>
  <w:style w:type="paragraph" w:styleId="Verzeichnis8">
    <w:name w:val="toc 8"/>
    <w:basedOn w:val="Standard"/>
    <w:next w:val="Standard"/>
    <w:autoRedefine/>
    <w:semiHidden/>
    <w:pPr>
      <w:tabs>
        <w:tab w:val="clear" w:pos="425"/>
      </w:tabs>
      <w:spacing w:after="0"/>
      <w:ind w:left="1400"/>
      <w:jc w:val="left"/>
    </w:pPr>
    <w:rPr>
      <w:rFonts w:ascii="Times New Roman" w:hAnsi="Times New Roman"/>
      <w:sz w:val="18"/>
      <w:szCs w:val="18"/>
    </w:rPr>
  </w:style>
  <w:style w:type="paragraph" w:styleId="Verzeichnis9">
    <w:name w:val="toc 9"/>
    <w:basedOn w:val="Standard"/>
    <w:next w:val="Standard"/>
    <w:autoRedefine/>
    <w:semiHidden/>
    <w:pPr>
      <w:tabs>
        <w:tab w:val="clear" w:pos="425"/>
      </w:tabs>
      <w:spacing w:after="0"/>
      <w:ind w:left="1600"/>
      <w:jc w:val="left"/>
    </w:pPr>
    <w:rPr>
      <w:rFonts w:ascii="Times New Roman" w:hAnsi="Times New Roman"/>
      <w:sz w:val="18"/>
      <w:szCs w:val="18"/>
    </w:rPr>
  </w:style>
  <w:style w:type="character" w:styleId="Hyperlink">
    <w:name w:val="Hyperlink"/>
    <w:basedOn w:val="Absatz-Standardschriftart"/>
    <w:uiPriority w:val="99"/>
    <w:rPr>
      <w:color w:val="0000FF"/>
      <w:u w:val="single"/>
    </w:rPr>
  </w:style>
  <w:style w:type="paragraph" w:styleId="Funotentext">
    <w:name w:val="footnote text"/>
    <w:basedOn w:val="Standard"/>
    <w:pPr>
      <w:overflowPunct w:val="0"/>
      <w:autoSpaceDE w:val="0"/>
      <w:autoSpaceDN w:val="0"/>
      <w:adjustRightInd w:val="0"/>
      <w:spacing w:after="0"/>
      <w:textAlignment w:val="baseline"/>
    </w:pPr>
    <w:rPr>
      <w:sz w:val="16"/>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rPr>
      <w:color w:val="800080"/>
      <w:u w:val="single"/>
    </w:rPr>
  </w:style>
  <w:style w:type="table" w:styleId="Tabellenraster">
    <w:name w:val="Table Grid"/>
    <w:basedOn w:val="NormaleTabelle"/>
    <w:pPr>
      <w:tabs>
        <w:tab w:val="left" w:pos="425"/>
      </w:tab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overflowPunct w:val="0"/>
      <w:autoSpaceDE w:val="0"/>
      <w:autoSpaceDN w:val="0"/>
      <w:adjustRightInd w:val="0"/>
      <w:spacing w:after="0"/>
      <w:jc w:val="right"/>
      <w:textAlignment w:val="baseline"/>
    </w:pPr>
    <w:rPr>
      <w:b/>
      <w:sz w:val="24"/>
    </w:rPr>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spacing w:after="0"/>
      <w:jc w:val="left"/>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62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03/87/oj" TargetMode="External"/><Relationship Id="rId13" Type="http://schemas.openxmlformats.org/officeDocument/2006/relationships/hyperlink" Target="http://eur-lex.europa.eu/legal-content/DE/TXT/PDF/?uri=CELEX:32013D1359&amp;from=DE" TargetMode="External"/><Relationship Id="rId18" Type="http://schemas.openxmlformats.org/officeDocument/2006/relationships/hyperlink" Target="https://eur-lex.europa.eu/legal-content/DE/AUTO/?uri=uriserv:OJ.L_.2018.076.01.0003.01.DEU&amp;toc=OJ:L:2018:076:TO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ata.europa.eu/eli/dec/2023/136/oj" TargetMode="External"/><Relationship Id="rId7" Type="http://schemas.openxmlformats.org/officeDocument/2006/relationships/endnotes" Target="endnotes.xml"/><Relationship Id="rId12" Type="http://schemas.openxmlformats.org/officeDocument/2006/relationships/hyperlink" Target="http://eur-lex.europa.eu/LexUriServ/LexUriServ.do?uri=OJ:L:2009:140:0063:0087:DE:PDF" TargetMode="External"/><Relationship Id="rId17" Type="http://schemas.openxmlformats.org/officeDocument/2006/relationships/hyperlink" Target="https://eur-lex.europa.eu/legal-content/DE/TXT/PDF/?uri=CELEX:32017R2392&amp;from=D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ur-lex.europa.eu/legal-content/DE/TXT/PDF/?uri=CELEX:32015D1814&amp;from=DE" TargetMode="External"/><Relationship Id="rId20" Type="http://schemas.openxmlformats.org/officeDocument/2006/relationships/hyperlink" Target="http://data.europa.eu/eli/reg_del/2021/1416/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europa.eu/eli/reg/2009/219/oj"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ur-lex.europa.eu/legal-content/DE/TXT/PDF/?uri=CELEX:32014R0421R(01)&amp;from=EN" TargetMode="External"/><Relationship Id="rId23" Type="http://schemas.openxmlformats.org/officeDocument/2006/relationships/hyperlink" Target="http://data.europa.eu/eli/dir/2023/958/oj" TargetMode="External"/><Relationship Id="rId28" Type="http://schemas.openxmlformats.org/officeDocument/2006/relationships/theme" Target="theme/theme1.xml"/><Relationship Id="rId10" Type="http://schemas.openxmlformats.org/officeDocument/2006/relationships/hyperlink" Target="http://data.europa.eu/eli/dir/2008/101/oj" TargetMode="External"/><Relationship Id="rId19" Type="http://schemas.openxmlformats.org/officeDocument/2006/relationships/hyperlink" Target="http://data.europa.eu/eli/dec_del/2020/1071/oj" TargetMode="External"/><Relationship Id="rId4" Type="http://schemas.openxmlformats.org/officeDocument/2006/relationships/settings" Target="settings.xml"/><Relationship Id="rId9" Type="http://schemas.openxmlformats.org/officeDocument/2006/relationships/hyperlink" Target="http://data.europa.eu/eli/dir/2004/101/oj" TargetMode="External"/><Relationship Id="rId14" Type="http://schemas.openxmlformats.org/officeDocument/2006/relationships/hyperlink" Target="http://eur-lex.europa.eu/legal-content/DE/TXT/PDF/?uri=CELEX:32014R0421&amp;from=DE" TargetMode="External"/><Relationship Id="rId22" Type="http://schemas.openxmlformats.org/officeDocument/2006/relationships/hyperlink" Target="http://data.europa.eu/eli/reg/2023/435/oj"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FC17A-A431-42A1-A308-ABD6F0B75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49</Pages>
  <Words>29263</Words>
  <Characters>184357</Characters>
  <Application>Microsoft Office Word</Application>
  <DocSecurity>0</DocSecurity>
  <Lines>1536</Lines>
  <Paragraphs>426</Paragraphs>
  <ScaleCrop>false</ScaleCrop>
  <HeadingPairs>
    <vt:vector size="2" baseType="variant">
      <vt:variant>
        <vt:lpstr>Titel</vt:lpstr>
      </vt:variant>
      <vt:variant>
        <vt:i4>1</vt:i4>
      </vt:variant>
    </vt:vector>
  </HeadingPairs>
  <TitlesOfParts>
    <vt:vector size="1" baseType="lpstr">
      <vt:lpstr>RICHTLINIE 2003/87/EG DES EUROPÄISCHEN PARLAMENTS UND DES RATES vom 13. Oktober 2003 über ein System für den Handel mit Treibhausgasemissionszertifikaten</vt:lpstr>
    </vt:vector>
  </TitlesOfParts>
  <Company>LANUV NRW</Company>
  <LinksUpToDate>false</LinksUpToDate>
  <CharactersWithSpaces>213194</CharactersWithSpaces>
  <SharedDoc>false</SharedDoc>
  <HLinks>
    <vt:vector size="432" baseType="variant">
      <vt:variant>
        <vt:i4>1638452</vt:i4>
      </vt:variant>
      <vt:variant>
        <vt:i4>415</vt:i4>
      </vt:variant>
      <vt:variant>
        <vt:i4>0</vt:i4>
      </vt:variant>
      <vt:variant>
        <vt:i4>5</vt:i4>
      </vt:variant>
      <vt:variant>
        <vt:lpwstr/>
      </vt:variant>
      <vt:variant>
        <vt:lpwstr>_Toc240679153</vt:lpwstr>
      </vt:variant>
      <vt:variant>
        <vt:i4>1638452</vt:i4>
      </vt:variant>
      <vt:variant>
        <vt:i4>409</vt:i4>
      </vt:variant>
      <vt:variant>
        <vt:i4>0</vt:i4>
      </vt:variant>
      <vt:variant>
        <vt:i4>5</vt:i4>
      </vt:variant>
      <vt:variant>
        <vt:lpwstr/>
      </vt:variant>
      <vt:variant>
        <vt:lpwstr>_Toc240679152</vt:lpwstr>
      </vt:variant>
      <vt:variant>
        <vt:i4>1638452</vt:i4>
      </vt:variant>
      <vt:variant>
        <vt:i4>403</vt:i4>
      </vt:variant>
      <vt:variant>
        <vt:i4>0</vt:i4>
      </vt:variant>
      <vt:variant>
        <vt:i4>5</vt:i4>
      </vt:variant>
      <vt:variant>
        <vt:lpwstr/>
      </vt:variant>
      <vt:variant>
        <vt:lpwstr>_Toc240679151</vt:lpwstr>
      </vt:variant>
      <vt:variant>
        <vt:i4>1638452</vt:i4>
      </vt:variant>
      <vt:variant>
        <vt:i4>397</vt:i4>
      </vt:variant>
      <vt:variant>
        <vt:i4>0</vt:i4>
      </vt:variant>
      <vt:variant>
        <vt:i4>5</vt:i4>
      </vt:variant>
      <vt:variant>
        <vt:lpwstr/>
      </vt:variant>
      <vt:variant>
        <vt:lpwstr>_Toc240679150</vt:lpwstr>
      </vt:variant>
      <vt:variant>
        <vt:i4>1572916</vt:i4>
      </vt:variant>
      <vt:variant>
        <vt:i4>391</vt:i4>
      </vt:variant>
      <vt:variant>
        <vt:i4>0</vt:i4>
      </vt:variant>
      <vt:variant>
        <vt:i4>5</vt:i4>
      </vt:variant>
      <vt:variant>
        <vt:lpwstr/>
      </vt:variant>
      <vt:variant>
        <vt:lpwstr>_Toc240679149</vt:lpwstr>
      </vt:variant>
      <vt:variant>
        <vt:i4>1572916</vt:i4>
      </vt:variant>
      <vt:variant>
        <vt:i4>385</vt:i4>
      </vt:variant>
      <vt:variant>
        <vt:i4>0</vt:i4>
      </vt:variant>
      <vt:variant>
        <vt:i4>5</vt:i4>
      </vt:variant>
      <vt:variant>
        <vt:lpwstr/>
      </vt:variant>
      <vt:variant>
        <vt:lpwstr>_Toc240679148</vt:lpwstr>
      </vt:variant>
      <vt:variant>
        <vt:i4>1572916</vt:i4>
      </vt:variant>
      <vt:variant>
        <vt:i4>379</vt:i4>
      </vt:variant>
      <vt:variant>
        <vt:i4>0</vt:i4>
      </vt:variant>
      <vt:variant>
        <vt:i4>5</vt:i4>
      </vt:variant>
      <vt:variant>
        <vt:lpwstr/>
      </vt:variant>
      <vt:variant>
        <vt:lpwstr>_Toc240679147</vt:lpwstr>
      </vt:variant>
      <vt:variant>
        <vt:i4>1572916</vt:i4>
      </vt:variant>
      <vt:variant>
        <vt:i4>373</vt:i4>
      </vt:variant>
      <vt:variant>
        <vt:i4>0</vt:i4>
      </vt:variant>
      <vt:variant>
        <vt:i4>5</vt:i4>
      </vt:variant>
      <vt:variant>
        <vt:lpwstr/>
      </vt:variant>
      <vt:variant>
        <vt:lpwstr>_Toc240679146</vt:lpwstr>
      </vt:variant>
      <vt:variant>
        <vt:i4>1572916</vt:i4>
      </vt:variant>
      <vt:variant>
        <vt:i4>367</vt:i4>
      </vt:variant>
      <vt:variant>
        <vt:i4>0</vt:i4>
      </vt:variant>
      <vt:variant>
        <vt:i4>5</vt:i4>
      </vt:variant>
      <vt:variant>
        <vt:lpwstr/>
      </vt:variant>
      <vt:variant>
        <vt:lpwstr>_Toc240679145</vt:lpwstr>
      </vt:variant>
      <vt:variant>
        <vt:i4>1572916</vt:i4>
      </vt:variant>
      <vt:variant>
        <vt:i4>361</vt:i4>
      </vt:variant>
      <vt:variant>
        <vt:i4>0</vt:i4>
      </vt:variant>
      <vt:variant>
        <vt:i4>5</vt:i4>
      </vt:variant>
      <vt:variant>
        <vt:lpwstr/>
      </vt:variant>
      <vt:variant>
        <vt:lpwstr>_Toc240679144</vt:lpwstr>
      </vt:variant>
      <vt:variant>
        <vt:i4>1572916</vt:i4>
      </vt:variant>
      <vt:variant>
        <vt:i4>355</vt:i4>
      </vt:variant>
      <vt:variant>
        <vt:i4>0</vt:i4>
      </vt:variant>
      <vt:variant>
        <vt:i4>5</vt:i4>
      </vt:variant>
      <vt:variant>
        <vt:lpwstr/>
      </vt:variant>
      <vt:variant>
        <vt:lpwstr>_Toc240679143</vt:lpwstr>
      </vt:variant>
      <vt:variant>
        <vt:i4>1572916</vt:i4>
      </vt:variant>
      <vt:variant>
        <vt:i4>349</vt:i4>
      </vt:variant>
      <vt:variant>
        <vt:i4>0</vt:i4>
      </vt:variant>
      <vt:variant>
        <vt:i4>5</vt:i4>
      </vt:variant>
      <vt:variant>
        <vt:lpwstr/>
      </vt:variant>
      <vt:variant>
        <vt:lpwstr>_Toc240679142</vt:lpwstr>
      </vt:variant>
      <vt:variant>
        <vt:i4>1572916</vt:i4>
      </vt:variant>
      <vt:variant>
        <vt:i4>343</vt:i4>
      </vt:variant>
      <vt:variant>
        <vt:i4>0</vt:i4>
      </vt:variant>
      <vt:variant>
        <vt:i4>5</vt:i4>
      </vt:variant>
      <vt:variant>
        <vt:lpwstr/>
      </vt:variant>
      <vt:variant>
        <vt:lpwstr>_Toc240679141</vt:lpwstr>
      </vt:variant>
      <vt:variant>
        <vt:i4>1572916</vt:i4>
      </vt:variant>
      <vt:variant>
        <vt:i4>337</vt:i4>
      </vt:variant>
      <vt:variant>
        <vt:i4>0</vt:i4>
      </vt:variant>
      <vt:variant>
        <vt:i4>5</vt:i4>
      </vt:variant>
      <vt:variant>
        <vt:lpwstr/>
      </vt:variant>
      <vt:variant>
        <vt:lpwstr>_Toc240679140</vt:lpwstr>
      </vt:variant>
      <vt:variant>
        <vt:i4>2031668</vt:i4>
      </vt:variant>
      <vt:variant>
        <vt:i4>331</vt:i4>
      </vt:variant>
      <vt:variant>
        <vt:i4>0</vt:i4>
      </vt:variant>
      <vt:variant>
        <vt:i4>5</vt:i4>
      </vt:variant>
      <vt:variant>
        <vt:lpwstr/>
      </vt:variant>
      <vt:variant>
        <vt:lpwstr>_Toc240679139</vt:lpwstr>
      </vt:variant>
      <vt:variant>
        <vt:i4>2031668</vt:i4>
      </vt:variant>
      <vt:variant>
        <vt:i4>325</vt:i4>
      </vt:variant>
      <vt:variant>
        <vt:i4>0</vt:i4>
      </vt:variant>
      <vt:variant>
        <vt:i4>5</vt:i4>
      </vt:variant>
      <vt:variant>
        <vt:lpwstr/>
      </vt:variant>
      <vt:variant>
        <vt:lpwstr>_Toc240679138</vt:lpwstr>
      </vt:variant>
      <vt:variant>
        <vt:i4>2031668</vt:i4>
      </vt:variant>
      <vt:variant>
        <vt:i4>319</vt:i4>
      </vt:variant>
      <vt:variant>
        <vt:i4>0</vt:i4>
      </vt:variant>
      <vt:variant>
        <vt:i4>5</vt:i4>
      </vt:variant>
      <vt:variant>
        <vt:lpwstr/>
      </vt:variant>
      <vt:variant>
        <vt:lpwstr>_Toc240679137</vt:lpwstr>
      </vt:variant>
      <vt:variant>
        <vt:i4>2031668</vt:i4>
      </vt:variant>
      <vt:variant>
        <vt:i4>313</vt:i4>
      </vt:variant>
      <vt:variant>
        <vt:i4>0</vt:i4>
      </vt:variant>
      <vt:variant>
        <vt:i4>5</vt:i4>
      </vt:variant>
      <vt:variant>
        <vt:lpwstr/>
      </vt:variant>
      <vt:variant>
        <vt:lpwstr>_Toc240679136</vt:lpwstr>
      </vt:variant>
      <vt:variant>
        <vt:i4>2031668</vt:i4>
      </vt:variant>
      <vt:variant>
        <vt:i4>307</vt:i4>
      </vt:variant>
      <vt:variant>
        <vt:i4>0</vt:i4>
      </vt:variant>
      <vt:variant>
        <vt:i4>5</vt:i4>
      </vt:variant>
      <vt:variant>
        <vt:lpwstr/>
      </vt:variant>
      <vt:variant>
        <vt:lpwstr>_Toc240679135</vt:lpwstr>
      </vt:variant>
      <vt:variant>
        <vt:i4>2031668</vt:i4>
      </vt:variant>
      <vt:variant>
        <vt:i4>301</vt:i4>
      </vt:variant>
      <vt:variant>
        <vt:i4>0</vt:i4>
      </vt:variant>
      <vt:variant>
        <vt:i4>5</vt:i4>
      </vt:variant>
      <vt:variant>
        <vt:lpwstr/>
      </vt:variant>
      <vt:variant>
        <vt:lpwstr>_Toc240679134</vt:lpwstr>
      </vt:variant>
      <vt:variant>
        <vt:i4>2031668</vt:i4>
      </vt:variant>
      <vt:variant>
        <vt:i4>295</vt:i4>
      </vt:variant>
      <vt:variant>
        <vt:i4>0</vt:i4>
      </vt:variant>
      <vt:variant>
        <vt:i4>5</vt:i4>
      </vt:variant>
      <vt:variant>
        <vt:lpwstr/>
      </vt:variant>
      <vt:variant>
        <vt:lpwstr>_Toc240679133</vt:lpwstr>
      </vt:variant>
      <vt:variant>
        <vt:i4>2031668</vt:i4>
      </vt:variant>
      <vt:variant>
        <vt:i4>289</vt:i4>
      </vt:variant>
      <vt:variant>
        <vt:i4>0</vt:i4>
      </vt:variant>
      <vt:variant>
        <vt:i4>5</vt:i4>
      </vt:variant>
      <vt:variant>
        <vt:lpwstr/>
      </vt:variant>
      <vt:variant>
        <vt:lpwstr>_Toc240679132</vt:lpwstr>
      </vt:variant>
      <vt:variant>
        <vt:i4>2031668</vt:i4>
      </vt:variant>
      <vt:variant>
        <vt:i4>283</vt:i4>
      </vt:variant>
      <vt:variant>
        <vt:i4>0</vt:i4>
      </vt:variant>
      <vt:variant>
        <vt:i4>5</vt:i4>
      </vt:variant>
      <vt:variant>
        <vt:lpwstr/>
      </vt:variant>
      <vt:variant>
        <vt:lpwstr>_Toc240679131</vt:lpwstr>
      </vt:variant>
      <vt:variant>
        <vt:i4>2031668</vt:i4>
      </vt:variant>
      <vt:variant>
        <vt:i4>277</vt:i4>
      </vt:variant>
      <vt:variant>
        <vt:i4>0</vt:i4>
      </vt:variant>
      <vt:variant>
        <vt:i4>5</vt:i4>
      </vt:variant>
      <vt:variant>
        <vt:lpwstr/>
      </vt:variant>
      <vt:variant>
        <vt:lpwstr>_Toc240679130</vt:lpwstr>
      </vt:variant>
      <vt:variant>
        <vt:i4>1966132</vt:i4>
      </vt:variant>
      <vt:variant>
        <vt:i4>271</vt:i4>
      </vt:variant>
      <vt:variant>
        <vt:i4>0</vt:i4>
      </vt:variant>
      <vt:variant>
        <vt:i4>5</vt:i4>
      </vt:variant>
      <vt:variant>
        <vt:lpwstr/>
      </vt:variant>
      <vt:variant>
        <vt:lpwstr>_Toc240679129</vt:lpwstr>
      </vt:variant>
      <vt:variant>
        <vt:i4>1966132</vt:i4>
      </vt:variant>
      <vt:variant>
        <vt:i4>265</vt:i4>
      </vt:variant>
      <vt:variant>
        <vt:i4>0</vt:i4>
      </vt:variant>
      <vt:variant>
        <vt:i4>5</vt:i4>
      </vt:variant>
      <vt:variant>
        <vt:lpwstr/>
      </vt:variant>
      <vt:variant>
        <vt:lpwstr>_Toc240679128</vt:lpwstr>
      </vt:variant>
      <vt:variant>
        <vt:i4>1966132</vt:i4>
      </vt:variant>
      <vt:variant>
        <vt:i4>259</vt:i4>
      </vt:variant>
      <vt:variant>
        <vt:i4>0</vt:i4>
      </vt:variant>
      <vt:variant>
        <vt:i4>5</vt:i4>
      </vt:variant>
      <vt:variant>
        <vt:lpwstr/>
      </vt:variant>
      <vt:variant>
        <vt:lpwstr>_Toc240679127</vt:lpwstr>
      </vt:variant>
      <vt:variant>
        <vt:i4>1966132</vt:i4>
      </vt:variant>
      <vt:variant>
        <vt:i4>253</vt:i4>
      </vt:variant>
      <vt:variant>
        <vt:i4>0</vt:i4>
      </vt:variant>
      <vt:variant>
        <vt:i4>5</vt:i4>
      </vt:variant>
      <vt:variant>
        <vt:lpwstr/>
      </vt:variant>
      <vt:variant>
        <vt:lpwstr>_Toc240679126</vt:lpwstr>
      </vt:variant>
      <vt:variant>
        <vt:i4>1966132</vt:i4>
      </vt:variant>
      <vt:variant>
        <vt:i4>247</vt:i4>
      </vt:variant>
      <vt:variant>
        <vt:i4>0</vt:i4>
      </vt:variant>
      <vt:variant>
        <vt:i4>5</vt:i4>
      </vt:variant>
      <vt:variant>
        <vt:lpwstr/>
      </vt:variant>
      <vt:variant>
        <vt:lpwstr>_Toc240679125</vt:lpwstr>
      </vt:variant>
      <vt:variant>
        <vt:i4>1966132</vt:i4>
      </vt:variant>
      <vt:variant>
        <vt:i4>241</vt:i4>
      </vt:variant>
      <vt:variant>
        <vt:i4>0</vt:i4>
      </vt:variant>
      <vt:variant>
        <vt:i4>5</vt:i4>
      </vt:variant>
      <vt:variant>
        <vt:lpwstr/>
      </vt:variant>
      <vt:variant>
        <vt:lpwstr>_Toc240679124</vt:lpwstr>
      </vt:variant>
      <vt:variant>
        <vt:i4>1966132</vt:i4>
      </vt:variant>
      <vt:variant>
        <vt:i4>235</vt:i4>
      </vt:variant>
      <vt:variant>
        <vt:i4>0</vt:i4>
      </vt:variant>
      <vt:variant>
        <vt:i4>5</vt:i4>
      </vt:variant>
      <vt:variant>
        <vt:lpwstr/>
      </vt:variant>
      <vt:variant>
        <vt:lpwstr>_Toc240679123</vt:lpwstr>
      </vt:variant>
      <vt:variant>
        <vt:i4>1966132</vt:i4>
      </vt:variant>
      <vt:variant>
        <vt:i4>229</vt:i4>
      </vt:variant>
      <vt:variant>
        <vt:i4>0</vt:i4>
      </vt:variant>
      <vt:variant>
        <vt:i4>5</vt:i4>
      </vt:variant>
      <vt:variant>
        <vt:lpwstr/>
      </vt:variant>
      <vt:variant>
        <vt:lpwstr>_Toc240679122</vt:lpwstr>
      </vt:variant>
      <vt:variant>
        <vt:i4>1966132</vt:i4>
      </vt:variant>
      <vt:variant>
        <vt:i4>223</vt:i4>
      </vt:variant>
      <vt:variant>
        <vt:i4>0</vt:i4>
      </vt:variant>
      <vt:variant>
        <vt:i4>5</vt:i4>
      </vt:variant>
      <vt:variant>
        <vt:lpwstr/>
      </vt:variant>
      <vt:variant>
        <vt:lpwstr>_Toc240679121</vt:lpwstr>
      </vt:variant>
      <vt:variant>
        <vt:i4>1966132</vt:i4>
      </vt:variant>
      <vt:variant>
        <vt:i4>217</vt:i4>
      </vt:variant>
      <vt:variant>
        <vt:i4>0</vt:i4>
      </vt:variant>
      <vt:variant>
        <vt:i4>5</vt:i4>
      </vt:variant>
      <vt:variant>
        <vt:lpwstr/>
      </vt:variant>
      <vt:variant>
        <vt:lpwstr>_Toc240679120</vt:lpwstr>
      </vt:variant>
      <vt:variant>
        <vt:i4>1900596</vt:i4>
      </vt:variant>
      <vt:variant>
        <vt:i4>211</vt:i4>
      </vt:variant>
      <vt:variant>
        <vt:i4>0</vt:i4>
      </vt:variant>
      <vt:variant>
        <vt:i4>5</vt:i4>
      </vt:variant>
      <vt:variant>
        <vt:lpwstr/>
      </vt:variant>
      <vt:variant>
        <vt:lpwstr>_Toc240679119</vt:lpwstr>
      </vt:variant>
      <vt:variant>
        <vt:i4>1900596</vt:i4>
      </vt:variant>
      <vt:variant>
        <vt:i4>205</vt:i4>
      </vt:variant>
      <vt:variant>
        <vt:i4>0</vt:i4>
      </vt:variant>
      <vt:variant>
        <vt:i4>5</vt:i4>
      </vt:variant>
      <vt:variant>
        <vt:lpwstr/>
      </vt:variant>
      <vt:variant>
        <vt:lpwstr>_Toc240679118</vt:lpwstr>
      </vt:variant>
      <vt:variant>
        <vt:i4>1900596</vt:i4>
      </vt:variant>
      <vt:variant>
        <vt:i4>199</vt:i4>
      </vt:variant>
      <vt:variant>
        <vt:i4>0</vt:i4>
      </vt:variant>
      <vt:variant>
        <vt:i4>5</vt:i4>
      </vt:variant>
      <vt:variant>
        <vt:lpwstr/>
      </vt:variant>
      <vt:variant>
        <vt:lpwstr>_Toc240679117</vt:lpwstr>
      </vt:variant>
      <vt:variant>
        <vt:i4>1900596</vt:i4>
      </vt:variant>
      <vt:variant>
        <vt:i4>193</vt:i4>
      </vt:variant>
      <vt:variant>
        <vt:i4>0</vt:i4>
      </vt:variant>
      <vt:variant>
        <vt:i4>5</vt:i4>
      </vt:variant>
      <vt:variant>
        <vt:lpwstr/>
      </vt:variant>
      <vt:variant>
        <vt:lpwstr>_Toc240679116</vt:lpwstr>
      </vt:variant>
      <vt:variant>
        <vt:i4>1900596</vt:i4>
      </vt:variant>
      <vt:variant>
        <vt:i4>187</vt:i4>
      </vt:variant>
      <vt:variant>
        <vt:i4>0</vt:i4>
      </vt:variant>
      <vt:variant>
        <vt:i4>5</vt:i4>
      </vt:variant>
      <vt:variant>
        <vt:lpwstr/>
      </vt:variant>
      <vt:variant>
        <vt:lpwstr>_Toc240679115</vt:lpwstr>
      </vt:variant>
      <vt:variant>
        <vt:i4>1900596</vt:i4>
      </vt:variant>
      <vt:variant>
        <vt:i4>181</vt:i4>
      </vt:variant>
      <vt:variant>
        <vt:i4>0</vt:i4>
      </vt:variant>
      <vt:variant>
        <vt:i4>5</vt:i4>
      </vt:variant>
      <vt:variant>
        <vt:lpwstr/>
      </vt:variant>
      <vt:variant>
        <vt:lpwstr>_Toc240679114</vt:lpwstr>
      </vt:variant>
      <vt:variant>
        <vt:i4>1900596</vt:i4>
      </vt:variant>
      <vt:variant>
        <vt:i4>175</vt:i4>
      </vt:variant>
      <vt:variant>
        <vt:i4>0</vt:i4>
      </vt:variant>
      <vt:variant>
        <vt:i4>5</vt:i4>
      </vt:variant>
      <vt:variant>
        <vt:lpwstr/>
      </vt:variant>
      <vt:variant>
        <vt:lpwstr>_Toc240679113</vt:lpwstr>
      </vt:variant>
      <vt:variant>
        <vt:i4>1900596</vt:i4>
      </vt:variant>
      <vt:variant>
        <vt:i4>169</vt:i4>
      </vt:variant>
      <vt:variant>
        <vt:i4>0</vt:i4>
      </vt:variant>
      <vt:variant>
        <vt:i4>5</vt:i4>
      </vt:variant>
      <vt:variant>
        <vt:lpwstr/>
      </vt:variant>
      <vt:variant>
        <vt:lpwstr>_Toc240679112</vt:lpwstr>
      </vt:variant>
      <vt:variant>
        <vt:i4>1900596</vt:i4>
      </vt:variant>
      <vt:variant>
        <vt:i4>163</vt:i4>
      </vt:variant>
      <vt:variant>
        <vt:i4>0</vt:i4>
      </vt:variant>
      <vt:variant>
        <vt:i4>5</vt:i4>
      </vt:variant>
      <vt:variant>
        <vt:lpwstr/>
      </vt:variant>
      <vt:variant>
        <vt:lpwstr>_Toc240679111</vt:lpwstr>
      </vt:variant>
      <vt:variant>
        <vt:i4>1900596</vt:i4>
      </vt:variant>
      <vt:variant>
        <vt:i4>157</vt:i4>
      </vt:variant>
      <vt:variant>
        <vt:i4>0</vt:i4>
      </vt:variant>
      <vt:variant>
        <vt:i4>5</vt:i4>
      </vt:variant>
      <vt:variant>
        <vt:lpwstr/>
      </vt:variant>
      <vt:variant>
        <vt:lpwstr>_Toc240679110</vt:lpwstr>
      </vt:variant>
      <vt:variant>
        <vt:i4>1835060</vt:i4>
      </vt:variant>
      <vt:variant>
        <vt:i4>151</vt:i4>
      </vt:variant>
      <vt:variant>
        <vt:i4>0</vt:i4>
      </vt:variant>
      <vt:variant>
        <vt:i4>5</vt:i4>
      </vt:variant>
      <vt:variant>
        <vt:lpwstr/>
      </vt:variant>
      <vt:variant>
        <vt:lpwstr>_Toc240679109</vt:lpwstr>
      </vt:variant>
      <vt:variant>
        <vt:i4>1835060</vt:i4>
      </vt:variant>
      <vt:variant>
        <vt:i4>145</vt:i4>
      </vt:variant>
      <vt:variant>
        <vt:i4>0</vt:i4>
      </vt:variant>
      <vt:variant>
        <vt:i4>5</vt:i4>
      </vt:variant>
      <vt:variant>
        <vt:lpwstr/>
      </vt:variant>
      <vt:variant>
        <vt:lpwstr>_Toc240679108</vt:lpwstr>
      </vt:variant>
      <vt:variant>
        <vt:i4>1835060</vt:i4>
      </vt:variant>
      <vt:variant>
        <vt:i4>139</vt:i4>
      </vt:variant>
      <vt:variant>
        <vt:i4>0</vt:i4>
      </vt:variant>
      <vt:variant>
        <vt:i4>5</vt:i4>
      </vt:variant>
      <vt:variant>
        <vt:lpwstr/>
      </vt:variant>
      <vt:variant>
        <vt:lpwstr>_Toc240679107</vt:lpwstr>
      </vt:variant>
      <vt:variant>
        <vt:i4>1835060</vt:i4>
      </vt:variant>
      <vt:variant>
        <vt:i4>133</vt:i4>
      </vt:variant>
      <vt:variant>
        <vt:i4>0</vt:i4>
      </vt:variant>
      <vt:variant>
        <vt:i4>5</vt:i4>
      </vt:variant>
      <vt:variant>
        <vt:lpwstr/>
      </vt:variant>
      <vt:variant>
        <vt:lpwstr>_Toc240679106</vt:lpwstr>
      </vt:variant>
      <vt:variant>
        <vt:i4>1835060</vt:i4>
      </vt:variant>
      <vt:variant>
        <vt:i4>127</vt:i4>
      </vt:variant>
      <vt:variant>
        <vt:i4>0</vt:i4>
      </vt:variant>
      <vt:variant>
        <vt:i4>5</vt:i4>
      </vt:variant>
      <vt:variant>
        <vt:lpwstr/>
      </vt:variant>
      <vt:variant>
        <vt:lpwstr>_Toc240679105</vt:lpwstr>
      </vt:variant>
      <vt:variant>
        <vt:i4>1835060</vt:i4>
      </vt:variant>
      <vt:variant>
        <vt:i4>121</vt:i4>
      </vt:variant>
      <vt:variant>
        <vt:i4>0</vt:i4>
      </vt:variant>
      <vt:variant>
        <vt:i4>5</vt:i4>
      </vt:variant>
      <vt:variant>
        <vt:lpwstr/>
      </vt:variant>
      <vt:variant>
        <vt:lpwstr>_Toc240679104</vt:lpwstr>
      </vt:variant>
      <vt:variant>
        <vt:i4>1835060</vt:i4>
      </vt:variant>
      <vt:variant>
        <vt:i4>115</vt:i4>
      </vt:variant>
      <vt:variant>
        <vt:i4>0</vt:i4>
      </vt:variant>
      <vt:variant>
        <vt:i4>5</vt:i4>
      </vt:variant>
      <vt:variant>
        <vt:lpwstr/>
      </vt:variant>
      <vt:variant>
        <vt:lpwstr>_Toc240679103</vt:lpwstr>
      </vt:variant>
      <vt:variant>
        <vt:i4>1835060</vt:i4>
      </vt:variant>
      <vt:variant>
        <vt:i4>109</vt:i4>
      </vt:variant>
      <vt:variant>
        <vt:i4>0</vt:i4>
      </vt:variant>
      <vt:variant>
        <vt:i4>5</vt:i4>
      </vt:variant>
      <vt:variant>
        <vt:lpwstr/>
      </vt:variant>
      <vt:variant>
        <vt:lpwstr>_Toc240679102</vt:lpwstr>
      </vt:variant>
      <vt:variant>
        <vt:i4>1835060</vt:i4>
      </vt:variant>
      <vt:variant>
        <vt:i4>103</vt:i4>
      </vt:variant>
      <vt:variant>
        <vt:i4>0</vt:i4>
      </vt:variant>
      <vt:variant>
        <vt:i4>5</vt:i4>
      </vt:variant>
      <vt:variant>
        <vt:lpwstr/>
      </vt:variant>
      <vt:variant>
        <vt:lpwstr>_Toc240679101</vt:lpwstr>
      </vt:variant>
      <vt:variant>
        <vt:i4>1835060</vt:i4>
      </vt:variant>
      <vt:variant>
        <vt:i4>97</vt:i4>
      </vt:variant>
      <vt:variant>
        <vt:i4>0</vt:i4>
      </vt:variant>
      <vt:variant>
        <vt:i4>5</vt:i4>
      </vt:variant>
      <vt:variant>
        <vt:lpwstr/>
      </vt:variant>
      <vt:variant>
        <vt:lpwstr>_Toc240679100</vt:lpwstr>
      </vt:variant>
      <vt:variant>
        <vt:i4>1376309</vt:i4>
      </vt:variant>
      <vt:variant>
        <vt:i4>91</vt:i4>
      </vt:variant>
      <vt:variant>
        <vt:i4>0</vt:i4>
      </vt:variant>
      <vt:variant>
        <vt:i4>5</vt:i4>
      </vt:variant>
      <vt:variant>
        <vt:lpwstr/>
      </vt:variant>
      <vt:variant>
        <vt:lpwstr>_Toc240679099</vt:lpwstr>
      </vt:variant>
      <vt:variant>
        <vt:i4>1376309</vt:i4>
      </vt:variant>
      <vt:variant>
        <vt:i4>85</vt:i4>
      </vt:variant>
      <vt:variant>
        <vt:i4>0</vt:i4>
      </vt:variant>
      <vt:variant>
        <vt:i4>5</vt:i4>
      </vt:variant>
      <vt:variant>
        <vt:lpwstr/>
      </vt:variant>
      <vt:variant>
        <vt:lpwstr>_Toc240679098</vt:lpwstr>
      </vt:variant>
      <vt:variant>
        <vt:i4>1376309</vt:i4>
      </vt:variant>
      <vt:variant>
        <vt:i4>79</vt:i4>
      </vt:variant>
      <vt:variant>
        <vt:i4>0</vt:i4>
      </vt:variant>
      <vt:variant>
        <vt:i4>5</vt:i4>
      </vt:variant>
      <vt:variant>
        <vt:lpwstr/>
      </vt:variant>
      <vt:variant>
        <vt:lpwstr>_Toc240679097</vt:lpwstr>
      </vt:variant>
      <vt:variant>
        <vt:i4>1376309</vt:i4>
      </vt:variant>
      <vt:variant>
        <vt:i4>73</vt:i4>
      </vt:variant>
      <vt:variant>
        <vt:i4>0</vt:i4>
      </vt:variant>
      <vt:variant>
        <vt:i4>5</vt:i4>
      </vt:variant>
      <vt:variant>
        <vt:lpwstr/>
      </vt:variant>
      <vt:variant>
        <vt:lpwstr>_Toc240679096</vt:lpwstr>
      </vt:variant>
      <vt:variant>
        <vt:i4>1376309</vt:i4>
      </vt:variant>
      <vt:variant>
        <vt:i4>67</vt:i4>
      </vt:variant>
      <vt:variant>
        <vt:i4>0</vt:i4>
      </vt:variant>
      <vt:variant>
        <vt:i4>5</vt:i4>
      </vt:variant>
      <vt:variant>
        <vt:lpwstr/>
      </vt:variant>
      <vt:variant>
        <vt:lpwstr>_Toc240679095</vt:lpwstr>
      </vt:variant>
      <vt:variant>
        <vt:i4>1376309</vt:i4>
      </vt:variant>
      <vt:variant>
        <vt:i4>61</vt:i4>
      </vt:variant>
      <vt:variant>
        <vt:i4>0</vt:i4>
      </vt:variant>
      <vt:variant>
        <vt:i4>5</vt:i4>
      </vt:variant>
      <vt:variant>
        <vt:lpwstr/>
      </vt:variant>
      <vt:variant>
        <vt:lpwstr>_Toc240679094</vt:lpwstr>
      </vt:variant>
      <vt:variant>
        <vt:i4>1376309</vt:i4>
      </vt:variant>
      <vt:variant>
        <vt:i4>55</vt:i4>
      </vt:variant>
      <vt:variant>
        <vt:i4>0</vt:i4>
      </vt:variant>
      <vt:variant>
        <vt:i4>5</vt:i4>
      </vt:variant>
      <vt:variant>
        <vt:lpwstr/>
      </vt:variant>
      <vt:variant>
        <vt:lpwstr>_Toc240679093</vt:lpwstr>
      </vt:variant>
      <vt:variant>
        <vt:i4>1376309</vt:i4>
      </vt:variant>
      <vt:variant>
        <vt:i4>49</vt:i4>
      </vt:variant>
      <vt:variant>
        <vt:i4>0</vt:i4>
      </vt:variant>
      <vt:variant>
        <vt:i4>5</vt:i4>
      </vt:variant>
      <vt:variant>
        <vt:lpwstr/>
      </vt:variant>
      <vt:variant>
        <vt:lpwstr>_Toc240679092</vt:lpwstr>
      </vt:variant>
      <vt:variant>
        <vt:i4>1376309</vt:i4>
      </vt:variant>
      <vt:variant>
        <vt:i4>43</vt:i4>
      </vt:variant>
      <vt:variant>
        <vt:i4>0</vt:i4>
      </vt:variant>
      <vt:variant>
        <vt:i4>5</vt:i4>
      </vt:variant>
      <vt:variant>
        <vt:lpwstr/>
      </vt:variant>
      <vt:variant>
        <vt:lpwstr>_Toc240679091</vt:lpwstr>
      </vt:variant>
      <vt:variant>
        <vt:i4>1376309</vt:i4>
      </vt:variant>
      <vt:variant>
        <vt:i4>37</vt:i4>
      </vt:variant>
      <vt:variant>
        <vt:i4>0</vt:i4>
      </vt:variant>
      <vt:variant>
        <vt:i4>5</vt:i4>
      </vt:variant>
      <vt:variant>
        <vt:lpwstr/>
      </vt:variant>
      <vt:variant>
        <vt:lpwstr>_Toc240679090</vt:lpwstr>
      </vt:variant>
      <vt:variant>
        <vt:i4>1310773</vt:i4>
      </vt:variant>
      <vt:variant>
        <vt:i4>31</vt:i4>
      </vt:variant>
      <vt:variant>
        <vt:i4>0</vt:i4>
      </vt:variant>
      <vt:variant>
        <vt:i4>5</vt:i4>
      </vt:variant>
      <vt:variant>
        <vt:lpwstr/>
      </vt:variant>
      <vt:variant>
        <vt:lpwstr>_Toc240679089</vt:lpwstr>
      </vt:variant>
      <vt:variant>
        <vt:i4>1310773</vt:i4>
      </vt:variant>
      <vt:variant>
        <vt:i4>25</vt:i4>
      </vt:variant>
      <vt:variant>
        <vt:i4>0</vt:i4>
      </vt:variant>
      <vt:variant>
        <vt:i4>5</vt:i4>
      </vt:variant>
      <vt:variant>
        <vt:lpwstr/>
      </vt:variant>
      <vt:variant>
        <vt:lpwstr>_Toc240679088</vt:lpwstr>
      </vt:variant>
      <vt:variant>
        <vt:i4>1310773</vt:i4>
      </vt:variant>
      <vt:variant>
        <vt:i4>19</vt:i4>
      </vt:variant>
      <vt:variant>
        <vt:i4>0</vt:i4>
      </vt:variant>
      <vt:variant>
        <vt:i4>5</vt:i4>
      </vt:variant>
      <vt:variant>
        <vt:lpwstr/>
      </vt:variant>
      <vt:variant>
        <vt:lpwstr>_Toc240679087</vt:lpwstr>
      </vt:variant>
      <vt:variant>
        <vt:i4>5242909</vt:i4>
      </vt:variant>
      <vt:variant>
        <vt:i4>14</vt:i4>
      </vt:variant>
      <vt:variant>
        <vt:i4>0</vt:i4>
      </vt:variant>
      <vt:variant>
        <vt:i4>5</vt:i4>
      </vt:variant>
      <vt:variant>
        <vt:lpwstr>http://eur-lex.europa.eu/LexUriServ/LexUriServ.do?uri=OJ:L:2009:140:0063:0087:DE:PDF</vt:lpwstr>
      </vt:variant>
      <vt:variant>
        <vt:lpwstr/>
      </vt:variant>
      <vt:variant>
        <vt:i4>5963849</vt:i4>
      </vt:variant>
      <vt:variant>
        <vt:i4>11</vt:i4>
      </vt:variant>
      <vt:variant>
        <vt:i4>0</vt:i4>
      </vt:variant>
      <vt:variant>
        <vt:i4>5</vt:i4>
      </vt:variant>
      <vt:variant>
        <vt:lpwstr>http://igsvtu.lanuv.nrw.de/VTUP=13/dokus/2009_219_eg.pdf</vt:lpwstr>
      </vt:variant>
      <vt:variant>
        <vt:lpwstr/>
      </vt:variant>
      <vt:variant>
        <vt:i4>6160404</vt:i4>
      </vt:variant>
      <vt:variant>
        <vt:i4>8</vt:i4>
      </vt:variant>
      <vt:variant>
        <vt:i4>0</vt:i4>
      </vt:variant>
      <vt:variant>
        <vt:i4>5</vt:i4>
      </vt:variant>
      <vt:variant>
        <vt:lpwstr>http://eur-lex.europa.eu/LexUriServ/LexUriServ.do?uri=OJ:L:2009:008:0003:0021:DE:PDF</vt:lpwstr>
      </vt:variant>
      <vt:variant>
        <vt:lpwstr/>
      </vt:variant>
      <vt:variant>
        <vt:i4>5898319</vt:i4>
      </vt:variant>
      <vt:variant>
        <vt:i4>3</vt:i4>
      </vt:variant>
      <vt:variant>
        <vt:i4>0</vt:i4>
      </vt:variant>
      <vt:variant>
        <vt:i4>5</vt:i4>
      </vt:variant>
      <vt:variant>
        <vt:lpwstr>http://igsvtu.lanuv.nrw.de/VTUP=13/dokus/2004_101_eg.pdf</vt:lpwstr>
      </vt:variant>
      <vt:variant>
        <vt:lpwstr/>
      </vt:variant>
      <vt:variant>
        <vt:i4>6160405</vt:i4>
      </vt:variant>
      <vt:variant>
        <vt:i4>0</vt:i4>
      </vt:variant>
      <vt:variant>
        <vt:i4>0</vt:i4>
      </vt:variant>
      <vt:variant>
        <vt:i4>5</vt:i4>
      </vt:variant>
      <vt:variant>
        <vt:lpwstr>http://eur-lex.europa.eu/LexUriServ/LexUriServ.do?uri=OJ:L:2003:275:0032:0046:DE:PDF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2003/87/EG DES EUROPÄISCHEN PARLAMENTS UND DES RATES vom 13. Oktober 2003 über ein System für den Handel mit Treibhausgasemissionszertifikaten</dc:title>
  <dc:creator>LANUV NRW</dc:creator>
  <dc:description>durchgesehen 02.2005</dc:description>
  <cp:lastModifiedBy>Rüter, Dr., Ingo</cp:lastModifiedBy>
  <cp:revision>52</cp:revision>
  <cp:lastPrinted>1900-12-31T23:00:00Z</cp:lastPrinted>
  <dcterms:created xsi:type="dcterms:W3CDTF">2018-07-09T09:06:00Z</dcterms:created>
  <dcterms:modified xsi:type="dcterms:W3CDTF">2023-10-17T09:08:00Z</dcterms:modified>
</cp:coreProperties>
</file>