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Ablagerung von verunreinigten Materialien aus Rüstungsaltlasten</w:t>
      </w:r>
    </w:p>
    <w:p>
      <w:pPr>
        <w:pStyle w:val="GesAbsatz"/>
        <w:jc w:val="center"/>
      </w:pPr>
      <w:r>
        <w:t>Erlass MUNLV vom 16.08.1999 - IV A 4 - 554 (n.v.)</w:t>
      </w:r>
    </w:p>
    <w:p>
      <w:pPr>
        <w:pStyle w:val="GesAbsatz"/>
        <w:rPr>
          <w:i/>
          <w:color w:val="FF0000"/>
        </w:rPr>
      </w:pPr>
      <w:r>
        <w:rPr>
          <w:i/>
          <w:color w:val="FF0000"/>
        </w:rPr>
        <w:t>Der nv-Erlass ist älter als 5 Jahre und damit nicht mehr gültig. Er enthält jedoch noch relevante Erkenntnisse.</w:t>
      </w:r>
    </w:p>
    <w:p>
      <w:pPr>
        <w:pStyle w:val="GesAbsatz"/>
      </w:pPr>
      <w:r>
        <w:t>Mit meinem o. a. Bezugserlass hatte ich Sie über die Problematik der Entsorgung von verunreinigtem Material aus Rüstungsaltlasten sowie über ein von mir initiiertes Untersuchungsvorhaben zur Erarbeitung der erforderlichen fachlichen Grundlagen informiert. Als fachliche Grundlage für Ihre Entscheidungen und für einen landesweit vergleichbaren Umgang mit entsprechenden Anträgen teile ich Ihnen im Folgenden die wesentlichen Ergebnisse des Untersuchungsvorhabens mit der Bitte um Berücksichtigung mit. Den ausführlichen Bericht werden Sie als Ausfertigung in Kürze erhalten.</w:t>
      </w:r>
    </w:p>
    <w:p>
      <w:pPr>
        <w:pStyle w:val="GesAbsatz"/>
      </w:pPr>
      <w:r>
        <w:t xml:space="preserve">Die im Rahmen des Vorhabens erarbeiteten Kriterien und Empfehlungen haben die Sicherung der gemeinwohlverträglichen Beseitigung von Materialien aus Rüstungsaltlasten zum Ziel, die in geringem Umfang mit nutzungstypischen Stoffen verunreinigt sind. Ausdrücklich nicht Gegenstand der Untersuchungen waren hoch-verunreinigte Materialien und entsprechende Reinsubstanzen, da deren Ablagerung insbesondere über Tage nicht in Betracht kommt. </w:t>
      </w:r>
      <w:bookmarkStart w:id="0" w:name="_GoBack"/>
      <w:bookmarkEnd w:id="0"/>
    </w:p>
    <w:p>
      <w:pPr>
        <w:pStyle w:val="GesAbsatz"/>
      </w:pPr>
      <w:r>
        <w:t>Die Ergebnisse der Untersuchungen stellen ausdrücklich keine Empfehlung für Umlagerungen als bevorzugte Sanierungsvariante im Einzelfall dar.</w:t>
      </w:r>
    </w:p>
    <w:p>
      <w:pPr>
        <w:pStyle w:val="GesAbsatz"/>
      </w:pPr>
      <w:r>
        <w:t>Aus der Vielzahl der auf Rüstungsaltlasten möglichen, nutzungsspezifischen Stoffe wurden die in Tab. 1 aufgeführten sprengstofftypischen Verbindungen (STV) praktisch untersucht. Diese Verbindungen sind auf Grund der ehemals produzierten Mengen einerseits sowie der Mobilität bzw. Persistenz der Stoffe und ihrer wichtigsten Abbauprodukte andererseits in erster Linie als beurteilungsrelevant zu erwarten, wenn eine Deponierung von verunreinigten Materialien aus Rüstungsaltlasten zur Diskussion steht.</w:t>
      </w:r>
    </w:p>
    <w:p>
      <w:pPr>
        <w:pStyle w:val="GesAbsatz"/>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1294"/>
        <w:gridCol w:w="2250"/>
        <w:gridCol w:w="1538"/>
        <w:gridCol w:w="1381"/>
        <w:gridCol w:w="2468"/>
      </w:tblGrid>
      <w:tr>
        <w:tc>
          <w:tcPr>
            <w:tcW w:w="1294" w:type="dxa"/>
          </w:tcPr>
          <w:p>
            <w:pPr>
              <w:pStyle w:val="GesAbsatz"/>
              <w:jc w:val="center"/>
              <w:rPr>
                <w:rFonts w:cs="Arial"/>
                <w:b/>
              </w:rPr>
            </w:pPr>
            <w:r>
              <w:rPr>
                <w:rFonts w:cs="Arial"/>
                <w:b/>
              </w:rPr>
              <w:t>Gemisch</w:t>
            </w:r>
          </w:p>
        </w:tc>
        <w:tc>
          <w:tcPr>
            <w:tcW w:w="2250" w:type="dxa"/>
          </w:tcPr>
          <w:p>
            <w:pPr>
              <w:pStyle w:val="GesAbsatz"/>
              <w:jc w:val="center"/>
              <w:rPr>
                <w:rFonts w:cs="Arial"/>
                <w:b/>
              </w:rPr>
            </w:pPr>
            <w:r>
              <w:rPr>
                <w:rFonts w:cs="Arial"/>
                <w:b/>
              </w:rPr>
              <w:t>Name</w:t>
            </w:r>
          </w:p>
        </w:tc>
        <w:tc>
          <w:tcPr>
            <w:tcW w:w="1538" w:type="dxa"/>
          </w:tcPr>
          <w:p>
            <w:pPr>
              <w:pStyle w:val="GesAbsatz"/>
              <w:jc w:val="center"/>
              <w:rPr>
                <w:rFonts w:cs="Arial"/>
                <w:b/>
              </w:rPr>
            </w:pPr>
            <w:r>
              <w:rPr>
                <w:rFonts w:cs="Arial"/>
                <w:b/>
              </w:rPr>
              <w:t>Synonym /</w:t>
            </w:r>
            <w:r>
              <w:rPr>
                <w:rFonts w:cs="Arial"/>
                <w:b/>
              </w:rPr>
              <w:br/>
              <w:t>Abkürzung</w:t>
            </w:r>
          </w:p>
        </w:tc>
        <w:tc>
          <w:tcPr>
            <w:tcW w:w="1381" w:type="dxa"/>
          </w:tcPr>
          <w:p>
            <w:pPr>
              <w:pStyle w:val="GesAbsatz"/>
              <w:jc w:val="center"/>
              <w:rPr>
                <w:rFonts w:cs="Arial"/>
                <w:b/>
              </w:rPr>
            </w:pPr>
            <w:r>
              <w:rPr>
                <w:rFonts w:cs="Arial"/>
                <w:b/>
              </w:rPr>
              <w:t>CAS-Nr.</w:t>
            </w:r>
          </w:p>
        </w:tc>
        <w:tc>
          <w:tcPr>
            <w:tcW w:w="2468" w:type="dxa"/>
          </w:tcPr>
          <w:p>
            <w:pPr>
              <w:pStyle w:val="GesAbsatz"/>
              <w:jc w:val="center"/>
              <w:rPr>
                <w:rFonts w:cs="Arial"/>
                <w:b/>
              </w:rPr>
            </w:pPr>
            <w:r>
              <w:rPr>
                <w:rFonts w:cs="Arial"/>
                <w:b/>
              </w:rPr>
              <w:t>Anwendungs-/</w:t>
            </w:r>
            <w:r>
              <w:rPr>
                <w:rFonts w:cs="Arial"/>
                <w:b/>
              </w:rPr>
              <w:br/>
              <w:t>Herkunftsbereich</w:t>
            </w:r>
          </w:p>
        </w:tc>
      </w:tr>
      <w:tr>
        <w:tc>
          <w:tcPr>
            <w:tcW w:w="1294" w:type="dxa"/>
            <w:vMerge w:val="restart"/>
          </w:tcPr>
          <w:p>
            <w:pPr>
              <w:pStyle w:val="GesAbsatz"/>
              <w:rPr>
                <w:rFonts w:cs="Arial"/>
              </w:rPr>
            </w:pPr>
          </w:p>
          <w:p>
            <w:pPr>
              <w:pStyle w:val="GesAbsatz"/>
              <w:rPr>
                <w:rFonts w:cs="Arial"/>
              </w:rPr>
            </w:pPr>
          </w:p>
          <w:p>
            <w:pPr>
              <w:pStyle w:val="GesAbsatz"/>
              <w:rPr>
                <w:rFonts w:cs="Arial"/>
              </w:rPr>
            </w:pPr>
          </w:p>
          <w:p>
            <w:pPr>
              <w:pStyle w:val="GesAbsatz"/>
              <w:rPr>
                <w:rFonts w:cs="Arial"/>
              </w:rPr>
            </w:pPr>
            <w:r>
              <w:rPr>
                <w:rFonts w:cs="Arial"/>
              </w:rPr>
              <w:t>STVI</w:t>
            </w:r>
          </w:p>
        </w:tc>
        <w:tc>
          <w:tcPr>
            <w:tcW w:w="2250" w:type="dxa"/>
          </w:tcPr>
          <w:p>
            <w:pPr>
              <w:pStyle w:val="GesAbsatz"/>
              <w:rPr>
                <w:rFonts w:cs="Arial"/>
              </w:rPr>
            </w:pPr>
            <w:r>
              <w:rPr>
                <w:rFonts w:cs="Arial"/>
              </w:rPr>
              <w:t>2,4,6-Trinitrotoluol</w:t>
            </w:r>
          </w:p>
        </w:tc>
        <w:tc>
          <w:tcPr>
            <w:tcW w:w="1538" w:type="dxa"/>
          </w:tcPr>
          <w:p>
            <w:pPr>
              <w:pStyle w:val="GesAbsatz"/>
              <w:rPr>
                <w:rFonts w:cs="Arial"/>
              </w:rPr>
            </w:pPr>
            <w:r>
              <w:rPr>
                <w:rFonts w:cs="Arial"/>
              </w:rPr>
              <w:t>2,4,6-TNT</w:t>
            </w:r>
          </w:p>
        </w:tc>
        <w:tc>
          <w:tcPr>
            <w:tcW w:w="1381" w:type="dxa"/>
          </w:tcPr>
          <w:p>
            <w:pPr>
              <w:pStyle w:val="GesAbsatz"/>
              <w:rPr>
                <w:rFonts w:cs="Arial"/>
              </w:rPr>
            </w:pPr>
            <w:r>
              <w:rPr>
                <w:rFonts w:cs="Arial"/>
              </w:rPr>
              <w:t>118-96-7</w:t>
            </w:r>
          </w:p>
        </w:tc>
        <w:tc>
          <w:tcPr>
            <w:tcW w:w="2468" w:type="dxa"/>
          </w:tcPr>
          <w:p>
            <w:pPr>
              <w:pStyle w:val="GesAbsatz"/>
              <w:jc w:val="left"/>
              <w:rPr>
                <w:rFonts w:cs="Arial"/>
              </w:rPr>
            </w:pPr>
            <w:r>
              <w:rPr>
                <w:rFonts w:cs="Arial"/>
              </w:rPr>
              <w:t>häufigster Sprengstoff</w:t>
            </w:r>
          </w:p>
        </w:tc>
      </w:tr>
      <w:tr>
        <w:tc>
          <w:tcPr>
            <w:tcW w:w="1294" w:type="dxa"/>
            <w:vMerge/>
          </w:tcPr>
          <w:p>
            <w:pPr>
              <w:pStyle w:val="GesAbsatz"/>
              <w:rPr>
                <w:rFonts w:cs="Arial"/>
              </w:rPr>
            </w:pPr>
          </w:p>
        </w:tc>
        <w:tc>
          <w:tcPr>
            <w:tcW w:w="2250" w:type="dxa"/>
          </w:tcPr>
          <w:p>
            <w:pPr>
              <w:pStyle w:val="GesAbsatz"/>
              <w:tabs>
                <w:tab w:val="clear" w:pos="425"/>
              </w:tabs>
              <w:rPr>
                <w:rFonts w:cs="Arial"/>
              </w:rPr>
            </w:pPr>
            <w:r>
              <w:rPr>
                <w:rFonts w:cs="Arial"/>
              </w:rPr>
              <w:t>2-Amino-4,6-Dinitrotoluol</w:t>
            </w:r>
          </w:p>
        </w:tc>
        <w:tc>
          <w:tcPr>
            <w:tcW w:w="1538" w:type="dxa"/>
          </w:tcPr>
          <w:p>
            <w:pPr>
              <w:pStyle w:val="GesAbsatz"/>
              <w:rPr>
                <w:rFonts w:cs="Arial"/>
              </w:rPr>
            </w:pPr>
            <w:r>
              <w:rPr>
                <w:rFonts w:cs="Arial"/>
              </w:rPr>
              <w:t>2-A-4,6-DNT</w:t>
            </w:r>
          </w:p>
        </w:tc>
        <w:tc>
          <w:tcPr>
            <w:tcW w:w="1381" w:type="dxa"/>
          </w:tcPr>
          <w:p>
            <w:pPr>
              <w:pStyle w:val="GesAbsatz"/>
              <w:rPr>
                <w:rFonts w:cs="Arial"/>
              </w:rPr>
            </w:pPr>
            <w:r>
              <w:rPr>
                <w:rFonts w:cs="Arial"/>
              </w:rPr>
              <w:t>35572-78-2</w:t>
            </w:r>
          </w:p>
        </w:tc>
        <w:tc>
          <w:tcPr>
            <w:tcW w:w="2468" w:type="dxa"/>
            <w:vMerge w:val="restart"/>
          </w:tcPr>
          <w:p>
            <w:pPr>
              <w:pStyle w:val="GesAbsatz"/>
              <w:rPr>
                <w:rFonts w:cs="Arial"/>
              </w:rPr>
            </w:pPr>
          </w:p>
          <w:p>
            <w:pPr>
              <w:pStyle w:val="GesAbsatz"/>
              <w:rPr>
                <w:rFonts w:cs="Arial"/>
              </w:rPr>
            </w:pPr>
            <w:r>
              <w:rPr>
                <w:rFonts w:cs="Arial"/>
              </w:rPr>
              <w:t>TNT-Abbauprodukte</w:t>
            </w:r>
          </w:p>
        </w:tc>
      </w:tr>
      <w:tr>
        <w:tc>
          <w:tcPr>
            <w:tcW w:w="1294" w:type="dxa"/>
            <w:vMerge/>
          </w:tcPr>
          <w:p>
            <w:pPr>
              <w:pStyle w:val="GesAbsatz"/>
              <w:rPr>
                <w:rFonts w:cs="Arial"/>
              </w:rPr>
            </w:pPr>
          </w:p>
        </w:tc>
        <w:tc>
          <w:tcPr>
            <w:tcW w:w="2250" w:type="dxa"/>
          </w:tcPr>
          <w:p>
            <w:pPr>
              <w:pStyle w:val="GesAbsatz"/>
              <w:rPr>
                <w:rFonts w:cs="Arial"/>
              </w:rPr>
            </w:pPr>
            <w:r>
              <w:rPr>
                <w:rFonts w:cs="Arial"/>
              </w:rPr>
              <w:t>4-Amino-2,6-Dinitrotoluol</w:t>
            </w:r>
          </w:p>
        </w:tc>
        <w:tc>
          <w:tcPr>
            <w:tcW w:w="1538" w:type="dxa"/>
          </w:tcPr>
          <w:p>
            <w:pPr>
              <w:pStyle w:val="GesAbsatz"/>
              <w:rPr>
                <w:rFonts w:cs="Arial"/>
              </w:rPr>
            </w:pPr>
            <w:r>
              <w:rPr>
                <w:rFonts w:cs="Arial"/>
              </w:rPr>
              <w:t>4-A-2,6-DNT</w:t>
            </w:r>
          </w:p>
        </w:tc>
        <w:tc>
          <w:tcPr>
            <w:tcW w:w="1381" w:type="dxa"/>
          </w:tcPr>
          <w:p>
            <w:pPr>
              <w:pStyle w:val="GesAbsatz"/>
              <w:rPr>
                <w:rFonts w:cs="Arial"/>
              </w:rPr>
            </w:pPr>
            <w:r>
              <w:rPr>
                <w:rFonts w:cs="Arial"/>
              </w:rPr>
              <w:t>19406-51-0</w:t>
            </w:r>
          </w:p>
        </w:tc>
        <w:tc>
          <w:tcPr>
            <w:tcW w:w="2468" w:type="dxa"/>
            <w:vMerge/>
          </w:tcPr>
          <w:p>
            <w:pPr>
              <w:pStyle w:val="GesAbsatz"/>
              <w:rPr>
                <w:rFonts w:cs="Arial"/>
              </w:rPr>
            </w:pPr>
          </w:p>
        </w:tc>
      </w:tr>
      <w:tr>
        <w:tc>
          <w:tcPr>
            <w:tcW w:w="1294" w:type="dxa"/>
            <w:vMerge/>
          </w:tcPr>
          <w:p>
            <w:pPr>
              <w:pStyle w:val="GesAbsatz"/>
              <w:rPr>
                <w:rFonts w:cs="Arial"/>
              </w:rPr>
            </w:pPr>
          </w:p>
        </w:tc>
        <w:tc>
          <w:tcPr>
            <w:tcW w:w="2250" w:type="dxa"/>
          </w:tcPr>
          <w:p>
            <w:pPr>
              <w:pStyle w:val="GesAbsatz"/>
              <w:rPr>
                <w:rFonts w:cs="Arial"/>
              </w:rPr>
            </w:pPr>
            <w:r>
              <w:rPr>
                <w:rFonts w:cs="Arial"/>
              </w:rPr>
              <w:t>2,4-Dinitrotoluol</w:t>
            </w:r>
          </w:p>
        </w:tc>
        <w:tc>
          <w:tcPr>
            <w:tcW w:w="1538" w:type="dxa"/>
          </w:tcPr>
          <w:p>
            <w:pPr>
              <w:pStyle w:val="GesAbsatz"/>
              <w:rPr>
                <w:rFonts w:cs="Arial"/>
              </w:rPr>
            </w:pPr>
            <w:r>
              <w:rPr>
                <w:rFonts w:cs="Arial"/>
              </w:rPr>
              <w:t>2,4-DNT</w:t>
            </w:r>
          </w:p>
        </w:tc>
        <w:tc>
          <w:tcPr>
            <w:tcW w:w="1381" w:type="dxa"/>
          </w:tcPr>
          <w:p>
            <w:pPr>
              <w:pStyle w:val="GesAbsatz"/>
              <w:rPr>
                <w:rFonts w:cs="Arial"/>
              </w:rPr>
            </w:pPr>
            <w:r>
              <w:rPr>
                <w:rFonts w:cs="Arial"/>
              </w:rPr>
              <w:t>121-14-2</w:t>
            </w:r>
          </w:p>
        </w:tc>
        <w:tc>
          <w:tcPr>
            <w:tcW w:w="2468" w:type="dxa"/>
            <w:vMerge w:val="restart"/>
          </w:tcPr>
          <w:p>
            <w:pPr>
              <w:pStyle w:val="GesAbsatz"/>
              <w:jc w:val="left"/>
              <w:rPr>
                <w:rFonts w:cs="Arial"/>
              </w:rPr>
            </w:pPr>
            <w:r>
              <w:rPr>
                <w:rFonts w:cs="Arial"/>
              </w:rPr>
              <w:t>TNT-Vorprodukte, Komponenten in Sprengstoffgemischen</w:t>
            </w:r>
          </w:p>
        </w:tc>
      </w:tr>
      <w:tr>
        <w:tc>
          <w:tcPr>
            <w:tcW w:w="1294" w:type="dxa"/>
            <w:vMerge/>
          </w:tcPr>
          <w:p>
            <w:pPr>
              <w:pStyle w:val="GesAbsatz"/>
              <w:rPr>
                <w:rFonts w:cs="Arial"/>
              </w:rPr>
            </w:pPr>
          </w:p>
        </w:tc>
        <w:tc>
          <w:tcPr>
            <w:tcW w:w="2250" w:type="dxa"/>
          </w:tcPr>
          <w:p>
            <w:pPr>
              <w:pStyle w:val="GesAbsatz"/>
              <w:rPr>
                <w:rFonts w:cs="Arial"/>
              </w:rPr>
            </w:pPr>
            <w:r>
              <w:rPr>
                <w:rFonts w:cs="Arial"/>
              </w:rPr>
              <w:t>2,6-Dinitrotoluol</w:t>
            </w:r>
          </w:p>
        </w:tc>
        <w:tc>
          <w:tcPr>
            <w:tcW w:w="1538" w:type="dxa"/>
          </w:tcPr>
          <w:p>
            <w:pPr>
              <w:pStyle w:val="GesAbsatz"/>
              <w:rPr>
                <w:rFonts w:cs="Arial"/>
              </w:rPr>
            </w:pPr>
            <w:r>
              <w:rPr>
                <w:rFonts w:cs="Arial"/>
              </w:rPr>
              <w:t>2,6-DNT</w:t>
            </w:r>
          </w:p>
        </w:tc>
        <w:tc>
          <w:tcPr>
            <w:tcW w:w="1381" w:type="dxa"/>
          </w:tcPr>
          <w:p>
            <w:pPr>
              <w:pStyle w:val="GesAbsatz"/>
              <w:rPr>
                <w:rFonts w:cs="Arial"/>
              </w:rPr>
            </w:pPr>
            <w:r>
              <w:rPr>
                <w:rFonts w:cs="Arial"/>
              </w:rPr>
              <w:t>606-20-2</w:t>
            </w:r>
          </w:p>
        </w:tc>
        <w:tc>
          <w:tcPr>
            <w:tcW w:w="2468" w:type="dxa"/>
            <w:vMerge/>
          </w:tcPr>
          <w:p>
            <w:pPr>
              <w:pStyle w:val="GesAbsatz"/>
              <w:rPr>
                <w:rFonts w:cs="Arial"/>
              </w:rPr>
            </w:pPr>
          </w:p>
        </w:tc>
      </w:tr>
      <w:tr>
        <w:tc>
          <w:tcPr>
            <w:tcW w:w="1294" w:type="dxa"/>
            <w:vMerge/>
          </w:tcPr>
          <w:p>
            <w:pPr>
              <w:pStyle w:val="GesAbsatz"/>
              <w:rPr>
                <w:rFonts w:cs="Arial"/>
              </w:rPr>
            </w:pPr>
          </w:p>
        </w:tc>
        <w:tc>
          <w:tcPr>
            <w:tcW w:w="2250" w:type="dxa"/>
          </w:tcPr>
          <w:p>
            <w:pPr>
              <w:pStyle w:val="GesAbsatz"/>
              <w:rPr>
                <w:rFonts w:cs="Arial"/>
              </w:rPr>
            </w:pPr>
            <w:r>
              <w:rPr>
                <w:rFonts w:cs="Arial"/>
              </w:rPr>
              <w:t>2-Nitrotoluol</w:t>
            </w:r>
          </w:p>
        </w:tc>
        <w:tc>
          <w:tcPr>
            <w:tcW w:w="1538" w:type="dxa"/>
          </w:tcPr>
          <w:p>
            <w:pPr>
              <w:pStyle w:val="GesAbsatz"/>
              <w:rPr>
                <w:rFonts w:cs="Arial"/>
              </w:rPr>
            </w:pPr>
            <w:r>
              <w:rPr>
                <w:rFonts w:cs="Arial"/>
              </w:rPr>
              <w:t>2-NT</w:t>
            </w:r>
          </w:p>
        </w:tc>
        <w:tc>
          <w:tcPr>
            <w:tcW w:w="1381" w:type="dxa"/>
          </w:tcPr>
          <w:p>
            <w:pPr>
              <w:pStyle w:val="GesAbsatz"/>
              <w:rPr>
                <w:rFonts w:cs="Arial"/>
              </w:rPr>
            </w:pPr>
            <w:r>
              <w:rPr>
                <w:rFonts w:cs="Arial"/>
              </w:rPr>
              <w:t>88-72-2</w:t>
            </w:r>
          </w:p>
        </w:tc>
        <w:tc>
          <w:tcPr>
            <w:tcW w:w="2468" w:type="dxa"/>
            <w:vMerge/>
          </w:tcPr>
          <w:p>
            <w:pPr>
              <w:pStyle w:val="GesAbsatz"/>
              <w:rPr>
                <w:rFonts w:cs="Arial"/>
              </w:rPr>
            </w:pPr>
          </w:p>
        </w:tc>
      </w:tr>
      <w:tr>
        <w:tc>
          <w:tcPr>
            <w:tcW w:w="1294" w:type="dxa"/>
            <w:vMerge w:val="restart"/>
          </w:tcPr>
          <w:p>
            <w:pPr>
              <w:pStyle w:val="GesAbsatz"/>
              <w:rPr>
                <w:rFonts w:cs="Arial"/>
              </w:rPr>
            </w:pPr>
          </w:p>
          <w:p>
            <w:pPr>
              <w:pStyle w:val="GesAbsatz"/>
              <w:rPr>
                <w:rFonts w:cs="Arial"/>
              </w:rPr>
            </w:pPr>
            <w:r>
              <w:rPr>
                <w:rFonts w:cs="Arial"/>
              </w:rPr>
              <w:br/>
              <w:t>STVII</w:t>
            </w:r>
          </w:p>
        </w:tc>
        <w:tc>
          <w:tcPr>
            <w:tcW w:w="2250" w:type="dxa"/>
          </w:tcPr>
          <w:p>
            <w:pPr>
              <w:pStyle w:val="GesAbsatz"/>
              <w:rPr>
                <w:rFonts w:cs="Arial"/>
              </w:rPr>
            </w:pPr>
            <w:r>
              <w:rPr>
                <w:rFonts w:cs="Arial"/>
              </w:rPr>
              <w:t>Nitropenta</w:t>
            </w:r>
          </w:p>
        </w:tc>
        <w:tc>
          <w:tcPr>
            <w:tcW w:w="1538" w:type="dxa"/>
          </w:tcPr>
          <w:p>
            <w:pPr>
              <w:pStyle w:val="GesAbsatz"/>
              <w:rPr>
                <w:rFonts w:cs="Arial"/>
              </w:rPr>
            </w:pPr>
            <w:r>
              <w:rPr>
                <w:rFonts w:cs="Arial"/>
              </w:rPr>
              <w:t>PETN</w:t>
            </w:r>
          </w:p>
        </w:tc>
        <w:tc>
          <w:tcPr>
            <w:tcW w:w="1381" w:type="dxa"/>
          </w:tcPr>
          <w:p>
            <w:pPr>
              <w:pStyle w:val="GesAbsatz"/>
              <w:rPr>
                <w:rFonts w:cs="Arial"/>
              </w:rPr>
            </w:pPr>
            <w:r>
              <w:rPr>
                <w:rFonts w:cs="Arial"/>
              </w:rPr>
              <w:t>78-11-5</w:t>
            </w:r>
          </w:p>
        </w:tc>
        <w:tc>
          <w:tcPr>
            <w:tcW w:w="2468" w:type="dxa"/>
            <w:vMerge w:val="restart"/>
          </w:tcPr>
          <w:p>
            <w:pPr>
              <w:pStyle w:val="GesAbsatz"/>
              <w:rPr>
                <w:rFonts w:cs="Arial"/>
              </w:rPr>
            </w:pPr>
          </w:p>
          <w:p>
            <w:pPr>
              <w:pStyle w:val="GesAbsatz"/>
              <w:rPr>
                <w:rFonts w:cs="Arial"/>
              </w:rPr>
            </w:pPr>
            <w:r>
              <w:rPr>
                <w:rFonts w:cs="Arial"/>
              </w:rPr>
              <w:t>Sprengstoffe</w:t>
            </w:r>
          </w:p>
        </w:tc>
      </w:tr>
      <w:tr>
        <w:tc>
          <w:tcPr>
            <w:tcW w:w="1294" w:type="dxa"/>
            <w:vMerge/>
          </w:tcPr>
          <w:p>
            <w:pPr>
              <w:pStyle w:val="GesAbsatz"/>
              <w:rPr>
                <w:rFonts w:cs="Arial"/>
              </w:rPr>
            </w:pPr>
          </w:p>
        </w:tc>
        <w:tc>
          <w:tcPr>
            <w:tcW w:w="2250" w:type="dxa"/>
          </w:tcPr>
          <w:p>
            <w:pPr>
              <w:pStyle w:val="GesAbsatz"/>
              <w:rPr>
                <w:rFonts w:cs="Arial"/>
              </w:rPr>
            </w:pPr>
            <w:r>
              <w:rPr>
                <w:rFonts w:cs="Arial"/>
              </w:rPr>
              <w:t>Hexogen</w:t>
            </w:r>
          </w:p>
        </w:tc>
        <w:tc>
          <w:tcPr>
            <w:tcW w:w="1538" w:type="dxa"/>
          </w:tcPr>
          <w:p>
            <w:pPr>
              <w:pStyle w:val="GesAbsatz"/>
              <w:rPr>
                <w:rFonts w:cs="Arial"/>
              </w:rPr>
            </w:pPr>
            <w:r>
              <w:rPr>
                <w:rFonts w:cs="Arial"/>
              </w:rPr>
              <w:t>RDX</w:t>
            </w:r>
          </w:p>
        </w:tc>
        <w:tc>
          <w:tcPr>
            <w:tcW w:w="1381" w:type="dxa"/>
          </w:tcPr>
          <w:p>
            <w:pPr>
              <w:pStyle w:val="GesAbsatz"/>
              <w:rPr>
                <w:rFonts w:cs="Arial"/>
              </w:rPr>
            </w:pPr>
            <w:r>
              <w:rPr>
                <w:rFonts w:cs="Arial"/>
              </w:rPr>
              <w:t>121-82-4</w:t>
            </w:r>
          </w:p>
        </w:tc>
        <w:tc>
          <w:tcPr>
            <w:tcW w:w="2468" w:type="dxa"/>
            <w:vMerge/>
          </w:tcPr>
          <w:p>
            <w:pPr>
              <w:pStyle w:val="GesAbsatz"/>
              <w:rPr>
                <w:rFonts w:cs="Arial"/>
              </w:rPr>
            </w:pPr>
          </w:p>
        </w:tc>
      </w:tr>
      <w:tr>
        <w:tc>
          <w:tcPr>
            <w:tcW w:w="1294" w:type="dxa"/>
            <w:vMerge/>
          </w:tcPr>
          <w:p>
            <w:pPr>
              <w:pStyle w:val="GesAbsatz"/>
              <w:rPr>
                <w:rFonts w:cs="Arial"/>
              </w:rPr>
            </w:pPr>
          </w:p>
        </w:tc>
        <w:tc>
          <w:tcPr>
            <w:tcW w:w="2250" w:type="dxa"/>
          </w:tcPr>
          <w:p>
            <w:pPr>
              <w:pStyle w:val="GesAbsatz"/>
              <w:rPr>
                <w:rFonts w:cs="Arial"/>
              </w:rPr>
            </w:pPr>
            <w:r>
              <w:rPr>
                <w:rFonts w:cs="Arial"/>
              </w:rPr>
              <w:t>Octogen</w:t>
            </w:r>
          </w:p>
        </w:tc>
        <w:tc>
          <w:tcPr>
            <w:tcW w:w="1538" w:type="dxa"/>
          </w:tcPr>
          <w:p>
            <w:pPr>
              <w:pStyle w:val="GesAbsatz"/>
              <w:rPr>
                <w:rFonts w:cs="Arial"/>
              </w:rPr>
            </w:pPr>
            <w:r>
              <w:rPr>
                <w:rFonts w:cs="Arial"/>
              </w:rPr>
              <w:t>HMX</w:t>
            </w:r>
          </w:p>
        </w:tc>
        <w:tc>
          <w:tcPr>
            <w:tcW w:w="1381" w:type="dxa"/>
          </w:tcPr>
          <w:p>
            <w:pPr>
              <w:pStyle w:val="GesAbsatz"/>
              <w:rPr>
                <w:rFonts w:cs="Arial"/>
              </w:rPr>
            </w:pPr>
            <w:r>
              <w:rPr>
                <w:rFonts w:cs="Arial"/>
              </w:rPr>
              <w:t>2691-41-0</w:t>
            </w:r>
          </w:p>
        </w:tc>
        <w:tc>
          <w:tcPr>
            <w:tcW w:w="2468" w:type="dxa"/>
            <w:vMerge/>
          </w:tcPr>
          <w:p>
            <w:pPr>
              <w:pStyle w:val="GesAbsatz"/>
              <w:rPr>
                <w:rFonts w:cs="Arial"/>
              </w:rPr>
            </w:pPr>
          </w:p>
        </w:tc>
      </w:tr>
      <w:tr>
        <w:tc>
          <w:tcPr>
            <w:tcW w:w="1294" w:type="dxa"/>
            <w:vMerge/>
          </w:tcPr>
          <w:p>
            <w:pPr>
              <w:pStyle w:val="GesAbsatz"/>
              <w:rPr>
                <w:rFonts w:cs="Arial"/>
              </w:rPr>
            </w:pPr>
          </w:p>
        </w:tc>
        <w:tc>
          <w:tcPr>
            <w:tcW w:w="2250" w:type="dxa"/>
          </w:tcPr>
          <w:p>
            <w:pPr>
              <w:pStyle w:val="GesAbsatz"/>
              <w:rPr>
                <w:rFonts w:cs="Arial"/>
              </w:rPr>
            </w:pPr>
            <w:r>
              <w:rPr>
                <w:rFonts w:cs="Arial"/>
              </w:rPr>
              <w:t>1,3-Dinitrobenzol</w:t>
            </w:r>
          </w:p>
        </w:tc>
        <w:tc>
          <w:tcPr>
            <w:tcW w:w="1538" w:type="dxa"/>
          </w:tcPr>
          <w:p>
            <w:pPr>
              <w:pStyle w:val="GesAbsatz"/>
              <w:rPr>
                <w:rFonts w:cs="Arial"/>
              </w:rPr>
            </w:pPr>
            <w:r>
              <w:rPr>
                <w:rFonts w:cs="Arial"/>
              </w:rPr>
              <w:t>1,3-DNB</w:t>
            </w:r>
          </w:p>
        </w:tc>
        <w:tc>
          <w:tcPr>
            <w:tcW w:w="1381" w:type="dxa"/>
          </w:tcPr>
          <w:p>
            <w:pPr>
              <w:pStyle w:val="GesAbsatz"/>
              <w:rPr>
                <w:rFonts w:cs="Arial"/>
              </w:rPr>
            </w:pPr>
            <w:r>
              <w:rPr>
                <w:rFonts w:cs="Arial"/>
              </w:rPr>
              <w:t>99-65-0</w:t>
            </w:r>
          </w:p>
        </w:tc>
        <w:tc>
          <w:tcPr>
            <w:tcW w:w="2468" w:type="dxa"/>
          </w:tcPr>
          <w:p>
            <w:pPr>
              <w:pStyle w:val="GesAbsatz"/>
              <w:rPr>
                <w:rFonts w:cs="Arial"/>
              </w:rPr>
            </w:pPr>
            <w:r>
              <w:rPr>
                <w:rFonts w:cs="Arial"/>
              </w:rPr>
              <w:t>Ersatzsprengstoff</w:t>
            </w:r>
          </w:p>
        </w:tc>
      </w:tr>
    </w:tbl>
    <w:p>
      <w:pPr>
        <w:pStyle w:val="GesAbsatz"/>
      </w:pPr>
      <w:r>
        <w:rPr>
          <w:b/>
        </w:rPr>
        <w:t xml:space="preserve">Tab. 1: </w:t>
      </w:r>
      <w:r>
        <w:t>Im Vorhaben praktisch untersuchte Gemische von STV</w:t>
      </w:r>
    </w:p>
    <w:p>
      <w:pPr>
        <w:pStyle w:val="GesAbsatz"/>
      </w:pPr>
      <w:r>
        <w:t>Die Laboruntersuchungen umfassten zusätzlich einige aromatische Arsenkampfstoffe als einzige Vertreter aus der Gruppe der chemischen Kampfstoffe. Nur bei diesen wurde auf Grund theoretischer Überlegungen (Reizkampfstoffe, d. h. verhältnismäßig schwache Kampfstoffwirkung; große Mengen produziert; langzeitstabil, d. h. auch heute noch in Böden vorhanden) eine Deponierung überhaupt in Erwägung gezogen. Praxisberichte aus dem Wehrwissenschaftlichen Institut für Schutztechnologien / ABC-Schutz des Bundes (WIS Munster), die durch mündliche Mitteilung des Umweltbundesamtes bestätigt wurden, zeigen aber, dass diese Stoffe abhängig von den im Einzelfall vorliegenden personenabhängigen, örtlichen und klimatischen Gegebenheiten bereits in Spurenkonzentrationen ihre Reizwirkung entfalten können. Diese Beobachtung trifft ebenfalls auf die Produkte der ersten Abbaustufe zu, die im Boden über Jahrzehnte persistent sein können. Es ist somit nicht möglich, Kriterien oder Konzentrationen abzuleiten, die im Einzelfall die gemeinwohlverträgliche Beseitigung derart 'verunreinigter Materialien auf Deponien sicherstellen könnten.</w:t>
      </w:r>
    </w:p>
    <w:p>
      <w:pPr>
        <w:pStyle w:val="GesAbsatz"/>
        <w:rPr>
          <w:b/>
        </w:rPr>
      </w:pPr>
      <w:r>
        <w:rPr>
          <w:b/>
        </w:rPr>
        <w:lastRenderedPageBreak/>
        <w:t>Aus Gründen des Arbeits- und Personenschutzes sind daher alle Materialien, die chemische Kampfstoffe in nachweisbarer Form oder Abbauprodukte mit vergleichbarer Kampfstoffwirkung enthalten, grundsätzlich von einer Deponierung auszuschließen.</w:t>
      </w:r>
    </w:p>
    <w:p>
      <w:pPr>
        <w:pStyle w:val="GesAbsatz"/>
      </w:pPr>
      <w:r>
        <w:t>Je nach Fallgestaltung ist darzulegen, dass das abzulagernde Material solche Substanzen nicht enthält (s. hierzu auch Pkt. 3.1 und Pkt. 4.2).</w:t>
      </w:r>
    </w:p>
    <w:p>
      <w:pPr>
        <w:pStyle w:val="GesAbsatz"/>
      </w:pPr>
      <w:r>
        <w:t xml:space="preserve">Bezüglich der </w:t>
      </w:r>
      <w:r>
        <w:rPr>
          <w:b/>
        </w:rPr>
        <w:t xml:space="preserve">Übertragbarkeit der Ergebnisse auf andere STV </w:t>
      </w:r>
      <w:r>
        <w:t>gilt, dass grundsätzlich die aus der Literatur zu entnehmenden Stoffkenndaten einer Substanz (z. B. Löslichkeit oder Dampfdruck) soweit vorhanden - grobe Anhaltswerte für das Mobilitätsverhalten liefern, und daher für eine vergleichende Betrachtung innerhalb von Stoffgruppen herangezogen werden können. Ein solcher Vergleich muss jedoch immer unter Vorbehalt erfolgen, da</w:t>
      </w:r>
    </w:p>
    <w:p>
      <w:pPr>
        <w:pStyle w:val="GesAbsatz"/>
        <w:ind w:left="426" w:hanging="426"/>
      </w:pPr>
      <w:r>
        <w:t>-</w:t>
      </w:r>
      <w:r>
        <w:tab/>
        <w:t>die Angaben zu Stoffkenndaten bei STV häufig unvollständig und/oder widersprüchlich sind. Oft ist zudem nicht bekannt, unter welchen speziellen Randbedingungen die Werte ermittelt wurden, was die Vergleichbarkeit zusätzlich infrage stellt,</w:t>
      </w:r>
    </w:p>
    <w:p>
      <w:pPr>
        <w:pStyle w:val="GesAbsatz"/>
        <w:ind w:left="426" w:hanging="426"/>
      </w:pPr>
      <w:r>
        <w:t>-</w:t>
      </w:r>
      <w:r>
        <w:tab/>
        <w:t>die durchgeführten Versuche gezeigt haben, dass die experimentell ermittelten Mobilitäten in der flüssigen bzw. der Gasphase nicht in jedem Fall mit den Stoffkenndaten einer Substanz in Einklang zu bringen waren.</w:t>
      </w:r>
    </w:p>
    <w:p>
      <w:pPr>
        <w:pStyle w:val="GesAbsatz"/>
      </w:pPr>
      <w:r>
        <w:t>Um die gemeinwohlverträgliche Beseitigung verunreinigter Materialien aus Rüstungsaltlasten sicherzustellen, sind daher aus Vorsorgegründen bei der Formulierung von Anforderungen, die im Deponierungsfall einzuhalten sind, weiterhin hohe Maßstäbe anzulegen.</w:t>
      </w:r>
    </w:p>
    <w:p>
      <w:pPr>
        <w:pStyle w:val="berschrift2"/>
        <w:jc w:val="left"/>
      </w:pPr>
      <w:r>
        <w:t>1. Anforderungen an Deponien zur Aufnahme verunreinigter Materialien aus Rüstungsaltlasten</w:t>
      </w:r>
    </w:p>
    <w:p>
      <w:pPr>
        <w:pStyle w:val="berschrift3"/>
        <w:jc w:val="left"/>
      </w:pPr>
      <w:r>
        <w:t>1.1 Basisabdichtung, Sickerwasserfassung</w:t>
      </w:r>
    </w:p>
    <w:p>
      <w:pPr>
        <w:pStyle w:val="GesAbsatz"/>
      </w:pPr>
      <w:r>
        <w:t>Auf Grund der Toxizität der hier betrachteten Stoffe und der Unsicherheiten bei der Prognose der Sickerwasserbelastungen sollten verunreinigte Materialien aus Rüstungsaltlasten grundsätzlich nur in Deponiebereichen abgelagert werden, die mit einer Basisabdichtung ausgestattet sind, die mindestens den Anforderungen der TA Siedlungsabfall (TASi) für die Deponieklasse II entspricht. Das Sickerwasser muss wirksam gefasst und einer, geeigneten Behandlungsanlage zugeführt werden.</w:t>
      </w:r>
    </w:p>
    <w:p>
      <w:pPr>
        <w:pStyle w:val="berschrift3"/>
        <w:jc w:val="left"/>
      </w:pPr>
      <w:r>
        <w:t>1.2 Sickerwasserbehandlungsanlage</w:t>
      </w:r>
    </w:p>
    <w:p>
      <w:pPr>
        <w:pStyle w:val="GesAbsatz"/>
      </w:pPr>
      <w:r>
        <w:t>Das Verfahren, mit dem das Sickerwasser der infrage kommenden Deponie behandelt wird, muss als zentralen Verfahrensschritt eine Umkehrosmose oder einen Bioreaktor mit nachgeschaltetem Aktivkohlefilter beinhalten. Während eine Umkehrosmose gleichermaßen effizient für alle der betrachteten STV eingesetzt werden kann, trifft dies für eine biologische Behandlung nicht zu. Zur Eliminierung eventueller Restkonzentrationen im Sickerwasser ist daher ein nachgeschalteter Aktivkohlefilter erforderlich. Falls im Einzelfall ein plötzlicher Konzentrationsanstieg der STV im Sickerwasser bis in den mg/l-Bereich möglich ist, sollte die Verträglichkeit für den Bioreaktor mit geeigneten Untersuchungen nachgewiesen werden.</w:t>
      </w:r>
    </w:p>
    <w:p>
      <w:pPr>
        <w:pStyle w:val="berschrift3"/>
        <w:jc w:val="left"/>
      </w:pPr>
      <w:r>
        <w:t>1.3 Deponiegasfassung und -behandlung</w:t>
      </w:r>
    </w:p>
    <w:p>
      <w:pPr>
        <w:pStyle w:val="GesAbsatz"/>
      </w:pPr>
      <w:r>
        <w:t xml:space="preserve">Bei Ablagerung von Materialien, die in nennenswertem Umfang (Annäherung an die in </w:t>
      </w:r>
      <w:hyperlink w:anchor="_Tabelle_2" w:history="1">
        <w:r>
          <w:rPr>
            <w:rStyle w:val="Hyperlink"/>
          </w:rPr>
          <w:t>Tabelle 2</w:t>
        </w:r>
      </w:hyperlink>
      <w:r>
        <w:t xml:space="preserve"> vorgeschlagenen Orientierungswerte) mit MNT, DNT oder DNB belastet sind, sollte die Deponie mit einer Gasfassung ausgestattet sein. Das gefasste Deponiegas sollte einer energetischen Nutzung oder einer Fackelanlage (Hochtemperaturfackel &gt; 1.200 °C, Verweilzeit im Hochtemperaturbereich Z 0,3 sec) zugeführt werden.</w:t>
      </w:r>
    </w:p>
    <w:p>
      <w:pPr>
        <w:pStyle w:val="berschrift3"/>
        <w:jc w:val="left"/>
      </w:pPr>
      <w:r>
        <w:t>1.4 Ablagerungsbereich</w:t>
      </w:r>
    </w:p>
    <w:p>
      <w:pPr>
        <w:pStyle w:val="GesAbsatz"/>
      </w:pPr>
      <w:r>
        <w:t>Da eine Mobilitätssteigerung durch organische Lösungsvermittler nicht auszuschließen ist, wird empfohlen, die Materialien so abzulagern, dass sie nicht von organisch belasteten Sickerwässern durchströmt werden können. Auf Grund der bisher unzureichend geklärten Zersetzung von 2,4,6-TNT im alkalischen Milieu sollte bei TNT-belasteten Materialien zudem ein Kontakt mit alkalischem Sickerwasser (&gt; pH 8) ausgeschlossen werden.</w:t>
      </w:r>
    </w:p>
    <w:p>
      <w:pPr>
        <w:pStyle w:val="GesAbsatz"/>
      </w:pPr>
      <w:r>
        <w:t>Bevorzugt kommt somit der Einbau in Monobereichen oder als oberste Ablagerungsschicht unter dem Oberflächenabdichtungssystem in Betracht.</w:t>
      </w:r>
    </w:p>
    <w:p>
      <w:pPr>
        <w:pStyle w:val="berschrift2"/>
        <w:jc w:val="left"/>
      </w:pPr>
      <w:r>
        <w:lastRenderedPageBreak/>
        <w:t xml:space="preserve">2 Hinweise für den Deponiebetrieb </w:t>
      </w:r>
    </w:p>
    <w:p>
      <w:pPr>
        <w:pStyle w:val="berschrift3"/>
        <w:jc w:val="left"/>
      </w:pPr>
      <w:r>
        <w:t>2.1 Einbau</w:t>
      </w:r>
    </w:p>
    <w:p>
      <w:pPr>
        <w:pStyle w:val="GesAbsatz"/>
      </w:pPr>
      <w:r>
        <w:t>Um den Schadstoffaustrag aus den verunreinigten Materialien zu minimieren, empfiehlt sich ein kleinflächiger Einbau mit hoher Verdichtung. Dies gilt insbesondere für mit MNT</w:t>
      </w:r>
      <w:r>
        <w:rPr>
          <w:rStyle w:val="Funotenzeichen"/>
        </w:rPr>
        <w:footnoteReference w:id="1"/>
      </w:r>
      <w:r>
        <w:t xml:space="preserve"> belastete Materialien, die je nach den vor-Ort-Bedingungen Geruchsentwicklungen hervorrufen können. Rollige Materialien - insbesondere TNT-verun</w:t>
      </w:r>
      <w:r>
        <w:softHyphen/>
        <w:t>reinigter Bauschutt - sind unmittelbar nach dem Einbau mit bindigem Boden oder Folien abzudecken, bis eine Zwischen- oder Endabdeckung aufgebracht wird.</w:t>
      </w:r>
    </w:p>
    <w:p>
      <w:pPr>
        <w:pStyle w:val="berschrift3"/>
        <w:jc w:val="left"/>
      </w:pPr>
      <w:r>
        <w:t>2.2 Arbeitsschutz</w:t>
      </w:r>
    </w:p>
    <w:p>
      <w:pPr>
        <w:pStyle w:val="GesAbsatz"/>
      </w:pPr>
      <w:r>
        <w:t>Beim Einbau verunreinigter Materialien aus Rüstungsaltlasten sind neben den generell für den Deponiebetrieb geltenden Arbeitsschutzvorschriften die speziell für Arbeiten auf (Rüstungs)-Altlasten bzw. kontaminierten Standorten aufgestellten Richtlinien, Empfehlungen und Leitlinien zu beachten. Dies gilt vor allem beim Umgang mit leichtflüchtigen Stoffen.</w:t>
      </w:r>
    </w:p>
    <w:p>
      <w:pPr>
        <w:pStyle w:val="berschrift2"/>
        <w:jc w:val="left"/>
      </w:pPr>
      <w:r>
        <w:t xml:space="preserve">3 Anforderungen an das Deponat </w:t>
      </w:r>
    </w:p>
    <w:p>
      <w:pPr>
        <w:pStyle w:val="berschrift3"/>
        <w:jc w:val="left"/>
      </w:pPr>
      <w:r>
        <w:t>3.1 Voruntersuchungen</w:t>
      </w:r>
    </w:p>
    <w:p>
      <w:pPr>
        <w:pStyle w:val="GesAbsatz"/>
      </w:pPr>
      <w:r>
        <w:t>Alle für die Deponierung vorgesehenen Materialien müssen nach Beschaffenheit und Herkunft genau bekannt sein. Es ist sicherzustellen, dass Art und Umfang der Verunreinigungen durch eine detaillierte historische Recherche, Gefährdungsabschätzung und Sanierungsuntersuchung zuvor ermittelt wurden. Besonderer Wert ist auf eine vollständige, dem Herkunftsstandort angepasste Parameterliste bei der Analytik der Materialien zu legen. Dabei ist grundsätzlich zu überlegen, ob auch chemische Kampfstoffe oder deren Abbauprodukte am Standort vorhanden sein können. Bestehen entsprechende Hinweise, sind diese auch analytisch zu überprüfen.</w:t>
      </w:r>
    </w:p>
    <w:p>
      <w:pPr>
        <w:pStyle w:val="GesAbsatz"/>
      </w:pPr>
      <w:r>
        <w:t>Im Vorfeld sowie während des Aushubs ist sicherzustellen, dass die zur Deponierung vorgesehenen Materialien frei von Kampfmitteln in Form von Patronen, Granaten, Bomben oder Spreng- bzw. Kampfstoffen in Behältnissen o. ä. sind. Die Materialien dürfen zudem Sprengstoffe grundsätzlich nur in feinverteilter Form und nicht als Reinsubstanzen in makroskopischen Aggregaten (z. B. TNT-Brocken nur mit einer Kantenlänge &lt; 1 cm) enthalten, auch wenn die als Orientierungswerte vorgeschlagenen Konzentrationen insgesamt nicht überschritten werden.</w:t>
      </w:r>
    </w:p>
    <w:p>
      <w:pPr>
        <w:pStyle w:val="berschrift3"/>
        <w:jc w:val="left"/>
      </w:pPr>
      <w:r>
        <w:t>3.2 Orientierungswerte für maximale Substanzkonzentrationen an STV</w:t>
      </w:r>
    </w:p>
    <w:p>
      <w:pPr>
        <w:pStyle w:val="GesAbsatz"/>
      </w:pPr>
      <w:r>
        <w:t>Als Obergrenzen für die Deponierung von STV-verunreinigten Materialien werden auf der Basis des aktuellen Standes der Erkenntnisse die in Tab. 2 (s. S. 11) aufgeführten Orientierungswerte empfohlen. Dabei ist in jedem Fall abhängig von der technischen Ausstattung und der Betriebsführung der vorgesehenen, Deponie sowie der zu erwartenden Schadstofffracht aus dem Deponat eine Einzelfallentscheidung zu treffen.</w:t>
      </w:r>
    </w:p>
    <w:p>
      <w:pPr>
        <w:pStyle w:val="GesAbsatz"/>
      </w:pPr>
      <w:r>
        <w:t>Bei den Orientierungswerten wird unterschieden zwischen Ablagerungsbereichen, die dem vorab beschriebenen Standard bezüglich der technischen Ausstattung und der Betriebsführung entsprechen (Stufe 1), und Ablagerungsbereichen mit höherem Sicherheitsniveau (Stufe 2). Unter Ablagerungsbereichen der Stufe 2 sind Verfüllabschnitte von Sonderabfalldeponien zu verstehen, die über die Anforderungen an Ablagerungsbereiche der Stufe 1 hinausgehend eine Basisabdichtung aufweisen, die mindestens den Anforderungen der TA Abfall, Teil 1, entspricht, und die über eine effiziente Sickerwasserfassung. und -behandlung verfügen.</w:t>
      </w:r>
    </w:p>
    <w:p>
      <w:pPr>
        <w:pStyle w:val="GesAbsatz"/>
      </w:pPr>
      <w:r>
        <w:t>Eine Zuordnung zu den Deponieklassen nach TASi bzw. TA Abfall, Teil 1, wird bewusst vermieden, da die derzeit in NRW betriebenen Deponien bis auf sehr wenige Ausnahmen bereits vor In-Kraft-Treten der TA Abfall, Teil 1, bzw. der TASi betrieben wurden, und die technischen Ausstattungen dementsprechend trotz erfolgter Anpassungsmaßnahmen sehr unterschiedlich sind.</w:t>
      </w:r>
    </w:p>
    <w:p>
      <w:pPr>
        <w:pStyle w:val="GesAbsatz"/>
      </w:pPr>
      <w:r>
        <w:t>Die Ableitung der empfohlenen Orientierungswerte erfolgte vor allem auf der Basis folgender Kriterien und Untersuchungsergebnisse (vgl. auch Tab. 2):</w:t>
      </w:r>
    </w:p>
    <w:p>
      <w:pPr>
        <w:pStyle w:val="GesAbsatz"/>
      </w:pPr>
      <w:r>
        <w:t>•</w:t>
      </w:r>
      <w:r>
        <w:tab/>
        <w:t>Löslichkeit der Substanz in Wasser</w:t>
      </w:r>
    </w:p>
    <w:p>
      <w:pPr>
        <w:pStyle w:val="GesAbsatz"/>
      </w:pPr>
      <w:r>
        <w:t>•</w:t>
      </w:r>
      <w:r>
        <w:tab/>
        <w:t>experimentell ermittelter eluierbarer Anteil</w:t>
      </w:r>
    </w:p>
    <w:p>
      <w:pPr>
        <w:pStyle w:val="GesAbsatz"/>
      </w:pPr>
      <w:r>
        <w:t>•</w:t>
      </w:r>
      <w:r>
        <w:tab/>
        <w:t>Auswirkung unterschiedlicher pH-Werte des Elutionsmediums</w:t>
      </w:r>
    </w:p>
    <w:p>
      <w:pPr>
        <w:pStyle w:val="GesAbsatz"/>
      </w:pPr>
      <w:r>
        <w:t>•</w:t>
      </w:r>
      <w:r>
        <w:tab/>
        <w:t>Auswirkung von organischen Lösungsvermittlern (SDS)</w:t>
      </w:r>
    </w:p>
    <w:p>
      <w:pPr>
        <w:pStyle w:val="GesAbsatz"/>
      </w:pPr>
      <w:r>
        <w:lastRenderedPageBreak/>
        <w:t>•</w:t>
      </w:r>
      <w:r>
        <w:tab/>
        <w:t>potentieller Austrag über die Gasphase</w:t>
      </w:r>
    </w:p>
    <w:p>
      <w:pPr>
        <w:pStyle w:val="GesAbsatz"/>
      </w:pPr>
      <w:r>
        <w:t>•</w:t>
      </w:r>
      <w:r>
        <w:tab/>
        <w:t>Einschätzung der Ökotoxizität (Wirkpotentialfaktor).</w:t>
      </w:r>
    </w:p>
    <w:p>
      <w:pPr>
        <w:pStyle w:val="GesAbsatz"/>
      </w:pPr>
      <w:r>
        <w:t>Zur weitergehenden Begründung der Werte verweise ich auf den Abschlussbericht zum Vorhaben.</w:t>
      </w:r>
    </w:p>
    <w:p>
      <w:pPr>
        <w:pStyle w:val="berschrift2"/>
        <w:jc w:val="left"/>
      </w:pPr>
      <w:r>
        <w:t xml:space="preserve">4 Hinweise zur Eignung von Überwachungsverfahren </w:t>
      </w:r>
    </w:p>
    <w:p>
      <w:pPr>
        <w:pStyle w:val="berschrift3"/>
        <w:jc w:val="left"/>
      </w:pPr>
      <w:r>
        <w:t>4.1 Analysenanzahl, Probennahme</w:t>
      </w:r>
    </w:p>
    <w:p>
      <w:pPr>
        <w:pStyle w:val="GesAbsatz"/>
      </w:pPr>
      <w:r>
        <w:t>Aufgrund der besonderen Problematik der Ermittlung repräsentativer Feststoffbelastungen ist bei der Deklarations- und Kontrollanalytik die Anwendung der Probenahmevorschriften der LAGA zu beachten (LAGA-Richtlinie PN 2/78 bzw. LAGA PN 2178K).</w:t>
      </w:r>
    </w:p>
    <w:p>
      <w:pPr>
        <w:pStyle w:val="GesAbsatz"/>
      </w:pPr>
      <w:r>
        <w:t>Zur Konkretisierung und Steigerung der Aussagesicherheit bei der Messwertbeurteilung sollten zur Probenahme die v. g. LAGA-Richtlinien durch die in Tab. 3 beschriebene Vorgehensweise ergänzt werden. Danach sind in Abhängigkeit der Kubatur der zu entsorgenden Boden-/Materialmenge folgende Probenumfänge zu berücksichtigen:</w:t>
      </w:r>
    </w:p>
    <w:p>
      <w:pPr>
        <w:pStyle w:val="GesAbsatz"/>
      </w:pPr>
    </w:p>
    <w:tbl>
      <w:tblPr>
        <w:tblStyle w:val="Tabellenraster"/>
        <w:tblW w:w="0" w:type="auto"/>
        <w:tblLook w:val="00A0" w:firstRow="1" w:lastRow="0" w:firstColumn="1" w:lastColumn="0" w:noHBand="0" w:noVBand="0"/>
      </w:tblPr>
      <w:tblGrid>
        <w:gridCol w:w="2482"/>
        <w:gridCol w:w="2795"/>
        <w:gridCol w:w="4351"/>
      </w:tblGrid>
      <w:tr>
        <w:tc>
          <w:tcPr>
            <w:tcW w:w="2518" w:type="dxa"/>
          </w:tcPr>
          <w:p>
            <w:pPr>
              <w:pStyle w:val="GesAbsatz"/>
              <w:jc w:val="center"/>
            </w:pPr>
            <w:r>
              <w:t>Volumen des Haufwerkes/ Schüttkörpers</w:t>
            </w:r>
          </w:p>
        </w:tc>
        <w:tc>
          <w:tcPr>
            <w:tcW w:w="2835" w:type="dxa"/>
          </w:tcPr>
          <w:p>
            <w:pPr>
              <w:pStyle w:val="GesAbsatz"/>
              <w:jc w:val="center"/>
            </w:pPr>
            <w:r>
              <w:t>Mindestanzahl der zu erstellenden Durchschnittsproben</w:t>
            </w:r>
          </w:p>
        </w:tc>
        <w:tc>
          <w:tcPr>
            <w:tcW w:w="4425" w:type="dxa"/>
          </w:tcPr>
          <w:p>
            <w:pPr>
              <w:pStyle w:val="GesAbsatz"/>
              <w:jc w:val="center"/>
            </w:pPr>
            <w:r>
              <w:t>Anzahl der zu entnehmenden Einzelproben je Durchschnittsprobe</w:t>
            </w:r>
          </w:p>
        </w:tc>
      </w:tr>
      <w:tr>
        <w:tc>
          <w:tcPr>
            <w:tcW w:w="2518" w:type="dxa"/>
          </w:tcPr>
          <w:p>
            <w:pPr>
              <w:pStyle w:val="GesAbsatz"/>
              <w:jc w:val="center"/>
            </w:pPr>
            <w:r>
              <w:t>[m³]</w:t>
            </w:r>
          </w:p>
        </w:tc>
        <w:tc>
          <w:tcPr>
            <w:tcW w:w="2835" w:type="dxa"/>
          </w:tcPr>
          <w:p>
            <w:pPr>
              <w:pStyle w:val="GesAbsatz"/>
              <w:jc w:val="center"/>
            </w:pPr>
            <w:r>
              <w:t>[Stck.]</w:t>
            </w:r>
          </w:p>
        </w:tc>
        <w:tc>
          <w:tcPr>
            <w:tcW w:w="4425" w:type="dxa"/>
          </w:tcPr>
          <w:p>
            <w:pPr>
              <w:pStyle w:val="GesAbsatz"/>
              <w:jc w:val="center"/>
            </w:pPr>
            <w:r>
              <w:t>[Stck.]</w:t>
            </w:r>
          </w:p>
        </w:tc>
      </w:tr>
      <w:tr>
        <w:tc>
          <w:tcPr>
            <w:tcW w:w="2518" w:type="dxa"/>
          </w:tcPr>
          <w:p>
            <w:pPr>
              <w:pStyle w:val="GesAbsatz"/>
              <w:jc w:val="center"/>
            </w:pPr>
            <w:r>
              <w:t>&lt; 25</w:t>
            </w:r>
          </w:p>
        </w:tc>
        <w:tc>
          <w:tcPr>
            <w:tcW w:w="2835" w:type="dxa"/>
          </w:tcPr>
          <w:p>
            <w:pPr>
              <w:pStyle w:val="GesAbsatz"/>
              <w:jc w:val="center"/>
            </w:pPr>
            <w:r>
              <w:t>1</w:t>
            </w:r>
          </w:p>
        </w:tc>
        <w:tc>
          <w:tcPr>
            <w:tcW w:w="4425" w:type="dxa"/>
          </w:tcPr>
          <w:p>
            <w:pPr>
              <w:pStyle w:val="GesAbsatz"/>
              <w:jc w:val="center"/>
            </w:pPr>
            <w:r>
              <w:t>5</w:t>
            </w:r>
          </w:p>
        </w:tc>
      </w:tr>
      <w:tr>
        <w:tc>
          <w:tcPr>
            <w:tcW w:w="2518" w:type="dxa"/>
          </w:tcPr>
          <w:p>
            <w:pPr>
              <w:pStyle w:val="GesAbsatz"/>
              <w:jc w:val="center"/>
            </w:pPr>
            <w:r>
              <w:t>&lt; 50</w:t>
            </w:r>
          </w:p>
        </w:tc>
        <w:tc>
          <w:tcPr>
            <w:tcW w:w="2835" w:type="dxa"/>
          </w:tcPr>
          <w:p>
            <w:pPr>
              <w:pStyle w:val="GesAbsatz"/>
              <w:jc w:val="center"/>
            </w:pPr>
            <w:r>
              <w:t>2</w:t>
            </w:r>
          </w:p>
        </w:tc>
        <w:tc>
          <w:tcPr>
            <w:tcW w:w="4425" w:type="dxa"/>
          </w:tcPr>
          <w:p>
            <w:pPr>
              <w:pStyle w:val="GesAbsatz"/>
              <w:jc w:val="center"/>
            </w:pPr>
            <w:r>
              <w:t>5</w:t>
            </w:r>
          </w:p>
        </w:tc>
      </w:tr>
      <w:tr>
        <w:tc>
          <w:tcPr>
            <w:tcW w:w="2518" w:type="dxa"/>
          </w:tcPr>
          <w:p>
            <w:pPr>
              <w:pStyle w:val="GesAbsatz"/>
              <w:jc w:val="center"/>
            </w:pPr>
            <w:r>
              <w:t>&lt; 100</w:t>
            </w:r>
          </w:p>
        </w:tc>
        <w:tc>
          <w:tcPr>
            <w:tcW w:w="2835" w:type="dxa"/>
          </w:tcPr>
          <w:p>
            <w:pPr>
              <w:pStyle w:val="GesAbsatz"/>
              <w:jc w:val="center"/>
            </w:pPr>
            <w:r>
              <w:t>3</w:t>
            </w:r>
          </w:p>
        </w:tc>
        <w:tc>
          <w:tcPr>
            <w:tcW w:w="4425" w:type="dxa"/>
          </w:tcPr>
          <w:p>
            <w:pPr>
              <w:pStyle w:val="GesAbsatz"/>
              <w:jc w:val="center"/>
            </w:pPr>
            <w:r>
              <w:t>7</w:t>
            </w:r>
          </w:p>
        </w:tc>
      </w:tr>
      <w:tr>
        <w:tc>
          <w:tcPr>
            <w:tcW w:w="2518" w:type="dxa"/>
          </w:tcPr>
          <w:p>
            <w:pPr>
              <w:pStyle w:val="GesAbsatz"/>
              <w:jc w:val="center"/>
            </w:pPr>
            <w:r>
              <w:t>&lt; 200</w:t>
            </w:r>
          </w:p>
        </w:tc>
        <w:tc>
          <w:tcPr>
            <w:tcW w:w="2835" w:type="dxa"/>
          </w:tcPr>
          <w:p>
            <w:pPr>
              <w:pStyle w:val="GesAbsatz"/>
              <w:jc w:val="center"/>
            </w:pPr>
            <w:r>
              <w:t>4</w:t>
            </w:r>
          </w:p>
        </w:tc>
        <w:tc>
          <w:tcPr>
            <w:tcW w:w="4425" w:type="dxa"/>
          </w:tcPr>
          <w:p>
            <w:pPr>
              <w:pStyle w:val="GesAbsatz"/>
              <w:jc w:val="center"/>
            </w:pPr>
            <w:r>
              <w:t>10</w:t>
            </w:r>
          </w:p>
        </w:tc>
      </w:tr>
      <w:tr>
        <w:tc>
          <w:tcPr>
            <w:tcW w:w="2518" w:type="dxa"/>
          </w:tcPr>
          <w:p>
            <w:pPr>
              <w:pStyle w:val="GesAbsatz"/>
              <w:jc w:val="center"/>
            </w:pPr>
            <w:r>
              <w:t>&lt; 300</w:t>
            </w:r>
          </w:p>
        </w:tc>
        <w:tc>
          <w:tcPr>
            <w:tcW w:w="2835" w:type="dxa"/>
          </w:tcPr>
          <w:p>
            <w:pPr>
              <w:pStyle w:val="GesAbsatz"/>
              <w:jc w:val="center"/>
            </w:pPr>
            <w:r>
              <w:t>5</w:t>
            </w:r>
          </w:p>
        </w:tc>
        <w:tc>
          <w:tcPr>
            <w:tcW w:w="4425" w:type="dxa"/>
          </w:tcPr>
          <w:p>
            <w:pPr>
              <w:pStyle w:val="GesAbsatz"/>
              <w:jc w:val="center"/>
            </w:pPr>
            <w:r>
              <w:t>12</w:t>
            </w:r>
          </w:p>
        </w:tc>
      </w:tr>
      <w:tr>
        <w:tc>
          <w:tcPr>
            <w:tcW w:w="2518" w:type="dxa"/>
          </w:tcPr>
          <w:p>
            <w:pPr>
              <w:pStyle w:val="GesAbsatz"/>
              <w:jc w:val="center"/>
            </w:pPr>
            <w:r>
              <w:t>&lt; 400</w:t>
            </w:r>
          </w:p>
        </w:tc>
        <w:tc>
          <w:tcPr>
            <w:tcW w:w="2835" w:type="dxa"/>
          </w:tcPr>
          <w:p>
            <w:pPr>
              <w:pStyle w:val="GesAbsatz"/>
              <w:jc w:val="center"/>
            </w:pPr>
            <w:r>
              <w:t>6</w:t>
            </w:r>
          </w:p>
        </w:tc>
        <w:tc>
          <w:tcPr>
            <w:tcW w:w="4425" w:type="dxa"/>
          </w:tcPr>
          <w:p>
            <w:pPr>
              <w:pStyle w:val="GesAbsatz"/>
              <w:jc w:val="center"/>
            </w:pPr>
            <w:r>
              <w:t>13</w:t>
            </w:r>
          </w:p>
        </w:tc>
      </w:tr>
      <w:tr>
        <w:tc>
          <w:tcPr>
            <w:tcW w:w="2518" w:type="dxa"/>
          </w:tcPr>
          <w:p>
            <w:pPr>
              <w:pStyle w:val="GesAbsatz"/>
              <w:jc w:val="center"/>
            </w:pPr>
            <w:r>
              <w:t>&lt; 500</w:t>
            </w:r>
          </w:p>
        </w:tc>
        <w:tc>
          <w:tcPr>
            <w:tcW w:w="2835" w:type="dxa"/>
          </w:tcPr>
          <w:p>
            <w:pPr>
              <w:pStyle w:val="GesAbsatz"/>
              <w:jc w:val="center"/>
            </w:pPr>
            <w:r>
              <w:t>7</w:t>
            </w:r>
          </w:p>
        </w:tc>
        <w:tc>
          <w:tcPr>
            <w:tcW w:w="4425" w:type="dxa"/>
          </w:tcPr>
          <w:p>
            <w:pPr>
              <w:pStyle w:val="GesAbsatz"/>
              <w:jc w:val="center"/>
            </w:pPr>
            <w:r>
              <w:t>14</w:t>
            </w:r>
          </w:p>
        </w:tc>
      </w:tr>
      <w:tr>
        <w:tc>
          <w:tcPr>
            <w:tcW w:w="2518" w:type="dxa"/>
          </w:tcPr>
          <w:p>
            <w:pPr>
              <w:pStyle w:val="GesAbsatz"/>
              <w:jc w:val="center"/>
            </w:pPr>
            <w:r>
              <w:t>&lt; 750</w:t>
            </w:r>
          </w:p>
        </w:tc>
        <w:tc>
          <w:tcPr>
            <w:tcW w:w="2835" w:type="dxa"/>
          </w:tcPr>
          <w:p>
            <w:pPr>
              <w:pStyle w:val="GesAbsatz"/>
              <w:jc w:val="center"/>
            </w:pPr>
            <w:r>
              <w:t>8</w:t>
            </w:r>
          </w:p>
        </w:tc>
        <w:tc>
          <w:tcPr>
            <w:tcW w:w="4425" w:type="dxa"/>
          </w:tcPr>
          <w:p>
            <w:pPr>
              <w:pStyle w:val="GesAbsatz"/>
              <w:jc w:val="center"/>
            </w:pPr>
            <w:r>
              <w:t>19</w:t>
            </w:r>
          </w:p>
        </w:tc>
      </w:tr>
      <w:tr>
        <w:tc>
          <w:tcPr>
            <w:tcW w:w="2518" w:type="dxa"/>
          </w:tcPr>
          <w:p>
            <w:pPr>
              <w:pStyle w:val="GesAbsatz"/>
              <w:jc w:val="center"/>
            </w:pPr>
            <w:r>
              <w:t>&lt; 1.000</w:t>
            </w:r>
          </w:p>
        </w:tc>
        <w:tc>
          <w:tcPr>
            <w:tcW w:w="2835" w:type="dxa"/>
          </w:tcPr>
          <w:p>
            <w:pPr>
              <w:pStyle w:val="GesAbsatz"/>
              <w:jc w:val="center"/>
            </w:pPr>
            <w:r>
              <w:t>9</w:t>
            </w:r>
          </w:p>
        </w:tc>
        <w:tc>
          <w:tcPr>
            <w:tcW w:w="4425" w:type="dxa"/>
          </w:tcPr>
          <w:p>
            <w:pPr>
              <w:pStyle w:val="GesAbsatz"/>
              <w:jc w:val="center"/>
            </w:pPr>
            <w:r>
              <w:t>22</w:t>
            </w:r>
          </w:p>
        </w:tc>
      </w:tr>
      <w:tr>
        <w:tc>
          <w:tcPr>
            <w:tcW w:w="2518" w:type="dxa"/>
          </w:tcPr>
          <w:p>
            <w:pPr>
              <w:pStyle w:val="GesAbsatz"/>
              <w:jc w:val="center"/>
            </w:pPr>
            <w:r>
              <w:t>&gt; 1.000</w:t>
            </w:r>
          </w:p>
        </w:tc>
        <w:tc>
          <w:tcPr>
            <w:tcW w:w="2835" w:type="dxa"/>
          </w:tcPr>
          <w:p>
            <w:pPr>
              <w:pStyle w:val="GesAbsatz"/>
              <w:jc w:val="center"/>
            </w:pPr>
            <w:r>
              <w:t>je angefangene 250 m³ zusätzlich eine Durchschnittsprobe</w:t>
            </w:r>
          </w:p>
        </w:tc>
        <w:tc>
          <w:tcPr>
            <w:tcW w:w="4425" w:type="dxa"/>
          </w:tcPr>
          <w:p>
            <w:pPr>
              <w:pStyle w:val="GesAbsatz"/>
              <w:jc w:val="center"/>
            </w:pPr>
            <w:r>
              <w:t>22 + x</w:t>
            </w:r>
          </w:p>
        </w:tc>
      </w:tr>
    </w:tbl>
    <w:p>
      <w:pPr>
        <w:pStyle w:val="GesAbsatz"/>
        <w:spacing w:before="120"/>
      </w:pPr>
      <w:r>
        <w:rPr>
          <w:b/>
        </w:rPr>
        <w:t xml:space="preserve">Tab. 3: </w:t>
      </w:r>
      <w:r>
        <w:t>Volumenbezogene Beprobung von Haufwerken bzw. Schüttkörpern (Entwurf LAGA Richtlinie PN 98)</w:t>
      </w:r>
    </w:p>
    <w:p>
      <w:pPr>
        <w:pStyle w:val="GesAbsatz"/>
      </w:pPr>
      <w:r>
        <w:t>Bei Volumina über 1.000 m</w:t>
      </w:r>
      <w:r>
        <w:rPr>
          <w:vertAlign w:val="superscript"/>
        </w:rPr>
        <w:t>3</w:t>
      </w:r>
      <w:r>
        <w:t xml:space="preserve"> ergibt sich die notwendige Anzahl der Einzelproben je Durchschnittsprobe aus dem Quotienten von Haufwerksvolumen und Anzahl der Durchschnittsproben. Dieser Quotient gibt das Volumen an, für das eine Durchschnittsprobe repräsentativ ist. Je 5 m3 dieser Teilmenge ist eine Einzelprobe zu entnehmen (22 + x).</w:t>
      </w:r>
    </w:p>
    <w:p>
      <w:pPr>
        <w:pStyle w:val="berschrift3"/>
        <w:jc w:val="left"/>
      </w:pPr>
      <w:r>
        <w:t>4.2 Parameterumfang</w:t>
      </w:r>
    </w:p>
    <w:p>
      <w:pPr>
        <w:pStyle w:val="GesAbsatz"/>
      </w:pPr>
      <w:r>
        <w:t>Der für die Deklarations- und Kontrollanalytik erforderliche Parameterumfang ist aus den notwendigerweise vorliegenden Gefährdungsabschätzungen und Sanierungsuntersuchungen für die Anfallstelle abzuleiten. Die Analysen können auf die aus diesen Untersuchungen als Leitparameter anzusehenden- Parameter beschränkt werden. Voraussetzung für dieses Vorgehen sind jedoch vollständige Untersuchungsberichte, die ein sorgfältiges Vorgehen bei der Erkundung der Altlast oder anderweitigen Anfallstelle belegen. Falls Hinweise für das Vorhandensein chemischer Kampfstoffe am Anfallort bestehen, muss nachgewiesen werden, dass die zu deponierenden Materialien derartige Stoffe nicht enthalten.</w:t>
      </w:r>
    </w:p>
    <w:p>
      <w:pPr>
        <w:pStyle w:val="GesAbsatz"/>
      </w:pPr>
      <w:r>
        <w:t>Der für die Sickerwasserüberwachung erforderliche Parameterumfang wird i. d. R. auf der Grundlage der WÜ 98 festgelegt. STV werden dabei nicht erfasst. Hier sind einzelfallbezogene Abwägungen vorzunehmen, ob relevante Konzentrationen an STV im Sickerwasser zu besorgen sind, und ggf. zusätzliche Parameter festzulegen.</w:t>
      </w:r>
    </w:p>
    <w:p>
      <w:pPr>
        <w:pStyle w:val="GesAbsatz"/>
      </w:pPr>
      <w:r>
        <w:lastRenderedPageBreak/>
        <w:t>Analog ist bei der Kontrolle des Abflusses aus der Sickerwasserbehandlungsanlage zu verfahren, da der Anhang 51 der Rahmen-Abwasserverwaltungsvorschrift ebenfalls keine STV umfasst.</w:t>
      </w:r>
    </w:p>
    <w:p>
      <w:pPr>
        <w:pStyle w:val="berschrift3"/>
        <w:jc w:val="left"/>
      </w:pPr>
      <w:r>
        <w:t>4.3 Analyseverfahren</w:t>
      </w:r>
    </w:p>
    <w:p>
      <w:pPr>
        <w:pStyle w:val="GesAbsatz"/>
      </w:pPr>
      <w:r>
        <w:t>Für die Analytik von sprengstofftypischen Verbindungen im Wasser existieren derzeit folgende Normen bzw. Norm-Entwurfs-Manuskripte:</w:t>
      </w:r>
    </w:p>
    <w:p>
      <w:pPr>
        <w:pStyle w:val="GesAbsatz"/>
        <w:ind w:left="426" w:hanging="426"/>
      </w:pPr>
      <w:r>
        <w:t>-</w:t>
      </w:r>
      <w:r>
        <w:tab/>
        <w:t xml:space="preserve">DIN 38407-16 (Stand Juni 1999) </w:t>
      </w:r>
    </w:p>
    <w:p>
      <w:pPr>
        <w:pStyle w:val="GesAbsatz"/>
        <w:ind w:left="426"/>
      </w:pPr>
      <w:r>
        <w:t>Bestimmung von Anilin-Derivaten mittels Gaschromatographie (F.16)</w:t>
      </w:r>
    </w:p>
    <w:p>
      <w:pPr>
        <w:pStyle w:val="GesAbsatz"/>
        <w:ind w:left="426" w:hanging="426"/>
      </w:pPr>
      <w:r>
        <w:t>-</w:t>
      </w:r>
      <w:r>
        <w:tab/>
        <w:t xml:space="preserve">DIN 38407-17 (Stand Februar 1999) </w:t>
      </w:r>
    </w:p>
    <w:p>
      <w:pPr>
        <w:pStyle w:val="GesAbsatz"/>
        <w:ind w:left="426"/>
      </w:pPr>
      <w:r>
        <w:t>Bestimmung ausgewählter nitroaromatischer Verbindungen mittels Gaschromatographie (F 17)</w:t>
      </w:r>
    </w:p>
    <w:p>
      <w:pPr>
        <w:pStyle w:val="GesAbsatz"/>
        <w:ind w:left="426" w:hanging="426"/>
      </w:pPr>
      <w:r>
        <w:t>-</w:t>
      </w:r>
      <w:r>
        <w:tab/>
        <w:t>Manuskript für Entwurf DIN 38407-F21 (Stand August 1998)</w:t>
      </w:r>
    </w:p>
    <w:p>
      <w:pPr>
        <w:pStyle w:val="GesAbsatz"/>
        <w:ind w:left="426"/>
      </w:pPr>
      <w:r>
        <w:t>Bestimmung ausgewählter Explosivstoffe und verwandter Verbindungen durch Hochleistungs-Flüssigchromatographie (HPLC) mit UV-Detektion (Gelbdruck liegt noch nicht vor).</w:t>
      </w:r>
    </w:p>
    <w:p>
      <w:pPr>
        <w:pStyle w:val="GesAbsatz"/>
      </w:pPr>
      <w:r>
        <w:t>Für die Bestimmung dieser Substanzen in Feststoffen gibt es zur Zeit keine genormten bzw. in der Normung befindlichen Verfahren. Es existieren jedoch einige Verfahren, die zum Teil auf Länderebene akzeptiert sind und routinemäßig angewendet werden. Hier ist für die STV vor allem die in Anlehnung an die US-EPA Method 8330 durchgeführte Extraktion im Ultraschallbad mit Acetonitril und Bestimmung mit HPLC und DAD zu nennen.</w:t>
      </w:r>
    </w:p>
    <w:p>
      <w:pPr>
        <w:pStyle w:val="GesAbsatz"/>
      </w:pPr>
      <w:r>
        <w:t>Aus aktuellem Anlass wird an dieser Stelle auf die neu erschienenen Hinweise zur Analytik bzw. Überwachung in den Mitteilungen der LAGA 28 hingewiesen.</w:t>
      </w:r>
    </w:p>
    <w:p>
      <w:pPr>
        <w:pStyle w:val="GesAbsatz"/>
      </w:pPr>
    </w:p>
    <w:p>
      <w:pPr>
        <w:pStyle w:val="GesAbsatz"/>
        <w:sectPr>
          <w:headerReference w:type="default" r:id="rId6"/>
          <w:footerReference w:type="even" r:id="rId7"/>
          <w:footerReference w:type="default" r:id="rId8"/>
          <w:pgSz w:w="11907" w:h="16840" w:code="9"/>
          <w:pgMar w:top="1134" w:right="851" w:bottom="1134" w:left="1418" w:header="567" w:footer="851" w:gutter="0"/>
          <w:cols w:space="720"/>
        </w:sectPr>
      </w:pPr>
    </w:p>
    <w:p>
      <w:pPr>
        <w:pStyle w:val="berschrift2"/>
        <w:jc w:val="left"/>
      </w:pPr>
      <w:bookmarkStart w:id="1" w:name="Tabelle2"/>
      <w:bookmarkStart w:id="2" w:name="_Tabelle_2"/>
      <w:bookmarkEnd w:id="1"/>
      <w:bookmarkEnd w:id="2"/>
      <w:r>
        <w:lastRenderedPageBreak/>
        <w:t>Tabelle 2</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717"/>
        <w:gridCol w:w="1815"/>
        <w:gridCol w:w="1146"/>
        <w:gridCol w:w="1275"/>
        <w:gridCol w:w="1418"/>
        <w:gridCol w:w="1211"/>
        <w:gridCol w:w="6"/>
        <w:gridCol w:w="1051"/>
        <w:gridCol w:w="1134"/>
        <w:gridCol w:w="1134"/>
      </w:tblGrid>
      <w:tr>
        <w:trPr>
          <w:trHeight w:val="600"/>
          <w:tblHeader/>
          <w:jc w:val="center"/>
        </w:trPr>
        <w:tc>
          <w:tcPr>
            <w:tcW w:w="2056" w:type="dxa"/>
            <w:tcBorders>
              <w:top w:val="double" w:sz="12" w:space="0" w:color="auto"/>
              <w:bottom w:val="nil"/>
              <w:right w:val="nil"/>
            </w:tcBorders>
          </w:tcPr>
          <w:p>
            <w:pPr>
              <w:pStyle w:val="GesAbsatz"/>
              <w:jc w:val="center"/>
              <w:rPr>
                <w:b/>
              </w:rPr>
            </w:pPr>
            <w:r>
              <w:rPr>
                <w:b/>
              </w:rPr>
              <w:t>Substanz</w:t>
            </w:r>
          </w:p>
        </w:tc>
        <w:tc>
          <w:tcPr>
            <w:tcW w:w="3532" w:type="dxa"/>
            <w:gridSpan w:val="2"/>
            <w:tcBorders>
              <w:top w:val="double" w:sz="12" w:space="0" w:color="auto"/>
              <w:left w:val="single" w:sz="24" w:space="0" w:color="auto"/>
              <w:bottom w:val="nil"/>
              <w:right w:val="single" w:sz="24" w:space="0" w:color="auto"/>
            </w:tcBorders>
            <w:shd w:val="pct20" w:color="auto" w:fill="auto"/>
          </w:tcPr>
          <w:p>
            <w:pPr>
              <w:pStyle w:val="GesAbsatz"/>
              <w:jc w:val="center"/>
              <w:rPr>
                <w:b/>
              </w:rPr>
            </w:pPr>
            <w:r>
              <w:rPr>
                <w:b/>
              </w:rPr>
              <w:t xml:space="preserve">Orientierungswerte </w:t>
            </w:r>
            <w:r>
              <w:rPr>
                <w:b/>
              </w:rPr>
              <w:br/>
              <w:t>zur Konzentrations-Obergrenze</w:t>
            </w:r>
          </w:p>
        </w:tc>
        <w:tc>
          <w:tcPr>
            <w:tcW w:w="8375" w:type="dxa"/>
            <w:gridSpan w:val="8"/>
            <w:tcBorders>
              <w:top w:val="double" w:sz="12" w:space="0" w:color="auto"/>
              <w:left w:val="nil"/>
              <w:bottom w:val="nil"/>
            </w:tcBorders>
          </w:tcPr>
          <w:p>
            <w:pPr>
              <w:pStyle w:val="GesAbsatz"/>
              <w:jc w:val="center"/>
              <w:rPr>
                <w:b/>
                <w:sz w:val="18"/>
              </w:rPr>
            </w:pPr>
            <w:r>
              <w:rPr>
                <w:b/>
                <w:sz w:val="18"/>
              </w:rPr>
              <w:t>Herleitungskriterien aus dem Untersuchungsvorhaben</w:t>
            </w:r>
          </w:p>
        </w:tc>
      </w:tr>
      <w:tr>
        <w:trPr>
          <w:tblHeader/>
          <w:jc w:val="center"/>
        </w:trPr>
        <w:tc>
          <w:tcPr>
            <w:tcW w:w="2056" w:type="dxa"/>
            <w:tcBorders>
              <w:top w:val="nil"/>
              <w:bottom w:val="nil"/>
              <w:right w:val="nil"/>
            </w:tcBorders>
          </w:tcPr>
          <w:p>
            <w:pPr>
              <w:pStyle w:val="GesAbsatz"/>
              <w:jc w:val="center"/>
            </w:pPr>
          </w:p>
        </w:tc>
        <w:tc>
          <w:tcPr>
            <w:tcW w:w="1717" w:type="dxa"/>
            <w:tcBorders>
              <w:top w:val="nil"/>
              <w:left w:val="single" w:sz="24" w:space="0" w:color="auto"/>
              <w:bottom w:val="single" w:sz="6" w:space="0" w:color="auto"/>
            </w:tcBorders>
            <w:shd w:val="pct20" w:color="auto" w:fill="auto"/>
          </w:tcPr>
          <w:p>
            <w:pPr>
              <w:pStyle w:val="GesAbsatz"/>
              <w:jc w:val="center"/>
            </w:pPr>
            <w:r>
              <w:t>Deponie-Ausstattung</w:t>
            </w:r>
            <w:r>
              <w:br/>
              <w:t>Stufe 1*</w:t>
            </w:r>
          </w:p>
        </w:tc>
        <w:tc>
          <w:tcPr>
            <w:tcW w:w="1815" w:type="dxa"/>
            <w:tcBorders>
              <w:top w:val="nil"/>
              <w:bottom w:val="single" w:sz="6" w:space="0" w:color="auto"/>
              <w:right w:val="single" w:sz="24" w:space="0" w:color="auto"/>
            </w:tcBorders>
            <w:shd w:val="pct20" w:color="auto" w:fill="auto"/>
          </w:tcPr>
          <w:p>
            <w:pPr>
              <w:pStyle w:val="GesAbsatz"/>
              <w:jc w:val="center"/>
            </w:pPr>
            <w:r>
              <w:t>Deponie-</w:t>
            </w:r>
            <w:r>
              <w:br/>
              <w:t xml:space="preserve">Ausstattung </w:t>
            </w:r>
            <w:r>
              <w:br/>
              <w:t>Stufe 2*</w:t>
            </w:r>
          </w:p>
        </w:tc>
        <w:tc>
          <w:tcPr>
            <w:tcW w:w="1146" w:type="dxa"/>
            <w:tcBorders>
              <w:top w:val="nil"/>
              <w:left w:val="nil"/>
              <w:bottom w:val="single" w:sz="6" w:space="0" w:color="auto"/>
            </w:tcBorders>
          </w:tcPr>
          <w:p>
            <w:pPr>
              <w:pStyle w:val="GesAbsatz"/>
              <w:jc w:val="center"/>
              <w:rPr>
                <w:sz w:val="16"/>
              </w:rPr>
            </w:pPr>
            <w:r>
              <w:rPr>
                <w:sz w:val="16"/>
              </w:rPr>
              <w:t>untersuchte</w:t>
            </w:r>
            <w:r>
              <w:rPr>
                <w:sz w:val="16"/>
              </w:rPr>
              <w:br/>
              <w:t>Stoff-</w:t>
            </w:r>
            <w:r>
              <w:rPr>
                <w:sz w:val="16"/>
              </w:rPr>
              <w:br/>
              <w:t>Konzen-</w:t>
            </w:r>
            <w:r>
              <w:rPr>
                <w:sz w:val="16"/>
              </w:rPr>
              <w:br/>
              <w:t>trationen</w:t>
            </w:r>
          </w:p>
        </w:tc>
        <w:tc>
          <w:tcPr>
            <w:tcW w:w="1275" w:type="dxa"/>
            <w:tcBorders>
              <w:top w:val="nil"/>
              <w:bottom w:val="single" w:sz="6" w:space="0" w:color="auto"/>
            </w:tcBorders>
          </w:tcPr>
          <w:p>
            <w:pPr>
              <w:pStyle w:val="GesAbsatz"/>
              <w:jc w:val="center"/>
              <w:rPr>
                <w:sz w:val="16"/>
              </w:rPr>
            </w:pPr>
            <w:r>
              <w:rPr>
                <w:sz w:val="16"/>
              </w:rPr>
              <w:t>Löslichkeit in</w:t>
            </w:r>
            <w:r>
              <w:rPr>
                <w:sz w:val="16"/>
              </w:rPr>
              <w:br/>
              <w:t>H</w:t>
            </w:r>
            <w:r>
              <w:rPr>
                <w:sz w:val="16"/>
                <w:vertAlign w:val="subscript"/>
              </w:rPr>
              <w:t>2</w:t>
            </w:r>
            <w:r>
              <w:rPr>
                <w:sz w:val="16"/>
              </w:rPr>
              <w:t xml:space="preserve">O </w:t>
            </w:r>
            <w:r>
              <w:rPr>
                <w:sz w:val="16"/>
              </w:rPr>
              <w:br/>
              <w:t>bei 20 °C</w:t>
            </w:r>
          </w:p>
        </w:tc>
        <w:tc>
          <w:tcPr>
            <w:tcW w:w="1418" w:type="dxa"/>
            <w:tcBorders>
              <w:top w:val="nil"/>
              <w:bottom w:val="nil"/>
            </w:tcBorders>
          </w:tcPr>
          <w:p>
            <w:pPr>
              <w:pStyle w:val="GesAbsatz"/>
              <w:jc w:val="center"/>
              <w:rPr>
                <w:sz w:val="16"/>
              </w:rPr>
            </w:pPr>
            <w:r>
              <w:rPr>
                <w:sz w:val="16"/>
              </w:rPr>
              <w:t>eluierbarer</w:t>
            </w:r>
            <w:r>
              <w:rPr>
                <w:sz w:val="16"/>
              </w:rPr>
              <w:br/>
              <w:t>Anteil gemäß</w:t>
            </w:r>
            <w:r>
              <w:rPr>
                <w:sz w:val="16"/>
              </w:rPr>
              <w:br/>
              <w:t>LAGA-Richtlinie</w:t>
            </w:r>
            <w:r>
              <w:rPr>
                <w:sz w:val="16"/>
              </w:rPr>
              <w:br/>
              <w:t>EW 98 **</w:t>
            </w:r>
          </w:p>
        </w:tc>
        <w:tc>
          <w:tcPr>
            <w:tcW w:w="1217" w:type="dxa"/>
            <w:gridSpan w:val="2"/>
            <w:tcBorders>
              <w:top w:val="nil"/>
              <w:bottom w:val="nil"/>
            </w:tcBorders>
          </w:tcPr>
          <w:p>
            <w:pPr>
              <w:pStyle w:val="GesAbsatz"/>
              <w:jc w:val="center"/>
              <w:rPr>
                <w:sz w:val="16"/>
              </w:rPr>
            </w:pPr>
            <w:r>
              <w:rPr>
                <w:sz w:val="16"/>
              </w:rPr>
              <w:t>signifikanter</w:t>
            </w:r>
            <w:r>
              <w:rPr>
                <w:sz w:val="16"/>
              </w:rPr>
              <w:br/>
              <w:t>pH-Wert-</w:t>
            </w:r>
            <w:r>
              <w:rPr>
                <w:sz w:val="16"/>
              </w:rPr>
              <w:br/>
              <w:t>Einfluss</w:t>
            </w:r>
            <w:r>
              <w:rPr>
                <w:sz w:val="16"/>
              </w:rPr>
              <w:br/>
              <w:t>erkennbar</w:t>
            </w:r>
          </w:p>
        </w:tc>
        <w:tc>
          <w:tcPr>
            <w:tcW w:w="1051" w:type="dxa"/>
            <w:tcBorders>
              <w:top w:val="nil"/>
              <w:bottom w:val="nil"/>
            </w:tcBorders>
          </w:tcPr>
          <w:p>
            <w:pPr>
              <w:pStyle w:val="GesAbsatz"/>
              <w:jc w:val="center"/>
              <w:rPr>
                <w:sz w:val="16"/>
              </w:rPr>
            </w:pPr>
            <w:r>
              <w:rPr>
                <w:sz w:val="16"/>
              </w:rPr>
              <w:t>Löslichkeitssteigerung durch SDS erkennbar</w:t>
            </w:r>
          </w:p>
        </w:tc>
        <w:tc>
          <w:tcPr>
            <w:tcW w:w="1134" w:type="dxa"/>
            <w:tcBorders>
              <w:top w:val="nil"/>
              <w:bottom w:val="nil"/>
            </w:tcBorders>
          </w:tcPr>
          <w:p>
            <w:pPr>
              <w:pStyle w:val="GesAbsatz"/>
              <w:jc w:val="center"/>
              <w:rPr>
                <w:sz w:val="16"/>
              </w:rPr>
            </w:pPr>
            <w:r>
              <w:rPr>
                <w:sz w:val="16"/>
              </w:rPr>
              <w:t>Austrag</w:t>
            </w:r>
            <w:r>
              <w:rPr>
                <w:sz w:val="16"/>
              </w:rPr>
              <w:br/>
              <w:t>über die</w:t>
            </w:r>
            <w:r>
              <w:rPr>
                <w:sz w:val="16"/>
              </w:rPr>
              <w:br/>
              <w:t>Gasphase zu</w:t>
            </w:r>
            <w:r>
              <w:rPr>
                <w:sz w:val="16"/>
              </w:rPr>
              <w:br/>
              <w:t>erwarten</w:t>
            </w:r>
          </w:p>
        </w:tc>
        <w:tc>
          <w:tcPr>
            <w:tcW w:w="1134" w:type="dxa"/>
            <w:tcBorders>
              <w:top w:val="nil"/>
              <w:bottom w:val="single" w:sz="6" w:space="0" w:color="auto"/>
            </w:tcBorders>
          </w:tcPr>
          <w:p>
            <w:pPr>
              <w:pStyle w:val="GesAbsatz"/>
              <w:jc w:val="center"/>
              <w:rPr>
                <w:sz w:val="16"/>
              </w:rPr>
            </w:pPr>
            <w:r>
              <w:rPr>
                <w:sz w:val="16"/>
              </w:rPr>
              <w:t>Ökotoxizität</w:t>
            </w:r>
            <w:r>
              <w:rPr>
                <w:sz w:val="16"/>
              </w:rPr>
              <w:br/>
              <w:t>(Wirk-</w:t>
            </w:r>
            <w:r>
              <w:rPr>
                <w:sz w:val="16"/>
              </w:rPr>
              <w:br/>
              <w:t>potential</w:t>
            </w:r>
            <w:r>
              <w:rPr>
                <w:sz w:val="16"/>
              </w:rPr>
              <w:br/>
              <w:t>faktor)</w:t>
            </w:r>
          </w:p>
        </w:tc>
      </w:tr>
      <w:tr>
        <w:trPr>
          <w:tblHeader/>
          <w:jc w:val="center"/>
        </w:trPr>
        <w:tc>
          <w:tcPr>
            <w:tcW w:w="2056" w:type="dxa"/>
            <w:tcBorders>
              <w:top w:val="nil"/>
              <w:bottom w:val="double" w:sz="6" w:space="0" w:color="auto"/>
              <w:right w:val="nil"/>
            </w:tcBorders>
          </w:tcPr>
          <w:p>
            <w:pPr>
              <w:pStyle w:val="GesAbsatz"/>
              <w:jc w:val="center"/>
            </w:pPr>
          </w:p>
        </w:tc>
        <w:tc>
          <w:tcPr>
            <w:tcW w:w="1717" w:type="dxa"/>
            <w:tcBorders>
              <w:top w:val="nil"/>
              <w:left w:val="single" w:sz="24" w:space="0" w:color="auto"/>
              <w:bottom w:val="double" w:sz="6" w:space="0" w:color="auto"/>
            </w:tcBorders>
            <w:shd w:val="pct20" w:color="auto" w:fill="auto"/>
          </w:tcPr>
          <w:p>
            <w:pPr>
              <w:pStyle w:val="GesAbsatz"/>
              <w:jc w:val="center"/>
            </w:pPr>
            <w:r>
              <w:t>[mg/kg]</w:t>
            </w:r>
          </w:p>
        </w:tc>
        <w:tc>
          <w:tcPr>
            <w:tcW w:w="1815" w:type="dxa"/>
            <w:tcBorders>
              <w:top w:val="nil"/>
              <w:bottom w:val="double" w:sz="6" w:space="0" w:color="auto"/>
              <w:right w:val="single" w:sz="24" w:space="0" w:color="auto"/>
            </w:tcBorders>
            <w:shd w:val="pct20" w:color="auto" w:fill="auto"/>
          </w:tcPr>
          <w:p>
            <w:pPr>
              <w:pStyle w:val="GesAbsatz"/>
              <w:jc w:val="center"/>
            </w:pPr>
            <w:r>
              <w:t>[mg/kg]</w:t>
            </w:r>
          </w:p>
        </w:tc>
        <w:tc>
          <w:tcPr>
            <w:tcW w:w="1146" w:type="dxa"/>
            <w:tcBorders>
              <w:top w:val="nil"/>
              <w:left w:val="nil"/>
              <w:bottom w:val="double" w:sz="6" w:space="0" w:color="auto"/>
            </w:tcBorders>
          </w:tcPr>
          <w:p>
            <w:pPr>
              <w:pStyle w:val="GesAbsatz"/>
              <w:jc w:val="center"/>
              <w:rPr>
                <w:sz w:val="16"/>
              </w:rPr>
            </w:pPr>
            <w:r>
              <w:rPr>
                <w:sz w:val="16"/>
              </w:rPr>
              <w:t>[mg/kg]</w:t>
            </w:r>
          </w:p>
        </w:tc>
        <w:tc>
          <w:tcPr>
            <w:tcW w:w="1275" w:type="dxa"/>
            <w:tcBorders>
              <w:top w:val="single" w:sz="6" w:space="0" w:color="auto"/>
              <w:bottom w:val="double" w:sz="6" w:space="0" w:color="auto"/>
              <w:right w:val="single" w:sz="6" w:space="0" w:color="auto"/>
            </w:tcBorders>
          </w:tcPr>
          <w:p>
            <w:pPr>
              <w:pStyle w:val="GesAbsatz"/>
              <w:jc w:val="center"/>
              <w:rPr>
                <w:sz w:val="16"/>
              </w:rPr>
            </w:pPr>
            <w:r>
              <w:rPr>
                <w:sz w:val="16"/>
              </w:rPr>
              <w:t>[mg/l]</w:t>
            </w:r>
          </w:p>
        </w:tc>
        <w:tc>
          <w:tcPr>
            <w:tcW w:w="1418" w:type="dxa"/>
            <w:tcBorders>
              <w:top w:val="single" w:sz="6" w:space="0" w:color="auto"/>
              <w:left w:val="nil"/>
              <w:bottom w:val="double" w:sz="6" w:space="0" w:color="auto"/>
              <w:right w:val="single" w:sz="6" w:space="0" w:color="auto"/>
            </w:tcBorders>
          </w:tcPr>
          <w:p>
            <w:pPr>
              <w:pStyle w:val="GesAbsatz"/>
              <w:jc w:val="center"/>
              <w:rPr>
                <w:sz w:val="16"/>
              </w:rPr>
            </w:pPr>
            <w:r>
              <w:rPr>
                <w:sz w:val="16"/>
              </w:rPr>
              <w:t>[%]</w:t>
            </w:r>
          </w:p>
        </w:tc>
        <w:tc>
          <w:tcPr>
            <w:tcW w:w="1211" w:type="dxa"/>
            <w:tcBorders>
              <w:top w:val="nil"/>
              <w:left w:val="single" w:sz="6" w:space="0" w:color="auto"/>
              <w:bottom w:val="double" w:sz="6" w:space="0" w:color="auto"/>
              <w:right w:val="single" w:sz="6" w:space="0" w:color="auto"/>
            </w:tcBorders>
          </w:tcPr>
          <w:p>
            <w:pPr>
              <w:pStyle w:val="GesAbsatz"/>
              <w:jc w:val="center"/>
              <w:rPr>
                <w:sz w:val="16"/>
              </w:rPr>
            </w:pPr>
          </w:p>
        </w:tc>
        <w:tc>
          <w:tcPr>
            <w:tcW w:w="1057" w:type="dxa"/>
            <w:gridSpan w:val="2"/>
            <w:tcBorders>
              <w:top w:val="nil"/>
              <w:left w:val="single" w:sz="6" w:space="0" w:color="auto"/>
              <w:bottom w:val="double" w:sz="6" w:space="0" w:color="auto"/>
              <w:right w:val="single" w:sz="6" w:space="0" w:color="auto"/>
            </w:tcBorders>
          </w:tcPr>
          <w:p>
            <w:pPr>
              <w:pStyle w:val="GesAbsatz"/>
              <w:jc w:val="center"/>
              <w:rPr>
                <w:sz w:val="16"/>
              </w:rPr>
            </w:pPr>
          </w:p>
        </w:tc>
        <w:tc>
          <w:tcPr>
            <w:tcW w:w="1134" w:type="dxa"/>
            <w:tcBorders>
              <w:top w:val="nil"/>
              <w:left w:val="single" w:sz="6" w:space="0" w:color="auto"/>
              <w:bottom w:val="double" w:sz="6" w:space="0" w:color="auto"/>
            </w:tcBorders>
          </w:tcPr>
          <w:p>
            <w:pPr>
              <w:pStyle w:val="GesAbsatz"/>
              <w:jc w:val="center"/>
              <w:rPr>
                <w:sz w:val="16"/>
              </w:rPr>
            </w:pPr>
          </w:p>
        </w:tc>
        <w:tc>
          <w:tcPr>
            <w:tcW w:w="1134" w:type="dxa"/>
            <w:tcBorders>
              <w:top w:val="nil"/>
              <w:bottom w:val="double" w:sz="6" w:space="0" w:color="auto"/>
            </w:tcBorders>
          </w:tcPr>
          <w:p>
            <w:pPr>
              <w:pStyle w:val="GesAbsatz"/>
              <w:jc w:val="center"/>
              <w:rPr>
                <w:sz w:val="16"/>
              </w:rPr>
            </w:pPr>
            <w:r>
              <w:rPr>
                <w:sz w:val="16"/>
              </w:rPr>
              <w:t>[ ]</w:t>
            </w:r>
          </w:p>
        </w:tc>
      </w:tr>
      <w:tr>
        <w:trPr>
          <w:tblHeader/>
          <w:jc w:val="center"/>
        </w:trPr>
        <w:tc>
          <w:tcPr>
            <w:tcW w:w="2056" w:type="dxa"/>
            <w:tcBorders>
              <w:right w:val="nil"/>
            </w:tcBorders>
          </w:tcPr>
          <w:p>
            <w:pPr>
              <w:pStyle w:val="GesAbsatz"/>
              <w:jc w:val="center"/>
            </w:pPr>
            <w:r>
              <w:t>2,4,6-TNT</w:t>
            </w:r>
            <w:r>
              <w:rPr>
                <w:vertAlign w:val="superscript"/>
              </w:rPr>
              <w:t>1</w:t>
            </w:r>
          </w:p>
        </w:tc>
        <w:tc>
          <w:tcPr>
            <w:tcW w:w="1717" w:type="dxa"/>
            <w:tcBorders>
              <w:left w:val="single" w:sz="24" w:space="0" w:color="auto"/>
            </w:tcBorders>
            <w:shd w:val="pct20" w:color="auto" w:fill="auto"/>
          </w:tcPr>
          <w:p>
            <w:pPr>
              <w:pStyle w:val="GesAbsatz"/>
              <w:jc w:val="center"/>
            </w:pPr>
            <w:r>
              <w:t>-</w:t>
            </w:r>
          </w:p>
        </w:tc>
        <w:tc>
          <w:tcPr>
            <w:tcW w:w="1815" w:type="dxa"/>
            <w:tcBorders>
              <w:right w:val="single" w:sz="24" w:space="0" w:color="auto"/>
            </w:tcBorders>
            <w:shd w:val="pct20" w:color="auto" w:fill="auto"/>
          </w:tcPr>
          <w:p>
            <w:pPr>
              <w:pStyle w:val="GesAbsatz"/>
              <w:jc w:val="center"/>
            </w:pPr>
            <w:r>
              <w:t>-</w:t>
            </w:r>
          </w:p>
        </w:tc>
        <w:tc>
          <w:tcPr>
            <w:tcW w:w="1146" w:type="dxa"/>
            <w:tcBorders>
              <w:left w:val="nil"/>
            </w:tcBorders>
          </w:tcPr>
          <w:p>
            <w:pPr>
              <w:pStyle w:val="GesAbsatz"/>
              <w:jc w:val="center"/>
              <w:rPr>
                <w:sz w:val="16"/>
              </w:rPr>
            </w:pPr>
            <w:r>
              <w:rPr>
                <w:sz w:val="16"/>
              </w:rPr>
              <w:t>1.000</w:t>
            </w:r>
          </w:p>
        </w:tc>
        <w:tc>
          <w:tcPr>
            <w:tcW w:w="1275" w:type="dxa"/>
          </w:tcPr>
          <w:p>
            <w:pPr>
              <w:pStyle w:val="GesAbsatz"/>
              <w:jc w:val="center"/>
              <w:rPr>
                <w:sz w:val="16"/>
              </w:rPr>
            </w:pPr>
            <w:r>
              <w:rPr>
                <w:sz w:val="16"/>
              </w:rPr>
              <w:sym w:font="Symbol" w:char="F07E"/>
            </w:r>
            <w:r>
              <w:rPr>
                <w:sz w:val="16"/>
              </w:rPr>
              <w:t xml:space="preserve"> 130</w:t>
            </w:r>
          </w:p>
        </w:tc>
        <w:tc>
          <w:tcPr>
            <w:tcW w:w="1418" w:type="dxa"/>
          </w:tcPr>
          <w:p>
            <w:pPr>
              <w:pStyle w:val="GesAbsatz"/>
              <w:jc w:val="center"/>
              <w:rPr>
                <w:sz w:val="16"/>
              </w:rPr>
            </w:pPr>
            <w:r>
              <w:rPr>
                <w:sz w:val="16"/>
              </w:rPr>
              <w:t>84</w:t>
            </w:r>
          </w:p>
        </w:tc>
        <w:tc>
          <w:tcPr>
            <w:tcW w:w="1211" w:type="dxa"/>
          </w:tcPr>
          <w:p>
            <w:pPr>
              <w:pStyle w:val="GesAbsatz"/>
              <w:jc w:val="center"/>
              <w:rPr>
                <w:sz w:val="16"/>
              </w:rPr>
            </w:pPr>
            <w:r>
              <w:rPr>
                <w:sz w:val="16"/>
              </w:rPr>
              <w:t>ja</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nein</w:t>
            </w:r>
          </w:p>
        </w:tc>
        <w:tc>
          <w:tcPr>
            <w:tcW w:w="1134" w:type="dxa"/>
          </w:tcPr>
          <w:p>
            <w:pPr>
              <w:pStyle w:val="GesAbsatz"/>
              <w:jc w:val="center"/>
              <w:rPr>
                <w:sz w:val="16"/>
              </w:rPr>
            </w:pPr>
            <w:r>
              <w:rPr>
                <w:sz w:val="16"/>
              </w:rPr>
              <w:t>100</w:t>
            </w:r>
          </w:p>
        </w:tc>
      </w:tr>
      <w:tr>
        <w:trPr>
          <w:tblHeader/>
          <w:jc w:val="center"/>
        </w:trPr>
        <w:tc>
          <w:tcPr>
            <w:tcW w:w="2056" w:type="dxa"/>
            <w:tcBorders>
              <w:right w:val="nil"/>
            </w:tcBorders>
          </w:tcPr>
          <w:p>
            <w:pPr>
              <w:pStyle w:val="GesAbsatz"/>
              <w:jc w:val="center"/>
            </w:pPr>
            <w:r>
              <w:t>2-A-4,6-DNT</w:t>
            </w:r>
            <w:r>
              <w:rPr>
                <w:vertAlign w:val="superscript"/>
              </w:rPr>
              <w:t>1</w:t>
            </w:r>
          </w:p>
        </w:tc>
        <w:tc>
          <w:tcPr>
            <w:tcW w:w="1717" w:type="dxa"/>
            <w:tcBorders>
              <w:left w:val="single" w:sz="24" w:space="0" w:color="auto"/>
            </w:tcBorders>
            <w:shd w:val="pct20" w:color="auto" w:fill="auto"/>
          </w:tcPr>
          <w:p>
            <w:pPr>
              <w:pStyle w:val="GesAbsatz"/>
              <w:jc w:val="center"/>
            </w:pPr>
            <w:r>
              <w:t>-</w:t>
            </w:r>
          </w:p>
        </w:tc>
        <w:tc>
          <w:tcPr>
            <w:tcW w:w="1815" w:type="dxa"/>
            <w:tcBorders>
              <w:right w:val="single" w:sz="24" w:space="0" w:color="auto"/>
            </w:tcBorders>
            <w:shd w:val="pct20" w:color="auto" w:fill="auto"/>
          </w:tcPr>
          <w:p>
            <w:pPr>
              <w:pStyle w:val="GesAbsatz"/>
              <w:jc w:val="center"/>
            </w:pPr>
            <w:r>
              <w:t>-</w:t>
            </w:r>
          </w:p>
        </w:tc>
        <w:tc>
          <w:tcPr>
            <w:tcW w:w="1146" w:type="dxa"/>
            <w:tcBorders>
              <w:left w:val="nil"/>
            </w:tcBorders>
          </w:tcPr>
          <w:p>
            <w:pPr>
              <w:pStyle w:val="GesAbsatz"/>
              <w:jc w:val="center"/>
              <w:rPr>
                <w:sz w:val="16"/>
              </w:rPr>
            </w:pPr>
            <w:r>
              <w:rPr>
                <w:sz w:val="16"/>
              </w:rPr>
              <w:t>100</w:t>
            </w:r>
          </w:p>
        </w:tc>
        <w:tc>
          <w:tcPr>
            <w:tcW w:w="1275" w:type="dxa"/>
          </w:tcPr>
          <w:p>
            <w:pPr>
              <w:pStyle w:val="GesAbsatz"/>
              <w:jc w:val="center"/>
              <w:rPr>
                <w:sz w:val="16"/>
              </w:rPr>
            </w:pPr>
            <w:r>
              <w:rPr>
                <w:sz w:val="16"/>
              </w:rPr>
              <w:t>31,9</w:t>
            </w:r>
          </w:p>
        </w:tc>
        <w:tc>
          <w:tcPr>
            <w:tcW w:w="1418" w:type="dxa"/>
          </w:tcPr>
          <w:p>
            <w:pPr>
              <w:pStyle w:val="GesAbsatz"/>
              <w:jc w:val="center"/>
              <w:rPr>
                <w:sz w:val="16"/>
              </w:rPr>
            </w:pPr>
            <w:r>
              <w:rPr>
                <w:sz w:val="16"/>
              </w:rPr>
              <w:t>90</w:t>
            </w:r>
          </w:p>
        </w:tc>
        <w:tc>
          <w:tcPr>
            <w:tcW w:w="1211" w:type="dxa"/>
          </w:tcPr>
          <w:p>
            <w:pPr>
              <w:pStyle w:val="GesAbsatz"/>
              <w:jc w:val="center"/>
              <w:rPr>
                <w:sz w:val="16"/>
              </w:rPr>
            </w:pPr>
            <w:r>
              <w:rPr>
                <w:sz w:val="16"/>
              </w:rPr>
              <w:t>ja</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nein</w:t>
            </w:r>
          </w:p>
        </w:tc>
        <w:tc>
          <w:tcPr>
            <w:tcW w:w="1134" w:type="dxa"/>
          </w:tcPr>
          <w:p>
            <w:pPr>
              <w:pStyle w:val="GesAbsatz"/>
              <w:jc w:val="center"/>
              <w:rPr>
                <w:sz w:val="16"/>
              </w:rPr>
            </w:pPr>
            <w:r>
              <w:rPr>
                <w:sz w:val="16"/>
              </w:rPr>
              <w:t>100</w:t>
            </w:r>
          </w:p>
        </w:tc>
      </w:tr>
      <w:tr>
        <w:trPr>
          <w:tblHeader/>
          <w:jc w:val="center"/>
        </w:trPr>
        <w:tc>
          <w:tcPr>
            <w:tcW w:w="2056" w:type="dxa"/>
            <w:tcBorders>
              <w:right w:val="nil"/>
            </w:tcBorders>
          </w:tcPr>
          <w:p>
            <w:pPr>
              <w:pStyle w:val="GesAbsatz"/>
              <w:jc w:val="center"/>
            </w:pPr>
            <w:r>
              <w:t>4-A-2,6-DNT</w:t>
            </w:r>
            <w:r>
              <w:rPr>
                <w:vertAlign w:val="superscript"/>
              </w:rPr>
              <w:t>1</w:t>
            </w:r>
          </w:p>
        </w:tc>
        <w:tc>
          <w:tcPr>
            <w:tcW w:w="1717" w:type="dxa"/>
            <w:tcBorders>
              <w:left w:val="single" w:sz="24" w:space="0" w:color="auto"/>
            </w:tcBorders>
            <w:shd w:val="pct20" w:color="auto" w:fill="auto"/>
          </w:tcPr>
          <w:p>
            <w:pPr>
              <w:pStyle w:val="GesAbsatz"/>
              <w:jc w:val="center"/>
            </w:pPr>
            <w:r>
              <w:t>-</w:t>
            </w:r>
          </w:p>
        </w:tc>
        <w:tc>
          <w:tcPr>
            <w:tcW w:w="1815" w:type="dxa"/>
            <w:tcBorders>
              <w:right w:val="single" w:sz="24" w:space="0" w:color="auto"/>
            </w:tcBorders>
            <w:shd w:val="pct20" w:color="auto" w:fill="auto"/>
          </w:tcPr>
          <w:p>
            <w:pPr>
              <w:pStyle w:val="GesAbsatz"/>
              <w:jc w:val="center"/>
            </w:pPr>
            <w:r>
              <w:t>-</w:t>
            </w:r>
          </w:p>
        </w:tc>
        <w:tc>
          <w:tcPr>
            <w:tcW w:w="1146" w:type="dxa"/>
            <w:tcBorders>
              <w:left w:val="nil"/>
            </w:tcBorders>
          </w:tcPr>
          <w:p>
            <w:pPr>
              <w:pStyle w:val="GesAbsatz"/>
              <w:jc w:val="center"/>
              <w:rPr>
                <w:sz w:val="16"/>
              </w:rPr>
            </w:pPr>
            <w:r>
              <w:rPr>
                <w:sz w:val="16"/>
              </w:rPr>
              <w:t>100</w:t>
            </w:r>
          </w:p>
        </w:tc>
        <w:tc>
          <w:tcPr>
            <w:tcW w:w="1275" w:type="dxa"/>
          </w:tcPr>
          <w:p>
            <w:pPr>
              <w:pStyle w:val="GesAbsatz"/>
              <w:jc w:val="center"/>
              <w:rPr>
                <w:sz w:val="16"/>
              </w:rPr>
            </w:pPr>
            <w:r>
              <w:rPr>
                <w:sz w:val="16"/>
              </w:rPr>
              <w:t>180 (25 °C)</w:t>
            </w:r>
          </w:p>
        </w:tc>
        <w:tc>
          <w:tcPr>
            <w:tcW w:w="1418" w:type="dxa"/>
          </w:tcPr>
          <w:p>
            <w:pPr>
              <w:pStyle w:val="GesAbsatz"/>
              <w:jc w:val="center"/>
              <w:rPr>
                <w:sz w:val="16"/>
              </w:rPr>
            </w:pPr>
            <w:r>
              <w:rPr>
                <w:sz w:val="16"/>
              </w:rPr>
              <w:t>90</w:t>
            </w:r>
          </w:p>
        </w:tc>
        <w:tc>
          <w:tcPr>
            <w:tcW w:w="1211" w:type="dxa"/>
          </w:tcPr>
          <w:p>
            <w:pPr>
              <w:pStyle w:val="GesAbsatz"/>
              <w:jc w:val="center"/>
              <w:rPr>
                <w:sz w:val="16"/>
              </w:rPr>
            </w:pPr>
            <w:r>
              <w:rPr>
                <w:sz w:val="16"/>
              </w:rPr>
              <w:t>ja</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nein</w:t>
            </w:r>
          </w:p>
        </w:tc>
        <w:tc>
          <w:tcPr>
            <w:tcW w:w="1134" w:type="dxa"/>
          </w:tcPr>
          <w:p>
            <w:pPr>
              <w:pStyle w:val="GesAbsatz"/>
              <w:jc w:val="center"/>
              <w:rPr>
                <w:sz w:val="16"/>
              </w:rPr>
            </w:pPr>
            <w:r>
              <w:rPr>
                <w:sz w:val="16"/>
              </w:rPr>
              <w:t>100</w:t>
            </w:r>
          </w:p>
        </w:tc>
      </w:tr>
      <w:tr>
        <w:trPr>
          <w:tblHeader/>
          <w:jc w:val="center"/>
        </w:trPr>
        <w:tc>
          <w:tcPr>
            <w:tcW w:w="2056" w:type="dxa"/>
            <w:tcBorders>
              <w:right w:val="nil"/>
            </w:tcBorders>
          </w:tcPr>
          <w:p>
            <w:pPr>
              <w:pStyle w:val="GesAbsatz"/>
              <w:jc w:val="center"/>
            </w:pPr>
            <w:r>
              <w:t>2,4-DNT</w:t>
            </w:r>
            <w:r>
              <w:rPr>
                <w:vertAlign w:val="superscript"/>
              </w:rPr>
              <w:t>1</w:t>
            </w:r>
          </w:p>
        </w:tc>
        <w:tc>
          <w:tcPr>
            <w:tcW w:w="1717" w:type="dxa"/>
            <w:tcBorders>
              <w:left w:val="single" w:sz="24" w:space="0" w:color="auto"/>
            </w:tcBorders>
            <w:shd w:val="pct20" w:color="auto" w:fill="auto"/>
          </w:tcPr>
          <w:p>
            <w:pPr>
              <w:pStyle w:val="GesAbsatz"/>
              <w:jc w:val="center"/>
            </w:pPr>
            <w:r>
              <w:t>-</w:t>
            </w:r>
          </w:p>
        </w:tc>
        <w:tc>
          <w:tcPr>
            <w:tcW w:w="1815" w:type="dxa"/>
            <w:tcBorders>
              <w:right w:val="single" w:sz="24" w:space="0" w:color="auto"/>
            </w:tcBorders>
            <w:shd w:val="pct20" w:color="auto" w:fill="auto"/>
          </w:tcPr>
          <w:p>
            <w:pPr>
              <w:pStyle w:val="GesAbsatz"/>
              <w:jc w:val="center"/>
            </w:pPr>
            <w:r>
              <w:t>-</w:t>
            </w:r>
          </w:p>
        </w:tc>
        <w:tc>
          <w:tcPr>
            <w:tcW w:w="1146" w:type="dxa"/>
            <w:tcBorders>
              <w:left w:val="nil"/>
            </w:tcBorders>
          </w:tcPr>
          <w:p>
            <w:pPr>
              <w:pStyle w:val="GesAbsatz"/>
              <w:jc w:val="center"/>
              <w:rPr>
                <w:sz w:val="16"/>
              </w:rPr>
            </w:pPr>
            <w:r>
              <w:rPr>
                <w:sz w:val="16"/>
              </w:rPr>
              <w:t>100</w:t>
            </w:r>
          </w:p>
        </w:tc>
        <w:tc>
          <w:tcPr>
            <w:tcW w:w="1275" w:type="dxa"/>
          </w:tcPr>
          <w:p>
            <w:pPr>
              <w:pStyle w:val="GesAbsatz"/>
              <w:jc w:val="center"/>
              <w:rPr>
                <w:sz w:val="16"/>
              </w:rPr>
            </w:pPr>
            <w:r>
              <w:rPr>
                <w:sz w:val="16"/>
              </w:rPr>
              <w:t>166</w:t>
            </w:r>
          </w:p>
        </w:tc>
        <w:tc>
          <w:tcPr>
            <w:tcW w:w="1418" w:type="dxa"/>
          </w:tcPr>
          <w:p>
            <w:pPr>
              <w:pStyle w:val="GesAbsatz"/>
              <w:jc w:val="center"/>
              <w:rPr>
                <w:sz w:val="16"/>
              </w:rPr>
            </w:pPr>
            <w:r>
              <w:rPr>
                <w:sz w:val="16"/>
              </w:rPr>
              <w:t>90</w:t>
            </w:r>
          </w:p>
        </w:tc>
        <w:tc>
          <w:tcPr>
            <w:tcW w:w="1211" w:type="dxa"/>
          </w:tcPr>
          <w:p>
            <w:pPr>
              <w:pStyle w:val="GesAbsatz"/>
              <w:jc w:val="center"/>
              <w:rPr>
                <w:sz w:val="16"/>
              </w:rPr>
            </w:pPr>
            <w:r>
              <w:rPr>
                <w:sz w:val="16"/>
              </w:rPr>
              <w:t>nein</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u. U.</w:t>
            </w:r>
          </w:p>
        </w:tc>
        <w:tc>
          <w:tcPr>
            <w:tcW w:w="1134" w:type="dxa"/>
          </w:tcPr>
          <w:p>
            <w:pPr>
              <w:pStyle w:val="GesAbsatz"/>
              <w:jc w:val="center"/>
              <w:rPr>
                <w:sz w:val="16"/>
              </w:rPr>
            </w:pPr>
            <w:r>
              <w:rPr>
                <w:sz w:val="16"/>
              </w:rPr>
              <w:t>10</w:t>
            </w:r>
          </w:p>
        </w:tc>
      </w:tr>
      <w:tr>
        <w:trPr>
          <w:tblHeader/>
          <w:jc w:val="center"/>
        </w:trPr>
        <w:tc>
          <w:tcPr>
            <w:tcW w:w="2056" w:type="dxa"/>
            <w:tcBorders>
              <w:right w:val="nil"/>
            </w:tcBorders>
          </w:tcPr>
          <w:p>
            <w:pPr>
              <w:pStyle w:val="GesAbsatz"/>
              <w:jc w:val="center"/>
            </w:pPr>
            <w:r>
              <w:t>2,6-DNT</w:t>
            </w:r>
            <w:r>
              <w:rPr>
                <w:vertAlign w:val="superscript"/>
              </w:rPr>
              <w:t>1</w:t>
            </w:r>
          </w:p>
        </w:tc>
        <w:tc>
          <w:tcPr>
            <w:tcW w:w="1717" w:type="dxa"/>
            <w:tcBorders>
              <w:left w:val="single" w:sz="24" w:space="0" w:color="auto"/>
            </w:tcBorders>
            <w:shd w:val="pct20" w:color="auto" w:fill="auto"/>
          </w:tcPr>
          <w:p>
            <w:pPr>
              <w:pStyle w:val="GesAbsatz"/>
              <w:jc w:val="center"/>
            </w:pPr>
            <w:r>
              <w:t>-</w:t>
            </w:r>
          </w:p>
        </w:tc>
        <w:tc>
          <w:tcPr>
            <w:tcW w:w="1815" w:type="dxa"/>
            <w:tcBorders>
              <w:right w:val="single" w:sz="24" w:space="0" w:color="auto"/>
            </w:tcBorders>
            <w:shd w:val="pct20" w:color="auto" w:fill="auto"/>
          </w:tcPr>
          <w:p>
            <w:pPr>
              <w:pStyle w:val="GesAbsatz"/>
              <w:jc w:val="center"/>
            </w:pPr>
            <w:r>
              <w:t>-</w:t>
            </w:r>
          </w:p>
        </w:tc>
        <w:tc>
          <w:tcPr>
            <w:tcW w:w="1146" w:type="dxa"/>
            <w:tcBorders>
              <w:left w:val="nil"/>
            </w:tcBorders>
          </w:tcPr>
          <w:p>
            <w:pPr>
              <w:pStyle w:val="GesAbsatz"/>
              <w:jc w:val="center"/>
              <w:rPr>
                <w:sz w:val="16"/>
              </w:rPr>
            </w:pPr>
            <w:r>
              <w:rPr>
                <w:sz w:val="16"/>
              </w:rPr>
              <w:t>100</w:t>
            </w:r>
          </w:p>
        </w:tc>
        <w:tc>
          <w:tcPr>
            <w:tcW w:w="1275" w:type="dxa"/>
          </w:tcPr>
          <w:p>
            <w:pPr>
              <w:pStyle w:val="GesAbsatz"/>
              <w:jc w:val="center"/>
              <w:rPr>
                <w:sz w:val="16"/>
              </w:rPr>
            </w:pPr>
            <w:r>
              <w:rPr>
                <w:sz w:val="16"/>
              </w:rPr>
              <w:t>145</w:t>
            </w:r>
          </w:p>
        </w:tc>
        <w:tc>
          <w:tcPr>
            <w:tcW w:w="1418" w:type="dxa"/>
          </w:tcPr>
          <w:p>
            <w:pPr>
              <w:pStyle w:val="GesAbsatz"/>
              <w:jc w:val="center"/>
              <w:rPr>
                <w:sz w:val="16"/>
              </w:rPr>
            </w:pPr>
            <w:r>
              <w:rPr>
                <w:sz w:val="16"/>
              </w:rPr>
              <w:t>80</w:t>
            </w:r>
          </w:p>
        </w:tc>
        <w:tc>
          <w:tcPr>
            <w:tcW w:w="1211" w:type="dxa"/>
          </w:tcPr>
          <w:p>
            <w:pPr>
              <w:pStyle w:val="GesAbsatz"/>
              <w:jc w:val="center"/>
              <w:rPr>
                <w:sz w:val="16"/>
              </w:rPr>
            </w:pPr>
            <w:r>
              <w:rPr>
                <w:sz w:val="16"/>
              </w:rPr>
              <w:t>nein</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u. U.</w:t>
            </w:r>
          </w:p>
        </w:tc>
        <w:tc>
          <w:tcPr>
            <w:tcW w:w="1134" w:type="dxa"/>
          </w:tcPr>
          <w:p>
            <w:pPr>
              <w:pStyle w:val="GesAbsatz"/>
              <w:jc w:val="center"/>
              <w:rPr>
                <w:sz w:val="16"/>
              </w:rPr>
            </w:pPr>
            <w:r>
              <w:rPr>
                <w:sz w:val="16"/>
              </w:rPr>
              <w:t>100</w:t>
            </w:r>
          </w:p>
        </w:tc>
      </w:tr>
      <w:tr>
        <w:trPr>
          <w:tblHeader/>
          <w:jc w:val="center"/>
        </w:trPr>
        <w:tc>
          <w:tcPr>
            <w:tcW w:w="2056" w:type="dxa"/>
            <w:tcBorders>
              <w:right w:val="nil"/>
            </w:tcBorders>
          </w:tcPr>
          <w:p>
            <w:pPr>
              <w:pStyle w:val="GesAbsatz"/>
              <w:jc w:val="center"/>
            </w:pPr>
            <w:r>
              <w:t>2-NT</w:t>
            </w:r>
          </w:p>
        </w:tc>
        <w:tc>
          <w:tcPr>
            <w:tcW w:w="1717" w:type="dxa"/>
            <w:tcBorders>
              <w:left w:val="single" w:sz="24" w:space="0" w:color="auto"/>
            </w:tcBorders>
            <w:shd w:val="pct20" w:color="auto" w:fill="auto"/>
          </w:tcPr>
          <w:p>
            <w:pPr>
              <w:pStyle w:val="GesAbsatz"/>
              <w:jc w:val="center"/>
            </w:pPr>
            <w:r>
              <w:t>100</w:t>
            </w:r>
          </w:p>
        </w:tc>
        <w:tc>
          <w:tcPr>
            <w:tcW w:w="1815" w:type="dxa"/>
            <w:tcBorders>
              <w:right w:val="single" w:sz="24" w:space="0" w:color="auto"/>
            </w:tcBorders>
            <w:shd w:val="pct20" w:color="auto" w:fill="auto"/>
          </w:tcPr>
          <w:p>
            <w:pPr>
              <w:pStyle w:val="GesAbsatz"/>
              <w:jc w:val="center"/>
            </w:pPr>
            <w:r>
              <w:t>100</w:t>
            </w:r>
          </w:p>
        </w:tc>
        <w:tc>
          <w:tcPr>
            <w:tcW w:w="1146" w:type="dxa"/>
            <w:tcBorders>
              <w:left w:val="nil"/>
            </w:tcBorders>
          </w:tcPr>
          <w:p>
            <w:pPr>
              <w:pStyle w:val="GesAbsatz"/>
              <w:jc w:val="center"/>
              <w:rPr>
                <w:sz w:val="16"/>
              </w:rPr>
            </w:pPr>
            <w:r>
              <w:rPr>
                <w:sz w:val="16"/>
              </w:rPr>
              <w:t>100</w:t>
            </w:r>
          </w:p>
        </w:tc>
        <w:tc>
          <w:tcPr>
            <w:tcW w:w="1275" w:type="dxa"/>
          </w:tcPr>
          <w:p>
            <w:pPr>
              <w:pStyle w:val="GesAbsatz"/>
              <w:jc w:val="center"/>
              <w:rPr>
                <w:sz w:val="16"/>
              </w:rPr>
            </w:pPr>
            <w:r>
              <w:rPr>
                <w:sz w:val="16"/>
              </w:rPr>
              <w:t>440</w:t>
            </w:r>
          </w:p>
        </w:tc>
        <w:tc>
          <w:tcPr>
            <w:tcW w:w="1418" w:type="dxa"/>
          </w:tcPr>
          <w:p>
            <w:pPr>
              <w:pStyle w:val="GesAbsatz"/>
              <w:jc w:val="center"/>
              <w:rPr>
                <w:sz w:val="16"/>
              </w:rPr>
            </w:pPr>
            <w:r>
              <w:rPr>
                <w:sz w:val="16"/>
              </w:rPr>
              <w:t>80</w:t>
            </w:r>
          </w:p>
        </w:tc>
        <w:tc>
          <w:tcPr>
            <w:tcW w:w="1211" w:type="dxa"/>
          </w:tcPr>
          <w:p>
            <w:pPr>
              <w:pStyle w:val="GesAbsatz"/>
              <w:jc w:val="center"/>
              <w:rPr>
                <w:sz w:val="16"/>
              </w:rPr>
            </w:pPr>
            <w:r>
              <w:rPr>
                <w:sz w:val="16"/>
              </w:rPr>
              <w:t>nein</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ja</w:t>
            </w:r>
          </w:p>
        </w:tc>
        <w:tc>
          <w:tcPr>
            <w:tcW w:w="1134" w:type="dxa"/>
          </w:tcPr>
          <w:p>
            <w:pPr>
              <w:pStyle w:val="GesAbsatz"/>
              <w:jc w:val="center"/>
              <w:rPr>
                <w:sz w:val="16"/>
              </w:rPr>
            </w:pPr>
            <w:r>
              <w:rPr>
                <w:sz w:val="16"/>
              </w:rPr>
              <w:t>100</w:t>
            </w:r>
          </w:p>
        </w:tc>
      </w:tr>
      <w:tr>
        <w:trPr>
          <w:tblHeader/>
          <w:jc w:val="center"/>
        </w:trPr>
        <w:tc>
          <w:tcPr>
            <w:tcW w:w="2056" w:type="dxa"/>
            <w:tcBorders>
              <w:bottom w:val="nil"/>
              <w:right w:val="nil"/>
            </w:tcBorders>
          </w:tcPr>
          <w:p>
            <w:pPr>
              <w:pStyle w:val="GesAbsatz"/>
              <w:jc w:val="center"/>
            </w:pPr>
            <w:r>
              <w:t>1,3-DNB</w:t>
            </w:r>
          </w:p>
        </w:tc>
        <w:tc>
          <w:tcPr>
            <w:tcW w:w="1717" w:type="dxa"/>
            <w:tcBorders>
              <w:left w:val="single" w:sz="24" w:space="0" w:color="auto"/>
              <w:bottom w:val="nil"/>
            </w:tcBorders>
            <w:shd w:val="pct20" w:color="auto" w:fill="auto"/>
          </w:tcPr>
          <w:p>
            <w:pPr>
              <w:pStyle w:val="GesAbsatz"/>
              <w:jc w:val="center"/>
            </w:pPr>
            <w:r>
              <w:t>100</w:t>
            </w:r>
          </w:p>
        </w:tc>
        <w:tc>
          <w:tcPr>
            <w:tcW w:w="1815" w:type="dxa"/>
            <w:tcBorders>
              <w:bottom w:val="nil"/>
              <w:right w:val="single" w:sz="24" w:space="0" w:color="auto"/>
            </w:tcBorders>
            <w:shd w:val="pct20" w:color="auto" w:fill="auto"/>
          </w:tcPr>
          <w:p>
            <w:pPr>
              <w:pStyle w:val="GesAbsatz"/>
              <w:jc w:val="center"/>
            </w:pPr>
            <w:r>
              <w:t>200</w:t>
            </w:r>
          </w:p>
        </w:tc>
        <w:tc>
          <w:tcPr>
            <w:tcW w:w="1146" w:type="dxa"/>
            <w:tcBorders>
              <w:left w:val="nil"/>
              <w:bottom w:val="nil"/>
            </w:tcBorders>
          </w:tcPr>
          <w:p>
            <w:pPr>
              <w:pStyle w:val="GesAbsatz"/>
              <w:jc w:val="center"/>
              <w:rPr>
                <w:sz w:val="16"/>
              </w:rPr>
            </w:pPr>
            <w:r>
              <w:rPr>
                <w:sz w:val="16"/>
              </w:rPr>
              <w:t>500</w:t>
            </w:r>
          </w:p>
        </w:tc>
        <w:tc>
          <w:tcPr>
            <w:tcW w:w="1275" w:type="dxa"/>
            <w:tcBorders>
              <w:bottom w:val="nil"/>
            </w:tcBorders>
          </w:tcPr>
          <w:p>
            <w:pPr>
              <w:pStyle w:val="GesAbsatz"/>
              <w:jc w:val="center"/>
              <w:rPr>
                <w:sz w:val="16"/>
              </w:rPr>
            </w:pPr>
            <w:r>
              <w:rPr>
                <w:sz w:val="16"/>
              </w:rPr>
              <w:sym w:font="Symbol" w:char="F07E"/>
            </w:r>
            <w:r>
              <w:rPr>
                <w:sz w:val="16"/>
              </w:rPr>
              <w:t xml:space="preserve"> 530 (25 °C)</w:t>
            </w:r>
          </w:p>
        </w:tc>
        <w:tc>
          <w:tcPr>
            <w:tcW w:w="1418" w:type="dxa"/>
            <w:tcBorders>
              <w:bottom w:val="nil"/>
            </w:tcBorders>
          </w:tcPr>
          <w:p>
            <w:pPr>
              <w:pStyle w:val="GesAbsatz"/>
              <w:jc w:val="center"/>
              <w:rPr>
                <w:sz w:val="16"/>
              </w:rPr>
            </w:pPr>
            <w:r>
              <w:rPr>
                <w:sz w:val="16"/>
              </w:rPr>
              <w:t>90</w:t>
            </w:r>
          </w:p>
        </w:tc>
        <w:tc>
          <w:tcPr>
            <w:tcW w:w="1211" w:type="dxa"/>
            <w:tcBorders>
              <w:bottom w:val="nil"/>
            </w:tcBorders>
          </w:tcPr>
          <w:p>
            <w:pPr>
              <w:pStyle w:val="GesAbsatz"/>
              <w:jc w:val="center"/>
              <w:rPr>
                <w:sz w:val="16"/>
              </w:rPr>
            </w:pPr>
            <w:r>
              <w:rPr>
                <w:sz w:val="16"/>
              </w:rPr>
              <w:t>nein</w:t>
            </w:r>
          </w:p>
        </w:tc>
        <w:tc>
          <w:tcPr>
            <w:tcW w:w="1057" w:type="dxa"/>
            <w:gridSpan w:val="2"/>
            <w:tcBorders>
              <w:bottom w:val="nil"/>
            </w:tcBorders>
          </w:tcPr>
          <w:p>
            <w:pPr>
              <w:pStyle w:val="GesAbsatz"/>
              <w:jc w:val="center"/>
              <w:rPr>
                <w:sz w:val="16"/>
              </w:rPr>
            </w:pPr>
            <w:r>
              <w:rPr>
                <w:sz w:val="16"/>
              </w:rPr>
              <w:t>nein</w:t>
            </w:r>
          </w:p>
        </w:tc>
        <w:tc>
          <w:tcPr>
            <w:tcW w:w="1134" w:type="dxa"/>
            <w:tcBorders>
              <w:bottom w:val="nil"/>
            </w:tcBorders>
          </w:tcPr>
          <w:p>
            <w:pPr>
              <w:pStyle w:val="GesAbsatz"/>
              <w:jc w:val="center"/>
              <w:rPr>
                <w:sz w:val="16"/>
              </w:rPr>
            </w:pPr>
            <w:r>
              <w:rPr>
                <w:sz w:val="16"/>
              </w:rPr>
              <w:t>u. U.</w:t>
            </w:r>
          </w:p>
        </w:tc>
        <w:tc>
          <w:tcPr>
            <w:tcW w:w="1134" w:type="dxa"/>
            <w:tcBorders>
              <w:bottom w:val="nil"/>
            </w:tcBorders>
          </w:tcPr>
          <w:p>
            <w:pPr>
              <w:pStyle w:val="GesAbsatz"/>
              <w:jc w:val="center"/>
              <w:rPr>
                <w:sz w:val="16"/>
              </w:rPr>
            </w:pPr>
            <w:r>
              <w:rPr>
                <w:sz w:val="16"/>
              </w:rPr>
              <w:t>1.000</w:t>
            </w:r>
          </w:p>
        </w:tc>
      </w:tr>
      <w:tr>
        <w:trPr>
          <w:tblHeader/>
          <w:jc w:val="center"/>
        </w:trPr>
        <w:tc>
          <w:tcPr>
            <w:tcW w:w="2056" w:type="dxa"/>
            <w:tcBorders>
              <w:top w:val="double" w:sz="12" w:space="0" w:color="auto"/>
              <w:bottom w:val="double" w:sz="12" w:space="0" w:color="auto"/>
              <w:right w:val="nil"/>
            </w:tcBorders>
          </w:tcPr>
          <w:p>
            <w:pPr>
              <w:pStyle w:val="GesAbsatz"/>
              <w:jc w:val="center"/>
              <w:rPr>
                <w:b/>
              </w:rPr>
            </w:pPr>
            <w:r>
              <w:rPr>
                <w:b/>
              </w:rPr>
              <w:sym w:font="Symbol" w:char="F0E5"/>
            </w:r>
            <w:r>
              <w:rPr>
                <w:b/>
              </w:rPr>
              <w:t xml:space="preserve"> Nitroaromaten</w:t>
            </w:r>
          </w:p>
        </w:tc>
        <w:tc>
          <w:tcPr>
            <w:tcW w:w="1717" w:type="dxa"/>
            <w:tcBorders>
              <w:top w:val="double" w:sz="12" w:space="0" w:color="auto"/>
              <w:left w:val="single" w:sz="24" w:space="0" w:color="auto"/>
              <w:bottom w:val="double" w:sz="12" w:space="0" w:color="auto"/>
            </w:tcBorders>
            <w:shd w:val="pct20" w:color="auto" w:fill="auto"/>
          </w:tcPr>
          <w:p>
            <w:pPr>
              <w:pStyle w:val="GesAbsatz"/>
              <w:jc w:val="center"/>
            </w:pPr>
            <w:r>
              <w:t>1.000</w:t>
            </w:r>
          </w:p>
        </w:tc>
        <w:tc>
          <w:tcPr>
            <w:tcW w:w="1815" w:type="dxa"/>
            <w:tcBorders>
              <w:top w:val="double" w:sz="12" w:space="0" w:color="auto"/>
              <w:bottom w:val="double" w:sz="12" w:space="0" w:color="auto"/>
              <w:right w:val="single" w:sz="24" w:space="0" w:color="auto"/>
            </w:tcBorders>
            <w:shd w:val="pct20" w:color="auto" w:fill="auto"/>
          </w:tcPr>
          <w:p>
            <w:pPr>
              <w:pStyle w:val="GesAbsatz"/>
              <w:jc w:val="center"/>
            </w:pPr>
            <w:r>
              <w:t>2.000</w:t>
            </w:r>
          </w:p>
        </w:tc>
        <w:tc>
          <w:tcPr>
            <w:tcW w:w="1146" w:type="dxa"/>
            <w:tcBorders>
              <w:top w:val="double" w:sz="12" w:space="0" w:color="auto"/>
              <w:left w:val="nil"/>
              <w:bottom w:val="double" w:sz="12" w:space="0" w:color="auto"/>
            </w:tcBorders>
          </w:tcPr>
          <w:p>
            <w:pPr>
              <w:pStyle w:val="GesAbsatz"/>
              <w:jc w:val="center"/>
              <w:rPr>
                <w:sz w:val="16"/>
              </w:rPr>
            </w:pPr>
            <w:r>
              <w:rPr>
                <w:sz w:val="16"/>
              </w:rPr>
              <w:t>-</w:t>
            </w:r>
          </w:p>
        </w:tc>
        <w:tc>
          <w:tcPr>
            <w:tcW w:w="1275" w:type="dxa"/>
            <w:tcBorders>
              <w:top w:val="double" w:sz="12" w:space="0" w:color="auto"/>
              <w:bottom w:val="double" w:sz="12" w:space="0" w:color="auto"/>
            </w:tcBorders>
          </w:tcPr>
          <w:p>
            <w:pPr>
              <w:pStyle w:val="GesAbsatz"/>
              <w:jc w:val="center"/>
              <w:rPr>
                <w:sz w:val="16"/>
              </w:rPr>
            </w:pPr>
            <w:r>
              <w:rPr>
                <w:sz w:val="16"/>
              </w:rPr>
              <w:t>-</w:t>
            </w:r>
          </w:p>
        </w:tc>
        <w:tc>
          <w:tcPr>
            <w:tcW w:w="1418" w:type="dxa"/>
            <w:tcBorders>
              <w:top w:val="double" w:sz="12" w:space="0" w:color="auto"/>
              <w:bottom w:val="double" w:sz="12" w:space="0" w:color="auto"/>
            </w:tcBorders>
          </w:tcPr>
          <w:p>
            <w:pPr>
              <w:pStyle w:val="GesAbsatz"/>
              <w:jc w:val="center"/>
              <w:rPr>
                <w:sz w:val="16"/>
              </w:rPr>
            </w:pPr>
            <w:r>
              <w:rPr>
                <w:sz w:val="16"/>
              </w:rPr>
              <w:t>-</w:t>
            </w:r>
          </w:p>
        </w:tc>
        <w:tc>
          <w:tcPr>
            <w:tcW w:w="1211" w:type="dxa"/>
            <w:tcBorders>
              <w:top w:val="double" w:sz="12" w:space="0" w:color="auto"/>
              <w:bottom w:val="double" w:sz="12" w:space="0" w:color="auto"/>
            </w:tcBorders>
          </w:tcPr>
          <w:p>
            <w:pPr>
              <w:pStyle w:val="GesAbsatz"/>
              <w:jc w:val="center"/>
              <w:rPr>
                <w:sz w:val="16"/>
              </w:rPr>
            </w:pPr>
            <w:r>
              <w:rPr>
                <w:sz w:val="16"/>
              </w:rPr>
              <w:t>-</w:t>
            </w:r>
          </w:p>
        </w:tc>
        <w:tc>
          <w:tcPr>
            <w:tcW w:w="1057" w:type="dxa"/>
            <w:gridSpan w:val="2"/>
            <w:tcBorders>
              <w:top w:val="double" w:sz="12" w:space="0" w:color="auto"/>
              <w:bottom w:val="double" w:sz="12" w:space="0" w:color="auto"/>
            </w:tcBorders>
          </w:tcPr>
          <w:p>
            <w:pPr>
              <w:pStyle w:val="GesAbsatz"/>
              <w:jc w:val="center"/>
              <w:rPr>
                <w:sz w:val="16"/>
              </w:rPr>
            </w:pPr>
            <w:r>
              <w:rPr>
                <w:sz w:val="16"/>
              </w:rPr>
              <w:t>-</w:t>
            </w:r>
          </w:p>
        </w:tc>
        <w:tc>
          <w:tcPr>
            <w:tcW w:w="1134" w:type="dxa"/>
            <w:tcBorders>
              <w:top w:val="double" w:sz="12" w:space="0" w:color="auto"/>
              <w:bottom w:val="double" w:sz="12" w:space="0" w:color="auto"/>
            </w:tcBorders>
          </w:tcPr>
          <w:p>
            <w:pPr>
              <w:pStyle w:val="GesAbsatz"/>
              <w:jc w:val="center"/>
              <w:rPr>
                <w:sz w:val="16"/>
              </w:rPr>
            </w:pPr>
            <w:r>
              <w:rPr>
                <w:sz w:val="16"/>
              </w:rPr>
              <w:t>-</w:t>
            </w:r>
          </w:p>
        </w:tc>
        <w:tc>
          <w:tcPr>
            <w:tcW w:w="1134" w:type="dxa"/>
            <w:tcBorders>
              <w:top w:val="double" w:sz="12" w:space="0" w:color="auto"/>
              <w:bottom w:val="double" w:sz="12" w:space="0" w:color="auto"/>
            </w:tcBorders>
          </w:tcPr>
          <w:p>
            <w:pPr>
              <w:pStyle w:val="GesAbsatz"/>
              <w:jc w:val="center"/>
              <w:rPr>
                <w:sz w:val="16"/>
              </w:rPr>
            </w:pPr>
            <w:r>
              <w:rPr>
                <w:sz w:val="16"/>
              </w:rPr>
              <w:t>-</w:t>
            </w:r>
          </w:p>
        </w:tc>
      </w:tr>
      <w:tr>
        <w:trPr>
          <w:tblHeader/>
          <w:jc w:val="center"/>
        </w:trPr>
        <w:tc>
          <w:tcPr>
            <w:tcW w:w="2056" w:type="dxa"/>
            <w:tcBorders>
              <w:right w:val="nil"/>
            </w:tcBorders>
          </w:tcPr>
          <w:p>
            <w:pPr>
              <w:pStyle w:val="GesAbsatz"/>
              <w:jc w:val="center"/>
            </w:pPr>
            <w:r>
              <w:t>Hexogen</w:t>
            </w:r>
          </w:p>
        </w:tc>
        <w:tc>
          <w:tcPr>
            <w:tcW w:w="1717" w:type="dxa"/>
            <w:tcBorders>
              <w:left w:val="single" w:sz="24" w:space="0" w:color="auto"/>
            </w:tcBorders>
            <w:shd w:val="pct20" w:color="auto" w:fill="auto"/>
          </w:tcPr>
          <w:p>
            <w:pPr>
              <w:pStyle w:val="GesAbsatz"/>
              <w:jc w:val="center"/>
            </w:pPr>
            <w:r>
              <w:t>1.500</w:t>
            </w:r>
          </w:p>
        </w:tc>
        <w:tc>
          <w:tcPr>
            <w:tcW w:w="1815" w:type="dxa"/>
            <w:tcBorders>
              <w:right w:val="single" w:sz="24" w:space="0" w:color="auto"/>
            </w:tcBorders>
            <w:shd w:val="pct20" w:color="auto" w:fill="auto"/>
          </w:tcPr>
          <w:p>
            <w:pPr>
              <w:pStyle w:val="GesAbsatz"/>
              <w:jc w:val="center"/>
            </w:pPr>
            <w:r>
              <w:t>3.000</w:t>
            </w:r>
          </w:p>
        </w:tc>
        <w:tc>
          <w:tcPr>
            <w:tcW w:w="1146" w:type="dxa"/>
            <w:tcBorders>
              <w:left w:val="nil"/>
            </w:tcBorders>
          </w:tcPr>
          <w:p>
            <w:pPr>
              <w:pStyle w:val="GesAbsatz"/>
              <w:jc w:val="center"/>
              <w:rPr>
                <w:sz w:val="16"/>
              </w:rPr>
            </w:pPr>
            <w:r>
              <w:rPr>
                <w:sz w:val="16"/>
              </w:rPr>
              <w:t>500</w:t>
            </w:r>
          </w:p>
        </w:tc>
        <w:tc>
          <w:tcPr>
            <w:tcW w:w="1275" w:type="dxa"/>
          </w:tcPr>
          <w:p>
            <w:pPr>
              <w:pStyle w:val="GesAbsatz"/>
              <w:jc w:val="center"/>
              <w:rPr>
                <w:sz w:val="16"/>
              </w:rPr>
            </w:pPr>
            <w:r>
              <w:rPr>
                <w:sz w:val="16"/>
              </w:rPr>
              <w:sym w:font="Symbol" w:char="F07E"/>
            </w:r>
            <w:r>
              <w:rPr>
                <w:sz w:val="16"/>
              </w:rPr>
              <w:t xml:space="preserve"> 40</w:t>
            </w:r>
          </w:p>
        </w:tc>
        <w:tc>
          <w:tcPr>
            <w:tcW w:w="1418" w:type="dxa"/>
          </w:tcPr>
          <w:p>
            <w:pPr>
              <w:pStyle w:val="GesAbsatz"/>
              <w:jc w:val="center"/>
              <w:rPr>
                <w:sz w:val="16"/>
              </w:rPr>
            </w:pPr>
            <w:r>
              <w:rPr>
                <w:sz w:val="16"/>
              </w:rPr>
              <w:t>62</w:t>
            </w:r>
          </w:p>
        </w:tc>
        <w:tc>
          <w:tcPr>
            <w:tcW w:w="1211" w:type="dxa"/>
          </w:tcPr>
          <w:p>
            <w:pPr>
              <w:pStyle w:val="GesAbsatz"/>
              <w:jc w:val="center"/>
              <w:rPr>
                <w:sz w:val="16"/>
              </w:rPr>
            </w:pPr>
            <w:r>
              <w:rPr>
                <w:sz w:val="16"/>
              </w:rPr>
              <w:t>ja</w:t>
            </w:r>
          </w:p>
        </w:tc>
        <w:tc>
          <w:tcPr>
            <w:tcW w:w="1057" w:type="dxa"/>
            <w:gridSpan w:val="2"/>
          </w:tcPr>
          <w:p>
            <w:pPr>
              <w:pStyle w:val="GesAbsatz"/>
              <w:jc w:val="center"/>
              <w:rPr>
                <w:sz w:val="16"/>
              </w:rPr>
            </w:pPr>
            <w:r>
              <w:rPr>
                <w:sz w:val="16"/>
              </w:rPr>
              <w:t>ja</w:t>
            </w:r>
          </w:p>
        </w:tc>
        <w:tc>
          <w:tcPr>
            <w:tcW w:w="1134" w:type="dxa"/>
          </w:tcPr>
          <w:p>
            <w:pPr>
              <w:pStyle w:val="GesAbsatz"/>
              <w:jc w:val="center"/>
              <w:rPr>
                <w:sz w:val="16"/>
              </w:rPr>
            </w:pPr>
            <w:r>
              <w:rPr>
                <w:sz w:val="16"/>
              </w:rPr>
              <w:t>nein</w:t>
            </w:r>
          </w:p>
        </w:tc>
        <w:tc>
          <w:tcPr>
            <w:tcW w:w="1134" w:type="dxa"/>
          </w:tcPr>
          <w:p>
            <w:pPr>
              <w:pStyle w:val="GesAbsatz"/>
              <w:jc w:val="center"/>
              <w:rPr>
                <w:sz w:val="16"/>
              </w:rPr>
            </w:pPr>
            <w:r>
              <w:rPr>
                <w:sz w:val="16"/>
              </w:rPr>
              <w:t>100</w:t>
            </w:r>
          </w:p>
        </w:tc>
      </w:tr>
      <w:tr>
        <w:trPr>
          <w:tblHeader/>
          <w:jc w:val="center"/>
        </w:trPr>
        <w:tc>
          <w:tcPr>
            <w:tcW w:w="2056" w:type="dxa"/>
            <w:tcBorders>
              <w:right w:val="nil"/>
            </w:tcBorders>
          </w:tcPr>
          <w:p>
            <w:pPr>
              <w:pStyle w:val="GesAbsatz"/>
              <w:jc w:val="center"/>
            </w:pPr>
            <w:r>
              <w:t>Octogen</w:t>
            </w:r>
          </w:p>
        </w:tc>
        <w:tc>
          <w:tcPr>
            <w:tcW w:w="1717" w:type="dxa"/>
            <w:tcBorders>
              <w:left w:val="single" w:sz="24" w:space="0" w:color="auto"/>
            </w:tcBorders>
            <w:shd w:val="pct20" w:color="auto" w:fill="auto"/>
          </w:tcPr>
          <w:p>
            <w:pPr>
              <w:pStyle w:val="GesAbsatz"/>
              <w:jc w:val="center"/>
            </w:pPr>
            <w:r>
              <w:t>2.000</w:t>
            </w:r>
          </w:p>
        </w:tc>
        <w:tc>
          <w:tcPr>
            <w:tcW w:w="1815" w:type="dxa"/>
            <w:tcBorders>
              <w:right w:val="single" w:sz="24" w:space="0" w:color="auto"/>
            </w:tcBorders>
            <w:shd w:val="pct20" w:color="auto" w:fill="auto"/>
          </w:tcPr>
          <w:p>
            <w:pPr>
              <w:pStyle w:val="GesAbsatz"/>
              <w:jc w:val="center"/>
            </w:pPr>
            <w:r>
              <w:t>4.000</w:t>
            </w:r>
          </w:p>
        </w:tc>
        <w:tc>
          <w:tcPr>
            <w:tcW w:w="1146" w:type="dxa"/>
            <w:tcBorders>
              <w:left w:val="nil"/>
            </w:tcBorders>
          </w:tcPr>
          <w:p>
            <w:pPr>
              <w:pStyle w:val="GesAbsatz"/>
              <w:jc w:val="center"/>
              <w:rPr>
                <w:sz w:val="16"/>
              </w:rPr>
            </w:pPr>
            <w:r>
              <w:rPr>
                <w:sz w:val="16"/>
              </w:rPr>
              <w:t>500</w:t>
            </w:r>
          </w:p>
        </w:tc>
        <w:tc>
          <w:tcPr>
            <w:tcW w:w="1275" w:type="dxa"/>
          </w:tcPr>
          <w:p>
            <w:pPr>
              <w:pStyle w:val="GesAbsatz"/>
              <w:jc w:val="center"/>
              <w:rPr>
                <w:sz w:val="16"/>
              </w:rPr>
            </w:pPr>
            <w:r>
              <w:rPr>
                <w:sz w:val="16"/>
              </w:rPr>
              <w:t>4,5</w:t>
            </w:r>
          </w:p>
        </w:tc>
        <w:tc>
          <w:tcPr>
            <w:tcW w:w="1418" w:type="dxa"/>
          </w:tcPr>
          <w:p>
            <w:pPr>
              <w:pStyle w:val="GesAbsatz"/>
              <w:jc w:val="center"/>
              <w:rPr>
                <w:sz w:val="16"/>
              </w:rPr>
            </w:pPr>
            <w:r>
              <w:rPr>
                <w:sz w:val="16"/>
              </w:rPr>
              <w:t>2</w:t>
            </w:r>
          </w:p>
        </w:tc>
        <w:tc>
          <w:tcPr>
            <w:tcW w:w="1211" w:type="dxa"/>
          </w:tcPr>
          <w:p>
            <w:pPr>
              <w:pStyle w:val="GesAbsatz"/>
              <w:jc w:val="center"/>
              <w:rPr>
                <w:sz w:val="16"/>
              </w:rPr>
            </w:pPr>
            <w:r>
              <w:rPr>
                <w:sz w:val="16"/>
              </w:rPr>
              <w:t>nein</w:t>
            </w:r>
          </w:p>
        </w:tc>
        <w:tc>
          <w:tcPr>
            <w:tcW w:w="1057" w:type="dxa"/>
            <w:gridSpan w:val="2"/>
          </w:tcPr>
          <w:p>
            <w:pPr>
              <w:pStyle w:val="GesAbsatz"/>
              <w:jc w:val="center"/>
              <w:rPr>
                <w:sz w:val="16"/>
              </w:rPr>
            </w:pPr>
            <w:r>
              <w:rPr>
                <w:sz w:val="16"/>
              </w:rPr>
              <w:t>nein</w:t>
            </w:r>
          </w:p>
        </w:tc>
        <w:tc>
          <w:tcPr>
            <w:tcW w:w="1134" w:type="dxa"/>
          </w:tcPr>
          <w:p>
            <w:pPr>
              <w:pStyle w:val="GesAbsatz"/>
              <w:jc w:val="center"/>
              <w:rPr>
                <w:sz w:val="16"/>
              </w:rPr>
            </w:pPr>
            <w:r>
              <w:rPr>
                <w:sz w:val="16"/>
              </w:rPr>
              <w:t>nein</w:t>
            </w:r>
          </w:p>
        </w:tc>
        <w:tc>
          <w:tcPr>
            <w:tcW w:w="1134" w:type="dxa"/>
          </w:tcPr>
          <w:p>
            <w:pPr>
              <w:pStyle w:val="GesAbsatz"/>
              <w:jc w:val="center"/>
              <w:rPr>
                <w:sz w:val="16"/>
              </w:rPr>
            </w:pPr>
            <w:r>
              <w:rPr>
                <w:sz w:val="16"/>
              </w:rPr>
              <w:t>10</w:t>
            </w:r>
          </w:p>
        </w:tc>
      </w:tr>
      <w:tr>
        <w:trPr>
          <w:tblHeader/>
          <w:jc w:val="center"/>
        </w:trPr>
        <w:tc>
          <w:tcPr>
            <w:tcW w:w="2056" w:type="dxa"/>
            <w:tcBorders>
              <w:right w:val="nil"/>
            </w:tcBorders>
          </w:tcPr>
          <w:p>
            <w:pPr>
              <w:pStyle w:val="GesAbsatz"/>
              <w:jc w:val="center"/>
            </w:pPr>
            <w:r>
              <w:t>Nitropenta</w:t>
            </w:r>
          </w:p>
        </w:tc>
        <w:tc>
          <w:tcPr>
            <w:tcW w:w="1717" w:type="dxa"/>
            <w:tcBorders>
              <w:left w:val="single" w:sz="24" w:space="0" w:color="auto"/>
              <w:bottom w:val="double" w:sz="12" w:space="0" w:color="auto"/>
            </w:tcBorders>
            <w:shd w:val="pct20" w:color="auto" w:fill="auto"/>
          </w:tcPr>
          <w:p>
            <w:pPr>
              <w:pStyle w:val="GesAbsatz"/>
              <w:jc w:val="center"/>
            </w:pPr>
            <w:r>
              <w:t>2.000</w:t>
            </w:r>
          </w:p>
        </w:tc>
        <w:tc>
          <w:tcPr>
            <w:tcW w:w="1815" w:type="dxa"/>
            <w:tcBorders>
              <w:bottom w:val="double" w:sz="12" w:space="0" w:color="auto"/>
              <w:right w:val="single" w:sz="24" w:space="0" w:color="auto"/>
            </w:tcBorders>
            <w:shd w:val="pct20" w:color="auto" w:fill="auto"/>
          </w:tcPr>
          <w:p>
            <w:pPr>
              <w:pStyle w:val="GesAbsatz"/>
              <w:jc w:val="center"/>
            </w:pPr>
            <w:r>
              <w:t>4.000</w:t>
            </w:r>
          </w:p>
        </w:tc>
        <w:tc>
          <w:tcPr>
            <w:tcW w:w="1146" w:type="dxa"/>
            <w:tcBorders>
              <w:left w:val="nil"/>
            </w:tcBorders>
          </w:tcPr>
          <w:p>
            <w:pPr>
              <w:pStyle w:val="GesAbsatz"/>
              <w:jc w:val="center"/>
              <w:rPr>
                <w:sz w:val="16"/>
              </w:rPr>
            </w:pPr>
            <w:r>
              <w:rPr>
                <w:sz w:val="16"/>
              </w:rPr>
              <w:t>500</w:t>
            </w:r>
          </w:p>
        </w:tc>
        <w:tc>
          <w:tcPr>
            <w:tcW w:w="1275" w:type="dxa"/>
          </w:tcPr>
          <w:p>
            <w:pPr>
              <w:pStyle w:val="GesAbsatz"/>
              <w:jc w:val="center"/>
              <w:rPr>
                <w:sz w:val="16"/>
              </w:rPr>
            </w:pPr>
            <w:r>
              <w:rPr>
                <w:sz w:val="16"/>
              </w:rPr>
              <w:t>2</w:t>
            </w:r>
          </w:p>
        </w:tc>
        <w:tc>
          <w:tcPr>
            <w:tcW w:w="1418" w:type="dxa"/>
          </w:tcPr>
          <w:p>
            <w:pPr>
              <w:pStyle w:val="GesAbsatz"/>
              <w:jc w:val="center"/>
              <w:rPr>
                <w:sz w:val="16"/>
              </w:rPr>
            </w:pPr>
            <w:r>
              <w:rPr>
                <w:sz w:val="16"/>
              </w:rPr>
              <w:t>4</w:t>
            </w:r>
          </w:p>
        </w:tc>
        <w:tc>
          <w:tcPr>
            <w:tcW w:w="1211" w:type="dxa"/>
          </w:tcPr>
          <w:p>
            <w:pPr>
              <w:pStyle w:val="GesAbsatz"/>
              <w:jc w:val="center"/>
              <w:rPr>
                <w:sz w:val="16"/>
              </w:rPr>
            </w:pPr>
            <w:r>
              <w:rPr>
                <w:sz w:val="16"/>
              </w:rPr>
              <w:t>nein</w:t>
            </w:r>
          </w:p>
        </w:tc>
        <w:tc>
          <w:tcPr>
            <w:tcW w:w="1057" w:type="dxa"/>
            <w:gridSpan w:val="2"/>
          </w:tcPr>
          <w:p>
            <w:pPr>
              <w:pStyle w:val="GesAbsatz"/>
              <w:jc w:val="center"/>
              <w:rPr>
                <w:sz w:val="16"/>
              </w:rPr>
            </w:pPr>
            <w:r>
              <w:rPr>
                <w:sz w:val="16"/>
              </w:rPr>
              <w:t>nein</w:t>
            </w:r>
          </w:p>
        </w:tc>
        <w:tc>
          <w:tcPr>
            <w:tcW w:w="1134" w:type="dxa"/>
          </w:tcPr>
          <w:p>
            <w:pPr>
              <w:pStyle w:val="GesAbsatz"/>
              <w:jc w:val="center"/>
              <w:rPr>
                <w:sz w:val="16"/>
              </w:rPr>
            </w:pPr>
            <w:r>
              <w:rPr>
                <w:sz w:val="16"/>
              </w:rPr>
              <w:t>nein</w:t>
            </w:r>
          </w:p>
        </w:tc>
        <w:tc>
          <w:tcPr>
            <w:tcW w:w="1134" w:type="dxa"/>
          </w:tcPr>
          <w:p>
            <w:pPr>
              <w:pStyle w:val="GesAbsatz"/>
              <w:jc w:val="center"/>
              <w:rPr>
                <w:sz w:val="16"/>
              </w:rPr>
            </w:pPr>
            <w:r>
              <w:rPr>
                <w:sz w:val="16"/>
              </w:rPr>
              <w:t>(1.000)</w:t>
            </w:r>
            <w:r>
              <w:rPr>
                <w:sz w:val="16"/>
                <w:vertAlign w:val="superscript"/>
              </w:rPr>
              <w:t>2</w:t>
            </w:r>
          </w:p>
        </w:tc>
      </w:tr>
    </w:tbl>
    <w:p>
      <w:pPr>
        <w:pStyle w:val="GesAbsatz"/>
      </w:pPr>
      <w:r>
        <w:rPr>
          <w:vertAlign w:val="superscript"/>
        </w:rPr>
        <w:tab/>
        <w:t>1</w:t>
      </w:r>
      <w:r>
        <w:t xml:space="preserve"> nur Summenbegrenzung</w:t>
      </w:r>
    </w:p>
    <w:p>
      <w:pPr>
        <w:pStyle w:val="GesAbsatz"/>
      </w:pPr>
      <w:r>
        <w:tab/>
        <w:t>* vgl. S. 5</w:t>
      </w:r>
    </w:p>
    <w:p>
      <w:pPr>
        <w:pStyle w:val="GesAbsatz"/>
      </w:pPr>
      <w:r>
        <w:tab/>
        <w:t>** Mittelwert aus Lößlehm- und Quarzsandeluat</w:t>
      </w:r>
    </w:p>
    <w:p>
      <w:pPr>
        <w:pStyle w:val="GesAbsatz"/>
      </w:pPr>
      <w:r>
        <w:rPr>
          <w:vertAlign w:val="superscript"/>
        </w:rPr>
        <w:tab/>
        <w:t>2</w:t>
      </w:r>
      <w:r>
        <w:t xml:space="preserve"> Vorsorgewert, Grundlagen fehlen</w:t>
      </w:r>
    </w:p>
    <w:p>
      <w:pPr>
        <w:pStyle w:val="GesAbsatz"/>
      </w:pPr>
    </w:p>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16.08.1999 (n.v.)</w:t>
    </w:r>
    <w:r>
      <w:tab/>
      <w:t xml:space="preserve">Seite </w:t>
    </w: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(Mononitrotoluole; Sammelbegriff für die Isomere 2-NT, 3-NT und 4-NT)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50.2-11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FD7BFD-CF39-4C2D-BE0F-4BF0032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2108</Words>
  <Characters>14580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Ablagerung von verunreinigten Materialien aus Rüstungsaltlasten</vt:lpstr>
    </vt:vector>
  </TitlesOfParts>
  <Company>LANUV NRW</Company>
  <LinksUpToDate>false</LinksUpToDate>
  <CharactersWithSpaces>16655</CharactersWithSpaces>
  <SharedDoc>false</SharedDoc>
  <HLinks>
    <vt:vector size="6" baseType="variant">
      <vt:variant>
        <vt:i4>2949224</vt:i4>
      </vt:variant>
      <vt:variant>
        <vt:i4>0</vt:i4>
      </vt:variant>
      <vt:variant>
        <vt:i4>0</vt:i4>
      </vt:variant>
      <vt:variant>
        <vt:i4>5</vt:i4>
      </vt:variant>
      <vt:variant>
        <vt:lpwstr/>
      </vt:variant>
      <vt:variant>
        <vt:lpwstr>_Tabelle_2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Ablagerung von verunreinigten Materialien aus Rüstungsaltlasten</dc:title>
  <dc:creator>LANUV</dc:creator>
  <dc:description>nv 1999 wird aber gebraucht!!</dc:description>
  <cp:lastModifiedBy>Rüter, Dr., Ingo</cp:lastModifiedBy>
  <cp:revision>4</cp:revision>
  <cp:lastPrinted>2004-12-14T11:08:00Z</cp:lastPrinted>
  <dcterms:created xsi:type="dcterms:W3CDTF">2014-08-20T11:38:00Z</dcterms:created>
  <dcterms:modified xsi:type="dcterms:W3CDTF">2024-06-13T06:17:00Z</dcterms:modified>
</cp:coreProperties>
</file>