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cs="Arial"/>
          <w:bCs/>
        </w:rPr>
      </w:pPr>
      <w:bookmarkStart w:id="0" w:name="_Toc128479818"/>
      <w:r>
        <w:t xml:space="preserve">Bundes-Bodenschutz- und Altlastenverordnung - </w:t>
      </w:r>
      <w:r>
        <w:br/>
      </w:r>
      <w:r>
        <w:rPr>
          <w:rFonts w:cs="Arial"/>
          <w:bCs/>
        </w:rPr>
        <w:t>BBodSchV</w:t>
      </w:r>
      <w:bookmarkEnd w:id="0"/>
    </w:p>
    <w:p>
      <w:pPr>
        <w:pStyle w:val="GesAbsatz"/>
        <w:jc w:val="center"/>
        <w:rPr>
          <w:rFonts w:cs="Arial"/>
          <w:szCs w:val="18"/>
        </w:rPr>
      </w:pPr>
      <w:r>
        <w:rPr>
          <w:rFonts w:cs="Arial"/>
          <w:szCs w:val="18"/>
        </w:rPr>
        <w:t>vom 09. Juli 2021</w:t>
      </w:r>
    </w:p>
    <w:p>
      <w:pPr>
        <w:pStyle w:val="GesAbsatz"/>
        <w:rPr>
          <w:i/>
          <w:color w:val="0000CC"/>
        </w:rPr>
      </w:pPr>
      <w:r>
        <w:rPr>
          <w:i/>
          <w:color w:val="0000CC"/>
        </w:rPr>
        <w:t>Die Verordnung ist am 01.08.2023 in Kraft getreten.</w:t>
      </w:r>
    </w:p>
    <w:p>
      <w:pPr>
        <w:pStyle w:val="GesAbsatz"/>
        <w:tabs>
          <w:tab w:val="clear" w:pos="425"/>
          <w:tab w:val="left" w:pos="2268"/>
        </w:tabs>
        <w:jc w:val="left"/>
      </w:pPr>
      <w:hyperlink w:anchor="Gesetzeshistorie" w:history="1">
        <w:r>
          <w:rPr>
            <w:rStyle w:val="Hyperlink"/>
            <w:rFonts w:cs="Arial"/>
            <w:szCs w:val="18"/>
          </w:rPr>
          <w:t>Gesetzeshistorie</w:t>
        </w:r>
      </w:hyperlink>
      <w:r>
        <w:tab/>
      </w:r>
      <w:hyperlink r:id="rId7" w:history="1">
        <w:r>
          <w:rPr>
            <w:rStyle w:val="Hyperlink"/>
          </w:rPr>
          <w:t>Link zu DIP</w:t>
        </w:r>
      </w:hyperlink>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8"/>
        </w:rPr>
        <w:fldChar w:fldCharType="begin"/>
      </w:r>
      <w:r>
        <w:rPr>
          <w:rFonts w:cs="Arial"/>
          <w:b w:val="0"/>
          <w:bCs/>
          <w:sz w:val="22"/>
          <w:szCs w:val="18"/>
        </w:rPr>
        <w:instrText xml:space="preserve"> TOC \o "1-3" \h \z \u </w:instrText>
      </w:r>
      <w:r>
        <w:rPr>
          <w:rFonts w:cs="Arial"/>
          <w:b w:val="0"/>
          <w:bCs/>
          <w:sz w:val="22"/>
          <w:szCs w:val="18"/>
        </w:rPr>
        <w:fldChar w:fldCharType="separate"/>
      </w:r>
      <w:hyperlink w:anchor="_Toc128479818" w:history="1">
        <w:r>
          <w:rPr>
            <w:rStyle w:val="Hyperlink"/>
            <w:noProof/>
          </w:rPr>
          <w:t xml:space="preserve">Bundes-Bodenschutz- und Altlastenverordnung -  </w:t>
        </w:r>
        <w:r>
          <w:rPr>
            <w:rStyle w:val="Hyperlink"/>
            <w:rFonts w:cs="Arial"/>
            <w:bCs/>
            <w:noProof/>
          </w:rPr>
          <w:t>BBodSchV</w:t>
        </w:r>
        <w:r>
          <w:rPr>
            <w:noProof/>
            <w:webHidden/>
          </w:rPr>
          <w:tab/>
        </w:r>
        <w:r>
          <w:rPr>
            <w:noProof/>
            <w:webHidden/>
          </w:rPr>
          <w:fldChar w:fldCharType="begin"/>
        </w:r>
        <w:r>
          <w:rPr>
            <w:noProof/>
            <w:webHidden/>
          </w:rPr>
          <w:instrText xml:space="preserve"> PAGEREF _Toc128479818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19" w:history="1">
        <w:r>
          <w:rPr>
            <w:rStyle w:val="Hyperlink"/>
            <w:noProof/>
          </w:rPr>
          <w:t>Abschnitt 1 Allgemeine Vorschriften</w:t>
        </w:r>
        <w:r>
          <w:rPr>
            <w:noProof/>
            <w:webHidden/>
          </w:rPr>
          <w:tab/>
        </w:r>
        <w:r>
          <w:rPr>
            <w:noProof/>
            <w:webHidden/>
          </w:rPr>
          <w:fldChar w:fldCharType="begin"/>
        </w:r>
        <w:r>
          <w:rPr>
            <w:noProof/>
            <w:webHidden/>
          </w:rPr>
          <w:instrText xml:space="preserve"> PAGEREF _Toc128479819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0" w:history="1">
        <w:r>
          <w:rPr>
            <w:rStyle w:val="Hyperlink"/>
            <w:noProof/>
          </w:rPr>
          <w:t>§ 1 Anwendungsbereich</w:t>
        </w:r>
        <w:r>
          <w:rPr>
            <w:noProof/>
            <w:webHidden/>
          </w:rPr>
          <w:tab/>
        </w:r>
        <w:r>
          <w:rPr>
            <w:noProof/>
            <w:webHidden/>
          </w:rPr>
          <w:fldChar w:fldCharType="begin"/>
        </w:r>
        <w:r>
          <w:rPr>
            <w:noProof/>
            <w:webHidden/>
          </w:rPr>
          <w:instrText xml:space="preserve"> PAGEREF _Toc128479820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1" w:history="1">
        <w:r>
          <w:rPr>
            <w:rStyle w:val="Hyperlink"/>
            <w:noProof/>
          </w:rPr>
          <w:t>§ 2 Begriffsbestimmungen</w:t>
        </w:r>
        <w:r>
          <w:rPr>
            <w:noProof/>
            <w:webHidden/>
          </w:rPr>
          <w:tab/>
        </w:r>
        <w:r>
          <w:rPr>
            <w:noProof/>
            <w:webHidden/>
          </w:rPr>
          <w:fldChar w:fldCharType="begin"/>
        </w:r>
        <w:r>
          <w:rPr>
            <w:noProof/>
            <w:webHidden/>
          </w:rPr>
          <w:instrText xml:space="preserve"> PAGEREF _Toc128479821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22" w:history="1">
        <w:r>
          <w:rPr>
            <w:rStyle w:val="Hyperlink"/>
            <w:noProof/>
          </w:rPr>
          <w:t>Abschnitt 2 Vorsorge gegen das Entstehen schädlicher Bodenveränderungen</w:t>
        </w:r>
        <w:r>
          <w:rPr>
            <w:noProof/>
            <w:webHidden/>
          </w:rPr>
          <w:tab/>
        </w:r>
        <w:r>
          <w:rPr>
            <w:noProof/>
            <w:webHidden/>
          </w:rPr>
          <w:fldChar w:fldCharType="begin"/>
        </w:r>
        <w:r>
          <w:rPr>
            <w:noProof/>
            <w:webHidden/>
          </w:rPr>
          <w:instrText xml:space="preserve"> PAGEREF _Toc128479822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3" w:history="1">
        <w:r>
          <w:rPr>
            <w:rStyle w:val="Hyperlink"/>
            <w:noProof/>
          </w:rPr>
          <w:t>§ 3 Besorgnis schädlicher Bodenveränderungen</w:t>
        </w:r>
        <w:r>
          <w:rPr>
            <w:noProof/>
            <w:webHidden/>
          </w:rPr>
          <w:tab/>
        </w:r>
        <w:r>
          <w:rPr>
            <w:noProof/>
            <w:webHidden/>
          </w:rPr>
          <w:fldChar w:fldCharType="begin"/>
        </w:r>
        <w:r>
          <w:rPr>
            <w:noProof/>
            <w:webHidden/>
          </w:rPr>
          <w:instrText xml:space="preserve"> PAGEREF _Toc128479823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4" w:history="1">
        <w:r>
          <w:rPr>
            <w:rStyle w:val="Hyperlink"/>
            <w:noProof/>
          </w:rPr>
          <w:t>§ 4 Vorsorgeanforder</w:t>
        </w:r>
        <w:bookmarkStart w:id="1" w:name="_GoBack"/>
        <w:bookmarkEnd w:id="1"/>
        <w:r>
          <w:rPr>
            <w:rStyle w:val="Hyperlink"/>
            <w:noProof/>
          </w:rPr>
          <w:t>ungen</w:t>
        </w:r>
        <w:r>
          <w:rPr>
            <w:noProof/>
            <w:webHidden/>
          </w:rPr>
          <w:tab/>
        </w:r>
        <w:r>
          <w:rPr>
            <w:noProof/>
            <w:webHidden/>
          </w:rPr>
          <w:fldChar w:fldCharType="begin"/>
        </w:r>
        <w:r>
          <w:rPr>
            <w:noProof/>
            <w:webHidden/>
          </w:rPr>
          <w:instrText xml:space="preserve"> PAGEREF _Toc128479824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5" w:history="1">
        <w:r>
          <w:rPr>
            <w:rStyle w:val="Hyperlink"/>
            <w:noProof/>
          </w:rPr>
          <w:t>§ 5 Zulässige Zusatzbelastung</w:t>
        </w:r>
        <w:r>
          <w:rPr>
            <w:noProof/>
            <w:webHidden/>
          </w:rPr>
          <w:tab/>
        </w:r>
        <w:r>
          <w:rPr>
            <w:noProof/>
            <w:webHidden/>
          </w:rPr>
          <w:fldChar w:fldCharType="begin"/>
        </w:r>
        <w:r>
          <w:rPr>
            <w:noProof/>
            <w:webHidden/>
          </w:rPr>
          <w:instrText xml:space="preserve"> PAGEREF _Toc128479825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6" w:history="1">
        <w:r>
          <w:rPr>
            <w:rStyle w:val="Hyperlink"/>
            <w:noProof/>
          </w:rPr>
          <w:t>§ 6 Allgemeine Anforderungen an das Auf- oder Einbringen  von Materialien auf oder in den Boden</w:t>
        </w:r>
        <w:r>
          <w:rPr>
            <w:noProof/>
            <w:webHidden/>
          </w:rPr>
          <w:tab/>
        </w:r>
        <w:r>
          <w:rPr>
            <w:noProof/>
            <w:webHidden/>
          </w:rPr>
          <w:fldChar w:fldCharType="begin"/>
        </w:r>
        <w:r>
          <w:rPr>
            <w:noProof/>
            <w:webHidden/>
          </w:rPr>
          <w:instrText xml:space="preserve"> PAGEREF _Toc128479826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7" w:history="1">
        <w:r>
          <w:rPr>
            <w:rStyle w:val="Hyperlink"/>
            <w:noProof/>
          </w:rPr>
          <w:t>§ 7 Zusätzliche Anforderungen an das Auf- oder Einbringen von  Materialien auf oder in eine durchwurzelbare Bodenschicht</w:t>
        </w:r>
        <w:r>
          <w:rPr>
            <w:noProof/>
            <w:webHidden/>
          </w:rPr>
          <w:tab/>
        </w:r>
        <w:r>
          <w:rPr>
            <w:noProof/>
            <w:webHidden/>
          </w:rPr>
          <w:fldChar w:fldCharType="begin"/>
        </w:r>
        <w:r>
          <w:rPr>
            <w:noProof/>
            <w:webHidden/>
          </w:rPr>
          <w:instrText xml:space="preserve"> PAGEREF _Toc128479827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28" w:history="1">
        <w:r>
          <w:rPr>
            <w:rStyle w:val="Hyperlink"/>
            <w:noProof/>
          </w:rPr>
          <w:t>§ 8 Zusätzliche Anforderungen an das Auf- oder Einbringen von  Materialien unterhalb oder außerhalb einer durchwurzelbaren Bodenschicht</w:t>
        </w:r>
        <w:r>
          <w:rPr>
            <w:noProof/>
            <w:webHidden/>
          </w:rPr>
          <w:tab/>
        </w:r>
        <w:r>
          <w:rPr>
            <w:noProof/>
            <w:webHidden/>
          </w:rPr>
          <w:fldChar w:fldCharType="begin"/>
        </w:r>
        <w:r>
          <w:rPr>
            <w:noProof/>
            <w:webHidden/>
          </w:rPr>
          <w:instrText xml:space="preserve"> PAGEREF _Toc128479828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29" w:history="1">
        <w:r>
          <w:rPr>
            <w:rStyle w:val="Hyperlink"/>
            <w:noProof/>
          </w:rPr>
          <w:t>Abschnitt 3 Abwehr und Sanierung schädlicher Bodenveränderungen und Altlasten</w:t>
        </w:r>
        <w:r>
          <w:rPr>
            <w:noProof/>
            <w:webHidden/>
          </w:rPr>
          <w:tab/>
        </w:r>
        <w:r>
          <w:rPr>
            <w:noProof/>
            <w:webHidden/>
          </w:rPr>
          <w:fldChar w:fldCharType="begin"/>
        </w:r>
        <w:r>
          <w:rPr>
            <w:noProof/>
            <w:webHidden/>
          </w:rPr>
          <w:instrText xml:space="preserve"> PAGEREF _Toc128479829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30" w:history="1">
        <w:r>
          <w:rPr>
            <w:rStyle w:val="Hyperlink"/>
            <w:noProof/>
          </w:rPr>
          <w:t>Unterabschnitt 1 Gefahrenabwehr bei Bodenerosion</w:t>
        </w:r>
        <w:r>
          <w:rPr>
            <w:noProof/>
            <w:webHidden/>
          </w:rPr>
          <w:tab/>
        </w:r>
        <w:r>
          <w:rPr>
            <w:noProof/>
            <w:webHidden/>
          </w:rPr>
          <w:fldChar w:fldCharType="begin"/>
        </w:r>
        <w:r>
          <w:rPr>
            <w:noProof/>
            <w:webHidden/>
          </w:rPr>
          <w:instrText xml:space="preserve"> PAGEREF _Toc128479830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1" w:history="1">
        <w:r>
          <w:rPr>
            <w:rStyle w:val="Hyperlink"/>
            <w:noProof/>
          </w:rPr>
          <w:t>§ 9 Gefahrenabwehr bei Bodenerosion durch Wasser oder Wind</w:t>
        </w:r>
        <w:r>
          <w:rPr>
            <w:noProof/>
            <w:webHidden/>
          </w:rPr>
          <w:tab/>
        </w:r>
        <w:r>
          <w:rPr>
            <w:noProof/>
            <w:webHidden/>
          </w:rPr>
          <w:fldChar w:fldCharType="begin"/>
        </w:r>
        <w:r>
          <w:rPr>
            <w:noProof/>
            <w:webHidden/>
          </w:rPr>
          <w:instrText xml:space="preserve"> PAGEREF _Toc128479831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32" w:history="1">
        <w:r>
          <w:rPr>
            <w:rStyle w:val="Hyperlink"/>
            <w:noProof/>
          </w:rPr>
          <w:t>Unterabschnitt 2 Untersuchung, Bewertung und Sanierung  schädlicher Bodenveränderungen und Altlasten</w:t>
        </w:r>
        <w:r>
          <w:rPr>
            <w:noProof/>
            <w:webHidden/>
          </w:rPr>
          <w:tab/>
        </w:r>
        <w:r>
          <w:rPr>
            <w:noProof/>
            <w:webHidden/>
          </w:rPr>
          <w:fldChar w:fldCharType="begin"/>
        </w:r>
        <w:r>
          <w:rPr>
            <w:noProof/>
            <w:webHidden/>
          </w:rPr>
          <w:instrText xml:space="preserve"> PAGEREF _Toc128479832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3" w:history="1">
        <w:r>
          <w:rPr>
            <w:rStyle w:val="Hyperlink"/>
            <w:noProof/>
          </w:rPr>
          <w:t>§ 10 Erforderlichkeit von Untersuchungen</w:t>
        </w:r>
        <w:r>
          <w:rPr>
            <w:noProof/>
            <w:webHidden/>
          </w:rPr>
          <w:tab/>
        </w:r>
        <w:r>
          <w:rPr>
            <w:noProof/>
            <w:webHidden/>
          </w:rPr>
          <w:fldChar w:fldCharType="begin"/>
        </w:r>
        <w:r>
          <w:rPr>
            <w:noProof/>
            <w:webHidden/>
          </w:rPr>
          <w:instrText xml:space="preserve"> PAGEREF _Toc128479833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4" w:history="1">
        <w:r>
          <w:rPr>
            <w:rStyle w:val="Hyperlink"/>
            <w:noProof/>
          </w:rPr>
          <w:t>§ 11 Allgemeine Anforderungen an Untersuchungen</w:t>
        </w:r>
        <w:r>
          <w:rPr>
            <w:noProof/>
            <w:webHidden/>
          </w:rPr>
          <w:tab/>
        </w:r>
        <w:r>
          <w:rPr>
            <w:noProof/>
            <w:webHidden/>
          </w:rPr>
          <w:fldChar w:fldCharType="begin"/>
        </w:r>
        <w:r>
          <w:rPr>
            <w:noProof/>
            <w:webHidden/>
          </w:rPr>
          <w:instrText xml:space="preserve"> PAGEREF _Toc128479834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5" w:history="1">
        <w:r>
          <w:rPr>
            <w:rStyle w:val="Hyperlink"/>
            <w:noProof/>
          </w:rPr>
          <w:t>§ 12 Orientierende Untersuchung</w:t>
        </w:r>
        <w:r>
          <w:rPr>
            <w:noProof/>
            <w:webHidden/>
          </w:rPr>
          <w:tab/>
        </w:r>
        <w:r>
          <w:rPr>
            <w:noProof/>
            <w:webHidden/>
          </w:rPr>
          <w:fldChar w:fldCharType="begin"/>
        </w:r>
        <w:r>
          <w:rPr>
            <w:noProof/>
            <w:webHidden/>
          </w:rPr>
          <w:instrText xml:space="preserve"> PAGEREF _Toc128479835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6" w:history="1">
        <w:r>
          <w:rPr>
            <w:rStyle w:val="Hyperlink"/>
            <w:noProof/>
          </w:rPr>
          <w:t>§ 13 Detailuntersuchung</w:t>
        </w:r>
        <w:r>
          <w:rPr>
            <w:noProof/>
            <w:webHidden/>
          </w:rPr>
          <w:tab/>
        </w:r>
        <w:r>
          <w:rPr>
            <w:noProof/>
            <w:webHidden/>
          </w:rPr>
          <w:fldChar w:fldCharType="begin"/>
        </w:r>
        <w:r>
          <w:rPr>
            <w:noProof/>
            <w:webHidden/>
          </w:rPr>
          <w:instrText xml:space="preserve"> PAGEREF _Toc128479836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7" w:history="1">
        <w:r>
          <w:rPr>
            <w:rStyle w:val="Hyperlink"/>
            <w:noProof/>
          </w:rPr>
          <w:t>§ 14 Sickerwasserprognose</w:t>
        </w:r>
        <w:r>
          <w:rPr>
            <w:noProof/>
            <w:webHidden/>
          </w:rPr>
          <w:tab/>
        </w:r>
        <w:r>
          <w:rPr>
            <w:noProof/>
            <w:webHidden/>
          </w:rPr>
          <w:fldChar w:fldCharType="begin"/>
        </w:r>
        <w:r>
          <w:rPr>
            <w:noProof/>
            <w:webHidden/>
          </w:rPr>
          <w:instrText xml:space="preserve"> PAGEREF _Toc128479837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8" w:history="1">
        <w:r>
          <w:rPr>
            <w:rStyle w:val="Hyperlink"/>
            <w:noProof/>
          </w:rPr>
          <w:t>§ 15 Bewertung</w:t>
        </w:r>
        <w:r>
          <w:rPr>
            <w:noProof/>
            <w:webHidden/>
          </w:rPr>
          <w:tab/>
        </w:r>
        <w:r>
          <w:rPr>
            <w:noProof/>
            <w:webHidden/>
          </w:rPr>
          <w:fldChar w:fldCharType="begin"/>
        </w:r>
        <w:r>
          <w:rPr>
            <w:noProof/>
            <w:webHidden/>
          </w:rPr>
          <w:instrText xml:space="preserve"> PAGEREF _Toc128479838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39" w:history="1">
        <w:r>
          <w:rPr>
            <w:rStyle w:val="Hyperlink"/>
            <w:noProof/>
          </w:rPr>
          <w:t>§ 16 Sanierungsuntersuchungen und Sanierungsplanung</w:t>
        </w:r>
        <w:r>
          <w:rPr>
            <w:noProof/>
            <w:webHidden/>
          </w:rPr>
          <w:tab/>
        </w:r>
        <w:r>
          <w:rPr>
            <w:noProof/>
            <w:webHidden/>
          </w:rPr>
          <w:fldChar w:fldCharType="begin"/>
        </w:r>
        <w:r>
          <w:rPr>
            <w:noProof/>
            <w:webHidden/>
          </w:rPr>
          <w:instrText xml:space="preserve"> PAGEREF _Toc128479839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0" w:history="1">
        <w:r>
          <w:rPr>
            <w:rStyle w:val="Hyperlink"/>
            <w:noProof/>
          </w:rPr>
          <w:t>§ 17 Sanierungsmaßnahmen, Schutz- und  Beschränkungsmaßnahmen, natürliche Schadstoffminderung</w:t>
        </w:r>
        <w:r>
          <w:rPr>
            <w:noProof/>
            <w:webHidden/>
          </w:rPr>
          <w:tab/>
        </w:r>
        <w:r>
          <w:rPr>
            <w:noProof/>
            <w:webHidden/>
          </w:rPr>
          <w:fldChar w:fldCharType="begin"/>
        </w:r>
        <w:r>
          <w:rPr>
            <w:noProof/>
            <w:webHidden/>
          </w:rPr>
          <w:instrText xml:space="preserve"> PAGEREF _Toc128479840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41" w:history="1">
        <w:r>
          <w:rPr>
            <w:rStyle w:val="Hyperlink"/>
            <w:noProof/>
          </w:rPr>
          <w:t>Abschnitt 4 Vorerkundung, Probennahme und -analyse</w:t>
        </w:r>
        <w:r>
          <w:rPr>
            <w:noProof/>
            <w:webHidden/>
          </w:rPr>
          <w:tab/>
        </w:r>
        <w:r>
          <w:rPr>
            <w:noProof/>
            <w:webHidden/>
          </w:rPr>
          <w:fldChar w:fldCharType="begin"/>
        </w:r>
        <w:r>
          <w:rPr>
            <w:noProof/>
            <w:webHidden/>
          </w:rPr>
          <w:instrText xml:space="preserve"> PAGEREF _Toc128479841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2" w:history="1">
        <w:r>
          <w:rPr>
            <w:rStyle w:val="Hyperlink"/>
            <w:noProof/>
          </w:rPr>
          <w:t>§ 18 Vorerkundung</w:t>
        </w:r>
        <w:r>
          <w:rPr>
            <w:noProof/>
            <w:webHidden/>
          </w:rPr>
          <w:tab/>
        </w:r>
        <w:r>
          <w:rPr>
            <w:noProof/>
            <w:webHidden/>
          </w:rPr>
          <w:fldChar w:fldCharType="begin"/>
        </w:r>
        <w:r>
          <w:rPr>
            <w:noProof/>
            <w:webHidden/>
          </w:rPr>
          <w:instrText xml:space="preserve"> PAGEREF _Toc128479842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3" w:history="1">
        <w:r>
          <w:rPr>
            <w:rStyle w:val="Hyperlink"/>
            <w:noProof/>
          </w:rPr>
          <w:t>§ 19 Allgemeine Anforderungen an die Probennahme</w:t>
        </w:r>
        <w:r>
          <w:rPr>
            <w:noProof/>
            <w:webHidden/>
          </w:rPr>
          <w:tab/>
        </w:r>
        <w:r>
          <w:rPr>
            <w:noProof/>
            <w:webHidden/>
          </w:rPr>
          <w:fldChar w:fldCharType="begin"/>
        </w:r>
        <w:r>
          <w:rPr>
            <w:noProof/>
            <w:webHidden/>
          </w:rPr>
          <w:instrText xml:space="preserve"> PAGEREF _Toc128479843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4" w:history="1">
        <w:r>
          <w:rPr>
            <w:rStyle w:val="Hyperlink"/>
            <w:noProof/>
          </w:rPr>
          <w:t>§ 20 Besondere Anforderungen an die Probennahme aus Böden in situ</w:t>
        </w:r>
        <w:r>
          <w:rPr>
            <w:noProof/>
            <w:webHidden/>
          </w:rPr>
          <w:tab/>
        </w:r>
        <w:r>
          <w:rPr>
            <w:noProof/>
            <w:webHidden/>
          </w:rPr>
          <w:fldChar w:fldCharType="begin"/>
        </w:r>
        <w:r>
          <w:rPr>
            <w:noProof/>
            <w:webHidden/>
          </w:rPr>
          <w:instrText xml:space="preserve"> PAGEREF _Toc128479844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5" w:history="1">
        <w:r>
          <w:rPr>
            <w:rStyle w:val="Hyperlink"/>
            <w:noProof/>
          </w:rPr>
          <w:t>§ 21 Besondere Anforderungen an die Probennahme aus Haufwerken</w:t>
        </w:r>
        <w:r>
          <w:rPr>
            <w:noProof/>
            <w:webHidden/>
          </w:rPr>
          <w:tab/>
        </w:r>
        <w:r>
          <w:rPr>
            <w:noProof/>
            <w:webHidden/>
          </w:rPr>
          <w:fldChar w:fldCharType="begin"/>
        </w:r>
        <w:r>
          <w:rPr>
            <w:noProof/>
            <w:webHidden/>
          </w:rPr>
          <w:instrText xml:space="preserve"> PAGEREF _Toc128479845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6" w:history="1">
        <w:r>
          <w:rPr>
            <w:rStyle w:val="Hyperlink"/>
            <w:noProof/>
          </w:rPr>
          <w:t>§ 22 Zusätzliche wirkungspfadbezogene Anforderungen an die  Probennahme bei orientierenden Untersuchungen und Detailuntersuchungen</w:t>
        </w:r>
        <w:r>
          <w:rPr>
            <w:noProof/>
            <w:webHidden/>
          </w:rPr>
          <w:tab/>
        </w:r>
        <w:r>
          <w:rPr>
            <w:noProof/>
            <w:webHidden/>
          </w:rPr>
          <w:fldChar w:fldCharType="begin"/>
        </w:r>
        <w:r>
          <w:rPr>
            <w:noProof/>
            <w:webHidden/>
          </w:rPr>
          <w:instrText xml:space="preserve"> PAGEREF _Toc128479846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7" w:history="1">
        <w:r>
          <w:rPr>
            <w:rStyle w:val="Hyperlink"/>
            <w:noProof/>
          </w:rPr>
          <w:t>§ 23 Konservierung, Transport und Aufbewahrung von Proben;  Probenvorbehandlung, -vorbereitung und -aufarbeitung</w:t>
        </w:r>
        <w:r>
          <w:rPr>
            <w:noProof/>
            <w:webHidden/>
          </w:rPr>
          <w:tab/>
        </w:r>
        <w:r>
          <w:rPr>
            <w:noProof/>
            <w:webHidden/>
          </w:rPr>
          <w:fldChar w:fldCharType="begin"/>
        </w:r>
        <w:r>
          <w:rPr>
            <w:noProof/>
            <w:webHidden/>
          </w:rPr>
          <w:instrText xml:space="preserve"> PAGEREF _Toc128479847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48" w:history="1">
        <w:r>
          <w:rPr>
            <w:rStyle w:val="Hyperlink"/>
            <w:noProof/>
          </w:rPr>
          <w:t>§ 24 Physikalisch-chemische und chemische Analyse</w:t>
        </w:r>
        <w:r>
          <w:rPr>
            <w:noProof/>
            <w:webHidden/>
          </w:rPr>
          <w:tab/>
        </w:r>
        <w:r>
          <w:rPr>
            <w:noProof/>
            <w:webHidden/>
          </w:rPr>
          <w:fldChar w:fldCharType="begin"/>
        </w:r>
        <w:r>
          <w:rPr>
            <w:noProof/>
            <w:webHidden/>
          </w:rPr>
          <w:instrText xml:space="preserve"> PAGEREF _Toc128479848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49" w:history="1">
        <w:r>
          <w:rPr>
            <w:rStyle w:val="Hyperlink"/>
            <w:noProof/>
          </w:rPr>
          <w:t>Abschnitt 5 Gemeinsame Bestimmungen</w:t>
        </w:r>
        <w:r>
          <w:rPr>
            <w:noProof/>
            <w:webHidden/>
          </w:rPr>
          <w:tab/>
        </w:r>
        <w:r>
          <w:rPr>
            <w:noProof/>
            <w:webHidden/>
          </w:rPr>
          <w:fldChar w:fldCharType="begin"/>
        </w:r>
        <w:r>
          <w:rPr>
            <w:noProof/>
            <w:webHidden/>
          </w:rPr>
          <w:instrText xml:space="preserve"> PAGEREF _Toc128479849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50" w:history="1">
        <w:r>
          <w:rPr>
            <w:rStyle w:val="Hyperlink"/>
            <w:noProof/>
          </w:rPr>
          <w:t>§ 25 Fachbeirat Bodenuntersuchungen</w:t>
        </w:r>
        <w:r>
          <w:rPr>
            <w:noProof/>
            <w:webHidden/>
          </w:rPr>
          <w:tab/>
        </w:r>
        <w:r>
          <w:rPr>
            <w:noProof/>
            <w:webHidden/>
          </w:rPr>
          <w:fldChar w:fldCharType="begin"/>
        </w:r>
        <w:r>
          <w:rPr>
            <w:noProof/>
            <w:webHidden/>
          </w:rPr>
          <w:instrText xml:space="preserve"> PAGEREF _Toc128479850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51" w:history="1">
        <w:r>
          <w:rPr>
            <w:rStyle w:val="Hyperlink"/>
            <w:noProof/>
          </w:rPr>
          <w:t>§ 26 Ordnungswidrigkeiten</w:t>
        </w:r>
        <w:r>
          <w:rPr>
            <w:noProof/>
            <w:webHidden/>
          </w:rPr>
          <w:tab/>
        </w:r>
        <w:r>
          <w:rPr>
            <w:noProof/>
            <w:webHidden/>
          </w:rPr>
          <w:fldChar w:fldCharType="begin"/>
        </w:r>
        <w:r>
          <w:rPr>
            <w:noProof/>
            <w:webHidden/>
          </w:rPr>
          <w:instrText xml:space="preserve"> PAGEREF _Toc128479851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52" w:history="1">
        <w:r>
          <w:rPr>
            <w:rStyle w:val="Hyperlink"/>
            <w:noProof/>
          </w:rPr>
          <w:t>§ 27 Zugänglichkeit technischer Regeln und Normen</w:t>
        </w:r>
        <w:r>
          <w:rPr>
            <w:noProof/>
            <w:webHidden/>
          </w:rPr>
          <w:tab/>
        </w:r>
        <w:r>
          <w:rPr>
            <w:noProof/>
            <w:webHidden/>
          </w:rPr>
          <w:fldChar w:fldCharType="begin"/>
        </w:r>
        <w:r>
          <w:rPr>
            <w:noProof/>
            <w:webHidden/>
          </w:rPr>
          <w:instrText xml:space="preserve"> PAGEREF _Toc128479852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479853" w:history="1">
        <w:r>
          <w:rPr>
            <w:rStyle w:val="Hyperlink"/>
            <w:noProof/>
          </w:rPr>
          <w:t>§ 28 Übergangsregelung</w:t>
        </w:r>
        <w:r>
          <w:rPr>
            <w:noProof/>
            <w:webHidden/>
          </w:rPr>
          <w:tab/>
        </w:r>
        <w:r>
          <w:rPr>
            <w:noProof/>
            <w:webHidden/>
          </w:rPr>
          <w:fldChar w:fldCharType="begin"/>
        </w:r>
        <w:r>
          <w:rPr>
            <w:noProof/>
            <w:webHidden/>
          </w:rPr>
          <w:instrText xml:space="preserve"> PAGEREF _Toc128479853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54" w:history="1">
        <w:r>
          <w:rPr>
            <w:rStyle w:val="Hyperlink"/>
            <w:noProof/>
          </w:rPr>
          <w:t>Anlage 1</w:t>
        </w:r>
        <w:r>
          <w:rPr>
            <w:noProof/>
            <w:webHidden/>
          </w:rPr>
          <w:tab/>
        </w:r>
        <w:r>
          <w:rPr>
            <w:noProof/>
            <w:webHidden/>
          </w:rPr>
          <w:fldChar w:fldCharType="begin"/>
        </w:r>
        <w:r>
          <w:rPr>
            <w:noProof/>
            <w:webHidden/>
          </w:rPr>
          <w:instrText xml:space="preserve"> PAGEREF _Toc128479854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55" w:history="1">
        <w:r>
          <w:rPr>
            <w:rStyle w:val="Hyperlink"/>
            <w:noProof/>
          </w:rPr>
          <w:t>Anlage 2</w:t>
        </w:r>
        <w:r>
          <w:rPr>
            <w:noProof/>
            <w:webHidden/>
          </w:rPr>
          <w:tab/>
        </w:r>
        <w:r>
          <w:rPr>
            <w:noProof/>
            <w:webHidden/>
          </w:rPr>
          <w:fldChar w:fldCharType="begin"/>
        </w:r>
        <w:r>
          <w:rPr>
            <w:noProof/>
            <w:webHidden/>
          </w:rPr>
          <w:instrText xml:space="preserve"> PAGEREF _Toc128479855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56" w:history="1">
        <w:r>
          <w:rPr>
            <w:rStyle w:val="Hyperlink"/>
            <w:noProof/>
          </w:rPr>
          <w:t>Anlage 3 (zu § 6 Absatz 11 Satz 1, § 15 Absatz 1 Satz 2, § 19 Absatz 9, § 20 Absatz 1 Satz 3 und 4, § 24 Absatz 2 und 4 bis 10)</w:t>
        </w:r>
        <w:r>
          <w:rPr>
            <w:noProof/>
            <w:webHidden/>
          </w:rPr>
          <w:tab/>
        </w:r>
        <w:r>
          <w:rPr>
            <w:noProof/>
            <w:webHidden/>
          </w:rPr>
          <w:fldChar w:fldCharType="begin"/>
        </w:r>
        <w:r>
          <w:rPr>
            <w:noProof/>
            <w:webHidden/>
          </w:rPr>
          <w:instrText xml:space="preserve"> PAGEREF _Toc128479856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479857" w:history="1">
        <w:r>
          <w:rPr>
            <w:rStyle w:val="Hyperlink"/>
            <w:noProof/>
          </w:rPr>
          <w:t>Anlage 4 (zu § 27 Absatz 1 Satz 1)</w:t>
        </w:r>
        <w:r>
          <w:rPr>
            <w:noProof/>
            <w:webHidden/>
          </w:rPr>
          <w:tab/>
        </w:r>
        <w:r>
          <w:rPr>
            <w:noProof/>
            <w:webHidden/>
          </w:rPr>
          <w:fldChar w:fldCharType="begin"/>
        </w:r>
        <w:r>
          <w:rPr>
            <w:noProof/>
            <w:webHidden/>
          </w:rPr>
          <w:instrText xml:space="preserve"> PAGEREF _Toc128479857 \h </w:instrText>
        </w:r>
        <w:r>
          <w:rPr>
            <w:noProof/>
            <w:webHidden/>
          </w:rPr>
        </w:r>
        <w:r>
          <w:rPr>
            <w:noProof/>
            <w:webHidden/>
          </w:rPr>
          <w:fldChar w:fldCharType="separate"/>
        </w:r>
        <w:r>
          <w:rPr>
            <w:noProof/>
            <w:webHidden/>
          </w:rPr>
          <w:t>32</w:t>
        </w:r>
        <w:r>
          <w:rPr>
            <w:noProof/>
            <w:webHidden/>
          </w:rPr>
          <w:fldChar w:fldCharType="end"/>
        </w:r>
      </w:hyperlink>
    </w:p>
    <w:p>
      <w:pPr>
        <w:pStyle w:val="GesAbsatz"/>
      </w:pPr>
      <w:r>
        <w:fldChar w:fldCharType="end"/>
      </w:r>
    </w:p>
    <w:p>
      <w:pPr>
        <w:pStyle w:val="berschrift2"/>
      </w:pPr>
      <w:bookmarkStart w:id="2" w:name="_Toc128479819"/>
      <w:r>
        <w:lastRenderedPageBreak/>
        <w:t>Abschnitt 1</w:t>
      </w:r>
      <w:r>
        <w:br/>
        <w:t>Allgemeine Vorschriften</w:t>
      </w:r>
      <w:bookmarkEnd w:id="2"/>
    </w:p>
    <w:p>
      <w:pPr>
        <w:pStyle w:val="berschrift3"/>
      </w:pPr>
      <w:bookmarkStart w:id="3" w:name="_Toc128479820"/>
      <w:r>
        <w:t>§ 1</w:t>
      </w:r>
      <w:r>
        <w:br/>
        <w:t>Anwendungsbereich</w:t>
      </w:r>
      <w:bookmarkEnd w:id="3"/>
    </w:p>
    <w:p>
      <w:pPr>
        <w:pStyle w:val="GesAbsatz"/>
        <w:tabs>
          <w:tab w:val="clear" w:pos="425"/>
          <w:tab w:val="left" w:pos="2268"/>
        </w:tabs>
        <w:rPr>
          <w:rFonts w:cs="Arial"/>
        </w:rPr>
      </w:pPr>
      <w:r>
        <w:rPr>
          <w:rFonts w:cs="Arial"/>
        </w:rPr>
        <w:t>(1) Diese Verordnung regelt nähere Anforderungen, insbesondere</w:t>
      </w:r>
    </w:p>
    <w:p>
      <w:pPr>
        <w:pStyle w:val="GesAbsatz"/>
        <w:tabs>
          <w:tab w:val="clear" w:pos="425"/>
          <w:tab w:val="left" w:pos="2268"/>
        </w:tabs>
        <w:ind w:left="426" w:hanging="426"/>
        <w:rPr>
          <w:rFonts w:cs="Arial"/>
        </w:rPr>
      </w:pPr>
      <w:r>
        <w:rPr>
          <w:rFonts w:cs="Arial"/>
        </w:rPr>
        <w:t>1.</w:t>
      </w:r>
      <w:r>
        <w:rPr>
          <w:rFonts w:cs="Arial"/>
        </w:rPr>
        <w:tab/>
        <w:t>zur Vorsorge gegen das Entstehen schädlicher Bodenveränderungen, einschließlich Anforderungen an das Auf- oder Einbringen von Materialien auf oder in den Boden sowie Vorsorgewerte und zulässige Zusatzbelastungen,</w:t>
      </w:r>
    </w:p>
    <w:p>
      <w:pPr>
        <w:pStyle w:val="GesAbsatz"/>
        <w:tabs>
          <w:tab w:val="clear" w:pos="425"/>
          <w:tab w:val="left" w:pos="2268"/>
        </w:tabs>
        <w:ind w:left="426" w:hanging="426"/>
        <w:rPr>
          <w:rFonts w:cs="Arial"/>
        </w:rPr>
      </w:pPr>
      <w:r>
        <w:rPr>
          <w:rFonts w:cs="Arial"/>
        </w:rPr>
        <w:t>2.</w:t>
      </w:r>
      <w:r>
        <w:rPr>
          <w:rFonts w:cs="Arial"/>
        </w:rPr>
        <w:tab/>
        <w:t>zur Gefahrenabwehr bei Bodenerosion,</w:t>
      </w:r>
    </w:p>
    <w:p>
      <w:pPr>
        <w:pStyle w:val="GesAbsatz"/>
        <w:tabs>
          <w:tab w:val="clear" w:pos="425"/>
          <w:tab w:val="left" w:pos="2268"/>
        </w:tabs>
        <w:ind w:left="426" w:hanging="426"/>
        <w:rPr>
          <w:rFonts w:cs="Arial"/>
        </w:rPr>
      </w:pPr>
      <w:r>
        <w:rPr>
          <w:rFonts w:cs="Arial"/>
        </w:rPr>
        <w:t>3.</w:t>
      </w:r>
      <w:r>
        <w:rPr>
          <w:rFonts w:cs="Arial"/>
        </w:rPr>
        <w:tab/>
        <w:t>zur Untersuchung, Bewertung und Sanierung von schädlichen Bodenveränderungen und Altlasten, einschließlich Anforderungen an Sanierungsuntersuchungen und Sanierungsplanung sowie Prüf- und Maßnahmenwerte,</w:t>
      </w:r>
    </w:p>
    <w:p>
      <w:pPr>
        <w:pStyle w:val="GesAbsatz"/>
        <w:tabs>
          <w:tab w:val="clear" w:pos="425"/>
          <w:tab w:val="left" w:pos="2268"/>
        </w:tabs>
        <w:ind w:left="426" w:hanging="426"/>
        <w:rPr>
          <w:rFonts w:cs="Arial"/>
        </w:rPr>
      </w:pPr>
      <w:r>
        <w:rPr>
          <w:rFonts w:cs="Arial"/>
        </w:rPr>
        <w:t>4.</w:t>
      </w:r>
      <w:r>
        <w:rPr>
          <w:rFonts w:cs="Arial"/>
        </w:rPr>
        <w:tab/>
        <w:t>an die Vorerkundung, Probennahme und -analyse.</w:t>
      </w:r>
    </w:p>
    <w:p>
      <w:pPr>
        <w:pStyle w:val="GesAbsatz"/>
        <w:tabs>
          <w:tab w:val="clear" w:pos="425"/>
          <w:tab w:val="left" w:pos="2268"/>
        </w:tabs>
        <w:rPr>
          <w:rFonts w:cs="Arial"/>
        </w:rPr>
      </w:pPr>
      <w:r>
        <w:rPr>
          <w:rFonts w:cs="Arial"/>
        </w:rPr>
        <w:t>(2) Diese Verordnung gilt nicht für</w:t>
      </w:r>
    </w:p>
    <w:p>
      <w:pPr>
        <w:pStyle w:val="GesAbsatz"/>
        <w:tabs>
          <w:tab w:val="clear" w:pos="425"/>
          <w:tab w:val="left" w:pos="2268"/>
        </w:tabs>
        <w:ind w:left="426" w:hanging="426"/>
        <w:rPr>
          <w:rFonts w:cs="Arial"/>
        </w:rPr>
      </w:pPr>
      <w:r>
        <w:rPr>
          <w:rFonts w:cs="Arial"/>
        </w:rPr>
        <w:t>1.</w:t>
      </w:r>
      <w:r>
        <w:rPr>
          <w:rFonts w:cs="Arial"/>
        </w:rPr>
        <w:tab/>
        <w:t>den Einbau von mineralischen Ersatzbaustoffen in technische Bauwerke, soweit dieser nach Maßgabe der Ersatzbaustoffverordnung vom 9. Juli 2021 (BGBl. I S. 2598) erfolgt,</w:t>
      </w:r>
    </w:p>
    <w:p>
      <w:pPr>
        <w:pStyle w:val="GesAbsatz"/>
        <w:tabs>
          <w:tab w:val="clear" w:pos="425"/>
          <w:tab w:val="left" w:pos="2268"/>
        </w:tabs>
        <w:ind w:left="426" w:hanging="426"/>
        <w:rPr>
          <w:rFonts w:cs="Arial"/>
        </w:rPr>
      </w:pPr>
      <w:r>
        <w:rPr>
          <w:rFonts w:cs="Arial"/>
        </w:rPr>
        <w:t>2.</w:t>
      </w:r>
      <w:r>
        <w:rPr>
          <w:rFonts w:cs="Arial"/>
        </w:rPr>
        <w:tab/>
        <w:t>das Auf- oder Einbringen von Baggergut unterhalb oder außerhalb einer durchwurzelbaren Bodenschicht im Deichbau,</w:t>
      </w:r>
    </w:p>
    <w:p>
      <w:pPr>
        <w:pStyle w:val="GesAbsatz"/>
        <w:tabs>
          <w:tab w:val="clear" w:pos="425"/>
          <w:tab w:val="left" w:pos="2268"/>
        </w:tabs>
        <w:ind w:left="426" w:hanging="426"/>
        <w:rPr>
          <w:rFonts w:cs="Arial"/>
        </w:rPr>
      </w:pPr>
      <w:r>
        <w:rPr>
          <w:rFonts w:cs="Arial"/>
        </w:rPr>
        <w:t>3.</w:t>
      </w:r>
      <w:r>
        <w:rPr>
          <w:rFonts w:cs="Arial"/>
        </w:rPr>
        <w:tab/>
        <w:t>das Auf- oder Einbringen von Materialien unterhalb oder außerhalb einer durchwurzelbaren Bodenschicht auf Halden oder in Absetzteichen des Bergbaus sowie die Herstellung einer durchwurzelbaren Bodenschicht auf Halden des Kalibergbaus, soweit auf der Halde nicht eine regelmäßige Nutzung durch Park- und Freizeitanlagen geplant ist,</w:t>
      </w:r>
    </w:p>
    <w:p>
      <w:pPr>
        <w:pStyle w:val="GesAbsatz"/>
        <w:tabs>
          <w:tab w:val="clear" w:pos="425"/>
          <w:tab w:val="left" w:pos="2268"/>
        </w:tabs>
        <w:ind w:left="426" w:hanging="426"/>
        <w:rPr>
          <w:rFonts w:cs="Arial"/>
        </w:rPr>
      </w:pPr>
      <w:r>
        <w:rPr>
          <w:rFonts w:cs="Arial"/>
        </w:rPr>
        <w:t>4.</w:t>
      </w:r>
      <w:r>
        <w:rPr>
          <w:rFonts w:cs="Arial"/>
        </w:rPr>
        <w:tab/>
        <w:t>das Einbringen von Materialien in bergbauliche Hohlräume gemäß der Versatzverordnung,</w:t>
      </w:r>
    </w:p>
    <w:p>
      <w:pPr>
        <w:pStyle w:val="GesAbsatz"/>
        <w:tabs>
          <w:tab w:val="clear" w:pos="425"/>
          <w:tab w:val="left" w:pos="2268"/>
        </w:tabs>
        <w:ind w:left="426" w:hanging="426"/>
        <w:rPr>
          <w:rFonts w:cs="Arial"/>
        </w:rPr>
      </w:pPr>
      <w:r>
        <w:rPr>
          <w:rFonts w:cs="Arial"/>
        </w:rPr>
        <w:t>5.</w:t>
      </w:r>
      <w:r>
        <w:rPr>
          <w:rFonts w:cs="Arial"/>
        </w:rPr>
        <w:tab/>
        <w:t>das Einbringen von Materialien in Anlagen des Bundes gemäß § 9a Absatz 3 des Atomgesetzes in der Fassung der Bekanntmachung vom 15. Juli 1985 (BGBl. I S. 1565), das zuletzt durch Artikel 3 des Gesetzes vom 12. Mai 2021 (BGBl. I S. 1087) geändert worden ist,</w:t>
      </w:r>
    </w:p>
    <w:p>
      <w:pPr>
        <w:pStyle w:val="GesAbsatz"/>
        <w:tabs>
          <w:tab w:val="clear" w:pos="425"/>
          <w:tab w:val="left" w:pos="2268"/>
        </w:tabs>
        <w:ind w:left="426" w:hanging="426"/>
        <w:rPr>
          <w:rFonts w:cs="Arial"/>
        </w:rPr>
      </w:pPr>
      <w:r>
        <w:rPr>
          <w:rFonts w:cs="Arial"/>
        </w:rPr>
        <w:t>6.</w:t>
      </w:r>
      <w:r>
        <w:rPr>
          <w:rFonts w:cs="Arial"/>
        </w:rPr>
        <w:tab/>
        <w:t>das Auf- oder Einbringen von Materialien nach den Vorschriften des Dünge- und Pflanzenschutzrechts.</w:t>
      </w:r>
    </w:p>
    <w:p>
      <w:pPr>
        <w:pStyle w:val="berschrift3"/>
      </w:pPr>
      <w:bookmarkStart w:id="4" w:name="_Toc128479821"/>
      <w:r>
        <w:t>§ 2</w:t>
      </w:r>
      <w:r>
        <w:br/>
        <w:t>Begriffsbestimmungen</w:t>
      </w:r>
      <w:bookmarkEnd w:id="4"/>
    </w:p>
    <w:p>
      <w:pPr>
        <w:pStyle w:val="GesAbsatz"/>
        <w:tabs>
          <w:tab w:val="clear" w:pos="425"/>
          <w:tab w:val="left" w:pos="2268"/>
        </w:tabs>
        <w:rPr>
          <w:rFonts w:cs="Arial"/>
        </w:rPr>
      </w:pPr>
      <w:r>
        <w:rPr>
          <w:rFonts w:cs="Arial"/>
        </w:rPr>
        <w:t>Für diese Verordnung gelten folgende Begriffsbestimmungen:</w:t>
      </w:r>
    </w:p>
    <w:p>
      <w:pPr>
        <w:pStyle w:val="GesAbsatz"/>
        <w:tabs>
          <w:tab w:val="clear" w:pos="425"/>
          <w:tab w:val="left" w:pos="2268"/>
        </w:tabs>
        <w:ind w:left="426" w:hanging="426"/>
        <w:rPr>
          <w:rFonts w:cs="Arial"/>
        </w:rPr>
      </w:pPr>
      <w:r>
        <w:rPr>
          <w:rFonts w:cs="Arial"/>
        </w:rPr>
        <w:t>1.</w:t>
      </w:r>
      <w:r>
        <w:rPr>
          <w:rFonts w:cs="Arial"/>
        </w:rPr>
        <w:tab/>
        <w:t>Bodenansprache: Beschreibung von Bodenhorizonten und -profilen sowie die bodenkundliche und sensorische Beurteilung von Bodenproben in dem Umfang, in dem er jeweils für den vorsorgenden Bodenschutz oder für die Gefahrenbeurteilung nach dieser Verordnung erforderlich ist;</w:t>
      </w:r>
    </w:p>
    <w:p>
      <w:pPr>
        <w:pStyle w:val="GesAbsatz"/>
        <w:tabs>
          <w:tab w:val="clear" w:pos="425"/>
          <w:tab w:val="left" w:pos="2268"/>
        </w:tabs>
        <w:ind w:left="426" w:hanging="426"/>
        <w:rPr>
          <w:rFonts w:cs="Arial"/>
        </w:rPr>
      </w:pPr>
      <w:r>
        <w:rPr>
          <w:rFonts w:cs="Arial"/>
        </w:rPr>
        <w:t>2.</w:t>
      </w:r>
      <w:r>
        <w:rPr>
          <w:rFonts w:cs="Arial"/>
        </w:rPr>
        <w:tab/>
        <w:t>Oberboden: oberer Teil des Mineralbodens, der einen der jeweiligen Bodenbildung entsprechenden Anteil an Humus und Bodenorganismen enthält und der sich meist durch dunklere Bodenfarbe vom Unterboden abhebt, in der Regel Ah-, Aa-, Al-, Ac- und Ap-Horizonte; die organischen O- und L-Horizonte zählen zum Oberboden im Sinne dieser Verordnung; Mutterboden im Sinne des § 202 Baugesetzbuch entspricht dem Oberboden;</w:t>
      </w:r>
    </w:p>
    <w:p>
      <w:pPr>
        <w:pStyle w:val="GesAbsatz"/>
        <w:tabs>
          <w:tab w:val="clear" w:pos="425"/>
          <w:tab w:val="left" w:pos="2268"/>
        </w:tabs>
        <w:ind w:left="426" w:hanging="426"/>
        <w:rPr>
          <w:rFonts w:cs="Arial"/>
        </w:rPr>
      </w:pPr>
      <w:r>
        <w:rPr>
          <w:rFonts w:cs="Arial"/>
        </w:rPr>
        <w:t>3.</w:t>
      </w:r>
      <w:r>
        <w:rPr>
          <w:rFonts w:cs="Arial"/>
        </w:rPr>
        <w:tab/>
        <w:t>Unterboden: Bereich zwischen Oberboden und Untergrund, der im Allgemeinen die B-Horizonte umfasst, je nach Bodentyp auch P-, T-, S-, G-, M-, und Yo-Horizonte;</w:t>
      </w:r>
    </w:p>
    <w:p>
      <w:pPr>
        <w:pStyle w:val="GesAbsatz"/>
        <w:tabs>
          <w:tab w:val="clear" w:pos="425"/>
          <w:tab w:val="left" w:pos="2268"/>
        </w:tabs>
        <w:ind w:left="426" w:hanging="426"/>
        <w:rPr>
          <w:rFonts w:cs="Arial"/>
        </w:rPr>
      </w:pPr>
      <w:r>
        <w:rPr>
          <w:rFonts w:cs="Arial"/>
        </w:rPr>
        <w:t>4.</w:t>
      </w:r>
      <w:r>
        <w:rPr>
          <w:rFonts w:cs="Arial"/>
        </w:rPr>
        <w:tab/>
        <w:t>Untergrund: Bereich unterhalb des Unterbodens mit durch Verwitterung und Bodenbildung nicht beeinflusstem Gestein, einschließlich Lockersedimenten, der in der Regel das Ausgangsgestein der Bodenbildung darstellt; in der Regel C-Horizonte; auch H-, G- und S-Horizonte, wenn bei Stau- und Grundwasserböden sowie Mooren keine C-Horizonte erkennbar sind und mehr als die Hälfte der Horizontmächtigkeit tiefer als 120 Zentimeter unterhalb der Erdoberfläche liegt;</w:t>
      </w:r>
    </w:p>
    <w:p>
      <w:pPr>
        <w:pStyle w:val="GesAbsatz"/>
        <w:tabs>
          <w:tab w:val="clear" w:pos="425"/>
          <w:tab w:val="left" w:pos="2268"/>
        </w:tabs>
        <w:ind w:left="426" w:hanging="426"/>
        <w:rPr>
          <w:rFonts w:cs="Arial"/>
        </w:rPr>
      </w:pPr>
      <w:r>
        <w:rPr>
          <w:rFonts w:cs="Arial"/>
        </w:rPr>
        <w:t>5.</w:t>
      </w:r>
      <w:r>
        <w:rPr>
          <w:rFonts w:cs="Arial"/>
        </w:rPr>
        <w:tab/>
        <w:t>durchwurzelbare Bodenschicht: Bodenschicht, die von den Pflanzenwurzeln in Abhängigkeit von den natürlichen Standortbedingungen durchdrungen werden kann; sie schließt in der Regel den Oberboden und den Unterboden ein;</w:t>
      </w:r>
    </w:p>
    <w:p>
      <w:pPr>
        <w:pStyle w:val="GesAbsatz"/>
        <w:tabs>
          <w:tab w:val="clear" w:pos="425"/>
          <w:tab w:val="left" w:pos="2268"/>
        </w:tabs>
        <w:ind w:left="426" w:hanging="426"/>
        <w:rPr>
          <w:rFonts w:cs="Arial"/>
        </w:rPr>
      </w:pPr>
      <w:r>
        <w:rPr>
          <w:rFonts w:cs="Arial"/>
        </w:rPr>
        <w:t>6.</w:t>
      </w:r>
      <w:r>
        <w:rPr>
          <w:rFonts w:cs="Arial"/>
        </w:rPr>
        <w:tab/>
        <w:t>Bodenmaterial: Material aus dem Oberboden, dem Unterboden oder dem Untergrund, das ausgehoben, abgeschoben, abgetragen oder in einer Aufbereitungsanlage behandelt wird oder wurde;</w:t>
      </w:r>
    </w:p>
    <w:p>
      <w:pPr>
        <w:pStyle w:val="GesAbsatz"/>
        <w:tabs>
          <w:tab w:val="clear" w:pos="425"/>
          <w:tab w:val="left" w:pos="2268"/>
        </w:tabs>
        <w:ind w:left="426" w:hanging="426"/>
        <w:rPr>
          <w:rFonts w:cs="Arial"/>
        </w:rPr>
      </w:pPr>
      <w:r>
        <w:rPr>
          <w:rFonts w:cs="Arial"/>
        </w:rPr>
        <w:lastRenderedPageBreak/>
        <w:t>7.</w:t>
      </w:r>
      <w:r>
        <w:rPr>
          <w:rFonts w:cs="Arial"/>
        </w:rPr>
        <w:tab/>
        <w:t>Baggergut: Material, das im Rahmen von Unterhaltungs-, Neu- und Ausbaumaßnahmen oder bei Maßnahmen der Errichtung, Unterhaltung oder Stilllegung von Anlagen in, an, über und unter oberirdischen Gewässern entnommen wurde; Baggergut kann bestehen aus Sedimenten und Material aus subhydrischen Böden der Gewässersohle, aus dem Oberboden, dem Unterboden oder dem Untergrund im unmittelbaren Umfeld des Gewässerbettes oder aus Material aus Oberböden im Ufer- und Überschwemmungsbereich des Gewässers;</w:t>
      </w:r>
    </w:p>
    <w:p>
      <w:pPr>
        <w:pStyle w:val="GesAbsatz"/>
        <w:tabs>
          <w:tab w:val="clear" w:pos="425"/>
          <w:tab w:val="left" w:pos="2268"/>
        </w:tabs>
        <w:ind w:left="426" w:hanging="426"/>
        <w:rPr>
          <w:rFonts w:cs="Arial"/>
        </w:rPr>
      </w:pPr>
      <w:r>
        <w:rPr>
          <w:rFonts w:cs="Arial"/>
        </w:rPr>
        <w:t>8.</w:t>
      </w:r>
      <w:r>
        <w:rPr>
          <w:rFonts w:cs="Arial"/>
        </w:rPr>
        <w:tab/>
        <w:t>mineralische Fremdbestandteile: mineralische Bestandteile im Bodenmaterial oder im Baggergut, die keine natürlichen Bodenausgangssubstrate sind, insbesondere Beton, Ziegel, Keramik, Bauschutt, Straßenaufbruch und Schlacke;</w:t>
      </w:r>
    </w:p>
    <w:p>
      <w:pPr>
        <w:pStyle w:val="GesAbsatz"/>
        <w:tabs>
          <w:tab w:val="clear" w:pos="425"/>
          <w:tab w:val="left" w:pos="2268"/>
        </w:tabs>
        <w:ind w:left="426" w:hanging="426"/>
        <w:rPr>
          <w:rFonts w:cs="Arial"/>
        </w:rPr>
      </w:pPr>
      <w:r>
        <w:rPr>
          <w:rFonts w:cs="Arial"/>
        </w:rPr>
        <w:t>9.</w:t>
      </w:r>
      <w:r>
        <w:rPr>
          <w:rFonts w:cs="Arial"/>
        </w:rPr>
        <w:tab/>
        <w:t>Störstoffe: in der Regel Gegenstände im Bodenmaterial oder im Baggergut, die deren Verwertungseignung nachteilig beeinflussen können, insbesondere behandeltes Holz, Kunststoffe, Glas und Metallteile;</w:t>
      </w:r>
    </w:p>
    <w:p>
      <w:pPr>
        <w:pStyle w:val="GesAbsatz"/>
        <w:tabs>
          <w:tab w:val="clear" w:pos="425"/>
          <w:tab w:val="left" w:pos="2268"/>
        </w:tabs>
        <w:ind w:left="426" w:hanging="426"/>
        <w:rPr>
          <w:rFonts w:cs="Arial"/>
        </w:rPr>
      </w:pPr>
      <w:r>
        <w:rPr>
          <w:rFonts w:cs="Arial"/>
        </w:rPr>
        <w:t>10.</w:t>
      </w:r>
      <w:r>
        <w:rPr>
          <w:rFonts w:cs="Arial"/>
        </w:rPr>
        <w:tab/>
        <w:t>Erosionsfläche: Fläche, von der Bodenmaterial durch Wind oder Wasser abgetragen wird;</w:t>
      </w:r>
    </w:p>
    <w:p>
      <w:pPr>
        <w:pStyle w:val="GesAbsatz"/>
        <w:tabs>
          <w:tab w:val="clear" w:pos="425"/>
          <w:tab w:val="left" w:pos="2268"/>
        </w:tabs>
        <w:ind w:left="426" w:hanging="426"/>
        <w:rPr>
          <w:rFonts w:cs="Arial"/>
        </w:rPr>
      </w:pPr>
      <w:r>
        <w:rPr>
          <w:rFonts w:cs="Arial"/>
        </w:rPr>
        <w:t>11.</w:t>
      </w:r>
      <w:r>
        <w:rPr>
          <w:rFonts w:cs="Arial"/>
        </w:rPr>
        <w:tab/>
        <w:t>Schadstoffe: Stoffe und Stoffgemische, die auf Grund ihrer Gesundheitsschädlichkeit, Ökotoxizität oder anderer Eigenschaften geeignet sind, in Abhängigkeit von ihren Gehalten oder Konzentrationen unter Berücksichtigung ihrer Bioverfügbarkeit und Langlebigkeit, schädliche Bodenveränderungen oder sonstige Gefahren herbeizuführen;</w:t>
      </w:r>
    </w:p>
    <w:p>
      <w:pPr>
        <w:pStyle w:val="GesAbsatz"/>
        <w:tabs>
          <w:tab w:val="clear" w:pos="425"/>
          <w:tab w:val="left" w:pos="2268"/>
        </w:tabs>
        <w:ind w:left="426" w:hanging="426"/>
        <w:rPr>
          <w:rFonts w:cs="Arial"/>
        </w:rPr>
      </w:pPr>
      <w:r>
        <w:rPr>
          <w:rFonts w:cs="Arial"/>
        </w:rPr>
        <w:t>12.</w:t>
      </w:r>
      <w:r>
        <w:rPr>
          <w:rFonts w:cs="Arial"/>
        </w:rPr>
        <w:tab/>
        <w:t>Expositionsbedingungen: durch örtliche Umstände und die Grundstücksnutzung im Einzelfall geprägte Art und Weise, in der Schutzgüter der Wirkung von Schadstoffen oder physikalischen Einwirkungen ausgesetzt sein können;</w:t>
      </w:r>
    </w:p>
    <w:p>
      <w:pPr>
        <w:pStyle w:val="GesAbsatz"/>
        <w:tabs>
          <w:tab w:val="clear" w:pos="425"/>
          <w:tab w:val="left" w:pos="2268"/>
        </w:tabs>
        <w:ind w:left="426" w:hanging="426"/>
        <w:rPr>
          <w:rFonts w:cs="Arial"/>
        </w:rPr>
      </w:pPr>
      <w:r>
        <w:rPr>
          <w:rFonts w:cs="Arial"/>
        </w:rPr>
        <w:t>13.</w:t>
      </w:r>
      <w:r>
        <w:rPr>
          <w:rFonts w:cs="Arial"/>
        </w:rPr>
        <w:tab/>
        <w:t>Wirkungspfad: Weg eines Schadstoffes von der Schadstoffquelle bis zu dem Ort einer möglichen Wirkung auf ein Schutzgut;</w:t>
      </w:r>
    </w:p>
    <w:p>
      <w:pPr>
        <w:pStyle w:val="GesAbsatz"/>
        <w:tabs>
          <w:tab w:val="clear" w:pos="425"/>
          <w:tab w:val="left" w:pos="2268"/>
        </w:tabs>
        <w:ind w:left="426" w:hanging="426"/>
        <w:rPr>
          <w:rFonts w:cs="Arial"/>
        </w:rPr>
      </w:pPr>
      <w:r>
        <w:rPr>
          <w:rFonts w:cs="Arial"/>
        </w:rPr>
        <w:t>14.</w:t>
      </w:r>
      <w:r>
        <w:rPr>
          <w:rFonts w:cs="Arial"/>
        </w:rPr>
        <w:tab/>
        <w:t>Einwirkungsbereich: Bereich, in dem von einem Grundstück im Sinne des § 2 Absatz 4 bis 6 des Bundes-Bodenschutzgesetzes oder von einem schädlich veränderten Boden im Sinne des § 2 Absatz 3 des Bundes-Bodenschutzgesetzes Einwirkungen auf Schutzgüter zu erwarten sind oder in dem durch Einwirkungen auf den Boden die Besorgnis des Entstehens schädlicher Bodenveränderungen hervorgerufen wird;</w:t>
      </w:r>
    </w:p>
    <w:p>
      <w:pPr>
        <w:pStyle w:val="GesAbsatz"/>
        <w:tabs>
          <w:tab w:val="clear" w:pos="425"/>
          <w:tab w:val="left" w:pos="2268"/>
        </w:tabs>
        <w:ind w:left="426" w:hanging="426"/>
        <w:rPr>
          <w:rFonts w:cs="Arial"/>
        </w:rPr>
      </w:pPr>
      <w:r>
        <w:rPr>
          <w:rFonts w:cs="Arial"/>
        </w:rPr>
        <w:t>15.</w:t>
      </w:r>
      <w:r>
        <w:rPr>
          <w:rFonts w:cs="Arial"/>
        </w:rPr>
        <w:tab/>
        <w:t>Sickerwasserprognose: Abschätzung der von einer Verdachtsfläche, altlastverdächtigen Fläche, schädlichen Bodenveränderung oder Altlast ausgehenden oder zu erwartenden Schadstoffeinträge über das Sickerwasser in das Grundwasser, unter Berücksichtigung von Konzentrationen und Frachten und bezogen auf den Ort der Beurteilung;</w:t>
      </w:r>
    </w:p>
    <w:p>
      <w:pPr>
        <w:pStyle w:val="GesAbsatz"/>
        <w:tabs>
          <w:tab w:val="clear" w:pos="425"/>
          <w:tab w:val="left" w:pos="2268"/>
        </w:tabs>
        <w:ind w:left="426" w:hanging="426"/>
        <w:rPr>
          <w:rFonts w:cs="Arial"/>
        </w:rPr>
      </w:pPr>
      <w:r>
        <w:rPr>
          <w:rFonts w:cs="Arial"/>
        </w:rPr>
        <w:t>16.</w:t>
      </w:r>
      <w:r>
        <w:rPr>
          <w:rFonts w:cs="Arial"/>
        </w:rPr>
        <w:tab/>
        <w:t>Ort der Beurteilung: für den Wirkungspfad Boden- Grundwasser der Übergangsbereich von der wasserungesättigten zur wassergesättigten Bodenzone;</w:t>
      </w:r>
    </w:p>
    <w:p>
      <w:pPr>
        <w:pStyle w:val="GesAbsatz"/>
        <w:tabs>
          <w:tab w:val="clear" w:pos="425"/>
          <w:tab w:val="left" w:pos="2268"/>
        </w:tabs>
        <w:ind w:left="426" w:hanging="426"/>
        <w:rPr>
          <w:rFonts w:cs="Arial"/>
        </w:rPr>
      </w:pPr>
      <w:r>
        <w:rPr>
          <w:rFonts w:cs="Arial"/>
        </w:rPr>
        <w:t>17.</w:t>
      </w:r>
      <w:r>
        <w:rPr>
          <w:rFonts w:cs="Arial"/>
        </w:rPr>
        <w:tab/>
        <w:t>natürliche Schadstoffminderung: Ergebnis biologischer, chemischer oder physikalischer Prozesse, die ohne menschliches Eingreifen zu einer Verringerung der Masse, des Volumens, der Fracht, der Konzentration, der Toxizität oder der Mobilität eines Schadstoffes im Boden oder im Grundwasser führen;</w:t>
      </w:r>
    </w:p>
    <w:p>
      <w:pPr>
        <w:pStyle w:val="GesAbsatz"/>
        <w:tabs>
          <w:tab w:val="clear" w:pos="425"/>
          <w:tab w:val="left" w:pos="2268"/>
        </w:tabs>
        <w:ind w:left="426" w:hanging="426"/>
        <w:rPr>
          <w:rFonts w:cs="Arial"/>
        </w:rPr>
      </w:pPr>
      <w:r>
        <w:rPr>
          <w:rFonts w:cs="Arial"/>
        </w:rPr>
        <w:t>18.</w:t>
      </w:r>
      <w:r>
        <w:rPr>
          <w:rFonts w:cs="Arial"/>
        </w:rPr>
        <w:tab/>
        <w:t>Kinderspielflächen: Aufenthaltsbereiche für Kinder, die regelmäßig zum Spielen genutzt werden, ohne den Spielsand von Sandkästen;</w:t>
      </w:r>
    </w:p>
    <w:p>
      <w:pPr>
        <w:pStyle w:val="GesAbsatz"/>
        <w:tabs>
          <w:tab w:val="clear" w:pos="425"/>
          <w:tab w:val="left" w:pos="2268"/>
        </w:tabs>
        <w:ind w:left="426" w:hanging="426"/>
        <w:rPr>
          <w:rFonts w:cs="Arial"/>
        </w:rPr>
      </w:pPr>
      <w:r>
        <w:rPr>
          <w:rFonts w:cs="Arial"/>
        </w:rPr>
        <w:t>19.</w:t>
      </w:r>
      <w:r>
        <w:rPr>
          <w:rFonts w:cs="Arial"/>
        </w:rPr>
        <w:tab/>
        <w:t>Wohngebiete: dem Wohnen dienende Gebiete, einschließlich Hausgärten und sonstiger Gärten gleichartiger Nutzung, auch wenn sie nicht im Sinne der Baunutzungsverordnung als Wohngebiet planungsrechtlich dargestellt oder festgesetzt sind, ausgenommen Park- und Freizeitanlagen, Kinderspielflächen sowie befestigte Verkehrsflächen;</w:t>
      </w:r>
    </w:p>
    <w:p>
      <w:pPr>
        <w:pStyle w:val="GesAbsatz"/>
        <w:tabs>
          <w:tab w:val="clear" w:pos="425"/>
          <w:tab w:val="left" w:pos="2268"/>
        </w:tabs>
        <w:ind w:left="426" w:hanging="426"/>
        <w:rPr>
          <w:rFonts w:cs="Arial"/>
        </w:rPr>
      </w:pPr>
      <w:r>
        <w:rPr>
          <w:rFonts w:cs="Arial"/>
        </w:rPr>
        <w:t>20.</w:t>
      </w:r>
      <w:r>
        <w:rPr>
          <w:rFonts w:cs="Arial"/>
        </w:rPr>
        <w:tab/>
        <w:t>Park- und Freizeitanlagen:</w:t>
      </w:r>
    </w:p>
    <w:p>
      <w:pPr>
        <w:pStyle w:val="GesAbsatz"/>
        <w:tabs>
          <w:tab w:val="clear" w:pos="425"/>
          <w:tab w:val="left" w:pos="2268"/>
        </w:tabs>
        <w:ind w:left="851" w:hanging="425"/>
        <w:rPr>
          <w:rFonts w:cs="Arial"/>
        </w:rPr>
      </w:pPr>
      <w:r>
        <w:rPr>
          <w:rFonts w:cs="Arial"/>
        </w:rPr>
        <w:t>a)</w:t>
      </w:r>
      <w:r>
        <w:rPr>
          <w:rFonts w:cs="Arial"/>
        </w:rPr>
        <w:tab/>
        <w:t>Anlagen für soziale, gesundheitliche oder sportliche Zwecke, insbesondere öffentliche und private Grünanlagen, einschließlich Bolzplätzen und Sportflächen,</w:t>
      </w:r>
    </w:p>
    <w:p>
      <w:pPr>
        <w:pStyle w:val="GesAbsatz"/>
        <w:tabs>
          <w:tab w:val="clear" w:pos="425"/>
          <w:tab w:val="left" w:pos="2268"/>
        </w:tabs>
        <w:ind w:left="851" w:hanging="425"/>
        <w:rPr>
          <w:rFonts w:cs="Arial"/>
        </w:rPr>
      </w:pPr>
      <w:r>
        <w:rPr>
          <w:rFonts w:cs="Arial"/>
        </w:rPr>
        <w:t>b)</w:t>
      </w:r>
      <w:r>
        <w:rPr>
          <w:rFonts w:cs="Arial"/>
        </w:rPr>
        <w:tab/>
        <w:t>unbefestigte Flächen, die regelmäßig zugänglich sind und vergleichbar zu den in Buchstabe a genannten Anlagen genutzt werden;</w:t>
      </w:r>
    </w:p>
    <w:p>
      <w:pPr>
        <w:pStyle w:val="GesAbsatz"/>
        <w:tabs>
          <w:tab w:val="clear" w:pos="425"/>
          <w:tab w:val="left" w:pos="2268"/>
        </w:tabs>
        <w:ind w:left="426" w:hanging="426"/>
        <w:rPr>
          <w:rFonts w:cs="Arial"/>
        </w:rPr>
      </w:pPr>
      <w:r>
        <w:rPr>
          <w:rFonts w:cs="Arial"/>
        </w:rPr>
        <w:t>21.</w:t>
      </w:r>
      <w:r>
        <w:rPr>
          <w:rFonts w:cs="Arial"/>
        </w:rPr>
        <w:tab/>
        <w:t>Industrie- und Gewerbegrundstücke: unbefestigte Flächen von Arbeits- und Produktionsstätten, die nur während der Arbeitszeit genutzt werden;</w:t>
      </w:r>
    </w:p>
    <w:p>
      <w:pPr>
        <w:pStyle w:val="GesAbsatz"/>
        <w:tabs>
          <w:tab w:val="clear" w:pos="425"/>
          <w:tab w:val="left" w:pos="2268"/>
        </w:tabs>
        <w:ind w:left="426" w:hanging="426"/>
        <w:rPr>
          <w:rFonts w:cs="Arial"/>
        </w:rPr>
      </w:pPr>
      <w:r>
        <w:rPr>
          <w:rFonts w:cs="Arial"/>
        </w:rPr>
        <w:t>22.</w:t>
      </w:r>
      <w:r>
        <w:rPr>
          <w:rFonts w:cs="Arial"/>
        </w:rPr>
        <w:tab/>
        <w:t>Ackerflächen: Flächen zum Anbau von Ackerkulturen, einschließlich Gemüse und Feldfutter, hierzu zählen auch erwerbsgärtnerisch genutzte Flächen;</w:t>
      </w:r>
    </w:p>
    <w:p>
      <w:pPr>
        <w:pStyle w:val="GesAbsatz"/>
        <w:tabs>
          <w:tab w:val="clear" w:pos="425"/>
          <w:tab w:val="left" w:pos="2268"/>
        </w:tabs>
        <w:ind w:left="426" w:hanging="426"/>
        <w:rPr>
          <w:rFonts w:cs="Arial"/>
        </w:rPr>
      </w:pPr>
      <w:r>
        <w:rPr>
          <w:rFonts w:cs="Arial"/>
        </w:rPr>
        <w:t>23.</w:t>
      </w:r>
      <w:r>
        <w:rPr>
          <w:rFonts w:cs="Arial"/>
        </w:rPr>
        <w:tab/>
        <w:t>Nutzgärten: Hausgarten-, Kleingarten- und sonstige Gartenflächen, die zum Anbau von Nahrungspflanzen genutzt werden;</w:t>
      </w:r>
    </w:p>
    <w:p>
      <w:pPr>
        <w:pStyle w:val="GesAbsatz"/>
        <w:tabs>
          <w:tab w:val="clear" w:pos="425"/>
          <w:tab w:val="left" w:pos="2268"/>
        </w:tabs>
        <w:ind w:left="426" w:hanging="426"/>
        <w:rPr>
          <w:rFonts w:cs="Arial"/>
        </w:rPr>
      </w:pPr>
      <w:r>
        <w:rPr>
          <w:rFonts w:cs="Arial"/>
        </w:rPr>
        <w:t>24.</w:t>
      </w:r>
      <w:r>
        <w:rPr>
          <w:rFonts w:cs="Arial"/>
        </w:rPr>
        <w:tab/>
        <w:t>Grünlandflächen: landwirtschaftlich genutzte Flächen, auf denen Gräser oder andere krautige Pflanzen eingesät sind oder natürlich wachsen und die beweidet oder zur Futtergewinnung genutzt werden.</w:t>
      </w:r>
    </w:p>
    <w:p>
      <w:pPr>
        <w:pStyle w:val="berschrift2"/>
      </w:pPr>
      <w:bookmarkStart w:id="5" w:name="_Toc128479822"/>
      <w:r>
        <w:lastRenderedPageBreak/>
        <w:t>Abschnitt 2</w:t>
      </w:r>
      <w:r>
        <w:br/>
        <w:t>Vorsorge gegen das Entstehen schädlicher Bodenveränderungen</w:t>
      </w:r>
      <w:bookmarkEnd w:id="5"/>
    </w:p>
    <w:p>
      <w:pPr>
        <w:pStyle w:val="berschrift3"/>
      </w:pPr>
      <w:bookmarkStart w:id="6" w:name="_Toc128479823"/>
      <w:r>
        <w:t>§ 3</w:t>
      </w:r>
      <w:r>
        <w:br/>
        <w:t>Besorgnis schädlicher Bodenveränderungen</w:t>
      </w:r>
      <w:bookmarkEnd w:id="6"/>
    </w:p>
    <w:p>
      <w:pPr>
        <w:pStyle w:val="GesAbsatz"/>
        <w:tabs>
          <w:tab w:val="clear" w:pos="425"/>
          <w:tab w:val="left" w:pos="2268"/>
        </w:tabs>
        <w:rPr>
          <w:rFonts w:cs="Arial"/>
        </w:rPr>
      </w:pPr>
      <w:r>
        <w:rPr>
          <w:rFonts w:cs="Arial"/>
        </w:rPr>
        <w:t>(1) Das Entstehen schädlicher Bodenveränderungen ist in der Regel zu besorgen, wenn</w:t>
      </w:r>
    </w:p>
    <w:p>
      <w:pPr>
        <w:pStyle w:val="GesAbsatz"/>
        <w:tabs>
          <w:tab w:val="clear" w:pos="425"/>
          <w:tab w:val="left" w:pos="2268"/>
        </w:tabs>
        <w:ind w:left="426" w:hanging="426"/>
        <w:rPr>
          <w:rFonts w:cs="Arial"/>
        </w:rPr>
      </w:pPr>
      <w:r>
        <w:rPr>
          <w:rFonts w:cs="Arial"/>
        </w:rPr>
        <w:t>1.</w:t>
      </w:r>
      <w:r>
        <w:rPr>
          <w:rFonts w:cs="Arial"/>
        </w:rPr>
        <w:tab/>
        <w:t>Böden Schadstoffgehalte aufweisen, die die Vorsorgewerte nach Anlage 1 Tabelle 1 oder 2 überschreiten,</w:t>
      </w:r>
    </w:p>
    <w:p>
      <w:pPr>
        <w:pStyle w:val="GesAbsatz"/>
        <w:tabs>
          <w:tab w:val="clear" w:pos="425"/>
          <w:tab w:val="left" w:pos="2268"/>
        </w:tabs>
        <w:ind w:left="426" w:hanging="426"/>
        <w:rPr>
          <w:rFonts w:cs="Arial"/>
        </w:rPr>
      </w:pPr>
      <w:r>
        <w:rPr>
          <w:rFonts w:cs="Arial"/>
        </w:rPr>
        <w:t>2.</w:t>
      </w:r>
      <w:r>
        <w:rPr>
          <w:rFonts w:cs="Arial"/>
        </w:rPr>
        <w:tab/>
        <w:t>eine erhebliche Anreicherung von anderen Schadstoffen in Böden erfolgt, die auf Grund ihrer krebserzeugenden, erbgutverändernden, fortpflanzungsgefährdenden oder toxischen Eigenschaften in besonderem Maße geeignet sind, schädliche Bodenveränderungen herbeizuführen,</w:t>
      </w:r>
    </w:p>
    <w:p>
      <w:pPr>
        <w:pStyle w:val="GesAbsatz"/>
        <w:tabs>
          <w:tab w:val="clear" w:pos="425"/>
          <w:tab w:val="left" w:pos="2268"/>
        </w:tabs>
        <w:ind w:left="426" w:hanging="426"/>
        <w:rPr>
          <w:rFonts w:cs="Arial"/>
        </w:rPr>
      </w:pPr>
      <w:r>
        <w:rPr>
          <w:rFonts w:cs="Arial"/>
        </w:rPr>
        <w:t>3.</w:t>
      </w:r>
      <w:r>
        <w:rPr>
          <w:rFonts w:cs="Arial"/>
        </w:rPr>
        <w:tab/>
        <w:t>physikalische Einwirkungen den Boden verändern und dadurch die natürlichen Funktionen sowie die Nutzungsfunktion als Standort für die land- oder forstwirtschaftliche Nutzung erheblich beeinträchtigt werden können, oder</w:t>
      </w:r>
    </w:p>
    <w:p>
      <w:pPr>
        <w:pStyle w:val="GesAbsatz"/>
        <w:tabs>
          <w:tab w:val="clear" w:pos="425"/>
          <w:tab w:val="left" w:pos="2268"/>
        </w:tabs>
        <w:ind w:left="426" w:hanging="426"/>
        <w:rPr>
          <w:rFonts w:cs="Arial"/>
        </w:rPr>
      </w:pPr>
      <w:r>
        <w:rPr>
          <w:rFonts w:cs="Arial"/>
        </w:rPr>
        <w:t>4.</w:t>
      </w:r>
      <w:r>
        <w:rPr>
          <w:rFonts w:cs="Arial"/>
        </w:rPr>
        <w:tab/>
        <w:t>Stoffeinträge den Bodenzustand irreversibel verändern und dadurch die Bodenfunktionen erheblich beeinträchtigt werden können.</w:t>
      </w:r>
    </w:p>
    <w:p>
      <w:pPr>
        <w:pStyle w:val="GesAbsatz"/>
        <w:tabs>
          <w:tab w:val="clear" w:pos="425"/>
          <w:tab w:val="left" w:pos="2268"/>
        </w:tabs>
        <w:rPr>
          <w:rFonts w:cs="Arial"/>
        </w:rPr>
      </w:pPr>
      <w:r>
        <w:rPr>
          <w:rFonts w:cs="Arial"/>
        </w:rPr>
        <w:t>(2) Bei Böden mit naturbedingt oder großflächig siedlungsbedingt erhöhten Schadstoffgehalten besteht bei Überschreiten von Vorsorgewerten nach Anlage 1 Tabelle 1 oder 2 die Besorgnis des Entstehens schädlicher Bodenveränderungen nur dann, wenn eine erhebliche Freisetzung von Schadstoffen oder zusätzliche Einträge durch die nach § 7 Satz 1 des Bundes-Bodenschutzgesetzes Pflichtigen nachteilige Auswirkungen auf die Bodenfunktionen erwarten lassen.</w:t>
      </w:r>
    </w:p>
    <w:p>
      <w:pPr>
        <w:pStyle w:val="berschrift3"/>
      </w:pPr>
      <w:bookmarkStart w:id="7" w:name="_Toc128479824"/>
      <w:r>
        <w:t>§ 4</w:t>
      </w:r>
      <w:r>
        <w:br/>
        <w:t>Vorsorgeanforderungen</w:t>
      </w:r>
      <w:bookmarkEnd w:id="7"/>
    </w:p>
    <w:p>
      <w:pPr>
        <w:pStyle w:val="GesAbsatz"/>
        <w:tabs>
          <w:tab w:val="clear" w:pos="425"/>
          <w:tab w:val="left" w:pos="2268"/>
        </w:tabs>
        <w:rPr>
          <w:rFonts w:cs="Arial"/>
        </w:rPr>
      </w:pPr>
      <w:r>
        <w:rPr>
          <w:rFonts w:cs="Arial"/>
        </w:rPr>
        <w:t>(1) In den Fällen des § 3 Absatz 1 Satz 1 Nummer 1, auch unter Berücksichtigung von Absatz 2, haben die nach § 7 Satz 1 des Bundes-Bodenschutzgesetzes Pflichtigen Vorkehrungen zu treffen, um weitere durch sie auf dem Grundstück und in dessen Einwirkungsbereich verursachte Schadstoffeinträge zu vermeiden oder wirksam zu vermindern, soweit dies wegen der räumlichen, langfristigen oder komplexen Auswirkungen geboten und auch im Hinblick auf den Zweck der Nutzung des Grundstücks verhältnismäßig ist. Dazu gehören auch technische Vorkehrungen an Anlagen oder Verfahren sowie Maßnahmen zur Untersuchung und Überwachung von Böden.</w:t>
      </w:r>
    </w:p>
    <w:p>
      <w:pPr>
        <w:pStyle w:val="GesAbsatz"/>
        <w:tabs>
          <w:tab w:val="clear" w:pos="425"/>
          <w:tab w:val="left" w:pos="2268"/>
        </w:tabs>
        <w:rPr>
          <w:rFonts w:cs="Arial"/>
        </w:rPr>
      </w:pPr>
      <w:r>
        <w:rPr>
          <w:rFonts w:cs="Arial"/>
        </w:rPr>
        <w:t>(2) Einträge von Schadstoffen im Sinne des § 3 Absatz 1 Satz 1 Nummer 2, für die keine Vorsorgewerte festgesetzt sind, sind, soweit technisch möglich und unabhängig vom Zweck der Nutzung des Grundstückes wirtschaftlich vertretbar, zu begrenzen. Dies gilt insbesondere für die Stoffe, die nach der Gefahrstoffverordnung in der Fassung der Bekanntmachung vom 26. November 2010 (BGBl. I S. 2010, 1643, 1644), die zuletzt durch Artikel 148 des Gesetzes vom 29. März 2017 (BGBl. I S. 626) geändert worden ist, als krebserzeugend, erbgutverändernd oder fortpflanzungsgefährdend eingestuft sind. Im Übrigen gelten die Maßgaben von Absatz 1.</w:t>
      </w:r>
    </w:p>
    <w:p>
      <w:pPr>
        <w:pStyle w:val="GesAbsatz"/>
        <w:tabs>
          <w:tab w:val="clear" w:pos="425"/>
          <w:tab w:val="left" w:pos="2268"/>
        </w:tabs>
        <w:rPr>
          <w:rFonts w:cs="Arial"/>
        </w:rPr>
      </w:pPr>
      <w:r>
        <w:rPr>
          <w:rFonts w:cs="Arial"/>
        </w:rPr>
        <w:t>(3) In den Fällen des § 3 Absatz 1 Satz 1 Nummer 3 haben die nach § 7 Satz 1 des Bundes-Bodenschutzgesetzes Pflichtigen Vorkehrungen zu treffen, um die physikalischen Einwirkungen zu vermeiden oder wirksam zu vermindern, soweit dies auch im Hinblick auf den Zweck der Nutzung des Grundstücks verhältnismäßig ist. Auf Verlangen der zuständigen Behörde sind Untersuchungen der physikalischen Bodeneigenschaften am Standort durchzuführen. Satz 2 gilt nicht für unvermeidbare Einwirkungen bei Einhaltung des § 17 Absatz 1 des Bundes-Bodenschutzgesetzes.</w:t>
      </w:r>
    </w:p>
    <w:p>
      <w:pPr>
        <w:pStyle w:val="GesAbsatz"/>
        <w:tabs>
          <w:tab w:val="clear" w:pos="425"/>
          <w:tab w:val="left" w:pos="2268"/>
        </w:tabs>
        <w:rPr>
          <w:rFonts w:cs="Arial"/>
        </w:rPr>
      </w:pPr>
      <w:r>
        <w:rPr>
          <w:rFonts w:cs="Arial"/>
        </w:rPr>
        <w:t>(4) Zur Einhaltung der sich aus den Absätzen 1, 2 und 3 ergebenden Anforderungen kann die zuständige Behörde nach § 10 Absatz 1 Satz 1 des Bundes-Bodenschutzgesetzes die erforderlichen Maßnahmen treffen.</w:t>
      </w:r>
    </w:p>
    <w:p>
      <w:pPr>
        <w:pStyle w:val="GesAbsatz"/>
        <w:tabs>
          <w:tab w:val="clear" w:pos="425"/>
          <w:tab w:val="left" w:pos="2268"/>
        </w:tabs>
        <w:rPr>
          <w:rFonts w:cs="Arial"/>
        </w:rPr>
      </w:pPr>
      <w:r>
        <w:rPr>
          <w:rFonts w:cs="Arial"/>
        </w:rPr>
        <w:t>(5) Bei Vorhaben, bei denen auf einer Fläche von mehr als 3 000 Quadratmetern Materialien auf oder in die durchwurzelbare Bodenschicht auf- oder eingebracht werden, Bodenmaterial aus dem Ober- oder Unterboden ausgehoben oder abgeschoben wird oder der Ober- und Unterboden dauerhaft oder vorübergehend vollständig oder teilweise verdichtet wird, kann die für die Zulassung des Vorhabens zuständige Behörde im Benehmen mit der für den Bodenschutz zuständigen Behörde von dem nach § 7 Satz 1 des Bundes-Bodenschutzgesetzes Pflichtigen die Beauftragung einer bodenkundlichen Baubegleitung nach DIN 19639 im Einzelfall verlangen. Satz 1 gilt entsprechend, wenn das Vorhaben einer Anzeige an eine Behörde bedarf oder von einer Behörde durchgeführt wird.</w:t>
      </w:r>
    </w:p>
    <w:p>
      <w:pPr>
        <w:pStyle w:val="berschrift3"/>
      </w:pPr>
      <w:bookmarkStart w:id="8" w:name="_Toc128479825"/>
      <w:r>
        <w:lastRenderedPageBreak/>
        <w:t>§ 5</w:t>
      </w:r>
      <w:r>
        <w:br/>
        <w:t>Zulässige Zusatzbelastung</w:t>
      </w:r>
      <w:bookmarkEnd w:id="8"/>
    </w:p>
    <w:p>
      <w:pPr>
        <w:pStyle w:val="GesAbsatz"/>
        <w:tabs>
          <w:tab w:val="clear" w:pos="425"/>
          <w:tab w:val="left" w:pos="2268"/>
        </w:tabs>
        <w:rPr>
          <w:rFonts w:cs="Arial"/>
        </w:rPr>
      </w:pPr>
      <w:r>
        <w:rPr>
          <w:rFonts w:cs="Arial"/>
        </w:rPr>
        <w:t>(1) Werden Vorsorgewerte nach Anlage 1 Tabelle 1 oder 2 bei einem Schadstoff überschritten, ist insoweit unter Berücksichtigung der zu erwartenden Gesamtfracht eine Zusatzbelastung bis zur Höhe der in Anlage 1 Tabelle 3 festgelegten jährlichen Frachten des Schadstoffes zulässig. Dabei sind die Einwirkungen auf den Boden über Luft und Gewässer sowie unmittelbare Einträge zu beachten.</w:t>
      </w:r>
    </w:p>
    <w:p>
      <w:pPr>
        <w:pStyle w:val="GesAbsatz"/>
        <w:tabs>
          <w:tab w:val="clear" w:pos="425"/>
          <w:tab w:val="left" w:pos="2268"/>
        </w:tabs>
        <w:rPr>
          <w:rFonts w:cs="Arial"/>
        </w:rPr>
      </w:pPr>
      <w:r>
        <w:rPr>
          <w:rFonts w:cs="Arial"/>
        </w:rPr>
        <w:t>(2) Wenn die in Anlage 1 Tabelle 3 festgelegte zulässige Zusatzbelastung bei einem Schadstoff überschritten ist, sind die naturbedingt oder großflächig siedlungsbedingten Vorbelastungen des Bodens im Einzelfall zu berücksichtigen.</w:t>
      </w:r>
    </w:p>
    <w:p>
      <w:pPr>
        <w:pStyle w:val="GesAbsatz"/>
        <w:tabs>
          <w:tab w:val="clear" w:pos="425"/>
          <w:tab w:val="left" w:pos="2268"/>
        </w:tabs>
        <w:rPr>
          <w:rFonts w:cs="Arial"/>
        </w:rPr>
      </w:pPr>
      <w:r>
        <w:rPr>
          <w:rFonts w:cs="Arial"/>
        </w:rPr>
        <w:t>(3) Die in Anlage 1 Tabelle 3 festgelegten Frachten bestimmen nicht die Zusatzbelastungen im Sinne des § 3 Absatz 3 Satz 2 des Bundes-Bodenschutzgesetzes.</w:t>
      </w:r>
    </w:p>
    <w:p>
      <w:pPr>
        <w:pStyle w:val="berschrift3"/>
      </w:pPr>
      <w:bookmarkStart w:id="9" w:name="_Toc128479826"/>
      <w:r>
        <w:t>§ 6</w:t>
      </w:r>
      <w:r>
        <w:br/>
        <w:t xml:space="preserve">Allgemeine Anforderungen an das Auf- oder Einbringen </w:t>
      </w:r>
      <w:r>
        <w:br/>
        <w:t>von Materialien auf oder in den Boden</w:t>
      </w:r>
      <w:bookmarkEnd w:id="9"/>
    </w:p>
    <w:p>
      <w:pPr>
        <w:pStyle w:val="GesAbsatz"/>
        <w:tabs>
          <w:tab w:val="clear" w:pos="425"/>
          <w:tab w:val="left" w:pos="2268"/>
        </w:tabs>
        <w:rPr>
          <w:rFonts w:cs="Arial"/>
        </w:rPr>
      </w:pPr>
      <w:r>
        <w:rPr>
          <w:rFonts w:cs="Arial"/>
        </w:rPr>
        <w:t>(1) Die §§ 6 bis 8 gelten für das Auf- oder Einbringen von Materialien auf oder in den Boden, insbesondere im Rahmen der Rekultivierung, der Wiedernutzbarmachung, des Landschaftsbaus, der landwirtschaftlichen und gartenbaulichen Folgenutzung und der Herstellung einer durchwurzelbaren Bodenschicht insbesondere auf technischen Bauwerken im Sinne des § 2 Nummer 3 der Ersatzbaustoffverordnung und auf Deichen. Die §§ 6 bis 8 gelten nicht für das Auf- oder Einbringen von Materialien auf oder in den Boden im Rahmen der Sanierung von schädlichen Bodenveränderungen und Altlasten, soweit die Materialien im Bereich derselben schädlichen Bodenveränderung oder Altlast oder innerhalb des Gebietes eines für verbindlich erklärten Sanierungsplans umgelagert werden.</w:t>
      </w:r>
    </w:p>
    <w:p>
      <w:pPr>
        <w:pStyle w:val="GesAbsatz"/>
        <w:tabs>
          <w:tab w:val="clear" w:pos="425"/>
          <w:tab w:val="left" w:pos="2268"/>
        </w:tabs>
        <w:rPr>
          <w:rFonts w:cs="Arial"/>
        </w:rPr>
      </w:pPr>
      <w:r>
        <w:rPr>
          <w:rFonts w:cs="Arial"/>
        </w:rPr>
        <w:t>(2) Das Auf- und Einbringen von Materialien oder die Herstellung einer durchwurzelbaren Bodenschicht ist nur zulässig, wenn</w:t>
      </w:r>
    </w:p>
    <w:p>
      <w:pPr>
        <w:pStyle w:val="GesAbsatz"/>
        <w:tabs>
          <w:tab w:val="clear" w:pos="425"/>
          <w:tab w:val="left" w:pos="2268"/>
        </w:tabs>
        <w:ind w:left="426" w:hanging="426"/>
        <w:rPr>
          <w:rFonts w:cs="Arial"/>
        </w:rPr>
      </w:pPr>
      <w:r>
        <w:rPr>
          <w:rFonts w:cs="Arial"/>
        </w:rPr>
        <w:t>1.</w:t>
      </w:r>
      <w:r>
        <w:rPr>
          <w:rFonts w:cs="Arial"/>
        </w:rPr>
        <w:tab/>
        <w:t>nach Art, Menge, Schadstoffgehalten, Schadstoffkonzentrationen und physikalischen Eigenschaften der Materialien sowie nach den Schadstoffgehalten der Böden am Ort des Auf- und Einbringens das Entstehen einer schädlichen Bodenveränderung nach § 3 nicht zu besorgen ist und</w:t>
      </w:r>
    </w:p>
    <w:p>
      <w:pPr>
        <w:pStyle w:val="GesAbsatz"/>
        <w:tabs>
          <w:tab w:val="clear" w:pos="425"/>
          <w:tab w:val="left" w:pos="2268"/>
        </w:tabs>
        <w:ind w:left="426" w:hanging="426"/>
        <w:rPr>
          <w:rFonts w:cs="Arial"/>
        </w:rPr>
      </w:pPr>
      <w:r>
        <w:rPr>
          <w:rFonts w:cs="Arial"/>
        </w:rPr>
        <w:t>2.</w:t>
      </w:r>
      <w:r>
        <w:rPr>
          <w:rFonts w:cs="Arial"/>
        </w:rPr>
        <w:tab/>
        <w:t>mindestens eine der in § 2 Absatz 2 Nummer 1 und Nummer 3 Buchstabe b und c des Bundes-Bodenschutzgesetzes genannten Bodenfunktionen nachhaltig verbessert, gesichert oder wiederhergestellt wird.</w:t>
      </w:r>
    </w:p>
    <w:p>
      <w:pPr>
        <w:pStyle w:val="GesAbsatz"/>
        <w:tabs>
          <w:tab w:val="clear" w:pos="425"/>
          <w:tab w:val="left" w:pos="2268"/>
        </w:tabs>
        <w:rPr>
          <w:rFonts w:cs="Arial"/>
        </w:rPr>
      </w:pPr>
      <w:r>
        <w:rPr>
          <w:rFonts w:cs="Arial"/>
        </w:rPr>
        <w:t>(3) Eine schädliche Bodenveränderung im Sinne des Absatzes 2 ist aufgrund von Schadstoffgehalten nicht zu besorgen, wenn Bodenmaterial oder Baggergut am Herkunftsort oder in dessen räumlichen Umfeld unter vergleichbaren Bodenverhältnissen sowie geologischen und hydrogeologischen Bedingungen umgelagert wird und das Vorliegen einer Altlast oder sonstigen schädlichen Bodenveränderung aufgrund von Schadstoffgehalten auszuschließen ist.</w:t>
      </w:r>
    </w:p>
    <w:p>
      <w:pPr>
        <w:pStyle w:val="GesAbsatz"/>
        <w:tabs>
          <w:tab w:val="clear" w:pos="425"/>
          <w:tab w:val="left" w:pos="2268"/>
        </w:tabs>
        <w:rPr>
          <w:rFonts w:cs="Arial"/>
        </w:rPr>
      </w:pPr>
      <w:r>
        <w:rPr>
          <w:rFonts w:cs="Arial"/>
        </w:rPr>
        <w:t>(4) Eine schädliche Bodenveränderung im Sinne des Absatzes 2 ist auch dann nicht zu besorgen, wenn in Gebieten oder räumlich abgegrenzten Industriestandorten mit erhöhten Schadstoffgehalten in Böden Bodenmaterial mit erhöhten Schadstoffgehalten innerhalb des Gebietes oder Standortes umgelagert wird und die in § 2 Absatz 2 Nummer 1 und 3 Buchstabe b und c des Bundes-Bodenschutzgesetzes genannten Bodenfunktionen nicht zusätzlich beeinträchtigt werden sowie die stoffliche Situation am Ort des Auf- oder Einbringens nicht nachteilig verändert wird. Gebiete und Standorte im Sinne des Satzes 1 können von der zuständigen Behörde im Einzelfall der Bewertung zugrunde gelegt oder allgemein festgelegt werden. Die zuständige Behörde kann Ausnahmen von § 7 Absatz 3 zulassen. Die Sätze 1 bis 3 gelten für Gebiete, die Sätze 1 und 2 gelten für räumlich abgegrenzte Industriestandorte mit jeweils mehr als 10 Volumenprozent mineralischer Fremdbestandteile in Böden entsprechend.</w:t>
      </w:r>
    </w:p>
    <w:p>
      <w:pPr>
        <w:pStyle w:val="GesAbsatz"/>
        <w:tabs>
          <w:tab w:val="clear" w:pos="425"/>
          <w:tab w:val="left" w:pos="2268"/>
        </w:tabs>
        <w:rPr>
          <w:rFonts w:cs="Arial"/>
        </w:rPr>
      </w:pPr>
      <w:r>
        <w:rPr>
          <w:rFonts w:cs="Arial"/>
        </w:rPr>
        <w:t>(5) Die nach § 7 Satz 1 des Bundes-Bodenschutzgesetzes Pflichtigen haben Materialien, die auf oder in den Boden oder zur Herstellung einer durchwurzelbaren Bodenschicht auf- oder eingebracht werden sollen, spätestens vor dem Auf- oder Einbringen nach den nachfolgenden Vorschriften zu untersuchen oder untersuchen zu lassen, soweit dies nicht bereits erfolgt ist. Die Materialien sind mindestens auf die in Anlage 1 Tabelle 1 und 2 dieser Verordnung aufgeführten Stoffe analytisch zu untersuchen. Liegen Anhaltspunkte vor, dass die Materialien erhöhte Gehalte weiterer Stoffe aufweisen, ist auf diese zusätzlich analytisch zu untersuchen. Darüber hinaus kann die zuständige Behörde auch Untersuchungen des Ortes des Auf- oder Einbringens anordnen. Probennahme und -analyse sind nach Abschnitt 4 durchzuführen.</w:t>
      </w:r>
    </w:p>
    <w:p>
      <w:pPr>
        <w:pStyle w:val="GesAbsatz"/>
        <w:tabs>
          <w:tab w:val="clear" w:pos="425"/>
          <w:tab w:val="left" w:pos="2268"/>
        </w:tabs>
        <w:rPr>
          <w:rFonts w:cs="Arial"/>
        </w:rPr>
      </w:pPr>
      <w:r>
        <w:rPr>
          <w:rFonts w:cs="Arial"/>
        </w:rPr>
        <w:t>(6) Von einer analytischen Untersuchung von Bodenmaterial und Baggergut nach Absatz 5 Satz 2 und 3 kann abgesehen werden, wenn</w:t>
      </w:r>
    </w:p>
    <w:p>
      <w:pPr>
        <w:pStyle w:val="GesAbsatz"/>
        <w:tabs>
          <w:tab w:val="clear" w:pos="425"/>
          <w:tab w:val="left" w:pos="2268"/>
        </w:tabs>
        <w:ind w:left="426" w:hanging="426"/>
        <w:rPr>
          <w:rFonts w:cs="Arial"/>
        </w:rPr>
      </w:pPr>
      <w:r>
        <w:rPr>
          <w:rFonts w:cs="Arial"/>
        </w:rPr>
        <w:lastRenderedPageBreak/>
        <w:t>1.</w:t>
      </w:r>
      <w:r>
        <w:rPr>
          <w:rFonts w:cs="Arial"/>
        </w:rPr>
        <w:tab/>
        <w:t>sich bei einer Vorerkundung nach § 18 durch einen Sachverständigen im Sinne des § 18 des Bundes- Bodenschutzgesetzes oder durch eine Person mit vergleichbarer Sachkunde keine Anhaltspunkte ergeben, dass die Materialien die Vorsorgewerte nach Anlage 1 Tabelle 1 und 2 dieser Verordnung überschreiten und keine Hinweise auf weitere Belastungen der Materialien vorliegen,</w:t>
      </w:r>
    </w:p>
    <w:p>
      <w:pPr>
        <w:pStyle w:val="GesAbsatz"/>
        <w:tabs>
          <w:tab w:val="clear" w:pos="425"/>
          <w:tab w:val="left" w:pos="2268"/>
        </w:tabs>
        <w:ind w:left="426" w:hanging="426"/>
        <w:rPr>
          <w:rFonts w:cs="Arial"/>
        </w:rPr>
      </w:pPr>
      <w:r>
        <w:rPr>
          <w:rFonts w:cs="Arial"/>
        </w:rPr>
        <w:t>2.</w:t>
      </w:r>
      <w:r>
        <w:rPr>
          <w:rFonts w:cs="Arial"/>
        </w:rPr>
        <w:tab/>
        <w:t>die im Rahmen der jeweiligen Maßnahme angefallene Menge nicht mehr als 500 Kubikmeter beträgt und sich nach Inaugenscheinnahme der Materialien am Herkunftsort und auf Grund der Vornutzung der betreffenden Grundstücke keine Anhaltspunkte ergeben, dass die Materialen die in Nummer 1 genannten Werte überschreiten und keine Hinweise auf weitere Belastungen der Materialien vorliegen oder</w:t>
      </w:r>
    </w:p>
    <w:p>
      <w:pPr>
        <w:pStyle w:val="GesAbsatz"/>
        <w:tabs>
          <w:tab w:val="clear" w:pos="425"/>
          <w:tab w:val="left" w:pos="2268"/>
        </w:tabs>
        <w:ind w:left="426" w:hanging="426"/>
        <w:rPr>
          <w:rFonts w:cs="Arial"/>
        </w:rPr>
      </w:pPr>
      <w:r>
        <w:rPr>
          <w:rFonts w:cs="Arial"/>
        </w:rPr>
        <w:t>3.</w:t>
      </w:r>
      <w:r>
        <w:rPr>
          <w:rFonts w:cs="Arial"/>
        </w:rPr>
        <w:tab/>
        <w:t>die Materialien am Herkunftsort oder in dessen räumlichen Umfeld oder innerhalb eines Gebietes im Sinne des Absatzes 4 umgelagert werden, das Vorliegen einer Altlast oder sonstigen schädlichen Bodenveränderung aufgrund von Schadstoffgehalten auszuschließen ist und durch die Umlagerung das Entstehen einer schädlichen Bodenveränderung nicht zu besorgen ist.</w:t>
      </w:r>
    </w:p>
    <w:p>
      <w:pPr>
        <w:pStyle w:val="GesAbsatz"/>
        <w:tabs>
          <w:tab w:val="clear" w:pos="425"/>
          <w:tab w:val="left" w:pos="2268"/>
        </w:tabs>
        <w:rPr>
          <w:rFonts w:cs="Arial"/>
        </w:rPr>
      </w:pPr>
      <w:r>
        <w:rPr>
          <w:rFonts w:cs="Arial"/>
        </w:rPr>
        <w:t>(7) Die nach § 7 Satz 1 des Bundes-Bodenschutzgesetzes Pflichtigen haben die Untersuchungsergebnisse nach Absatz 5 oder das Vorliegen der Voraussetzungen des Absatzes 6 spätestens vor dem Auf- oder Einbringen zu dokumentieren. Die Dokumente sind nach Beendigung der Auf- oder Einbringungsmaßnahme zehn Jahre aufzubewahren und der zuständigen Behörde auf Verlangen vorzulegen.</w:t>
      </w:r>
    </w:p>
    <w:p>
      <w:pPr>
        <w:pStyle w:val="GesAbsatz"/>
        <w:tabs>
          <w:tab w:val="clear" w:pos="425"/>
          <w:tab w:val="left" w:pos="2268"/>
        </w:tabs>
        <w:rPr>
          <w:rFonts w:cs="Arial"/>
        </w:rPr>
      </w:pPr>
      <w:r>
        <w:rPr>
          <w:rFonts w:cs="Arial"/>
        </w:rPr>
        <w:t>(8) Die nach § 7 Satz 1 des Bundes-Bodenschutzgesetzes Pflichtigen müssen das Auf- oder Einbringen von Materialien nach § 7 oder § 8 Absatz 1 bis 3, Absatz 5 bis 6 und Absatz 8 in einem Volumen von mehr als 500 Kubikmetern der zuständigen Behörde mindestens zwei Wochen vor Beginn der Auf- oder Einbringungsmaßnahme unter Angabe der Lage der Auf- oder Einbringungsfläche, der Art und Menge der Materialien sowie des Zwecks der Maßnahme anzeigen, es sei denn, die Maßnahme bedarf einer behördlichen Zulassung oder Anzeige nach anderen Rechtsvorschriften. Die Länder können abweichende Regelungen treffen.</w:t>
      </w:r>
    </w:p>
    <w:p>
      <w:pPr>
        <w:pStyle w:val="GesAbsatz"/>
        <w:tabs>
          <w:tab w:val="clear" w:pos="425"/>
          <w:tab w:val="left" w:pos="2268"/>
        </w:tabs>
        <w:rPr>
          <w:rFonts w:cs="Arial"/>
        </w:rPr>
      </w:pPr>
      <w:r>
        <w:rPr>
          <w:rFonts w:cs="Arial"/>
        </w:rPr>
        <w:t>(9) Beim Auf- oder Einbringen oder der Herstellung einer durchwurzelbaren Bodenschicht sowie beim Um- oder Zwischenlagern von Materialien sind Verdichtungen, Vernässungen und sonstige nachteilige Einwirkungen auf den Boden durch geeignete Maßnahmen zu vermeiden oder wirksam zu vermindern. Die entsprechenden Anforderungen der DIN 19639, der DIN 19731 und der DIN 18915 sind zu beachten. Die Sätze 1 und 2 gelten nicht für Verdichtungen, die im Rahmen der bergbaulichen Gewinnung erforderlich sind.</w:t>
      </w:r>
    </w:p>
    <w:p>
      <w:pPr>
        <w:pStyle w:val="GesAbsatz"/>
        <w:tabs>
          <w:tab w:val="clear" w:pos="425"/>
          <w:tab w:val="left" w:pos="2268"/>
        </w:tabs>
        <w:rPr>
          <w:rFonts w:cs="Arial"/>
        </w:rPr>
      </w:pPr>
      <w:r>
        <w:rPr>
          <w:rFonts w:cs="Arial"/>
        </w:rPr>
        <w:t>(10) Beim Auf- oder Einbringen von Materialien sind die Anforderungen an einen guten Bodenaufbau und ein stabiles Bodengefüge zu beachten. Die verwendeten Materialien müssen unter Berücksichtigung des jeweiligen Ortes des Auf- oder Einbringens geeignet sein, die für den Standort erforderlichen Bodenfunktionen sowie die chemischen und physikalischen Eigenschaften des Bodens zu sichern oder herzustellen. Die entsprechenden Anforderungen der DIN 19639 und der DIN 19731 sind zu beachten.</w:t>
      </w:r>
    </w:p>
    <w:p>
      <w:pPr>
        <w:pStyle w:val="GesAbsatz"/>
        <w:tabs>
          <w:tab w:val="clear" w:pos="425"/>
          <w:tab w:val="left" w:pos="2268"/>
        </w:tabs>
        <w:rPr>
          <w:rFonts w:cs="Arial"/>
        </w:rPr>
      </w:pPr>
      <w:r>
        <w:rPr>
          <w:rFonts w:cs="Arial"/>
        </w:rPr>
        <w:t>(11) Vor dem Auf- oder Einbringen von Materialien in den Unterboden oder Untergrund ist bei Hinweisen auf erhöhte Gehalte an organischem Kohlenstoff der Gehalt an organischem Kohlenstoff nach Anlage 3 Tabelle 1 zu bestimmen. Beträgt der Gehalt mehr als 1 Masseprozent, dürfen die Materialien nur auf- oder eingebracht werden, wenn der organische Kohlenstoff in den Materialien natürlich vorkommt oder auf einen zulässigen Anteil an mineralischen Fremdbestandteilen zurückzuführen ist und die Materialien nicht aus dem Oberboden stammen. Es ist sicherzustellen, dass durch Abbauprozesse der organischen Substanz, insbesondere auch nach dem Auf- oder Einbringen, keine schädlichen Bodenveränderungen zu besorgen sind und die Nährstoffzufuhr nach Menge und Verfügbarkeit unter Berücksichtigung der zu erwartenden Abbauprozesse dem Bedarf der vorhandenen oder künftigen Vegetation angepasst ist. Das Einbringen von nährstoffreichen organischen Materialien, insbesondere Klärschlamm, Kompost oder Gärsubstrate, in den Unterboden oder Untergrund ist auch im Gemisch mit Bodenmaterial, Baggergut oder anderen mineralischen Materialien unzulässig. Die Anforderungen der Sätze 1</w:t>
      </w:r>
      <w:r>
        <w:t xml:space="preserve"> </w:t>
      </w:r>
      <w:r>
        <w:rPr>
          <w:rFonts w:cs="Arial"/>
        </w:rPr>
        <w:t>bis 3 gelten nicht für die Umlagerung von Materialien im Rahmen des Braunkohletagebaus.</w:t>
      </w:r>
    </w:p>
    <w:p>
      <w:pPr>
        <w:pStyle w:val="GesAbsatz"/>
        <w:tabs>
          <w:tab w:val="clear" w:pos="425"/>
          <w:tab w:val="left" w:pos="2268"/>
        </w:tabs>
        <w:rPr>
          <w:rFonts w:cs="Arial"/>
        </w:rPr>
      </w:pPr>
      <w:r>
        <w:rPr>
          <w:rFonts w:cs="Arial"/>
        </w:rPr>
        <w:t>(12) Die zuständige Behörde kann Nachweise über die Erfüllung der Anforderungen nach den Absätzen 9 bis 11 verlangen.</w:t>
      </w:r>
    </w:p>
    <w:p>
      <w:pPr>
        <w:pStyle w:val="berschrift3"/>
      </w:pPr>
      <w:bookmarkStart w:id="10" w:name="_Toc128479827"/>
      <w:r>
        <w:t>§ 7</w:t>
      </w:r>
      <w:r>
        <w:br/>
        <w:t xml:space="preserve">Zusätzliche Anforderungen an das Auf- oder Einbringen von </w:t>
      </w:r>
      <w:r>
        <w:br/>
        <w:t>Materialien auf oder in eine durchwurzelbare Bodenschicht</w:t>
      </w:r>
      <w:bookmarkEnd w:id="10"/>
    </w:p>
    <w:p>
      <w:pPr>
        <w:pStyle w:val="GesAbsatz"/>
        <w:tabs>
          <w:tab w:val="clear" w:pos="425"/>
          <w:tab w:val="left" w:pos="2268"/>
        </w:tabs>
        <w:rPr>
          <w:rFonts w:cs="Arial"/>
        </w:rPr>
      </w:pPr>
      <w:r>
        <w:rPr>
          <w:rFonts w:cs="Arial"/>
        </w:rPr>
        <w:t>(1) Die nach § 7 Satz 1 des Bundes-Bodenschutzgesetzes Pflichtigen dürfen für das Auf- oder Einbringen auf oder in eine durchwurzelbare Bodenschicht sowie für die Herstellung einer durchwurzelbaren Bodenschicht nur</w:t>
      </w:r>
    </w:p>
    <w:p>
      <w:pPr>
        <w:pStyle w:val="GesAbsatz"/>
        <w:tabs>
          <w:tab w:val="clear" w:pos="425"/>
          <w:tab w:val="left" w:pos="2268"/>
        </w:tabs>
        <w:ind w:left="426" w:hanging="426"/>
        <w:rPr>
          <w:rFonts w:cs="Arial"/>
        </w:rPr>
      </w:pPr>
      <w:r>
        <w:rPr>
          <w:rFonts w:cs="Arial"/>
        </w:rPr>
        <w:t>1.</w:t>
      </w:r>
      <w:r>
        <w:rPr>
          <w:rFonts w:cs="Arial"/>
        </w:rPr>
        <w:tab/>
        <w:t>Bodenmaterial und Baggergut sowie</w:t>
      </w:r>
    </w:p>
    <w:p>
      <w:pPr>
        <w:pStyle w:val="GesAbsatz"/>
        <w:tabs>
          <w:tab w:val="clear" w:pos="425"/>
          <w:tab w:val="left" w:pos="2268"/>
        </w:tabs>
        <w:ind w:left="426" w:hanging="426"/>
        <w:rPr>
          <w:rFonts w:cs="Arial"/>
        </w:rPr>
      </w:pPr>
      <w:r>
        <w:rPr>
          <w:rFonts w:cs="Arial"/>
        </w:rPr>
        <w:t>2.</w:t>
      </w:r>
      <w:r>
        <w:rPr>
          <w:rFonts w:cs="Arial"/>
        </w:rPr>
        <w:tab/>
        <w:t xml:space="preserve">Gemische von Materialien nach Nummer 1 mit solchen Abfällen, die die stofflichen Qualitätsanforderungen nach § 3 Absatz 2 Satz 1, § 3a Satz 2 und § 4 Absatz 1, Absatz 3 Satz 1 bis 3, Absatz 4, auch in </w:t>
      </w:r>
      <w:r>
        <w:rPr>
          <w:rFonts w:cs="Arial"/>
        </w:rPr>
        <w:lastRenderedPageBreak/>
        <w:t>Verbindung mit § 5 Absatz 1 der Bioabfallverordnung sowie nach § 8 Absatz 1, Absatz 2 Satz 1 und § 11 der Klärschlammverordnung erfüllen,</w:t>
      </w:r>
    </w:p>
    <w:p>
      <w:pPr>
        <w:pStyle w:val="GesAbsatz"/>
        <w:tabs>
          <w:tab w:val="clear" w:pos="425"/>
          <w:tab w:val="left" w:pos="2268"/>
        </w:tabs>
        <w:rPr>
          <w:rFonts w:cs="Arial"/>
        </w:rPr>
      </w:pPr>
      <w:r>
        <w:rPr>
          <w:rFonts w:cs="Arial"/>
        </w:rPr>
        <w:t>verwenden. Mineralische Fremdbestandteile in Bodenmaterial und Baggergut sind zulässig, sofern sie bereits beim Anfall enthalten waren und ihr Anteil 10 Volumenprozent nicht überschreitet. Störstoffe sind nur in einem vernachlässigbaren und unvermeidbaren Anteil zulässig.</w:t>
      </w:r>
    </w:p>
    <w:p>
      <w:pPr>
        <w:pStyle w:val="GesAbsatz"/>
        <w:tabs>
          <w:tab w:val="clear" w:pos="425"/>
          <w:tab w:val="left" w:pos="2268"/>
        </w:tabs>
        <w:rPr>
          <w:rFonts w:cs="Arial"/>
        </w:rPr>
      </w:pPr>
      <w:r>
        <w:rPr>
          <w:rFonts w:cs="Arial"/>
        </w:rPr>
        <w:t>(2) Eine schädliche Bodenveränderung im Sinne des § 6 Absatz 2 ist aufgrund von Schadstoffgehalten nicht zu besorgen, wenn die nach Absatz 1 zur Verwendung zulässigen Materialien die Vorsorgewerte nach Anlage 1 Tabelle 1 und 2 dieser Verordnung einhalten oder nach Anlage 1 Tabelle 3 der Ersatzbaustoffverordnung als Bodenmaterial der Klasse 0 oder Baggergut der Klasse 0 – BM-0 oder BG-0 – klassifiziert wurden und auf Grund der Herkunft und der bisherigen Nutzung keine Hinweise auf weitere Belastungen der Materialien vorliegen. Sind die Anforderungen nach Satz 1 erfüllt, bedarf das Auf- oder Einbringen keiner Erlaubnis nach § 8 Absatz 1 des Wasserhaushaltsgesetzes.</w:t>
      </w:r>
    </w:p>
    <w:p>
      <w:pPr>
        <w:pStyle w:val="GesAbsatz"/>
        <w:tabs>
          <w:tab w:val="clear" w:pos="425"/>
          <w:tab w:val="left" w:pos="2268"/>
        </w:tabs>
        <w:rPr>
          <w:rFonts w:cs="Arial"/>
        </w:rPr>
      </w:pPr>
      <w:r>
        <w:rPr>
          <w:rFonts w:cs="Arial"/>
        </w:rPr>
        <w:t>(3) Bei der Herstellung einer durchwurzelbaren Bodenschicht mit landwirtschaftlicher oder gartenbaulicher Folgenutzung sollen im Hinblick auf künftige unvermeidliche Schadstoffeinträge durch Bewirtschaftungsmaßnahmen oder atmosphärische Schadstoffeinträge die Schadstoffgehalte in der entstandenen durchwurzelbaren Bodenschicht 70 Prozent der jeweiligen Vorsorgewerte nach Anlage 1 Tabelle 1 und 2 nicht überschreiten. Satz 1 gilt nicht für die Umlagerung von Bodenmaterial im Rahmen der Wiedernutzbarmachung von Tagebauen.</w:t>
      </w:r>
    </w:p>
    <w:p>
      <w:pPr>
        <w:pStyle w:val="GesAbsatz"/>
        <w:tabs>
          <w:tab w:val="clear" w:pos="425"/>
          <w:tab w:val="left" w:pos="2268"/>
        </w:tabs>
        <w:rPr>
          <w:rFonts w:cs="Arial"/>
        </w:rPr>
      </w:pPr>
      <w:r>
        <w:rPr>
          <w:rFonts w:cs="Arial"/>
        </w:rPr>
        <w:t>(4) Die nach § 7 Satz 1 des Bundes-Bodenschutzgesetzes Pflichtigen haben beim Auf- oder Einbringen von nach Absatz 1 zur Verwendung zulässigen Materialien auf landwirtschaftlich einschließlich gartenbaulich genutzten Böden dafür Sorge zu tragen, dass die Ertragsfähigkeit der Böden nachhaltig gesichert oder wiederhergestellt wird.</w:t>
      </w:r>
    </w:p>
    <w:p>
      <w:pPr>
        <w:pStyle w:val="GesAbsatz"/>
        <w:tabs>
          <w:tab w:val="clear" w:pos="425"/>
          <w:tab w:val="left" w:pos="2268"/>
        </w:tabs>
        <w:rPr>
          <w:rFonts w:cs="Arial"/>
        </w:rPr>
      </w:pPr>
      <w:r>
        <w:rPr>
          <w:rFonts w:cs="Arial"/>
        </w:rPr>
        <w:t>(5) Die Nährstoffzufuhr durch das Auf- oder Einbringen der Materialien ist nach Menge und Verfügbarkeit dem Pflanzenbedarf der Folgevegetation anzupassen, um insbesondere Nährstoffeinträge in Gewässer zu vermeiden. Die entsprechenden Anforderungen der DIN 18919 sind zu beachten.</w:t>
      </w:r>
    </w:p>
    <w:p>
      <w:pPr>
        <w:pStyle w:val="GesAbsatz"/>
        <w:tabs>
          <w:tab w:val="clear" w:pos="425"/>
          <w:tab w:val="left" w:pos="2268"/>
        </w:tabs>
        <w:rPr>
          <w:rFonts w:cs="Arial"/>
        </w:rPr>
      </w:pPr>
      <w:r>
        <w:rPr>
          <w:rFonts w:cs="Arial"/>
        </w:rPr>
        <w:t>(6) Das Auf- oder Einbringen von Materialien auf oder in eine bestehende durchwurzelbare Bodenschicht ist nicht zulässig auf Flächen, die die in § 2 Absatz 2 Nummer 1 oder 2 des Bundes-Bodenschutzgesetzes genannten Bodenfunktionen im besonderen Maße erfüllen. Das Auf- oder Einbringungsverbot gilt auch für Böden in</w:t>
      </w:r>
    </w:p>
    <w:p>
      <w:pPr>
        <w:pStyle w:val="GesAbsatz"/>
        <w:tabs>
          <w:tab w:val="clear" w:pos="425"/>
          <w:tab w:val="left" w:pos="2268"/>
        </w:tabs>
        <w:ind w:left="426" w:hanging="426"/>
        <w:rPr>
          <w:rFonts w:cs="Arial"/>
        </w:rPr>
      </w:pPr>
      <w:r>
        <w:rPr>
          <w:rFonts w:cs="Arial"/>
        </w:rPr>
        <w:t>1.</w:t>
      </w:r>
      <w:r>
        <w:rPr>
          <w:rFonts w:cs="Arial"/>
        </w:rPr>
        <w:tab/>
        <w:t>Wäldern,</w:t>
      </w:r>
    </w:p>
    <w:p>
      <w:pPr>
        <w:pStyle w:val="GesAbsatz"/>
        <w:tabs>
          <w:tab w:val="clear" w:pos="425"/>
          <w:tab w:val="left" w:pos="2268"/>
        </w:tabs>
        <w:ind w:left="426" w:hanging="426"/>
        <w:rPr>
          <w:rFonts w:cs="Arial"/>
        </w:rPr>
      </w:pPr>
      <w:r>
        <w:rPr>
          <w:rFonts w:cs="Arial"/>
        </w:rPr>
        <w:t>2.</w:t>
      </w:r>
      <w:r>
        <w:rPr>
          <w:rFonts w:cs="Arial"/>
        </w:rPr>
        <w:tab/>
        <w:t>Wasserschutzgebieten und Heilquellenschutzgebieten der Zonen I und II,</w:t>
      </w:r>
    </w:p>
    <w:p>
      <w:pPr>
        <w:pStyle w:val="GesAbsatz"/>
        <w:tabs>
          <w:tab w:val="clear" w:pos="425"/>
          <w:tab w:val="left" w:pos="2268"/>
        </w:tabs>
        <w:ind w:left="426" w:hanging="426"/>
        <w:rPr>
          <w:rFonts w:cs="Arial"/>
        </w:rPr>
      </w:pPr>
      <w:r>
        <w:rPr>
          <w:rFonts w:cs="Arial"/>
        </w:rPr>
        <w:t>3.</w:t>
      </w:r>
      <w:r>
        <w:rPr>
          <w:rFonts w:cs="Arial"/>
        </w:rPr>
        <w:tab/>
        <w:t>Naturschutzgebieten,</w:t>
      </w:r>
    </w:p>
    <w:p>
      <w:pPr>
        <w:pStyle w:val="GesAbsatz"/>
        <w:tabs>
          <w:tab w:val="clear" w:pos="425"/>
          <w:tab w:val="left" w:pos="2268"/>
        </w:tabs>
        <w:ind w:left="426" w:hanging="426"/>
        <w:rPr>
          <w:rFonts w:cs="Arial"/>
        </w:rPr>
      </w:pPr>
      <w:r>
        <w:rPr>
          <w:rFonts w:cs="Arial"/>
        </w:rPr>
        <w:t>4.</w:t>
      </w:r>
      <w:r>
        <w:rPr>
          <w:rFonts w:cs="Arial"/>
        </w:rPr>
        <w:tab/>
        <w:t>Nationalparks,</w:t>
      </w:r>
    </w:p>
    <w:p>
      <w:pPr>
        <w:pStyle w:val="GesAbsatz"/>
        <w:tabs>
          <w:tab w:val="clear" w:pos="425"/>
          <w:tab w:val="left" w:pos="2268"/>
        </w:tabs>
        <w:ind w:left="426" w:hanging="426"/>
        <w:rPr>
          <w:rFonts w:cs="Arial"/>
        </w:rPr>
      </w:pPr>
      <w:r>
        <w:rPr>
          <w:rFonts w:cs="Arial"/>
        </w:rPr>
        <w:t>5.</w:t>
      </w:r>
      <w:r>
        <w:rPr>
          <w:rFonts w:cs="Arial"/>
        </w:rPr>
        <w:tab/>
        <w:t>nationalen Naturmonumenten,</w:t>
      </w:r>
    </w:p>
    <w:p>
      <w:pPr>
        <w:pStyle w:val="GesAbsatz"/>
        <w:tabs>
          <w:tab w:val="clear" w:pos="425"/>
          <w:tab w:val="left" w:pos="2268"/>
        </w:tabs>
        <w:ind w:left="426" w:hanging="426"/>
        <w:rPr>
          <w:rFonts w:cs="Arial"/>
        </w:rPr>
      </w:pPr>
      <w:r>
        <w:rPr>
          <w:rFonts w:cs="Arial"/>
        </w:rPr>
        <w:t>6.</w:t>
      </w:r>
      <w:r>
        <w:rPr>
          <w:rFonts w:cs="Arial"/>
        </w:rPr>
        <w:tab/>
        <w:t>Biosphärenreservaten,</w:t>
      </w:r>
    </w:p>
    <w:p>
      <w:pPr>
        <w:pStyle w:val="GesAbsatz"/>
        <w:tabs>
          <w:tab w:val="clear" w:pos="425"/>
          <w:tab w:val="left" w:pos="2268"/>
        </w:tabs>
        <w:ind w:left="426" w:hanging="426"/>
        <w:rPr>
          <w:rFonts w:cs="Arial"/>
        </w:rPr>
      </w:pPr>
      <w:r>
        <w:rPr>
          <w:rFonts w:cs="Arial"/>
        </w:rPr>
        <w:t>7.</w:t>
      </w:r>
      <w:r>
        <w:rPr>
          <w:rFonts w:cs="Arial"/>
        </w:rPr>
        <w:tab/>
        <w:t>Naturdenkmälern,</w:t>
      </w:r>
    </w:p>
    <w:p>
      <w:pPr>
        <w:pStyle w:val="GesAbsatz"/>
        <w:tabs>
          <w:tab w:val="clear" w:pos="425"/>
          <w:tab w:val="left" w:pos="2268"/>
        </w:tabs>
        <w:ind w:left="426" w:hanging="426"/>
        <w:rPr>
          <w:rFonts w:cs="Arial"/>
        </w:rPr>
      </w:pPr>
      <w:r>
        <w:rPr>
          <w:rFonts w:cs="Arial"/>
        </w:rPr>
        <w:t>8.</w:t>
      </w:r>
      <w:r>
        <w:rPr>
          <w:rFonts w:cs="Arial"/>
        </w:rPr>
        <w:tab/>
        <w:t>geschützten Landschaftsbestandteilen,</w:t>
      </w:r>
    </w:p>
    <w:p>
      <w:pPr>
        <w:pStyle w:val="GesAbsatz"/>
        <w:tabs>
          <w:tab w:val="clear" w:pos="425"/>
          <w:tab w:val="left" w:pos="2268"/>
        </w:tabs>
        <w:ind w:left="426" w:hanging="426"/>
        <w:rPr>
          <w:rFonts w:cs="Arial"/>
        </w:rPr>
      </w:pPr>
      <w:r>
        <w:rPr>
          <w:rFonts w:cs="Arial"/>
        </w:rPr>
        <w:t>9.</w:t>
      </w:r>
      <w:r>
        <w:rPr>
          <w:rFonts w:cs="Arial"/>
        </w:rPr>
        <w:tab/>
        <w:t>Natura 2000-Gebieten und</w:t>
      </w:r>
    </w:p>
    <w:p>
      <w:pPr>
        <w:pStyle w:val="GesAbsatz"/>
        <w:tabs>
          <w:tab w:val="clear" w:pos="425"/>
          <w:tab w:val="left" w:pos="2268"/>
        </w:tabs>
        <w:ind w:left="426" w:hanging="426"/>
        <w:rPr>
          <w:rFonts w:cs="Arial"/>
        </w:rPr>
      </w:pPr>
      <w:r>
        <w:rPr>
          <w:rFonts w:cs="Arial"/>
        </w:rPr>
        <w:t>10.</w:t>
      </w:r>
      <w:r>
        <w:rPr>
          <w:rFonts w:cs="Arial"/>
        </w:rPr>
        <w:tab/>
        <w:t>gesetzlich geschützten Biotopen im Sinne des § 30 des Bundesnaturschutzgesetzes sowie</w:t>
      </w:r>
    </w:p>
    <w:p>
      <w:pPr>
        <w:pStyle w:val="GesAbsatz"/>
        <w:tabs>
          <w:tab w:val="clear" w:pos="425"/>
          <w:tab w:val="left" w:pos="2268"/>
        </w:tabs>
        <w:ind w:left="426" w:hanging="426"/>
        <w:rPr>
          <w:rFonts w:cs="Arial"/>
        </w:rPr>
      </w:pPr>
      <w:r>
        <w:rPr>
          <w:rFonts w:cs="Arial"/>
        </w:rPr>
        <w:t>11.</w:t>
      </w:r>
      <w:r>
        <w:rPr>
          <w:rFonts w:cs="Arial"/>
        </w:rPr>
        <w:tab/>
        <w:t>den Kernzonen von Naturschutzgroßprojekten des Bundes von gesamtstaatlicher Bedeutung.</w:t>
      </w:r>
    </w:p>
    <w:p>
      <w:pPr>
        <w:pStyle w:val="GesAbsatz"/>
        <w:tabs>
          <w:tab w:val="clear" w:pos="425"/>
          <w:tab w:val="left" w:pos="2268"/>
        </w:tabs>
        <w:rPr>
          <w:rFonts w:cs="Arial"/>
        </w:rPr>
      </w:pPr>
      <w:r>
        <w:rPr>
          <w:rFonts w:cs="Arial"/>
        </w:rPr>
        <w:t>Die für den Schutz der in den Sätzen 1 und 2 Nummer 2 bis 11 genannten Flächen zuständige Behörde und im Falle des Satzes 2 Nummer 1 die Forstbehörde kann im Benehmen mit der für den Bodenschutz zuständigen Behörde Abweichungen von den Verboten der Sätze 1 und 2 zulassen, wenn das Auf- oder Einbringen aus land- oder forstwirtschaftlichen Gründen, aus Gründen des Naturschutzes und der Landschaftspflege oder zum Schutz des Grundwassers erforderlich ist. Regelungen aufgrund der §§ 51 bis 53 des Wasserhaushaltsgesetzes bleiben unberührt.</w:t>
      </w:r>
    </w:p>
    <w:p>
      <w:pPr>
        <w:pStyle w:val="GesAbsatz"/>
        <w:tabs>
          <w:tab w:val="clear" w:pos="425"/>
          <w:tab w:val="left" w:pos="2268"/>
        </w:tabs>
        <w:rPr>
          <w:rFonts w:cs="Arial"/>
        </w:rPr>
      </w:pPr>
      <w:r>
        <w:rPr>
          <w:rFonts w:cs="Arial"/>
        </w:rPr>
        <w:t>(7) Beim Auf- oder Einbringen von</w:t>
      </w:r>
    </w:p>
    <w:p>
      <w:pPr>
        <w:pStyle w:val="GesAbsatz"/>
        <w:tabs>
          <w:tab w:val="clear" w:pos="425"/>
          <w:tab w:val="left" w:pos="2268"/>
        </w:tabs>
        <w:ind w:left="426" w:hanging="426"/>
        <w:rPr>
          <w:rFonts w:cs="Arial"/>
        </w:rPr>
      </w:pPr>
      <w:r>
        <w:rPr>
          <w:rFonts w:cs="Arial"/>
        </w:rPr>
        <w:t>1.</w:t>
      </w:r>
      <w:r>
        <w:rPr>
          <w:rFonts w:cs="Arial"/>
        </w:rPr>
        <w:tab/>
        <w:t>abgetragenem Bodenmaterial nach Erosionsereignissen,</w:t>
      </w:r>
    </w:p>
    <w:p>
      <w:pPr>
        <w:pStyle w:val="GesAbsatz"/>
        <w:tabs>
          <w:tab w:val="clear" w:pos="425"/>
          <w:tab w:val="left" w:pos="2268"/>
        </w:tabs>
        <w:ind w:left="426" w:hanging="426"/>
        <w:rPr>
          <w:rFonts w:cs="Arial"/>
        </w:rPr>
      </w:pPr>
      <w:r>
        <w:rPr>
          <w:rFonts w:cs="Arial"/>
        </w:rPr>
        <w:t>2.</w:t>
      </w:r>
      <w:r>
        <w:rPr>
          <w:rFonts w:cs="Arial"/>
        </w:rPr>
        <w:tab/>
        <w:t>Bodenmaterial aus der Reinigung landwirtschaftlicher Ernteprodukte oder</w:t>
      </w:r>
    </w:p>
    <w:p>
      <w:pPr>
        <w:pStyle w:val="GesAbsatz"/>
        <w:tabs>
          <w:tab w:val="clear" w:pos="425"/>
          <w:tab w:val="left" w:pos="2268"/>
        </w:tabs>
        <w:ind w:left="426" w:hanging="426"/>
        <w:rPr>
          <w:rFonts w:cs="Arial"/>
        </w:rPr>
      </w:pPr>
      <w:r>
        <w:rPr>
          <w:rFonts w:cs="Arial"/>
        </w:rPr>
        <w:t>3.</w:t>
      </w:r>
      <w:r>
        <w:rPr>
          <w:rFonts w:cs="Arial"/>
        </w:rPr>
        <w:tab/>
        <w:t>Baggergut aus der Unterhaltung von Entwässerungsgräben</w:t>
      </w:r>
    </w:p>
    <w:p>
      <w:pPr>
        <w:pStyle w:val="GesAbsatz"/>
      </w:pPr>
      <w:r>
        <w:t xml:space="preserve">im räumlichen Umfeld des Herkunftsortes unter vergleichbaren Bodenverhältnissen sowie geologischen und hydrogeologischen Bedingungen ist eine schädliche Bodenveränderung im Sinne des § 6 Absatz 2 aufgrund von Schadstoffgehalten nicht zu besorgen. Überschreiten die Materialien die Vorsorgewerte nach Anlage 1 </w:t>
      </w:r>
      <w:r>
        <w:lastRenderedPageBreak/>
        <w:t>Tabelle 1 und 2 nicht erheblich und sollen Materialien nach Satz 1 Nummer 2 nicht im räumlichen Umfeld des Herkunftsortes auf- oder eingebracht werden oder ist der Herkunftsort der Materialien nicht mehr eindeutig zuzuordnen, kann die für den Bodenschutz zuständige Behörde im Einzelfall das Auf- oder Einbringen gestatten, wenn nachgewiesen wird, dass trotz der Überschreitung eine ordnungsgemäße und schadlose Verwertung erfolgt und das Entstehen einer schädlichen Bodenveränderung nicht zu besorgen ist.</w:t>
      </w:r>
    </w:p>
    <w:p>
      <w:pPr>
        <w:pStyle w:val="berschrift3"/>
      </w:pPr>
      <w:bookmarkStart w:id="11" w:name="_Toc128479828"/>
      <w:r>
        <w:t>§ 8</w:t>
      </w:r>
      <w:r>
        <w:br/>
        <w:t xml:space="preserve">Zusätzliche Anforderungen an das Auf- oder Einbringen von </w:t>
      </w:r>
      <w:r>
        <w:br/>
        <w:t>Materialien unterhalb oder außerhalb einer durchwurzelbaren Bodenschicht</w:t>
      </w:r>
      <w:bookmarkEnd w:id="11"/>
    </w:p>
    <w:p>
      <w:pPr>
        <w:pStyle w:val="GesAbsatz"/>
        <w:tabs>
          <w:tab w:val="clear" w:pos="425"/>
          <w:tab w:val="left" w:pos="2268"/>
        </w:tabs>
        <w:rPr>
          <w:rFonts w:cs="Arial"/>
        </w:rPr>
      </w:pPr>
      <w:r>
        <w:rPr>
          <w:rFonts w:cs="Arial"/>
        </w:rPr>
        <w:t>(1) Die nach § 7 Satz 1 des Bundes-Bodenschutzgesetzes Pflichtigen dürfen für das Auf- oder Einbringen unterhalb oder außerhalb einer durchwurzelbaren Bodenschicht nur</w:t>
      </w:r>
    </w:p>
    <w:p>
      <w:pPr>
        <w:pStyle w:val="GesAbsatz"/>
        <w:tabs>
          <w:tab w:val="clear" w:pos="425"/>
          <w:tab w:val="left" w:pos="2268"/>
        </w:tabs>
        <w:ind w:left="426" w:hanging="426"/>
        <w:rPr>
          <w:rFonts w:cs="Arial"/>
        </w:rPr>
      </w:pPr>
      <w:r>
        <w:rPr>
          <w:rFonts w:cs="Arial"/>
        </w:rPr>
        <w:t>1.</w:t>
      </w:r>
      <w:r>
        <w:rPr>
          <w:rFonts w:cs="Arial"/>
        </w:rPr>
        <w:tab/>
        <w:t>Bodenmaterial ohne Oberboden und</w:t>
      </w:r>
    </w:p>
    <w:p>
      <w:pPr>
        <w:pStyle w:val="GesAbsatz"/>
        <w:tabs>
          <w:tab w:val="clear" w:pos="425"/>
          <w:tab w:val="left" w:pos="2268"/>
        </w:tabs>
        <w:ind w:left="426" w:hanging="426"/>
        <w:rPr>
          <w:rFonts w:cs="Arial"/>
        </w:rPr>
      </w:pPr>
      <w:r>
        <w:rPr>
          <w:rFonts w:cs="Arial"/>
        </w:rPr>
        <w:t>2.</w:t>
      </w:r>
      <w:r>
        <w:rPr>
          <w:rFonts w:cs="Arial"/>
        </w:rPr>
        <w:tab/>
        <w:t>Baggergut, das aus Sanden und Kiesen besteht und dessen Feinkornanteil, der kleiner als 63 Mikrometer ist, höchstens 10 Masseprozent beträgt,</w:t>
      </w:r>
    </w:p>
    <w:p>
      <w:pPr>
        <w:pStyle w:val="GesAbsatz"/>
        <w:tabs>
          <w:tab w:val="clear" w:pos="425"/>
          <w:tab w:val="left" w:pos="2268"/>
        </w:tabs>
        <w:rPr>
          <w:rFonts w:cs="Arial"/>
        </w:rPr>
      </w:pPr>
      <w:r>
        <w:rPr>
          <w:rFonts w:cs="Arial"/>
        </w:rPr>
        <w:t>verwenden. Mineralische Fremdbestandteile sind zulässig, sofern sie bereits beim Anfall enthalten waren und ihr Anteil 10 Volumenprozent nicht überschreiten. Störstoffe sind nur in einem vernachlässigbaren und unvermeidbaren Anteil zulässig. Ist bei der Umlagerung von Bodenmaterial in Braunkohletagebauen der gesonderte Abtrag des Oberbodens mit einem unverhältnismäßigen Aufwand verbunden, darf abweichend von Satz 1 Nummer 1 Bodenmaterial mit Oberboden unterhalb der durchwurzelbaren Bodenschicht verwendet werden.</w:t>
      </w:r>
    </w:p>
    <w:p>
      <w:pPr>
        <w:pStyle w:val="GesAbsatz"/>
        <w:tabs>
          <w:tab w:val="clear" w:pos="425"/>
          <w:tab w:val="left" w:pos="2268"/>
        </w:tabs>
        <w:rPr>
          <w:rFonts w:cs="Arial"/>
        </w:rPr>
      </w:pPr>
      <w:r>
        <w:rPr>
          <w:rFonts w:cs="Arial"/>
        </w:rPr>
        <w:t>(2) Eine schädliche Bodenveränderung im Sinne des § 6 Absatz 2 ist aufgrund von Schadstoffgehalten nicht zu besorgen, wenn die Materialien die Vorsorgewerte nach Anlage 1 Tabelle 1 und 2 dieser Verordnung einhalten oder nach Anlage 1 Tabelle 3 der Ersatzbaustoffverordnung als Bodenmaterial der Klasse 0 oder Baggergut der Klasse 0 Sand – BM-0 oder BG-0 Sand – klassifiziert wurden und auf Grund von Herkunft und bisheriger Nutzung keine Hinweise auf weitere Belastungen der Materialien vorliegen.</w:t>
      </w:r>
    </w:p>
    <w:p>
      <w:pPr>
        <w:pStyle w:val="GesAbsatz"/>
        <w:tabs>
          <w:tab w:val="clear" w:pos="425"/>
          <w:tab w:val="left" w:pos="2268"/>
        </w:tabs>
        <w:rPr>
          <w:rFonts w:cs="Arial"/>
        </w:rPr>
      </w:pPr>
      <w:r>
        <w:rPr>
          <w:rFonts w:cs="Arial"/>
        </w:rPr>
        <w:t>(3) Bei der Verfüllung einer Abgrabung oder eines Tagebaus und beim Massenausgleich im Rahmen einer Baumaßnahme ist eine schädliche Bodenveränderung auch dann nicht zu besorgen, wenn</w:t>
      </w:r>
    </w:p>
    <w:p>
      <w:pPr>
        <w:pStyle w:val="GesAbsatz"/>
        <w:tabs>
          <w:tab w:val="clear" w:pos="425"/>
          <w:tab w:val="left" w:pos="2268"/>
        </w:tabs>
        <w:ind w:left="426" w:hanging="426"/>
        <w:rPr>
          <w:rFonts w:cs="Arial"/>
        </w:rPr>
      </w:pPr>
      <w:r>
        <w:rPr>
          <w:rFonts w:cs="Arial"/>
        </w:rPr>
        <w:t>1.</w:t>
      </w:r>
      <w:r>
        <w:rPr>
          <w:rFonts w:cs="Arial"/>
        </w:rPr>
        <w:tab/>
        <w:t>die Materialien die Werte nach Anlage 1 Tabelle 4 dieser Verordnung einhalten oder nach Anlage 1 Tabelle 3 der Ersatzbaustoffverordnung als Bodenmaterial der Klasse 0* oder Baggergut der Klasse 0* – BM-0* oder BG-0* – klassifiziert wurden,</w:t>
      </w:r>
    </w:p>
    <w:p>
      <w:pPr>
        <w:pStyle w:val="GesAbsatz"/>
        <w:tabs>
          <w:tab w:val="clear" w:pos="425"/>
          <w:tab w:val="left" w:pos="2268"/>
        </w:tabs>
        <w:ind w:left="426" w:hanging="426"/>
        <w:rPr>
          <w:rFonts w:cs="Arial"/>
        </w:rPr>
      </w:pPr>
      <w:r>
        <w:rPr>
          <w:rFonts w:cs="Arial"/>
        </w:rPr>
        <w:t>2.</w:t>
      </w:r>
      <w:r>
        <w:rPr>
          <w:rFonts w:cs="Arial"/>
        </w:rPr>
        <w:tab/>
        <w:t>auf Grund von Herkunft und bisheriger Nutzung keine Hinweise auf weitere Belastungen der Materialien vorliegen,</w:t>
      </w:r>
    </w:p>
    <w:p>
      <w:pPr>
        <w:pStyle w:val="GesAbsatz"/>
        <w:tabs>
          <w:tab w:val="clear" w:pos="425"/>
          <w:tab w:val="left" w:pos="2268"/>
        </w:tabs>
        <w:ind w:left="426" w:hanging="426"/>
        <w:rPr>
          <w:rFonts w:cs="Arial"/>
        </w:rPr>
      </w:pPr>
      <w:r>
        <w:rPr>
          <w:rFonts w:cs="Arial"/>
        </w:rPr>
        <w:t>3.</w:t>
      </w:r>
      <w:r>
        <w:rPr>
          <w:rFonts w:cs="Arial"/>
        </w:rPr>
        <w:tab/>
        <w:t>die Materialien gemessen vom tiefsten Punkt der Auf- oder Einbringung in einem Abstand von mindestens 1 Meter zum höchsten aus Messdaten ermittelten oder abgeleiteten sowie jeweils von nicht dauerhafter, künstlicher Grundwasserabsenkung unbeeinflussten Grundwasserstand am Auf- und Einbringungsort zuzüglich eines Sicherheitsabstands von 0,5 Meter auf- oder eingebracht werden und</w:t>
      </w:r>
    </w:p>
    <w:p>
      <w:pPr>
        <w:pStyle w:val="GesAbsatz"/>
        <w:tabs>
          <w:tab w:val="clear" w:pos="425"/>
          <w:tab w:val="left" w:pos="2268"/>
        </w:tabs>
        <w:ind w:left="426" w:hanging="426"/>
        <w:rPr>
          <w:rFonts w:cs="Arial"/>
        </w:rPr>
      </w:pPr>
      <w:r>
        <w:rPr>
          <w:rFonts w:cs="Arial"/>
        </w:rPr>
        <w:t>4.</w:t>
      </w:r>
      <w:r>
        <w:rPr>
          <w:rFonts w:cs="Arial"/>
        </w:rPr>
        <w:tab/>
        <w:t>oberhalb der auf- oder eingebrachten Materialien eine mindestens 2 Meter mächtige durchwurzelbare Bodenschicht gemäß den Anforderungen der §§ 6 und 7 aufgebracht wird, soweit auf der betreffenden Fläche nicht ein technisches Bauwerk errichtet werden soll. Die zuständige Behörde kann im Einzelfall geringere Mächtigkeiten gestatten, wenn nachgewiesen ist, dass eine schädliche Bodenveränderung nicht zu besorgen ist.</w:t>
      </w:r>
    </w:p>
    <w:p>
      <w:pPr>
        <w:pStyle w:val="GesAbsatz"/>
        <w:tabs>
          <w:tab w:val="clear" w:pos="425"/>
          <w:tab w:val="left" w:pos="2268"/>
        </w:tabs>
        <w:rPr>
          <w:rFonts w:cs="Arial"/>
        </w:rPr>
      </w:pPr>
      <w:r>
        <w:rPr>
          <w:rFonts w:cs="Arial"/>
        </w:rPr>
        <w:t>(4) Sind die Anforderungen nach Absatz 2 oder 3 erfüllt, bedarf das Auf- oder Einbringen keiner Erlaubnis nach § 8 Absatz 1 des Wasserhaushaltsgesetzes.</w:t>
      </w:r>
    </w:p>
    <w:p>
      <w:pPr>
        <w:pStyle w:val="GesAbsatz"/>
        <w:tabs>
          <w:tab w:val="clear" w:pos="425"/>
          <w:tab w:val="left" w:pos="2268"/>
        </w:tabs>
        <w:rPr>
          <w:rFonts w:cs="Arial"/>
        </w:rPr>
      </w:pPr>
      <w:r>
        <w:rPr>
          <w:rFonts w:cs="Arial"/>
        </w:rPr>
        <w:t>(5) Bei Vorliegen der Voraussetzungen nach Absatz 2 ist das Auf- und Einbringen von Materialien abweichend von Absatz 2 nicht zulässig in Wasserschutzgebieten der Zone I und Heilquellenschutzgebieten der Zone I. Bei Vorliegen der Voraussetzungen nach Absatz 3 ist das Auf- und Einbringen von Materialien abweichend von Absatz 3 nicht zulässig in</w:t>
      </w:r>
    </w:p>
    <w:p>
      <w:pPr>
        <w:pStyle w:val="GesAbsatz"/>
        <w:tabs>
          <w:tab w:val="clear" w:pos="425"/>
          <w:tab w:val="left" w:pos="2268"/>
        </w:tabs>
        <w:ind w:left="426" w:hanging="426"/>
        <w:rPr>
          <w:rFonts w:cs="Arial"/>
        </w:rPr>
      </w:pPr>
      <w:r>
        <w:rPr>
          <w:rFonts w:cs="Arial"/>
        </w:rPr>
        <w:t>1.</w:t>
      </w:r>
      <w:r>
        <w:rPr>
          <w:rFonts w:cs="Arial"/>
        </w:rPr>
        <w:tab/>
        <w:t>Wasserschutzgebieten der Zonen I und II,</w:t>
      </w:r>
    </w:p>
    <w:p>
      <w:pPr>
        <w:pStyle w:val="GesAbsatz"/>
        <w:tabs>
          <w:tab w:val="clear" w:pos="425"/>
          <w:tab w:val="left" w:pos="2268"/>
        </w:tabs>
        <w:ind w:left="426" w:hanging="426"/>
        <w:rPr>
          <w:rFonts w:cs="Arial"/>
        </w:rPr>
      </w:pPr>
      <w:r>
        <w:rPr>
          <w:rFonts w:cs="Arial"/>
        </w:rPr>
        <w:t>2.</w:t>
      </w:r>
      <w:r>
        <w:rPr>
          <w:rFonts w:cs="Arial"/>
        </w:rPr>
        <w:tab/>
        <w:t>Heilquellenschutzgebieten der Zonen I und II,</w:t>
      </w:r>
    </w:p>
    <w:p>
      <w:pPr>
        <w:pStyle w:val="GesAbsatz"/>
        <w:tabs>
          <w:tab w:val="clear" w:pos="425"/>
          <w:tab w:val="left" w:pos="2268"/>
        </w:tabs>
        <w:ind w:left="426" w:hanging="426"/>
        <w:rPr>
          <w:rFonts w:cs="Arial"/>
        </w:rPr>
      </w:pPr>
      <w:r>
        <w:rPr>
          <w:rFonts w:cs="Arial"/>
        </w:rPr>
        <w:t>3.</w:t>
      </w:r>
      <w:r>
        <w:rPr>
          <w:rFonts w:cs="Arial"/>
        </w:rPr>
        <w:tab/>
        <w:t>empfindlichen Gebieten, wie insbesondere Karstgebieten und Gebieten mit stark klüftigem, besonders wasserwegsamem Untergrund.</w:t>
      </w:r>
    </w:p>
    <w:p>
      <w:pPr>
        <w:pStyle w:val="GesAbsatz"/>
        <w:tabs>
          <w:tab w:val="clear" w:pos="425"/>
          <w:tab w:val="left" w:pos="2268"/>
        </w:tabs>
        <w:rPr>
          <w:rFonts w:cs="Arial"/>
        </w:rPr>
      </w:pPr>
      <w:r>
        <w:rPr>
          <w:rFonts w:cs="Arial"/>
        </w:rPr>
        <w:t xml:space="preserve">Die für den Schutz der in den Sätzen 1 und 2 genannten Flächen zuständige Behörde kann im Benehmen mit der für den Bodenschutz zuständigen Behörde Abweichungen von den Sätzen 1 und 2 zulassen, wenn das Auf- oder Einbringen zum Schutz des Grundwassers erforderlich ist. In empfindlichen Gebieten nach Satz 2 Nummer 3 kann das Auf- oder Einbringen von Materialien bis zur Höhe der Vorsorgewerte für die Bodenart </w:t>
      </w:r>
      <w:r>
        <w:rPr>
          <w:rFonts w:cs="Arial"/>
        </w:rPr>
        <w:lastRenderedPageBreak/>
        <w:t>Ton nach Anlage 1 Tabelle 1 und 2 auch zugelassen werden, wenn günstige Materialeigenschaften und Standortbedingungen vorliegen. Regelungen aufgrund der §§ 51 bis 53 des Wasserhaushaltsgesetzes bleiben unberührt.</w:t>
      </w:r>
    </w:p>
    <w:p>
      <w:pPr>
        <w:pStyle w:val="GesAbsatz"/>
        <w:tabs>
          <w:tab w:val="clear" w:pos="425"/>
          <w:tab w:val="left" w:pos="2268"/>
        </w:tabs>
        <w:rPr>
          <w:rFonts w:cs="Arial"/>
        </w:rPr>
      </w:pPr>
      <w:r>
        <w:rPr>
          <w:rFonts w:cs="Arial"/>
        </w:rPr>
        <w:t>(6) Die für die Zulassung der Verfüllung einer Abgrabung oder eines Tagebaus zuständige Behörde kann im Einvernehmen mit der für den Bodenschutz zuständigen Behörde das Auf- oder Einbringen anderer als der in Absatz 1 genannten mineralischen Materialien gestatten, wenn sie die Anforderungen nach Absatz 2 oder 3 erfüllen und die Werte nach Anlage 1 Tabelle 5 einhalten, dies bau- oder betriebstechnisch erforderlich ist und der Anteil der Materialien 5 Prozent des im Rahmen des Vorhabens jährlich verfüllten Volumens nicht überschreitet.</w:t>
      </w:r>
    </w:p>
    <w:p>
      <w:pPr>
        <w:pStyle w:val="GesAbsatz"/>
        <w:tabs>
          <w:tab w:val="clear" w:pos="425"/>
          <w:tab w:val="left" w:pos="2268"/>
        </w:tabs>
        <w:rPr>
          <w:rFonts w:cs="Arial"/>
        </w:rPr>
      </w:pPr>
      <w:r>
        <w:rPr>
          <w:rFonts w:cs="Arial"/>
        </w:rPr>
        <w:t>(7) Die für die Zulassung der Verfüllung einer Abgrabung zuständige Behörde kann im Einvernehmen mit der für den Bodenschutz zuständigen Behörde das Auf- oder Einbringen von in Absatz 1 genannten Materialien gestatten, die die Werte nach Anlage 1 Tabelle 4 nicht erheblich überschreiten, wenn nachgewiesen ist, dass trotz der Überschreitung eine ordnungsgemäße und schadlose Verwertung erfolgt. Dabei sind die Standortverhältnisse, insbesondere die geologischen und hydrogeologischen Bedingungen, die natürlichen Bodenfunktionen des Untergrundes und der Umgebung sowie etwa bereits vorhandene Verfüllkörper zu berücksichtigen. Die für die Zulassung zuständige Behörde kann von dem Träger des Vorhabens, soweit erforderlich, die Durchführung von Eigenkontrollmaßnahmen, insbesondere Boden- und Wasseruntersuchungen sowie die Einrichtung und den Betrieb von Messstellen verlangen. § 15 Absatz 2 Satz 2 bis 4 und Absatz 3 des Bundes-Bodenschutzgesetzes gelten entsprechend. Der Standort des Vorhabens kann in bestehende Bodenkataster oder sonstige Verzeichnisse aufgenommen werden. Die Sätze 1 bis 5 gelten entsprechend für das Auf- oder Einbringen anderer als der in Absatz 1 genannten mineralischen Materialien, die die Werte nach Anlage 1 Tabelle 4 und 5 einhalten oder nicht erheblich überschreiten und sich als Ausgangsmaterial für eine Bodenbildung eignen. Absatz 3 Nummer 4 gilt entsprechend.</w:t>
      </w:r>
    </w:p>
    <w:p>
      <w:pPr>
        <w:pStyle w:val="GesAbsatz"/>
        <w:tabs>
          <w:tab w:val="clear" w:pos="425"/>
          <w:tab w:val="left" w:pos="2268"/>
        </w:tabs>
        <w:rPr>
          <w:rFonts w:cs="Arial"/>
        </w:rPr>
      </w:pPr>
      <w:r>
        <w:rPr>
          <w:rFonts w:cs="Arial"/>
        </w:rPr>
        <w:t>(8) Die Länder können Regelungen treffen, dass auch andere als die in Absatz 1 genannten Materialien zur Verfüllung genutzt werden und Überschreitungen der Werte nach Anlage 1 Tabellen 4 und 5 zulässig sind, wenn nachgewiesen wird, dass eine ordnungsgemäße und schadlose Verwertung erfolgt.</w:t>
      </w:r>
    </w:p>
    <w:p>
      <w:pPr>
        <w:pStyle w:val="berschrift2"/>
      </w:pPr>
      <w:bookmarkStart w:id="12" w:name="_Toc128479829"/>
      <w:r>
        <w:t>Abschnitt 3</w:t>
      </w:r>
      <w:r>
        <w:br/>
        <w:t>Abwehr und Sanierung schädlicher Bodenveränderungen und Altlasten</w:t>
      </w:r>
      <w:bookmarkEnd w:id="12"/>
    </w:p>
    <w:p>
      <w:pPr>
        <w:pStyle w:val="berschrift2"/>
      </w:pPr>
      <w:bookmarkStart w:id="13" w:name="_Toc128479830"/>
      <w:r>
        <w:t>Unterabschnitt 1</w:t>
      </w:r>
      <w:r>
        <w:br/>
        <w:t>Gefahrenabwehr bei Bodenerosion</w:t>
      </w:r>
      <w:bookmarkEnd w:id="13"/>
    </w:p>
    <w:p>
      <w:pPr>
        <w:pStyle w:val="berschrift3"/>
      </w:pPr>
      <w:bookmarkStart w:id="14" w:name="_Toc128479831"/>
      <w:r>
        <w:t>§ 9</w:t>
      </w:r>
      <w:r>
        <w:br/>
        <w:t>Gefahrenabwehr bei Bodenerosion durch Wasser oder Wind</w:t>
      </w:r>
      <w:bookmarkEnd w:id="14"/>
    </w:p>
    <w:p>
      <w:pPr>
        <w:pStyle w:val="GesAbsatz"/>
        <w:tabs>
          <w:tab w:val="clear" w:pos="425"/>
          <w:tab w:val="left" w:pos="2268"/>
        </w:tabs>
        <w:rPr>
          <w:rFonts w:cs="Arial"/>
        </w:rPr>
      </w:pPr>
      <w:r>
        <w:rPr>
          <w:rFonts w:cs="Arial"/>
        </w:rPr>
        <w:t>(1) Von dem Vorliegen einer schädlichen Bodenveränderung auf Grund von Bodenerosion durch Wasser oder Wind ist insbesondere auszugehen, wenn erhebliche Mengen Bodenmaterial von einer Erosionsfläche durch Oberflächenabfluss oder Abwehung abgetragen wurden und weitere erhebliche Bodenabträge zu erwarten sind.</w:t>
      </w:r>
    </w:p>
    <w:p>
      <w:pPr>
        <w:pStyle w:val="GesAbsatz"/>
        <w:tabs>
          <w:tab w:val="clear" w:pos="425"/>
          <w:tab w:val="left" w:pos="2268"/>
        </w:tabs>
        <w:rPr>
          <w:rFonts w:cs="Arial"/>
        </w:rPr>
      </w:pPr>
      <w:r>
        <w:rPr>
          <w:rFonts w:cs="Arial"/>
        </w:rPr>
        <w:t>Weitere Bodenabträge nach einem Erosionsereignis sind im Sinne des Satzes 1 zu erwarten, wenn</w:t>
      </w:r>
    </w:p>
    <w:p>
      <w:pPr>
        <w:pStyle w:val="GesAbsatz"/>
        <w:tabs>
          <w:tab w:val="clear" w:pos="425"/>
          <w:tab w:val="left" w:pos="2268"/>
        </w:tabs>
        <w:ind w:left="426" w:hanging="426"/>
        <w:rPr>
          <w:rFonts w:cs="Arial"/>
        </w:rPr>
      </w:pPr>
      <w:r>
        <w:rPr>
          <w:rFonts w:cs="Arial"/>
        </w:rPr>
        <w:t>1.</w:t>
      </w:r>
      <w:r>
        <w:rPr>
          <w:rFonts w:cs="Arial"/>
        </w:rPr>
        <w:tab/>
        <w:t>in den zurückliegenden zehn Jahren bereits mindestens in einem weiteren Fall erhebliche Mengen Bodenmaterial von derselben Erosionsfläche abgetragen wurden oder</w:t>
      </w:r>
    </w:p>
    <w:p>
      <w:pPr>
        <w:pStyle w:val="GesAbsatz"/>
        <w:tabs>
          <w:tab w:val="clear" w:pos="425"/>
          <w:tab w:val="left" w:pos="2268"/>
        </w:tabs>
        <w:ind w:left="426" w:hanging="426"/>
        <w:rPr>
          <w:rFonts w:cs="Arial"/>
        </w:rPr>
      </w:pPr>
      <w:r>
        <w:rPr>
          <w:rFonts w:cs="Arial"/>
        </w:rPr>
        <w:t>2.</w:t>
      </w:r>
      <w:r>
        <w:rPr>
          <w:rFonts w:cs="Arial"/>
        </w:rPr>
        <w:tab/>
        <w:t>sich aus den Standortdaten und den Daten über die langjährigen Niederschlags- oder Wind- und Witterungsverhältnisse des Gebietes ergibt, dass in einem Zeitraum von zehn Jahren mit hinreichender Wahrscheinlichkeit erneut mit Bodenabträgen gemäß Satz 1 zu rechnen ist.</w:t>
      </w:r>
    </w:p>
    <w:p>
      <w:pPr>
        <w:pStyle w:val="GesAbsatz"/>
        <w:tabs>
          <w:tab w:val="clear" w:pos="425"/>
          <w:tab w:val="left" w:pos="2268"/>
        </w:tabs>
        <w:rPr>
          <w:rFonts w:cs="Arial"/>
        </w:rPr>
      </w:pPr>
      <w:r>
        <w:rPr>
          <w:rFonts w:cs="Arial"/>
        </w:rPr>
        <w:t>(2) Anhaltspunkte für das Vorliegen einer schädlichen Bodenveränderung auf Grund von Bodenerosion durch Wasser oder Wind ergeben sich insbesondere, wenn sich auf einer Fläche Erosionsformen oder -schäden in erheblichem Ausmaß zeigen oder außerhalb einer möglichen Erosionsfläche gelegene Bereiche durch erhebliche Mengen abgetragenen Bodenmaterials befrachtet wurden.</w:t>
      </w:r>
    </w:p>
    <w:p>
      <w:pPr>
        <w:pStyle w:val="GesAbsatz"/>
        <w:tabs>
          <w:tab w:val="clear" w:pos="425"/>
          <w:tab w:val="left" w:pos="2268"/>
        </w:tabs>
        <w:rPr>
          <w:rFonts w:cs="Arial"/>
        </w:rPr>
      </w:pPr>
      <w:r>
        <w:rPr>
          <w:rFonts w:cs="Arial"/>
        </w:rPr>
        <w:t>(3) Bestehen Anhaltspunkte nach Absatz 2, hat die zuständige Behörde festzustellen, auf welche Erosionsfläche der Bodenabtrag zurückzuführen ist und abzuschätzen, in welchem Umfang Bodenmaterial abgetragen wurde und mit welcher Wahrscheinlichkeit weitere Bodenabträge zu erwarten sind. Besteht auf Grund dieser Ermittlungen der hinreichende Verdacht einer schädlichen Bodenveränderung, kann die zuständige Behörde Anordnungen nach § 9 Absatz 2 des Bundes-Bodenschutzgesetzes treffen.</w:t>
      </w:r>
    </w:p>
    <w:p>
      <w:pPr>
        <w:pStyle w:val="GesAbsatz"/>
        <w:tabs>
          <w:tab w:val="clear" w:pos="425"/>
          <w:tab w:val="left" w:pos="2268"/>
        </w:tabs>
        <w:rPr>
          <w:rFonts w:cs="Arial"/>
        </w:rPr>
      </w:pPr>
      <w:r>
        <w:rPr>
          <w:rFonts w:cs="Arial"/>
        </w:rPr>
        <w:t>(4) Zur Bewertung der Erosionsgefährdung ist in der Regel die DIN 19708 oder die DIN 19706 heranzuziehen.</w:t>
      </w:r>
    </w:p>
    <w:p>
      <w:pPr>
        <w:pStyle w:val="GesAbsatz"/>
        <w:tabs>
          <w:tab w:val="clear" w:pos="425"/>
          <w:tab w:val="left" w:pos="2268"/>
        </w:tabs>
        <w:rPr>
          <w:rFonts w:cs="Arial"/>
        </w:rPr>
      </w:pPr>
      <w:r>
        <w:rPr>
          <w:rFonts w:cs="Arial"/>
        </w:rPr>
        <w:lastRenderedPageBreak/>
        <w:t>(5) Wird die Erosionsfläche landwirtschaftlich genutzt, soll die nach Landesrecht zuständige landwirtschaftliche Beratungsstelle bei ihrer Beratungstätigkeit einzelfallbezogene erosionsmindernde Maßnahmen für die Bewirtschaftung der Erosionsfläche empfehlen. Maßnahmen zur Gefahrenabwehr im Einzelfall werden von der zuständigen Behörde nach § 10 Absatz 1 Satz 1 des Bundes-Bodenschutzgesetzes im Einvernehmen mit der zuständigen Landwirtschaftsbehörde getroffen. Maßnahmen nach Satz 2 können auch solche sein, die sich aus den Grundsätzen der guten fachlichen Praxis nach § 17 Absatz 2 des Bundes-Bodenschutzgesetzes ergeben.</w:t>
      </w:r>
    </w:p>
    <w:p>
      <w:pPr>
        <w:pStyle w:val="berschrift2"/>
      </w:pPr>
      <w:bookmarkStart w:id="15" w:name="_Toc128479832"/>
      <w:r>
        <w:t>Unterabschnitt 2</w:t>
      </w:r>
      <w:r>
        <w:br/>
        <w:t xml:space="preserve">Untersuchung, Bewertung und Sanierung </w:t>
      </w:r>
      <w:r>
        <w:br/>
        <w:t>schädlicher Bodenveränderungen und Altlasten</w:t>
      </w:r>
      <w:bookmarkEnd w:id="15"/>
    </w:p>
    <w:p>
      <w:pPr>
        <w:pStyle w:val="berschrift3"/>
      </w:pPr>
      <w:bookmarkStart w:id="16" w:name="_Toc128479833"/>
      <w:r>
        <w:t>§ 10</w:t>
      </w:r>
      <w:r>
        <w:br/>
        <w:t>Erforderlichkeit von Untersuchungen</w:t>
      </w:r>
      <w:bookmarkEnd w:id="16"/>
    </w:p>
    <w:p>
      <w:pPr>
        <w:pStyle w:val="GesAbsatz"/>
        <w:tabs>
          <w:tab w:val="clear" w:pos="425"/>
          <w:tab w:val="left" w:pos="2268"/>
        </w:tabs>
        <w:rPr>
          <w:rFonts w:cs="Arial"/>
        </w:rPr>
      </w:pPr>
      <w:r>
        <w:rPr>
          <w:rFonts w:cs="Arial"/>
        </w:rPr>
        <w:t>(1) Anhaltspunkte im Sinne des § 9 Absatz 1 Satz 1 des Bundes-Bodenschutzgesetzes für das Vorliegen einer Altlast bestehen bei einem Altstandort insbesondere, wenn auf Grundstücken über einen längeren Zeitraum oder in erheblicher Menge mit Schadstoffen umgegangen wurde und die jeweilige Betriebs-, Bewirtschaftungs- oder Verfahrensweise oder Störungen des bestimmungsgemäßen Betriebs nicht unerhebliche Einträge solcher Stoffe in den Boden vermuten lassen. Die jeweilige Betriebsweise lässt einen solchen Eintrag insbesondere vermuten, wenn die angewendeten Sicherheitsmaßnahmen erheblich vom heutigen Stand der Technik abweichen. Bei Altablagerungen sind diese Anhaltspunkte insbesondere dann gegeben, wenn die Art des Betriebs oder der Zeitpunkt der Stilllegung den Verdacht nahelegen, dass Abfälle nicht sachgerecht behandelt, gelagert oder abgelagert wurden.</w:t>
      </w:r>
    </w:p>
    <w:p>
      <w:pPr>
        <w:pStyle w:val="GesAbsatz"/>
        <w:tabs>
          <w:tab w:val="clear" w:pos="425"/>
          <w:tab w:val="left" w:pos="2268"/>
        </w:tabs>
        <w:rPr>
          <w:rFonts w:cs="Arial"/>
        </w:rPr>
      </w:pPr>
      <w:r>
        <w:rPr>
          <w:rFonts w:cs="Arial"/>
        </w:rPr>
        <w:t>(2) Absatz 1 Satz 1 gilt für schädliche Bodenveränderungen durch Schadstoffe entsprechend. Anhaltspunkte für das Vorliegen einer schädlichen Bodenveränderung ergeben sich auch durch Hinweise auf</w:t>
      </w:r>
    </w:p>
    <w:p>
      <w:pPr>
        <w:pStyle w:val="GesAbsatz"/>
        <w:tabs>
          <w:tab w:val="clear" w:pos="425"/>
          <w:tab w:val="left" w:pos="2268"/>
        </w:tabs>
        <w:ind w:left="426" w:hanging="426"/>
        <w:rPr>
          <w:rFonts w:cs="Arial"/>
        </w:rPr>
      </w:pPr>
      <w:r>
        <w:rPr>
          <w:rFonts w:cs="Arial"/>
        </w:rPr>
        <w:t>1.</w:t>
      </w:r>
      <w:r>
        <w:rPr>
          <w:rFonts w:cs="Arial"/>
        </w:rPr>
        <w:tab/>
        <w:t>den Eintrag von Schadstoffen über einen längeren Zeitraum oder in erheblicher Menge über die Luft oder Gewässer oder durch eine Aufbringung erheblicher Frachten an Abfällen oder Abwässern auf Böden,</w:t>
      </w:r>
    </w:p>
    <w:p>
      <w:pPr>
        <w:pStyle w:val="GesAbsatz"/>
        <w:tabs>
          <w:tab w:val="clear" w:pos="425"/>
          <w:tab w:val="left" w:pos="2268"/>
        </w:tabs>
        <w:ind w:left="426" w:hanging="426"/>
        <w:rPr>
          <w:rFonts w:cs="Arial"/>
        </w:rPr>
      </w:pPr>
      <w:r>
        <w:rPr>
          <w:rFonts w:cs="Arial"/>
        </w:rPr>
        <w:t>2.</w:t>
      </w:r>
      <w:r>
        <w:rPr>
          <w:rFonts w:cs="Arial"/>
        </w:rPr>
        <w:tab/>
        <w:t>eine erhebliche Freisetzung von Schadstoffen aus Böden mit naturbedingt höheren Gehalten,</w:t>
      </w:r>
    </w:p>
    <w:p>
      <w:pPr>
        <w:pStyle w:val="GesAbsatz"/>
        <w:tabs>
          <w:tab w:val="clear" w:pos="425"/>
          <w:tab w:val="left" w:pos="2268"/>
        </w:tabs>
        <w:ind w:left="426" w:hanging="426"/>
        <w:rPr>
          <w:rFonts w:cs="Arial"/>
        </w:rPr>
      </w:pPr>
      <w:r>
        <w:rPr>
          <w:rFonts w:cs="Arial"/>
        </w:rPr>
        <w:t>3.</w:t>
      </w:r>
      <w:r>
        <w:rPr>
          <w:rFonts w:cs="Arial"/>
        </w:rPr>
        <w:tab/>
        <w:t>erhöhte Schadstoffgehalte in Nahrungs- oder Futterpflanzen am Standort oder</w:t>
      </w:r>
    </w:p>
    <w:p>
      <w:pPr>
        <w:pStyle w:val="GesAbsatz"/>
        <w:tabs>
          <w:tab w:val="clear" w:pos="425"/>
          <w:tab w:val="left" w:pos="2268"/>
        </w:tabs>
        <w:ind w:left="426" w:hanging="426"/>
        <w:rPr>
          <w:rFonts w:cs="Arial"/>
        </w:rPr>
      </w:pPr>
      <w:r>
        <w:rPr>
          <w:rFonts w:cs="Arial"/>
        </w:rPr>
        <w:t>4.</w:t>
      </w:r>
      <w:r>
        <w:rPr>
          <w:rFonts w:cs="Arial"/>
        </w:rPr>
        <w:tab/>
        <w:t>das Austreten von Wasser mit erheblichen Frachten an Schadstoffen aus Böden oder Altablagerungen</w:t>
      </w:r>
    </w:p>
    <w:p>
      <w:pPr>
        <w:pStyle w:val="GesAbsatz"/>
        <w:tabs>
          <w:tab w:val="clear" w:pos="425"/>
          <w:tab w:val="left" w:pos="2268"/>
        </w:tabs>
        <w:rPr>
          <w:rFonts w:cs="Arial"/>
        </w:rPr>
      </w:pPr>
      <w:r>
        <w:rPr>
          <w:rFonts w:cs="Arial"/>
        </w:rPr>
        <w:t>sowie aus Erkenntnissen auf Grund allgemeiner Untersuchungen oder von Erfahrungswerten aus Vergleichssituationen insbesondere zur Ausbreitung von Schadstoffen.</w:t>
      </w:r>
    </w:p>
    <w:p>
      <w:pPr>
        <w:pStyle w:val="GesAbsatz"/>
        <w:tabs>
          <w:tab w:val="clear" w:pos="425"/>
          <w:tab w:val="left" w:pos="2268"/>
        </w:tabs>
        <w:rPr>
          <w:rFonts w:cs="Arial"/>
        </w:rPr>
      </w:pPr>
      <w:r>
        <w:rPr>
          <w:rFonts w:cs="Arial"/>
        </w:rPr>
        <w:t>(3) Bestehen Anhaltspunkte für das Vorliegen einer Altlast oder einer schädlichen Bodenveränderung, soll die altlastverdächtige Fläche oder die Verdachtsfläche zunächst einer orientierenden Untersuchung nach § 12 unterzogen werden.</w:t>
      </w:r>
    </w:p>
    <w:p>
      <w:pPr>
        <w:pStyle w:val="GesAbsatz"/>
        <w:tabs>
          <w:tab w:val="clear" w:pos="425"/>
          <w:tab w:val="left" w:pos="2268"/>
        </w:tabs>
        <w:rPr>
          <w:rFonts w:cs="Arial"/>
        </w:rPr>
      </w:pPr>
      <w:r>
        <w:rPr>
          <w:rFonts w:cs="Arial"/>
        </w:rPr>
        <w:t>(4) Konkrete Anhaltspunkte, die den hinreichenden Verdacht einer schädlichen Bodenveränderung oder Altlast im Sinne des § 9 Absatz 2 Satz 1 des Bundes- Bodenschutzgesetzes begründen, liegen in der Regel vor, wenn Untersuchungen eine Überschreitung von Prüfwerten nach Anlage 2 Tabelle 2 bis 4 oder 6 bis 8 ergeben oder wenn auf Grund einer Sickerwasserprognose eine Überschreitung von Prüfwerten nach Anlage 2 Tabelle 2 oder 3 zu erwarten ist.</w:t>
      </w:r>
    </w:p>
    <w:p>
      <w:pPr>
        <w:pStyle w:val="GesAbsatz"/>
        <w:tabs>
          <w:tab w:val="clear" w:pos="425"/>
          <w:tab w:val="left" w:pos="2268"/>
        </w:tabs>
        <w:rPr>
          <w:rFonts w:cs="Arial"/>
        </w:rPr>
      </w:pPr>
      <w:r>
        <w:rPr>
          <w:rFonts w:cs="Arial"/>
        </w:rPr>
        <w:t>(5) Besteht der hinreichende Verdacht einer schädlichen Bodenveränderung oder Altlast, soll eine Detailuntersuchung nach § 13 durchgeführt werden. Von einer Detailuntersuchung kann abgesehen werden, wenn Gefahren, erhebliche Nachteile oder erhebliche Belästigungen nach Feststellung der zuständigen Behörde mit einfachen Mitteln abgewehrt oder auf andere Weise beseitigt werden können.</w:t>
      </w:r>
    </w:p>
    <w:p>
      <w:pPr>
        <w:pStyle w:val="GesAbsatz"/>
        <w:tabs>
          <w:tab w:val="clear" w:pos="425"/>
          <w:tab w:val="left" w:pos="2268"/>
        </w:tabs>
        <w:rPr>
          <w:rFonts w:cs="Arial"/>
        </w:rPr>
      </w:pPr>
      <w:r>
        <w:rPr>
          <w:rFonts w:cs="Arial"/>
        </w:rPr>
        <w:t>(6) Wenn auf Grund der örtlichen Umstände oder nach den Ergebnissen von Bodenluft- oder Deponiegasuntersuchungen Anhaltspunkte für die Ausbreitung von flüchtigen Schadstoffen aus einer Verdachtsfläche oder altlastverdächtigen Fläche in Gebäude bestehen, soll im Rahmen der Detailuntersuchung eine Untersuchung der Innenraumluft erfolgen; die Aufgaben und Befugnisse anderer Behörden bleiben unberührt.</w:t>
      </w:r>
    </w:p>
    <w:p>
      <w:pPr>
        <w:pStyle w:val="GesAbsatz"/>
        <w:tabs>
          <w:tab w:val="clear" w:pos="425"/>
          <w:tab w:val="left" w:pos="2268"/>
        </w:tabs>
        <w:rPr>
          <w:rFonts w:cs="Arial"/>
        </w:rPr>
      </w:pPr>
      <w:r>
        <w:rPr>
          <w:rFonts w:cs="Arial"/>
        </w:rPr>
        <w:t>(7) Im Rahmen von Untersuchungsanordnungen nach § 9 Absatz 2 Satz 1 des Bundes-Bodenschutzgesetzes können auch wiederkehrende Untersuchungen der Schadstoffausbreitung und der hierfür maßgebenden Umstände angeordnet werden.</w:t>
      </w:r>
    </w:p>
    <w:p>
      <w:pPr>
        <w:pStyle w:val="berschrift3"/>
      </w:pPr>
      <w:bookmarkStart w:id="17" w:name="_Toc128479834"/>
      <w:r>
        <w:lastRenderedPageBreak/>
        <w:t>§ 11</w:t>
      </w:r>
      <w:r>
        <w:br/>
        <w:t>Allgemeine Anforderungen an Untersuchungen</w:t>
      </w:r>
      <w:bookmarkEnd w:id="17"/>
    </w:p>
    <w:p>
      <w:pPr>
        <w:pStyle w:val="GesAbsatz"/>
        <w:tabs>
          <w:tab w:val="clear" w:pos="425"/>
          <w:tab w:val="left" w:pos="2268"/>
        </w:tabs>
        <w:rPr>
          <w:rFonts w:cs="Arial"/>
        </w:rPr>
      </w:pPr>
      <w:r>
        <w:rPr>
          <w:rFonts w:cs="Arial"/>
        </w:rPr>
        <w:t>(1) Bei der Festlegung des Untersuchungsumfangs sind alle verfügbaren Informationen, insbesondere die Kenntnisse oder begründeten Vermutungen über das Vorkommen bestimmter Schadstoffe und deren Verteilung, die sich im Sinne des § 4 Absatz 4 des Bundes- Bodenschutzgesetzes ergebenden Schutzbedürfnisse sowie die sonstigen beurteilungserheblichen örtlichen Umstände zu berücksichtigen.</w:t>
      </w:r>
    </w:p>
    <w:p>
      <w:pPr>
        <w:pStyle w:val="GesAbsatz"/>
        <w:tabs>
          <w:tab w:val="clear" w:pos="425"/>
          <w:tab w:val="left" w:pos="2268"/>
        </w:tabs>
        <w:rPr>
          <w:rFonts w:cs="Arial"/>
        </w:rPr>
      </w:pPr>
      <w:r>
        <w:rPr>
          <w:rFonts w:cs="Arial"/>
        </w:rPr>
        <w:t>(2) Bei der Untersuchung zum Wirkungspfad Boden-Mensch sind als Nutzungen zu unterscheiden:</w:t>
      </w:r>
    </w:p>
    <w:p>
      <w:pPr>
        <w:pStyle w:val="GesAbsatz"/>
        <w:tabs>
          <w:tab w:val="clear" w:pos="425"/>
          <w:tab w:val="left" w:pos="2268"/>
        </w:tabs>
        <w:ind w:left="426" w:hanging="426"/>
        <w:rPr>
          <w:rFonts w:cs="Arial"/>
        </w:rPr>
      </w:pPr>
      <w:r>
        <w:rPr>
          <w:rFonts w:cs="Arial"/>
        </w:rPr>
        <w:t>1.</w:t>
      </w:r>
      <w:r>
        <w:rPr>
          <w:rFonts w:cs="Arial"/>
        </w:rPr>
        <w:tab/>
        <w:t>Kinderspielflächen,</w:t>
      </w:r>
    </w:p>
    <w:p>
      <w:pPr>
        <w:pStyle w:val="GesAbsatz"/>
        <w:tabs>
          <w:tab w:val="clear" w:pos="425"/>
          <w:tab w:val="left" w:pos="2268"/>
        </w:tabs>
        <w:ind w:left="426" w:hanging="426"/>
        <w:rPr>
          <w:rFonts w:cs="Arial"/>
        </w:rPr>
      </w:pPr>
      <w:r>
        <w:rPr>
          <w:rFonts w:cs="Arial"/>
        </w:rPr>
        <w:t>2.</w:t>
      </w:r>
      <w:r>
        <w:rPr>
          <w:rFonts w:cs="Arial"/>
        </w:rPr>
        <w:tab/>
        <w:t>Wohngebiete,</w:t>
      </w:r>
    </w:p>
    <w:p>
      <w:pPr>
        <w:pStyle w:val="GesAbsatz"/>
        <w:tabs>
          <w:tab w:val="clear" w:pos="425"/>
          <w:tab w:val="left" w:pos="2268"/>
        </w:tabs>
        <w:ind w:left="426" w:hanging="426"/>
        <w:rPr>
          <w:rFonts w:cs="Arial"/>
        </w:rPr>
      </w:pPr>
      <w:r>
        <w:rPr>
          <w:rFonts w:cs="Arial"/>
        </w:rPr>
        <w:t>3.</w:t>
      </w:r>
      <w:r>
        <w:rPr>
          <w:rFonts w:cs="Arial"/>
        </w:rPr>
        <w:tab/>
        <w:t>Park- und Freizeitanlagen sowie</w:t>
      </w:r>
    </w:p>
    <w:p>
      <w:pPr>
        <w:pStyle w:val="GesAbsatz"/>
        <w:tabs>
          <w:tab w:val="clear" w:pos="425"/>
          <w:tab w:val="left" w:pos="2268"/>
        </w:tabs>
        <w:ind w:left="426" w:hanging="426"/>
        <w:rPr>
          <w:rFonts w:cs="Arial"/>
        </w:rPr>
      </w:pPr>
      <w:r>
        <w:rPr>
          <w:rFonts w:cs="Arial"/>
        </w:rPr>
        <w:t>4.</w:t>
      </w:r>
      <w:r>
        <w:rPr>
          <w:rFonts w:cs="Arial"/>
        </w:rPr>
        <w:tab/>
        <w:t>Industrie- und Gewerbegrundstücke.</w:t>
      </w:r>
    </w:p>
    <w:p>
      <w:pPr>
        <w:pStyle w:val="GesAbsatz"/>
        <w:tabs>
          <w:tab w:val="clear" w:pos="425"/>
          <w:tab w:val="left" w:pos="2268"/>
        </w:tabs>
        <w:rPr>
          <w:rFonts w:cs="Arial"/>
        </w:rPr>
      </w:pPr>
      <w:r>
        <w:rPr>
          <w:rFonts w:cs="Arial"/>
        </w:rPr>
        <w:t>(3) Bei der Untersuchung zum Wirkungspfad Boden-Nutzpflanze sind als Nutzungen zu unterscheiden:</w:t>
      </w:r>
    </w:p>
    <w:p>
      <w:pPr>
        <w:pStyle w:val="GesAbsatz"/>
        <w:tabs>
          <w:tab w:val="clear" w:pos="425"/>
          <w:tab w:val="left" w:pos="2268"/>
        </w:tabs>
        <w:ind w:left="426" w:hanging="426"/>
        <w:rPr>
          <w:rFonts w:cs="Arial"/>
        </w:rPr>
      </w:pPr>
      <w:r>
        <w:rPr>
          <w:rFonts w:cs="Arial"/>
        </w:rPr>
        <w:t>1.</w:t>
      </w:r>
      <w:r>
        <w:rPr>
          <w:rFonts w:cs="Arial"/>
        </w:rPr>
        <w:tab/>
        <w:t>Ackerflächen und Nutzgärten sowie</w:t>
      </w:r>
    </w:p>
    <w:p>
      <w:pPr>
        <w:pStyle w:val="GesAbsatz"/>
        <w:tabs>
          <w:tab w:val="clear" w:pos="425"/>
          <w:tab w:val="left" w:pos="2268"/>
        </w:tabs>
        <w:ind w:left="426" w:hanging="426"/>
        <w:rPr>
          <w:rFonts w:cs="Arial"/>
        </w:rPr>
      </w:pPr>
      <w:r>
        <w:rPr>
          <w:rFonts w:cs="Arial"/>
        </w:rPr>
        <w:t>2.</w:t>
      </w:r>
      <w:r>
        <w:rPr>
          <w:rFonts w:cs="Arial"/>
        </w:rPr>
        <w:tab/>
        <w:t>Grünlandflächen.</w:t>
      </w:r>
    </w:p>
    <w:p>
      <w:pPr>
        <w:pStyle w:val="GesAbsatz"/>
        <w:tabs>
          <w:tab w:val="clear" w:pos="425"/>
          <w:tab w:val="left" w:pos="2268"/>
        </w:tabs>
        <w:rPr>
          <w:rFonts w:cs="Arial"/>
        </w:rPr>
      </w:pPr>
      <w:r>
        <w:rPr>
          <w:rFonts w:cs="Arial"/>
        </w:rPr>
        <w:t>(4) Probennahme und -analyse sind nach Abschnitt 4 durchzuführen.</w:t>
      </w:r>
    </w:p>
    <w:p>
      <w:pPr>
        <w:pStyle w:val="berschrift3"/>
      </w:pPr>
      <w:bookmarkStart w:id="18" w:name="_Toc128479835"/>
      <w:r>
        <w:t>§ 12</w:t>
      </w:r>
      <w:r>
        <w:br/>
        <w:t>Orientierende Untersuchung</w:t>
      </w:r>
      <w:bookmarkEnd w:id="18"/>
    </w:p>
    <w:p>
      <w:pPr>
        <w:pStyle w:val="GesAbsatz"/>
        <w:tabs>
          <w:tab w:val="clear" w:pos="425"/>
          <w:tab w:val="left" w:pos="2268"/>
        </w:tabs>
        <w:rPr>
          <w:rFonts w:cs="Arial"/>
        </w:rPr>
      </w:pPr>
      <w:r>
        <w:rPr>
          <w:rFonts w:cs="Arial"/>
        </w:rPr>
        <w:t>(1) Ziel der orientierenden Untersuchung ist, auf der Grundlage der Ergebnisse der Erfassung mit Hilfe örtlicher Untersuchungen, insbesondere Messungen, festzustellen, ob ein hinreichender Verdacht für das Vorliegen einer Altlast oder einer schädlichen Bodenveränderung besteht.</w:t>
      </w:r>
    </w:p>
    <w:p>
      <w:pPr>
        <w:pStyle w:val="GesAbsatz"/>
        <w:tabs>
          <w:tab w:val="clear" w:pos="425"/>
          <w:tab w:val="left" w:pos="2268"/>
        </w:tabs>
        <w:rPr>
          <w:rFonts w:cs="Arial"/>
        </w:rPr>
      </w:pPr>
      <w:r>
        <w:rPr>
          <w:rFonts w:cs="Arial"/>
        </w:rPr>
        <w:t>(2) Bei altlastverdächtigen Altablagerungen sollen neben der Charakterisierung des Schadstoffpotenzials des Ablagerungsmaterials insbesondere Untersuchungen der vom Abfallkörper ausgehenden Wirkungen durch Ausgasung leichtflüchtiger Stoffe und Deponiegas hinsichtlich des Übergangs von Schadstoffen in das Grundwasser durchgeführt werden.</w:t>
      </w:r>
    </w:p>
    <w:p>
      <w:pPr>
        <w:pStyle w:val="GesAbsatz"/>
        <w:tabs>
          <w:tab w:val="clear" w:pos="425"/>
          <w:tab w:val="left" w:pos="2268"/>
        </w:tabs>
        <w:rPr>
          <w:rFonts w:cs="Arial"/>
        </w:rPr>
      </w:pPr>
      <w:r>
        <w:rPr>
          <w:rFonts w:cs="Arial"/>
        </w:rPr>
        <w:t>(3) Wird bei Untersuchungen für den Wirkungspfad Boden-Grundwasser ein Prüfwert nach Anlage 2 Tabelle 1 oder 3 am Ort der Probennahme überschritten, soll durch eine Sickerwasserprognose abgeschätzt werden, ob zu erwarten ist, dass die Konzentration dieses Schadstoffs im Sickerwasser am Ort der Beurteilung den Prüfwert nach Anlage 2 Tabelle 2 oder 3 übersteigen wird. Ergänzend kann die Einmischung des Sickerwassers in das Grundwasser berücksichtigt werden.</w:t>
      </w:r>
    </w:p>
    <w:p>
      <w:pPr>
        <w:pStyle w:val="berschrift3"/>
      </w:pPr>
      <w:bookmarkStart w:id="19" w:name="_Toc128479836"/>
      <w:r>
        <w:t>§ 13</w:t>
      </w:r>
      <w:r>
        <w:br/>
        <w:t>Detailuntersuchung</w:t>
      </w:r>
      <w:bookmarkEnd w:id="19"/>
    </w:p>
    <w:p>
      <w:pPr>
        <w:pStyle w:val="GesAbsatz"/>
        <w:tabs>
          <w:tab w:val="clear" w:pos="425"/>
          <w:tab w:val="left" w:pos="2268"/>
        </w:tabs>
        <w:rPr>
          <w:rFonts w:cs="Arial"/>
        </w:rPr>
      </w:pPr>
      <w:r>
        <w:rPr>
          <w:rFonts w:cs="Arial"/>
        </w:rPr>
        <w:t>(1) Ziel der Detailuntersuchung ist, mit Hilfe vertiefender und weitergehender Untersuchungen eine abschließende Gefährdungsabschätzung zu ermöglichen. Sie dient insbesondere der Feststellung von Menge und räumlicher Verteilung von Schadstoffen, ihrer mobilen oder mobilisierbaren Anteile, ihrer Ausbreitungsmöglichkeiten im Boden, in Gewässern und in der Luft sowie der Möglichkeit ihrer Aufnahme durch Menschen, Tiere und Pflanzen.</w:t>
      </w:r>
    </w:p>
    <w:p>
      <w:pPr>
        <w:pStyle w:val="GesAbsatz"/>
        <w:tabs>
          <w:tab w:val="clear" w:pos="425"/>
          <w:tab w:val="left" w:pos="2268"/>
        </w:tabs>
        <w:rPr>
          <w:rFonts w:cs="Arial"/>
        </w:rPr>
      </w:pPr>
      <w:r>
        <w:rPr>
          <w:rFonts w:cs="Arial"/>
        </w:rPr>
        <w:t>(2) Bei Detailuntersuchungen soll festgestellt werden, ob sich aus räumlich begrenzten Anreicherungen von Schadstoffen innerhalb einer Verdachtsfläche oder altlastverdächtigen Fläche Gefahren ergeben und ob und wie eine Abgrenzung von nicht belasteten Flächen geboten ist.</w:t>
      </w:r>
    </w:p>
    <w:p>
      <w:pPr>
        <w:pStyle w:val="GesAbsatz"/>
        <w:tabs>
          <w:tab w:val="clear" w:pos="425"/>
          <w:tab w:val="left" w:pos="2268"/>
        </w:tabs>
        <w:rPr>
          <w:rFonts w:cs="Arial"/>
        </w:rPr>
      </w:pPr>
      <w:r>
        <w:rPr>
          <w:rFonts w:cs="Arial"/>
        </w:rPr>
        <w:t>(3) Im Rahmen der Detailuntersuchung sollen die für die jeweils betroffenen Wirkungspfade im Sinne des § 11 Absatz 2 und 3 maßgeblichen Expositionsbedingungen und die bedeutsamen resorptionsverfügbaren, mobilen oder mobilisierbaren Anteile der Schadstoffgehalte ermittelt werden. Die Resorptionsverfügbarkeit ist nach der DIN 19738 zu bestimmen.</w:t>
      </w:r>
    </w:p>
    <w:p>
      <w:pPr>
        <w:pStyle w:val="GesAbsatz"/>
        <w:tabs>
          <w:tab w:val="clear" w:pos="425"/>
          <w:tab w:val="left" w:pos="2268"/>
        </w:tabs>
        <w:rPr>
          <w:rFonts w:cs="Arial"/>
        </w:rPr>
      </w:pPr>
      <w:r>
        <w:rPr>
          <w:rFonts w:cs="Arial"/>
        </w:rPr>
        <w:t>(4) Bei altlastverdächtigen Altablagerungen sollen insbesondere Untersuchungen der vom Abfallkörper ausgehenden Wirkungen hinsichtlich des Übergangs von Schadstoffen in das Grundwasser durch Rückschlüsse und Rückrechnung aus Abstrom-Messungen im Grundwasser unter Berücksichtigung insbesondere auch der Schadstoffkonzentration im Anstrom durchgeführt werden.</w:t>
      </w:r>
    </w:p>
    <w:p>
      <w:pPr>
        <w:pStyle w:val="GesAbsatz"/>
        <w:tabs>
          <w:tab w:val="clear" w:pos="425"/>
          <w:tab w:val="left" w:pos="2268"/>
        </w:tabs>
        <w:rPr>
          <w:rFonts w:cs="Arial"/>
        </w:rPr>
      </w:pPr>
      <w:r>
        <w:rPr>
          <w:rFonts w:cs="Arial"/>
        </w:rPr>
        <w:t>(5) Ergibt sich auf Grund einer Abschätzung nach § 12 Absatz 3 der hinreichende Verdacht einer schädlichen Bodenveränderung oder Altlast, sollen durch eine weitergehende Sickerwasserprognose die Schadstoffeinträge in das Grundwasser abgeschätzt werden. Ergänzend kann die zuständige Behörde eine Einmischungsprognose verlangen.</w:t>
      </w:r>
    </w:p>
    <w:p>
      <w:pPr>
        <w:pStyle w:val="GesAbsatz"/>
        <w:tabs>
          <w:tab w:val="clear" w:pos="425"/>
          <w:tab w:val="left" w:pos="2268"/>
        </w:tabs>
        <w:rPr>
          <w:rFonts w:cs="Arial"/>
        </w:rPr>
      </w:pPr>
      <w:r>
        <w:rPr>
          <w:rFonts w:cs="Arial"/>
        </w:rPr>
        <w:lastRenderedPageBreak/>
        <w:t>(6) Die Detailuntersuchung kann auch die Ermittlung natürlich ablaufender Abbau- und Rückhalteprozesse umfassen, soweit sie als Standortbedingungen bei der Gefährdungsabschätzung zu berücksichtigen sind.</w:t>
      </w:r>
    </w:p>
    <w:p>
      <w:pPr>
        <w:pStyle w:val="berschrift3"/>
      </w:pPr>
      <w:bookmarkStart w:id="20" w:name="_Toc128479837"/>
      <w:r>
        <w:t>§ 14</w:t>
      </w:r>
      <w:r>
        <w:br/>
        <w:t>Sickerwasserprognose</w:t>
      </w:r>
      <w:bookmarkEnd w:id="20"/>
    </w:p>
    <w:p>
      <w:pPr>
        <w:pStyle w:val="GesAbsatz"/>
        <w:tabs>
          <w:tab w:val="clear" w:pos="425"/>
          <w:tab w:val="left" w:pos="2268"/>
        </w:tabs>
        <w:rPr>
          <w:rFonts w:cs="Arial"/>
        </w:rPr>
      </w:pPr>
      <w:r>
        <w:rPr>
          <w:rFonts w:cs="Arial"/>
        </w:rPr>
        <w:t>(1) Die Prognose der Stoffkonzentration für einen Prüfwertvergleich am Ort der Beurteilung kann, auch unter Anwendung von Stofftransportmodellen, vorgenommen werden</w:t>
      </w:r>
    </w:p>
    <w:p>
      <w:pPr>
        <w:pStyle w:val="GesAbsatz"/>
        <w:tabs>
          <w:tab w:val="clear" w:pos="425"/>
          <w:tab w:val="left" w:pos="2268"/>
        </w:tabs>
        <w:ind w:left="426" w:hanging="426"/>
        <w:rPr>
          <w:rFonts w:cs="Arial"/>
        </w:rPr>
      </w:pPr>
      <w:r>
        <w:rPr>
          <w:rFonts w:cs="Arial"/>
        </w:rPr>
        <w:t>1.</w:t>
      </w:r>
      <w:r>
        <w:rPr>
          <w:rFonts w:cs="Arial"/>
        </w:rPr>
        <w:tab/>
        <w:t>auf der Grundlage von Materialuntersuchungen durch Elution mit Wasser in Verbindung mit einer Transportprognose,</w:t>
      </w:r>
    </w:p>
    <w:p>
      <w:pPr>
        <w:pStyle w:val="GesAbsatz"/>
        <w:tabs>
          <w:tab w:val="clear" w:pos="425"/>
          <w:tab w:val="left" w:pos="2268"/>
        </w:tabs>
        <w:ind w:left="426" w:hanging="426"/>
        <w:rPr>
          <w:rFonts w:cs="Arial"/>
        </w:rPr>
      </w:pPr>
      <w:r>
        <w:rPr>
          <w:rFonts w:cs="Arial"/>
        </w:rPr>
        <w:t>2.</w:t>
      </w:r>
      <w:r>
        <w:rPr>
          <w:rFonts w:cs="Arial"/>
        </w:rPr>
        <w:tab/>
        <w:t>durch Rückschlüsse oder Rückrechnungen aus Untersuchungen im Grundwasserabstrom unter Berücksichtigung der Stoffkonzentration im Grundwasseranstrom, der Verdünnung, des Schadstoffverhaltens in der wasserungesättigten und der wassergesättigten Bodenzone sowie des Schadstoffinventars im Boden oder</w:t>
      </w:r>
    </w:p>
    <w:p>
      <w:pPr>
        <w:pStyle w:val="GesAbsatz"/>
        <w:tabs>
          <w:tab w:val="clear" w:pos="425"/>
          <w:tab w:val="left" w:pos="2268"/>
        </w:tabs>
        <w:ind w:left="426" w:hanging="426"/>
        <w:rPr>
          <w:rFonts w:cs="Arial"/>
        </w:rPr>
      </w:pPr>
      <w:r>
        <w:rPr>
          <w:rFonts w:cs="Arial"/>
        </w:rPr>
        <w:t>3.</w:t>
      </w:r>
      <w:r>
        <w:rPr>
          <w:rFonts w:cs="Arial"/>
        </w:rPr>
        <w:tab/>
        <w:t>auf der Grundlage von in situ-Untersuchungen.</w:t>
      </w:r>
    </w:p>
    <w:p>
      <w:pPr>
        <w:pStyle w:val="GesAbsatz"/>
        <w:tabs>
          <w:tab w:val="clear" w:pos="425"/>
          <w:tab w:val="left" w:pos="2268"/>
        </w:tabs>
        <w:rPr>
          <w:rFonts w:cs="Arial"/>
        </w:rPr>
      </w:pPr>
      <w:r>
        <w:rPr>
          <w:rFonts w:cs="Arial"/>
        </w:rPr>
        <w:t>(2) Wenn im Einzelfall ein Eindringen von sauren Sickerwässern, ein Eindringen von Lösevermittlern oder eine Änderung des Reduktions- und Oxidations- Potentials zu erwarten ist, sollen entsprechende weitere Extraktions-, Elutions- oder Perkolationsverfahren angewendet werden.</w:t>
      </w:r>
    </w:p>
    <w:p>
      <w:pPr>
        <w:pStyle w:val="GesAbsatz"/>
        <w:tabs>
          <w:tab w:val="clear" w:pos="425"/>
          <w:tab w:val="left" w:pos="2268"/>
        </w:tabs>
        <w:rPr>
          <w:rFonts w:cs="Arial"/>
        </w:rPr>
      </w:pPr>
      <w:r>
        <w:rPr>
          <w:rFonts w:cs="Arial"/>
        </w:rPr>
        <w:t>(3) Bei der Prognose ist insbesondere die Abbau- und Rückhaltewirkung der wasserungesättigten Zone zu berücksichtigen. Hierbei sind insbesondere folgende Kriterien maßgebend:</w:t>
      </w:r>
    </w:p>
    <w:p>
      <w:pPr>
        <w:pStyle w:val="GesAbsatz"/>
        <w:tabs>
          <w:tab w:val="clear" w:pos="425"/>
          <w:tab w:val="left" w:pos="2268"/>
        </w:tabs>
        <w:ind w:left="426" w:hanging="426"/>
        <w:rPr>
          <w:rFonts w:cs="Arial"/>
        </w:rPr>
      </w:pPr>
      <w:r>
        <w:rPr>
          <w:rFonts w:cs="Arial"/>
        </w:rPr>
        <w:t>1.</w:t>
      </w:r>
      <w:r>
        <w:rPr>
          <w:rFonts w:cs="Arial"/>
        </w:rPr>
        <w:tab/>
        <w:t>Länge der Sickerstrecke,</w:t>
      </w:r>
    </w:p>
    <w:p>
      <w:pPr>
        <w:pStyle w:val="GesAbsatz"/>
        <w:tabs>
          <w:tab w:val="clear" w:pos="425"/>
          <w:tab w:val="left" w:pos="2268"/>
        </w:tabs>
        <w:ind w:left="426" w:hanging="426"/>
        <w:rPr>
          <w:rFonts w:cs="Arial"/>
        </w:rPr>
      </w:pPr>
      <w:r>
        <w:rPr>
          <w:rFonts w:cs="Arial"/>
        </w:rPr>
        <w:t>2.</w:t>
      </w:r>
      <w:r>
        <w:rPr>
          <w:rFonts w:cs="Arial"/>
        </w:rPr>
        <w:tab/>
        <w:t>Bodenart,</w:t>
      </w:r>
    </w:p>
    <w:p>
      <w:pPr>
        <w:pStyle w:val="GesAbsatz"/>
        <w:tabs>
          <w:tab w:val="clear" w:pos="425"/>
          <w:tab w:val="left" w:pos="2268"/>
        </w:tabs>
        <w:ind w:left="426" w:hanging="426"/>
        <w:rPr>
          <w:rFonts w:cs="Arial"/>
        </w:rPr>
      </w:pPr>
      <w:r>
        <w:rPr>
          <w:rFonts w:cs="Arial"/>
        </w:rPr>
        <w:t>3.</w:t>
      </w:r>
      <w:r>
        <w:rPr>
          <w:rFonts w:cs="Arial"/>
        </w:rPr>
        <w:tab/>
        <w:t>Gehalt an organischer Substanz,</w:t>
      </w:r>
    </w:p>
    <w:p>
      <w:pPr>
        <w:pStyle w:val="GesAbsatz"/>
        <w:tabs>
          <w:tab w:val="clear" w:pos="425"/>
          <w:tab w:val="left" w:pos="2268"/>
        </w:tabs>
        <w:ind w:left="426" w:hanging="426"/>
        <w:rPr>
          <w:rFonts w:cs="Arial"/>
        </w:rPr>
      </w:pPr>
      <w:r>
        <w:rPr>
          <w:rFonts w:cs="Arial"/>
        </w:rPr>
        <w:t>4.</w:t>
      </w:r>
      <w:r>
        <w:rPr>
          <w:rFonts w:cs="Arial"/>
        </w:rPr>
        <w:tab/>
        <w:t>pH-Wert,</w:t>
      </w:r>
    </w:p>
    <w:p>
      <w:pPr>
        <w:pStyle w:val="GesAbsatz"/>
        <w:tabs>
          <w:tab w:val="clear" w:pos="425"/>
          <w:tab w:val="left" w:pos="2268"/>
        </w:tabs>
        <w:ind w:left="426" w:hanging="426"/>
        <w:rPr>
          <w:rFonts w:cs="Arial"/>
        </w:rPr>
      </w:pPr>
      <w:r>
        <w:rPr>
          <w:rFonts w:cs="Arial"/>
        </w:rPr>
        <w:t>5.</w:t>
      </w:r>
      <w:r>
        <w:rPr>
          <w:rFonts w:cs="Arial"/>
        </w:rPr>
        <w:tab/>
        <w:t>Sickerwasserrate,</w:t>
      </w:r>
    </w:p>
    <w:p>
      <w:pPr>
        <w:pStyle w:val="GesAbsatz"/>
        <w:tabs>
          <w:tab w:val="clear" w:pos="425"/>
          <w:tab w:val="left" w:pos="2268"/>
        </w:tabs>
        <w:ind w:left="426" w:hanging="426"/>
        <w:rPr>
          <w:rFonts w:cs="Arial"/>
        </w:rPr>
      </w:pPr>
      <w:r>
        <w:rPr>
          <w:rFonts w:cs="Arial"/>
        </w:rPr>
        <w:t>6.</w:t>
      </w:r>
      <w:r>
        <w:rPr>
          <w:rFonts w:cs="Arial"/>
        </w:rPr>
        <w:tab/>
        <w:t>Grundwasserneubildungsrate sowie</w:t>
      </w:r>
    </w:p>
    <w:p>
      <w:pPr>
        <w:pStyle w:val="GesAbsatz"/>
        <w:tabs>
          <w:tab w:val="clear" w:pos="425"/>
          <w:tab w:val="left" w:pos="2268"/>
        </w:tabs>
        <w:ind w:left="426" w:hanging="426"/>
        <w:rPr>
          <w:rFonts w:cs="Arial"/>
        </w:rPr>
      </w:pPr>
      <w:r>
        <w:rPr>
          <w:rFonts w:cs="Arial"/>
        </w:rPr>
        <w:t>7.</w:t>
      </w:r>
      <w:r>
        <w:rPr>
          <w:rFonts w:cs="Arial"/>
        </w:rPr>
        <w:tab/>
        <w:t>Mobilität, Mobilisierbarkeit und Abbaubarkeit der Stoffe.</w:t>
      </w:r>
    </w:p>
    <w:p>
      <w:pPr>
        <w:pStyle w:val="GesAbsatz"/>
        <w:tabs>
          <w:tab w:val="clear" w:pos="425"/>
          <w:tab w:val="left" w:pos="2268"/>
        </w:tabs>
        <w:rPr>
          <w:rFonts w:cs="Arial"/>
        </w:rPr>
      </w:pPr>
      <w:r>
        <w:rPr>
          <w:rFonts w:cs="Arial"/>
        </w:rPr>
        <w:t>(4) Bei direkter Beprobung und Untersuchung von Sickerwasser und Grundwasser ist bei der Bewertung die witterungsbedingte Variabilität der ermittelten Stoffkonzentrationen zu berücksichtigen.</w:t>
      </w:r>
    </w:p>
    <w:p>
      <w:pPr>
        <w:pStyle w:val="GesAbsatz"/>
        <w:tabs>
          <w:tab w:val="clear" w:pos="425"/>
          <w:tab w:val="left" w:pos="2268"/>
        </w:tabs>
        <w:rPr>
          <w:rFonts w:cs="Arial"/>
        </w:rPr>
      </w:pPr>
      <w:r>
        <w:rPr>
          <w:rFonts w:cs="Arial"/>
        </w:rPr>
        <w:t>(5) Bei der Einmischungsprognose gemäß § 12 Absatz 3 und § 13 Absatz 5 soll die Einmischung des Sickerwassers in das Grundwasser über eine pauschale Einmischtiefe von einem Meter rechnerisch berücksichtigt werden. Die Bezugsfläche dieses anrechenbaren Grundwasservolumens ist diejenige, auf der Prüfwertüberschreitungen im Sickerwasser festgestellt oder abgeschätzt werden.</w:t>
      </w:r>
    </w:p>
    <w:p>
      <w:pPr>
        <w:pStyle w:val="berschrift3"/>
      </w:pPr>
      <w:bookmarkStart w:id="21" w:name="_Toc128479838"/>
      <w:r>
        <w:t>§ 15</w:t>
      </w:r>
      <w:r>
        <w:br/>
        <w:t>Bewertung</w:t>
      </w:r>
      <w:bookmarkEnd w:id="21"/>
    </w:p>
    <w:p>
      <w:pPr>
        <w:pStyle w:val="GesAbsatz"/>
        <w:tabs>
          <w:tab w:val="clear" w:pos="425"/>
          <w:tab w:val="left" w:pos="2268"/>
        </w:tabs>
        <w:rPr>
          <w:rFonts w:cs="Arial"/>
        </w:rPr>
      </w:pPr>
      <w:r>
        <w:rPr>
          <w:rFonts w:cs="Arial"/>
        </w:rPr>
        <w:t>(1) Die Ergebnisse der Untersuchungen nach den §§ 12 bis 14 sind unter Beachtung der Umstände des Einzelfalls, insbesondere anhand der Prüf- und Maßnahmenwerte nach Anlage 2 unter Berücksichtigung der jeweiligen Anwendungshinweise, zu bewerten. Die Prüf- und Maßnahmenwerte nach Anlage 2 Tabelle 4 bis 8 gelten für die in Anlage 3 Tabelle 3 genannten Beprobungstiefen. Für die dort für den Wirkungspfad Boden-Nutzpflanze jeweils genannten größeren Beprobungstiefen sind die 1,5-fachen Werte maßgeblich.</w:t>
      </w:r>
    </w:p>
    <w:p>
      <w:pPr>
        <w:pStyle w:val="GesAbsatz"/>
        <w:tabs>
          <w:tab w:val="clear" w:pos="425"/>
          <w:tab w:val="left" w:pos="2268"/>
        </w:tabs>
        <w:rPr>
          <w:rFonts w:cs="Arial"/>
        </w:rPr>
      </w:pPr>
      <w:r>
        <w:rPr>
          <w:rFonts w:cs="Arial"/>
        </w:rPr>
        <w:t>(2) Werden nach den durchgeführten Untersuchungen und Prognosen die in Anlage 2 Tabelle 1 bis 4 und 6 bis 8 festgelegten Prüfwerte nicht überschritten, besteht insoweit nicht der Verdacht einer schädlichen Bodenveränderung oder Altlast.</w:t>
      </w:r>
    </w:p>
    <w:p>
      <w:pPr>
        <w:pStyle w:val="GesAbsatz"/>
        <w:tabs>
          <w:tab w:val="clear" w:pos="425"/>
          <w:tab w:val="left" w:pos="2268"/>
        </w:tabs>
        <w:rPr>
          <w:rFonts w:cs="Arial"/>
        </w:rPr>
      </w:pPr>
      <w:r>
        <w:rPr>
          <w:rFonts w:cs="Arial"/>
        </w:rPr>
        <w:t>(3) Die Ergebnisse der Detailuntersuchung sind unter Beachtung der Umstände des Einzelfalls daraufhin zu bewerten, inwieweit Sanierungs-, Schutz- oder Beschränkungsmaßnahmen im Sinne des § 2 Absatz 7 und 8 des Bundes-Bodenschutzgesetzes erforderlich sind. Treffen im Einzelfall alle bei der Ableitung eines Prüfwertes angenommenen ungünstigen Umstände zusammen, können Maßnahmen bereits dann erforderlich sein, wenn der Gehalt oder die Konzentration eines Schadstoffes geringfügig oberhalb des jeweiligen Prüfwertes liegt.</w:t>
      </w:r>
    </w:p>
    <w:p>
      <w:pPr>
        <w:pStyle w:val="GesAbsatz"/>
        <w:tabs>
          <w:tab w:val="clear" w:pos="425"/>
          <w:tab w:val="left" w:pos="2268"/>
        </w:tabs>
        <w:rPr>
          <w:rFonts w:cs="Arial"/>
        </w:rPr>
      </w:pPr>
      <w:r>
        <w:rPr>
          <w:rFonts w:cs="Arial"/>
        </w:rPr>
        <w:t>(4) Wenn in dieser Verordnung für einen Schadstoff kein Prüf- oder Maßnahmenwert festgelegt ist, sind für seine Bewertung die zur Ableitung der festgelegten Prüf- und Maßnahmenwerte dieser Verordnung herangezogenen Methoden und Maßstäbe zu beachten. Die Methoden und Maßstäbe sind im Bundesanzeiger Nummer 161a vom 28. August 1999 veröffentlicht.</w:t>
      </w:r>
    </w:p>
    <w:p>
      <w:pPr>
        <w:pStyle w:val="GesAbsatz"/>
        <w:tabs>
          <w:tab w:val="clear" w:pos="425"/>
          <w:tab w:val="left" w:pos="2268"/>
        </w:tabs>
        <w:rPr>
          <w:rFonts w:cs="Arial"/>
        </w:rPr>
      </w:pPr>
      <w:r>
        <w:rPr>
          <w:rFonts w:cs="Arial"/>
        </w:rPr>
        <w:lastRenderedPageBreak/>
        <w:t>(5) Erfolgt innerhalb einer Verdachtsfläche oder altlastverdächtigen Fläche auf Teilflächen eine von der vorherrschenden Nutzung abweichende empfindlichere Nutzung, sind diese Teilflächen nach den für ihre Nutzung festgelegten Prüf- und Maßnahmenwerten zu bewerten.</w:t>
      </w:r>
    </w:p>
    <w:p>
      <w:pPr>
        <w:pStyle w:val="GesAbsatz"/>
        <w:tabs>
          <w:tab w:val="clear" w:pos="425"/>
          <w:tab w:val="left" w:pos="2268"/>
        </w:tabs>
        <w:rPr>
          <w:rFonts w:cs="Arial"/>
        </w:rPr>
      </w:pPr>
      <w:r>
        <w:rPr>
          <w:rFonts w:cs="Arial"/>
        </w:rPr>
        <w:t>(6) Naturbedingt erhöhte Gehalte an Schadstoffen begründen nur dann den Verdacht einer schädlichen Bodenveränderung, wenn diese Stoffe durch Einwirkungen auf den Boden in erheblichem Umfang freigesetzt wurden oder werden. Bei Böden mit großflächig siedlungsbedingt erhöhten Schadstoffgehalten kann ein Vergleich dieser Gehalte mit den im Einzelfall ermittelten Schadstoffgehalten in die Gefahrenbeurteilung einbezogen werden.</w:t>
      </w:r>
    </w:p>
    <w:p>
      <w:pPr>
        <w:pStyle w:val="GesAbsatz"/>
        <w:tabs>
          <w:tab w:val="clear" w:pos="425"/>
          <w:tab w:val="left" w:pos="2268"/>
        </w:tabs>
        <w:rPr>
          <w:rFonts w:cs="Arial"/>
        </w:rPr>
      </w:pPr>
      <w:r>
        <w:rPr>
          <w:rFonts w:cs="Arial"/>
        </w:rPr>
        <w:t>(7) Neben dem Eintrag über das Sickerwasser sind auch Einträge von Schadstoffen über die Bodenluft oder über flüssige Phasen in das Grundwasser bei der Bewertung zu berücksichtigen.</w:t>
      </w:r>
    </w:p>
    <w:p>
      <w:pPr>
        <w:pStyle w:val="GesAbsatz"/>
        <w:tabs>
          <w:tab w:val="clear" w:pos="425"/>
          <w:tab w:val="left" w:pos="2268"/>
        </w:tabs>
        <w:rPr>
          <w:rFonts w:cs="Arial"/>
        </w:rPr>
      </w:pPr>
      <w:r>
        <w:rPr>
          <w:rFonts w:cs="Arial"/>
        </w:rPr>
        <w:t>(8) Bei der Bewertung der Untersuchungsergebnisse und der Entscheidung über die zu treffenden Maßnahmen ist zu berücksichtigen, ob erhöhte Schadstoffkonzentrationen im Sickerwasser oder andere Schadstoffausträge auf Dauer nur geringe Schadstofffrachten und nur lokal begrenzt erhöhte Schadstoffkonzentrationen in Gewässern erwarten lassen.</w:t>
      </w:r>
    </w:p>
    <w:p>
      <w:pPr>
        <w:pStyle w:val="berschrift3"/>
      </w:pPr>
      <w:bookmarkStart w:id="22" w:name="_Toc128479839"/>
      <w:r>
        <w:t>§ 16</w:t>
      </w:r>
      <w:r>
        <w:br/>
        <w:t>Sanierungsuntersuchungen und Sanierungsplanung</w:t>
      </w:r>
      <w:bookmarkEnd w:id="22"/>
    </w:p>
    <w:p>
      <w:pPr>
        <w:pStyle w:val="GesAbsatz"/>
        <w:tabs>
          <w:tab w:val="clear" w:pos="425"/>
          <w:tab w:val="left" w:pos="2268"/>
        </w:tabs>
        <w:rPr>
          <w:rFonts w:cs="Arial"/>
        </w:rPr>
      </w:pPr>
      <w:r>
        <w:rPr>
          <w:rFonts w:cs="Arial"/>
        </w:rPr>
        <w:t>(1) Ziel von Sanierungsuntersuchungen ist, anhand eines Sanierungsziels zu ermitteln, mit welchen Maßnahmen eine Sanierung im Sinne des § 4 Absatz 3 des Bundes-Bodenschutzgesetzes erreicht werden kann, inwieweit Veränderungen des Bodens nach der Sanierung verbleiben und welche rechtlichen, organisatorischen und finanziellen Umstände für die Durchführung der Maßnahmen von Bedeutung sind.</w:t>
      </w:r>
    </w:p>
    <w:p>
      <w:pPr>
        <w:pStyle w:val="GesAbsatz"/>
        <w:tabs>
          <w:tab w:val="clear" w:pos="425"/>
          <w:tab w:val="left" w:pos="2268"/>
        </w:tabs>
        <w:rPr>
          <w:rFonts w:cs="Arial"/>
        </w:rPr>
      </w:pPr>
      <w:r>
        <w:rPr>
          <w:rFonts w:cs="Arial"/>
        </w:rPr>
        <w:t>(2) Im Rahmen von Sanierungsuntersuchungen sind die geeigneten, erforderlichen und angemessenen Maßnahmen unter Berücksichtigung von Maßnahmenkombinationen zu ermitteln. Insbesondere sind die Eignung der Verfahren, deren technische Durchführbarkeit, Zuverlässigkeit, Verfügbarkeit und Nachhaltigkeit, der erforderliche Zeitaufwand, die Wirkungsdauer der Maßnahmen und deren Überwachungsmöglichkeiten, die Erfordernisse der Nachsorge und die Nachbesserungsmöglichkeiten, die Auswirkungen auf die Betroffenen im Sinne des § 12 Satz 1 des Bundes-Bodenschutzgesetzes und auf die Umwelt, Zulassungserfordernisse sowie die Entstehung, Verwertung und Beseitigung von Abfällen zu prüfen und miteinander zu vergleichen. Die Ergebnisse der Prüfung und das danach vorzugswürdige Maßnahmenkonzept sind mit einer Abschätzung der Kosten darzustellen.</w:t>
      </w:r>
    </w:p>
    <w:p>
      <w:pPr>
        <w:pStyle w:val="GesAbsatz"/>
        <w:tabs>
          <w:tab w:val="clear" w:pos="425"/>
          <w:tab w:val="left" w:pos="2268"/>
        </w:tabs>
        <w:rPr>
          <w:rFonts w:cs="Arial"/>
        </w:rPr>
      </w:pPr>
      <w:r>
        <w:rPr>
          <w:rFonts w:cs="Arial"/>
        </w:rPr>
        <w:t>(3) Bei der Erstellung eines Sanierungsplans sind die Maßnahmen nach § 13 Absatz 1 Satz 1 Nummer 3 des Bundes-Bodenschutzgesetzes textlich und zeichnerisch vollständig darzustellen. Im Sanierungsplan ist darzulegen, dass die vorgesehenen Maßnahmen geeignet sind, dauerhaft Gefahren, erhebliche Nachteile oder erhebliche Belästigungen für den Einzelnen oder die Allgemeinheit zu vermeiden. Darzustellen sind insbesondere auch die Auswirkungen der Maßnahmen auf die Umwelt und die voraussichtlichen Kosten sowie die erforderlichen Zulassungen, auch soweit ein verbindlicher Sanierungsplan nach § 13 Absatz 6 des Bundes- Bodenschutzgesetzes diese nicht einschließen kann.</w:t>
      </w:r>
    </w:p>
    <w:p>
      <w:pPr>
        <w:pStyle w:val="GesAbsatz"/>
        <w:tabs>
          <w:tab w:val="clear" w:pos="425"/>
          <w:tab w:val="left" w:pos="2268"/>
        </w:tabs>
        <w:rPr>
          <w:rFonts w:cs="Arial"/>
        </w:rPr>
      </w:pPr>
      <w:r>
        <w:rPr>
          <w:rFonts w:cs="Arial"/>
        </w:rPr>
        <w:t>(4) Über die in § 13 Absatz 1 Satz 1 des Bundes- Bodenschutzgesetzes aufgeführten Angaben hinaus soll ein Sanierungsplan Angaben enthalten zu</w:t>
      </w:r>
    </w:p>
    <w:p>
      <w:pPr>
        <w:pStyle w:val="GesAbsatz"/>
        <w:tabs>
          <w:tab w:val="clear" w:pos="425"/>
          <w:tab w:val="left" w:pos="2268"/>
        </w:tabs>
        <w:ind w:left="426" w:hanging="426"/>
        <w:rPr>
          <w:rFonts w:cs="Arial"/>
        </w:rPr>
      </w:pPr>
      <w:r>
        <w:rPr>
          <w:rFonts w:cs="Arial"/>
        </w:rPr>
        <w:t>1.</w:t>
      </w:r>
      <w:r>
        <w:rPr>
          <w:rFonts w:cs="Arial"/>
        </w:rPr>
        <w:tab/>
        <w:t>den Standortverhältnissen,</w:t>
      </w:r>
    </w:p>
    <w:p>
      <w:pPr>
        <w:pStyle w:val="GesAbsatz"/>
        <w:tabs>
          <w:tab w:val="clear" w:pos="425"/>
          <w:tab w:val="left" w:pos="2268"/>
        </w:tabs>
        <w:ind w:left="426" w:hanging="426"/>
        <w:rPr>
          <w:rFonts w:cs="Arial"/>
        </w:rPr>
      </w:pPr>
      <w:r>
        <w:rPr>
          <w:rFonts w:cs="Arial"/>
        </w:rPr>
        <w:t>2.</w:t>
      </w:r>
      <w:r>
        <w:rPr>
          <w:rFonts w:cs="Arial"/>
        </w:rPr>
        <w:tab/>
        <w:t>der äußeren Abgrenzung des Sanierungsplans sowie dem Einwirkungsbereich, der durch die Altlast und die Schadstoffausbreitung bereits betroffen ist oder der durch die vorgesehenen Maßnahmen zu prognostizieren ist,</w:t>
      </w:r>
    </w:p>
    <w:p>
      <w:pPr>
        <w:pStyle w:val="GesAbsatz"/>
        <w:tabs>
          <w:tab w:val="clear" w:pos="425"/>
          <w:tab w:val="left" w:pos="2268"/>
        </w:tabs>
        <w:ind w:left="426" w:hanging="426"/>
        <w:rPr>
          <w:rFonts w:cs="Arial"/>
        </w:rPr>
      </w:pPr>
      <w:r>
        <w:rPr>
          <w:rFonts w:cs="Arial"/>
        </w:rPr>
        <w:t>3.</w:t>
      </w:r>
      <w:r>
        <w:rPr>
          <w:rFonts w:cs="Arial"/>
        </w:rPr>
        <w:tab/>
        <w:t>der technischen Ausgestaltung von Sanierungsmaßnahmen sowie Art und Umfang sonstiger Maßnahmen, den Elementen und dem Ablauf der Sanierung,</w:t>
      </w:r>
    </w:p>
    <w:p>
      <w:pPr>
        <w:pStyle w:val="GesAbsatz"/>
        <w:tabs>
          <w:tab w:val="clear" w:pos="425"/>
          <w:tab w:val="left" w:pos="2268"/>
        </w:tabs>
        <w:ind w:left="426" w:hanging="426"/>
        <w:rPr>
          <w:rFonts w:cs="Arial"/>
        </w:rPr>
      </w:pPr>
      <w:r>
        <w:rPr>
          <w:rFonts w:cs="Arial"/>
        </w:rPr>
        <w:t>4.</w:t>
      </w:r>
      <w:r>
        <w:rPr>
          <w:rFonts w:cs="Arial"/>
        </w:rPr>
        <w:tab/>
        <w:t>fachspezifischen Berechnungen zu den Maßnahmenkomponenten,</w:t>
      </w:r>
    </w:p>
    <w:p>
      <w:pPr>
        <w:pStyle w:val="GesAbsatz"/>
        <w:tabs>
          <w:tab w:val="clear" w:pos="425"/>
          <w:tab w:val="left" w:pos="2268"/>
        </w:tabs>
        <w:ind w:left="426" w:hanging="426"/>
        <w:rPr>
          <w:rFonts w:cs="Arial"/>
        </w:rPr>
      </w:pPr>
      <w:r>
        <w:rPr>
          <w:rFonts w:cs="Arial"/>
        </w:rPr>
        <w:t>5.</w:t>
      </w:r>
      <w:r>
        <w:rPr>
          <w:rFonts w:cs="Arial"/>
        </w:rPr>
        <w:tab/>
        <w:t>den Eigenkontrollmaßnahmen zur Überprüfung der sachgerechten Ausführung und Wirksamkeit der vorgesehenen Maßnahmen,</w:t>
      </w:r>
    </w:p>
    <w:p>
      <w:pPr>
        <w:pStyle w:val="GesAbsatz"/>
        <w:tabs>
          <w:tab w:val="clear" w:pos="425"/>
          <w:tab w:val="left" w:pos="2268"/>
        </w:tabs>
        <w:ind w:left="426" w:hanging="426"/>
        <w:rPr>
          <w:rFonts w:cs="Arial"/>
        </w:rPr>
      </w:pPr>
      <w:r>
        <w:rPr>
          <w:rFonts w:cs="Arial"/>
        </w:rPr>
        <w:t>6.</w:t>
      </w:r>
      <w:r>
        <w:rPr>
          <w:rFonts w:cs="Arial"/>
        </w:rPr>
        <w:tab/>
        <w:t>den zu behandelnden Mengen und den Transport-, Verwertungs- und Entsorgungswegen,</w:t>
      </w:r>
    </w:p>
    <w:p>
      <w:pPr>
        <w:pStyle w:val="GesAbsatz"/>
        <w:tabs>
          <w:tab w:val="clear" w:pos="425"/>
          <w:tab w:val="left" w:pos="2268"/>
        </w:tabs>
        <w:ind w:left="426" w:hanging="426"/>
        <w:rPr>
          <w:rFonts w:cs="Arial"/>
        </w:rPr>
      </w:pPr>
      <w:r>
        <w:rPr>
          <w:rFonts w:cs="Arial"/>
        </w:rPr>
        <w:t>7.</w:t>
      </w:r>
      <w:r>
        <w:rPr>
          <w:rFonts w:cs="Arial"/>
        </w:rPr>
        <w:tab/>
        <w:t>den getroffenen behördlichen Entscheidungen und den geschlossenen öffentlich-rechtlichen Verträgen, die sich auf die Erfüllung der Pflichten nach § 4 des Bundes-Bodenschutzgesetzes auswirken,</w:t>
      </w:r>
    </w:p>
    <w:p>
      <w:pPr>
        <w:pStyle w:val="GesAbsatz"/>
        <w:tabs>
          <w:tab w:val="clear" w:pos="425"/>
          <w:tab w:val="left" w:pos="2268"/>
        </w:tabs>
        <w:ind w:left="426" w:hanging="426"/>
        <w:rPr>
          <w:rFonts w:cs="Arial"/>
        </w:rPr>
      </w:pPr>
      <w:r>
        <w:rPr>
          <w:rFonts w:cs="Arial"/>
        </w:rPr>
        <w:t>8.</w:t>
      </w:r>
      <w:r>
        <w:rPr>
          <w:rFonts w:cs="Arial"/>
        </w:rPr>
        <w:tab/>
        <w:t>den behördlichen Zulassungserfordernissen für die durchzuführenden Maßnahmen,</w:t>
      </w:r>
    </w:p>
    <w:p>
      <w:pPr>
        <w:pStyle w:val="GesAbsatz"/>
        <w:tabs>
          <w:tab w:val="clear" w:pos="425"/>
          <w:tab w:val="left" w:pos="2268"/>
        </w:tabs>
        <w:ind w:left="426" w:hanging="426"/>
        <w:rPr>
          <w:rFonts w:cs="Arial"/>
        </w:rPr>
      </w:pPr>
      <w:r>
        <w:rPr>
          <w:rFonts w:cs="Arial"/>
        </w:rPr>
        <w:t>9.</w:t>
      </w:r>
      <w:r>
        <w:rPr>
          <w:rFonts w:cs="Arial"/>
        </w:rPr>
        <w:tab/>
        <w:t>den für eine Verbindlichkeitserklärung nach § 13 Absatz 6 des Bundes-Bodenschutzgesetzes durch die zuständige Behörde geforderten Angaben und Unterlagen sowie</w:t>
      </w:r>
    </w:p>
    <w:p>
      <w:pPr>
        <w:pStyle w:val="GesAbsatz"/>
        <w:tabs>
          <w:tab w:val="clear" w:pos="425"/>
          <w:tab w:val="left" w:pos="2268"/>
        </w:tabs>
        <w:ind w:left="426" w:hanging="426"/>
        <w:rPr>
          <w:rFonts w:cs="Arial"/>
        </w:rPr>
      </w:pPr>
      <w:r>
        <w:rPr>
          <w:rFonts w:cs="Arial"/>
        </w:rPr>
        <w:t>10.</w:t>
      </w:r>
      <w:r>
        <w:rPr>
          <w:rFonts w:cs="Arial"/>
        </w:rPr>
        <w:tab/>
        <w:t>dem Zeitplan und den Kosten.</w:t>
      </w:r>
    </w:p>
    <w:p>
      <w:pPr>
        <w:pStyle w:val="GesAbsatz"/>
        <w:tabs>
          <w:tab w:val="clear" w:pos="425"/>
          <w:tab w:val="left" w:pos="2268"/>
        </w:tabs>
        <w:rPr>
          <w:rFonts w:cs="Arial"/>
        </w:rPr>
      </w:pPr>
      <w:r>
        <w:rPr>
          <w:rFonts w:cs="Arial"/>
        </w:rPr>
        <w:lastRenderedPageBreak/>
        <w:t>(5) Soll Bodenmaterial im Rahmen der Sanierung im Bereich derselben schädlichen Bodenveränderung oder Altlast oder innerhalb des Gebietes eines für verbindlich erklärten Sanierungsplans umgelagert werden, sind die Anforderungen nach § 4 Absatz 3 des Bundes- Bodenschutzgesetzes zu erfüllen.</w:t>
      </w:r>
    </w:p>
    <w:p>
      <w:pPr>
        <w:pStyle w:val="berschrift3"/>
      </w:pPr>
      <w:bookmarkStart w:id="23" w:name="_Toc128479840"/>
      <w:r>
        <w:t>§ 17</w:t>
      </w:r>
      <w:r>
        <w:br/>
        <w:t xml:space="preserve">Sanierungsmaßnahmen, Schutz- und </w:t>
      </w:r>
      <w:r>
        <w:br/>
        <w:t>Beschränkungsmaßnahmen, natürliche Schadstoffminderung</w:t>
      </w:r>
      <w:bookmarkEnd w:id="23"/>
    </w:p>
    <w:p>
      <w:pPr>
        <w:pStyle w:val="GesAbsatz"/>
        <w:tabs>
          <w:tab w:val="clear" w:pos="425"/>
          <w:tab w:val="left" w:pos="2268"/>
        </w:tabs>
        <w:rPr>
          <w:rFonts w:cs="Arial"/>
        </w:rPr>
      </w:pPr>
      <w:r>
        <w:rPr>
          <w:rFonts w:cs="Arial"/>
        </w:rPr>
        <w:t>(1) Dekontaminations- und Sicherungsmaßnahmen müssen gewährleisten oder wesentlich dazu beitragen, dass durch im Boden oder in Altlasten verbleibende Schadstoffe und deren Umwandlungsprodukte dauerhaft keine Gefahren, erheblichen Nachteile oder erheblichen Belästigungen für den Einzelnen oder die Allgemeinheit bestehen.</w:t>
      </w:r>
    </w:p>
    <w:p>
      <w:pPr>
        <w:pStyle w:val="GesAbsatz"/>
        <w:tabs>
          <w:tab w:val="clear" w:pos="425"/>
          <w:tab w:val="left" w:pos="2268"/>
        </w:tabs>
        <w:rPr>
          <w:rFonts w:cs="Arial"/>
        </w:rPr>
      </w:pPr>
      <w:r>
        <w:rPr>
          <w:rFonts w:cs="Arial"/>
        </w:rPr>
        <w:t>(2) Wenn Schadstoffe nach § 4 Absatz 5 des Bundes-Bodenschutzgesetzes zu beseitigen sind und eine Vorbelastung besteht, sind von den nach § 4 Absatz 3, 5 oder 6 des Bundes-Bodenschutzgesetzes Pflichtigen grundsätzlich die Leistungen zu verlangen, die sie ohne Vorbelastung zu erbringen hätten. Die zuvor bestehenden Nutzungsmöglichkeiten des Grundstücks sollen wiederhergestellt werden.</w:t>
      </w:r>
    </w:p>
    <w:p>
      <w:pPr>
        <w:pStyle w:val="GesAbsatz"/>
        <w:tabs>
          <w:tab w:val="clear" w:pos="425"/>
          <w:tab w:val="left" w:pos="2268"/>
        </w:tabs>
        <w:rPr>
          <w:rFonts w:cs="Arial"/>
        </w:rPr>
      </w:pPr>
      <w:r>
        <w:rPr>
          <w:rFonts w:cs="Arial"/>
        </w:rPr>
        <w:t>(3) Nach Abschluss einer Dekontaminationsmaßnahme ist das Erreichen des Sanierungsziels gegenüber der zuständigen Behörde nachzuweisen. Die Wirksamkeit von Sicherungsmaßnahmen ist für den von der zuständigen Behörde bestimmten Zeitraum zu überwachen und zu gewährleisten sowie gegenüber der zuständigen Behörde nachzuweisen.</w:t>
      </w:r>
    </w:p>
    <w:p>
      <w:pPr>
        <w:pStyle w:val="GesAbsatz"/>
        <w:tabs>
          <w:tab w:val="clear" w:pos="425"/>
          <w:tab w:val="left" w:pos="2268"/>
        </w:tabs>
        <w:rPr>
          <w:rFonts w:cs="Arial"/>
        </w:rPr>
      </w:pPr>
      <w:r>
        <w:rPr>
          <w:rFonts w:cs="Arial"/>
        </w:rPr>
        <w:t>(4) Im Rahmen der Entscheidung über Sanierungsmaßnahmen kann die natürliche Schadstoffminderung berücksichtigt werden, wenn</w:t>
      </w:r>
    </w:p>
    <w:p>
      <w:pPr>
        <w:pStyle w:val="GesAbsatz"/>
        <w:tabs>
          <w:tab w:val="clear" w:pos="425"/>
          <w:tab w:val="left" w:pos="2268"/>
        </w:tabs>
        <w:ind w:left="426" w:hanging="426"/>
        <w:rPr>
          <w:rFonts w:cs="Arial"/>
        </w:rPr>
      </w:pPr>
      <w:r>
        <w:rPr>
          <w:rFonts w:cs="Arial"/>
        </w:rPr>
        <w:t>1.</w:t>
      </w:r>
      <w:r>
        <w:rPr>
          <w:rFonts w:cs="Arial"/>
        </w:rPr>
        <w:tab/>
        <w:t>die Schadstoffminderungsprozesse identifiziert und hinreichend quantifizierbar sind,</w:t>
      </w:r>
    </w:p>
    <w:p>
      <w:pPr>
        <w:pStyle w:val="GesAbsatz"/>
        <w:tabs>
          <w:tab w:val="clear" w:pos="425"/>
          <w:tab w:val="left" w:pos="2268"/>
        </w:tabs>
        <w:ind w:left="426" w:hanging="426"/>
        <w:rPr>
          <w:rFonts w:cs="Arial"/>
        </w:rPr>
      </w:pPr>
      <w:r>
        <w:rPr>
          <w:rFonts w:cs="Arial"/>
        </w:rPr>
        <w:t>2.</w:t>
      </w:r>
      <w:r>
        <w:rPr>
          <w:rFonts w:cs="Arial"/>
        </w:rPr>
        <w:tab/>
        <w:t>die voraussichtliche Zeitdauer sowie Prognoseunsicherheiten beachtet werden,</w:t>
      </w:r>
    </w:p>
    <w:p>
      <w:pPr>
        <w:pStyle w:val="GesAbsatz"/>
        <w:tabs>
          <w:tab w:val="clear" w:pos="425"/>
          <w:tab w:val="left" w:pos="2268"/>
        </w:tabs>
        <w:ind w:left="426" w:hanging="426"/>
        <w:rPr>
          <w:rFonts w:cs="Arial"/>
        </w:rPr>
      </w:pPr>
      <w:r>
        <w:rPr>
          <w:rFonts w:cs="Arial"/>
        </w:rPr>
        <w:t>3.</w:t>
      </w:r>
      <w:r>
        <w:rPr>
          <w:rFonts w:cs="Arial"/>
        </w:rPr>
        <w:tab/>
        <w:t>Zwischenziele und Überwachungsmaßnahmen festgelegt werden und</w:t>
      </w:r>
    </w:p>
    <w:p>
      <w:pPr>
        <w:pStyle w:val="GesAbsatz"/>
        <w:tabs>
          <w:tab w:val="clear" w:pos="425"/>
          <w:tab w:val="left" w:pos="2268"/>
        </w:tabs>
        <w:ind w:left="426" w:hanging="426"/>
        <w:rPr>
          <w:rFonts w:cs="Arial"/>
        </w:rPr>
      </w:pPr>
      <w:r>
        <w:rPr>
          <w:rFonts w:cs="Arial"/>
        </w:rPr>
        <w:t>4.</w:t>
      </w:r>
      <w:r>
        <w:rPr>
          <w:rFonts w:cs="Arial"/>
        </w:rPr>
        <w:tab/>
        <w:t>Verdünnungsprozesse im Gesamtkonzept nur eine untergeordnete Rolle spielen.</w:t>
      </w:r>
    </w:p>
    <w:p>
      <w:pPr>
        <w:pStyle w:val="GesAbsatz"/>
        <w:tabs>
          <w:tab w:val="clear" w:pos="425"/>
          <w:tab w:val="left" w:pos="2268"/>
        </w:tabs>
        <w:rPr>
          <w:rFonts w:cs="Arial"/>
        </w:rPr>
      </w:pPr>
      <w:r>
        <w:rPr>
          <w:rFonts w:cs="Arial"/>
        </w:rPr>
        <w:t>(5) Auf land- oder forstwirtschaftlich genutzten Flächen kommen bei schädlichen Bodenveränderungen oder Altlasten insbesondere Schutz- und Beschränkungsmaßnahmen durch Anpassungen der Nutzung und der Bewirtschaftung von Böden sowie Maßnahmen zur Veränderungen der Bodenbeschaffenheit in Betracht. Über Art und Umfang der Maßnahmen ist zwischen den zuständigen Behörden Einvernehmen herzustellen. Über die Durchführung der getroffenen Schutz- und Beschränkungsmaßnahmen sind von den nach § 4 Absatz 3, 5 oder 6 des Bundes-Bodenschutzgesetzes Pflichtigen Aufzeichnungen zu führen, zehn Jahre lang aufzubewahren und der zuständigen Behörde auf Verlangen vorzulegen. § 17 Absatz 3 des Bundes-Bodenschutzgesetzes bleibt unberührt.</w:t>
      </w:r>
    </w:p>
    <w:p>
      <w:pPr>
        <w:pStyle w:val="GesAbsatz"/>
        <w:tabs>
          <w:tab w:val="clear" w:pos="425"/>
          <w:tab w:val="left" w:pos="2268"/>
        </w:tabs>
        <w:rPr>
          <w:rFonts w:cs="Arial"/>
        </w:rPr>
      </w:pPr>
      <w:r>
        <w:rPr>
          <w:rFonts w:cs="Arial"/>
        </w:rPr>
        <w:t>(6) Maßnahmen zur Abwehr gegenwärtiger Gefahren können von der zuständigen Behörde auch ohne vorherige Untersuchung ergriffen oder angeordnet werden.</w:t>
      </w:r>
    </w:p>
    <w:p>
      <w:pPr>
        <w:pStyle w:val="berschrift2"/>
      </w:pPr>
      <w:bookmarkStart w:id="24" w:name="_Toc128479841"/>
      <w:r>
        <w:t>Abschnitt 4</w:t>
      </w:r>
      <w:r>
        <w:br/>
        <w:t>Vorerkundung, Probennahme und -analyse</w:t>
      </w:r>
      <w:bookmarkEnd w:id="24"/>
    </w:p>
    <w:p>
      <w:pPr>
        <w:pStyle w:val="berschrift3"/>
      </w:pPr>
      <w:bookmarkStart w:id="25" w:name="_Toc128479842"/>
      <w:r>
        <w:t>§ 18</w:t>
      </w:r>
      <w:r>
        <w:br/>
        <w:t>Vorerkundung</w:t>
      </w:r>
      <w:bookmarkEnd w:id="25"/>
    </w:p>
    <w:p>
      <w:pPr>
        <w:pStyle w:val="GesAbsatz"/>
        <w:tabs>
          <w:tab w:val="clear" w:pos="425"/>
          <w:tab w:val="left" w:pos="2268"/>
        </w:tabs>
        <w:rPr>
          <w:rFonts w:cs="Arial"/>
        </w:rPr>
      </w:pPr>
      <w:r>
        <w:rPr>
          <w:rFonts w:cs="Arial"/>
        </w:rPr>
        <w:t>(1) Die Vorerkundung von Böden in situ und von Materialien in Haufwerken dient</w:t>
      </w:r>
    </w:p>
    <w:p>
      <w:pPr>
        <w:pStyle w:val="GesAbsatz"/>
        <w:tabs>
          <w:tab w:val="clear" w:pos="425"/>
          <w:tab w:val="left" w:pos="2268"/>
        </w:tabs>
        <w:ind w:left="426" w:hanging="426"/>
        <w:rPr>
          <w:rFonts w:cs="Arial"/>
        </w:rPr>
      </w:pPr>
      <w:r>
        <w:rPr>
          <w:rFonts w:cs="Arial"/>
        </w:rPr>
        <w:t>1.</w:t>
      </w:r>
      <w:r>
        <w:rPr>
          <w:rFonts w:cs="Arial"/>
        </w:rPr>
        <w:tab/>
        <w:t>einer Einschätzung der Beschaffenheit der Böden und Materialien, insbesondere zur Ermittlung des erforderlichen Untersuchungsumfangs und analytischen Untersuchungsbedarfs,</w:t>
      </w:r>
    </w:p>
    <w:p>
      <w:pPr>
        <w:pStyle w:val="GesAbsatz"/>
        <w:tabs>
          <w:tab w:val="clear" w:pos="425"/>
          <w:tab w:val="left" w:pos="2268"/>
        </w:tabs>
        <w:ind w:left="426" w:hanging="426"/>
        <w:rPr>
          <w:rFonts w:cs="Arial"/>
        </w:rPr>
      </w:pPr>
      <w:r>
        <w:rPr>
          <w:rFonts w:cs="Arial"/>
        </w:rPr>
        <w:t>2.</w:t>
      </w:r>
      <w:r>
        <w:rPr>
          <w:rFonts w:cs="Arial"/>
        </w:rPr>
        <w:tab/>
        <w:t>als Grundlage einer repräsentativen Probennahme, insbesondere zur Entwicklung einer geeigneten Probennahmestrategie und</w:t>
      </w:r>
    </w:p>
    <w:p>
      <w:pPr>
        <w:pStyle w:val="GesAbsatz"/>
        <w:tabs>
          <w:tab w:val="clear" w:pos="425"/>
          <w:tab w:val="left" w:pos="2268"/>
        </w:tabs>
        <w:ind w:left="426" w:hanging="426"/>
        <w:rPr>
          <w:rFonts w:cs="Arial"/>
        </w:rPr>
      </w:pPr>
      <w:r>
        <w:rPr>
          <w:rFonts w:cs="Arial"/>
        </w:rPr>
        <w:t>3.</w:t>
      </w:r>
      <w:r>
        <w:rPr>
          <w:rFonts w:cs="Arial"/>
        </w:rPr>
        <w:tab/>
        <w:t>der Bewertung der Ergebnisse analytischer Untersuchungen, insbesondere bei deren Übertragung auf den Untersuchungsraum.</w:t>
      </w:r>
    </w:p>
    <w:p>
      <w:pPr>
        <w:pStyle w:val="GesAbsatz"/>
        <w:tabs>
          <w:tab w:val="clear" w:pos="425"/>
          <w:tab w:val="left" w:pos="2268"/>
        </w:tabs>
        <w:rPr>
          <w:rFonts w:cs="Arial"/>
        </w:rPr>
      </w:pPr>
      <w:r>
        <w:rPr>
          <w:rFonts w:cs="Arial"/>
        </w:rPr>
        <w:t>(2) Im Rahmen der Vorerkundung sind vorhandene Hintergrundinformationen zu ermitteln und auszuwerten. Hierzu zählen aktuelle und historische Unterlagen, Luftbilder und Karten sowie Auskünfte und Stellungnahmen zuständiger Behörden.</w:t>
      </w:r>
    </w:p>
    <w:p>
      <w:pPr>
        <w:pStyle w:val="GesAbsatz"/>
        <w:tabs>
          <w:tab w:val="clear" w:pos="425"/>
          <w:tab w:val="left" w:pos="2268"/>
        </w:tabs>
        <w:rPr>
          <w:rFonts w:cs="Arial"/>
        </w:rPr>
      </w:pPr>
      <w:r>
        <w:rPr>
          <w:rFonts w:cs="Arial"/>
        </w:rPr>
        <w:t xml:space="preserve">(3) Die gewonnenen Erkenntnisse sind durch eine Inaugenscheinnahme auf ihre Plausibilität zu überprüfen und, soweit dies für das weitere Vorgehen erforderlich ist, zu vertiefen und zu ergänzen. Im Rahmen der </w:t>
      </w:r>
      <w:r>
        <w:rPr>
          <w:rFonts w:cs="Arial"/>
        </w:rPr>
        <w:lastRenderedPageBreak/>
        <w:t>Inaugenscheinnahme sind insbesondere Auffälligkeiten in Hinblick auf anthropogene Veränderungen der Böden zu dokumentieren.</w:t>
      </w:r>
    </w:p>
    <w:p>
      <w:pPr>
        <w:pStyle w:val="GesAbsatz"/>
        <w:tabs>
          <w:tab w:val="clear" w:pos="425"/>
          <w:tab w:val="left" w:pos="2268"/>
        </w:tabs>
        <w:rPr>
          <w:rFonts w:cs="Arial"/>
        </w:rPr>
      </w:pPr>
      <w:r>
        <w:rPr>
          <w:rFonts w:cs="Arial"/>
        </w:rPr>
        <w:t>(4) Bei der Vorerkundung sind die Anforderungen der DIN 19731 zu beachten.</w:t>
      </w:r>
    </w:p>
    <w:p>
      <w:pPr>
        <w:pStyle w:val="GesAbsatz"/>
        <w:tabs>
          <w:tab w:val="clear" w:pos="425"/>
          <w:tab w:val="left" w:pos="2268"/>
        </w:tabs>
        <w:rPr>
          <w:rFonts w:cs="Arial"/>
        </w:rPr>
      </w:pPr>
      <w:r>
        <w:rPr>
          <w:rFonts w:cs="Arial"/>
        </w:rPr>
        <w:t>(5) Liegen keine geeigneten bodenbezogenen Informationen vor, soll eine bodenkundliche Kartierung oder Bodenansprache auf der Grundlage der „Arbeitshilfe für die Bodenansprache im vor- und nachsorgenden Bodenschutz – Auszug aus der Bodenkundlichen Kartieranleitung KA 5“ in dem Umfang durchgeführt werden, der für die jeweilige Fragestellung erforderlich ist.</w:t>
      </w:r>
    </w:p>
    <w:p>
      <w:pPr>
        <w:pStyle w:val="berschrift3"/>
      </w:pPr>
      <w:bookmarkStart w:id="26" w:name="_Toc128479843"/>
      <w:r>
        <w:t>§ 19</w:t>
      </w:r>
      <w:r>
        <w:br/>
        <w:t>Allgemeine Anforderungen an die Probennahme</w:t>
      </w:r>
      <w:bookmarkEnd w:id="26"/>
    </w:p>
    <w:p>
      <w:pPr>
        <w:pStyle w:val="GesAbsatz"/>
        <w:tabs>
          <w:tab w:val="clear" w:pos="425"/>
          <w:tab w:val="left" w:pos="2268"/>
        </w:tabs>
        <w:rPr>
          <w:rFonts w:cs="Arial"/>
        </w:rPr>
      </w:pPr>
      <w:r>
        <w:rPr>
          <w:rFonts w:cs="Arial"/>
        </w:rPr>
        <w:t>(1) Die Probennahme ist von Sachverständigen im Sinne des § 18 des Bundes-Bodenschutzgesetzes oder Personen mit vergleichbarer Sachkunde zu entwickeln und zu begründen, zu begleiten und zu dokumentieren. Die Probennahme ist von einer nach DIN EN ISO/IEC 17025 oder DIN EN ISO/IEC 17020 akkreditierten oder nach Regelungen der Länder gemäß § 18 Satz 2 des Bundes-Bodenschutzgesetzes notifizierten Untersuchungsstelle durchzuführen.</w:t>
      </w:r>
    </w:p>
    <w:p>
      <w:pPr>
        <w:pStyle w:val="GesAbsatz"/>
        <w:tabs>
          <w:tab w:val="clear" w:pos="425"/>
          <w:tab w:val="left" w:pos="2268"/>
        </w:tabs>
        <w:rPr>
          <w:rFonts w:cs="Arial"/>
        </w:rPr>
      </w:pPr>
      <w:r>
        <w:rPr>
          <w:rFonts w:cs="Arial"/>
        </w:rPr>
        <w:t>(2) Die Probennahme muss sicherstellen, dass die zu untersuchenden Böden oder Materialien, dem Ziel der Untersuchung entsprechend, hinreichend repräsentativ erfasst werden.</w:t>
      </w:r>
    </w:p>
    <w:p>
      <w:pPr>
        <w:pStyle w:val="GesAbsatz"/>
        <w:tabs>
          <w:tab w:val="clear" w:pos="425"/>
          <w:tab w:val="left" w:pos="2268"/>
        </w:tabs>
        <w:rPr>
          <w:rFonts w:cs="Arial"/>
        </w:rPr>
      </w:pPr>
      <w:r>
        <w:rPr>
          <w:rFonts w:cs="Arial"/>
        </w:rPr>
        <w:t>(3) Die Probennahme hat insbesondere das jeweilige Ziel der Untersuchung, die örtlichen Umstände, die Eigenarten des zu untersuchenden Materials, die zu untersuchenden Parameter sowie den erforderlichen Umfang an Genauigkeit und Zuverlässigkeit der Ergebnisse zu berücksichtigen. Die Hinweise der DIN ISO 10381</w:t>
      </w:r>
      <w:r>
        <w:rPr>
          <w:rFonts w:cs="Arial"/>
        </w:rPr>
        <w:noBreakHyphen/>
        <w:t>1 sind zu berücksichtigen.</w:t>
      </w:r>
    </w:p>
    <w:p>
      <w:pPr>
        <w:pStyle w:val="GesAbsatz"/>
        <w:tabs>
          <w:tab w:val="clear" w:pos="425"/>
          <w:tab w:val="left" w:pos="2268"/>
        </w:tabs>
        <w:rPr>
          <w:rFonts w:cs="Arial"/>
        </w:rPr>
      </w:pPr>
      <w:r>
        <w:rPr>
          <w:rFonts w:cs="Arial"/>
        </w:rPr>
        <w:t>(4) Liegen Hinweise auf Inhomogenitäten oder Heterogenitäten in dem zu untersuchenden Boden in situ oder in dem zu untersuchenden Haufwerk vor, ist für die Probennahme, soweit möglich, eine für die jeweilige Fragestellung geeignete Untergliederung in Teilbereiche vorzunehmen.</w:t>
      </w:r>
    </w:p>
    <w:p>
      <w:pPr>
        <w:pStyle w:val="GesAbsatz"/>
        <w:tabs>
          <w:tab w:val="clear" w:pos="425"/>
          <w:tab w:val="left" w:pos="2268"/>
        </w:tabs>
        <w:rPr>
          <w:rFonts w:cs="Arial"/>
        </w:rPr>
      </w:pPr>
      <w:r>
        <w:rPr>
          <w:rFonts w:cs="Arial"/>
        </w:rPr>
        <w:t>(5) Vermutete Schadstoffanreicherungen sind gezielt zu beproben. Die Zahl und die räumliche Anordnung der Probennahmestellen sind so zu planen, dass eine räumliche Abgrenzung von Schadstoffanreicherungen erfolgen, ein Belastungsverdacht geklärt und eine mögliche Gefahr bewertet werden kann.</w:t>
      </w:r>
    </w:p>
    <w:p>
      <w:pPr>
        <w:pStyle w:val="GesAbsatz"/>
        <w:tabs>
          <w:tab w:val="clear" w:pos="425"/>
          <w:tab w:val="left" w:pos="2268"/>
        </w:tabs>
        <w:rPr>
          <w:rFonts w:cs="Arial"/>
        </w:rPr>
      </w:pPr>
      <w:r>
        <w:rPr>
          <w:rFonts w:cs="Arial"/>
        </w:rPr>
        <w:t>(6) Wenn die jeweilige Fragestellung Mischproben erfordert, sollen diese in der Regel aus 20 Einzelstichproben je Teilbereich hergestellt werden.</w:t>
      </w:r>
    </w:p>
    <w:p>
      <w:pPr>
        <w:pStyle w:val="GesAbsatz"/>
        <w:tabs>
          <w:tab w:val="clear" w:pos="425"/>
          <w:tab w:val="left" w:pos="2268"/>
        </w:tabs>
        <w:rPr>
          <w:rFonts w:cs="Arial"/>
        </w:rPr>
      </w:pPr>
      <w:r>
        <w:rPr>
          <w:rFonts w:cs="Arial"/>
        </w:rPr>
        <w:t>(7) Bei vorbereitenden Schritten zur Gewinnung der Feldprobe, wie der Grobsortierung, der Grobzerkleinerung und der Klassierung des zu untersuchenden Materials, sind die Hinweise der DIN 19747 zu beachten.</w:t>
      </w:r>
    </w:p>
    <w:p>
      <w:pPr>
        <w:pStyle w:val="GesAbsatz"/>
        <w:tabs>
          <w:tab w:val="clear" w:pos="425"/>
          <w:tab w:val="left" w:pos="2268"/>
        </w:tabs>
        <w:rPr>
          <w:rFonts w:cs="Arial"/>
        </w:rPr>
      </w:pPr>
      <w:r>
        <w:rPr>
          <w:rFonts w:cs="Arial"/>
        </w:rPr>
        <w:t>(8) Grobe Materialien mit einer Korngröße von mehr als 2 Millimetern sowie Fremdbestandteile und Störstoffe, die möglicherweise Schadstoffe enthalten oder denen diese anhaften können, sind bei Feststoffuntersuchungen aus der gesamten Probenmenge zu entnehmen und gesondert der Laboruntersuchung zuzuführen. Ihr Masseanteil an dem beprobten Bodenhorizont oder der Schichteinheit ist zu ermitteln, zu dokumentieren und bei der Bewertung der Messergebnisse einzubeziehen.</w:t>
      </w:r>
    </w:p>
    <w:p>
      <w:pPr>
        <w:pStyle w:val="GesAbsatz"/>
        <w:tabs>
          <w:tab w:val="clear" w:pos="425"/>
          <w:tab w:val="left" w:pos="2268"/>
        </w:tabs>
        <w:rPr>
          <w:rFonts w:cs="Arial"/>
        </w:rPr>
      </w:pPr>
      <w:r>
        <w:rPr>
          <w:rFonts w:cs="Arial"/>
        </w:rPr>
        <w:t>(9) Die Probennahme bei Bodenluft- und Deponiegasuntersuchungen richtet sich nach Anlage 3 Tabelle 8.</w:t>
      </w:r>
    </w:p>
    <w:p>
      <w:pPr>
        <w:pStyle w:val="berschrift3"/>
      </w:pPr>
      <w:bookmarkStart w:id="27" w:name="_Toc128479844"/>
      <w:r>
        <w:t>§ 20</w:t>
      </w:r>
      <w:r>
        <w:br/>
        <w:t>Besondere Anforderungen an die Probennahme aus Böden in situ</w:t>
      </w:r>
      <w:bookmarkEnd w:id="27"/>
    </w:p>
    <w:p>
      <w:pPr>
        <w:pStyle w:val="GesAbsatz"/>
        <w:tabs>
          <w:tab w:val="clear" w:pos="425"/>
          <w:tab w:val="left" w:pos="2268"/>
        </w:tabs>
        <w:rPr>
          <w:rFonts w:cs="Arial"/>
        </w:rPr>
      </w:pPr>
      <w:r>
        <w:rPr>
          <w:rFonts w:cs="Arial"/>
        </w:rPr>
        <w:t>(1) Böden sind in der Regel horizontweise zu beproben. Grundlage für die Ermittlung der Horizontabfolge ist die „Arbeitshilfe für die Bodenansprache im vor- und nachsorgenden Bodenschutz – Auszug aus der Bodenkundlichen Kartieranleitung KA 5“. Ist eine eindeutige Horizontansprache nicht möglich, sind für den Wirkungspfad Boden-Nutzpflanze die Beprobungstiefen nach Anlage 3 Tabelle 3 heranzuziehen.</w:t>
      </w:r>
    </w:p>
    <w:p>
      <w:pPr>
        <w:pStyle w:val="GesAbsatz"/>
        <w:tabs>
          <w:tab w:val="clear" w:pos="425"/>
          <w:tab w:val="left" w:pos="2268"/>
        </w:tabs>
        <w:rPr>
          <w:rFonts w:cs="Arial"/>
        </w:rPr>
      </w:pPr>
      <w:r>
        <w:rPr>
          <w:rFonts w:cs="Arial"/>
        </w:rPr>
        <w:t>(2) Zur Bestimmung der Beprobungstiefe für den Wirkungspfad Boden-Mensch gilt bei Untersuchung auf anorganische und schwerflüchtige organische Schadstoffe die Anlage 3 Tabelle 3. Sind in den Beprobungstiefen Horizontwechsel vorhanden, ist zusätzlich eine Beprobung nach Horizonten vorzunehmen, wenn dies für die jeweilige Fragestellung erforderlich ist.</w:t>
      </w:r>
    </w:p>
    <w:p>
      <w:pPr>
        <w:pStyle w:val="GesAbsatz"/>
        <w:tabs>
          <w:tab w:val="clear" w:pos="425"/>
          <w:tab w:val="left" w:pos="2268"/>
        </w:tabs>
        <w:rPr>
          <w:rFonts w:cs="Arial"/>
        </w:rPr>
      </w:pPr>
      <w:r>
        <w:rPr>
          <w:rFonts w:cs="Arial"/>
        </w:rPr>
        <w:t>(3) Zur Probengewinnung sind Verfahren anzuwenden, die in der DIN EN ISO 22475-1 und der DIN ISO 10381-2 aufgeführt sind.</w:t>
      </w:r>
    </w:p>
    <w:p>
      <w:pPr>
        <w:pStyle w:val="berschrift3"/>
      </w:pPr>
      <w:bookmarkStart w:id="28" w:name="_Toc128479845"/>
      <w:r>
        <w:lastRenderedPageBreak/>
        <w:t>§ 21</w:t>
      </w:r>
      <w:r>
        <w:br/>
        <w:t>Besondere Anforderungen an die Probennahme aus Haufwerken</w:t>
      </w:r>
      <w:bookmarkEnd w:id="28"/>
    </w:p>
    <w:p>
      <w:pPr>
        <w:pStyle w:val="GesAbsatz"/>
        <w:tabs>
          <w:tab w:val="clear" w:pos="425"/>
          <w:tab w:val="left" w:pos="2268"/>
        </w:tabs>
        <w:rPr>
          <w:rFonts w:cs="Arial"/>
        </w:rPr>
      </w:pPr>
      <w:r>
        <w:rPr>
          <w:rFonts w:cs="Arial"/>
        </w:rPr>
        <w:t>(1) Die Beprobung von Haufwerken ist gemäß der „Richtlinie für das Vorgehen bei physikalischen, chemischen und biologischen Untersuchungen im Zusammenhang mit der Verwertung/Beseitigung von Abfällen“ (LAGA PN 98) vorzunehmen.</w:t>
      </w:r>
    </w:p>
    <w:p>
      <w:pPr>
        <w:pStyle w:val="GesAbsatz"/>
        <w:tabs>
          <w:tab w:val="clear" w:pos="425"/>
          <w:tab w:val="left" w:pos="2268"/>
        </w:tabs>
        <w:rPr>
          <w:rFonts w:cs="Arial"/>
        </w:rPr>
      </w:pPr>
      <w:r>
        <w:rPr>
          <w:rFonts w:cs="Arial"/>
        </w:rPr>
        <w:t>(2) Die gemäß LAGA PN 98 im Regelfall vorgesehene Anzahl von Laborproben kann für größere Chargen von Bodenmaterial, wie aufgemietete Homogenbereiche im Sinne der DIN 18300, in Abstimmung mit der zuständigen Behörde im Einzelfall verringert werden, wenn insbesondere durch eine Vorerkundung oder Vor-Ort-Analytik eine homogene Schadstoffverteilung hinreichend belegt ist.</w:t>
      </w:r>
    </w:p>
    <w:p>
      <w:pPr>
        <w:pStyle w:val="berschrift3"/>
      </w:pPr>
      <w:bookmarkStart w:id="29" w:name="_Toc128479846"/>
      <w:r>
        <w:t>§ 22</w:t>
      </w:r>
      <w:r>
        <w:br/>
        <w:t xml:space="preserve">Zusätzliche wirkungspfadbezogene Anforderungen an die </w:t>
      </w:r>
      <w:r>
        <w:br/>
        <w:t>Probennahme bei orientierenden Untersuchungen und Detailuntersuchungen</w:t>
      </w:r>
      <w:bookmarkEnd w:id="29"/>
    </w:p>
    <w:p>
      <w:pPr>
        <w:pStyle w:val="GesAbsatz"/>
        <w:tabs>
          <w:tab w:val="clear" w:pos="425"/>
          <w:tab w:val="left" w:pos="2268"/>
        </w:tabs>
        <w:rPr>
          <w:rFonts w:cs="Arial"/>
        </w:rPr>
      </w:pPr>
      <w:r>
        <w:rPr>
          <w:rFonts w:cs="Arial"/>
        </w:rPr>
        <w:t>(1) Beim Wirkungspfad Boden-Mensch sind im Rahmen der Festlegung der Probennahmestellen und der Beprobungstiefe auch Ermittlungen zu den im Einzelfall vorliegenden Expositionsbedingungen vorzunehmen, insbesondere über die</w:t>
      </w:r>
    </w:p>
    <w:p>
      <w:pPr>
        <w:pStyle w:val="GesAbsatz"/>
        <w:tabs>
          <w:tab w:val="clear" w:pos="425"/>
          <w:tab w:val="left" w:pos="2268"/>
        </w:tabs>
        <w:ind w:left="426" w:hanging="426"/>
        <w:rPr>
          <w:rFonts w:cs="Arial"/>
        </w:rPr>
      </w:pPr>
      <w:r>
        <w:rPr>
          <w:rFonts w:cs="Arial"/>
        </w:rPr>
        <w:t>1.</w:t>
      </w:r>
      <w:r>
        <w:rPr>
          <w:rFonts w:cs="Arial"/>
        </w:rPr>
        <w:tab/>
        <w:t>tatsächliche Nutzung der Fläche nach Art, Häufigkeit und Dauer,</w:t>
      </w:r>
    </w:p>
    <w:p>
      <w:pPr>
        <w:pStyle w:val="GesAbsatz"/>
        <w:tabs>
          <w:tab w:val="clear" w:pos="425"/>
          <w:tab w:val="left" w:pos="2268"/>
        </w:tabs>
        <w:ind w:left="426" w:hanging="426"/>
        <w:rPr>
          <w:rFonts w:cs="Arial"/>
        </w:rPr>
      </w:pPr>
      <w:r>
        <w:rPr>
          <w:rFonts w:cs="Arial"/>
        </w:rPr>
        <w:t>2.</w:t>
      </w:r>
      <w:r>
        <w:rPr>
          <w:rFonts w:cs="Arial"/>
        </w:rPr>
        <w:tab/>
        <w:t>Zugänglichkeit der Fläche,</w:t>
      </w:r>
    </w:p>
    <w:p>
      <w:pPr>
        <w:pStyle w:val="GesAbsatz"/>
        <w:tabs>
          <w:tab w:val="clear" w:pos="425"/>
          <w:tab w:val="left" w:pos="2268"/>
        </w:tabs>
        <w:ind w:left="426" w:hanging="426"/>
        <w:rPr>
          <w:rFonts w:cs="Arial"/>
        </w:rPr>
      </w:pPr>
      <w:r>
        <w:rPr>
          <w:rFonts w:cs="Arial"/>
        </w:rPr>
        <w:t>3.</w:t>
      </w:r>
      <w:r>
        <w:rPr>
          <w:rFonts w:cs="Arial"/>
        </w:rPr>
        <w:tab/>
        <w:t>Versiegelung der Fläche und über den Aufwuchs,</w:t>
      </w:r>
    </w:p>
    <w:p>
      <w:pPr>
        <w:pStyle w:val="GesAbsatz"/>
        <w:tabs>
          <w:tab w:val="clear" w:pos="425"/>
          <w:tab w:val="left" w:pos="2268"/>
        </w:tabs>
        <w:ind w:left="426" w:hanging="426"/>
        <w:rPr>
          <w:rFonts w:cs="Arial"/>
        </w:rPr>
      </w:pPr>
      <w:r>
        <w:rPr>
          <w:rFonts w:cs="Arial"/>
        </w:rPr>
        <w:t>4.</w:t>
      </w:r>
      <w:r>
        <w:rPr>
          <w:rFonts w:cs="Arial"/>
        </w:rPr>
        <w:tab/>
        <w:t>Möglichkeit der inhalativen Aufnahme von Bodenpartikeln und</w:t>
      </w:r>
    </w:p>
    <w:p>
      <w:pPr>
        <w:pStyle w:val="GesAbsatz"/>
        <w:tabs>
          <w:tab w:val="clear" w:pos="425"/>
          <w:tab w:val="left" w:pos="2268"/>
        </w:tabs>
        <w:ind w:left="426" w:hanging="426"/>
        <w:rPr>
          <w:rFonts w:cs="Arial"/>
        </w:rPr>
      </w:pPr>
      <w:r>
        <w:rPr>
          <w:rFonts w:cs="Arial"/>
        </w:rPr>
        <w:t>5.</w:t>
      </w:r>
      <w:r>
        <w:rPr>
          <w:rFonts w:cs="Arial"/>
        </w:rPr>
        <w:tab/>
        <w:t>Relevanz weiterer Wirkungspfade.</w:t>
      </w:r>
    </w:p>
    <w:p>
      <w:pPr>
        <w:pStyle w:val="GesAbsatz"/>
        <w:tabs>
          <w:tab w:val="clear" w:pos="425"/>
          <w:tab w:val="left" w:pos="2268"/>
        </w:tabs>
        <w:rPr>
          <w:rFonts w:cs="Arial"/>
        </w:rPr>
      </w:pPr>
      <w:r>
        <w:rPr>
          <w:rFonts w:cs="Arial"/>
        </w:rPr>
        <w:t>(2) Beim Wirkungspfad Boden-Mensch gilt für die Beurteilung der Gefahren durch orale und dermale Aufnahme die Beprobungstiefe nach Anlage 3 Tabelle 3. Werden leichtflüchtige Schadstoffe untersucht, um gemäß § 10 Absatz 6 Anhaltspunkte für die Ausbreitung dieser Stoffe in Gebäude hinein zu ermitteln, richten sich die Beprobungstiefen nach dem dazu verwendeten Expositionsszenario (Boden-Bodenluft-Innenraumluft). Für die inhalative Aufnahme von Bodenpartikeln sind in der Regel die obersten 2 Zentimeter des Bodens maßgebend. Bei Überschreitung der Prüfwerte ist zur Bewertung der inhalativen Wirkung die Feinkornfraktion bis 63 Mikrometer heranzuziehen.</w:t>
      </w:r>
    </w:p>
    <w:p>
      <w:pPr>
        <w:pStyle w:val="GesAbsatz"/>
        <w:tabs>
          <w:tab w:val="clear" w:pos="425"/>
          <w:tab w:val="left" w:pos="2268"/>
        </w:tabs>
        <w:rPr>
          <w:rFonts w:cs="Arial"/>
        </w:rPr>
      </w:pPr>
      <w:r>
        <w:rPr>
          <w:rFonts w:cs="Arial"/>
        </w:rPr>
        <w:t>(3) Beim Wirkungspfad Boden-Mensch kann bei Flächen unter 500 Quadratmetern sowie in Hausgärten oder sonstigen Gärten entsprechender Nutzung auf eine Teilung verzichtet werden. Für Flächen über 10 000 Quadratmetern sollen mindestens jedoch zehn Teilflächen beprobt werden.</w:t>
      </w:r>
    </w:p>
    <w:p>
      <w:pPr>
        <w:pStyle w:val="GesAbsatz"/>
        <w:tabs>
          <w:tab w:val="clear" w:pos="425"/>
          <w:tab w:val="left" w:pos="2268"/>
        </w:tabs>
        <w:rPr>
          <w:rFonts w:cs="Arial"/>
        </w:rPr>
      </w:pPr>
      <w:r>
        <w:rPr>
          <w:rFonts w:cs="Arial"/>
        </w:rPr>
        <w:t>(4) Beim Wirkungspfad Boden-Nutzpflanze ist bei Ackerflächen oder Grünlandflächen mit annähernd gleichmäßiger Bodenbeschaffenheit und Schadstoffverteilung auf Flächen bis 10 Hektar in der Regel für jeweils 1 Hektar, mindestens aber von drei Teilflächen, je eine Mischprobe nach § 19 Absatz 6 entsprechend den Beprobungstiefen zu entnehmen. Bei Flächen unter 5 000 Quadratmetern kann auf eine Teilung verzichtet werden. Für Flächen über 10 Hektar sollen mindestens jedoch zehn Teilflächen beprobt werden. In Nutzgärten soll die Probennahme in der Regel durch Entnahme einer grundstücksbezogenen Mischprobe nach § 19 Absatz 6 für jede Beprobungstiefe erfolgen.</w:t>
      </w:r>
    </w:p>
    <w:p>
      <w:pPr>
        <w:pStyle w:val="GesAbsatz"/>
        <w:tabs>
          <w:tab w:val="clear" w:pos="425"/>
          <w:tab w:val="left" w:pos="2268"/>
        </w:tabs>
        <w:rPr>
          <w:rFonts w:cs="Arial"/>
        </w:rPr>
      </w:pPr>
      <w:r>
        <w:rPr>
          <w:rFonts w:cs="Arial"/>
        </w:rPr>
        <w:t>(5) Beim Wirkungspfad Boden-Grundwasser ist zur Feststellung der vertikalen Schadstoffverteilung die wasserungesättigte Bodenzone bis unterhalb einer mutmaßlichen Schadstoffanreicherung unter besonderer Berücksichtigung der Zone schwankender Grundwasserstände zu beproben. Im Untergrund dürfen abweichend von § 20 Absatz 1 Satz 1 Proben aus Tiefenintervallen bis zu 1 Meter entnommen werden. In begründeten Fällen ist die Zusammenfassung engräumiger Bodenhorizonte oder -schichten bis zu 1 Meter Tiefenintervall zulässig. Die Beprobungstiefe ist zu verringern, wenn erkennbar wird, dass bei Durchbohrung von Wasser stauenden Schichten im Untergrund eine hierdurch entstehende Verunreinigung des Grundwassers zu besorgen ist. Ist das Durchbohren von Wasser stauenden Schichten erforderlich, sind besondere Sicherungsmaßnahmen zu ergreifen.</w:t>
      </w:r>
    </w:p>
    <w:p>
      <w:pPr>
        <w:pStyle w:val="berschrift3"/>
      </w:pPr>
      <w:bookmarkStart w:id="30" w:name="_Toc128479847"/>
      <w:r>
        <w:t>§ 23</w:t>
      </w:r>
      <w:r>
        <w:br/>
        <w:t xml:space="preserve">Konservierung, Transport und Aufbewahrung von Proben; </w:t>
      </w:r>
      <w:r>
        <w:br/>
        <w:t>Probenvorbehandlung, -vorbereitung und -aufarbeitung</w:t>
      </w:r>
      <w:bookmarkEnd w:id="30"/>
    </w:p>
    <w:p>
      <w:pPr>
        <w:pStyle w:val="GesAbsatz"/>
        <w:tabs>
          <w:tab w:val="clear" w:pos="425"/>
          <w:tab w:val="left" w:pos="2268"/>
        </w:tabs>
        <w:rPr>
          <w:rFonts w:cs="Arial"/>
        </w:rPr>
      </w:pPr>
      <w:r>
        <w:rPr>
          <w:rFonts w:cs="Arial"/>
        </w:rPr>
        <w:t>(1) Für die Auswahl von Probengefäßen sowie für Konservierung, Transport und Aufbewahrung von Proben sind die DIN ISO 10381-1, die DIN 19747 und die DIN EN ISO 5667-3 zu beachten.</w:t>
      </w:r>
    </w:p>
    <w:p>
      <w:pPr>
        <w:pStyle w:val="GesAbsatz"/>
        <w:tabs>
          <w:tab w:val="clear" w:pos="425"/>
          <w:tab w:val="left" w:pos="2268"/>
        </w:tabs>
        <w:rPr>
          <w:rFonts w:cs="Arial"/>
        </w:rPr>
      </w:pPr>
      <w:r>
        <w:rPr>
          <w:rFonts w:cs="Arial"/>
        </w:rPr>
        <w:lastRenderedPageBreak/>
        <w:t>(2) Das Vorgehen bei der Probenvorbehandlung, der Probenvorbereitung und der Probenaufarbeitung für chemische, biologische oder physikalische Untersuchungen von Feststoffproben aus Böden und Materialien richtet sich nach der DIN 19747.</w:t>
      </w:r>
    </w:p>
    <w:p>
      <w:pPr>
        <w:pStyle w:val="GesAbsatz"/>
        <w:tabs>
          <w:tab w:val="clear" w:pos="425"/>
          <w:tab w:val="left" w:pos="2268"/>
        </w:tabs>
        <w:rPr>
          <w:rFonts w:cs="Arial"/>
        </w:rPr>
      </w:pPr>
      <w:r>
        <w:rPr>
          <w:rFonts w:cs="Arial"/>
        </w:rPr>
        <w:t>(3) Repräsentative Teile der Proben sind mindestens bis zum Abschluss des Verfahrens als Rückstellproben nach der DIN 19747 aufzubewahren. Die zuständige Behörde kann Art und Umfang der Rückstellung nach den Erfordernissen des Einzelfalls festlegen.</w:t>
      </w:r>
    </w:p>
    <w:p>
      <w:pPr>
        <w:pStyle w:val="berschrift3"/>
      </w:pPr>
      <w:bookmarkStart w:id="31" w:name="_Toc128479848"/>
      <w:r>
        <w:t>§ 24</w:t>
      </w:r>
      <w:r>
        <w:br/>
        <w:t>Physikalisch-chemische und chemische Analyse</w:t>
      </w:r>
      <w:bookmarkEnd w:id="31"/>
    </w:p>
    <w:p>
      <w:pPr>
        <w:pStyle w:val="GesAbsatz"/>
        <w:tabs>
          <w:tab w:val="clear" w:pos="425"/>
          <w:tab w:val="left" w:pos="2268"/>
        </w:tabs>
        <w:rPr>
          <w:rFonts w:cs="Arial"/>
        </w:rPr>
      </w:pPr>
      <w:r>
        <w:rPr>
          <w:rFonts w:cs="Arial"/>
        </w:rPr>
        <w:t>(1) Die physikalisch-chemische und chemische Analyse der Proben ist durch eine nach DIN EN ISO/IEC 17025 akkreditierte Untersuchungsstelle durchzuführen.</w:t>
      </w:r>
    </w:p>
    <w:p>
      <w:pPr>
        <w:pStyle w:val="GesAbsatz"/>
        <w:tabs>
          <w:tab w:val="clear" w:pos="425"/>
          <w:tab w:val="left" w:pos="2268"/>
        </w:tabs>
        <w:rPr>
          <w:rFonts w:cs="Arial"/>
        </w:rPr>
      </w:pPr>
      <w:r>
        <w:rPr>
          <w:rFonts w:cs="Arial"/>
        </w:rPr>
        <w:t>(2) Die Bestimmung der physikalisch-chemischen Eigenschaften hat nach Anlage 3 Tabelle 1 zu erfolgen.</w:t>
      </w:r>
    </w:p>
    <w:p>
      <w:pPr>
        <w:pStyle w:val="GesAbsatz"/>
        <w:tabs>
          <w:tab w:val="clear" w:pos="425"/>
          <w:tab w:val="left" w:pos="2268"/>
        </w:tabs>
        <w:rPr>
          <w:rFonts w:cs="Arial"/>
        </w:rPr>
      </w:pPr>
      <w:r>
        <w:rPr>
          <w:rFonts w:cs="Arial"/>
        </w:rPr>
        <w:t>(3) Zur Bestimmung der Schadstoffgehalte sind aus den nach § 23 vorbehandelten, vorbereiteten und aufgearbeiteten Proben gemäß den nachfolgenden Absätzen Extrakte und Eluate herzustellen und zu analysieren. Die Schadstoffgehalte sind auf Trockenmasse zu beziehen, die bei 105 °C nach der DIN EN 14346 Methode A gewonnen wurde. Bei summarischen Messgrößen, wie etwa PCB, LHKW, BTEX und PAK, sind neben der Summe auch die zugrunde gelegten Einzelergebnisse anzugeben. Für die Summenbildung bleiben Ergebnisse unterhalb der Bestimmungsgrenze unberücksichtigt.</w:t>
      </w:r>
    </w:p>
    <w:p>
      <w:pPr>
        <w:pStyle w:val="GesAbsatz"/>
        <w:tabs>
          <w:tab w:val="clear" w:pos="425"/>
          <w:tab w:val="left" w:pos="2268"/>
        </w:tabs>
        <w:rPr>
          <w:rFonts w:cs="Arial"/>
        </w:rPr>
      </w:pPr>
      <w:r>
        <w:rPr>
          <w:rFonts w:cs="Arial"/>
        </w:rPr>
        <w:t>(4) Die Bestimmung der Gehalte an anorganischen Schadstoffen hinsichtlich</w:t>
      </w:r>
    </w:p>
    <w:p>
      <w:pPr>
        <w:pStyle w:val="GesAbsatz"/>
        <w:tabs>
          <w:tab w:val="clear" w:pos="425"/>
          <w:tab w:val="left" w:pos="2268"/>
        </w:tabs>
        <w:ind w:left="426" w:hanging="426"/>
        <w:rPr>
          <w:rFonts w:cs="Arial"/>
        </w:rPr>
      </w:pPr>
      <w:r>
        <w:rPr>
          <w:rFonts w:cs="Arial"/>
        </w:rPr>
        <w:t>1.</w:t>
      </w:r>
      <w:r>
        <w:rPr>
          <w:rFonts w:cs="Arial"/>
        </w:rPr>
        <w:tab/>
        <w:t>der Vorsorgewerte nach Anlage 1 Tabelle 1,</w:t>
      </w:r>
    </w:p>
    <w:p>
      <w:pPr>
        <w:pStyle w:val="GesAbsatz"/>
        <w:tabs>
          <w:tab w:val="clear" w:pos="425"/>
          <w:tab w:val="left" w:pos="2268"/>
        </w:tabs>
        <w:ind w:left="426" w:hanging="426"/>
        <w:rPr>
          <w:rFonts w:cs="Arial"/>
        </w:rPr>
      </w:pPr>
      <w:r>
        <w:rPr>
          <w:rFonts w:cs="Arial"/>
        </w:rPr>
        <w:t>2.</w:t>
      </w:r>
      <w:r>
        <w:rPr>
          <w:rFonts w:cs="Arial"/>
        </w:rPr>
        <w:tab/>
        <w:t>der Feststoffwerte nach Anlage 1 Tabelle 4,</w:t>
      </w:r>
    </w:p>
    <w:p>
      <w:pPr>
        <w:pStyle w:val="GesAbsatz"/>
        <w:tabs>
          <w:tab w:val="clear" w:pos="425"/>
          <w:tab w:val="left" w:pos="2268"/>
        </w:tabs>
        <w:ind w:left="426" w:hanging="426"/>
        <w:rPr>
          <w:rFonts w:cs="Arial"/>
        </w:rPr>
      </w:pPr>
      <w:r>
        <w:rPr>
          <w:rFonts w:cs="Arial"/>
        </w:rPr>
        <w:t>3.</w:t>
      </w:r>
      <w:r>
        <w:rPr>
          <w:rFonts w:cs="Arial"/>
        </w:rPr>
        <w:tab/>
        <w:t>der Prüfwerte für den Wirkungspfad Boden-Mensch nach Anlage 2 Tabelle 4, mit Ausnahme der Cyanide und von Chrom VI,</w:t>
      </w:r>
    </w:p>
    <w:p>
      <w:pPr>
        <w:pStyle w:val="GesAbsatz"/>
        <w:tabs>
          <w:tab w:val="clear" w:pos="425"/>
          <w:tab w:val="left" w:pos="2268"/>
        </w:tabs>
        <w:ind w:left="426" w:hanging="426"/>
        <w:rPr>
          <w:rFonts w:cs="Arial"/>
        </w:rPr>
      </w:pPr>
      <w:r>
        <w:rPr>
          <w:rFonts w:cs="Arial"/>
        </w:rPr>
        <w:t>4.</w:t>
      </w:r>
      <w:r>
        <w:rPr>
          <w:rFonts w:cs="Arial"/>
        </w:rPr>
        <w:tab/>
        <w:t>der Prüf- und Maßnahmenwerte für Arsen und Quecksilber für den Wirkungspfad Boden-Nutzpflanze auf Ackerflächen und in Nutzgärten im Hinblick auf die Pflanzenqualität nach Anlage 2 Tabelle 6 und</w:t>
      </w:r>
    </w:p>
    <w:p>
      <w:pPr>
        <w:pStyle w:val="GesAbsatz"/>
        <w:tabs>
          <w:tab w:val="clear" w:pos="425"/>
          <w:tab w:val="left" w:pos="2268"/>
        </w:tabs>
        <w:ind w:left="426" w:hanging="426"/>
        <w:rPr>
          <w:rFonts w:cs="Arial"/>
        </w:rPr>
      </w:pPr>
      <w:r>
        <w:rPr>
          <w:rFonts w:cs="Arial"/>
        </w:rPr>
        <w:t>5.</w:t>
      </w:r>
      <w:r>
        <w:rPr>
          <w:rFonts w:cs="Arial"/>
        </w:rPr>
        <w:tab/>
        <w:t>der Prüf- und Maßnahmenwerte für den Wirkungspfad Boden-Nutzpflanze auf Grünlandflächen im Hinblick auf die Pflanzenqualität nach Anlage 2 Tabelle 7</w:t>
      </w:r>
    </w:p>
    <w:p>
      <w:pPr>
        <w:pStyle w:val="GesAbsatz"/>
        <w:tabs>
          <w:tab w:val="clear" w:pos="425"/>
          <w:tab w:val="left" w:pos="2268"/>
        </w:tabs>
        <w:rPr>
          <w:rFonts w:cs="Arial"/>
        </w:rPr>
      </w:pPr>
      <w:r>
        <w:rPr>
          <w:rFonts w:cs="Arial"/>
        </w:rPr>
        <w:t>hat aus dem Königswasser-Extrakt nach der mit den Verfahren nach Nummer 9.2 der DIN EN 13657 oder nach der DIN EN 16174 mit den in Anlage 3 Tabelle 4 angegebenen Verfahren zu erfolgen.</w:t>
      </w:r>
    </w:p>
    <w:p>
      <w:pPr>
        <w:pStyle w:val="GesAbsatz"/>
        <w:tabs>
          <w:tab w:val="clear" w:pos="425"/>
          <w:tab w:val="left" w:pos="2268"/>
        </w:tabs>
        <w:rPr>
          <w:rFonts w:cs="Arial"/>
        </w:rPr>
      </w:pPr>
      <w:r>
        <w:rPr>
          <w:rFonts w:cs="Arial"/>
        </w:rPr>
        <w:t>(5) Die Bestimmung der Gehalte an Cyaniden und Chrom VI hinsichtlich der Prüfwerte für den Wirkungspfad Boden-Mensch nach Anlage 2 Tabelle 4 hat mit den in Anlage 3 Tabelle 4 angegebenen Verfahren zu erfolgen.</w:t>
      </w:r>
    </w:p>
    <w:p>
      <w:pPr>
        <w:pStyle w:val="GesAbsatz"/>
        <w:tabs>
          <w:tab w:val="clear" w:pos="425"/>
          <w:tab w:val="left" w:pos="2268"/>
        </w:tabs>
        <w:rPr>
          <w:rFonts w:cs="Arial"/>
        </w:rPr>
      </w:pPr>
      <w:r>
        <w:rPr>
          <w:rFonts w:cs="Arial"/>
        </w:rPr>
        <w:t>(6) Die Bestimmung der Gehalte an anorganischen Schadstoffen hinsichtlich</w:t>
      </w:r>
    </w:p>
    <w:p>
      <w:pPr>
        <w:pStyle w:val="GesAbsatz"/>
        <w:tabs>
          <w:tab w:val="clear" w:pos="425"/>
          <w:tab w:val="left" w:pos="2268"/>
        </w:tabs>
        <w:ind w:left="426" w:hanging="426"/>
        <w:rPr>
          <w:rFonts w:cs="Arial"/>
        </w:rPr>
      </w:pPr>
      <w:r>
        <w:rPr>
          <w:rFonts w:cs="Arial"/>
        </w:rPr>
        <w:t>1.</w:t>
      </w:r>
      <w:r>
        <w:rPr>
          <w:rFonts w:cs="Arial"/>
        </w:rPr>
        <w:tab/>
        <w:t>der Prüf- und Maßnahmenwerte für Blei, Cadmium und Thallium für den Wirkungspfad Boden-Nutzpflanze auf Ackerflächen und in Nutzgärten im Hinblick auf die Pflanzenqualität nach Anlage 2 Tabelle 6 und</w:t>
      </w:r>
    </w:p>
    <w:p>
      <w:pPr>
        <w:pStyle w:val="GesAbsatz"/>
        <w:tabs>
          <w:tab w:val="clear" w:pos="425"/>
          <w:tab w:val="left" w:pos="2268"/>
        </w:tabs>
        <w:ind w:left="426" w:hanging="426"/>
        <w:rPr>
          <w:rFonts w:cs="Arial"/>
        </w:rPr>
      </w:pPr>
      <w:r>
        <w:rPr>
          <w:rFonts w:cs="Arial"/>
        </w:rPr>
        <w:t>2.</w:t>
      </w:r>
      <w:r>
        <w:rPr>
          <w:rFonts w:cs="Arial"/>
        </w:rPr>
        <w:tab/>
        <w:t>der Prüfwerte auf Ackerflächen im Hinblick auf Wachstumsbeeinträchtigungen bei Kulturpflanzen nach Anlage 2 Tabelle 8</w:t>
      </w:r>
    </w:p>
    <w:p>
      <w:pPr>
        <w:pStyle w:val="GesAbsatz"/>
        <w:tabs>
          <w:tab w:val="clear" w:pos="425"/>
          <w:tab w:val="left" w:pos="2268"/>
        </w:tabs>
        <w:rPr>
          <w:rFonts w:cs="Arial"/>
        </w:rPr>
      </w:pPr>
      <w:r>
        <w:rPr>
          <w:rFonts w:cs="Arial"/>
        </w:rPr>
        <w:t>hat aus dem Ammoniumnitrat-Extrakt nach der DIN ISO 19730 mit den in Anlage 3 Tabelle 4 angegebenen Verfahren zu erfolgen.</w:t>
      </w:r>
    </w:p>
    <w:p>
      <w:pPr>
        <w:pStyle w:val="GesAbsatz"/>
        <w:tabs>
          <w:tab w:val="clear" w:pos="425"/>
          <w:tab w:val="left" w:pos="2268"/>
        </w:tabs>
        <w:rPr>
          <w:rFonts w:cs="Arial"/>
        </w:rPr>
      </w:pPr>
      <w:r>
        <w:rPr>
          <w:rFonts w:cs="Arial"/>
        </w:rPr>
        <w:t xml:space="preserve">(7) Die Bestimmung der Gehalte an organischen Schadstoffen hinsichtlich </w:t>
      </w:r>
    </w:p>
    <w:p>
      <w:pPr>
        <w:pStyle w:val="GesAbsatz"/>
        <w:tabs>
          <w:tab w:val="clear" w:pos="425"/>
          <w:tab w:val="left" w:pos="2268"/>
        </w:tabs>
        <w:ind w:left="426" w:hanging="426"/>
        <w:rPr>
          <w:rFonts w:cs="Arial"/>
        </w:rPr>
      </w:pPr>
      <w:r>
        <w:rPr>
          <w:rFonts w:cs="Arial"/>
        </w:rPr>
        <w:t>1.</w:t>
      </w:r>
      <w:r>
        <w:rPr>
          <w:rFonts w:cs="Arial"/>
        </w:rPr>
        <w:tab/>
        <w:t>der Vorsorgewerte nach Anlage 1 Tabelle 2,</w:t>
      </w:r>
    </w:p>
    <w:p>
      <w:pPr>
        <w:pStyle w:val="GesAbsatz"/>
        <w:tabs>
          <w:tab w:val="clear" w:pos="425"/>
          <w:tab w:val="left" w:pos="2268"/>
        </w:tabs>
        <w:ind w:left="426" w:hanging="426"/>
        <w:rPr>
          <w:rFonts w:cs="Arial"/>
        </w:rPr>
      </w:pPr>
      <w:r>
        <w:rPr>
          <w:rFonts w:cs="Arial"/>
        </w:rPr>
        <w:t>2.</w:t>
      </w:r>
      <w:r>
        <w:rPr>
          <w:rFonts w:cs="Arial"/>
        </w:rPr>
        <w:tab/>
        <w:t>der Prüf- und Maßnahmenwerte für den Wirkungspfad Boden-Mensch nach Anlage 2 Tabelle 4 und 5 sowie</w:t>
      </w:r>
    </w:p>
    <w:p>
      <w:pPr>
        <w:pStyle w:val="GesAbsatz"/>
        <w:tabs>
          <w:tab w:val="clear" w:pos="425"/>
          <w:tab w:val="left" w:pos="2268"/>
        </w:tabs>
        <w:ind w:left="426" w:hanging="426"/>
        <w:rPr>
          <w:rFonts w:cs="Arial"/>
        </w:rPr>
      </w:pPr>
      <w:r>
        <w:rPr>
          <w:rFonts w:cs="Arial"/>
        </w:rPr>
        <w:t>3.</w:t>
      </w:r>
      <w:r>
        <w:rPr>
          <w:rFonts w:cs="Arial"/>
        </w:rPr>
        <w:tab/>
        <w:t>der Prüf- und Maßnahmenwerte für den Wirkungspfad Boden-Nutzpflanze nach Anlage 2 Tabelle 6 und 7hat mit den in Anlage 3 Tabelle 5 angegebenen Verfahren zu erfolgen.</w:t>
      </w:r>
    </w:p>
    <w:p>
      <w:pPr>
        <w:pStyle w:val="GesAbsatz"/>
        <w:tabs>
          <w:tab w:val="clear" w:pos="425"/>
          <w:tab w:val="left" w:pos="2268"/>
        </w:tabs>
        <w:rPr>
          <w:rFonts w:cs="Arial"/>
        </w:rPr>
      </w:pPr>
      <w:r>
        <w:rPr>
          <w:rFonts w:cs="Arial"/>
        </w:rPr>
        <w:t>(8) Die Bestimmung der flüchtigen Schadstoffe in der Bodenluft hat mit den in Anlage 3 Tabelle 8 angegebenen Analyseverfahren zu erfolgen.</w:t>
      </w:r>
    </w:p>
    <w:p>
      <w:pPr>
        <w:pStyle w:val="GesAbsatz"/>
        <w:tabs>
          <w:tab w:val="clear" w:pos="425"/>
          <w:tab w:val="left" w:pos="2268"/>
        </w:tabs>
        <w:rPr>
          <w:rFonts w:cs="Arial"/>
        </w:rPr>
      </w:pPr>
      <w:r>
        <w:rPr>
          <w:rFonts w:cs="Arial"/>
        </w:rPr>
        <w:t>(9) Die Bestimmung der Konzentration anorganischer Schadstoffe hinsichtlich</w:t>
      </w:r>
    </w:p>
    <w:p>
      <w:pPr>
        <w:pStyle w:val="GesAbsatz"/>
        <w:tabs>
          <w:tab w:val="clear" w:pos="425"/>
          <w:tab w:val="left" w:pos="2268"/>
        </w:tabs>
        <w:ind w:left="426" w:hanging="426"/>
        <w:rPr>
          <w:rFonts w:cs="Arial"/>
        </w:rPr>
      </w:pPr>
      <w:r>
        <w:rPr>
          <w:rFonts w:cs="Arial"/>
        </w:rPr>
        <w:t>1.</w:t>
      </w:r>
      <w:r>
        <w:rPr>
          <w:rFonts w:cs="Arial"/>
        </w:rPr>
        <w:tab/>
        <w:t>der Eluatwerte nach Anlage 1 Tabelle 4 und 5 sowie</w:t>
      </w:r>
    </w:p>
    <w:p>
      <w:pPr>
        <w:pStyle w:val="GesAbsatz"/>
        <w:tabs>
          <w:tab w:val="clear" w:pos="425"/>
          <w:tab w:val="left" w:pos="2268"/>
        </w:tabs>
        <w:ind w:left="426" w:hanging="426"/>
        <w:rPr>
          <w:rFonts w:cs="Arial"/>
        </w:rPr>
      </w:pPr>
      <w:r>
        <w:rPr>
          <w:rFonts w:cs="Arial"/>
        </w:rPr>
        <w:t>2.</w:t>
      </w:r>
      <w:r>
        <w:rPr>
          <w:rFonts w:cs="Arial"/>
        </w:rPr>
        <w:tab/>
        <w:t>der Prüfwerte für den Wirkungspfad Boden-Grundwasser am Ort der Probennahme nach Anlage 2 Tabelle 1 und im Sickerwasser am Ort der Beurteilung nach Anlage 2 Tabelle 2</w:t>
      </w:r>
    </w:p>
    <w:p>
      <w:pPr>
        <w:pStyle w:val="GesAbsatz"/>
        <w:tabs>
          <w:tab w:val="clear" w:pos="425"/>
          <w:tab w:val="left" w:pos="2268"/>
        </w:tabs>
        <w:rPr>
          <w:rFonts w:cs="Arial"/>
        </w:rPr>
      </w:pPr>
      <w:r>
        <w:rPr>
          <w:rFonts w:cs="Arial"/>
        </w:rPr>
        <w:lastRenderedPageBreak/>
        <w:t>hat mit den in Anlage 3 Tabelle 6 angegebenen Verfahren zu erfolgen. Für die Herstellung von Eluaten mit Wasser sind die in Anlage 3 Tabelle 2 angegebenen Verfahren anzuwenden.</w:t>
      </w:r>
    </w:p>
    <w:p>
      <w:pPr>
        <w:pStyle w:val="GesAbsatz"/>
        <w:tabs>
          <w:tab w:val="clear" w:pos="425"/>
          <w:tab w:val="left" w:pos="2268"/>
        </w:tabs>
        <w:rPr>
          <w:rFonts w:cs="Arial"/>
        </w:rPr>
      </w:pPr>
      <w:r>
        <w:rPr>
          <w:rFonts w:cs="Arial"/>
        </w:rPr>
        <w:t>(10) Die Bestimmung der Konzentration organischer Schadstoffe hinsichtlich</w:t>
      </w:r>
    </w:p>
    <w:p>
      <w:pPr>
        <w:pStyle w:val="GesAbsatz"/>
        <w:tabs>
          <w:tab w:val="clear" w:pos="425"/>
          <w:tab w:val="left" w:pos="2268"/>
        </w:tabs>
        <w:ind w:left="426" w:hanging="426"/>
        <w:rPr>
          <w:rFonts w:cs="Arial"/>
        </w:rPr>
      </w:pPr>
      <w:r>
        <w:rPr>
          <w:rFonts w:cs="Arial"/>
        </w:rPr>
        <w:t>1.</w:t>
      </w:r>
      <w:r>
        <w:rPr>
          <w:rFonts w:cs="Arial"/>
        </w:rPr>
        <w:tab/>
        <w:t>der Eluatwerte nach Anlage 1 Tabelle 4 und</w:t>
      </w:r>
    </w:p>
    <w:p>
      <w:pPr>
        <w:pStyle w:val="GesAbsatz"/>
        <w:tabs>
          <w:tab w:val="clear" w:pos="425"/>
          <w:tab w:val="left" w:pos="2268"/>
        </w:tabs>
        <w:ind w:left="426" w:hanging="426"/>
        <w:rPr>
          <w:rFonts w:cs="Arial"/>
        </w:rPr>
      </w:pPr>
      <w:r>
        <w:rPr>
          <w:rFonts w:cs="Arial"/>
        </w:rPr>
        <w:t>2.</w:t>
      </w:r>
      <w:r>
        <w:rPr>
          <w:rFonts w:cs="Arial"/>
        </w:rPr>
        <w:tab/>
        <w:t>der Prüfwerte für den Wirkungspfad Boden-Grundwasser am Ort der Probennahme und im Sickerwasser am Ort der Beurteilung nach Anlage 2 Tabelle 3</w:t>
      </w:r>
    </w:p>
    <w:p>
      <w:pPr>
        <w:pStyle w:val="GesAbsatz"/>
        <w:tabs>
          <w:tab w:val="clear" w:pos="425"/>
          <w:tab w:val="left" w:pos="2268"/>
        </w:tabs>
        <w:rPr>
          <w:rFonts w:cs="Arial"/>
        </w:rPr>
      </w:pPr>
      <w:r>
        <w:rPr>
          <w:rFonts w:cs="Arial"/>
        </w:rPr>
        <w:t>hat mit den in Anlage 3 Tabelle 7 angegebenen Verfahren zu erfolgen. Absatz 9 Satz 2 gilt entsprechend.</w:t>
      </w:r>
    </w:p>
    <w:p>
      <w:pPr>
        <w:pStyle w:val="GesAbsatz"/>
        <w:tabs>
          <w:tab w:val="clear" w:pos="425"/>
          <w:tab w:val="left" w:pos="2268"/>
        </w:tabs>
        <w:rPr>
          <w:rFonts w:cs="Arial"/>
        </w:rPr>
      </w:pPr>
      <w:r>
        <w:rPr>
          <w:rFonts w:cs="Arial"/>
        </w:rPr>
        <w:t>(11) Abweichend von § 23 und den vorstehenden Absätzen dürfen auch andere Verfahren und Methoden zur Probennahme, -vorbehandlung, -vorbereitung und -aufarbeitung sowie zur physikalisch-chemischen und chemischen Analyse angewendet werden, wenn deren Gleichwertigkeit und praktische Eignung</w:t>
      </w:r>
    </w:p>
    <w:p>
      <w:pPr>
        <w:pStyle w:val="GesAbsatz"/>
        <w:tabs>
          <w:tab w:val="clear" w:pos="425"/>
          <w:tab w:val="left" w:pos="2268"/>
        </w:tabs>
        <w:ind w:left="426" w:hanging="426"/>
        <w:rPr>
          <w:rFonts w:cs="Arial"/>
        </w:rPr>
      </w:pPr>
      <w:r>
        <w:rPr>
          <w:rFonts w:cs="Arial"/>
        </w:rPr>
        <w:t>1.</w:t>
      </w:r>
      <w:r>
        <w:rPr>
          <w:rFonts w:cs="Arial"/>
        </w:rPr>
        <w:tab/>
        <w:t>durch den Fachbeirat Bodenuntersuchungen allgemein festgestellt und die Feststellung durch das Bundesministerium für Umwelt, Naturschutz und nukleare Sicherheit im Bundesanzeiger veröffentlicht wurde oder</w:t>
      </w:r>
    </w:p>
    <w:p>
      <w:pPr>
        <w:pStyle w:val="GesAbsatz"/>
        <w:tabs>
          <w:tab w:val="clear" w:pos="425"/>
          <w:tab w:val="left" w:pos="2268"/>
        </w:tabs>
        <w:ind w:left="426" w:hanging="426"/>
        <w:rPr>
          <w:rFonts w:cs="Arial"/>
        </w:rPr>
      </w:pPr>
      <w:r>
        <w:rPr>
          <w:rFonts w:cs="Arial"/>
        </w:rPr>
        <w:t>2.</w:t>
      </w:r>
      <w:r>
        <w:rPr>
          <w:rFonts w:cs="Arial"/>
        </w:rPr>
        <w:tab/>
        <w:t>vom Anwender im Einzelfall gegenüber der zuständigen Behörde nachgewiesen wird.</w:t>
      </w:r>
    </w:p>
    <w:p>
      <w:pPr>
        <w:pStyle w:val="berschrift2"/>
      </w:pPr>
      <w:bookmarkStart w:id="32" w:name="_Toc128479849"/>
      <w:r>
        <w:t>Abschnitt 5</w:t>
      </w:r>
      <w:r>
        <w:br/>
        <w:t>Gemeinsame Bestimmungen</w:t>
      </w:r>
      <w:bookmarkEnd w:id="32"/>
    </w:p>
    <w:p>
      <w:pPr>
        <w:pStyle w:val="berschrift3"/>
      </w:pPr>
      <w:bookmarkStart w:id="33" w:name="_Toc128479850"/>
      <w:r>
        <w:t>§ 25</w:t>
      </w:r>
      <w:r>
        <w:br/>
        <w:t>Fachbeirat Bodenuntersuchungen</w:t>
      </w:r>
      <w:bookmarkEnd w:id="33"/>
    </w:p>
    <w:p>
      <w:pPr>
        <w:pStyle w:val="GesAbsatz"/>
        <w:tabs>
          <w:tab w:val="clear" w:pos="425"/>
          <w:tab w:val="left" w:pos="2268"/>
        </w:tabs>
        <w:rPr>
          <w:rFonts w:cs="Arial"/>
        </w:rPr>
      </w:pPr>
      <w:r>
        <w:rPr>
          <w:rFonts w:cs="Arial"/>
        </w:rPr>
        <w:t>(1) Beim Bundesministerium für Umwelt, Naturschutz und nukleare Sicherheit wird ein Fachbeirat Bodenuntersuchungen (FBU) eingerichtet. Er hat die Aufgabe, Erkenntnisse über fortschrittliche Verfahren und Methoden, deren praktische Eignung zur Erfüllung der Anforderungen der §§ 10 bis 15 und des Abschnitts 4 gesichert erscheint, sowie über deren Anwendung zusammenzustellen. Zu diesem Zweck kann der Fachbeirat insbesondere</w:t>
      </w:r>
    </w:p>
    <w:p>
      <w:pPr>
        <w:pStyle w:val="GesAbsatz"/>
        <w:tabs>
          <w:tab w:val="clear" w:pos="425"/>
          <w:tab w:val="left" w:pos="2268"/>
        </w:tabs>
        <w:ind w:left="426" w:hanging="426"/>
        <w:rPr>
          <w:rFonts w:cs="Arial"/>
        </w:rPr>
      </w:pPr>
      <w:r>
        <w:rPr>
          <w:rFonts w:cs="Arial"/>
        </w:rPr>
        <w:t>1.</w:t>
      </w:r>
      <w:r>
        <w:rPr>
          <w:rFonts w:cs="Arial"/>
        </w:rPr>
        <w:tab/>
        <w:t>Maßstäbe zur Beurteilung der Gleichwertigkeit und praktischen Eignung von Verfahren und Methoden zur Probennahme, -vorbehandlung, -vorbereitung und -aufarbeitung sowie zur physikalisch-chemischen und chemischen Analyse aufstellen,</w:t>
      </w:r>
    </w:p>
    <w:p>
      <w:pPr>
        <w:pStyle w:val="GesAbsatz"/>
        <w:tabs>
          <w:tab w:val="clear" w:pos="425"/>
          <w:tab w:val="left" w:pos="2268"/>
        </w:tabs>
        <w:ind w:left="426" w:hanging="426"/>
        <w:rPr>
          <w:rFonts w:cs="Arial"/>
        </w:rPr>
      </w:pPr>
      <w:r>
        <w:rPr>
          <w:rFonts w:cs="Arial"/>
        </w:rPr>
        <w:t>2.</w:t>
      </w:r>
      <w:r>
        <w:rPr>
          <w:rFonts w:cs="Arial"/>
        </w:rPr>
        <w:tab/>
        <w:t>die Gleichwertigkeit und praktische Eignung von Verfahren und Methoden zur Probennahme, -vorbehandlung, -vorbereitung und -aufarbeitung sowie zur physikalisch-chemischen und chemischen Analyse allgemein feststellen und</w:t>
      </w:r>
    </w:p>
    <w:p>
      <w:pPr>
        <w:pStyle w:val="GesAbsatz"/>
        <w:tabs>
          <w:tab w:val="clear" w:pos="425"/>
          <w:tab w:val="left" w:pos="2268"/>
        </w:tabs>
        <w:ind w:left="426" w:hanging="426"/>
        <w:rPr>
          <w:rFonts w:cs="Arial"/>
        </w:rPr>
      </w:pPr>
      <w:r>
        <w:rPr>
          <w:rFonts w:cs="Arial"/>
        </w:rPr>
        <w:t>3.</w:t>
      </w:r>
      <w:r>
        <w:rPr>
          <w:rFonts w:cs="Arial"/>
        </w:rPr>
        <w:tab/>
        <w:t>Empfehlungen zur Eignung von Qualitätssicherungsmaßnahmen einschließlich der zulässigen Ergebnisunsicherheit von Verfahren und Methoden im Sinne der Nummern 1 und 2 abgeben.</w:t>
      </w:r>
    </w:p>
    <w:p>
      <w:pPr>
        <w:pStyle w:val="GesAbsatz"/>
        <w:tabs>
          <w:tab w:val="clear" w:pos="425"/>
          <w:tab w:val="left" w:pos="2268"/>
        </w:tabs>
        <w:rPr>
          <w:rFonts w:cs="Arial"/>
        </w:rPr>
      </w:pPr>
      <w:r>
        <w:rPr>
          <w:rFonts w:cs="Arial"/>
        </w:rPr>
        <w:t>(2) In den Fachbeirat sind fachlich qualifizierte und erfahrene Personen aus Bundes- und Landesbehörden, aus der Wissenschaft sowie aus Wirtschaftsbereichen, die vom Vollzug dieser Verordnung berührt sind, zu berufen. Der Fachbeirat soll nicht mehr als zwölf Mitglieder umfassen. Die Mitglieder des Fachbeirats sind nicht weisungsgebunden und nehmen zu den ihnen vorgelegten Fragen auf Grund ihrer fachlichen Qualifikation und Erfahrung Stellung. Die Mitgliedschaft ist ehrenamtlich.</w:t>
      </w:r>
    </w:p>
    <w:p>
      <w:pPr>
        <w:pStyle w:val="GesAbsatz"/>
        <w:tabs>
          <w:tab w:val="clear" w:pos="425"/>
          <w:tab w:val="left" w:pos="2268"/>
        </w:tabs>
        <w:rPr>
          <w:rFonts w:cs="Arial"/>
        </w:rPr>
      </w:pPr>
      <w:r>
        <w:rPr>
          <w:rFonts w:cs="Arial"/>
        </w:rPr>
        <w:t>(3) Das Bundesministerium für Umwelt, Naturschutz und nukleare Sicherheit beruft die Mitglieder des Fachbeirats. Der Fachbeirat gibt sich eine Geschäftsordnung und wählt aus seiner Mitte eine Vorsitzende oder einen Vorsitzenden. Die Geschäftsordnung bedarf der Zustimmung des Bundesministeriums für Umwelt, Naturschutz und nukleare Sicherheit.</w:t>
      </w:r>
    </w:p>
    <w:p>
      <w:pPr>
        <w:pStyle w:val="berschrift3"/>
      </w:pPr>
      <w:bookmarkStart w:id="34" w:name="_Toc128479851"/>
      <w:r>
        <w:t>§ 26</w:t>
      </w:r>
      <w:r>
        <w:br/>
        <w:t>Ordnungswidrigkeiten</w:t>
      </w:r>
      <w:bookmarkEnd w:id="34"/>
    </w:p>
    <w:p>
      <w:pPr>
        <w:pStyle w:val="GesAbsatz"/>
        <w:tabs>
          <w:tab w:val="clear" w:pos="425"/>
          <w:tab w:val="left" w:pos="2268"/>
        </w:tabs>
        <w:rPr>
          <w:rFonts w:cs="Arial"/>
        </w:rPr>
      </w:pPr>
      <w:r>
        <w:rPr>
          <w:rFonts w:cs="Arial"/>
        </w:rPr>
        <w:t>Ordnungswidrig im Sinne des § 26 Absatz 1 Nummer 1 des Bundes-Bodenschutzgesetzes handelt, wer vorsätzlich oder fahrlässig</w:t>
      </w:r>
    </w:p>
    <w:p>
      <w:pPr>
        <w:pStyle w:val="GesAbsatz"/>
        <w:tabs>
          <w:tab w:val="clear" w:pos="425"/>
          <w:tab w:val="left" w:pos="2268"/>
        </w:tabs>
        <w:ind w:left="426" w:hanging="426"/>
        <w:rPr>
          <w:rFonts w:cs="Arial"/>
        </w:rPr>
      </w:pPr>
      <w:r>
        <w:rPr>
          <w:rFonts w:cs="Arial"/>
        </w:rPr>
        <w:t>1.</w:t>
      </w:r>
      <w:r>
        <w:rPr>
          <w:rFonts w:cs="Arial"/>
        </w:rPr>
        <w:tab/>
        <w:t>entgegen § 6 Absatz 2, § 7 Absatz 6 Satz 1, auch in Verbindung mit Satz 2, oder § 8 Absatz 5 Satz 1 oder 2 Material aufbringt oder einbringt,</w:t>
      </w:r>
    </w:p>
    <w:p>
      <w:pPr>
        <w:pStyle w:val="GesAbsatz"/>
        <w:tabs>
          <w:tab w:val="clear" w:pos="425"/>
          <w:tab w:val="left" w:pos="2268"/>
        </w:tabs>
        <w:ind w:left="426" w:hanging="426"/>
        <w:rPr>
          <w:rFonts w:cs="Arial"/>
        </w:rPr>
      </w:pPr>
      <w:r>
        <w:rPr>
          <w:rFonts w:cs="Arial"/>
        </w:rPr>
        <w:t>2.</w:t>
      </w:r>
      <w:r>
        <w:rPr>
          <w:rFonts w:cs="Arial"/>
        </w:rPr>
        <w:tab/>
        <w:t>entgegen § 6 Absatz 5 Satz 1 eine Untersuchung nicht, nicht richtig, nicht vollständig oder nicht rechtzeitig durchführt und nicht, nicht richtig, nicht vollständig oder nicht rechtzeitig durchführen lässt,</w:t>
      </w:r>
    </w:p>
    <w:p>
      <w:pPr>
        <w:pStyle w:val="GesAbsatz"/>
        <w:tabs>
          <w:tab w:val="clear" w:pos="425"/>
          <w:tab w:val="left" w:pos="2268"/>
        </w:tabs>
        <w:ind w:left="426" w:hanging="426"/>
        <w:rPr>
          <w:rFonts w:cs="Arial"/>
        </w:rPr>
      </w:pPr>
      <w:r>
        <w:rPr>
          <w:rFonts w:cs="Arial"/>
        </w:rPr>
        <w:t>3.</w:t>
      </w:r>
      <w:r>
        <w:rPr>
          <w:rFonts w:cs="Arial"/>
        </w:rPr>
        <w:tab/>
        <w:t>entgegen § 6 Absatz 7 Satz 1 eine Dokumentation nicht, nicht richtig oder nicht rechtzeitig erstellt,</w:t>
      </w:r>
    </w:p>
    <w:p>
      <w:pPr>
        <w:pStyle w:val="GesAbsatz"/>
        <w:tabs>
          <w:tab w:val="clear" w:pos="425"/>
          <w:tab w:val="left" w:pos="2268"/>
        </w:tabs>
        <w:ind w:left="426" w:hanging="426"/>
        <w:rPr>
          <w:rFonts w:cs="Arial"/>
        </w:rPr>
      </w:pPr>
      <w:r>
        <w:rPr>
          <w:rFonts w:cs="Arial"/>
        </w:rPr>
        <w:t>4.</w:t>
      </w:r>
      <w:r>
        <w:rPr>
          <w:rFonts w:cs="Arial"/>
        </w:rPr>
        <w:tab/>
        <w:t>entgegen § 6 Absatz 7 Satz 2 ein Dokument nicht oder nicht mindestens zehn Jahre aufbewahrt oder nicht oder nicht rechtzeitig vorlegt,</w:t>
      </w:r>
    </w:p>
    <w:p>
      <w:pPr>
        <w:pStyle w:val="GesAbsatz"/>
        <w:tabs>
          <w:tab w:val="clear" w:pos="425"/>
          <w:tab w:val="left" w:pos="2268"/>
        </w:tabs>
        <w:ind w:left="426" w:hanging="426"/>
        <w:rPr>
          <w:rFonts w:cs="Arial"/>
        </w:rPr>
      </w:pPr>
      <w:r>
        <w:rPr>
          <w:rFonts w:cs="Arial"/>
        </w:rPr>
        <w:lastRenderedPageBreak/>
        <w:t>5.</w:t>
      </w:r>
      <w:r>
        <w:rPr>
          <w:rFonts w:cs="Arial"/>
        </w:rPr>
        <w:tab/>
        <w:t>entgegen § 6 Absatz 8 Satz 1 eine Anzeige nicht, nicht richtig, nicht vollständig oder nicht rechtzeitig erstattet oder</w:t>
      </w:r>
    </w:p>
    <w:p>
      <w:pPr>
        <w:pStyle w:val="GesAbsatz"/>
        <w:tabs>
          <w:tab w:val="clear" w:pos="425"/>
          <w:tab w:val="left" w:pos="2268"/>
        </w:tabs>
        <w:ind w:left="426" w:hanging="426"/>
        <w:rPr>
          <w:rFonts w:cs="Arial"/>
        </w:rPr>
      </w:pPr>
      <w:r>
        <w:rPr>
          <w:rFonts w:cs="Arial"/>
        </w:rPr>
        <w:t>6.</w:t>
      </w:r>
      <w:r>
        <w:rPr>
          <w:rFonts w:cs="Arial"/>
        </w:rPr>
        <w:tab/>
        <w:t>entgegen § 7 Absatz 1 Satz 1 oder § 8 Absatz 1 Satz 1 ein Material oder ein Gemisch verwendet.</w:t>
      </w:r>
    </w:p>
    <w:p>
      <w:pPr>
        <w:pStyle w:val="berschrift3"/>
      </w:pPr>
      <w:bookmarkStart w:id="35" w:name="_Toc128479852"/>
      <w:r>
        <w:t>§ 27</w:t>
      </w:r>
      <w:r>
        <w:br/>
        <w:t>Zugänglichkeit technischer Regeln und Normen</w:t>
      </w:r>
      <w:bookmarkEnd w:id="35"/>
    </w:p>
    <w:p>
      <w:pPr>
        <w:pStyle w:val="GesAbsatz"/>
        <w:tabs>
          <w:tab w:val="clear" w:pos="425"/>
          <w:tab w:val="left" w:pos="2268"/>
        </w:tabs>
        <w:rPr>
          <w:rFonts w:cs="Arial"/>
        </w:rPr>
      </w:pPr>
      <w:r>
        <w:rPr>
          <w:rFonts w:cs="Arial"/>
        </w:rPr>
        <w:t>(1) Die in dieser Verordnung genannten DIN- und ISO-Normen, Normentwürfe und VDI-Richtlinien sind in Anlage 4 mit ihrer vollständigen Bezeichnung aufgeführt und können bei der Beuth-Verlag GmbH, 10772 Berlin, bezogen werden. Die „Arbeitshilfe für die Bodenansprache im vor- und nachsorgenden Bodenschutz – Auszug aus der Bodenkundlichen Kartieranleitung KA 5“; Hannover 2009, kann bei der E. Schweizerbart’sche Verlagsbuchhandlung, 70176 Stuttgart, bezogen werden.</w:t>
      </w:r>
    </w:p>
    <w:p>
      <w:pPr>
        <w:pStyle w:val="GesAbsatz"/>
        <w:tabs>
          <w:tab w:val="clear" w:pos="425"/>
          <w:tab w:val="left" w:pos="2268"/>
        </w:tabs>
        <w:rPr>
          <w:rFonts w:cs="Arial"/>
        </w:rPr>
      </w:pPr>
      <w:r>
        <w:rPr>
          <w:rFonts w:cs="Arial"/>
        </w:rPr>
        <w:t>(2) Die in Absatz 1 genannten technischen Regeln und Normen sind bei der Deutschen Nationalbibliothek archivmäßig gesichert niedergelegt.</w:t>
      </w:r>
    </w:p>
    <w:p>
      <w:pPr>
        <w:pStyle w:val="GesAbsatz"/>
        <w:tabs>
          <w:tab w:val="clear" w:pos="425"/>
          <w:tab w:val="left" w:pos="2268"/>
        </w:tabs>
        <w:rPr>
          <w:rFonts w:cs="Arial"/>
        </w:rPr>
      </w:pPr>
      <w:r>
        <w:rPr>
          <w:rFonts w:cs="Arial"/>
        </w:rPr>
        <w:t>(3) Verweisungen auf Entwürfe von technischen Normen in den Anlagen beziehen sich jeweils auf die Fassung, die zu dem in der Verweisung angegebenen Zeitpunkt veröffentlicht ist.</w:t>
      </w:r>
    </w:p>
    <w:p>
      <w:pPr>
        <w:pStyle w:val="berschrift3"/>
      </w:pPr>
      <w:bookmarkStart w:id="36" w:name="_Toc128479853"/>
      <w:r>
        <w:t>§ 28</w:t>
      </w:r>
      <w:r>
        <w:br/>
        <w:t>Übergangsregelung</w:t>
      </w:r>
      <w:bookmarkEnd w:id="36"/>
    </w:p>
    <w:p>
      <w:pPr>
        <w:pStyle w:val="GesAbsatz"/>
        <w:tabs>
          <w:tab w:val="clear" w:pos="425"/>
          <w:tab w:val="left" w:pos="2268"/>
        </w:tabs>
        <w:rPr>
          <w:rFonts w:cs="Arial"/>
        </w:rPr>
      </w:pPr>
      <w:r>
        <w:rPr>
          <w:rFonts w:cs="Arial"/>
        </w:rPr>
        <w:t>(1) Werden Materialien bei Verfüllungen von Abgrabungen auf Grund von Zulassungen, die vor dem 16. Juli 2021 erteilt wurden und die Anforderungen an die auf- oder einzubringenden Materialien festlegen, auf oder in den Boden auf- oder eingebracht, sind die Anforderungen dieser Verordnung erst ab dem 1. August 2031 einzuhalten.</w:t>
      </w:r>
    </w:p>
    <w:p>
      <w:pPr>
        <w:pStyle w:val="GesAbsatz"/>
        <w:tabs>
          <w:tab w:val="clear" w:pos="425"/>
          <w:tab w:val="left" w:pos="2268"/>
        </w:tabs>
        <w:rPr>
          <w:rFonts w:cs="Arial"/>
        </w:rPr>
      </w:pPr>
      <w:r>
        <w:rPr>
          <w:rFonts w:cs="Arial"/>
        </w:rPr>
        <w:t>(2) Die sich aus § 19 Absatz 1 Satz 1 und 2 ergebenden allgemeinen Anforderungen an die Probennahme sind ab dem 1. August 2028 einzuhalten.</w:t>
      </w:r>
    </w:p>
    <w:p>
      <w:pPr>
        <w:pStyle w:val="GesAbsatz"/>
        <w:tabs>
          <w:tab w:val="clear" w:pos="425"/>
          <w:tab w:val="left" w:pos="2268"/>
        </w:tabs>
        <w:rPr>
          <w:rFonts w:cs="Arial"/>
        </w:rPr>
      </w:pPr>
    </w:p>
    <w:p>
      <w:pPr>
        <w:pStyle w:val="GesAbsatz"/>
        <w:tabs>
          <w:tab w:val="clear" w:pos="425"/>
          <w:tab w:val="left" w:pos="2268"/>
        </w:tabs>
        <w:rPr>
          <w:rFonts w:cs="Arial"/>
        </w:rPr>
      </w:pPr>
    </w:p>
    <w:p>
      <w:pPr>
        <w:pStyle w:val="berschrift2"/>
        <w:jc w:val="left"/>
      </w:pPr>
      <w:bookmarkStart w:id="37" w:name="_Toc128479854"/>
      <w:r>
        <w:t>Anlage 1</w:t>
      </w:r>
      <w:bookmarkEnd w:id="37"/>
      <w:r>
        <w:t xml:space="preserve"> </w:t>
      </w:r>
    </w:p>
    <w:p>
      <w:pPr>
        <w:pStyle w:val="GesAbsatz"/>
        <w:tabs>
          <w:tab w:val="clear" w:pos="425"/>
          <w:tab w:val="left" w:pos="2268"/>
        </w:tabs>
        <w:rPr>
          <w:rFonts w:cs="Arial"/>
          <w:b/>
        </w:rPr>
      </w:pPr>
      <w:r>
        <w:rPr>
          <w:rFonts w:cs="Arial"/>
          <w:b/>
        </w:rPr>
        <w:t>(zu § 3 Absatz 1 Satz 1 Nummer 1 und Absatz 2, § 5, § 6 Absatz 5 Satz 2 und Absatz 6 Nummer 1, § 7 Absatz 2, 3 und 5, § 8 Absatz 2, Absatz 3 Nummer 1, Absatz 6 Nummer 1 und Absatz 7 Satz 1 und 6, § 24 Absatz 4 Nummer 1 und 2, Absatz 7 Nummer 1, Absatz 9 Nummer 1 und Absatz 10 Nummer 1)</w:t>
      </w:r>
    </w:p>
    <w:p>
      <w:pPr>
        <w:pStyle w:val="GesAbsatz"/>
        <w:tabs>
          <w:tab w:val="clear" w:pos="425"/>
          <w:tab w:val="left" w:pos="2268"/>
        </w:tabs>
        <w:rPr>
          <w:rFonts w:cs="Arial"/>
        </w:rPr>
      </w:pPr>
    </w:p>
    <w:p>
      <w:pPr>
        <w:pStyle w:val="GesAbsatz"/>
        <w:tabs>
          <w:tab w:val="clear" w:pos="425"/>
          <w:tab w:val="left" w:pos="2268"/>
        </w:tabs>
        <w:jc w:val="center"/>
        <w:rPr>
          <w:rFonts w:cs="Arial"/>
          <w:b/>
        </w:rPr>
      </w:pPr>
      <w:r>
        <w:rPr>
          <w:rFonts w:cs="Arial"/>
          <w:b/>
        </w:rPr>
        <w:t>Vorsorgewerte und Werte zur Beurteilung von Materialien</w:t>
      </w:r>
    </w:p>
    <w:p>
      <w:pPr>
        <w:pStyle w:val="GesAbsatz"/>
        <w:tabs>
          <w:tab w:val="clear" w:pos="425"/>
          <w:tab w:val="left" w:pos="2268"/>
        </w:tabs>
        <w:rPr>
          <w:rFonts w:cs="Arial"/>
        </w:rPr>
      </w:pPr>
      <w:r>
        <w:rPr>
          <w:rFonts w:cs="Arial"/>
        </w:rPr>
        <w:t>Tabelle 1: Vorsorgewerte für anorganische Stoffe</w:t>
      </w:r>
      <w:r>
        <w:rPr>
          <w:rFonts w:cs="Arial"/>
          <w:vertAlign w:val="superscript"/>
        </w:rPr>
        <w:t>1</w:t>
      </w:r>
    </w:p>
    <w:tbl>
      <w:tblPr>
        <w:tblStyle w:val="Tabellenraster"/>
        <w:tblW w:w="0" w:type="auto"/>
        <w:tblLook w:val="04A0" w:firstRow="1" w:lastRow="0" w:firstColumn="1" w:lastColumn="0" w:noHBand="0" w:noVBand="1"/>
      </w:tblPr>
      <w:tblGrid>
        <w:gridCol w:w="1696"/>
        <w:gridCol w:w="2552"/>
        <w:gridCol w:w="2835"/>
        <w:gridCol w:w="2544"/>
      </w:tblGrid>
      <w:tr>
        <w:tc>
          <w:tcPr>
            <w:tcW w:w="1696" w:type="dxa"/>
          </w:tcPr>
          <w:p>
            <w:pPr>
              <w:pStyle w:val="GesAbsatz"/>
              <w:tabs>
                <w:tab w:val="clear" w:pos="425"/>
                <w:tab w:val="left" w:pos="2268"/>
              </w:tabs>
              <w:rPr>
                <w:rFonts w:cs="Arial"/>
              </w:rPr>
            </w:pPr>
            <w:r>
              <w:rPr>
                <w:rFonts w:cs="Arial"/>
              </w:rPr>
              <w:t>Stoff</w:t>
            </w:r>
          </w:p>
        </w:tc>
        <w:tc>
          <w:tcPr>
            <w:tcW w:w="2552" w:type="dxa"/>
          </w:tcPr>
          <w:p>
            <w:pPr>
              <w:pStyle w:val="GesAbsatz"/>
              <w:tabs>
                <w:tab w:val="clear" w:pos="425"/>
                <w:tab w:val="left" w:pos="2268"/>
              </w:tabs>
              <w:jc w:val="center"/>
              <w:rPr>
                <w:rFonts w:cs="Arial"/>
                <w:sz w:val="18"/>
                <w:szCs w:val="18"/>
              </w:rPr>
            </w:pPr>
            <w:r>
              <w:rPr>
                <w:rFonts w:cs="Arial"/>
                <w:sz w:val="18"/>
                <w:szCs w:val="18"/>
              </w:rPr>
              <w:t>Vorsorgewert bei Bodenart</w:t>
            </w:r>
            <w:r>
              <w:rPr>
                <w:rFonts w:cs="Arial"/>
                <w:sz w:val="18"/>
                <w:szCs w:val="18"/>
                <w:vertAlign w:val="superscript"/>
              </w:rPr>
              <w:t>2</w:t>
            </w:r>
            <w:r>
              <w:rPr>
                <w:rFonts w:cs="Arial"/>
                <w:sz w:val="18"/>
                <w:szCs w:val="18"/>
              </w:rPr>
              <w:br/>
              <w:t>Sand</w:t>
            </w:r>
          </w:p>
        </w:tc>
        <w:tc>
          <w:tcPr>
            <w:tcW w:w="2835" w:type="dxa"/>
          </w:tcPr>
          <w:p>
            <w:pPr>
              <w:pStyle w:val="GesAbsatz"/>
              <w:tabs>
                <w:tab w:val="clear" w:pos="425"/>
                <w:tab w:val="left" w:pos="2268"/>
              </w:tabs>
              <w:jc w:val="center"/>
              <w:rPr>
                <w:rFonts w:cs="Arial"/>
                <w:sz w:val="18"/>
                <w:szCs w:val="18"/>
              </w:rPr>
            </w:pPr>
            <w:r>
              <w:rPr>
                <w:rFonts w:cs="Arial"/>
                <w:sz w:val="18"/>
                <w:szCs w:val="18"/>
              </w:rPr>
              <w:t>Vorsorgewert bei Bodenart</w:t>
            </w:r>
            <w:r>
              <w:rPr>
                <w:rFonts w:cs="Arial"/>
                <w:sz w:val="18"/>
                <w:szCs w:val="18"/>
                <w:vertAlign w:val="superscript"/>
              </w:rPr>
              <w:t>2</w:t>
            </w:r>
            <w:r>
              <w:rPr>
                <w:rFonts w:cs="Arial"/>
                <w:sz w:val="18"/>
                <w:szCs w:val="18"/>
              </w:rPr>
              <w:br/>
              <w:t>Lehm/Schluff</w:t>
            </w:r>
          </w:p>
        </w:tc>
        <w:tc>
          <w:tcPr>
            <w:tcW w:w="2544" w:type="dxa"/>
          </w:tcPr>
          <w:p>
            <w:pPr>
              <w:pStyle w:val="GesAbsatz"/>
              <w:tabs>
                <w:tab w:val="clear" w:pos="425"/>
                <w:tab w:val="left" w:pos="2268"/>
              </w:tabs>
              <w:jc w:val="center"/>
              <w:rPr>
                <w:rFonts w:cs="Arial"/>
                <w:sz w:val="18"/>
                <w:szCs w:val="18"/>
              </w:rPr>
            </w:pPr>
            <w:r>
              <w:rPr>
                <w:rFonts w:cs="Arial"/>
                <w:sz w:val="18"/>
                <w:szCs w:val="18"/>
              </w:rPr>
              <w:t>Vorsorgewert bei Bodenart</w:t>
            </w:r>
            <w:r>
              <w:rPr>
                <w:rFonts w:cs="Arial"/>
                <w:sz w:val="18"/>
                <w:szCs w:val="18"/>
                <w:vertAlign w:val="superscript"/>
              </w:rPr>
              <w:t>2</w:t>
            </w:r>
            <w:r>
              <w:rPr>
                <w:rFonts w:cs="Arial"/>
                <w:sz w:val="18"/>
                <w:szCs w:val="18"/>
              </w:rPr>
              <w:br/>
              <w:t>Ton</w:t>
            </w:r>
          </w:p>
        </w:tc>
      </w:tr>
      <w:tr>
        <w:tc>
          <w:tcPr>
            <w:tcW w:w="9627" w:type="dxa"/>
            <w:gridSpan w:val="4"/>
          </w:tcPr>
          <w:p>
            <w:pPr>
              <w:pStyle w:val="GesAbsatz"/>
              <w:tabs>
                <w:tab w:val="clear" w:pos="425"/>
                <w:tab w:val="left" w:pos="2268"/>
              </w:tabs>
              <w:jc w:val="center"/>
              <w:rPr>
                <w:rFonts w:cs="Arial"/>
                <w:sz w:val="18"/>
                <w:szCs w:val="18"/>
              </w:rPr>
            </w:pPr>
            <w:r>
              <w:rPr>
                <w:rFonts w:cs="Arial"/>
                <w:sz w:val="18"/>
                <w:szCs w:val="18"/>
              </w:rPr>
              <w:t>[mg/kg TM]</w:t>
            </w:r>
          </w:p>
        </w:tc>
      </w:tr>
      <w:tr>
        <w:tc>
          <w:tcPr>
            <w:tcW w:w="1696" w:type="dxa"/>
          </w:tcPr>
          <w:p>
            <w:r>
              <w:t>Arsen</w:t>
            </w:r>
          </w:p>
        </w:tc>
        <w:tc>
          <w:tcPr>
            <w:tcW w:w="2552" w:type="dxa"/>
          </w:tcPr>
          <w:p>
            <w:pPr>
              <w:jc w:val="center"/>
            </w:pPr>
            <w:r>
              <w:t>10</w:t>
            </w:r>
          </w:p>
        </w:tc>
        <w:tc>
          <w:tcPr>
            <w:tcW w:w="2835" w:type="dxa"/>
          </w:tcPr>
          <w:p>
            <w:pPr>
              <w:jc w:val="center"/>
            </w:pPr>
            <w:r>
              <w:t>20</w:t>
            </w:r>
          </w:p>
        </w:tc>
        <w:tc>
          <w:tcPr>
            <w:tcW w:w="2544" w:type="dxa"/>
          </w:tcPr>
          <w:p>
            <w:pPr>
              <w:jc w:val="center"/>
            </w:pPr>
            <w:r>
              <w:t>20</w:t>
            </w:r>
          </w:p>
        </w:tc>
      </w:tr>
      <w:tr>
        <w:tc>
          <w:tcPr>
            <w:tcW w:w="1696" w:type="dxa"/>
          </w:tcPr>
          <w:p>
            <w:r>
              <w:t>Blei</w:t>
            </w:r>
            <w:r>
              <w:rPr>
                <w:vertAlign w:val="superscript"/>
              </w:rPr>
              <w:t>3</w:t>
            </w:r>
          </w:p>
        </w:tc>
        <w:tc>
          <w:tcPr>
            <w:tcW w:w="2552" w:type="dxa"/>
          </w:tcPr>
          <w:p>
            <w:pPr>
              <w:jc w:val="center"/>
            </w:pPr>
            <w:r>
              <w:t>40</w:t>
            </w:r>
          </w:p>
        </w:tc>
        <w:tc>
          <w:tcPr>
            <w:tcW w:w="2835" w:type="dxa"/>
          </w:tcPr>
          <w:p>
            <w:pPr>
              <w:jc w:val="center"/>
            </w:pPr>
            <w:r>
              <w:t>70</w:t>
            </w:r>
          </w:p>
        </w:tc>
        <w:tc>
          <w:tcPr>
            <w:tcW w:w="2544" w:type="dxa"/>
          </w:tcPr>
          <w:p>
            <w:pPr>
              <w:jc w:val="center"/>
            </w:pPr>
            <w:r>
              <w:t>100</w:t>
            </w:r>
          </w:p>
        </w:tc>
      </w:tr>
      <w:tr>
        <w:tc>
          <w:tcPr>
            <w:tcW w:w="1696" w:type="dxa"/>
          </w:tcPr>
          <w:p>
            <w:r>
              <w:t>Cadmium</w:t>
            </w:r>
            <w:r>
              <w:rPr>
                <w:vertAlign w:val="superscript"/>
              </w:rPr>
              <w:t>4</w:t>
            </w:r>
          </w:p>
        </w:tc>
        <w:tc>
          <w:tcPr>
            <w:tcW w:w="2552" w:type="dxa"/>
          </w:tcPr>
          <w:p>
            <w:pPr>
              <w:jc w:val="center"/>
            </w:pPr>
            <w:r>
              <w:t>0,4</w:t>
            </w:r>
          </w:p>
        </w:tc>
        <w:tc>
          <w:tcPr>
            <w:tcW w:w="2835" w:type="dxa"/>
          </w:tcPr>
          <w:p>
            <w:pPr>
              <w:jc w:val="center"/>
            </w:pPr>
            <w:r>
              <w:t>1</w:t>
            </w:r>
          </w:p>
        </w:tc>
        <w:tc>
          <w:tcPr>
            <w:tcW w:w="2544" w:type="dxa"/>
          </w:tcPr>
          <w:p>
            <w:pPr>
              <w:jc w:val="center"/>
            </w:pPr>
            <w:r>
              <w:t>1,5</w:t>
            </w:r>
          </w:p>
        </w:tc>
      </w:tr>
      <w:tr>
        <w:tc>
          <w:tcPr>
            <w:tcW w:w="1696" w:type="dxa"/>
          </w:tcPr>
          <w:p>
            <w:r>
              <w:t>Chrom</w:t>
            </w:r>
            <w:r>
              <w:rPr>
                <w:vertAlign w:val="subscript"/>
              </w:rPr>
              <w:t>gesamt</w:t>
            </w:r>
          </w:p>
        </w:tc>
        <w:tc>
          <w:tcPr>
            <w:tcW w:w="2552" w:type="dxa"/>
          </w:tcPr>
          <w:p>
            <w:pPr>
              <w:jc w:val="center"/>
            </w:pPr>
            <w:r>
              <w:t>30</w:t>
            </w:r>
          </w:p>
        </w:tc>
        <w:tc>
          <w:tcPr>
            <w:tcW w:w="2835" w:type="dxa"/>
          </w:tcPr>
          <w:p>
            <w:pPr>
              <w:jc w:val="center"/>
            </w:pPr>
            <w:r>
              <w:t>60</w:t>
            </w:r>
          </w:p>
        </w:tc>
        <w:tc>
          <w:tcPr>
            <w:tcW w:w="2544" w:type="dxa"/>
          </w:tcPr>
          <w:p>
            <w:pPr>
              <w:jc w:val="center"/>
            </w:pPr>
            <w:r>
              <w:t>100</w:t>
            </w:r>
          </w:p>
        </w:tc>
      </w:tr>
      <w:tr>
        <w:tc>
          <w:tcPr>
            <w:tcW w:w="1696" w:type="dxa"/>
          </w:tcPr>
          <w:p>
            <w:r>
              <w:t>Kupfer</w:t>
            </w:r>
          </w:p>
        </w:tc>
        <w:tc>
          <w:tcPr>
            <w:tcW w:w="2552" w:type="dxa"/>
          </w:tcPr>
          <w:p>
            <w:pPr>
              <w:jc w:val="center"/>
            </w:pPr>
            <w:r>
              <w:t>20</w:t>
            </w:r>
          </w:p>
        </w:tc>
        <w:tc>
          <w:tcPr>
            <w:tcW w:w="2835" w:type="dxa"/>
          </w:tcPr>
          <w:p>
            <w:pPr>
              <w:jc w:val="center"/>
            </w:pPr>
            <w:r>
              <w:t>40</w:t>
            </w:r>
          </w:p>
        </w:tc>
        <w:tc>
          <w:tcPr>
            <w:tcW w:w="2544" w:type="dxa"/>
          </w:tcPr>
          <w:p>
            <w:pPr>
              <w:jc w:val="center"/>
            </w:pPr>
            <w:r>
              <w:t>60</w:t>
            </w:r>
          </w:p>
        </w:tc>
      </w:tr>
      <w:tr>
        <w:tc>
          <w:tcPr>
            <w:tcW w:w="1696" w:type="dxa"/>
          </w:tcPr>
          <w:p>
            <w:r>
              <w:t>Nickel</w:t>
            </w:r>
            <w:r>
              <w:rPr>
                <w:vertAlign w:val="superscript"/>
              </w:rPr>
              <w:t>5</w:t>
            </w:r>
          </w:p>
        </w:tc>
        <w:tc>
          <w:tcPr>
            <w:tcW w:w="2552" w:type="dxa"/>
          </w:tcPr>
          <w:p>
            <w:pPr>
              <w:jc w:val="center"/>
            </w:pPr>
            <w:r>
              <w:t>15</w:t>
            </w:r>
          </w:p>
        </w:tc>
        <w:tc>
          <w:tcPr>
            <w:tcW w:w="2835" w:type="dxa"/>
          </w:tcPr>
          <w:p>
            <w:pPr>
              <w:jc w:val="center"/>
            </w:pPr>
            <w:r>
              <w:t>50</w:t>
            </w:r>
          </w:p>
        </w:tc>
        <w:tc>
          <w:tcPr>
            <w:tcW w:w="2544" w:type="dxa"/>
          </w:tcPr>
          <w:p>
            <w:pPr>
              <w:jc w:val="center"/>
            </w:pPr>
            <w:r>
              <w:t>70</w:t>
            </w:r>
          </w:p>
        </w:tc>
      </w:tr>
      <w:tr>
        <w:tc>
          <w:tcPr>
            <w:tcW w:w="1696" w:type="dxa"/>
          </w:tcPr>
          <w:p>
            <w:r>
              <w:t>Quecksilber</w:t>
            </w:r>
          </w:p>
        </w:tc>
        <w:tc>
          <w:tcPr>
            <w:tcW w:w="2552" w:type="dxa"/>
          </w:tcPr>
          <w:p>
            <w:pPr>
              <w:jc w:val="center"/>
            </w:pPr>
            <w:r>
              <w:t>0,2</w:t>
            </w:r>
          </w:p>
        </w:tc>
        <w:tc>
          <w:tcPr>
            <w:tcW w:w="2835" w:type="dxa"/>
          </w:tcPr>
          <w:p>
            <w:pPr>
              <w:jc w:val="center"/>
            </w:pPr>
            <w:r>
              <w:t>0,3</w:t>
            </w:r>
          </w:p>
        </w:tc>
        <w:tc>
          <w:tcPr>
            <w:tcW w:w="2544" w:type="dxa"/>
          </w:tcPr>
          <w:p>
            <w:pPr>
              <w:jc w:val="center"/>
            </w:pPr>
            <w:r>
              <w:t>0,3</w:t>
            </w:r>
          </w:p>
        </w:tc>
      </w:tr>
      <w:tr>
        <w:tc>
          <w:tcPr>
            <w:tcW w:w="1696" w:type="dxa"/>
          </w:tcPr>
          <w:p>
            <w:r>
              <w:t>Thallium</w:t>
            </w:r>
          </w:p>
        </w:tc>
        <w:tc>
          <w:tcPr>
            <w:tcW w:w="2552" w:type="dxa"/>
          </w:tcPr>
          <w:p>
            <w:pPr>
              <w:jc w:val="center"/>
            </w:pPr>
            <w:r>
              <w:t>0,5</w:t>
            </w:r>
          </w:p>
        </w:tc>
        <w:tc>
          <w:tcPr>
            <w:tcW w:w="2835" w:type="dxa"/>
          </w:tcPr>
          <w:p>
            <w:pPr>
              <w:jc w:val="center"/>
            </w:pPr>
            <w:r>
              <w:t>1</w:t>
            </w:r>
          </w:p>
        </w:tc>
        <w:tc>
          <w:tcPr>
            <w:tcW w:w="2544" w:type="dxa"/>
          </w:tcPr>
          <w:p>
            <w:pPr>
              <w:jc w:val="center"/>
            </w:pPr>
            <w:r>
              <w:t>1</w:t>
            </w:r>
          </w:p>
        </w:tc>
      </w:tr>
      <w:tr>
        <w:tc>
          <w:tcPr>
            <w:tcW w:w="1696" w:type="dxa"/>
          </w:tcPr>
          <w:p>
            <w:r>
              <w:t>Zink</w:t>
            </w:r>
            <w:r>
              <w:rPr>
                <w:vertAlign w:val="superscript"/>
              </w:rPr>
              <w:t>6</w:t>
            </w:r>
          </w:p>
        </w:tc>
        <w:tc>
          <w:tcPr>
            <w:tcW w:w="2552" w:type="dxa"/>
          </w:tcPr>
          <w:p>
            <w:pPr>
              <w:jc w:val="center"/>
            </w:pPr>
            <w:r>
              <w:t>60</w:t>
            </w:r>
          </w:p>
        </w:tc>
        <w:tc>
          <w:tcPr>
            <w:tcW w:w="2835" w:type="dxa"/>
          </w:tcPr>
          <w:p>
            <w:pPr>
              <w:jc w:val="center"/>
            </w:pPr>
            <w:r>
              <w:t>150</w:t>
            </w:r>
          </w:p>
        </w:tc>
        <w:tc>
          <w:tcPr>
            <w:tcW w:w="2544" w:type="dxa"/>
          </w:tcPr>
          <w:p>
            <w:pPr>
              <w:jc w:val="center"/>
            </w:pPr>
            <w:r>
              <w:t>200</w:t>
            </w:r>
          </w:p>
        </w:tc>
      </w:tr>
    </w:tbl>
    <w:p>
      <w:pPr>
        <w:pStyle w:val="GesAbsatz"/>
        <w:tabs>
          <w:tab w:val="clear" w:pos="425"/>
          <w:tab w:val="left" w:pos="2268"/>
        </w:tabs>
        <w:ind w:left="426" w:hanging="426"/>
        <w:rPr>
          <w:rFonts w:cs="Arial"/>
          <w:sz w:val="18"/>
          <w:szCs w:val="18"/>
        </w:rPr>
      </w:pPr>
      <w:r>
        <w:rPr>
          <w:rFonts w:cs="Arial"/>
          <w:sz w:val="18"/>
          <w:szCs w:val="18"/>
        </w:rPr>
        <w:t>1</w:t>
      </w:r>
      <w:r>
        <w:rPr>
          <w:rFonts w:cs="Arial"/>
          <w:sz w:val="18"/>
          <w:szCs w:val="18"/>
        </w:rPr>
        <w:tab/>
        <w:t>Die Vorsorgewerte finden für Böden und Materialien mit einem nach Anlage 3 Tabelle 1 bestimmten Gehalt an organischem Kohlenstoff (TOC- Gehalt) von mehr als 9 Masseprozent keine Anwendung. Für diese Böden und Materialien müssen die maßgeblichen Werte im Einzelfall in Anlehnung an regional vergleichbarer Bodenverhältnisse abgeleitet werden.</w:t>
      </w:r>
    </w:p>
    <w:p>
      <w:pPr>
        <w:pStyle w:val="GesAbsatz"/>
        <w:tabs>
          <w:tab w:val="clear" w:pos="425"/>
          <w:tab w:val="left" w:pos="2268"/>
        </w:tabs>
        <w:ind w:left="426" w:hanging="426"/>
        <w:rPr>
          <w:rFonts w:cs="Arial"/>
          <w:sz w:val="18"/>
          <w:szCs w:val="18"/>
        </w:rPr>
      </w:pPr>
      <w:r>
        <w:rPr>
          <w:rFonts w:cs="Arial"/>
          <w:sz w:val="18"/>
          <w:szCs w:val="18"/>
        </w:rPr>
        <w:lastRenderedPageBreak/>
        <w:t>2</w:t>
      </w:r>
      <w:r>
        <w:rPr>
          <w:rFonts w:cs="Arial"/>
          <w:sz w:val="18"/>
          <w:szCs w:val="18"/>
        </w:rPr>
        <w:tab/>
        <w:t>Bodenarten-Hauptgruppen gemäß Bodenkundlicher Kartieranleitung, 5. Auflage, Hannover 2009 (KA 5); stark schluffige Sande, lehmig-schluffige Sande und stark lehmige Sande sind entsprechend der Bodenart Lehm/Schluff zu bewerten.</w:t>
      </w:r>
    </w:p>
    <w:p>
      <w:pPr>
        <w:pStyle w:val="GesAbsatz"/>
        <w:tabs>
          <w:tab w:val="clear" w:pos="425"/>
          <w:tab w:val="left" w:pos="2268"/>
        </w:tabs>
        <w:ind w:left="426" w:hanging="426"/>
        <w:rPr>
          <w:rFonts w:cs="Arial"/>
          <w:sz w:val="18"/>
          <w:szCs w:val="18"/>
        </w:rPr>
      </w:pPr>
      <w:r>
        <w:rPr>
          <w:rFonts w:cs="Arial"/>
          <w:sz w:val="18"/>
          <w:szCs w:val="18"/>
        </w:rPr>
        <w:t>3</w:t>
      </w:r>
      <w:r>
        <w:rPr>
          <w:rFonts w:cs="Arial"/>
          <w:sz w:val="18"/>
          <w:szCs w:val="18"/>
        </w:rPr>
        <w:tab/>
        <w:t>Bei Blei gelten bei einem pH-Wert &lt; 5,0 bei der Bodenart Ton die Vorsorgewerte der Bodenart Lehm/Schluff und bei der Bodenart Lehm/Schluff die Vorsorgewerte der Bodenart Sand.</w:t>
      </w:r>
    </w:p>
    <w:p>
      <w:pPr>
        <w:pStyle w:val="GesAbsatz"/>
        <w:tabs>
          <w:tab w:val="clear" w:pos="425"/>
          <w:tab w:val="left" w:pos="2268"/>
        </w:tabs>
        <w:ind w:left="426" w:hanging="426"/>
        <w:rPr>
          <w:rFonts w:cs="Arial"/>
          <w:sz w:val="18"/>
          <w:szCs w:val="18"/>
        </w:rPr>
      </w:pPr>
      <w:r>
        <w:rPr>
          <w:rFonts w:cs="Arial"/>
          <w:sz w:val="18"/>
          <w:szCs w:val="18"/>
        </w:rPr>
        <w:t>4</w:t>
      </w:r>
      <w:r>
        <w:rPr>
          <w:rFonts w:cs="Arial"/>
          <w:sz w:val="18"/>
          <w:szCs w:val="18"/>
        </w:rPr>
        <w:tab/>
        <w:t>Bei Cadmium gelten bei einem pH-Wert &lt; 6,0 bei der Bodenart Ton die Vorsorgewerte der Bodenart Lehm/Schluff und bei der Bodenart Lehm/Schluff die Vorsorgewerte der Bodenart Sand.</w:t>
      </w:r>
    </w:p>
    <w:p>
      <w:pPr>
        <w:pStyle w:val="GesAbsatz"/>
        <w:tabs>
          <w:tab w:val="clear" w:pos="425"/>
          <w:tab w:val="left" w:pos="2268"/>
        </w:tabs>
        <w:ind w:left="426" w:hanging="426"/>
        <w:rPr>
          <w:rFonts w:cs="Arial"/>
          <w:sz w:val="18"/>
          <w:szCs w:val="18"/>
        </w:rPr>
      </w:pPr>
      <w:r>
        <w:rPr>
          <w:rFonts w:cs="Arial"/>
          <w:sz w:val="18"/>
          <w:szCs w:val="18"/>
        </w:rPr>
        <w:t>5</w:t>
      </w:r>
      <w:r>
        <w:rPr>
          <w:rFonts w:cs="Arial"/>
          <w:sz w:val="18"/>
          <w:szCs w:val="18"/>
        </w:rPr>
        <w:tab/>
        <w:t>Bei Nickel gelten bei einem pH-Wert &lt; 6,0 bei der Bodenart Ton die Vorsorgewerte der Bodenart Lehm/Schluff und bei der Bodenart Lehm/Schluff die Vorsorgewerte der Bodenart Sand.</w:t>
      </w:r>
    </w:p>
    <w:p>
      <w:pPr>
        <w:pStyle w:val="GesAbsatz"/>
        <w:tabs>
          <w:tab w:val="clear" w:pos="425"/>
          <w:tab w:val="left" w:pos="2268"/>
        </w:tabs>
        <w:ind w:left="426" w:hanging="426"/>
        <w:rPr>
          <w:rFonts w:cs="Arial"/>
          <w:sz w:val="18"/>
          <w:szCs w:val="18"/>
        </w:rPr>
      </w:pPr>
      <w:r>
        <w:rPr>
          <w:rFonts w:cs="Arial"/>
          <w:sz w:val="18"/>
          <w:szCs w:val="18"/>
        </w:rPr>
        <w:t>6</w:t>
      </w:r>
      <w:r>
        <w:rPr>
          <w:rFonts w:cs="Arial"/>
          <w:sz w:val="18"/>
          <w:szCs w:val="18"/>
        </w:rPr>
        <w:tab/>
        <w:t>Bei Zink gelten bei einem pH-Wert &lt; 6,0 bei der Bodenart Ton die Vorsorgewerte der Bodenart Lehm/Schluff und bei der Bodenart Lehm/Schluff die Vorsorgewerte der Bodenart Sand.</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2: Vorsorgewerte für organische Stoffe</w:t>
      </w:r>
    </w:p>
    <w:tbl>
      <w:tblPr>
        <w:tblStyle w:val="Tabellenraster"/>
        <w:tblW w:w="0" w:type="auto"/>
        <w:tblLook w:val="04A0" w:firstRow="1" w:lastRow="0" w:firstColumn="1" w:lastColumn="0" w:noHBand="0" w:noVBand="1"/>
      </w:tblPr>
      <w:tblGrid>
        <w:gridCol w:w="3209"/>
        <w:gridCol w:w="3209"/>
        <w:gridCol w:w="3209"/>
      </w:tblGrid>
      <w:tr>
        <w:tc>
          <w:tcPr>
            <w:tcW w:w="3209" w:type="dxa"/>
          </w:tcPr>
          <w:p>
            <w:pPr>
              <w:pStyle w:val="GesAbsatz"/>
              <w:tabs>
                <w:tab w:val="clear" w:pos="425"/>
                <w:tab w:val="left" w:pos="2268"/>
              </w:tabs>
              <w:rPr>
                <w:rFonts w:cs="Arial"/>
              </w:rPr>
            </w:pPr>
            <w:r>
              <w:rPr>
                <w:rFonts w:cs="Arial"/>
              </w:rPr>
              <w:t>Stoff</w:t>
            </w:r>
          </w:p>
        </w:tc>
        <w:tc>
          <w:tcPr>
            <w:tcW w:w="3209" w:type="dxa"/>
          </w:tcPr>
          <w:p>
            <w:pPr>
              <w:pStyle w:val="GesAbsatz"/>
              <w:tabs>
                <w:tab w:val="clear" w:pos="425"/>
                <w:tab w:val="left" w:pos="2268"/>
              </w:tabs>
              <w:jc w:val="center"/>
              <w:rPr>
                <w:rFonts w:cs="Arial"/>
              </w:rPr>
            </w:pPr>
            <w:r>
              <w:rPr>
                <w:rFonts w:cs="Arial"/>
              </w:rPr>
              <w:t xml:space="preserve">Vorsorgewert bei </w:t>
            </w:r>
            <w:r>
              <w:rPr>
                <w:rFonts w:cs="Arial"/>
              </w:rPr>
              <w:br/>
              <w:t>TOC-Gehalt ≤ 4 %</w:t>
            </w:r>
          </w:p>
        </w:tc>
        <w:tc>
          <w:tcPr>
            <w:tcW w:w="3209" w:type="dxa"/>
          </w:tcPr>
          <w:p>
            <w:pPr>
              <w:pStyle w:val="GesAbsatz"/>
              <w:tabs>
                <w:tab w:val="clear" w:pos="425"/>
                <w:tab w:val="left" w:pos="2268"/>
              </w:tabs>
              <w:jc w:val="center"/>
              <w:rPr>
                <w:rFonts w:cs="Arial"/>
              </w:rPr>
            </w:pPr>
            <w:r>
              <w:rPr>
                <w:rFonts w:cs="Arial"/>
              </w:rPr>
              <w:t xml:space="preserve">Vorsorgewert bei </w:t>
            </w:r>
            <w:r>
              <w:rPr>
                <w:rFonts w:cs="Arial"/>
              </w:rPr>
              <w:br/>
              <w:t>TOC-Gehalt &gt; 4 % bis 9%</w:t>
            </w:r>
            <w:r>
              <w:rPr>
                <w:rFonts w:cs="Arial"/>
                <w:vertAlign w:val="superscript"/>
              </w:rPr>
              <w:t>1</w:t>
            </w:r>
          </w:p>
        </w:tc>
      </w:tr>
      <w:tr>
        <w:tc>
          <w:tcPr>
            <w:tcW w:w="9627" w:type="dxa"/>
            <w:gridSpan w:val="3"/>
          </w:tcPr>
          <w:p>
            <w:pPr>
              <w:pStyle w:val="GesAbsatz"/>
              <w:tabs>
                <w:tab w:val="clear" w:pos="425"/>
                <w:tab w:val="left" w:pos="2268"/>
              </w:tabs>
              <w:jc w:val="center"/>
              <w:rPr>
                <w:rFonts w:cs="Arial"/>
                <w:sz w:val="18"/>
                <w:szCs w:val="18"/>
              </w:rPr>
            </w:pPr>
            <w:r>
              <w:rPr>
                <w:rFonts w:cs="Arial"/>
                <w:sz w:val="18"/>
                <w:szCs w:val="18"/>
              </w:rPr>
              <w:t>[mg/kg TM]</w:t>
            </w:r>
          </w:p>
        </w:tc>
      </w:tr>
      <w:tr>
        <w:tc>
          <w:tcPr>
            <w:tcW w:w="3209" w:type="dxa"/>
          </w:tcPr>
          <w:p>
            <w:r>
              <w:t>Summe aus PCB</w:t>
            </w:r>
            <w:r>
              <w:rPr>
                <w:vertAlign w:val="subscript"/>
              </w:rPr>
              <w:t>6</w:t>
            </w:r>
            <w:r>
              <w:t xml:space="preserve"> und PCB-118</w:t>
            </w:r>
            <w:r>
              <w:rPr>
                <w:vertAlign w:val="superscript"/>
              </w:rPr>
              <w:t>2</w:t>
            </w:r>
          </w:p>
        </w:tc>
        <w:tc>
          <w:tcPr>
            <w:tcW w:w="3209" w:type="dxa"/>
          </w:tcPr>
          <w:p>
            <w:pPr>
              <w:jc w:val="center"/>
            </w:pPr>
            <w:r>
              <w:t>0,05</w:t>
            </w:r>
          </w:p>
        </w:tc>
        <w:tc>
          <w:tcPr>
            <w:tcW w:w="3209" w:type="dxa"/>
          </w:tcPr>
          <w:p>
            <w:pPr>
              <w:jc w:val="center"/>
            </w:pPr>
            <w:r>
              <w:t>0,1</w:t>
            </w:r>
          </w:p>
        </w:tc>
      </w:tr>
      <w:tr>
        <w:tc>
          <w:tcPr>
            <w:tcW w:w="3209" w:type="dxa"/>
          </w:tcPr>
          <w:p>
            <w:r>
              <w:t>Benzo(a)pyren</w:t>
            </w:r>
          </w:p>
        </w:tc>
        <w:tc>
          <w:tcPr>
            <w:tcW w:w="3209" w:type="dxa"/>
          </w:tcPr>
          <w:p>
            <w:pPr>
              <w:jc w:val="center"/>
            </w:pPr>
            <w:r>
              <w:t>0,3</w:t>
            </w:r>
          </w:p>
        </w:tc>
        <w:tc>
          <w:tcPr>
            <w:tcW w:w="3209" w:type="dxa"/>
          </w:tcPr>
          <w:p>
            <w:pPr>
              <w:jc w:val="center"/>
            </w:pPr>
            <w:r>
              <w:t>0,5</w:t>
            </w:r>
          </w:p>
        </w:tc>
      </w:tr>
      <w:tr>
        <w:tc>
          <w:tcPr>
            <w:tcW w:w="3209" w:type="dxa"/>
          </w:tcPr>
          <w:p>
            <w:r>
              <w:t>PAK</w:t>
            </w:r>
            <w:r>
              <w:rPr>
                <w:vertAlign w:val="subscript"/>
              </w:rPr>
              <w:t>16</w:t>
            </w:r>
            <w:r>
              <w:rPr>
                <w:vertAlign w:val="superscript"/>
              </w:rPr>
              <w:t>3</w:t>
            </w:r>
          </w:p>
        </w:tc>
        <w:tc>
          <w:tcPr>
            <w:tcW w:w="3209" w:type="dxa"/>
          </w:tcPr>
          <w:p>
            <w:pPr>
              <w:jc w:val="center"/>
            </w:pPr>
            <w:r>
              <w:t>3</w:t>
            </w:r>
          </w:p>
        </w:tc>
        <w:tc>
          <w:tcPr>
            <w:tcW w:w="3209" w:type="dxa"/>
          </w:tcPr>
          <w:p>
            <w:pPr>
              <w:jc w:val="center"/>
            </w:pPr>
            <w:r>
              <w:t>5</w:t>
            </w:r>
          </w:p>
        </w:tc>
      </w:tr>
    </w:tbl>
    <w:p>
      <w:pPr>
        <w:pStyle w:val="GesAbsatz"/>
        <w:tabs>
          <w:tab w:val="clear" w:pos="425"/>
          <w:tab w:val="left" w:pos="2268"/>
        </w:tabs>
        <w:ind w:left="426" w:hanging="426"/>
        <w:rPr>
          <w:rFonts w:cs="Arial"/>
          <w:sz w:val="18"/>
          <w:szCs w:val="18"/>
        </w:rPr>
      </w:pPr>
      <w:r>
        <w:rPr>
          <w:rFonts w:cs="Arial"/>
          <w:sz w:val="18"/>
          <w:szCs w:val="18"/>
        </w:rPr>
        <w:t>1</w:t>
      </w:r>
      <w:r>
        <w:rPr>
          <w:rFonts w:cs="Arial"/>
          <w:sz w:val="18"/>
          <w:szCs w:val="18"/>
        </w:rPr>
        <w:tab/>
        <w:t>Für Böden mit einem TOC-Gehalt von mehr als 9 Masseprozent müssen die maßgeblichen Werte im Einzelfall abgeleitet werden.</w:t>
      </w:r>
    </w:p>
    <w:p>
      <w:pPr>
        <w:pStyle w:val="GesAbsatz"/>
        <w:tabs>
          <w:tab w:val="clear" w:pos="425"/>
          <w:tab w:val="left" w:pos="2268"/>
        </w:tabs>
        <w:ind w:left="426" w:hanging="426"/>
        <w:rPr>
          <w:rFonts w:cs="Arial"/>
          <w:sz w:val="18"/>
          <w:szCs w:val="18"/>
        </w:rPr>
      </w:pPr>
      <w:r>
        <w:rPr>
          <w:rFonts w:cs="Arial"/>
          <w:sz w:val="18"/>
          <w:szCs w:val="18"/>
        </w:rPr>
        <w:t>2</w:t>
      </w:r>
      <w:r>
        <w:rPr>
          <w:rFonts w:cs="Arial"/>
          <w:sz w:val="18"/>
          <w:szCs w:val="18"/>
        </w:rPr>
        <w:tab/>
        <w:t>Summe aus PCB6und PCB-118: Stellvertretend für die Gruppe der polychlorierten Biphenyle (PCB) werden für PCB-Gemische sechs Leit- Kongenere nach Ballschmiter (PCB-Nummer 28, 52, 101, 138, 153, 180) sowie PCB-118 untersucht.</w:t>
      </w:r>
    </w:p>
    <w:p>
      <w:pPr>
        <w:pStyle w:val="GesAbsatz"/>
        <w:tabs>
          <w:tab w:val="clear" w:pos="425"/>
          <w:tab w:val="left" w:pos="2268"/>
        </w:tabs>
        <w:ind w:left="426" w:hanging="426"/>
        <w:rPr>
          <w:rFonts w:cs="Arial"/>
          <w:sz w:val="18"/>
          <w:szCs w:val="18"/>
        </w:rPr>
      </w:pPr>
      <w:r>
        <w:rPr>
          <w:rFonts w:cs="Arial"/>
          <w:sz w:val="18"/>
          <w:szCs w:val="18"/>
        </w:rPr>
        <w:t>3</w:t>
      </w:r>
      <w:r>
        <w:rPr>
          <w:rFonts w:cs="Arial"/>
          <w:sz w:val="18"/>
          <w:szCs w:val="18"/>
        </w:rPr>
        <w:tab/>
        <w:t>PAK16: Stellvertretend für die Gruppe der polyzyklischen aromatischen Kohlenwasserstoffe (PAK) werden nach der Liste der Environmental Protection Agency (EPA) 16 ausgewählte PAK untersucht: Acenaphthen, Acenaphthylen, Anthracen, Benzo[a]anthracen, Benzo[a]pyren, Benzo [b]fluoranthen, Benzo[g,h,i]perylen, Benzo[k]fluoranthen, Chrysen, Dibenzo[a,h]anthracen, Fluoranthen, Fluoren, Indeno[1,2,3-cd]pyren, Naphthalin, Phenanthren und Pyren.</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3: Zulässige zusätzliche jährliche Frachten an Schadstoffen über alle Eintragspfade</w:t>
      </w:r>
    </w:p>
    <w:tbl>
      <w:tblPr>
        <w:tblW w:w="0" w:type="auto"/>
        <w:tblLayout w:type="fixed"/>
        <w:tblCellMar>
          <w:left w:w="0" w:type="dxa"/>
          <w:right w:w="0" w:type="dxa"/>
        </w:tblCellMar>
        <w:tblLook w:val="0000" w:firstRow="0" w:lastRow="0" w:firstColumn="0" w:lastColumn="0" w:noHBand="0" w:noVBand="0"/>
      </w:tblPr>
      <w:tblGrid>
        <w:gridCol w:w="2413"/>
        <w:gridCol w:w="2118"/>
      </w:tblGrid>
      <w:tr>
        <w:trPr>
          <w:trHeight w:val="332"/>
        </w:trP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jc w:val="center"/>
            </w:pPr>
            <w:r>
              <w:t>Stoff</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Fracht</w:t>
            </w:r>
          </w:p>
        </w:tc>
      </w:tr>
      <w:tr>
        <w:trPr>
          <w:trHeight w:val="332"/>
        </w:trP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[g/ha·a]</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vAlign w:val="center"/>
          </w:tcPr>
          <w:p>
            <w:pPr>
              <w:pStyle w:val="GesAbsatz"/>
            </w:pPr>
            <w:r>
              <w:t>Arsen</w:t>
            </w:r>
          </w:p>
        </w:tc>
        <w:tc>
          <w:tcPr>
            <w:tcW w:w="2118" w:type="dxa"/>
            <w:tcBorders>
              <w:top w:val="single" w:sz="4" w:space="0" w:color="000000"/>
              <w:left w:val="single" w:sz="4" w:space="0" w:color="000000"/>
              <w:bottom w:val="single" w:sz="4" w:space="0" w:color="000000"/>
              <w:right w:val="single" w:sz="4" w:space="0" w:color="auto"/>
            </w:tcBorders>
            <w:tcMar>
              <w:left w:w="113" w:type="dxa"/>
            </w:tcMar>
            <w:vAlign w:val="center"/>
          </w:tcPr>
          <w:p>
            <w:pPr>
              <w:pStyle w:val="GesAbsatz"/>
              <w:jc w:val="center"/>
            </w:pPr>
            <w:r>
              <w:t>35</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Blei</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200</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Cadmium</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5</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Chrom</w:t>
            </w:r>
            <w:r>
              <w:rPr>
                <w:vertAlign w:val="subscript"/>
              </w:rPr>
              <w:t>gesamt</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150</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Kupfer</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300</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Nickel</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75</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Quecksilber</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1</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Thallium</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1,5</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Zink</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1 200</w:t>
            </w:r>
          </w:p>
        </w:tc>
      </w:tr>
      <w:tr>
        <w:tc>
          <w:tcPr>
            <w:tcW w:w="2413" w:type="dxa"/>
            <w:tcBorders>
              <w:top w:val="single" w:sz="4" w:space="0" w:color="000000"/>
              <w:left w:val="single" w:sz="4" w:space="0" w:color="000000"/>
              <w:bottom w:val="single" w:sz="4" w:space="0" w:color="000000"/>
              <w:right w:val="single" w:sz="4" w:space="0" w:color="000000"/>
            </w:tcBorders>
            <w:tcMar>
              <w:left w:w="113" w:type="dxa"/>
            </w:tcMar>
          </w:tcPr>
          <w:p>
            <w:pPr>
              <w:pStyle w:val="GesAbsatz"/>
            </w:pPr>
            <w:r>
              <w:t>Benzo(a)pyren</w:t>
            </w:r>
          </w:p>
        </w:tc>
        <w:tc>
          <w:tcPr>
            <w:tcW w:w="2118" w:type="dxa"/>
            <w:tcBorders>
              <w:top w:val="single" w:sz="4" w:space="0" w:color="000000"/>
              <w:left w:val="single" w:sz="4" w:space="0" w:color="000000"/>
              <w:bottom w:val="single" w:sz="4" w:space="0" w:color="000000"/>
              <w:right w:val="single" w:sz="4" w:space="0" w:color="auto"/>
            </w:tcBorders>
            <w:tcMar>
              <w:left w:w="113" w:type="dxa"/>
            </w:tcMar>
          </w:tcPr>
          <w:p>
            <w:pPr>
              <w:pStyle w:val="GesAbsatz"/>
              <w:jc w:val="center"/>
            </w:pPr>
            <w:r>
              <w:t>1</w:t>
            </w:r>
          </w:p>
        </w:tc>
      </w:tr>
    </w:tbl>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4: Werte zur Beurteilung von Materialien für das Auf- oder Einbringen unterhalb oder außerhalb einer durchwurzelbaren Bodenschicht</w:t>
      </w:r>
    </w:p>
    <w:p>
      <w:pPr>
        <w:pStyle w:val="GesAbsatz"/>
        <w:tabs>
          <w:tab w:val="clear" w:pos="425"/>
          <w:tab w:val="left" w:pos="2268"/>
        </w:tabs>
        <w:rPr>
          <w:rFonts w:cs="Arial"/>
        </w:rPr>
      </w:pPr>
      <w:r>
        <w:rPr>
          <w:rFonts w:cs="Arial"/>
        </w:rPr>
        <w:lastRenderedPageBreak/>
        <w:t>Hinweis: Die Eluatwerte sind mit Ausnahme des Eluatwertes für Sulfat nur maßgeblich, wenn für den betreffenden Stoff der jeweilige Vorsorgewert nach Tabelle 1 oder 2 überschritten wird.</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393"/>
        <w:gridCol w:w="1983"/>
        <w:gridCol w:w="1983"/>
        <w:gridCol w:w="1988"/>
      </w:tblGrid>
      <w:tr>
        <w:trPr>
          <w:trHeight w:val="332"/>
        </w:trPr>
        <w:tc>
          <w:tcPr>
            <w:tcW w:w="3393" w:type="dxa"/>
          </w:tcPr>
          <w:p>
            <w:pPr>
              <w:pStyle w:val="GesAbsatz"/>
              <w:tabs>
                <w:tab w:val="left" w:pos="2268"/>
              </w:tabs>
              <w:jc w:val="center"/>
              <w:rPr>
                <w:rFonts w:cs="Arial"/>
              </w:rPr>
            </w:pPr>
            <w:r>
              <w:rPr>
                <w:rFonts w:cs="Arial"/>
              </w:rPr>
              <w:t>Stoff</w:t>
            </w:r>
          </w:p>
        </w:tc>
        <w:tc>
          <w:tcPr>
            <w:tcW w:w="1983" w:type="dxa"/>
          </w:tcPr>
          <w:p>
            <w:pPr>
              <w:pStyle w:val="GesAbsatz"/>
              <w:tabs>
                <w:tab w:val="left" w:pos="2268"/>
              </w:tabs>
              <w:jc w:val="center"/>
              <w:rPr>
                <w:rFonts w:cs="Arial"/>
              </w:rPr>
            </w:pPr>
            <w:r>
              <w:rPr>
                <w:rFonts w:cs="Arial"/>
              </w:rPr>
              <w:t>Feststoffwert</w:t>
            </w:r>
          </w:p>
        </w:tc>
        <w:tc>
          <w:tcPr>
            <w:tcW w:w="3971" w:type="dxa"/>
            <w:gridSpan w:val="2"/>
          </w:tcPr>
          <w:p>
            <w:pPr>
              <w:pStyle w:val="GesAbsatz"/>
              <w:tabs>
                <w:tab w:val="left" w:pos="2268"/>
              </w:tabs>
              <w:jc w:val="center"/>
              <w:rPr>
                <w:rFonts w:cs="Arial"/>
              </w:rPr>
            </w:pPr>
            <w:r>
              <w:rPr>
                <w:rFonts w:cs="Arial"/>
              </w:rPr>
              <w:t>Eluatwert</w:t>
            </w:r>
          </w:p>
        </w:tc>
      </w:tr>
      <w:tr>
        <w:trPr>
          <w:trHeight w:val="511"/>
        </w:trPr>
        <w:tc>
          <w:tcPr>
            <w:tcW w:w="3393" w:type="dxa"/>
          </w:tcPr>
          <w:p>
            <w:pPr>
              <w:pStyle w:val="GesAbsatz"/>
              <w:tabs>
                <w:tab w:val="left" w:pos="2268"/>
              </w:tabs>
              <w:rPr>
                <w:rFonts w:cs="Arial"/>
              </w:rPr>
            </w:pPr>
          </w:p>
        </w:tc>
        <w:tc>
          <w:tcPr>
            <w:tcW w:w="1983" w:type="dxa"/>
          </w:tcPr>
          <w:p>
            <w:pPr>
              <w:pStyle w:val="GesAbsatz"/>
              <w:tabs>
                <w:tab w:val="left" w:pos="2268"/>
              </w:tabs>
              <w:rPr>
                <w:rFonts w:cs="Arial"/>
              </w:rPr>
            </w:pPr>
          </w:p>
        </w:tc>
        <w:tc>
          <w:tcPr>
            <w:tcW w:w="1983" w:type="dxa"/>
          </w:tcPr>
          <w:p>
            <w:pPr>
              <w:pStyle w:val="GesAbsatz"/>
              <w:tabs>
                <w:tab w:val="left" w:pos="2268"/>
              </w:tabs>
              <w:jc w:val="center"/>
              <w:rPr>
                <w:rFonts w:cs="Arial"/>
              </w:rPr>
            </w:pPr>
            <w:r>
              <w:rPr>
                <w:rFonts w:cs="Arial"/>
              </w:rPr>
              <w:t>bei TOC-Gehalt</w:t>
            </w:r>
            <w:r>
              <w:rPr>
                <w:rFonts w:cs="Arial"/>
              </w:rPr>
              <w:br/>
              <w:t>&lt; 0,5 %</w:t>
            </w:r>
          </w:p>
        </w:tc>
        <w:tc>
          <w:tcPr>
            <w:tcW w:w="1988" w:type="dxa"/>
          </w:tcPr>
          <w:p>
            <w:pPr>
              <w:pStyle w:val="GesAbsatz"/>
              <w:tabs>
                <w:tab w:val="left" w:pos="2268"/>
              </w:tabs>
              <w:jc w:val="center"/>
              <w:rPr>
                <w:rFonts w:cs="Arial"/>
              </w:rPr>
            </w:pPr>
            <w:r>
              <w:rPr>
                <w:rFonts w:cs="Arial"/>
              </w:rPr>
              <w:t>bei TOC-Gehalt</w:t>
            </w:r>
            <w:r>
              <w:rPr>
                <w:rFonts w:cs="Arial"/>
              </w:rPr>
              <w:br/>
              <w:t>≥ 0,5 %</w:t>
            </w:r>
          </w:p>
        </w:tc>
      </w:tr>
      <w:tr>
        <w:trPr>
          <w:trHeight w:val="332"/>
        </w:trPr>
        <w:tc>
          <w:tcPr>
            <w:tcW w:w="3393" w:type="dxa"/>
          </w:tcPr>
          <w:p>
            <w:pPr>
              <w:pStyle w:val="GesAbsatz"/>
              <w:tabs>
                <w:tab w:val="left" w:pos="2268"/>
              </w:tabs>
              <w:rPr>
                <w:rFonts w:cs="Arial"/>
              </w:rPr>
            </w:pPr>
          </w:p>
        </w:tc>
        <w:tc>
          <w:tcPr>
            <w:tcW w:w="1983" w:type="dxa"/>
          </w:tcPr>
          <w:p>
            <w:pPr>
              <w:pStyle w:val="GesAbsatz"/>
              <w:tabs>
                <w:tab w:val="left" w:pos="2268"/>
              </w:tabs>
              <w:jc w:val="center"/>
              <w:rPr>
                <w:rFonts w:cs="Arial"/>
                <w:sz w:val="18"/>
                <w:szCs w:val="18"/>
              </w:rPr>
            </w:pPr>
            <w:r>
              <w:rPr>
                <w:rFonts w:cs="Arial"/>
                <w:sz w:val="18"/>
                <w:szCs w:val="18"/>
              </w:rPr>
              <w:t>[mg/kg TM]</w:t>
            </w:r>
          </w:p>
        </w:tc>
        <w:tc>
          <w:tcPr>
            <w:tcW w:w="3971" w:type="dxa"/>
            <w:gridSpan w:val="2"/>
          </w:tcPr>
          <w:p>
            <w:pPr>
              <w:pStyle w:val="GesAbsatz"/>
              <w:tabs>
                <w:tab w:val="left" w:pos="2268"/>
              </w:tabs>
              <w:jc w:val="center"/>
              <w:rPr>
                <w:rFonts w:cs="Arial"/>
                <w:sz w:val="18"/>
                <w:szCs w:val="18"/>
              </w:rPr>
            </w:pPr>
            <w:r>
              <w:rPr>
                <w:rFonts w:cs="Arial"/>
                <w:sz w:val="18"/>
                <w:szCs w:val="18"/>
              </w:rPr>
              <w:t>[µg/l]</w:t>
            </w:r>
          </w:p>
        </w:tc>
      </w:tr>
      <w:tr>
        <w:trPr>
          <w:trHeight w:val="335"/>
        </w:trPr>
        <w:tc>
          <w:tcPr>
            <w:tcW w:w="3393" w:type="dxa"/>
          </w:tcPr>
          <w:p>
            <w:pPr>
              <w:pStyle w:val="GesAbsatz"/>
              <w:tabs>
                <w:tab w:val="left" w:pos="2268"/>
              </w:tabs>
              <w:rPr>
                <w:rFonts w:cs="Arial"/>
              </w:rPr>
            </w:pPr>
            <w:r>
              <w:rPr>
                <w:rFonts w:cs="Arial"/>
              </w:rPr>
              <w:t>Anorganische Stoffe</w:t>
            </w:r>
          </w:p>
        </w:tc>
        <w:tc>
          <w:tcPr>
            <w:tcW w:w="1983" w:type="dxa"/>
          </w:tcPr>
          <w:p>
            <w:pPr>
              <w:pStyle w:val="GesAbsatz"/>
              <w:tabs>
                <w:tab w:val="left" w:pos="2268"/>
              </w:tabs>
              <w:rPr>
                <w:rFonts w:cs="Arial"/>
              </w:rPr>
            </w:pPr>
          </w:p>
        </w:tc>
        <w:tc>
          <w:tcPr>
            <w:tcW w:w="1983" w:type="dxa"/>
          </w:tcPr>
          <w:p>
            <w:pPr>
              <w:pStyle w:val="GesAbsatz"/>
              <w:tabs>
                <w:tab w:val="left" w:pos="2268"/>
              </w:tabs>
              <w:rPr>
                <w:rFonts w:cs="Arial"/>
              </w:rPr>
            </w:pPr>
          </w:p>
        </w:tc>
        <w:tc>
          <w:tcPr>
            <w:tcW w:w="1988" w:type="dxa"/>
          </w:tcPr>
          <w:p>
            <w:pPr>
              <w:pStyle w:val="GesAbsatz"/>
              <w:tabs>
                <w:tab w:val="left" w:pos="2268"/>
              </w:tabs>
              <w:rPr>
                <w:rFonts w:cs="Arial"/>
              </w:rPr>
            </w:pPr>
          </w:p>
        </w:tc>
      </w:tr>
      <w:tr>
        <w:trPr>
          <w:trHeight w:val="335"/>
        </w:trPr>
        <w:tc>
          <w:tcPr>
            <w:tcW w:w="3393" w:type="dxa"/>
          </w:tcPr>
          <w:p>
            <w:pPr>
              <w:pStyle w:val="GesAbsatz"/>
              <w:tabs>
                <w:tab w:val="left" w:pos="2268"/>
              </w:tabs>
              <w:rPr>
                <w:rFonts w:cs="Arial"/>
              </w:rPr>
            </w:pPr>
            <w:r>
              <w:rPr>
                <w:rFonts w:cs="Arial"/>
              </w:rPr>
              <w:t>Arsen</w:t>
            </w:r>
          </w:p>
        </w:tc>
        <w:tc>
          <w:tcPr>
            <w:tcW w:w="1983" w:type="dxa"/>
          </w:tcPr>
          <w:p>
            <w:pPr>
              <w:pStyle w:val="GesAbsatz"/>
              <w:tabs>
                <w:tab w:val="left" w:pos="2268"/>
              </w:tabs>
              <w:jc w:val="center"/>
              <w:rPr>
                <w:rFonts w:cs="Arial"/>
              </w:rPr>
            </w:pPr>
            <w:r>
              <w:rPr>
                <w:rFonts w:cs="Arial"/>
              </w:rPr>
              <w:t>20</w:t>
            </w:r>
          </w:p>
        </w:tc>
        <w:tc>
          <w:tcPr>
            <w:tcW w:w="1983" w:type="dxa"/>
          </w:tcPr>
          <w:p>
            <w:pPr>
              <w:pStyle w:val="GesAbsatz"/>
              <w:tabs>
                <w:tab w:val="left" w:pos="2268"/>
              </w:tabs>
              <w:jc w:val="center"/>
              <w:rPr>
                <w:rFonts w:cs="Arial"/>
              </w:rPr>
            </w:pPr>
            <w:r>
              <w:rPr>
                <w:rFonts w:cs="Arial"/>
              </w:rPr>
              <w:t>8</w:t>
            </w:r>
          </w:p>
        </w:tc>
        <w:tc>
          <w:tcPr>
            <w:tcW w:w="1988" w:type="dxa"/>
          </w:tcPr>
          <w:p>
            <w:pPr>
              <w:pStyle w:val="GesAbsatz"/>
              <w:tabs>
                <w:tab w:val="left" w:pos="2268"/>
              </w:tabs>
              <w:jc w:val="center"/>
              <w:rPr>
                <w:rFonts w:cs="Arial"/>
              </w:rPr>
            </w:pPr>
            <w:r>
              <w:rPr>
                <w:rFonts w:cs="Arial"/>
              </w:rPr>
              <w:t>13</w:t>
            </w:r>
          </w:p>
        </w:tc>
      </w:tr>
      <w:tr>
        <w:trPr>
          <w:trHeight w:val="335"/>
        </w:trPr>
        <w:tc>
          <w:tcPr>
            <w:tcW w:w="3393" w:type="dxa"/>
          </w:tcPr>
          <w:p>
            <w:pPr>
              <w:pStyle w:val="GesAbsatz"/>
              <w:tabs>
                <w:tab w:val="left" w:pos="2268"/>
              </w:tabs>
              <w:rPr>
                <w:rFonts w:cs="Arial"/>
              </w:rPr>
            </w:pPr>
            <w:r>
              <w:rPr>
                <w:rFonts w:cs="Arial"/>
              </w:rPr>
              <w:t>Blei</w:t>
            </w:r>
          </w:p>
        </w:tc>
        <w:tc>
          <w:tcPr>
            <w:tcW w:w="1983" w:type="dxa"/>
          </w:tcPr>
          <w:p>
            <w:pPr>
              <w:pStyle w:val="GesAbsatz"/>
              <w:tabs>
                <w:tab w:val="left" w:pos="2268"/>
              </w:tabs>
              <w:jc w:val="center"/>
              <w:rPr>
                <w:rFonts w:cs="Arial"/>
              </w:rPr>
            </w:pPr>
            <w:r>
              <w:rPr>
                <w:rFonts w:cs="Arial"/>
              </w:rPr>
              <w:t>140</w:t>
            </w:r>
          </w:p>
        </w:tc>
        <w:tc>
          <w:tcPr>
            <w:tcW w:w="1983" w:type="dxa"/>
          </w:tcPr>
          <w:p>
            <w:pPr>
              <w:pStyle w:val="GesAbsatz"/>
              <w:tabs>
                <w:tab w:val="left" w:pos="2268"/>
              </w:tabs>
              <w:jc w:val="center"/>
              <w:rPr>
                <w:rFonts w:cs="Arial"/>
              </w:rPr>
            </w:pPr>
            <w:r>
              <w:rPr>
                <w:rFonts w:cs="Arial"/>
              </w:rPr>
              <w:t>23</w:t>
            </w:r>
          </w:p>
        </w:tc>
        <w:tc>
          <w:tcPr>
            <w:tcW w:w="1988" w:type="dxa"/>
          </w:tcPr>
          <w:p>
            <w:pPr>
              <w:pStyle w:val="GesAbsatz"/>
              <w:tabs>
                <w:tab w:val="left" w:pos="2268"/>
              </w:tabs>
              <w:jc w:val="center"/>
              <w:rPr>
                <w:rFonts w:cs="Arial"/>
              </w:rPr>
            </w:pPr>
            <w:r>
              <w:rPr>
                <w:rFonts w:cs="Arial"/>
              </w:rPr>
              <w:t>43</w:t>
            </w:r>
          </w:p>
        </w:tc>
      </w:tr>
      <w:tr>
        <w:trPr>
          <w:trHeight w:val="335"/>
        </w:trPr>
        <w:tc>
          <w:tcPr>
            <w:tcW w:w="3393" w:type="dxa"/>
          </w:tcPr>
          <w:p>
            <w:pPr>
              <w:pStyle w:val="GesAbsatz"/>
              <w:tabs>
                <w:tab w:val="left" w:pos="2268"/>
              </w:tabs>
              <w:rPr>
                <w:rFonts w:cs="Arial"/>
              </w:rPr>
            </w:pPr>
            <w:r>
              <w:rPr>
                <w:rFonts w:cs="Arial"/>
              </w:rPr>
              <w:t>Cadmium</w:t>
            </w:r>
          </w:p>
        </w:tc>
        <w:tc>
          <w:tcPr>
            <w:tcW w:w="1983" w:type="dxa"/>
          </w:tcPr>
          <w:p>
            <w:pPr>
              <w:pStyle w:val="GesAbsatz"/>
              <w:tabs>
                <w:tab w:val="left" w:pos="2268"/>
              </w:tabs>
              <w:jc w:val="center"/>
              <w:rPr>
                <w:rFonts w:cs="Arial"/>
              </w:rPr>
            </w:pPr>
            <w:r>
              <w:rPr>
                <w:rFonts w:cs="Arial"/>
              </w:rPr>
              <w:t>1</w:t>
            </w:r>
          </w:p>
        </w:tc>
        <w:tc>
          <w:tcPr>
            <w:tcW w:w="1983" w:type="dxa"/>
          </w:tcPr>
          <w:p>
            <w:pPr>
              <w:pStyle w:val="GesAbsatz"/>
              <w:tabs>
                <w:tab w:val="left" w:pos="2268"/>
              </w:tabs>
              <w:jc w:val="center"/>
              <w:rPr>
                <w:rFonts w:cs="Arial"/>
              </w:rPr>
            </w:pPr>
            <w:r>
              <w:rPr>
                <w:rFonts w:cs="Arial"/>
              </w:rPr>
              <w:t>2</w:t>
            </w:r>
          </w:p>
        </w:tc>
        <w:tc>
          <w:tcPr>
            <w:tcW w:w="1988" w:type="dxa"/>
          </w:tcPr>
          <w:p>
            <w:pPr>
              <w:pStyle w:val="GesAbsatz"/>
              <w:tabs>
                <w:tab w:val="left" w:pos="2268"/>
              </w:tabs>
              <w:jc w:val="center"/>
              <w:rPr>
                <w:rFonts w:cs="Arial"/>
              </w:rPr>
            </w:pPr>
            <w:r>
              <w:rPr>
                <w:rFonts w:cs="Arial"/>
              </w:rPr>
              <w:t>4</w:t>
            </w:r>
          </w:p>
        </w:tc>
      </w:tr>
      <w:tr>
        <w:trPr>
          <w:trHeight w:val="335"/>
        </w:trPr>
        <w:tc>
          <w:tcPr>
            <w:tcW w:w="3393" w:type="dxa"/>
          </w:tcPr>
          <w:p>
            <w:pPr>
              <w:pStyle w:val="GesAbsatz"/>
              <w:tabs>
                <w:tab w:val="left" w:pos="2268"/>
              </w:tabs>
              <w:rPr>
                <w:rFonts w:cs="Arial"/>
              </w:rPr>
            </w:pPr>
            <w:r>
              <w:rPr>
                <w:rFonts w:cs="Arial"/>
              </w:rPr>
              <w:t>Chromgesamt</w:t>
            </w:r>
          </w:p>
        </w:tc>
        <w:tc>
          <w:tcPr>
            <w:tcW w:w="1983" w:type="dxa"/>
          </w:tcPr>
          <w:p>
            <w:pPr>
              <w:pStyle w:val="GesAbsatz"/>
              <w:tabs>
                <w:tab w:val="left" w:pos="2268"/>
              </w:tabs>
              <w:jc w:val="center"/>
              <w:rPr>
                <w:rFonts w:cs="Arial"/>
              </w:rPr>
            </w:pPr>
            <w:r>
              <w:rPr>
                <w:rFonts w:cs="Arial"/>
              </w:rPr>
              <w:t>120</w:t>
            </w:r>
          </w:p>
        </w:tc>
        <w:tc>
          <w:tcPr>
            <w:tcW w:w="1983" w:type="dxa"/>
          </w:tcPr>
          <w:p>
            <w:pPr>
              <w:pStyle w:val="GesAbsatz"/>
              <w:tabs>
                <w:tab w:val="left" w:pos="2268"/>
              </w:tabs>
              <w:jc w:val="center"/>
              <w:rPr>
                <w:rFonts w:cs="Arial"/>
              </w:rPr>
            </w:pPr>
            <w:r>
              <w:rPr>
                <w:rFonts w:cs="Arial"/>
              </w:rPr>
              <w:t>10</w:t>
            </w:r>
          </w:p>
        </w:tc>
        <w:tc>
          <w:tcPr>
            <w:tcW w:w="1988" w:type="dxa"/>
          </w:tcPr>
          <w:p>
            <w:pPr>
              <w:pStyle w:val="GesAbsatz"/>
              <w:tabs>
                <w:tab w:val="left" w:pos="2268"/>
              </w:tabs>
              <w:jc w:val="center"/>
              <w:rPr>
                <w:rFonts w:cs="Arial"/>
              </w:rPr>
            </w:pPr>
            <w:r>
              <w:rPr>
                <w:rFonts w:cs="Arial"/>
              </w:rPr>
              <w:t>19</w:t>
            </w:r>
          </w:p>
        </w:tc>
      </w:tr>
      <w:tr>
        <w:trPr>
          <w:trHeight w:val="335"/>
        </w:trPr>
        <w:tc>
          <w:tcPr>
            <w:tcW w:w="3393" w:type="dxa"/>
          </w:tcPr>
          <w:p>
            <w:pPr>
              <w:pStyle w:val="GesAbsatz"/>
              <w:tabs>
                <w:tab w:val="left" w:pos="2268"/>
              </w:tabs>
              <w:rPr>
                <w:rFonts w:cs="Arial"/>
              </w:rPr>
            </w:pPr>
            <w:r>
              <w:rPr>
                <w:rFonts w:cs="Arial"/>
              </w:rPr>
              <w:t>Kupfer</w:t>
            </w:r>
          </w:p>
        </w:tc>
        <w:tc>
          <w:tcPr>
            <w:tcW w:w="1983" w:type="dxa"/>
          </w:tcPr>
          <w:p>
            <w:pPr>
              <w:pStyle w:val="GesAbsatz"/>
              <w:tabs>
                <w:tab w:val="left" w:pos="2268"/>
              </w:tabs>
              <w:jc w:val="center"/>
              <w:rPr>
                <w:rFonts w:cs="Arial"/>
              </w:rPr>
            </w:pPr>
            <w:r>
              <w:rPr>
                <w:rFonts w:cs="Arial"/>
              </w:rPr>
              <w:t>80</w:t>
            </w:r>
          </w:p>
        </w:tc>
        <w:tc>
          <w:tcPr>
            <w:tcW w:w="1983" w:type="dxa"/>
          </w:tcPr>
          <w:p>
            <w:pPr>
              <w:pStyle w:val="GesAbsatz"/>
              <w:tabs>
                <w:tab w:val="left" w:pos="2268"/>
              </w:tabs>
              <w:jc w:val="center"/>
              <w:rPr>
                <w:rFonts w:cs="Arial"/>
              </w:rPr>
            </w:pPr>
            <w:r>
              <w:rPr>
                <w:rFonts w:cs="Arial"/>
              </w:rPr>
              <w:t>20</w:t>
            </w:r>
          </w:p>
        </w:tc>
        <w:tc>
          <w:tcPr>
            <w:tcW w:w="1988" w:type="dxa"/>
          </w:tcPr>
          <w:p>
            <w:pPr>
              <w:pStyle w:val="GesAbsatz"/>
              <w:tabs>
                <w:tab w:val="left" w:pos="2268"/>
              </w:tabs>
              <w:jc w:val="center"/>
              <w:rPr>
                <w:rFonts w:cs="Arial"/>
              </w:rPr>
            </w:pPr>
            <w:r>
              <w:rPr>
                <w:rFonts w:cs="Arial"/>
              </w:rPr>
              <w:t>41</w:t>
            </w:r>
          </w:p>
        </w:tc>
      </w:tr>
      <w:tr>
        <w:trPr>
          <w:trHeight w:val="335"/>
        </w:trPr>
        <w:tc>
          <w:tcPr>
            <w:tcW w:w="3393" w:type="dxa"/>
          </w:tcPr>
          <w:p>
            <w:pPr>
              <w:pStyle w:val="GesAbsatz"/>
              <w:tabs>
                <w:tab w:val="left" w:pos="2268"/>
              </w:tabs>
              <w:rPr>
                <w:rFonts w:cs="Arial"/>
              </w:rPr>
            </w:pPr>
            <w:r>
              <w:rPr>
                <w:rFonts w:cs="Arial"/>
              </w:rPr>
              <w:t>Nickel</w:t>
            </w:r>
          </w:p>
        </w:tc>
        <w:tc>
          <w:tcPr>
            <w:tcW w:w="1983" w:type="dxa"/>
          </w:tcPr>
          <w:p>
            <w:pPr>
              <w:pStyle w:val="GesAbsatz"/>
              <w:tabs>
                <w:tab w:val="left" w:pos="2268"/>
              </w:tabs>
              <w:jc w:val="center"/>
              <w:rPr>
                <w:rFonts w:cs="Arial"/>
              </w:rPr>
            </w:pPr>
            <w:r>
              <w:rPr>
                <w:rFonts w:cs="Arial"/>
              </w:rPr>
              <w:t>100</w:t>
            </w:r>
          </w:p>
        </w:tc>
        <w:tc>
          <w:tcPr>
            <w:tcW w:w="1983" w:type="dxa"/>
          </w:tcPr>
          <w:p>
            <w:pPr>
              <w:pStyle w:val="GesAbsatz"/>
              <w:tabs>
                <w:tab w:val="left" w:pos="2268"/>
              </w:tabs>
              <w:jc w:val="center"/>
              <w:rPr>
                <w:rFonts w:cs="Arial"/>
              </w:rPr>
            </w:pPr>
            <w:r>
              <w:rPr>
                <w:rFonts w:cs="Arial"/>
              </w:rPr>
              <w:t>20</w:t>
            </w:r>
          </w:p>
        </w:tc>
        <w:tc>
          <w:tcPr>
            <w:tcW w:w="1988" w:type="dxa"/>
          </w:tcPr>
          <w:p>
            <w:pPr>
              <w:pStyle w:val="GesAbsatz"/>
              <w:tabs>
                <w:tab w:val="left" w:pos="2268"/>
              </w:tabs>
              <w:jc w:val="center"/>
              <w:rPr>
                <w:rFonts w:cs="Arial"/>
              </w:rPr>
            </w:pPr>
            <w:r>
              <w:rPr>
                <w:rFonts w:cs="Arial"/>
              </w:rPr>
              <w:t>31</w:t>
            </w:r>
          </w:p>
        </w:tc>
      </w:tr>
      <w:tr>
        <w:trPr>
          <w:trHeight w:val="335"/>
        </w:trPr>
        <w:tc>
          <w:tcPr>
            <w:tcW w:w="3393" w:type="dxa"/>
          </w:tcPr>
          <w:p>
            <w:pPr>
              <w:pStyle w:val="GesAbsatz"/>
              <w:tabs>
                <w:tab w:val="left" w:pos="2268"/>
              </w:tabs>
              <w:rPr>
                <w:rFonts w:cs="Arial"/>
              </w:rPr>
            </w:pPr>
            <w:r>
              <w:rPr>
                <w:rFonts w:cs="Arial"/>
              </w:rPr>
              <w:t>Quecksilber</w:t>
            </w:r>
          </w:p>
        </w:tc>
        <w:tc>
          <w:tcPr>
            <w:tcW w:w="1983" w:type="dxa"/>
          </w:tcPr>
          <w:p>
            <w:pPr>
              <w:pStyle w:val="GesAbsatz"/>
              <w:tabs>
                <w:tab w:val="left" w:pos="2268"/>
              </w:tabs>
              <w:jc w:val="center"/>
              <w:rPr>
                <w:rFonts w:cs="Arial"/>
              </w:rPr>
            </w:pPr>
            <w:r>
              <w:rPr>
                <w:rFonts w:cs="Arial"/>
              </w:rPr>
              <w:t>0,6</w:t>
            </w:r>
          </w:p>
        </w:tc>
        <w:tc>
          <w:tcPr>
            <w:tcW w:w="1983" w:type="dxa"/>
          </w:tcPr>
          <w:p>
            <w:pPr>
              <w:pStyle w:val="GesAbsatz"/>
              <w:tabs>
                <w:tab w:val="left" w:pos="2268"/>
              </w:tabs>
              <w:jc w:val="center"/>
              <w:rPr>
                <w:rFonts w:cs="Arial"/>
              </w:rPr>
            </w:pPr>
            <w:r>
              <w:rPr>
                <w:rFonts w:cs="Arial"/>
              </w:rPr>
              <w:t>0,1</w:t>
            </w:r>
          </w:p>
        </w:tc>
        <w:tc>
          <w:tcPr>
            <w:tcW w:w="1988" w:type="dxa"/>
          </w:tcPr>
          <w:p>
            <w:pPr>
              <w:pStyle w:val="GesAbsatz"/>
              <w:tabs>
                <w:tab w:val="left" w:pos="2268"/>
              </w:tabs>
              <w:jc w:val="center"/>
              <w:rPr>
                <w:rFonts w:cs="Arial"/>
              </w:rPr>
            </w:pPr>
            <w:r>
              <w:rPr>
                <w:rFonts w:cs="Arial"/>
              </w:rPr>
              <w:t>0,1</w:t>
            </w:r>
          </w:p>
        </w:tc>
      </w:tr>
      <w:tr>
        <w:trPr>
          <w:trHeight w:val="335"/>
        </w:trPr>
        <w:tc>
          <w:tcPr>
            <w:tcW w:w="3393" w:type="dxa"/>
          </w:tcPr>
          <w:p>
            <w:pPr>
              <w:pStyle w:val="GesAbsatz"/>
              <w:tabs>
                <w:tab w:val="left" w:pos="2268"/>
              </w:tabs>
              <w:rPr>
                <w:rFonts w:cs="Arial"/>
              </w:rPr>
            </w:pPr>
            <w:r>
              <w:rPr>
                <w:rFonts w:cs="Arial"/>
              </w:rPr>
              <w:t>Thallium</w:t>
            </w:r>
          </w:p>
        </w:tc>
        <w:tc>
          <w:tcPr>
            <w:tcW w:w="1983" w:type="dxa"/>
          </w:tcPr>
          <w:p>
            <w:pPr>
              <w:pStyle w:val="GesAbsatz"/>
              <w:tabs>
                <w:tab w:val="left" w:pos="2268"/>
              </w:tabs>
              <w:jc w:val="center"/>
              <w:rPr>
                <w:rFonts w:cs="Arial"/>
              </w:rPr>
            </w:pPr>
            <w:r>
              <w:rPr>
                <w:rFonts w:cs="Arial"/>
              </w:rPr>
              <w:t>1</w:t>
            </w:r>
          </w:p>
        </w:tc>
        <w:tc>
          <w:tcPr>
            <w:tcW w:w="1983" w:type="dxa"/>
          </w:tcPr>
          <w:p>
            <w:pPr>
              <w:pStyle w:val="GesAbsatz"/>
              <w:tabs>
                <w:tab w:val="left" w:pos="2268"/>
              </w:tabs>
              <w:jc w:val="center"/>
              <w:rPr>
                <w:rFonts w:cs="Arial"/>
              </w:rPr>
            </w:pPr>
            <w:r>
              <w:rPr>
                <w:rFonts w:cs="Arial"/>
              </w:rPr>
              <w:t>0,2</w:t>
            </w:r>
          </w:p>
        </w:tc>
        <w:tc>
          <w:tcPr>
            <w:tcW w:w="1988" w:type="dxa"/>
          </w:tcPr>
          <w:p>
            <w:pPr>
              <w:pStyle w:val="GesAbsatz"/>
              <w:tabs>
                <w:tab w:val="left" w:pos="2268"/>
              </w:tabs>
              <w:jc w:val="center"/>
              <w:rPr>
                <w:rFonts w:cs="Arial"/>
              </w:rPr>
            </w:pPr>
            <w:r>
              <w:rPr>
                <w:rFonts w:cs="Arial"/>
              </w:rPr>
              <w:t>0,3</w:t>
            </w:r>
          </w:p>
        </w:tc>
      </w:tr>
      <w:tr>
        <w:trPr>
          <w:trHeight w:val="335"/>
        </w:trPr>
        <w:tc>
          <w:tcPr>
            <w:tcW w:w="3393" w:type="dxa"/>
          </w:tcPr>
          <w:p>
            <w:pPr>
              <w:pStyle w:val="GesAbsatz"/>
              <w:tabs>
                <w:tab w:val="left" w:pos="2268"/>
              </w:tabs>
              <w:rPr>
                <w:rFonts w:cs="Arial"/>
              </w:rPr>
            </w:pPr>
            <w:r>
              <w:rPr>
                <w:rFonts w:cs="Arial"/>
              </w:rPr>
              <w:t>Zink</w:t>
            </w:r>
          </w:p>
        </w:tc>
        <w:tc>
          <w:tcPr>
            <w:tcW w:w="1983" w:type="dxa"/>
          </w:tcPr>
          <w:p>
            <w:pPr>
              <w:pStyle w:val="GesAbsatz"/>
              <w:tabs>
                <w:tab w:val="left" w:pos="2268"/>
              </w:tabs>
              <w:jc w:val="center"/>
              <w:rPr>
                <w:rFonts w:cs="Arial"/>
              </w:rPr>
            </w:pPr>
            <w:r>
              <w:rPr>
                <w:rFonts w:cs="Arial"/>
              </w:rPr>
              <w:t>300</w:t>
            </w:r>
          </w:p>
        </w:tc>
        <w:tc>
          <w:tcPr>
            <w:tcW w:w="1983" w:type="dxa"/>
          </w:tcPr>
          <w:p>
            <w:pPr>
              <w:pStyle w:val="GesAbsatz"/>
              <w:tabs>
                <w:tab w:val="left" w:pos="2268"/>
              </w:tabs>
              <w:jc w:val="center"/>
              <w:rPr>
                <w:rFonts w:cs="Arial"/>
              </w:rPr>
            </w:pPr>
            <w:r>
              <w:rPr>
                <w:rFonts w:cs="Arial"/>
              </w:rPr>
              <w:t>100</w:t>
            </w:r>
          </w:p>
        </w:tc>
        <w:tc>
          <w:tcPr>
            <w:tcW w:w="1988" w:type="dxa"/>
          </w:tcPr>
          <w:p>
            <w:pPr>
              <w:pStyle w:val="GesAbsatz"/>
              <w:tabs>
                <w:tab w:val="left" w:pos="2268"/>
              </w:tabs>
              <w:jc w:val="center"/>
              <w:rPr>
                <w:rFonts w:cs="Arial"/>
              </w:rPr>
            </w:pPr>
            <w:r>
              <w:rPr>
                <w:rFonts w:cs="Arial"/>
              </w:rPr>
              <w:t>210</w:t>
            </w:r>
          </w:p>
        </w:tc>
      </w:tr>
      <w:tr>
        <w:trPr>
          <w:trHeight w:val="335"/>
        </w:trPr>
        <w:tc>
          <w:tcPr>
            <w:tcW w:w="3393" w:type="dxa"/>
          </w:tcPr>
          <w:p>
            <w:pPr>
              <w:pStyle w:val="GesAbsatz"/>
              <w:tabs>
                <w:tab w:val="left" w:pos="2268"/>
              </w:tabs>
              <w:rPr>
                <w:rFonts w:cs="Arial"/>
              </w:rPr>
            </w:pPr>
            <w:r>
              <w:rPr>
                <w:rFonts w:cs="Arial"/>
              </w:rPr>
              <w:t>Sulfat1</w:t>
            </w:r>
          </w:p>
        </w:tc>
        <w:tc>
          <w:tcPr>
            <w:tcW w:w="1983" w:type="dxa"/>
          </w:tcPr>
          <w:p>
            <w:pPr>
              <w:pStyle w:val="GesAbsatz"/>
              <w:tabs>
                <w:tab w:val="left" w:pos="2268"/>
              </w:tabs>
              <w:jc w:val="center"/>
              <w:rPr>
                <w:rFonts w:cs="Arial"/>
              </w:rPr>
            </w:pPr>
          </w:p>
        </w:tc>
        <w:tc>
          <w:tcPr>
            <w:tcW w:w="1983" w:type="dxa"/>
          </w:tcPr>
          <w:p>
            <w:pPr>
              <w:pStyle w:val="GesAbsatz"/>
              <w:tabs>
                <w:tab w:val="left" w:pos="2268"/>
              </w:tabs>
              <w:jc w:val="center"/>
              <w:rPr>
                <w:rFonts w:cs="Arial"/>
              </w:rPr>
            </w:pPr>
            <w:r>
              <w:rPr>
                <w:rFonts w:cs="Arial"/>
              </w:rPr>
              <w:t>250 000</w:t>
            </w:r>
          </w:p>
        </w:tc>
        <w:tc>
          <w:tcPr>
            <w:tcW w:w="1988" w:type="dxa"/>
          </w:tcPr>
          <w:p>
            <w:pPr>
              <w:pStyle w:val="GesAbsatz"/>
              <w:tabs>
                <w:tab w:val="left" w:pos="2268"/>
              </w:tabs>
              <w:jc w:val="center"/>
              <w:rPr>
                <w:rFonts w:cs="Arial"/>
              </w:rPr>
            </w:pPr>
            <w:r>
              <w:rPr>
                <w:rFonts w:cs="Arial"/>
              </w:rPr>
              <w:t>250 000</w:t>
            </w:r>
          </w:p>
        </w:tc>
      </w:tr>
      <w:tr>
        <w:trPr>
          <w:trHeight w:val="335"/>
        </w:trPr>
        <w:tc>
          <w:tcPr>
            <w:tcW w:w="3393" w:type="dxa"/>
          </w:tcPr>
          <w:p>
            <w:pPr>
              <w:pStyle w:val="GesAbsatz"/>
              <w:tabs>
                <w:tab w:val="left" w:pos="2268"/>
              </w:tabs>
              <w:rPr>
                <w:rFonts w:cs="Arial"/>
              </w:rPr>
            </w:pPr>
            <w:r>
              <w:rPr>
                <w:rFonts w:cs="Arial"/>
              </w:rPr>
              <w:t>Organische Stoffe</w:t>
            </w:r>
          </w:p>
        </w:tc>
        <w:tc>
          <w:tcPr>
            <w:tcW w:w="1983" w:type="dxa"/>
          </w:tcPr>
          <w:p>
            <w:pPr>
              <w:pStyle w:val="GesAbsatz"/>
              <w:tabs>
                <w:tab w:val="left" w:pos="2268"/>
              </w:tabs>
              <w:jc w:val="center"/>
              <w:rPr>
                <w:rFonts w:cs="Arial"/>
              </w:rPr>
            </w:pPr>
          </w:p>
        </w:tc>
        <w:tc>
          <w:tcPr>
            <w:tcW w:w="1983" w:type="dxa"/>
          </w:tcPr>
          <w:p>
            <w:pPr>
              <w:pStyle w:val="GesAbsatz"/>
              <w:tabs>
                <w:tab w:val="left" w:pos="2268"/>
              </w:tabs>
              <w:jc w:val="center"/>
              <w:rPr>
                <w:rFonts w:cs="Arial"/>
              </w:rPr>
            </w:pPr>
          </w:p>
        </w:tc>
        <w:tc>
          <w:tcPr>
            <w:tcW w:w="1988" w:type="dxa"/>
          </w:tcPr>
          <w:p>
            <w:pPr>
              <w:pStyle w:val="GesAbsatz"/>
              <w:tabs>
                <w:tab w:val="left" w:pos="2268"/>
              </w:tabs>
              <w:jc w:val="center"/>
              <w:rPr>
                <w:rFonts w:cs="Arial"/>
              </w:rPr>
            </w:pPr>
          </w:p>
        </w:tc>
      </w:tr>
      <w:tr>
        <w:trPr>
          <w:trHeight w:val="335"/>
        </w:trPr>
        <w:tc>
          <w:tcPr>
            <w:tcW w:w="3393" w:type="dxa"/>
          </w:tcPr>
          <w:p>
            <w:pPr>
              <w:pStyle w:val="GesAbsatz"/>
              <w:tabs>
                <w:tab w:val="left" w:pos="2268"/>
              </w:tabs>
              <w:rPr>
                <w:rFonts w:cs="Arial"/>
              </w:rPr>
            </w:pPr>
            <w:r>
              <w:rPr>
                <w:rFonts w:cs="Arial"/>
              </w:rPr>
              <w:t>Summe aus PCB</w:t>
            </w:r>
            <w:r>
              <w:rPr>
                <w:rFonts w:cs="Arial"/>
                <w:vertAlign w:val="subscript"/>
              </w:rPr>
              <w:t>6</w:t>
            </w:r>
            <w:r>
              <w:rPr>
                <w:rFonts w:cs="Arial"/>
              </w:rPr>
              <w:t xml:space="preserve"> und PCB-118</w:t>
            </w:r>
          </w:p>
        </w:tc>
        <w:tc>
          <w:tcPr>
            <w:tcW w:w="1983" w:type="dxa"/>
          </w:tcPr>
          <w:p>
            <w:pPr>
              <w:pStyle w:val="GesAbsatz"/>
              <w:tabs>
                <w:tab w:val="left" w:pos="2268"/>
              </w:tabs>
              <w:jc w:val="center"/>
              <w:rPr>
                <w:rFonts w:cs="Arial"/>
              </w:rPr>
            </w:pPr>
            <w:r>
              <w:rPr>
                <w:rFonts w:cs="Arial"/>
              </w:rPr>
              <w:t>0,1</w:t>
            </w:r>
          </w:p>
        </w:tc>
        <w:tc>
          <w:tcPr>
            <w:tcW w:w="1983" w:type="dxa"/>
          </w:tcPr>
          <w:p>
            <w:pPr>
              <w:pStyle w:val="GesAbsatz"/>
              <w:tabs>
                <w:tab w:val="left" w:pos="2268"/>
              </w:tabs>
              <w:jc w:val="center"/>
              <w:rPr>
                <w:rFonts w:cs="Arial"/>
              </w:rPr>
            </w:pPr>
            <w:r>
              <w:rPr>
                <w:rFonts w:cs="Arial"/>
              </w:rPr>
              <w:t>0,01</w:t>
            </w:r>
          </w:p>
        </w:tc>
        <w:tc>
          <w:tcPr>
            <w:tcW w:w="1988" w:type="dxa"/>
          </w:tcPr>
          <w:p>
            <w:pPr>
              <w:pStyle w:val="GesAbsatz"/>
              <w:tabs>
                <w:tab w:val="left" w:pos="2268"/>
              </w:tabs>
              <w:jc w:val="center"/>
              <w:rPr>
                <w:rFonts w:cs="Arial"/>
              </w:rPr>
            </w:pPr>
            <w:r>
              <w:rPr>
                <w:rFonts w:cs="Arial"/>
              </w:rPr>
              <w:t>0,01</w:t>
            </w:r>
          </w:p>
        </w:tc>
      </w:tr>
      <w:tr>
        <w:trPr>
          <w:trHeight w:val="335"/>
        </w:trPr>
        <w:tc>
          <w:tcPr>
            <w:tcW w:w="3393" w:type="dxa"/>
          </w:tcPr>
          <w:p>
            <w:pPr>
              <w:pStyle w:val="GesAbsatz"/>
              <w:tabs>
                <w:tab w:val="left" w:pos="2268"/>
              </w:tabs>
              <w:rPr>
                <w:rFonts w:cs="Arial"/>
                <w:vertAlign w:val="subscript"/>
              </w:rPr>
            </w:pPr>
            <w:r>
              <w:rPr>
                <w:rFonts w:cs="Arial"/>
              </w:rPr>
              <w:t>PAK</w:t>
            </w:r>
            <w:r>
              <w:rPr>
                <w:rFonts w:cs="Arial"/>
                <w:vertAlign w:val="subscript"/>
              </w:rPr>
              <w:t>16</w:t>
            </w:r>
          </w:p>
        </w:tc>
        <w:tc>
          <w:tcPr>
            <w:tcW w:w="1983" w:type="dxa"/>
          </w:tcPr>
          <w:p>
            <w:pPr>
              <w:pStyle w:val="GesAbsatz"/>
              <w:tabs>
                <w:tab w:val="left" w:pos="2268"/>
              </w:tabs>
              <w:jc w:val="center"/>
              <w:rPr>
                <w:rFonts w:cs="Arial"/>
              </w:rPr>
            </w:pPr>
            <w:r>
              <w:rPr>
                <w:rFonts w:cs="Arial"/>
              </w:rPr>
              <w:t>6</w:t>
            </w:r>
          </w:p>
        </w:tc>
        <w:tc>
          <w:tcPr>
            <w:tcW w:w="1983" w:type="dxa"/>
          </w:tcPr>
          <w:p>
            <w:pPr>
              <w:pStyle w:val="GesAbsatz"/>
              <w:tabs>
                <w:tab w:val="left" w:pos="2268"/>
              </w:tabs>
              <w:jc w:val="center"/>
              <w:rPr>
                <w:rFonts w:cs="Arial"/>
              </w:rPr>
            </w:pPr>
          </w:p>
        </w:tc>
        <w:tc>
          <w:tcPr>
            <w:tcW w:w="1988" w:type="dxa"/>
          </w:tcPr>
          <w:p>
            <w:pPr>
              <w:pStyle w:val="GesAbsatz"/>
              <w:tabs>
                <w:tab w:val="left" w:pos="2268"/>
              </w:tabs>
              <w:jc w:val="center"/>
              <w:rPr>
                <w:rFonts w:cs="Arial"/>
              </w:rPr>
            </w:pPr>
          </w:p>
        </w:tc>
      </w:tr>
      <w:tr>
        <w:trPr>
          <w:trHeight w:val="335"/>
        </w:trPr>
        <w:tc>
          <w:tcPr>
            <w:tcW w:w="3393" w:type="dxa"/>
          </w:tcPr>
          <w:p>
            <w:pPr>
              <w:pStyle w:val="GesAbsatz"/>
              <w:tabs>
                <w:tab w:val="left" w:pos="2268"/>
              </w:tabs>
              <w:rPr>
                <w:rFonts w:cs="Arial"/>
              </w:rPr>
            </w:pPr>
            <w:r>
              <w:rPr>
                <w:rFonts w:cs="Arial"/>
              </w:rPr>
              <w:t>PAK</w:t>
            </w:r>
            <w:r>
              <w:rPr>
                <w:rFonts w:cs="Arial"/>
                <w:vertAlign w:val="subscript"/>
              </w:rPr>
              <w:t>15</w:t>
            </w:r>
            <w:r>
              <w:rPr>
                <w:rFonts w:cs="Arial"/>
                <w:vertAlign w:val="superscript"/>
              </w:rPr>
              <w:t>2</w:t>
            </w:r>
          </w:p>
        </w:tc>
        <w:tc>
          <w:tcPr>
            <w:tcW w:w="1983" w:type="dxa"/>
          </w:tcPr>
          <w:p>
            <w:pPr>
              <w:pStyle w:val="GesAbsatz"/>
              <w:tabs>
                <w:tab w:val="left" w:pos="2268"/>
              </w:tabs>
              <w:jc w:val="center"/>
              <w:rPr>
                <w:rFonts w:cs="Arial"/>
              </w:rPr>
            </w:pPr>
          </w:p>
        </w:tc>
        <w:tc>
          <w:tcPr>
            <w:tcW w:w="1983" w:type="dxa"/>
          </w:tcPr>
          <w:p>
            <w:pPr>
              <w:pStyle w:val="GesAbsatz"/>
              <w:tabs>
                <w:tab w:val="left" w:pos="2268"/>
              </w:tabs>
              <w:jc w:val="center"/>
              <w:rPr>
                <w:rFonts w:cs="Arial"/>
              </w:rPr>
            </w:pPr>
            <w:r>
              <w:rPr>
                <w:rFonts w:cs="Arial"/>
              </w:rPr>
              <w:t>0,2</w:t>
            </w:r>
            <w:r>
              <w:rPr>
                <w:rFonts w:cs="Arial"/>
                <w:vertAlign w:val="superscript"/>
              </w:rPr>
              <w:t>3</w:t>
            </w:r>
          </w:p>
        </w:tc>
        <w:tc>
          <w:tcPr>
            <w:tcW w:w="1988" w:type="dxa"/>
          </w:tcPr>
          <w:p>
            <w:pPr>
              <w:pStyle w:val="GesAbsatz"/>
              <w:tabs>
                <w:tab w:val="left" w:pos="2268"/>
              </w:tabs>
              <w:jc w:val="center"/>
              <w:rPr>
                <w:rFonts w:cs="Arial"/>
              </w:rPr>
            </w:pPr>
            <w:r>
              <w:rPr>
                <w:rFonts w:cs="Arial"/>
              </w:rPr>
              <w:t>0,2</w:t>
            </w:r>
            <w:r>
              <w:rPr>
                <w:rFonts w:cs="Arial"/>
                <w:vertAlign w:val="superscript"/>
              </w:rPr>
              <w:t>3</w:t>
            </w:r>
          </w:p>
        </w:tc>
      </w:tr>
      <w:tr>
        <w:trPr>
          <w:trHeight w:val="335"/>
        </w:trPr>
        <w:tc>
          <w:tcPr>
            <w:tcW w:w="3393" w:type="dxa"/>
          </w:tcPr>
          <w:p>
            <w:pPr>
              <w:pStyle w:val="GesAbsatz"/>
              <w:tabs>
                <w:tab w:val="left" w:pos="2268"/>
              </w:tabs>
              <w:rPr>
                <w:rFonts w:cs="Arial"/>
              </w:rPr>
            </w:pPr>
            <w:r>
              <w:rPr>
                <w:rFonts w:cs="Arial"/>
              </w:rPr>
              <w:t>Naphthalin und Methylnaphthaline</w:t>
            </w:r>
          </w:p>
        </w:tc>
        <w:tc>
          <w:tcPr>
            <w:tcW w:w="1983" w:type="dxa"/>
          </w:tcPr>
          <w:p>
            <w:pPr>
              <w:pStyle w:val="GesAbsatz"/>
              <w:tabs>
                <w:tab w:val="left" w:pos="2268"/>
              </w:tabs>
              <w:jc w:val="center"/>
              <w:rPr>
                <w:rFonts w:cs="Arial"/>
              </w:rPr>
            </w:pPr>
          </w:p>
        </w:tc>
        <w:tc>
          <w:tcPr>
            <w:tcW w:w="1983" w:type="dxa"/>
          </w:tcPr>
          <w:p>
            <w:pPr>
              <w:pStyle w:val="GesAbsatz"/>
              <w:tabs>
                <w:tab w:val="left" w:pos="2268"/>
              </w:tabs>
              <w:jc w:val="center"/>
              <w:rPr>
                <w:rFonts w:cs="Arial"/>
              </w:rPr>
            </w:pPr>
            <w:r>
              <w:rPr>
                <w:rFonts w:cs="Arial"/>
              </w:rPr>
              <w:t>2</w:t>
            </w:r>
            <w:r>
              <w:rPr>
                <w:rFonts w:cs="Arial"/>
                <w:vertAlign w:val="superscript"/>
              </w:rPr>
              <w:t>3</w:t>
            </w:r>
          </w:p>
        </w:tc>
        <w:tc>
          <w:tcPr>
            <w:tcW w:w="1988" w:type="dxa"/>
          </w:tcPr>
          <w:p>
            <w:pPr>
              <w:pStyle w:val="GesAbsatz"/>
              <w:tabs>
                <w:tab w:val="left" w:pos="2268"/>
              </w:tabs>
              <w:jc w:val="center"/>
              <w:rPr>
                <w:rFonts w:cs="Arial"/>
              </w:rPr>
            </w:pPr>
            <w:r>
              <w:rPr>
                <w:rFonts w:cs="Arial"/>
              </w:rPr>
              <w:t>2</w:t>
            </w:r>
            <w:r>
              <w:rPr>
                <w:rFonts w:cs="Arial"/>
                <w:vertAlign w:val="superscript"/>
              </w:rPr>
              <w:t>3</w:t>
            </w:r>
          </w:p>
        </w:tc>
      </w:tr>
      <w:tr>
        <w:trPr>
          <w:trHeight w:val="535"/>
        </w:trPr>
        <w:tc>
          <w:tcPr>
            <w:tcW w:w="3393" w:type="dxa"/>
          </w:tcPr>
          <w:p>
            <w:pPr>
              <w:pStyle w:val="GesAbsatz"/>
              <w:tabs>
                <w:tab w:val="left" w:pos="2268"/>
              </w:tabs>
              <w:jc w:val="left"/>
              <w:rPr>
                <w:rFonts w:cs="Arial"/>
              </w:rPr>
            </w:pPr>
            <w:r>
              <w:rPr>
                <w:rFonts w:cs="Arial"/>
              </w:rPr>
              <w:t>Extrahierbare organisch gebundene Halogene (EOX)</w:t>
            </w:r>
            <w:r>
              <w:rPr>
                <w:rFonts w:cs="Arial"/>
                <w:vertAlign w:val="superscript"/>
              </w:rPr>
              <w:t>4</w:t>
            </w:r>
          </w:p>
        </w:tc>
        <w:tc>
          <w:tcPr>
            <w:tcW w:w="1983" w:type="dxa"/>
          </w:tcPr>
          <w:p>
            <w:pPr>
              <w:pStyle w:val="GesAbsatz"/>
              <w:tabs>
                <w:tab w:val="left" w:pos="2268"/>
              </w:tabs>
              <w:jc w:val="center"/>
              <w:rPr>
                <w:rFonts w:cs="Arial"/>
              </w:rPr>
            </w:pPr>
            <w:r>
              <w:rPr>
                <w:rFonts w:cs="Arial"/>
              </w:rPr>
              <w:t>1</w:t>
            </w:r>
          </w:p>
        </w:tc>
        <w:tc>
          <w:tcPr>
            <w:tcW w:w="1983" w:type="dxa"/>
          </w:tcPr>
          <w:p>
            <w:pPr>
              <w:pStyle w:val="GesAbsatz"/>
              <w:tabs>
                <w:tab w:val="left" w:pos="2268"/>
              </w:tabs>
              <w:jc w:val="center"/>
              <w:rPr>
                <w:rFonts w:cs="Arial"/>
              </w:rPr>
            </w:pPr>
          </w:p>
        </w:tc>
        <w:tc>
          <w:tcPr>
            <w:tcW w:w="1988" w:type="dxa"/>
          </w:tcPr>
          <w:p>
            <w:pPr>
              <w:pStyle w:val="GesAbsatz"/>
              <w:tabs>
                <w:tab w:val="left" w:pos="2268"/>
              </w:tabs>
              <w:jc w:val="center"/>
              <w:rPr>
                <w:rFonts w:cs="Arial"/>
              </w:rPr>
            </w:pPr>
          </w:p>
        </w:tc>
      </w:tr>
    </w:tbl>
    <w:p>
      <w:pPr>
        <w:pStyle w:val="GesAbsatz"/>
        <w:tabs>
          <w:tab w:val="left" w:pos="2268"/>
        </w:tabs>
        <w:ind w:left="426" w:hanging="426"/>
        <w:rPr>
          <w:rFonts w:cs="Arial"/>
          <w:sz w:val="18"/>
          <w:szCs w:val="18"/>
        </w:rPr>
      </w:pPr>
      <w:r>
        <w:rPr>
          <w:rFonts w:cs="Arial"/>
          <w:sz w:val="18"/>
          <w:szCs w:val="18"/>
        </w:rPr>
        <w:t>1</w:t>
      </w:r>
      <w:r>
        <w:rPr>
          <w:rFonts w:cs="Arial"/>
          <w:sz w:val="18"/>
          <w:szCs w:val="18"/>
        </w:rPr>
        <w:tab/>
        <w:t>Bei Überschreitung des Wertes ist die Ursache zu prüfen. Handelt es sich um naturbedingt erhöhte Sulfatkonzentrationen, ist eine Verwertung innerhalb der betroffenen Gebiete möglich. Außerhalb dieser Gebiete ist über die Verwertungseignung im Einzelfall und in Abstimmung mit der zuständigen Behörde zu entscheiden.</w:t>
      </w:r>
    </w:p>
    <w:p>
      <w:pPr>
        <w:pStyle w:val="GesAbsatz"/>
        <w:tabs>
          <w:tab w:val="left" w:pos="2268"/>
        </w:tabs>
        <w:ind w:left="426" w:hanging="426"/>
        <w:rPr>
          <w:rFonts w:cs="Arial"/>
          <w:sz w:val="18"/>
          <w:szCs w:val="18"/>
        </w:rPr>
      </w:pPr>
      <w:r>
        <w:rPr>
          <w:rFonts w:cs="Arial"/>
          <w:sz w:val="18"/>
          <w:szCs w:val="18"/>
        </w:rPr>
        <w:t>2</w:t>
      </w:r>
      <w:r>
        <w:rPr>
          <w:rFonts w:cs="Arial"/>
          <w:sz w:val="18"/>
          <w:szCs w:val="18"/>
        </w:rPr>
        <w:tab/>
        <w:t>PAK</w:t>
      </w:r>
      <w:r>
        <w:rPr>
          <w:rFonts w:cs="Arial"/>
          <w:sz w:val="18"/>
          <w:szCs w:val="18"/>
          <w:vertAlign w:val="subscript"/>
        </w:rPr>
        <w:t>15</w:t>
      </w:r>
      <w:r>
        <w:rPr>
          <w:rFonts w:cs="Arial"/>
          <w:sz w:val="18"/>
          <w:szCs w:val="18"/>
        </w:rPr>
        <w:t>: PAK</w:t>
      </w:r>
      <w:r>
        <w:rPr>
          <w:rFonts w:cs="Arial"/>
          <w:sz w:val="18"/>
          <w:szCs w:val="18"/>
          <w:vertAlign w:val="subscript"/>
        </w:rPr>
        <w:t>16</w:t>
      </w:r>
      <w:r>
        <w:rPr>
          <w:rFonts w:cs="Arial"/>
          <w:sz w:val="18"/>
          <w:szCs w:val="18"/>
        </w:rPr>
        <w:t xml:space="preserve"> ohne Naphthalin und Methylnaphthaline.</w:t>
      </w:r>
    </w:p>
    <w:p>
      <w:pPr>
        <w:pStyle w:val="GesAbsatz"/>
        <w:tabs>
          <w:tab w:val="left" w:pos="2268"/>
        </w:tabs>
        <w:ind w:left="426" w:hanging="426"/>
        <w:rPr>
          <w:rFonts w:cs="Arial"/>
          <w:sz w:val="18"/>
          <w:szCs w:val="18"/>
        </w:rPr>
      </w:pPr>
      <w:r>
        <w:rPr>
          <w:rFonts w:cs="Arial"/>
          <w:sz w:val="18"/>
          <w:szCs w:val="18"/>
        </w:rPr>
        <w:t>3</w:t>
      </w:r>
      <w:r>
        <w:rPr>
          <w:rFonts w:cs="Arial"/>
          <w:sz w:val="18"/>
          <w:szCs w:val="18"/>
        </w:rPr>
        <w:tab/>
        <w:t>Eluatwert ist maßgeblich, wenn der Vorsorgewert von PAK</w:t>
      </w:r>
      <w:r>
        <w:rPr>
          <w:rFonts w:cs="Arial"/>
          <w:sz w:val="18"/>
          <w:szCs w:val="18"/>
          <w:vertAlign w:val="subscript"/>
        </w:rPr>
        <w:t>16</w:t>
      </w:r>
      <w:r>
        <w:rPr>
          <w:rFonts w:cs="Arial"/>
          <w:sz w:val="18"/>
          <w:szCs w:val="18"/>
        </w:rPr>
        <w:t xml:space="preserve"> nach Anlage 1 Tabelle 2 überschritten wird.</w:t>
      </w:r>
    </w:p>
    <w:p>
      <w:pPr>
        <w:pStyle w:val="GesAbsatz"/>
        <w:tabs>
          <w:tab w:val="left" w:pos="2268"/>
        </w:tabs>
        <w:ind w:left="426" w:hanging="426"/>
        <w:rPr>
          <w:rFonts w:cs="Arial"/>
          <w:sz w:val="18"/>
          <w:szCs w:val="18"/>
        </w:rPr>
      </w:pPr>
      <w:r>
        <w:rPr>
          <w:rFonts w:cs="Arial"/>
          <w:sz w:val="18"/>
          <w:szCs w:val="18"/>
        </w:rPr>
        <w:t>4</w:t>
      </w:r>
      <w:r>
        <w:rPr>
          <w:rFonts w:cs="Arial"/>
          <w:sz w:val="18"/>
          <w:szCs w:val="18"/>
        </w:rPr>
        <w:tab/>
        <w:t>Bei Überschreitung des Wertes sind die Materialien auf fallspezifische Belastungen hin zu untersuchen.</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5: Werte für zusätzlich zu untersuchende Stoffe beim Auf- oder Einbringen von Materialien mit mehr als 10 % Volumenprozent mineralischer Fremdbestandteile unterhalb oder außerhalb einer durchwurzelbaren Bodenschicht</w:t>
      </w:r>
    </w:p>
    <w:p>
      <w:pPr>
        <w:tabs>
          <w:tab w:val="clear" w:pos="425"/>
        </w:tabs>
        <w:kinsoku w:val="0"/>
        <w:spacing w:before="3" w:after="0"/>
        <w:jc w:val="left"/>
        <w:textAlignment w:val="auto"/>
        <w:rPr>
          <w:rFonts w:ascii="Times New Roman" w:hAnsi="Times New Roman"/>
          <w:sz w:val="5"/>
          <w:szCs w:val="5"/>
        </w:rPr>
      </w:pP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393"/>
        <w:gridCol w:w="1983"/>
        <w:gridCol w:w="1983"/>
        <w:gridCol w:w="1988"/>
      </w:tblGrid>
      <w:tr>
        <w:trPr>
          <w:trHeight w:val="332"/>
        </w:trPr>
        <w:tc>
          <w:tcPr>
            <w:tcW w:w="3393" w:type="dxa"/>
          </w:tcPr>
          <w:p>
            <w:pPr>
              <w:pStyle w:val="GesAbsatz"/>
              <w:jc w:val="center"/>
              <w:rPr>
                <w:w w:val="105"/>
              </w:rPr>
            </w:pPr>
            <w:r>
              <w:rPr>
                <w:w w:val="105"/>
              </w:rPr>
              <w:t>Stoff</w:t>
            </w:r>
          </w:p>
        </w:tc>
        <w:tc>
          <w:tcPr>
            <w:tcW w:w="1983" w:type="dxa"/>
          </w:tcPr>
          <w:p>
            <w:pPr>
              <w:pStyle w:val="GesAbsatz"/>
              <w:jc w:val="center"/>
            </w:pPr>
            <w:r>
              <w:t>Feststoffwert</w:t>
            </w:r>
          </w:p>
        </w:tc>
        <w:tc>
          <w:tcPr>
            <w:tcW w:w="3971" w:type="dxa"/>
            <w:gridSpan w:val="2"/>
          </w:tcPr>
          <w:p>
            <w:pPr>
              <w:pStyle w:val="GesAbsatz"/>
              <w:jc w:val="center"/>
            </w:pPr>
            <w:r>
              <w:t>Eluatwert</w:t>
            </w:r>
          </w:p>
        </w:tc>
      </w:tr>
      <w:tr>
        <w:trPr>
          <w:trHeight w:val="511"/>
        </w:trPr>
        <w:tc>
          <w:tcPr>
            <w:tcW w:w="3393" w:type="dxa"/>
          </w:tcPr>
          <w:p>
            <w:pPr>
              <w:pStyle w:val="GesAbsatz"/>
            </w:pPr>
          </w:p>
        </w:tc>
        <w:tc>
          <w:tcPr>
            <w:tcW w:w="1983" w:type="dxa"/>
          </w:tcPr>
          <w:p>
            <w:pPr>
              <w:pStyle w:val="GesAbsatz"/>
              <w:rPr>
                <w:rFonts w:ascii="Times New Roman" w:hAnsi="Times New Roman"/>
              </w:rPr>
            </w:pPr>
          </w:p>
        </w:tc>
        <w:tc>
          <w:tcPr>
            <w:tcW w:w="1983" w:type="dxa"/>
          </w:tcPr>
          <w:p>
            <w:pPr>
              <w:pStyle w:val="GesAbsatz"/>
              <w:jc w:val="center"/>
            </w:pPr>
            <w:r>
              <w:t>bei TOC-Gehalt</w:t>
            </w:r>
            <w:r>
              <w:br/>
              <w:t>&lt; 0,5 %</w:t>
            </w:r>
          </w:p>
        </w:tc>
        <w:tc>
          <w:tcPr>
            <w:tcW w:w="1988" w:type="dxa"/>
          </w:tcPr>
          <w:p>
            <w:pPr>
              <w:pStyle w:val="GesAbsatz"/>
              <w:jc w:val="center"/>
              <w:rPr>
                <w:w w:val="105"/>
              </w:rPr>
            </w:pPr>
            <w:r>
              <w:t>bei TOC-Gehalt</w:t>
            </w:r>
            <w:r>
              <w:br/>
            </w:r>
            <w:r>
              <w:rPr>
                <w:w w:val="105"/>
              </w:rPr>
              <w:t>≥ 0,5 %</w:t>
            </w:r>
          </w:p>
        </w:tc>
      </w:tr>
      <w:tr>
        <w:trPr>
          <w:trHeight w:val="332"/>
        </w:trPr>
        <w:tc>
          <w:tcPr>
            <w:tcW w:w="3393" w:type="dxa"/>
          </w:tcPr>
          <w:p>
            <w:pPr>
              <w:pStyle w:val="GesAbsatz"/>
            </w:pPr>
          </w:p>
        </w:tc>
        <w:tc>
          <w:tcPr>
            <w:tcW w:w="1983" w:type="dxa"/>
          </w:tcPr>
          <w:p>
            <w:pPr>
              <w:pStyle w:val="GesAbsatz"/>
              <w:jc w:val="center"/>
              <w:rPr>
                <w:sz w:val="18"/>
                <w:szCs w:val="18"/>
              </w:rPr>
            </w:pPr>
            <w:r>
              <w:rPr>
                <w:sz w:val="18"/>
                <w:szCs w:val="18"/>
              </w:rPr>
              <w:t>[mg/kg TM]</w:t>
            </w:r>
          </w:p>
        </w:tc>
        <w:tc>
          <w:tcPr>
            <w:tcW w:w="3971" w:type="dxa"/>
            <w:gridSpan w:val="2"/>
          </w:tcPr>
          <w:p>
            <w:pPr>
              <w:pStyle w:val="GesAbsatz"/>
              <w:jc w:val="center"/>
              <w:rPr>
                <w:sz w:val="18"/>
                <w:szCs w:val="18"/>
              </w:rPr>
            </w:pPr>
            <w:r>
              <w:rPr>
                <w:sz w:val="18"/>
                <w:szCs w:val="18"/>
              </w:rPr>
              <w:t>[µg/l]</w:t>
            </w:r>
          </w:p>
        </w:tc>
      </w:tr>
      <w:tr>
        <w:trPr>
          <w:trHeight w:val="312"/>
        </w:trPr>
        <w:tc>
          <w:tcPr>
            <w:tcW w:w="3393" w:type="dxa"/>
          </w:tcPr>
          <w:p>
            <w:pPr>
              <w:pStyle w:val="GesAbsatz"/>
            </w:pPr>
            <w:r>
              <w:t>Antimon</w:t>
            </w:r>
          </w:p>
        </w:tc>
        <w:tc>
          <w:tcPr>
            <w:tcW w:w="1983" w:type="dxa"/>
          </w:tcPr>
          <w:p>
            <w:pPr>
              <w:pStyle w:val="GesAbsatz"/>
              <w:jc w:val="center"/>
            </w:pPr>
            <w:r>
              <w:t>4</w:t>
            </w:r>
          </w:p>
        </w:tc>
        <w:tc>
          <w:tcPr>
            <w:tcW w:w="1983" w:type="dxa"/>
          </w:tcPr>
          <w:p>
            <w:pPr>
              <w:pStyle w:val="GesAbsatz"/>
              <w:jc w:val="center"/>
            </w:pPr>
            <w:r>
              <w:t>5</w:t>
            </w:r>
          </w:p>
        </w:tc>
        <w:tc>
          <w:tcPr>
            <w:tcW w:w="1988" w:type="dxa"/>
          </w:tcPr>
          <w:p>
            <w:pPr>
              <w:pStyle w:val="GesAbsatz"/>
              <w:jc w:val="center"/>
            </w:pPr>
            <w:r>
              <w:t>5</w:t>
            </w:r>
          </w:p>
        </w:tc>
      </w:tr>
      <w:tr>
        <w:trPr>
          <w:trHeight w:val="312"/>
        </w:trPr>
        <w:tc>
          <w:tcPr>
            <w:tcW w:w="3393" w:type="dxa"/>
          </w:tcPr>
          <w:p>
            <w:pPr>
              <w:pStyle w:val="GesAbsatz"/>
            </w:pPr>
            <w:r>
              <w:t>Kobalt</w:t>
            </w:r>
          </w:p>
        </w:tc>
        <w:tc>
          <w:tcPr>
            <w:tcW w:w="1983" w:type="dxa"/>
          </w:tcPr>
          <w:p>
            <w:pPr>
              <w:pStyle w:val="GesAbsatz"/>
              <w:jc w:val="center"/>
            </w:pPr>
            <w:r>
              <w:t>50</w:t>
            </w:r>
          </w:p>
        </w:tc>
        <w:tc>
          <w:tcPr>
            <w:tcW w:w="1983" w:type="dxa"/>
          </w:tcPr>
          <w:p>
            <w:pPr>
              <w:pStyle w:val="GesAbsatz"/>
              <w:jc w:val="center"/>
            </w:pPr>
            <w:r>
              <w:t>26</w:t>
            </w:r>
          </w:p>
        </w:tc>
        <w:tc>
          <w:tcPr>
            <w:tcW w:w="1988" w:type="dxa"/>
          </w:tcPr>
          <w:p>
            <w:pPr>
              <w:pStyle w:val="GesAbsatz"/>
              <w:jc w:val="center"/>
            </w:pPr>
            <w:r>
              <w:t>62</w:t>
            </w:r>
          </w:p>
        </w:tc>
      </w:tr>
      <w:tr>
        <w:trPr>
          <w:trHeight w:val="312"/>
        </w:trPr>
        <w:tc>
          <w:tcPr>
            <w:tcW w:w="3393" w:type="dxa"/>
          </w:tcPr>
          <w:p>
            <w:pPr>
              <w:pStyle w:val="GesAbsatz"/>
            </w:pPr>
            <w:r>
              <w:t>Molybdän</w:t>
            </w:r>
          </w:p>
        </w:tc>
        <w:tc>
          <w:tcPr>
            <w:tcW w:w="1983" w:type="dxa"/>
          </w:tcPr>
          <w:p>
            <w:pPr>
              <w:pStyle w:val="GesAbsatz"/>
              <w:jc w:val="center"/>
            </w:pPr>
            <w:r>
              <w:t>4</w:t>
            </w:r>
          </w:p>
        </w:tc>
        <w:tc>
          <w:tcPr>
            <w:tcW w:w="1983" w:type="dxa"/>
          </w:tcPr>
          <w:p>
            <w:pPr>
              <w:pStyle w:val="GesAbsatz"/>
              <w:jc w:val="center"/>
            </w:pPr>
            <w:r>
              <w:t>35</w:t>
            </w:r>
          </w:p>
        </w:tc>
        <w:tc>
          <w:tcPr>
            <w:tcW w:w="1988" w:type="dxa"/>
          </w:tcPr>
          <w:p>
            <w:pPr>
              <w:pStyle w:val="GesAbsatz"/>
              <w:jc w:val="center"/>
            </w:pPr>
            <w:r>
              <w:t>35</w:t>
            </w:r>
          </w:p>
        </w:tc>
      </w:tr>
      <w:tr>
        <w:trPr>
          <w:trHeight w:val="312"/>
        </w:trPr>
        <w:tc>
          <w:tcPr>
            <w:tcW w:w="3393" w:type="dxa"/>
          </w:tcPr>
          <w:p>
            <w:pPr>
              <w:pStyle w:val="GesAbsatz"/>
            </w:pPr>
            <w:r>
              <w:lastRenderedPageBreak/>
              <w:t>Selen</w:t>
            </w:r>
          </w:p>
        </w:tc>
        <w:tc>
          <w:tcPr>
            <w:tcW w:w="1983" w:type="dxa"/>
          </w:tcPr>
          <w:p>
            <w:pPr>
              <w:pStyle w:val="GesAbsatz"/>
              <w:jc w:val="center"/>
            </w:pPr>
            <w:r>
              <w:t>3</w:t>
            </w:r>
          </w:p>
        </w:tc>
        <w:tc>
          <w:tcPr>
            <w:tcW w:w="1983" w:type="dxa"/>
          </w:tcPr>
          <w:p>
            <w:pPr>
              <w:pStyle w:val="GesAbsatz"/>
              <w:jc w:val="center"/>
            </w:pPr>
            <w:r>
              <w:t>5</w:t>
            </w:r>
          </w:p>
        </w:tc>
        <w:tc>
          <w:tcPr>
            <w:tcW w:w="1988" w:type="dxa"/>
          </w:tcPr>
          <w:p>
            <w:pPr>
              <w:pStyle w:val="GesAbsatz"/>
              <w:jc w:val="center"/>
            </w:pPr>
            <w:r>
              <w:t>5</w:t>
            </w:r>
          </w:p>
        </w:tc>
      </w:tr>
      <w:tr>
        <w:trPr>
          <w:trHeight w:val="312"/>
        </w:trPr>
        <w:tc>
          <w:tcPr>
            <w:tcW w:w="3393" w:type="dxa"/>
          </w:tcPr>
          <w:p>
            <w:pPr>
              <w:pStyle w:val="GesAbsatz"/>
            </w:pPr>
            <w:r>
              <w:t>Vanadium</w:t>
            </w:r>
          </w:p>
        </w:tc>
        <w:tc>
          <w:tcPr>
            <w:tcW w:w="1983" w:type="dxa"/>
          </w:tcPr>
          <w:p>
            <w:pPr>
              <w:pStyle w:val="GesAbsatz"/>
              <w:jc w:val="center"/>
            </w:pPr>
            <w:r>
              <w:t>200</w:t>
            </w:r>
          </w:p>
        </w:tc>
        <w:tc>
          <w:tcPr>
            <w:tcW w:w="1983" w:type="dxa"/>
          </w:tcPr>
          <w:p>
            <w:pPr>
              <w:pStyle w:val="GesAbsatz"/>
              <w:jc w:val="center"/>
            </w:pPr>
            <w:r>
              <w:t>20</w:t>
            </w:r>
          </w:p>
        </w:tc>
        <w:tc>
          <w:tcPr>
            <w:tcW w:w="1988" w:type="dxa"/>
          </w:tcPr>
          <w:p>
            <w:pPr>
              <w:pStyle w:val="GesAbsatz"/>
              <w:jc w:val="center"/>
            </w:pPr>
            <w:r>
              <w:t>35</w:t>
            </w:r>
          </w:p>
        </w:tc>
      </w:tr>
    </w:tbl>
    <w:p>
      <w:pPr>
        <w:pStyle w:val="GesAbsatz"/>
        <w:tabs>
          <w:tab w:val="clear" w:pos="425"/>
          <w:tab w:val="left" w:pos="2268"/>
        </w:tabs>
        <w:rPr>
          <w:rFonts w:cs="Arial"/>
        </w:rPr>
      </w:pPr>
    </w:p>
    <w:p>
      <w:pPr>
        <w:pStyle w:val="GesAbsatz"/>
        <w:tabs>
          <w:tab w:val="clear" w:pos="425"/>
          <w:tab w:val="left" w:pos="2268"/>
        </w:tabs>
        <w:rPr>
          <w:rFonts w:cs="Arial"/>
        </w:rPr>
      </w:pPr>
    </w:p>
    <w:p>
      <w:pPr>
        <w:pStyle w:val="berschrift2"/>
        <w:jc w:val="left"/>
      </w:pPr>
      <w:bookmarkStart w:id="38" w:name="_Toc128479855"/>
      <w:r>
        <w:t>Anlage 2</w:t>
      </w:r>
      <w:bookmarkEnd w:id="38"/>
      <w:r>
        <w:t xml:space="preserve"> </w:t>
      </w:r>
    </w:p>
    <w:p>
      <w:pPr>
        <w:pStyle w:val="GesAbsatz"/>
        <w:tabs>
          <w:tab w:val="clear" w:pos="425"/>
          <w:tab w:val="left" w:pos="2268"/>
        </w:tabs>
        <w:rPr>
          <w:rFonts w:cs="Arial"/>
        </w:rPr>
      </w:pPr>
      <w:r>
        <w:rPr>
          <w:rFonts w:cs="Arial"/>
        </w:rPr>
        <w:t>(zu § 10 Absatz 4, § 12 Absatz 3, § 15 Absatz 1 Satz 1 und Absatz 2, § 24 Absatz 4 Nummer 3, 4 und 5, Absatz 5 und 6 Nummer 1 und 2, Absatz 7 Nummer 2 und 3, Absatz 9 Nummer 2 und Absatz 10 Nummer 2)</w:t>
      </w:r>
    </w:p>
    <w:p>
      <w:pPr>
        <w:pStyle w:val="GesAbsatz"/>
        <w:tabs>
          <w:tab w:val="clear" w:pos="425"/>
          <w:tab w:val="left" w:pos="2268"/>
        </w:tabs>
        <w:rPr>
          <w:rFonts w:cs="Arial"/>
        </w:rPr>
      </w:pPr>
    </w:p>
    <w:p>
      <w:pPr>
        <w:pStyle w:val="GesAbsatz"/>
        <w:tabs>
          <w:tab w:val="clear" w:pos="425"/>
          <w:tab w:val="left" w:pos="2268"/>
        </w:tabs>
        <w:jc w:val="center"/>
        <w:rPr>
          <w:rFonts w:cs="Arial"/>
          <w:b/>
        </w:rPr>
      </w:pPr>
      <w:r>
        <w:rPr>
          <w:rFonts w:cs="Arial"/>
          <w:b/>
        </w:rPr>
        <w:t>Prüf- und Maßnahmenwert</w:t>
      </w:r>
    </w:p>
    <w:p>
      <w:pPr>
        <w:pStyle w:val="GesAbsatz"/>
        <w:tabs>
          <w:tab w:val="clear" w:pos="425"/>
          <w:tab w:val="left" w:pos="2268"/>
        </w:tabs>
        <w:rPr>
          <w:rFonts w:cs="Arial"/>
        </w:rPr>
      </w:pPr>
      <w:r>
        <w:rPr>
          <w:rFonts w:cs="Arial"/>
        </w:rPr>
        <w:t>Tabelle 1: Prüfwerte für anorganische Stoffe für den Wirkungspfad Boden-Grundwasser am Ort der Probennahme</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679"/>
        <w:gridCol w:w="2832"/>
        <w:gridCol w:w="2837"/>
      </w:tblGrid>
      <w:tr>
        <w:trPr>
          <w:trHeight w:val="511"/>
        </w:trPr>
        <w:tc>
          <w:tcPr>
            <w:tcW w:w="3679" w:type="dxa"/>
          </w:tcPr>
          <w:p>
            <w:pPr>
              <w:pStyle w:val="GesAbsatz"/>
              <w:tabs>
                <w:tab w:val="left" w:pos="2268"/>
              </w:tabs>
              <w:jc w:val="center"/>
              <w:rPr>
                <w:rFonts w:cs="Arial"/>
              </w:rPr>
            </w:pPr>
            <w:r>
              <w:rPr>
                <w:rFonts w:cs="Arial"/>
              </w:rPr>
              <w:t>Stoff</w:t>
            </w:r>
          </w:p>
        </w:tc>
        <w:tc>
          <w:tcPr>
            <w:tcW w:w="2832" w:type="dxa"/>
          </w:tcPr>
          <w:p>
            <w:pPr>
              <w:pStyle w:val="GesAbsatz"/>
              <w:tabs>
                <w:tab w:val="left" w:pos="2268"/>
              </w:tabs>
              <w:jc w:val="center"/>
              <w:rPr>
                <w:rFonts w:cs="Arial"/>
              </w:rPr>
            </w:pPr>
            <w:r>
              <w:rPr>
                <w:rFonts w:cs="Arial"/>
              </w:rPr>
              <w:t>Prüfwert bei TOC-Gehalt</w:t>
            </w:r>
            <w:r>
              <w:rPr>
                <w:rFonts w:cs="Arial"/>
              </w:rPr>
              <w:br/>
              <w:t>&lt; 0,5%</w:t>
            </w:r>
          </w:p>
        </w:tc>
        <w:tc>
          <w:tcPr>
            <w:tcW w:w="2837" w:type="dxa"/>
          </w:tcPr>
          <w:p>
            <w:pPr>
              <w:pStyle w:val="GesAbsatz"/>
              <w:tabs>
                <w:tab w:val="left" w:pos="2268"/>
              </w:tabs>
              <w:jc w:val="center"/>
              <w:rPr>
                <w:rFonts w:cs="Arial"/>
              </w:rPr>
            </w:pPr>
            <w:r>
              <w:rPr>
                <w:rFonts w:cs="Arial"/>
              </w:rPr>
              <w:t>Prüfwert bei TOC-Gehalt</w:t>
            </w:r>
            <w:r>
              <w:rPr>
                <w:rFonts w:cs="Arial"/>
              </w:rPr>
              <w:br/>
              <w:t>≥ 0,5%</w:t>
            </w:r>
          </w:p>
        </w:tc>
      </w:tr>
      <w:tr>
        <w:trPr>
          <w:trHeight w:val="332"/>
        </w:trPr>
        <w:tc>
          <w:tcPr>
            <w:tcW w:w="3679" w:type="dxa"/>
          </w:tcPr>
          <w:p>
            <w:pPr>
              <w:pStyle w:val="GesAbsatz"/>
              <w:tabs>
                <w:tab w:val="left" w:pos="2268"/>
              </w:tabs>
              <w:rPr>
                <w:rFonts w:cs="Arial"/>
              </w:rPr>
            </w:pPr>
          </w:p>
        </w:tc>
        <w:tc>
          <w:tcPr>
            <w:tcW w:w="5669" w:type="dxa"/>
            <w:gridSpan w:val="2"/>
          </w:tcPr>
          <w:p>
            <w:pPr>
              <w:pStyle w:val="GesAbsatz"/>
              <w:tabs>
                <w:tab w:val="left" w:pos="2268"/>
              </w:tabs>
              <w:jc w:val="center"/>
              <w:rPr>
                <w:rFonts w:cs="Arial"/>
              </w:rPr>
            </w:pPr>
            <w:r>
              <w:rPr>
                <w:rFonts w:cs="Arial"/>
              </w:rPr>
              <w:t>[µg/l]</w:t>
            </w:r>
          </w:p>
        </w:tc>
      </w:tr>
      <w:tr>
        <w:trPr>
          <w:trHeight w:val="312"/>
        </w:trPr>
        <w:tc>
          <w:tcPr>
            <w:tcW w:w="3679" w:type="dxa"/>
          </w:tcPr>
          <w:p>
            <w:pPr>
              <w:pStyle w:val="GesAbsatz"/>
              <w:tabs>
                <w:tab w:val="left" w:pos="2268"/>
              </w:tabs>
              <w:rPr>
                <w:rFonts w:cs="Arial"/>
              </w:rPr>
            </w:pPr>
            <w:r>
              <w:rPr>
                <w:rFonts w:cs="Arial"/>
              </w:rPr>
              <w:t>Antimon</w:t>
            </w:r>
          </w:p>
        </w:tc>
        <w:tc>
          <w:tcPr>
            <w:tcW w:w="2832" w:type="dxa"/>
          </w:tcPr>
          <w:p>
            <w:pPr>
              <w:pStyle w:val="GesAbsatz"/>
              <w:tabs>
                <w:tab w:val="left" w:pos="2268"/>
              </w:tabs>
              <w:jc w:val="center"/>
              <w:rPr>
                <w:rFonts w:cs="Arial"/>
              </w:rPr>
            </w:pPr>
            <w:r>
              <w:rPr>
                <w:rFonts w:cs="Arial"/>
              </w:rPr>
              <w:t>10</w:t>
            </w:r>
          </w:p>
        </w:tc>
        <w:tc>
          <w:tcPr>
            <w:tcW w:w="2837" w:type="dxa"/>
          </w:tcPr>
          <w:p>
            <w:pPr>
              <w:pStyle w:val="GesAbsatz"/>
              <w:tabs>
                <w:tab w:val="left" w:pos="2268"/>
              </w:tabs>
              <w:jc w:val="center"/>
              <w:rPr>
                <w:rFonts w:cs="Arial"/>
              </w:rPr>
            </w:pPr>
            <w:r>
              <w:rPr>
                <w:rFonts w:cs="Arial"/>
              </w:rPr>
              <w:t>10</w:t>
            </w:r>
          </w:p>
        </w:tc>
      </w:tr>
      <w:tr>
        <w:trPr>
          <w:trHeight w:val="312"/>
        </w:trPr>
        <w:tc>
          <w:tcPr>
            <w:tcW w:w="3679" w:type="dxa"/>
          </w:tcPr>
          <w:p>
            <w:pPr>
              <w:pStyle w:val="GesAbsatz"/>
              <w:tabs>
                <w:tab w:val="left" w:pos="2268"/>
              </w:tabs>
              <w:rPr>
                <w:rFonts w:cs="Arial"/>
              </w:rPr>
            </w:pPr>
            <w:r>
              <w:rPr>
                <w:rFonts w:cs="Arial"/>
              </w:rPr>
              <w:t>Arsen</w:t>
            </w:r>
          </w:p>
        </w:tc>
        <w:tc>
          <w:tcPr>
            <w:tcW w:w="2832" w:type="dxa"/>
          </w:tcPr>
          <w:p>
            <w:pPr>
              <w:pStyle w:val="GesAbsatz"/>
              <w:tabs>
                <w:tab w:val="left" w:pos="2268"/>
              </w:tabs>
              <w:jc w:val="center"/>
              <w:rPr>
                <w:rFonts w:cs="Arial"/>
              </w:rPr>
            </w:pPr>
            <w:r>
              <w:rPr>
                <w:rFonts w:cs="Arial"/>
              </w:rPr>
              <w:t>15</w:t>
            </w:r>
          </w:p>
        </w:tc>
        <w:tc>
          <w:tcPr>
            <w:tcW w:w="2837" w:type="dxa"/>
          </w:tcPr>
          <w:p>
            <w:pPr>
              <w:pStyle w:val="GesAbsatz"/>
              <w:tabs>
                <w:tab w:val="left" w:pos="2268"/>
              </w:tabs>
              <w:jc w:val="center"/>
              <w:rPr>
                <w:rFonts w:cs="Arial"/>
              </w:rPr>
            </w:pPr>
            <w:r>
              <w:rPr>
                <w:rFonts w:cs="Arial"/>
              </w:rPr>
              <w:t>25</w:t>
            </w:r>
          </w:p>
        </w:tc>
      </w:tr>
      <w:tr>
        <w:trPr>
          <w:trHeight w:val="312"/>
        </w:trPr>
        <w:tc>
          <w:tcPr>
            <w:tcW w:w="3679" w:type="dxa"/>
          </w:tcPr>
          <w:p>
            <w:pPr>
              <w:pStyle w:val="GesAbsatz"/>
              <w:tabs>
                <w:tab w:val="left" w:pos="2268"/>
              </w:tabs>
              <w:rPr>
                <w:rFonts w:cs="Arial"/>
              </w:rPr>
            </w:pPr>
            <w:r>
              <w:rPr>
                <w:rFonts w:cs="Arial"/>
              </w:rPr>
              <w:t>Blei</w:t>
            </w:r>
          </w:p>
        </w:tc>
        <w:tc>
          <w:tcPr>
            <w:tcW w:w="2832" w:type="dxa"/>
          </w:tcPr>
          <w:p>
            <w:pPr>
              <w:pStyle w:val="GesAbsatz"/>
              <w:tabs>
                <w:tab w:val="left" w:pos="2268"/>
              </w:tabs>
              <w:jc w:val="center"/>
              <w:rPr>
                <w:rFonts w:cs="Arial"/>
              </w:rPr>
            </w:pPr>
            <w:r>
              <w:rPr>
                <w:rFonts w:cs="Arial"/>
              </w:rPr>
              <w:t>45</w:t>
            </w:r>
          </w:p>
        </w:tc>
        <w:tc>
          <w:tcPr>
            <w:tcW w:w="2837" w:type="dxa"/>
          </w:tcPr>
          <w:p>
            <w:pPr>
              <w:pStyle w:val="GesAbsatz"/>
              <w:tabs>
                <w:tab w:val="left" w:pos="2268"/>
              </w:tabs>
              <w:jc w:val="center"/>
              <w:rPr>
                <w:rFonts w:cs="Arial"/>
              </w:rPr>
            </w:pPr>
            <w:r>
              <w:rPr>
                <w:rFonts w:cs="Arial"/>
              </w:rPr>
              <w:t>85</w:t>
            </w:r>
          </w:p>
        </w:tc>
      </w:tr>
      <w:tr>
        <w:trPr>
          <w:trHeight w:val="312"/>
        </w:trPr>
        <w:tc>
          <w:tcPr>
            <w:tcW w:w="3679" w:type="dxa"/>
          </w:tcPr>
          <w:p>
            <w:pPr>
              <w:pStyle w:val="GesAbsatz"/>
              <w:tabs>
                <w:tab w:val="left" w:pos="2268"/>
              </w:tabs>
              <w:rPr>
                <w:rFonts w:cs="Arial"/>
              </w:rPr>
            </w:pPr>
            <w:r>
              <w:rPr>
                <w:rFonts w:cs="Arial"/>
              </w:rPr>
              <w:t>Bor</w:t>
            </w:r>
          </w:p>
        </w:tc>
        <w:tc>
          <w:tcPr>
            <w:tcW w:w="2832" w:type="dxa"/>
          </w:tcPr>
          <w:p>
            <w:pPr>
              <w:pStyle w:val="GesAbsatz"/>
              <w:tabs>
                <w:tab w:val="left" w:pos="2268"/>
              </w:tabs>
              <w:jc w:val="center"/>
              <w:rPr>
                <w:rFonts w:cs="Arial"/>
              </w:rPr>
            </w:pPr>
            <w:r>
              <w:rPr>
                <w:rFonts w:cs="Arial"/>
              </w:rPr>
              <w:t>1 000</w:t>
            </w:r>
          </w:p>
        </w:tc>
        <w:tc>
          <w:tcPr>
            <w:tcW w:w="2837" w:type="dxa"/>
          </w:tcPr>
          <w:p>
            <w:pPr>
              <w:pStyle w:val="GesAbsatz"/>
              <w:tabs>
                <w:tab w:val="left" w:pos="2268"/>
              </w:tabs>
              <w:jc w:val="center"/>
              <w:rPr>
                <w:rFonts w:cs="Arial"/>
              </w:rPr>
            </w:pPr>
            <w:r>
              <w:rPr>
                <w:rFonts w:cs="Arial"/>
              </w:rPr>
              <w:t>1 000</w:t>
            </w:r>
          </w:p>
        </w:tc>
      </w:tr>
      <w:tr>
        <w:trPr>
          <w:trHeight w:val="312"/>
        </w:trPr>
        <w:tc>
          <w:tcPr>
            <w:tcW w:w="3679" w:type="dxa"/>
          </w:tcPr>
          <w:p>
            <w:pPr>
              <w:pStyle w:val="GesAbsatz"/>
              <w:tabs>
                <w:tab w:val="left" w:pos="2268"/>
              </w:tabs>
              <w:rPr>
                <w:rFonts w:cs="Arial"/>
              </w:rPr>
            </w:pPr>
            <w:r>
              <w:rPr>
                <w:rFonts w:cs="Arial"/>
              </w:rPr>
              <w:t>Cadmium</w:t>
            </w:r>
          </w:p>
        </w:tc>
        <w:tc>
          <w:tcPr>
            <w:tcW w:w="2832" w:type="dxa"/>
          </w:tcPr>
          <w:p>
            <w:pPr>
              <w:pStyle w:val="GesAbsatz"/>
              <w:tabs>
                <w:tab w:val="left" w:pos="2268"/>
              </w:tabs>
              <w:jc w:val="center"/>
              <w:rPr>
                <w:rFonts w:cs="Arial"/>
              </w:rPr>
            </w:pPr>
            <w:r>
              <w:rPr>
                <w:rFonts w:cs="Arial"/>
              </w:rPr>
              <w:t>4</w:t>
            </w:r>
          </w:p>
        </w:tc>
        <w:tc>
          <w:tcPr>
            <w:tcW w:w="2837" w:type="dxa"/>
          </w:tcPr>
          <w:p>
            <w:pPr>
              <w:pStyle w:val="GesAbsatz"/>
              <w:tabs>
                <w:tab w:val="left" w:pos="2268"/>
              </w:tabs>
              <w:jc w:val="center"/>
              <w:rPr>
                <w:rFonts w:cs="Arial"/>
              </w:rPr>
            </w:pPr>
            <w:r>
              <w:rPr>
                <w:rFonts w:cs="Arial"/>
              </w:rPr>
              <w:t>7,5</w:t>
            </w:r>
          </w:p>
        </w:tc>
      </w:tr>
      <w:tr>
        <w:trPr>
          <w:trHeight w:val="312"/>
        </w:trPr>
        <w:tc>
          <w:tcPr>
            <w:tcW w:w="3679" w:type="dxa"/>
          </w:tcPr>
          <w:p>
            <w:pPr>
              <w:pStyle w:val="GesAbsatz"/>
              <w:tabs>
                <w:tab w:val="left" w:pos="2268"/>
              </w:tabs>
              <w:rPr>
                <w:rFonts w:cs="Arial"/>
              </w:rPr>
            </w:pPr>
            <w:r>
              <w:rPr>
                <w:rFonts w:cs="Arial"/>
              </w:rPr>
              <w:t>Chrom</w:t>
            </w:r>
            <w:r>
              <w:rPr>
                <w:rFonts w:cs="Arial"/>
                <w:vertAlign w:val="subscript"/>
              </w:rPr>
              <w:t>gesamt</w:t>
            </w:r>
          </w:p>
        </w:tc>
        <w:tc>
          <w:tcPr>
            <w:tcW w:w="2832" w:type="dxa"/>
          </w:tcPr>
          <w:p>
            <w:pPr>
              <w:pStyle w:val="GesAbsatz"/>
              <w:tabs>
                <w:tab w:val="left" w:pos="2268"/>
              </w:tabs>
              <w:jc w:val="center"/>
              <w:rPr>
                <w:rFonts w:cs="Arial"/>
              </w:rPr>
            </w:pPr>
            <w:r>
              <w:rPr>
                <w:rFonts w:cs="Arial"/>
              </w:rPr>
              <w:t>50</w:t>
            </w:r>
          </w:p>
        </w:tc>
        <w:tc>
          <w:tcPr>
            <w:tcW w:w="2837" w:type="dxa"/>
          </w:tcPr>
          <w:p>
            <w:pPr>
              <w:pStyle w:val="GesAbsatz"/>
              <w:tabs>
                <w:tab w:val="left" w:pos="2268"/>
              </w:tabs>
              <w:jc w:val="center"/>
              <w:rPr>
                <w:rFonts w:cs="Arial"/>
              </w:rPr>
            </w:pPr>
            <w:r>
              <w:rPr>
                <w:rFonts w:cs="Arial"/>
              </w:rPr>
              <w:t>50</w:t>
            </w:r>
          </w:p>
        </w:tc>
      </w:tr>
      <w:tr>
        <w:trPr>
          <w:trHeight w:val="312"/>
        </w:trPr>
        <w:tc>
          <w:tcPr>
            <w:tcW w:w="3679" w:type="dxa"/>
          </w:tcPr>
          <w:p>
            <w:pPr>
              <w:pStyle w:val="GesAbsatz"/>
              <w:tabs>
                <w:tab w:val="left" w:pos="2268"/>
              </w:tabs>
              <w:rPr>
                <w:rFonts w:cs="Arial"/>
                <w:vertAlign w:val="subscript"/>
              </w:rPr>
            </w:pPr>
            <w:r>
              <w:rPr>
                <w:rFonts w:cs="Arial"/>
              </w:rPr>
              <w:t>Chrom</w:t>
            </w:r>
            <w:r>
              <w:rPr>
                <w:rFonts w:cs="Arial"/>
                <w:vertAlign w:val="subscript"/>
              </w:rPr>
              <w:t>VI</w:t>
            </w:r>
          </w:p>
        </w:tc>
        <w:tc>
          <w:tcPr>
            <w:tcW w:w="2832" w:type="dxa"/>
          </w:tcPr>
          <w:p>
            <w:pPr>
              <w:pStyle w:val="GesAbsatz"/>
              <w:tabs>
                <w:tab w:val="left" w:pos="2268"/>
              </w:tabs>
              <w:jc w:val="center"/>
              <w:rPr>
                <w:rFonts w:cs="Arial"/>
              </w:rPr>
            </w:pPr>
            <w:r>
              <w:rPr>
                <w:rFonts w:cs="Arial"/>
              </w:rPr>
              <w:t>8</w:t>
            </w:r>
          </w:p>
        </w:tc>
        <w:tc>
          <w:tcPr>
            <w:tcW w:w="2837" w:type="dxa"/>
          </w:tcPr>
          <w:p>
            <w:pPr>
              <w:pStyle w:val="GesAbsatz"/>
              <w:tabs>
                <w:tab w:val="left" w:pos="2268"/>
              </w:tabs>
              <w:jc w:val="center"/>
              <w:rPr>
                <w:rFonts w:cs="Arial"/>
              </w:rPr>
            </w:pPr>
            <w:r>
              <w:rPr>
                <w:rFonts w:cs="Arial"/>
              </w:rPr>
              <w:t>8</w:t>
            </w:r>
          </w:p>
        </w:tc>
      </w:tr>
      <w:tr>
        <w:trPr>
          <w:trHeight w:val="312"/>
        </w:trPr>
        <w:tc>
          <w:tcPr>
            <w:tcW w:w="3679" w:type="dxa"/>
          </w:tcPr>
          <w:p>
            <w:pPr>
              <w:pStyle w:val="GesAbsatz"/>
              <w:tabs>
                <w:tab w:val="left" w:pos="2268"/>
              </w:tabs>
              <w:rPr>
                <w:rFonts w:cs="Arial"/>
              </w:rPr>
            </w:pPr>
            <w:r>
              <w:rPr>
                <w:rFonts w:cs="Arial"/>
              </w:rPr>
              <w:t>Kobalt</w:t>
            </w:r>
          </w:p>
        </w:tc>
        <w:tc>
          <w:tcPr>
            <w:tcW w:w="2832" w:type="dxa"/>
          </w:tcPr>
          <w:p>
            <w:pPr>
              <w:pStyle w:val="GesAbsatz"/>
              <w:tabs>
                <w:tab w:val="left" w:pos="2268"/>
              </w:tabs>
              <w:jc w:val="center"/>
              <w:rPr>
                <w:rFonts w:cs="Arial"/>
              </w:rPr>
            </w:pPr>
            <w:r>
              <w:rPr>
                <w:rFonts w:cs="Arial"/>
              </w:rPr>
              <w:t>50</w:t>
            </w:r>
          </w:p>
        </w:tc>
        <w:tc>
          <w:tcPr>
            <w:tcW w:w="2837" w:type="dxa"/>
          </w:tcPr>
          <w:p>
            <w:pPr>
              <w:pStyle w:val="GesAbsatz"/>
              <w:tabs>
                <w:tab w:val="left" w:pos="2268"/>
              </w:tabs>
              <w:jc w:val="center"/>
              <w:rPr>
                <w:rFonts w:cs="Arial"/>
              </w:rPr>
            </w:pPr>
            <w:r>
              <w:rPr>
                <w:rFonts w:cs="Arial"/>
              </w:rPr>
              <w:t>125</w:t>
            </w:r>
          </w:p>
        </w:tc>
      </w:tr>
      <w:tr>
        <w:trPr>
          <w:trHeight w:val="312"/>
        </w:trPr>
        <w:tc>
          <w:tcPr>
            <w:tcW w:w="3679" w:type="dxa"/>
          </w:tcPr>
          <w:p>
            <w:pPr>
              <w:pStyle w:val="GesAbsatz"/>
              <w:tabs>
                <w:tab w:val="left" w:pos="2268"/>
              </w:tabs>
              <w:rPr>
                <w:rFonts w:cs="Arial"/>
              </w:rPr>
            </w:pPr>
            <w:r>
              <w:rPr>
                <w:rFonts w:cs="Arial"/>
              </w:rPr>
              <w:t>Kupfer</w:t>
            </w:r>
          </w:p>
        </w:tc>
        <w:tc>
          <w:tcPr>
            <w:tcW w:w="2832" w:type="dxa"/>
          </w:tcPr>
          <w:p>
            <w:pPr>
              <w:pStyle w:val="GesAbsatz"/>
              <w:tabs>
                <w:tab w:val="left" w:pos="2268"/>
              </w:tabs>
              <w:jc w:val="center"/>
              <w:rPr>
                <w:rFonts w:cs="Arial"/>
              </w:rPr>
            </w:pPr>
            <w:r>
              <w:rPr>
                <w:rFonts w:cs="Arial"/>
              </w:rPr>
              <w:t>50</w:t>
            </w:r>
          </w:p>
        </w:tc>
        <w:tc>
          <w:tcPr>
            <w:tcW w:w="2837" w:type="dxa"/>
          </w:tcPr>
          <w:p>
            <w:pPr>
              <w:pStyle w:val="GesAbsatz"/>
              <w:tabs>
                <w:tab w:val="left" w:pos="2268"/>
              </w:tabs>
              <w:jc w:val="center"/>
              <w:rPr>
                <w:rFonts w:cs="Arial"/>
              </w:rPr>
            </w:pPr>
            <w:r>
              <w:rPr>
                <w:rFonts w:cs="Arial"/>
              </w:rPr>
              <w:t>80</w:t>
            </w:r>
          </w:p>
        </w:tc>
      </w:tr>
      <w:tr>
        <w:trPr>
          <w:trHeight w:val="312"/>
        </w:trPr>
        <w:tc>
          <w:tcPr>
            <w:tcW w:w="3679" w:type="dxa"/>
          </w:tcPr>
          <w:p>
            <w:pPr>
              <w:pStyle w:val="GesAbsatz"/>
              <w:tabs>
                <w:tab w:val="left" w:pos="2268"/>
              </w:tabs>
              <w:rPr>
                <w:rFonts w:cs="Arial"/>
              </w:rPr>
            </w:pPr>
            <w:r>
              <w:rPr>
                <w:rFonts w:cs="Arial"/>
              </w:rPr>
              <w:t>Molybdän</w:t>
            </w:r>
          </w:p>
        </w:tc>
        <w:tc>
          <w:tcPr>
            <w:tcW w:w="2832" w:type="dxa"/>
          </w:tcPr>
          <w:p>
            <w:pPr>
              <w:pStyle w:val="GesAbsatz"/>
              <w:tabs>
                <w:tab w:val="left" w:pos="2268"/>
              </w:tabs>
              <w:jc w:val="center"/>
              <w:rPr>
                <w:rFonts w:cs="Arial"/>
              </w:rPr>
            </w:pPr>
            <w:r>
              <w:rPr>
                <w:rFonts w:cs="Arial"/>
              </w:rPr>
              <w:t>70</w:t>
            </w:r>
          </w:p>
        </w:tc>
        <w:tc>
          <w:tcPr>
            <w:tcW w:w="2837" w:type="dxa"/>
          </w:tcPr>
          <w:p>
            <w:pPr>
              <w:pStyle w:val="GesAbsatz"/>
              <w:tabs>
                <w:tab w:val="left" w:pos="2268"/>
              </w:tabs>
              <w:jc w:val="center"/>
              <w:rPr>
                <w:rFonts w:cs="Arial"/>
              </w:rPr>
            </w:pPr>
            <w:r>
              <w:rPr>
                <w:rFonts w:cs="Arial"/>
              </w:rPr>
              <w:t>70</w:t>
            </w:r>
          </w:p>
        </w:tc>
      </w:tr>
      <w:tr>
        <w:trPr>
          <w:trHeight w:val="312"/>
        </w:trPr>
        <w:tc>
          <w:tcPr>
            <w:tcW w:w="3679" w:type="dxa"/>
          </w:tcPr>
          <w:p>
            <w:pPr>
              <w:pStyle w:val="GesAbsatz"/>
              <w:tabs>
                <w:tab w:val="left" w:pos="2268"/>
              </w:tabs>
              <w:rPr>
                <w:rFonts w:cs="Arial"/>
              </w:rPr>
            </w:pPr>
            <w:r>
              <w:rPr>
                <w:rFonts w:cs="Arial"/>
              </w:rPr>
              <w:t>Nickel</w:t>
            </w:r>
          </w:p>
        </w:tc>
        <w:tc>
          <w:tcPr>
            <w:tcW w:w="2832" w:type="dxa"/>
          </w:tcPr>
          <w:p>
            <w:pPr>
              <w:pStyle w:val="GesAbsatz"/>
              <w:tabs>
                <w:tab w:val="left" w:pos="2268"/>
              </w:tabs>
              <w:jc w:val="center"/>
              <w:rPr>
                <w:rFonts w:cs="Arial"/>
              </w:rPr>
            </w:pPr>
            <w:r>
              <w:rPr>
                <w:rFonts w:cs="Arial"/>
              </w:rPr>
              <w:t>40</w:t>
            </w:r>
          </w:p>
        </w:tc>
        <w:tc>
          <w:tcPr>
            <w:tcW w:w="2837" w:type="dxa"/>
          </w:tcPr>
          <w:p>
            <w:pPr>
              <w:pStyle w:val="GesAbsatz"/>
              <w:tabs>
                <w:tab w:val="left" w:pos="2268"/>
              </w:tabs>
              <w:jc w:val="center"/>
              <w:rPr>
                <w:rFonts w:cs="Arial"/>
              </w:rPr>
            </w:pPr>
            <w:r>
              <w:rPr>
                <w:rFonts w:cs="Arial"/>
              </w:rPr>
              <w:t>60</w:t>
            </w:r>
          </w:p>
        </w:tc>
      </w:tr>
      <w:tr>
        <w:trPr>
          <w:trHeight w:val="312"/>
        </w:trPr>
        <w:tc>
          <w:tcPr>
            <w:tcW w:w="3679" w:type="dxa"/>
          </w:tcPr>
          <w:p>
            <w:pPr>
              <w:pStyle w:val="GesAbsatz"/>
              <w:tabs>
                <w:tab w:val="left" w:pos="2268"/>
              </w:tabs>
              <w:rPr>
                <w:rFonts w:cs="Arial"/>
              </w:rPr>
            </w:pPr>
            <w:r>
              <w:rPr>
                <w:rFonts w:cs="Arial"/>
              </w:rPr>
              <w:t>Quecksilber</w:t>
            </w:r>
          </w:p>
        </w:tc>
        <w:tc>
          <w:tcPr>
            <w:tcW w:w="2832" w:type="dxa"/>
          </w:tcPr>
          <w:p>
            <w:pPr>
              <w:pStyle w:val="GesAbsatz"/>
              <w:tabs>
                <w:tab w:val="left" w:pos="2268"/>
              </w:tabs>
              <w:jc w:val="center"/>
              <w:rPr>
                <w:rFonts w:cs="Arial"/>
              </w:rPr>
            </w:pPr>
            <w:r>
              <w:rPr>
                <w:rFonts w:cs="Arial"/>
              </w:rPr>
              <w:t>1</w:t>
            </w:r>
          </w:p>
        </w:tc>
        <w:tc>
          <w:tcPr>
            <w:tcW w:w="2837" w:type="dxa"/>
          </w:tcPr>
          <w:p>
            <w:pPr>
              <w:pStyle w:val="GesAbsatz"/>
              <w:tabs>
                <w:tab w:val="left" w:pos="2268"/>
              </w:tabs>
              <w:jc w:val="center"/>
              <w:rPr>
                <w:rFonts w:cs="Arial"/>
              </w:rPr>
            </w:pPr>
            <w:r>
              <w:rPr>
                <w:rFonts w:cs="Arial"/>
              </w:rPr>
              <w:t>1</w:t>
            </w:r>
          </w:p>
        </w:tc>
      </w:tr>
      <w:tr>
        <w:trPr>
          <w:trHeight w:val="312"/>
        </w:trPr>
        <w:tc>
          <w:tcPr>
            <w:tcW w:w="3679" w:type="dxa"/>
          </w:tcPr>
          <w:p>
            <w:pPr>
              <w:pStyle w:val="GesAbsatz"/>
              <w:tabs>
                <w:tab w:val="left" w:pos="2268"/>
              </w:tabs>
              <w:rPr>
                <w:rFonts w:cs="Arial"/>
              </w:rPr>
            </w:pPr>
            <w:r>
              <w:rPr>
                <w:rFonts w:cs="Arial"/>
              </w:rPr>
              <w:t>Selen</w:t>
            </w:r>
          </w:p>
        </w:tc>
        <w:tc>
          <w:tcPr>
            <w:tcW w:w="2832" w:type="dxa"/>
          </w:tcPr>
          <w:p>
            <w:pPr>
              <w:pStyle w:val="GesAbsatz"/>
              <w:tabs>
                <w:tab w:val="left" w:pos="2268"/>
              </w:tabs>
              <w:jc w:val="center"/>
              <w:rPr>
                <w:rFonts w:cs="Arial"/>
              </w:rPr>
            </w:pPr>
            <w:r>
              <w:rPr>
                <w:rFonts w:cs="Arial"/>
              </w:rPr>
              <w:t>10</w:t>
            </w:r>
          </w:p>
        </w:tc>
        <w:tc>
          <w:tcPr>
            <w:tcW w:w="2837" w:type="dxa"/>
          </w:tcPr>
          <w:p>
            <w:pPr>
              <w:pStyle w:val="GesAbsatz"/>
              <w:tabs>
                <w:tab w:val="left" w:pos="2268"/>
              </w:tabs>
              <w:jc w:val="center"/>
              <w:rPr>
                <w:rFonts w:cs="Arial"/>
              </w:rPr>
            </w:pPr>
            <w:r>
              <w:rPr>
                <w:rFonts w:cs="Arial"/>
              </w:rPr>
              <w:t>10</w:t>
            </w:r>
          </w:p>
        </w:tc>
      </w:tr>
      <w:tr>
        <w:trPr>
          <w:trHeight w:val="312"/>
        </w:trPr>
        <w:tc>
          <w:tcPr>
            <w:tcW w:w="3679" w:type="dxa"/>
          </w:tcPr>
          <w:p>
            <w:pPr>
              <w:pStyle w:val="GesAbsatz"/>
              <w:tabs>
                <w:tab w:val="left" w:pos="2268"/>
              </w:tabs>
              <w:rPr>
                <w:rFonts w:cs="Arial"/>
              </w:rPr>
            </w:pPr>
            <w:r>
              <w:rPr>
                <w:rFonts w:cs="Arial"/>
              </w:rPr>
              <w:t>Zink</w:t>
            </w:r>
          </w:p>
        </w:tc>
        <w:tc>
          <w:tcPr>
            <w:tcW w:w="2832" w:type="dxa"/>
          </w:tcPr>
          <w:p>
            <w:pPr>
              <w:pStyle w:val="GesAbsatz"/>
              <w:tabs>
                <w:tab w:val="left" w:pos="2268"/>
              </w:tabs>
              <w:jc w:val="center"/>
              <w:rPr>
                <w:rFonts w:cs="Arial"/>
              </w:rPr>
            </w:pPr>
            <w:r>
              <w:rPr>
                <w:rFonts w:cs="Arial"/>
              </w:rPr>
              <w:t>600</w:t>
            </w:r>
          </w:p>
        </w:tc>
        <w:tc>
          <w:tcPr>
            <w:tcW w:w="2837" w:type="dxa"/>
          </w:tcPr>
          <w:p>
            <w:pPr>
              <w:pStyle w:val="GesAbsatz"/>
              <w:tabs>
                <w:tab w:val="left" w:pos="2268"/>
              </w:tabs>
              <w:jc w:val="center"/>
              <w:rPr>
                <w:rFonts w:cs="Arial"/>
              </w:rPr>
            </w:pPr>
            <w:r>
              <w:rPr>
                <w:rFonts w:cs="Arial"/>
              </w:rPr>
              <w:t>600</w:t>
            </w:r>
          </w:p>
        </w:tc>
      </w:tr>
      <w:tr>
        <w:trPr>
          <w:trHeight w:val="312"/>
        </w:trPr>
        <w:tc>
          <w:tcPr>
            <w:tcW w:w="3679" w:type="dxa"/>
          </w:tcPr>
          <w:p>
            <w:pPr>
              <w:pStyle w:val="GesAbsatz"/>
              <w:tabs>
                <w:tab w:val="left" w:pos="2268"/>
              </w:tabs>
              <w:rPr>
                <w:rFonts w:cs="Arial"/>
                <w:vertAlign w:val="subscript"/>
              </w:rPr>
            </w:pPr>
            <w:r>
              <w:rPr>
                <w:rFonts w:cs="Arial"/>
              </w:rPr>
              <w:t>Cyanide</w:t>
            </w:r>
            <w:r>
              <w:rPr>
                <w:rFonts w:cs="Arial"/>
                <w:vertAlign w:val="subscript"/>
              </w:rPr>
              <w:t>gesamt</w:t>
            </w:r>
          </w:p>
        </w:tc>
        <w:tc>
          <w:tcPr>
            <w:tcW w:w="2832" w:type="dxa"/>
          </w:tcPr>
          <w:p>
            <w:pPr>
              <w:pStyle w:val="GesAbsatz"/>
              <w:tabs>
                <w:tab w:val="left" w:pos="2268"/>
              </w:tabs>
              <w:jc w:val="center"/>
              <w:rPr>
                <w:rFonts w:cs="Arial"/>
              </w:rPr>
            </w:pPr>
            <w:r>
              <w:rPr>
                <w:rFonts w:cs="Arial"/>
              </w:rPr>
              <w:t>50</w:t>
            </w:r>
          </w:p>
        </w:tc>
        <w:tc>
          <w:tcPr>
            <w:tcW w:w="2837" w:type="dxa"/>
          </w:tcPr>
          <w:p>
            <w:pPr>
              <w:pStyle w:val="GesAbsatz"/>
              <w:tabs>
                <w:tab w:val="left" w:pos="2268"/>
              </w:tabs>
              <w:jc w:val="center"/>
              <w:rPr>
                <w:rFonts w:cs="Arial"/>
              </w:rPr>
            </w:pPr>
            <w:r>
              <w:rPr>
                <w:rFonts w:cs="Arial"/>
              </w:rPr>
              <w:t>50</w:t>
            </w:r>
          </w:p>
        </w:tc>
      </w:tr>
      <w:tr>
        <w:trPr>
          <w:trHeight w:val="312"/>
        </w:trPr>
        <w:tc>
          <w:tcPr>
            <w:tcW w:w="3679" w:type="dxa"/>
          </w:tcPr>
          <w:p>
            <w:pPr>
              <w:pStyle w:val="GesAbsatz"/>
              <w:tabs>
                <w:tab w:val="left" w:pos="2268"/>
              </w:tabs>
              <w:rPr>
                <w:rFonts w:cs="Arial"/>
              </w:rPr>
            </w:pPr>
            <w:r>
              <w:rPr>
                <w:rFonts w:cs="Arial"/>
              </w:rPr>
              <w:t>Cyanid</w:t>
            </w:r>
            <w:r>
              <w:rPr>
                <w:rFonts w:cs="Arial"/>
                <w:vertAlign w:val="subscript"/>
              </w:rPr>
              <w:t>leicht freisetzbar</w:t>
            </w:r>
          </w:p>
        </w:tc>
        <w:tc>
          <w:tcPr>
            <w:tcW w:w="2832" w:type="dxa"/>
          </w:tcPr>
          <w:p>
            <w:pPr>
              <w:pStyle w:val="GesAbsatz"/>
              <w:tabs>
                <w:tab w:val="left" w:pos="2268"/>
              </w:tabs>
              <w:jc w:val="center"/>
              <w:rPr>
                <w:rFonts w:cs="Arial"/>
              </w:rPr>
            </w:pPr>
            <w:r>
              <w:rPr>
                <w:rFonts w:cs="Arial"/>
              </w:rPr>
              <w:t>10</w:t>
            </w:r>
          </w:p>
        </w:tc>
        <w:tc>
          <w:tcPr>
            <w:tcW w:w="2837" w:type="dxa"/>
          </w:tcPr>
          <w:p>
            <w:pPr>
              <w:pStyle w:val="GesAbsatz"/>
              <w:tabs>
                <w:tab w:val="left" w:pos="2268"/>
              </w:tabs>
              <w:jc w:val="center"/>
              <w:rPr>
                <w:rFonts w:cs="Arial"/>
              </w:rPr>
            </w:pPr>
            <w:r>
              <w:rPr>
                <w:rFonts w:cs="Arial"/>
              </w:rPr>
              <w:t>10</w:t>
            </w:r>
          </w:p>
        </w:tc>
      </w:tr>
      <w:tr>
        <w:trPr>
          <w:trHeight w:val="312"/>
        </w:trPr>
        <w:tc>
          <w:tcPr>
            <w:tcW w:w="3679" w:type="dxa"/>
          </w:tcPr>
          <w:p>
            <w:pPr>
              <w:pStyle w:val="GesAbsatz"/>
              <w:tabs>
                <w:tab w:val="left" w:pos="2268"/>
              </w:tabs>
              <w:rPr>
                <w:rFonts w:cs="Arial"/>
              </w:rPr>
            </w:pPr>
            <w:r>
              <w:rPr>
                <w:rFonts w:cs="Arial"/>
              </w:rPr>
              <w:t>Fluorid</w:t>
            </w:r>
          </w:p>
        </w:tc>
        <w:tc>
          <w:tcPr>
            <w:tcW w:w="2832" w:type="dxa"/>
          </w:tcPr>
          <w:p>
            <w:pPr>
              <w:pStyle w:val="GesAbsatz"/>
              <w:tabs>
                <w:tab w:val="left" w:pos="2268"/>
              </w:tabs>
              <w:jc w:val="center"/>
              <w:rPr>
                <w:rFonts w:cs="Arial"/>
              </w:rPr>
            </w:pPr>
            <w:r>
              <w:rPr>
                <w:rFonts w:cs="Arial"/>
              </w:rPr>
              <w:t>1 500</w:t>
            </w:r>
          </w:p>
        </w:tc>
        <w:tc>
          <w:tcPr>
            <w:tcW w:w="2837" w:type="dxa"/>
          </w:tcPr>
          <w:p>
            <w:pPr>
              <w:pStyle w:val="GesAbsatz"/>
              <w:tabs>
                <w:tab w:val="left" w:pos="2268"/>
              </w:tabs>
              <w:jc w:val="center"/>
              <w:rPr>
                <w:rFonts w:cs="Arial"/>
              </w:rPr>
            </w:pPr>
            <w:r>
              <w:rPr>
                <w:rFonts w:cs="Arial"/>
              </w:rPr>
              <w:t>1 500</w:t>
            </w:r>
          </w:p>
        </w:tc>
      </w:tr>
    </w:tbl>
    <w:p>
      <w:pPr>
        <w:pStyle w:val="GesAbsatz"/>
        <w:tabs>
          <w:tab w:val="left" w:pos="2268"/>
        </w:tabs>
        <w:rPr>
          <w:rFonts w:cs="Arial"/>
        </w:rPr>
      </w:pPr>
    </w:p>
    <w:p>
      <w:pPr>
        <w:pStyle w:val="GesAbsatz"/>
        <w:tabs>
          <w:tab w:val="clear" w:pos="425"/>
          <w:tab w:val="left" w:pos="2268"/>
        </w:tabs>
        <w:rPr>
          <w:rFonts w:cs="Arial"/>
        </w:rPr>
      </w:pPr>
      <w:r>
        <w:rPr>
          <w:rFonts w:cs="Arial"/>
        </w:rPr>
        <w:t>Tabelle 2: Prüfwerte für anorganische Stoffe für den Wirkungspfad Boden-Grundwasser im Sickerwasser am Ort der Beurteilung</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413"/>
        <w:gridCol w:w="2118"/>
      </w:tblGrid>
      <w:tr>
        <w:trPr>
          <w:trHeight w:val="332"/>
        </w:trPr>
        <w:tc>
          <w:tcPr>
            <w:tcW w:w="2413" w:type="dxa"/>
          </w:tcPr>
          <w:p>
            <w:pPr>
              <w:pStyle w:val="GesAbsatz"/>
              <w:tabs>
                <w:tab w:val="left" w:pos="2268"/>
              </w:tabs>
              <w:jc w:val="center"/>
              <w:rPr>
                <w:rFonts w:cs="Arial"/>
              </w:rPr>
            </w:pPr>
            <w:r>
              <w:rPr>
                <w:rFonts w:cs="Arial"/>
              </w:rPr>
              <w:t>Stoff</w:t>
            </w:r>
          </w:p>
        </w:tc>
        <w:tc>
          <w:tcPr>
            <w:tcW w:w="2118" w:type="dxa"/>
          </w:tcPr>
          <w:p>
            <w:pPr>
              <w:pStyle w:val="GesAbsatz"/>
              <w:tabs>
                <w:tab w:val="left" w:pos="2268"/>
              </w:tabs>
              <w:jc w:val="center"/>
              <w:rPr>
                <w:rFonts w:cs="Arial"/>
              </w:rPr>
            </w:pPr>
            <w:r>
              <w:rPr>
                <w:rFonts w:cs="Arial"/>
              </w:rPr>
              <w:t>Prüfwert</w:t>
            </w:r>
          </w:p>
        </w:tc>
      </w:tr>
      <w:tr>
        <w:trPr>
          <w:trHeight w:val="332"/>
        </w:trPr>
        <w:tc>
          <w:tcPr>
            <w:tcW w:w="2413" w:type="dxa"/>
          </w:tcPr>
          <w:p>
            <w:pPr>
              <w:pStyle w:val="GesAbsatz"/>
              <w:tabs>
                <w:tab w:val="left" w:pos="2268"/>
              </w:tabs>
              <w:jc w:val="center"/>
              <w:rPr>
                <w:rFonts w:cs="Arial"/>
              </w:rPr>
            </w:pPr>
          </w:p>
        </w:tc>
        <w:tc>
          <w:tcPr>
            <w:tcW w:w="2118" w:type="dxa"/>
          </w:tcPr>
          <w:p>
            <w:pPr>
              <w:pStyle w:val="GesAbsatz"/>
              <w:tabs>
                <w:tab w:val="left" w:pos="2268"/>
              </w:tabs>
              <w:jc w:val="center"/>
              <w:rPr>
                <w:rFonts w:cs="Arial"/>
              </w:rPr>
            </w:pPr>
            <w:r>
              <w:rPr>
                <w:rFonts w:cs="Arial"/>
              </w:rPr>
              <w:t>[µg/l]</w:t>
            </w:r>
          </w:p>
        </w:tc>
      </w:tr>
      <w:tr>
        <w:trPr>
          <w:trHeight w:val="319"/>
        </w:trPr>
        <w:tc>
          <w:tcPr>
            <w:tcW w:w="2413" w:type="dxa"/>
          </w:tcPr>
          <w:p>
            <w:pPr>
              <w:pStyle w:val="GesAbsatz"/>
              <w:tabs>
                <w:tab w:val="left" w:pos="2268"/>
              </w:tabs>
              <w:rPr>
                <w:rFonts w:cs="Arial"/>
              </w:rPr>
            </w:pPr>
            <w:r>
              <w:rPr>
                <w:rFonts w:cs="Arial"/>
              </w:rPr>
              <w:t>Antimon</w:t>
            </w:r>
          </w:p>
        </w:tc>
        <w:tc>
          <w:tcPr>
            <w:tcW w:w="2118" w:type="dxa"/>
          </w:tcPr>
          <w:p>
            <w:pPr>
              <w:pStyle w:val="GesAbsatz"/>
              <w:tabs>
                <w:tab w:val="left" w:pos="2268"/>
              </w:tabs>
              <w:jc w:val="center"/>
              <w:rPr>
                <w:rFonts w:cs="Arial"/>
              </w:rPr>
            </w:pPr>
            <w:r>
              <w:rPr>
                <w:rFonts w:cs="Arial"/>
              </w:rPr>
              <w:t>5</w:t>
            </w:r>
          </w:p>
        </w:tc>
      </w:tr>
      <w:tr>
        <w:trPr>
          <w:trHeight w:val="319"/>
        </w:trPr>
        <w:tc>
          <w:tcPr>
            <w:tcW w:w="2413" w:type="dxa"/>
          </w:tcPr>
          <w:p>
            <w:pPr>
              <w:pStyle w:val="GesAbsatz"/>
              <w:tabs>
                <w:tab w:val="left" w:pos="2268"/>
              </w:tabs>
              <w:rPr>
                <w:rFonts w:cs="Arial"/>
              </w:rPr>
            </w:pPr>
            <w:r>
              <w:rPr>
                <w:rFonts w:cs="Arial"/>
              </w:rPr>
              <w:t>Arsen</w:t>
            </w:r>
          </w:p>
        </w:tc>
        <w:tc>
          <w:tcPr>
            <w:tcW w:w="2118" w:type="dxa"/>
          </w:tcPr>
          <w:p>
            <w:pPr>
              <w:pStyle w:val="GesAbsatz"/>
              <w:tabs>
                <w:tab w:val="left" w:pos="2268"/>
              </w:tabs>
              <w:jc w:val="center"/>
              <w:rPr>
                <w:rFonts w:cs="Arial"/>
              </w:rPr>
            </w:pPr>
            <w:r>
              <w:rPr>
                <w:rFonts w:cs="Arial"/>
              </w:rPr>
              <w:t>10</w:t>
            </w:r>
          </w:p>
        </w:tc>
      </w:tr>
      <w:tr>
        <w:trPr>
          <w:trHeight w:val="319"/>
        </w:trPr>
        <w:tc>
          <w:tcPr>
            <w:tcW w:w="2413" w:type="dxa"/>
          </w:tcPr>
          <w:p>
            <w:pPr>
              <w:pStyle w:val="GesAbsatz"/>
              <w:tabs>
                <w:tab w:val="left" w:pos="2268"/>
              </w:tabs>
              <w:rPr>
                <w:rFonts w:cs="Arial"/>
              </w:rPr>
            </w:pPr>
            <w:r>
              <w:rPr>
                <w:rFonts w:cs="Arial"/>
              </w:rPr>
              <w:lastRenderedPageBreak/>
              <w:t>Blei</w:t>
            </w:r>
          </w:p>
        </w:tc>
        <w:tc>
          <w:tcPr>
            <w:tcW w:w="2118" w:type="dxa"/>
          </w:tcPr>
          <w:p>
            <w:pPr>
              <w:pStyle w:val="GesAbsatz"/>
              <w:tabs>
                <w:tab w:val="left" w:pos="2268"/>
              </w:tabs>
              <w:jc w:val="center"/>
              <w:rPr>
                <w:rFonts w:cs="Arial"/>
              </w:rPr>
            </w:pPr>
            <w:r>
              <w:rPr>
                <w:rFonts w:cs="Arial"/>
              </w:rPr>
              <w:t>10</w:t>
            </w:r>
          </w:p>
        </w:tc>
      </w:tr>
      <w:tr>
        <w:trPr>
          <w:trHeight w:val="319"/>
        </w:trPr>
        <w:tc>
          <w:tcPr>
            <w:tcW w:w="2413" w:type="dxa"/>
          </w:tcPr>
          <w:p>
            <w:pPr>
              <w:pStyle w:val="GesAbsatz"/>
              <w:tabs>
                <w:tab w:val="left" w:pos="2268"/>
              </w:tabs>
              <w:rPr>
                <w:rFonts w:cs="Arial"/>
              </w:rPr>
            </w:pPr>
            <w:r>
              <w:rPr>
                <w:rFonts w:cs="Arial"/>
              </w:rPr>
              <w:t>Bor</w:t>
            </w:r>
          </w:p>
        </w:tc>
        <w:tc>
          <w:tcPr>
            <w:tcW w:w="2118" w:type="dxa"/>
          </w:tcPr>
          <w:p>
            <w:pPr>
              <w:pStyle w:val="GesAbsatz"/>
              <w:tabs>
                <w:tab w:val="left" w:pos="2268"/>
              </w:tabs>
              <w:jc w:val="center"/>
              <w:rPr>
                <w:rFonts w:cs="Arial"/>
              </w:rPr>
            </w:pPr>
            <w:r>
              <w:rPr>
                <w:rFonts w:cs="Arial"/>
              </w:rPr>
              <w:t>1 000</w:t>
            </w:r>
          </w:p>
        </w:tc>
      </w:tr>
      <w:tr>
        <w:trPr>
          <w:trHeight w:val="319"/>
        </w:trPr>
        <w:tc>
          <w:tcPr>
            <w:tcW w:w="2413" w:type="dxa"/>
          </w:tcPr>
          <w:p>
            <w:pPr>
              <w:pStyle w:val="GesAbsatz"/>
              <w:tabs>
                <w:tab w:val="left" w:pos="2268"/>
              </w:tabs>
              <w:rPr>
                <w:rFonts w:cs="Arial"/>
              </w:rPr>
            </w:pPr>
            <w:r>
              <w:rPr>
                <w:rFonts w:cs="Arial"/>
              </w:rPr>
              <w:t>Cadmium</w:t>
            </w:r>
          </w:p>
        </w:tc>
        <w:tc>
          <w:tcPr>
            <w:tcW w:w="2118" w:type="dxa"/>
          </w:tcPr>
          <w:p>
            <w:pPr>
              <w:pStyle w:val="GesAbsatz"/>
              <w:tabs>
                <w:tab w:val="left" w:pos="2268"/>
              </w:tabs>
              <w:jc w:val="center"/>
              <w:rPr>
                <w:rFonts w:cs="Arial"/>
              </w:rPr>
            </w:pPr>
            <w:r>
              <w:rPr>
                <w:rFonts w:cs="Arial"/>
              </w:rPr>
              <w:t>3</w:t>
            </w:r>
          </w:p>
        </w:tc>
      </w:tr>
      <w:tr>
        <w:trPr>
          <w:trHeight w:val="319"/>
        </w:trPr>
        <w:tc>
          <w:tcPr>
            <w:tcW w:w="2413" w:type="dxa"/>
          </w:tcPr>
          <w:p>
            <w:pPr>
              <w:pStyle w:val="GesAbsatz"/>
              <w:tabs>
                <w:tab w:val="left" w:pos="2268"/>
              </w:tabs>
              <w:rPr>
                <w:rFonts w:cs="Arial"/>
              </w:rPr>
            </w:pPr>
            <w:r>
              <w:rPr>
                <w:rFonts w:cs="Arial"/>
              </w:rPr>
              <w:t>Chromgesamt</w:t>
            </w:r>
          </w:p>
        </w:tc>
        <w:tc>
          <w:tcPr>
            <w:tcW w:w="2118" w:type="dxa"/>
          </w:tcPr>
          <w:p>
            <w:pPr>
              <w:pStyle w:val="GesAbsatz"/>
              <w:tabs>
                <w:tab w:val="left" w:pos="2268"/>
              </w:tabs>
              <w:jc w:val="center"/>
              <w:rPr>
                <w:rFonts w:cs="Arial"/>
              </w:rPr>
            </w:pPr>
            <w:r>
              <w:rPr>
                <w:rFonts w:cs="Arial"/>
              </w:rPr>
              <w:t>50</w:t>
            </w:r>
          </w:p>
        </w:tc>
      </w:tr>
      <w:tr>
        <w:trPr>
          <w:trHeight w:val="319"/>
        </w:trPr>
        <w:tc>
          <w:tcPr>
            <w:tcW w:w="2413" w:type="dxa"/>
          </w:tcPr>
          <w:p>
            <w:pPr>
              <w:pStyle w:val="GesAbsatz"/>
              <w:tabs>
                <w:tab w:val="left" w:pos="2268"/>
              </w:tabs>
              <w:rPr>
                <w:rFonts w:cs="Arial"/>
                <w:vertAlign w:val="subscript"/>
              </w:rPr>
            </w:pPr>
            <w:r>
              <w:rPr>
                <w:rFonts w:cs="Arial"/>
              </w:rPr>
              <w:t>Chrom</w:t>
            </w:r>
            <w:r>
              <w:rPr>
                <w:rFonts w:cs="Arial"/>
                <w:vertAlign w:val="subscript"/>
              </w:rPr>
              <w:t>VI</w:t>
            </w:r>
          </w:p>
        </w:tc>
        <w:tc>
          <w:tcPr>
            <w:tcW w:w="2118" w:type="dxa"/>
          </w:tcPr>
          <w:p>
            <w:pPr>
              <w:pStyle w:val="GesAbsatz"/>
              <w:tabs>
                <w:tab w:val="left" w:pos="2268"/>
              </w:tabs>
              <w:jc w:val="center"/>
              <w:rPr>
                <w:rFonts w:cs="Arial"/>
              </w:rPr>
            </w:pPr>
            <w:r>
              <w:rPr>
                <w:rFonts w:cs="Arial"/>
              </w:rPr>
              <w:t>8</w:t>
            </w:r>
          </w:p>
        </w:tc>
      </w:tr>
      <w:tr>
        <w:trPr>
          <w:trHeight w:val="319"/>
        </w:trPr>
        <w:tc>
          <w:tcPr>
            <w:tcW w:w="2413" w:type="dxa"/>
          </w:tcPr>
          <w:p>
            <w:pPr>
              <w:pStyle w:val="GesAbsatz"/>
              <w:tabs>
                <w:tab w:val="left" w:pos="2268"/>
              </w:tabs>
              <w:rPr>
                <w:rFonts w:cs="Arial"/>
              </w:rPr>
            </w:pPr>
            <w:r>
              <w:rPr>
                <w:rFonts w:cs="Arial"/>
              </w:rPr>
              <w:t>Kobalt</w:t>
            </w:r>
          </w:p>
        </w:tc>
        <w:tc>
          <w:tcPr>
            <w:tcW w:w="2118" w:type="dxa"/>
          </w:tcPr>
          <w:p>
            <w:pPr>
              <w:pStyle w:val="GesAbsatz"/>
              <w:tabs>
                <w:tab w:val="left" w:pos="2268"/>
              </w:tabs>
              <w:jc w:val="center"/>
              <w:rPr>
                <w:rFonts w:cs="Arial"/>
              </w:rPr>
            </w:pPr>
            <w:r>
              <w:rPr>
                <w:rFonts w:cs="Arial"/>
              </w:rPr>
              <w:t>10</w:t>
            </w:r>
          </w:p>
        </w:tc>
      </w:tr>
      <w:tr>
        <w:trPr>
          <w:trHeight w:val="319"/>
        </w:trPr>
        <w:tc>
          <w:tcPr>
            <w:tcW w:w="2413" w:type="dxa"/>
          </w:tcPr>
          <w:p>
            <w:pPr>
              <w:pStyle w:val="GesAbsatz"/>
              <w:tabs>
                <w:tab w:val="left" w:pos="2268"/>
              </w:tabs>
              <w:rPr>
                <w:rFonts w:cs="Arial"/>
              </w:rPr>
            </w:pPr>
            <w:r>
              <w:rPr>
                <w:rFonts w:cs="Arial"/>
              </w:rPr>
              <w:t>Kupfer</w:t>
            </w:r>
          </w:p>
        </w:tc>
        <w:tc>
          <w:tcPr>
            <w:tcW w:w="2118" w:type="dxa"/>
          </w:tcPr>
          <w:p>
            <w:pPr>
              <w:pStyle w:val="GesAbsatz"/>
              <w:tabs>
                <w:tab w:val="left" w:pos="2268"/>
              </w:tabs>
              <w:jc w:val="center"/>
              <w:rPr>
                <w:rFonts w:cs="Arial"/>
              </w:rPr>
            </w:pPr>
            <w:r>
              <w:rPr>
                <w:rFonts w:cs="Arial"/>
              </w:rPr>
              <w:t>50</w:t>
            </w:r>
          </w:p>
        </w:tc>
      </w:tr>
      <w:tr>
        <w:trPr>
          <w:trHeight w:val="319"/>
        </w:trPr>
        <w:tc>
          <w:tcPr>
            <w:tcW w:w="2413" w:type="dxa"/>
          </w:tcPr>
          <w:p>
            <w:pPr>
              <w:pStyle w:val="GesAbsatz"/>
              <w:tabs>
                <w:tab w:val="left" w:pos="2268"/>
              </w:tabs>
              <w:rPr>
                <w:rFonts w:cs="Arial"/>
              </w:rPr>
            </w:pPr>
            <w:r>
              <w:rPr>
                <w:rFonts w:cs="Arial"/>
              </w:rPr>
              <w:t>Molybdän</w:t>
            </w:r>
          </w:p>
        </w:tc>
        <w:tc>
          <w:tcPr>
            <w:tcW w:w="2118" w:type="dxa"/>
          </w:tcPr>
          <w:p>
            <w:pPr>
              <w:pStyle w:val="GesAbsatz"/>
              <w:tabs>
                <w:tab w:val="left" w:pos="2268"/>
              </w:tabs>
              <w:jc w:val="center"/>
              <w:rPr>
                <w:rFonts w:cs="Arial"/>
              </w:rPr>
            </w:pPr>
            <w:r>
              <w:rPr>
                <w:rFonts w:cs="Arial"/>
              </w:rPr>
              <w:t>35</w:t>
            </w:r>
          </w:p>
        </w:tc>
      </w:tr>
      <w:tr>
        <w:trPr>
          <w:trHeight w:val="319"/>
        </w:trPr>
        <w:tc>
          <w:tcPr>
            <w:tcW w:w="2413" w:type="dxa"/>
          </w:tcPr>
          <w:p>
            <w:pPr>
              <w:pStyle w:val="GesAbsatz"/>
              <w:tabs>
                <w:tab w:val="left" w:pos="2268"/>
              </w:tabs>
              <w:rPr>
                <w:rFonts w:cs="Arial"/>
              </w:rPr>
            </w:pPr>
            <w:r>
              <w:rPr>
                <w:rFonts w:cs="Arial"/>
              </w:rPr>
              <w:t>Nickel</w:t>
            </w:r>
          </w:p>
        </w:tc>
        <w:tc>
          <w:tcPr>
            <w:tcW w:w="2118" w:type="dxa"/>
          </w:tcPr>
          <w:p>
            <w:pPr>
              <w:pStyle w:val="GesAbsatz"/>
              <w:tabs>
                <w:tab w:val="left" w:pos="2268"/>
              </w:tabs>
              <w:jc w:val="center"/>
              <w:rPr>
                <w:rFonts w:cs="Arial"/>
              </w:rPr>
            </w:pPr>
            <w:r>
              <w:rPr>
                <w:rFonts w:cs="Arial"/>
              </w:rPr>
              <w:t>20</w:t>
            </w:r>
          </w:p>
        </w:tc>
      </w:tr>
      <w:tr>
        <w:trPr>
          <w:trHeight w:val="319"/>
        </w:trPr>
        <w:tc>
          <w:tcPr>
            <w:tcW w:w="2413" w:type="dxa"/>
          </w:tcPr>
          <w:p>
            <w:pPr>
              <w:pStyle w:val="GesAbsatz"/>
              <w:tabs>
                <w:tab w:val="left" w:pos="2268"/>
              </w:tabs>
              <w:rPr>
                <w:rFonts w:cs="Arial"/>
              </w:rPr>
            </w:pPr>
            <w:r>
              <w:rPr>
                <w:rFonts w:cs="Arial"/>
              </w:rPr>
              <w:t>Quecksilber</w:t>
            </w:r>
          </w:p>
        </w:tc>
        <w:tc>
          <w:tcPr>
            <w:tcW w:w="2118" w:type="dxa"/>
          </w:tcPr>
          <w:p>
            <w:pPr>
              <w:pStyle w:val="GesAbsatz"/>
              <w:tabs>
                <w:tab w:val="left" w:pos="2268"/>
              </w:tabs>
              <w:jc w:val="center"/>
              <w:rPr>
                <w:rFonts w:cs="Arial"/>
              </w:rPr>
            </w:pPr>
            <w:r>
              <w:rPr>
                <w:rFonts w:cs="Arial"/>
              </w:rPr>
              <w:t>1</w:t>
            </w:r>
          </w:p>
        </w:tc>
      </w:tr>
      <w:tr>
        <w:trPr>
          <w:trHeight w:val="319"/>
        </w:trPr>
        <w:tc>
          <w:tcPr>
            <w:tcW w:w="2413" w:type="dxa"/>
          </w:tcPr>
          <w:p>
            <w:pPr>
              <w:pStyle w:val="GesAbsatz"/>
              <w:tabs>
                <w:tab w:val="left" w:pos="2268"/>
              </w:tabs>
              <w:rPr>
                <w:rFonts w:cs="Arial"/>
              </w:rPr>
            </w:pPr>
            <w:r>
              <w:rPr>
                <w:rFonts w:cs="Arial"/>
              </w:rPr>
              <w:t>Selen</w:t>
            </w:r>
          </w:p>
        </w:tc>
        <w:tc>
          <w:tcPr>
            <w:tcW w:w="2118" w:type="dxa"/>
          </w:tcPr>
          <w:p>
            <w:pPr>
              <w:pStyle w:val="GesAbsatz"/>
              <w:tabs>
                <w:tab w:val="left" w:pos="2268"/>
              </w:tabs>
              <w:jc w:val="center"/>
              <w:rPr>
                <w:rFonts w:cs="Arial"/>
              </w:rPr>
            </w:pPr>
            <w:r>
              <w:rPr>
                <w:rFonts w:cs="Arial"/>
              </w:rPr>
              <w:t>10</w:t>
            </w:r>
          </w:p>
        </w:tc>
      </w:tr>
      <w:tr>
        <w:trPr>
          <w:trHeight w:val="319"/>
        </w:trPr>
        <w:tc>
          <w:tcPr>
            <w:tcW w:w="2413" w:type="dxa"/>
          </w:tcPr>
          <w:p>
            <w:pPr>
              <w:pStyle w:val="GesAbsatz"/>
              <w:tabs>
                <w:tab w:val="left" w:pos="2268"/>
              </w:tabs>
              <w:rPr>
                <w:rFonts w:cs="Arial"/>
              </w:rPr>
            </w:pPr>
            <w:r>
              <w:rPr>
                <w:rFonts w:cs="Arial"/>
              </w:rPr>
              <w:t>Zink</w:t>
            </w:r>
          </w:p>
        </w:tc>
        <w:tc>
          <w:tcPr>
            <w:tcW w:w="2118" w:type="dxa"/>
          </w:tcPr>
          <w:p>
            <w:pPr>
              <w:pStyle w:val="GesAbsatz"/>
              <w:tabs>
                <w:tab w:val="left" w:pos="2268"/>
              </w:tabs>
              <w:jc w:val="center"/>
              <w:rPr>
                <w:rFonts w:cs="Arial"/>
              </w:rPr>
            </w:pPr>
            <w:r>
              <w:rPr>
                <w:rFonts w:cs="Arial"/>
              </w:rPr>
              <w:t>600</w:t>
            </w:r>
          </w:p>
        </w:tc>
      </w:tr>
      <w:tr>
        <w:trPr>
          <w:trHeight w:val="319"/>
        </w:trPr>
        <w:tc>
          <w:tcPr>
            <w:tcW w:w="2413" w:type="dxa"/>
          </w:tcPr>
          <w:p>
            <w:pPr>
              <w:pStyle w:val="GesAbsatz"/>
              <w:tabs>
                <w:tab w:val="left" w:pos="2268"/>
              </w:tabs>
              <w:rPr>
                <w:rFonts w:cs="Arial"/>
                <w:vertAlign w:val="subscript"/>
              </w:rPr>
            </w:pPr>
            <w:r>
              <w:rPr>
                <w:rFonts w:cs="Arial"/>
              </w:rPr>
              <w:t>Cyanide</w:t>
            </w:r>
            <w:r>
              <w:rPr>
                <w:rFonts w:cs="Arial"/>
                <w:vertAlign w:val="subscript"/>
              </w:rPr>
              <w:t>gesamt</w:t>
            </w:r>
          </w:p>
        </w:tc>
        <w:tc>
          <w:tcPr>
            <w:tcW w:w="2118" w:type="dxa"/>
          </w:tcPr>
          <w:p>
            <w:pPr>
              <w:pStyle w:val="GesAbsatz"/>
              <w:tabs>
                <w:tab w:val="left" w:pos="2268"/>
              </w:tabs>
              <w:jc w:val="center"/>
              <w:rPr>
                <w:rFonts w:cs="Arial"/>
              </w:rPr>
            </w:pPr>
            <w:r>
              <w:rPr>
                <w:rFonts w:cs="Arial"/>
              </w:rPr>
              <w:t>50</w:t>
            </w:r>
          </w:p>
        </w:tc>
      </w:tr>
      <w:tr>
        <w:trPr>
          <w:trHeight w:val="319"/>
        </w:trPr>
        <w:tc>
          <w:tcPr>
            <w:tcW w:w="2413" w:type="dxa"/>
          </w:tcPr>
          <w:p>
            <w:pPr>
              <w:pStyle w:val="GesAbsatz"/>
              <w:tabs>
                <w:tab w:val="left" w:pos="2268"/>
              </w:tabs>
              <w:rPr>
                <w:rFonts w:cs="Arial"/>
              </w:rPr>
            </w:pPr>
            <w:r>
              <w:rPr>
                <w:rFonts w:cs="Arial"/>
              </w:rPr>
              <w:t>Cyanide</w:t>
            </w:r>
            <w:r>
              <w:rPr>
                <w:rFonts w:cs="Arial"/>
                <w:vertAlign w:val="subscript"/>
              </w:rPr>
              <w:t>leicht freisetzbar</w:t>
            </w:r>
          </w:p>
        </w:tc>
        <w:tc>
          <w:tcPr>
            <w:tcW w:w="2118" w:type="dxa"/>
          </w:tcPr>
          <w:p>
            <w:pPr>
              <w:pStyle w:val="GesAbsatz"/>
              <w:tabs>
                <w:tab w:val="left" w:pos="2268"/>
              </w:tabs>
              <w:jc w:val="center"/>
              <w:rPr>
                <w:rFonts w:cs="Arial"/>
              </w:rPr>
            </w:pPr>
            <w:r>
              <w:rPr>
                <w:rFonts w:cs="Arial"/>
              </w:rPr>
              <w:t>10</w:t>
            </w:r>
          </w:p>
        </w:tc>
      </w:tr>
      <w:tr>
        <w:trPr>
          <w:trHeight w:val="319"/>
        </w:trPr>
        <w:tc>
          <w:tcPr>
            <w:tcW w:w="2413" w:type="dxa"/>
          </w:tcPr>
          <w:p>
            <w:pPr>
              <w:pStyle w:val="GesAbsatz"/>
              <w:tabs>
                <w:tab w:val="left" w:pos="2268"/>
              </w:tabs>
              <w:rPr>
                <w:rFonts w:cs="Arial"/>
              </w:rPr>
            </w:pPr>
            <w:r>
              <w:rPr>
                <w:rFonts w:cs="Arial"/>
              </w:rPr>
              <w:t>Fluorid</w:t>
            </w:r>
          </w:p>
        </w:tc>
        <w:tc>
          <w:tcPr>
            <w:tcW w:w="2118" w:type="dxa"/>
          </w:tcPr>
          <w:p>
            <w:pPr>
              <w:pStyle w:val="GesAbsatz"/>
              <w:tabs>
                <w:tab w:val="left" w:pos="2268"/>
              </w:tabs>
              <w:jc w:val="center"/>
              <w:rPr>
                <w:rFonts w:cs="Arial"/>
              </w:rPr>
            </w:pPr>
            <w:r>
              <w:rPr>
                <w:rFonts w:cs="Arial"/>
              </w:rPr>
              <w:t>1 500</w:t>
            </w:r>
          </w:p>
        </w:tc>
      </w:tr>
    </w:tbl>
    <w:p>
      <w:pPr>
        <w:pStyle w:val="GesAbsatz"/>
        <w:tabs>
          <w:tab w:val="left" w:pos="2268"/>
        </w:tabs>
        <w:rPr>
          <w:rFonts w:cs="Arial"/>
        </w:rPr>
      </w:pPr>
    </w:p>
    <w:p>
      <w:pPr>
        <w:pStyle w:val="GesAbsatz"/>
        <w:tabs>
          <w:tab w:val="clear" w:pos="425"/>
          <w:tab w:val="left" w:pos="2268"/>
        </w:tabs>
        <w:rPr>
          <w:rFonts w:cs="Arial"/>
        </w:rPr>
      </w:pPr>
      <w:r>
        <w:rPr>
          <w:rFonts w:cs="Arial"/>
        </w:rPr>
        <w:t>Tabelle 3: Prüfwerte für organische Stoffe für den Wirkungspfad Boden-Grundwasser am Ort der Probennahme und im Sickerwasser am Ort der Beurteilung</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5661"/>
        <w:gridCol w:w="3688"/>
      </w:tblGrid>
      <w:tr>
        <w:trPr>
          <w:trHeight w:val="332"/>
        </w:trPr>
        <w:tc>
          <w:tcPr>
            <w:tcW w:w="5661" w:type="dxa"/>
          </w:tcPr>
          <w:p>
            <w:pPr>
              <w:pStyle w:val="GesAbsatz"/>
              <w:tabs>
                <w:tab w:val="left" w:pos="2268"/>
              </w:tabs>
              <w:jc w:val="center"/>
              <w:rPr>
                <w:rFonts w:cs="Arial"/>
              </w:rPr>
            </w:pPr>
            <w:r>
              <w:rPr>
                <w:rFonts w:cs="Arial"/>
              </w:rPr>
              <w:t>Stoff</w:t>
            </w:r>
          </w:p>
        </w:tc>
        <w:tc>
          <w:tcPr>
            <w:tcW w:w="3688" w:type="dxa"/>
          </w:tcPr>
          <w:p>
            <w:pPr>
              <w:pStyle w:val="GesAbsatz"/>
              <w:tabs>
                <w:tab w:val="left" w:pos="2268"/>
              </w:tabs>
              <w:jc w:val="center"/>
              <w:rPr>
                <w:rFonts w:cs="Arial"/>
              </w:rPr>
            </w:pPr>
            <w:r>
              <w:rPr>
                <w:rFonts w:cs="Arial"/>
              </w:rPr>
              <w:t>Prüfwert</w:t>
            </w:r>
          </w:p>
        </w:tc>
      </w:tr>
      <w:tr>
        <w:trPr>
          <w:trHeight w:val="332"/>
        </w:trPr>
        <w:tc>
          <w:tcPr>
            <w:tcW w:w="5661" w:type="dxa"/>
          </w:tcPr>
          <w:p>
            <w:pPr>
              <w:pStyle w:val="GesAbsatz"/>
              <w:tabs>
                <w:tab w:val="left" w:pos="2268"/>
              </w:tabs>
              <w:rPr>
                <w:rFonts w:cs="Arial"/>
              </w:rPr>
            </w:pPr>
          </w:p>
        </w:tc>
        <w:tc>
          <w:tcPr>
            <w:tcW w:w="3688" w:type="dxa"/>
          </w:tcPr>
          <w:p>
            <w:pPr>
              <w:pStyle w:val="GesAbsatz"/>
              <w:tabs>
                <w:tab w:val="left" w:pos="2268"/>
              </w:tabs>
              <w:jc w:val="center"/>
              <w:rPr>
                <w:rFonts w:cs="Arial"/>
              </w:rPr>
            </w:pPr>
            <w:r>
              <w:rPr>
                <w:rFonts w:cs="Arial"/>
              </w:rPr>
              <w:t>[µg/l]</w:t>
            </w:r>
          </w:p>
        </w:tc>
      </w:tr>
      <w:tr>
        <w:trPr>
          <w:trHeight w:val="312"/>
        </w:trPr>
        <w:tc>
          <w:tcPr>
            <w:tcW w:w="5661" w:type="dxa"/>
          </w:tcPr>
          <w:p>
            <w:pPr>
              <w:pStyle w:val="GesAbsatz"/>
              <w:tabs>
                <w:tab w:val="left" w:pos="2268"/>
              </w:tabs>
              <w:rPr>
                <w:rFonts w:cs="Arial"/>
              </w:rPr>
            </w:pPr>
            <w:r>
              <w:rPr>
                <w:rFonts w:cs="Arial"/>
              </w:rPr>
              <w:t>Aldrin</w:t>
            </w:r>
          </w:p>
        </w:tc>
        <w:tc>
          <w:tcPr>
            <w:tcW w:w="3688" w:type="dxa"/>
          </w:tcPr>
          <w:p>
            <w:pPr>
              <w:pStyle w:val="GesAbsatz"/>
              <w:tabs>
                <w:tab w:val="left" w:pos="2268"/>
              </w:tabs>
              <w:jc w:val="center"/>
              <w:rPr>
                <w:rFonts w:cs="Arial"/>
              </w:rPr>
            </w:pPr>
            <w:r>
              <w:rPr>
                <w:rFonts w:cs="Arial"/>
              </w:rPr>
              <w:t>0,03</w:t>
            </w:r>
          </w:p>
        </w:tc>
      </w:tr>
      <w:tr>
        <w:trPr>
          <w:trHeight w:val="312"/>
        </w:trPr>
        <w:tc>
          <w:tcPr>
            <w:tcW w:w="5661" w:type="dxa"/>
          </w:tcPr>
          <w:p>
            <w:pPr>
              <w:pStyle w:val="GesAbsatz"/>
              <w:tabs>
                <w:tab w:val="left" w:pos="2268"/>
              </w:tabs>
              <w:rPr>
                <w:rFonts w:cs="Arial"/>
              </w:rPr>
            </w:pPr>
            <w:r>
              <w:rPr>
                <w:rFonts w:cs="Arial"/>
              </w:rPr>
              <w:t>Summe alkylierte Benzole (BTEX)</w:t>
            </w:r>
            <w:r>
              <w:rPr>
                <w:rFonts w:cs="Arial"/>
                <w:vertAlign w:val="superscript"/>
              </w:rPr>
              <w:t>1</w:t>
            </w:r>
          </w:p>
        </w:tc>
        <w:tc>
          <w:tcPr>
            <w:tcW w:w="3688" w:type="dxa"/>
          </w:tcPr>
          <w:p>
            <w:pPr>
              <w:pStyle w:val="GesAbsatz"/>
              <w:tabs>
                <w:tab w:val="left" w:pos="2268"/>
              </w:tabs>
              <w:jc w:val="center"/>
              <w:rPr>
                <w:rFonts w:cs="Arial"/>
              </w:rPr>
            </w:pPr>
            <w:r>
              <w:rPr>
                <w:rFonts w:cs="Arial"/>
              </w:rPr>
              <w:t>20</w:t>
            </w:r>
          </w:p>
        </w:tc>
      </w:tr>
      <w:tr>
        <w:trPr>
          <w:trHeight w:val="312"/>
        </w:trPr>
        <w:tc>
          <w:tcPr>
            <w:tcW w:w="5661" w:type="dxa"/>
          </w:tcPr>
          <w:p>
            <w:pPr>
              <w:pStyle w:val="GesAbsatz"/>
              <w:tabs>
                <w:tab w:val="left" w:pos="2268"/>
              </w:tabs>
              <w:rPr>
                <w:rFonts w:cs="Arial"/>
              </w:rPr>
            </w:pPr>
            <w:r>
              <w:rPr>
                <w:rFonts w:cs="Arial"/>
              </w:rPr>
              <w:t>Benzol</w:t>
            </w:r>
          </w:p>
        </w:tc>
        <w:tc>
          <w:tcPr>
            <w:tcW w:w="3688" w:type="dxa"/>
          </w:tcPr>
          <w:p>
            <w:pPr>
              <w:pStyle w:val="GesAbsatz"/>
              <w:tabs>
                <w:tab w:val="left" w:pos="2268"/>
              </w:tabs>
              <w:jc w:val="center"/>
              <w:rPr>
                <w:rFonts w:cs="Arial"/>
              </w:rPr>
            </w:pPr>
            <w:r>
              <w:rPr>
                <w:rFonts w:cs="Arial"/>
              </w:rPr>
              <w:t>1</w:t>
            </w:r>
          </w:p>
        </w:tc>
      </w:tr>
      <w:tr>
        <w:trPr>
          <w:trHeight w:val="312"/>
        </w:trPr>
        <w:tc>
          <w:tcPr>
            <w:tcW w:w="5661" w:type="dxa"/>
          </w:tcPr>
          <w:p>
            <w:pPr>
              <w:pStyle w:val="GesAbsatz"/>
              <w:tabs>
                <w:tab w:val="left" w:pos="2268"/>
              </w:tabs>
              <w:rPr>
                <w:rFonts w:cs="Arial"/>
              </w:rPr>
            </w:pPr>
            <w:r>
              <w:rPr>
                <w:rFonts w:cs="Arial"/>
              </w:rPr>
              <w:t>Summe Chlorbenzole</w:t>
            </w:r>
          </w:p>
        </w:tc>
        <w:tc>
          <w:tcPr>
            <w:tcW w:w="3688" w:type="dxa"/>
          </w:tcPr>
          <w:p>
            <w:pPr>
              <w:pStyle w:val="GesAbsatz"/>
              <w:tabs>
                <w:tab w:val="left" w:pos="2268"/>
              </w:tabs>
              <w:jc w:val="center"/>
              <w:rPr>
                <w:rFonts w:cs="Arial"/>
              </w:rPr>
            </w:pPr>
            <w:r>
              <w:rPr>
                <w:rFonts w:cs="Arial"/>
              </w:rPr>
              <w:t>2</w:t>
            </w:r>
          </w:p>
        </w:tc>
      </w:tr>
      <w:tr>
        <w:trPr>
          <w:trHeight w:val="312"/>
        </w:trPr>
        <w:tc>
          <w:tcPr>
            <w:tcW w:w="5661" w:type="dxa"/>
          </w:tcPr>
          <w:p>
            <w:pPr>
              <w:pStyle w:val="GesAbsatz"/>
              <w:tabs>
                <w:tab w:val="left" w:pos="2268"/>
              </w:tabs>
              <w:rPr>
                <w:rFonts w:cs="Arial"/>
              </w:rPr>
            </w:pPr>
            <w:r>
              <w:rPr>
                <w:rFonts w:cs="Arial"/>
              </w:rPr>
              <w:t>Chlorethen (Vinylchlorid)</w:t>
            </w:r>
          </w:p>
        </w:tc>
        <w:tc>
          <w:tcPr>
            <w:tcW w:w="3688" w:type="dxa"/>
          </w:tcPr>
          <w:p>
            <w:pPr>
              <w:pStyle w:val="GesAbsatz"/>
              <w:tabs>
                <w:tab w:val="left" w:pos="2268"/>
              </w:tabs>
              <w:jc w:val="center"/>
              <w:rPr>
                <w:rFonts w:cs="Arial"/>
              </w:rPr>
            </w:pPr>
            <w:r>
              <w:rPr>
                <w:rFonts w:cs="Arial"/>
              </w:rPr>
              <w:t>0,5</w:t>
            </w:r>
          </w:p>
        </w:tc>
      </w:tr>
      <w:tr>
        <w:trPr>
          <w:trHeight w:val="312"/>
        </w:trPr>
        <w:tc>
          <w:tcPr>
            <w:tcW w:w="5661" w:type="dxa"/>
          </w:tcPr>
          <w:p>
            <w:pPr>
              <w:pStyle w:val="GesAbsatz"/>
              <w:tabs>
                <w:tab w:val="left" w:pos="2268"/>
              </w:tabs>
              <w:rPr>
                <w:rFonts w:cs="Arial"/>
              </w:rPr>
            </w:pPr>
            <w:r>
              <w:rPr>
                <w:rFonts w:cs="Arial"/>
              </w:rPr>
              <w:t>Summe Chlorphenole</w:t>
            </w:r>
          </w:p>
        </w:tc>
        <w:tc>
          <w:tcPr>
            <w:tcW w:w="3688" w:type="dxa"/>
          </w:tcPr>
          <w:p>
            <w:pPr>
              <w:pStyle w:val="GesAbsatz"/>
              <w:tabs>
                <w:tab w:val="left" w:pos="2268"/>
              </w:tabs>
              <w:jc w:val="center"/>
              <w:rPr>
                <w:rFonts w:cs="Arial"/>
              </w:rPr>
            </w:pPr>
            <w:r>
              <w:rPr>
                <w:rFonts w:cs="Arial"/>
              </w:rPr>
              <w:t>2</w:t>
            </w:r>
          </w:p>
        </w:tc>
      </w:tr>
      <w:tr>
        <w:trPr>
          <w:trHeight w:val="312"/>
        </w:trPr>
        <w:tc>
          <w:tcPr>
            <w:tcW w:w="5661" w:type="dxa"/>
          </w:tcPr>
          <w:p>
            <w:pPr>
              <w:pStyle w:val="GesAbsatz"/>
              <w:tabs>
                <w:tab w:val="left" w:pos="2268"/>
              </w:tabs>
              <w:rPr>
                <w:rFonts w:cs="Arial"/>
              </w:rPr>
            </w:pPr>
            <w:r>
              <w:rPr>
                <w:rFonts w:cs="Arial"/>
              </w:rPr>
              <w:t>Hexachlorbenzol (HCB)</w:t>
            </w:r>
          </w:p>
        </w:tc>
        <w:tc>
          <w:tcPr>
            <w:tcW w:w="3688" w:type="dxa"/>
          </w:tcPr>
          <w:p>
            <w:pPr>
              <w:pStyle w:val="GesAbsatz"/>
              <w:tabs>
                <w:tab w:val="left" w:pos="2268"/>
              </w:tabs>
              <w:jc w:val="center"/>
              <w:rPr>
                <w:rFonts w:cs="Arial"/>
              </w:rPr>
            </w:pPr>
            <w:r>
              <w:rPr>
                <w:rFonts w:cs="Arial"/>
              </w:rPr>
              <w:t>0,1</w:t>
            </w:r>
          </w:p>
        </w:tc>
      </w:tr>
      <w:tr>
        <w:trPr>
          <w:trHeight w:val="312"/>
        </w:trPr>
        <w:tc>
          <w:tcPr>
            <w:tcW w:w="5661" w:type="dxa"/>
          </w:tcPr>
          <w:p>
            <w:pPr>
              <w:pStyle w:val="GesAbsatz"/>
              <w:tabs>
                <w:tab w:val="left" w:pos="2268"/>
              </w:tabs>
              <w:rPr>
                <w:rFonts w:cs="Arial"/>
              </w:rPr>
            </w:pPr>
            <w:r>
              <w:rPr>
                <w:rFonts w:cs="Arial"/>
              </w:rPr>
              <w:t>Summe Kohlenwasserstoffe</w:t>
            </w:r>
            <w:r>
              <w:rPr>
                <w:rFonts w:cs="Arial"/>
                <w:vertAlign w:val="superscript"/>
              </w:rPr>
              <w:t>2</w:t>
            </w:r>
          </w:p>
        </w:tc>
        <w:tc>
          <w:tcPr>
            <w:tcW w:w="3688" w:type="dxa"/>
          </w:tcPr>
          <w:p>
            <w:pPr>
              <w:pStyle w:val="GesAbsatz"/>
              <w:tabs>
                <w:tab w:val="left" w:pos="2268"/>
              </w:tabs>
              <w:jc w:val="center"/>
              <w:rPr>
                <w:rFonts w:cs="Arial"/>
              </w:rPr>
            </w:pPr>
            <w:r>
              <w:rPr>
                <w:rFonts w:cs="Arial"/>
              </w:rPr>
              <w:t>200</w:t>
            </w:r>
          </w:p>
        </w:tc>
      </w:tr>
      <w:tr>
        <w:trPr>
          <w:trHeight w:val="312"/>
        </w:trPr>
        <w:tc>
          <w:tcPr>
            <w:tcW w:w="5661" w:type="dxa"/>
          </w:tcPr>
          <w:p>
            <w:pPr>
              <w:pStyle w:val="GesAbsatz"/>
              <w:tabs>
                <w:tab w:val="left" w:pos="2268"/>
              </w:tabs>
              <w:rPr>
                <w:rFonts w:cs="Arial"/>
              </w:rPr>
            </w:pPr>
            <w:r>
              <w:rPr>
                <w:rFonts w:cs="Arial"/>
              </w:rPr>
              <w:t>Summe leichtflüchtige Halogenkohlenwasserstoffe (LHKW)</w:t>
            </w:r>
            <w:r>
              <w:rPr>
                <w:rFonts w:cs="Arial"/>
                <w:vertAlign w:val="superscript"/>
              </w:rPr>
              <w:t>3</w:t>
            </w:r>
          </w:p>
        </w:tc>
        <w:tc>
          <w:tcPr>
            <w:tcW w:w="3688" w:type="dxa"/>
          </w:tcPr>
          <w:p>
            <w:pPr>
              <w:pStyle w:val="GesAbsatz"/>
              <w:tabs>
                <w:tab w:val="left" w:pos="2268"/>
              </w:tabs>
              <w:jc w:val="center"/>
              <w:rPr>
                <w:rFonts w:cs="Arial"/>
              </w:rPr>
            </w:pPr>
            <w:r>
              <w:rPr>
                <w:rFonts w:cs="Arial"/>
              </w:rPr>
              <w:t>20</w:t>
            </w:r>
          </w:p>
        </w:tc>
      </w:tr>
      <w:tr>
        <w:trPr>
          <w:trHeight w:val="312"/>
        </w:trPr>
        <w:tc>
          <w:tcPr>
            <w:tcW w:w="5661" w:type="dxa"/>
          </w:tcPr>
          <w:p>
            <w:pPr>
              <w:pStyle w:val="GesAbsatz"/>
              <w:tabs>
                <w:tab w:val="left" w:pos="2268"/>
              </w:tabs>
              <w:rPr>
                <w:rFonts w:cs="Arial"/>
              </w:rPr>
            </w:pPr>
            <w:r>
              <w:rPr>
                <w:rFonts w:cs="Arial"/>
              </w:rPr>
              <w:t>Summe Tri- und Tetrachlorethen</w:t>
            </w:r>
          </w:p>
        </w:tc>
        <w:tc>
          <w:tcPr>
            <w:tcW w:w="3688" w:type="dxa"/>
          </w:tcPr>
          <w:p>
            <w:pPr>
              <w:pStyle w:val="GesAbsatz"/>
              <w:tabs>
                <w:tab w:val="left" w:pos="2268"/>
              </w:tabs>
              <w:jc w:val="center"/>
              <w:rPr>
                <w:rFonts w:cs="Arial"/>
              </w:rPr>
            </w:pPr>
            <w:r>
              <w:rPr>
                <w:rFonts w:cs="Arial"/>
              </w:rPr>
              <w:t>10</w:t>
            </w:r>
          </w:p>
        </w:tc>
      </w:tr>
      <w:tr>
        <w:trPr>
          <w:trHeight w:val="312"/>
        </w:trPr>
        <w:tc>
          <w:tcPr>
            <w:tcW w:w="5661" w:type="dxa"/>
          </w:tcPr>
          <w:p>
            <w:pPr>
              <w:pStyle w:val="GesAbsatz"/>
              <w:tabs>
                <w:tab w:val="left" w:pos="2268"/>
              </w:tabs>
              <w:rPr>
                <w:rFonts w:cs="Arial"/>
              </w:rPr>
            </w:pPr>
            <w:r>
              <w:rPr>
                <w:rFonts w:cs="Arial"/>
              </w:rPr>
              <w:t>Methyl-tertiär-butylether (MTBE)</w:t>
            </w:r>
          </w:p>
        </w:tc>
        <w:tc>
          <w:tcPr>
            <w:tcW w:w="3688" w:type="dxa"/>
          </w:tcPr>
          <w:p>
            <w:pPr>
              <w:pStyle w:val="GesAbsatz"/>
              <w:tabs>
                <w:tab w:val="left" w:pos="2268"/>
              </w:tabs>
              <w:jc w:val="center"/>
              <w:rPr>
                <w:rFonts w:cs="Arial"/>
              </w:rPr>
            </w:pPr>
            <w:r>
              <w:rPr>
                <w:rFonts w:cs="Arial"/>
              </w:rPr>
              <w:t>10</w:t>
            </w:r>
          </w:p>
        </w:tc>
      </w:tr>
      <w:tr>
        <w:trPr>
          <w:trHeight w:val="511"/>
        </w:trPr>
        <w:tc>
          <w:tcPr>
            <w:tcW w:w="5661" w:type="dxa"/>
          </w:tcPr>
          <w:p>
            <w:pPr>
              <w:pStyle w:val="GesAbsatz"/>
              <w:tabs>
                <w:tab w:val="left" w:pos="2268"/>
              </w:tabs>
              <w:jc w:val="left"/>
              <w:rPr>
                <w:rFonts w:cs="Arial"/>
              </w:rPr>
            </w:pPr>
            <w:r>
              <w:rPr>
                <w:rFonts w:cs="Arial"/>
              </w:rPr>
              <w:t>Summe Nonylphenole (=4-Nonylphenol, verzweigt und Nonylphenol- Isomere)</w:t>
            </w:r>
          </w:p>
        </w:tc>
        <w:tc>
          <w:tcPr>
            <w:tcW w:w="3688" w:type="dxa"/>
          </w:tcPr>
          <w:p>
            <w:pPr>
              <w:pStyle w:val="GesAbsatz"/>
              <w:tabs>
                <w:tab w:val="left" w:pos="2268"/>
              </w:tabs>
              <w:jc w:val="center"/>
              <w:rPr>
                <w:rFonts w:cs="Arial"/>
              </w:rPr>
            </w:pPr>
            <w:r>
              <w:rPr>
                <w:rFonts w:cs="Arial"/>
              </w:rPr>
              <w:t>3</w:t>
            </w:r>
          </w:p>
        </w:tc>
      </w:tr>
      <w:tr>
        <w:trPr>
          <w:trHeight w:val="312"/>
        </w:trPr>
        <w:tc>
          <w:tcPr>
            <w:tcW w:w="5661" w:type="dxa"/>
          </w:tcPr>
          <w:p>
            <w:pPr>
              <w:pStyle w:val="GesAbsatz"/>
              <w:tabs>
                <w:tab w:val="left" w:pos="2268"/>
              </w:tabs>
              <w:rPr>
                <w:rFonts w:cs="Arial"/>
              </w:rPr>
            </w:pPr>
            <w:r>
              <w:rPr>
                <w:rFonts w:cs="Arial"/>
              </w:rPr>
              <w:t>Pentachlorphenol (PCP)</w:t>
            </w:r>
          </w:p>
        </w:tc>
        <w:tc>
          <w:tcPr>
            <w:tcW w:w="3688" w:type="dxa"/>
          </w:tcPr>
          <w:p>
            <w:pPr>
              <w:pStyle w:val="GesAbsatz"/>
              <w:tabs>
                <w:tab w:val="left" w:pos="2268"/>
              </w:tabs>
              <w:jc w:val="center"/>
              <w:rPr>
                <w:rFonts w:cs="Arial"/>
              </w:rPr>
            </w:pPr>
            <w:r>
              <w:rPr>
                <w:rFonts w:cs="Arial"/>
              </w:rPr>
              <w:t>0,1</w:t>
            </w:r>
          </w:p>
        </w:tc>
      </w:tr>
      <w:tr>
        <w:trPr>
          <w:trHeight w:val="312"/>
        </w:trPr>
        <w:tc>
          <w:tcPr>
            <w:tcW w:w="5661" w:type="dxa"/>
          </w:tcPr>
          <w:p>
            <w:pPr>
              <w:pStyle w:val="GesAbsatz"/>
              <w:tabs>
                <w:tab w:val="left" w:pos="2268"/>
              </w:tabs>
              <w:rPr>
                <w:rFonts w:cs="Arial"/>
              </w:rPr>
            </w:pPr>
            <w:r>
              <w:rPr>
                <w:rFonts w:cs="Arial"/>
              </w:rPr>
              <w:t>Phenol</w:t>
            </w:r>
          </w:p>
        </w:tc>
        <w:tc>
          <w:tcPr>
            <w:tcW w:w="3688" w:type="dxa"/>
          </w:tcPr>
          <w:p>
            <w:pPr>
              <w:pStyle w:val="GesAbsatz"/>
              <w:tabs>
                <w:tab w:val="left" w:pos="2268"/>
              </w:tabs>
              <w:jc w:val="center"/>
              <w:rPr>
                <w:rFonts w:cs="Arial"/>
              </w:rPr>
            </w:pPr>
            <w:r>
              <w:rPr>
                <w:rFonts w:cs="Arial"/>
              </w:rPr>
              <w:t>80</w:t>
            </w:r>
          </w:p>
        </w:tc>
      </w:tr>
      <w:tr>
        <w:trPr>
          <w:trHeight w:val="312"/>
        </w:trPr>
        <w:tc>
          <w:tcPr>
            <w:tcW w:w="5661" w:type="dxa"/>
          </w:tcPr>
          <w:p>
            <w:pPr>
              <w:pStyle w:val="GesAbsatz"/>
              <w:tabs>
                <w:tab w:val="left" w:pos="2268"/>
              </w:tabs>
              <w:rPr>
                <w:rFonts w:cs="Arial"/>
              </w:rPr>
            </w:pPr>
            <w:r>
              <w:rPr>
                <w:rFonts w:cs="Arial"/>
              </w:rPr>
              <w:t>Summe aus PCB</w:t>
            </w:r>
            <w:r>
              <w:rPr>
                <w:rFonts w:cs="Arial"/>
                <w:vertAlign w:val="subscript"/>
              </w:rPr>
              <w:t>6</w:t>
            </w:r>
            <w:r>
              <w:rPr>
                <w:rFonts w:cs="Arial"/>
              </w:rPr>
              <w:t xml:space="preserve"> und PCB 118</w:t>
            </w:r>
          </w:p>
        </w:tc>
        <w:tc>
          <w:tcPr>
            <w:tcW w:w="3688" w:type="dxa"/>
          </w:tcPr>
          <w:p>
            <w:pPr>
              <w:pStyle w:val="GesAbsatz"/>
              <w:tabs>
                <w:tab w:val="left" w:pos="2268"/>
              </w:tabs>
              <w:jc w:val="center"/>
              <w:rPr>
                <w:rFonts w:cs="Arial"/>
              </w:rPr>
            </w:pPr>
            <w:r>
              <w:rPr>
                <w:rFonts w:cs="Arial"/>
              </w:rPr>
              <w:t>0,01</w:t>
            </w:r>
          </w:p>
        </w:tc>
      </w:tr>
      <w:tr>
        <w:trPr>
          <w:trHeight w:val="312"/>
        </w:trPr>
        <w:tc>
          <w:tcPr>
            <w:tcW w:w="5661" w:type="dxa"/>
          </w:tcPr>
          <w:p>
            <w:pPr>
              <w:pStyle w:val="GesAbsatz"/>
              <w:tabs>
                <w:tab w:val="left" w:pos="2268"/>
              </w:tabs>
              <w:rPr>
                <w:rFonts w:cs="Arial"/>
              </w:rPr>
            </w:pPr>
            <w:r>
              <w:rPr>
                <w:rFonts w:cs="Arial"/>
              </w:rPr>
              <w:t>PAK</w:t>
            </w:r>
            <w:r>
              <w:rPr>
                <w:rFonts w:cs="Arial"/>
                <w:vertAlign w:val="subscript"/>
              </w:rPr>
              <w:t>15</w:t>
            </w:r>
            <w:r>
              <w:rPr>
                <w:rFonts w:cs="Arial"/>
                <w:vertAlign w:val="superscript"/>
              </w:rPr>
              <w:t>4</w:t>
            </w:r>
          </w:p>
        </w:tc>
        <w:tc>
          <w:tcPr>
            <w:tcW w:w="3688" w:type="dxa"/>
          </w:tcPr>
          <w:p>
            <w:pPr>
              <w:pStyle w:val="GesAbsatz"/>
              <w:tabs>
                <w:tab w:val="left" w:pos="2268"/>
              </w:tabs>
              <w:jc w:val="center"/>
              <w:rPr>
                <w:rFonts w:cs="Arial"/>
              </w:rPr>
            </w:pPr>
            <w:r>
              <w:rPr>
                <w:rFonts w:cs="Arial"/>
              </w:rPr>
              <w:t>0,2</w:t>
            </w:r>
          </w:p>
        </w:tc>
      </w:tr>
      <w:tr>
        <w:trPr>
          <w:trHeight w:val="312"/>
        </w:trPr>
        <w:tc>
          <w:tcPr>
            <w:tcW w:w="5661" w:type="dxa"/>
          </w:tcPr>
          <w:p>
            <w:pPr>
              <w:pStyle w:val="GesAbsatz"/>
              <w:tabs>
                <w:tab w:val="left" w:pos="2268"/>
              </w:tabs>
              <w:rPr>
                <w:rFonts w:cs="Arial"/>
              </w:rPr>
            </w:pPr>
            <w:r>
              <w:rPr>
                <w:rFonts w:cs="Arial"/>
              </w:rPr>
              <w:lastRenderedPageBreak/>
              <w:t>Naphthalin und Methylnaphthaline</w:t>
            </w:r>
          </w:p>
        </w:tc>
        <w:tc>
          <w:tcPr>
            <w:tcW w:w="3688" w:type="dxa"/>
          </w:tcPr>
          <w:p>
            <w:pPr>
              <w:pStyle w:val="GesAbsatz"/>
              <w:tabs>
                <w:tab w:val="left" w:pos="2268"/>
              </w:tabs>
              <w:jc w:val="center"/>
              <w:rPr>
                <w:rFonts w:cs="Arial"/>
              </w:rPr>
            </w:pPr>
            <w:r>
              <w:rPr>
                <w:rFonts w:cs="Arial"/>
              </w:rPr>
              <w:t>2</w:t>
            </w:r>
          </w:p>
        </w:tc>
      </w:tr>
      <w:tr>
        <w:trPr>
          <w:trHeight w:val="312"/>
        </w:trPr>
        <w:tc>
          <w:tcPr>
            <w:tcW w:w="5661" w:type="dxa"/>
          </w:tcPr>
          <w:p>
            <w:pPr>
              <w:pStyle w:val="GesAbsatz"/>
              <w:tabs>
                <w:tab w:val="left" w:pos="2268"/>
              </w:tabs>
              <w:rPr>
                <w:rFonts w:cs="Arial"/>
              </w:rPr>
            </w:pPr>
            <w:r>
              <w:rPr>
                <w:rFonts w:cs="Arial"/>
              </w:rPr>
              <w:t>2,4-Dinitrotoluol</w:t>
            </w:r>
          </w:p>
        </w:tc>
        <w:tc>
          <w:tcPr>
            <w:tcW w:w="3688" w:type="dxa"/>
          </w:tcPr>
          <w:p>
            <w:pPr>
              <w:pStyle w:val="GesAbsatz"/>
              <w:tabs>
                <w:tab w:val="left" w:pos="2268"/>
              </w:tabs>
              <w:jc w:val="center"/>
              <w:rPr>
                <w:rFonts w:cs="Arial"/>
              </w:rPr>
            </w:pPr>
            <w:r>
              <w:rPr>
                <w:rFonts w:cs="Arial"/>
              </w:rPr>
              <w:t>0,05</w:t>
            </w:r>
          </w:p>
        </w:tc>
      </w:tr>
      <w:tr>
        <w:trPr>
          <w:trHeight w:val="312"/>
        </w:trPr>
        <w:tc>
          <w:tcPr>
            <w:tcW w:w="5661" w:type="dxa"/>
          </w:tcPr>
          <w:p>
            <w:pPr>
              <w:pStyle w:val="GesAbsatz"/>
              <w:tabs>
                <w:tab w:val="left" w:pos="2268"/>
              </w:tabs>
              <w:rPr>
                <w:rFonts w:cs="Arial"/>
              </w:rPr>
            </w:pPr>
            <w:r>
              <w:rPr>
                <w:rFonts w:cs="Arial"/>
              </w:rPr>
              <w:t>2,6-Dinitrotoluol</w:t>
            </w:r>
          </w:p>
        </w:tc>
        <w:tc>
          <w:tcPr>
            <w:tcW w:w="3688" w:type="dxa"/>
          </w:tcPr>
          <w:p>
            <w:pPr>
              <w:pStyle w:val="GesAbsatz"/>
              <w:tabs>
                <w:tab w:val="left" w:pos="2268"/>
              </w:tabs>
              <w:jc w:val="center"/>
              <w:rPr>
                <w:rFonts w:cs="Arial"/>
              </w:rPr>
            </w:pPr>
            <w:r>
              <w:rPr>
                <w:rFonts w:cs="Arial"/>
              </w:rPr>
              <w:t>0,05</w:t>
            </w:r>
          </w:p>
        </w:tc>
      </w:tr>
      <w:tr>
        <w:trPr>
          <w:trHeight w:val="312"/>
        </w:trPr>
        <w:tc>
          <w:tcPr>
            <w:tcW w:w="5661" w:type="dxa"/>
          </w:tcPr>
          <w:p>
            <w:pPr>
              <w:pStyle w:val="GesAbsatz"/>
              <w:tabs>
                <w:tab w:val="left" w:pos="2268"/>
              </w:tabs>
              <w:rPr>
                <w:rFonts w:cs="Arial"/>
              </w:rPr>
            </w:pPr>
            <w:r>
              <w:rPr>
                <w:rFonts w:cs="Arial"/>
              </w:rPr>
              <w:t>2,4,6-Trinitrotoluol (TNT)</w:t>
            </w:r>
          </w:p>
        </w:tc>
        <w:tc>
          <w:tcPr>
            <w:tcW w:w="3688" w:type="dxa"/>
          </w:tcPr>
          <w:p>
            <w:pPr>
              <w:pStyle w:val="GesAbsatz"/>
              <w:tabs>
                <w:tab w:val="left" w:pos="2268"/>
              </w:tabs>
              <w:jc w:val="center"/>
              <w:rPr>
                <w:rFonts w:cs="Arial"/>
              </w:rPr>
            </w:pPr>
            <w:r>
              <w:rPr>
                <w:rFonts w:cs="Arial"/>
              </w:rPr>
              <w:t>0,2</w:t>
            </w:r>
          </w:p>
        </w:tc>
      </w:tr>
      <w:tr>
        <w:trPr>
          <w:trHeight w:val="312"/>
        </w:trPr>
        <w:tc>
          <w:tcPr>
            <w:tcW w:w="5661" w:type="dxa"/>
          </w:tcPr>
          <w:p>
            <w:pPr>
              <w:pStyle w:val="GesAbsatz"/>
              <w:tabs>
                <w:tab w:val="left" w:pos="2268"/>
              </w:tabs>
              <w:rPr>
                <w:rFonts w:cs="Arial"/>
              </w:rPr>
            </w:pPr>
            <w:r>
              <w:rPr>
                <w:rFonts w:cs="Arial"/>
              </w:rPr>
              <w:t>2,2‘, 4,4‘, 6,6‘-Hexanitrodiphenylamin (Hexyl)</w:t>
            </w:r>
          </w:p>
        </w:tc>
        <w:tc>
          <w:tcPr>
            <w:tcW w:w="3688" w:type="dxa"/>
          </w:tcPr>
          <w:p>
            <w:pPr>
              <w:pStyle w:val="GesAbsatz"/>
              <w:tabs>
                <w:tab w:val="left" w:pos="2268"/>
              </w:tabs>
              <w:jc w:val="center"/>
              <w:rPr>
                <w:rFonts w:cs="Arial"/>
              </w:rPr>
            </w:pPr>
            <w:r>
              <w:rPr>
                <w:rFonts w:cs="Arial"/>
              </w:rPr>
              <w:t>2</w:t>
            </w:r>
          </w:p>
        </w:tc>
      </w:tr>
      <w:tr>
        <w:trPr>
          <w:trHeight w:val="312"/>
        </w:trPr>
        <w:tc>
          <w:tcPr>
            <w:tcW w:w="5661" w:type="dxa"/>
          </w:tcPr>
          <w:p>
            <w:pPr>
              <w:pStyle w:val="GesAbsatz"/>
              <w:tabs>
                <w:tab w:val="left" w:pos="2268"/>
              </w:tabs>
              <w:rPr>
                <w:rFonts w:cs="Arial"/>
              </w:rPr>
            </w:pPr>
            <w:r>
              <w:rPr>
                <w:rFonts w:cs="Arial"/>
              </w:rPr>
              <w:t>1,3,5-Trinitro-hexahydro-1,3,5-triazin (Hexogen)</w:t>
            </w:r>
          </w:p>
        </w:tc>
        <w:tc>
          <w:tcPr>
            <w:tcW w:w="3688" w:type="dxa"/>
          </w:tcPr>
          <w:p>
            <w:pPr>
              <w:pStyle w:val="GesAbsatz"/>
              <w:tabs>
                <w:tab w:val="left" w:pos="2268"/>
              </w:tabs>
              <w:jc w:val="center"/>
              <w:rPr>
                <w:rFonts w:cs="Arial"/>
              </w:rPr>
            </w:pPr>
            <w:r>
              <w:rPr>
                <w:rFonts w:cs="Arial"/>
              </w:rPr>
              <w:t>1</w:t>
            </w:r>
          </w:p>
        </w:tc>
      </w:tr>
      <w:tr>
        <w:trPr>
          <w:trHeight w:val="312"/>
        </w:trPr>
        <w:tc>
          <w:tcPr>
            <w:tcW w:w="5661" w:type="dxa"/>
          </w:tcPr>
          <w:p>
            <w:pPr>
              <w:pStyle w:val="GesAbsatz"/>
              <w:tabs>
                <w:tab w:val="left" w:pos="2268"/>
              </w:tabs>
              <w:rPr>
                <w:rFonts w:cs="Arial"/>
              </w:rPr>
            </w:pPr>
            <w:r>
              <w:rPr>
                <w:rFonts w:cs="Arial"/>
              </w:rPr>
              <w:t>Nitropenta (Pentaerythrityltetranitrat (PETN))</w:t>
            </w:r>
          </w:p>
        </w:tc>
        <w:tc>
          <w:tcPr>
            <w:tcW w:w="3688" w:type="dxa"/>
          </w:tcPr>
          <w:p>
            <w:pPr>
              <w:pStyle w:val="GesAbsatz"/>
              <w:tabs>
                <w:tab w:val="left" w:pos="2268"/>
              </w:tabs>
              <w:jc w:val="center"/>
              <w:rPr>
                <w:rFonts w:cs="Arial"/>
              </w:rPr>
            </w:pPr>
            <w:r>
              <w:rPr>
                <w:rFonts w:cs="Arial"/>
              </w:rPr>
              <w:t>10</w:t>
            </w:r>
          </w:p>
        </w:tc>
      </w:tr>
      <w:tr>
        <w:trPr>
          <w:trHeight w:val="312"/>
        </w:trPr>
        <w:tc>
          <w:tcPr>
            <w:tcW w:w="5661" w:type="dxa"/>
          </w:tcPr>
          <w:p>
            <w:pPr>
              <w:pStyle w:val="GesAbsatz"/>
              <w:tabs>
                <w:tab w:val="left" w:pos="2268"/>
              </w:tabs>
              <w:rPr>
                <w:rFonts w:cs="Arial"/>
              </w:rPr>
            </w:pPr>
            <w:r>
              <w:rPr>
                <w:rFonts w:cs="Arial"/>
              </w:rPr>
              <w:t>Perfluorbutansäure (PFBA)</w:t>
            </w:r>
          </w:p>
        </w:tc>
        <w:tc>
          <w:tcPr>
            <w:tcW w:w="3688" w:type="dxa"/>
          </w:tcPr>
          <w:p>
            <w:pPr>
              <w:pStyle w:val="GesAbsatz"/>
              <w:tabs>
                <w:tab w:val="left" w:pos="2268"/>
              </w:tabs>
              <w:jc w:val="center"/>
              <w:rPr>
                <w:rFonts w:cs="Arial"/>
              </w:rPr>
            </w:pPr>
            <w:r>
              <w:rPr>
                <w:rFonts w:cs="Arial"/>
              </w:rPr>
              <w:t>10</w:t>
            </w:r>
          </w:p>
        </w:tc>
      </w:tr>
      <w:tr>
        <w:trPr>
          <w:trHeight w:val="312"/>
        </w:trPr>
        <w:tc>
          <w:tcPr>
            <w:tcW w:w="5661" w:type="dxa"/>
          </w:tcPr>
          <w:p>
            <w:pPr>
              <w:pStyle w:val="GesAbsatz"/>
              <w:tabs>
                <w:tab w:val="left" w:pos="2268"/>
              </w:tabs>
              <w:rPr>
                <w:rFonts w:cs="Arial"/>
              </w:rPr>
            </w:pPr>
            <w:r>
              <w:rPr>
                <w:rFonts w:cs="Arial"/>
              </w:rPr>
              <w:t>Perfluorhexansäure (PFHxA)</w:t>
            </w:r>
          </w:p>
        </w:tc>
        <w:tc>
          <w:tcPr>
            <w:tcW w:w="3688" w:type="dxa"/>
          </w:tcPr>
          <w:p>
            <w:pPr>
              <w:pStyle w:val="GesAbsatz"/>
              <w:tabs>
                <w:tab w:val="left" w:pos="2268"/>
              </w:tabs>
              <w:jc w:val="center"/>
              <w:rPr>
                <w:rFonts w:cs="Arial"/>
              </w:rPr>
            </w:pPr>
            <w:r>
              <w:rPr>
                <w:rFonts w:cs="Arial"/>
              </w:rPr>
              <w:t>6</w:t>
            </w:r>
          </w:p>
        </w:tc>
      </w:tr>
      <w:tr>
        <w:trPr>
          <w:trHeight w:val="312"/>
        </w:trPr>
        <w:tc>
          <w:tcPr>
            <w:tcW w:w="5661" w:type="dxa"/>
          </w:tcPr>
          <w:p>
            <w:pPr>
              <w:pStyle w:val="GesAbsatz"/>
              <w:tabs>
                <w:tab w:val="left" w:pos="2268"/>
              </w:tabs>
              <w:rPr>
                <w:rFonts w:cs="Arial"/>
              </w:rPr>
            </w:pPr>
            <w:r>
              <w:rPr>
                <w:rFonts w:cs="Arial"/>
              </w:rPr>
              <w:t>Perfluoroktansäure (PFOA)</w:t>
            </w:r>
          </w:p>
        </w:tc>
        <w:tc>
          <w:tcPr>
            <w:tcW w:w="3688" w:type="dxa"/>
          </w:tcPr>
          <w:p>
            <w:pPr>
              <w:pStyle w:val="GesAbsatz"/>
              <w:tabs>
                <w:tab w:val="left" w:pos="2268"/>
              </w:tabs>
              <w:jc w:val="center"/>
              <w:rPr>
                <w:rFonts w:cs="Arial"/>
              </w:rPr>
            </w:pPr>
            <w:r>
              <w:rPr>
                <w:rFonts w:cs="Arial"/>
              </w:rPr>
              <w:t>0,1</w:t>
            </w:r>
          </w:p>
        </w:tc>
      </w:tr>
      <w:tr>
        <w:trPr>
          <w:trHeight w:val="312"/>
        </w:trPr>
        <w:tc>
          <w:tcPr>
            <w:tcW w:w="5661" w:type="dxa"/>
          </w:tcPr>
          <w:p>
            <w:pPr>
              <w:pStyle w:val="GesAbsatz"/>
              <w:tabs>
                <w:tab w:val="left" w:pos="2268"/>
              </w:tabs>
              <w:rPr>
                <w:rFonts w:cs="Arial"/>
              </w:rPr>
            </w:pPr>
            <w:r>
              <w:rPr>
                <w:rFonts w:cs="Arial"/>
              </w:rPr>
              <w:t>Perfluornonansäure (PFNA)</w:t>
            </w:r>
          </w:p>
        </w:tc>
        <w:tc>
          <w:tcPr>
            <w:tcW w:w="3688" w:type="dxa"/>
          </w:tcPr>
          <w:p>
            <w:pPr>
              <w:pStyle w:val="GesAbsatz"/>
              <w:tabs>
                <w:tab w:val="left" w:pos="2268"/>
              </w:tabs>
              <w:jc w:val="center"/>
              <w:rPr>
                <w:rFonts w:cs="Arial"/>
              </w:rPr>
            </w:pPr>
            <w:r>
              <w:rPr>
                <w:rFonts w:cs="Arial"/>
              </w:rPr>
              <w:t>0,06</w:t>
            </w:r>
          </w:p>
        </w:tc>
      </w:tr>
      <w:tr>
        <w:trPr>
          <w:trHeight w:val="312"/>
        </w:trPr>
        <w:tc>
          <w:tcPr>
            <w:tcW w:w="5661" w:type="dxa"/>
          </w:tcPr>
          <w:p>
            <w:pPr>
              <w:pStyle w:val="GesAbsatz"/>
              <w:tabs>
                <w:tab w:val="left" w:pos="2268"/>
              </w:tabs>
              <w:rPr>
                <w:rFonts w:cs="Arial"/>
              </w:rPr>
            </w:pPr>
            <w:r>
              <w:rPr>
                <w:rFonts w:cs="Arial"/>
              </w:rPr>
              <w:t>Perfluorbutansulfonsäure (PFBS)</w:t>
            </w:r>
          </w:p>
        </w:tc>
        <w:tc>
          <w:tcPr>
            <w:tcW w:w="3688" w:type="dxa"/>
          </w:tcPr>
          <w:p>
            <w:pPr>
              <w:pStyle w:val="GesAbsatz"/>
              <w:tabs>
                <w:tab w:val="left" w:pos="2268"/>
              </w:tabs>
              <w:jc w:val="center"/>
              <w:rPr>
                <w:rFonts w:cs="Arial"/>
              </w:rPr>
            </w:pPr>
            <w:r>
              <w:rPr>
                <w:rFonts w:cs="Arial"/>
              </w:rPr>
              <w:t>6</w:t>
            </w:r>
          </w:p>
        </w:tc>
      </w:tr>
      <w:tr>
        <w:trPr>
          <w:trHeight w:val="312"/>
        </w:trPr>
        <w:tc>
          <w:tcPr>
            <w:tcW w:w="5661" w:type="dxa"/>
          </w:tcPr>
          <w:p>
            <w:pPr>
              <w:pStyle w:val="GesAbsatz"/>
              <w:tabs>
                <w:tab w:val="left" w:pos="2268"/>
              </w:tabs>
              <w:rPr>
                <w:rFonts w:cs="Arial"/>
              </w:rPr>
            </w:pPr>
            <w:r>
              <w:rPr>
                <w:rFonts w:cs="Arial"/>
              </w:rPr>
              <w:t>Perfluorhexansulfonsäure (PFHxS)</w:t>
            </w:r>
          </w:p>
        </w:tc>
        <w:tc>
          <w:tcPr>
            <w:tcW w:w="3688" w:type="dxa"/>
          </w:tcPr>
          <w:p>
            <w:pPr>
              <w:pStyle w:val="GesAbsatz"/>
              <w:tabs>
                <w:tab w:val="left" w:pos="2268"/>
              </w:tabs>
              <w:jc w:val="center"/>
              <w:rPr>
                <w:rFonts w:cs="Arial"/>
              </w:rPr>
            </w:pPr>
            <w:r>
              <w:rPr>
                <w:rFonts w:cs="Arial"/>
              </w:rPr>
              <w:t>0,1</w:t>
            </w:r>
          </w:p>
        </w:tc>
      </w:tr>
      <w:tr>
        <w:trPr>
          <w:trHeight w:val="312"/>
        </w:trPr>
        <w:tc>
          <w:tcPr>
            <w:tcW w:w="5661" w:type="dxa"/>
          </w:tcPr>
          <w:p>
            <w:pPr>
              <w:pStyle w:val="GesAbsatz"/>
              <w:tabs>
                <w:tab w:val="left" w:pos="2268"/>
              </w:tabs>
              <w:rPr>
                <w:rFonts w:cs="Arial"/>
              </w:rPr>
            </w:pPr>
            <w:r>
              <w:rPr>
                <w:rFonts w:cs="Arial"/>
              </w:rPr>
              <w:t>Perfluoroktansulfonsäure (PFOS)</w:t>
            </w:r>
          </w:p>
        </w:tc>
        <w:tc>
          <w:tcPr>
            <w:tcW w:w="3688" w:type="dxa"/>
          </w:tcPr>
          <w:p>
            <w:pPr>
              <w:pStyle w:val="GesAbsatz"/>
              <w:tabs>
                <w:tab w:val="left" w:pos="2268"/>
              </w:tabs>
              <w:jc w:val="center"/>
              <w:rPr>
                <w:rFonts w:cs="Arial"/>
              </w:rPr>
            </w:pPr>
            <w:r>
              <w:rPr>
                <w:rFonts w:cs="Arial"/>
              </w:rPr>
              <w:t>0,1</w:t>
            </w:r>
          </w:p>
        </w:tc>
      </w:tr>
    </w:tbl>
    <w:p>
      <w:pPr>
        <w:pStyle w:val="GesAbsatz"/>
        <w:tabs>
          <w:tab w:val="clear" w:pos="425"/>
          <w:tab w:val="left" w:pos="2268"/>
        </w:tabs>
        <w:ind w:left="426" w:hanging="426"/>
        <w:rPr>
          <w:rFonts w:cs="Arial"/>
          <w:sz w:val="18"/>
          <w:szCs w:val="18"/>
        </w:rPr>
      </w:pPr>
      <w:r>
        <w:rPr>
          <w:rFonts w:cs="Arial"/>
          <w:sz w:val="18"/>
          <w:szCs w:val="18"/>
        </w:rPr>
        <w:t>1</w:t>
      </w:r>
      <w:r>
        <w:rPr>
          <w:rFonts w:cs="Arial"/>
          <w:sz w:val="18"/>
          <w:szCs w:val="18"/>
        </w:rPr>
        <w:tab/>
        <w:t>Summe Benzol, Toluol, Ethylbenzol und Xylole.</w:t>
      </w:r>
    </w:p>
    <w:p>
      <w:pPr>
        <w:pStyle w:val="GesAbsatz"/>
        <w:tabs>
          <w:tab w:val="clear" w:pos="425"/>
          <w:tab w:val="left" w:pos="2268"/>
        </w:tabs>
        <w:ind w:left="426" w:hanging="426"/>
        <w:rPr>
          <w:rFonts w:cs="Arial"/>
          <w:sz w:val="18"/>
          <w:szCs w:val="18"/>
        </w:rPr>
      </w:pPr>
      <w:r>
        <w:rPr>
          <w:rFonts w:cs="Arial"/>
          <w:sz w:val="18"/>
          <w:szCs w:val="18"/>
        </w:rPr>
        <w:t>2</w:t>
      </w:r>
      <w:r>
        <w:rPr>
          <w:rFonts w:cs="Arial"/>
          <w:sz w:val="18"/>
          <w:szCs w:val="18"/>
        </w:rPr>
        <w:tab/>
        <w:t>Summe der Kohlenwasserstoffe, die zwischen n-Dekan (C 10) und n-Tetracontan (C 40) von der gaschromatogrophischen Säule eluieren.</w:t>
      </w:r>
    </w:p>
    <w:p>
      <w:pPr>
        <w:pStyle w:val="GesAbsatz"/>
        <w:tabs>
          <w:tab w:val="clear" w:pos="425"/>
          <w:tab w:val="left" w:pos="2268"/>
        </w:tabs>
        <w:ind w:left="426" w:hanging="426"/>
        <w:rPr>
          <w:rFonts w:cs="Arial"/>
          <w:sz w:val="18"/>
          <w:szCs w:val="18"/>
        </w:rPr>
      </w:pPr>
      <w:r>
        <w:rPr>
          <w:rFonts w:cs="Arial"/>
          <w:sz w:val="18"/>
          <w:szCs w:val="18"/>
        </w:rPr>
        <w:t>3</w:t>
      </w:r>
      <w:r>
        <w:rPr>
          <w:rFonts w:cs="Arial"/>
          <w:sz w:val="18"/>
          <w:szCs w:val="18"/>
        </w:rPr>
        <w:tab/>
        <w:t>Summe leichtflüchtiger Halogenkohlenwasserstoffe (LHKW): Summe der halogenierten C1- und C2-Kohlenwasserstoffe; einschließlich Trihalogenmethane. Der Prüfwert für Chlorethen ist zusätzlich einzuhalten.</w:t>
      </w:r>
    </w:p>
    <w:p>
      <w:pPr>
        <w:pStyle w:val="GesAbsatz"/>
        <w:tabs>
          <w:tab w:val="clear" w:pos="425"/>
          <w:tab w:val="left" w:pos="2268"/>
        </w:tabs>
        <w:ind w:left="426" w:hanging="426"/>
        <w:rPr>
          <w:rFonts w:cs="Arial"/>
          <w:sz w:val="18"/>
          <w:szCs w:val="18"/>
        </w:rPr>
      </w:pPr>
      <w:r>
        <w:rPr>
          <w:rFonts w:cs="Arial"/>
          <w:sz w:val="18"/>
          <w:szCs w:val="18"/>
        </w:rPr>
        <w:t>4</w:t>
      </w:r>
      <w:r>
        <w:rPr>
          <w:rFonts w:cs="Arial"/>
          <w:sz w:val="18"/>
          <w:szCs w:val="18"/>
        </w:rPr>
        <w:tab/>
        <w:t>PAK</w:t>
      </w:r>
      <w:r>
        <w:rPr>
          <w:rFonts w:cs="Arial"/>
          <w:sz w:val="18"/>
          <w:szCs w:val="18"/>
          <w:vertAlign w:val="subscript"/>
        </w:rPr>
        <w:t>15</w:t>
      </w:r>
      <w:r>
        <w:rPr>
          <w:rFonts w:cs="Arial"/>
          <w:sz w:val="18"/>
          <w:szCs w:val="18"/>
        </w:rPr>
        <w:t>: PAK</w:t>
      </w:r>
      <w:r>
        <w:rPr>
          <w:rFonts w:cs="Arial"/>
          <w:sz w:val="18"/>
          <w:szCs w:val="18"/>
          <w:vertAlign w:val="subscript"/>
        </w:rPr>
        <w:t>16</w:t>
      </w:r>
      <w:r>
        <w:rPr>
          <w:rFonts w:cs="Arial"/>
          <w:sz w:val="18"/>
          <w:szCs w:val="18"/>
        </w:rPr>
        <w:t xml:space="preserve"> ohne Naphthalin und Methylnaphthaline.</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4: Prüfwerte für den Wirkungspfad Boden-Mensch</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573"/>
        <w:gridCol w:w="1275"/>
        <w:gridCol w:w="1560"/>
        <w:gridCol w:w="1842"/>
        <w:gridCol w:w="2100"/>
      </w:tblGrid>
      <w:tr>
        <w:trPr>
          <w:trHeight w:val="691"/>
        </w:trPr>
        <w:tc>
          <w:tcPr>
            <w:tcW w:w="2573" w:type="dxa"/>
          </w:tcPr>
          <w:p>
            <w:pPr>
              <w:pStyle w:val="GesAbsatz"/>
              <w:tabs>
                <w:tab w:val="left" w:pos="2268"/>
              </w:tabs>
              <w:jc w:val="center"/>
              <w:rPr>
                <w:rFonts w:cs="Arial"/>
              </w:rPr>
            </w:pPr>
            <w:r>
              <w:rPr>
                <w:rFonts w:cs="Arial"/>
              </w:rPr>
              <w:t>Stoff</w:t>
            </w:r>
          </w:p>
        </w:tc>
        <w:tc>
          <w:tcPr>
            <w:tcW w:w="1275" w:type="dxa"/>
          </w:tcPr>
          <w:p>
            <w:pPr>
              <w:pStyle w:val="GesAbsatz"/>
              <w:tabs>
                <w:tab w:val="left" w:pos="2268"/>
              </w:tabs>
              <w:jc w:val="center"/>
              <w:rPr>
                <w:rFonts w:cs="Arial"/>
              </w:rPr>
            </w:pPr>
            <w:r>
              <w:rPr>
                <w:rFonts w:cs="Arial"/>
              </w:rPr>
              <w:t>Kinderspielflächen</w:t>
            </w:r>
          </w:p>
        </w:tc>
        <w:tc>
          <w:tcPr>
            <w:tcW w:w="1560" w:type="dxa"/>
          </w:tcPr>
          <w:p>
            <w:pPr>
              <w:pStyle w:val="GesAbsatz"/>
              <w:tabs>
                <w:tab w:val="left" w:pos="2268"/>
              </w:tabs>
              <w:jc w:val="center"/>
              <w:rPr>
                <w:rFonts w:cs="Arial"/>
              </w:rPr>
            </w:pPr>
            <w:r>
              <w:rPr>
                <w:rFonts w:cs="Arial"/>
              </w:rPr>
              <w:t>Wohngebiete</w:t>
            </w:r>
          </w:p>
        </w:tc>
        <w:tc>
          <w:tcPr>
            <w:tcW w:w="1842" w:type="dxa"/>
          </w:tcPr>
          <w:p>
            <w:pPr>
              <w:pStyle w:val="GesAbsatz"/>
              <w:tabs>
                <w:tab w:val="left" w:pos="2268"/>
              </w:tabs>
              <w:jc w:val="center"/>
              <w:rPr>
                <w:rFonts w:cs="Arial"/>
              </w:rPr>
            </w:pPr>
            <w:r>
              <w:rPr>
                <w:rFonts w:cs="Arial"/>
              </w:rPr>
              <w:t>Park- und Freizeitanlagen</w:t>
            </w:r>
          </w:p>
        </w:tc>
        <w:tc>
          <w:tcPr>
            <w:tcW w:w="2100" w:type="dxa"/>
          </w:tcPr>
          <w:p>
            <w:pPr>
              <w:pStyle w:val="GesAbsatz"/>
              <w:tabs>
                <w:tab w:val="left" w:pos="2268"/>
              </w:tabs>
              <w:jc w:val="center"/>
              <w:rPr>
                <w:rFonts w:cs="Arial"/>
              </w:rPr>
            </w:pPr>
            <w:r>
              <w:rPr>
                <w:rFonts w:cs="Arial"/>
              </w:rPr>
              <w:t xml:space="preserve">Industrie- und </w:t>
            </w:r>
            <w:r>
              <w:rPr>
                <w:rFonts w:cs="Arial"/>
              </w:rPr>
              <w:br/>
              <w:t>Gewerbegrundstücke</w:t>
            </w:r>
          </w:p>
        </w:tc>
      </w:tr>
      <w:tr>
        <w:trPr>
          <w:trHeight w:val="332"/>
        </w:trPr>
        <w:tc>
          <w:tcPr>
            <w:tcW w:w="2573" w:type="dxa"/>
          </w:tcPr>
          <w:p>
            <w:pPr>
              <w:pStyle w:val="GesAbsatz"/>
              <w:tabs>
                <w:tab w:val="left" w:pos="2268"/>
              </w:tabs>
              <w:rPr>
                <w:rFonts w:cs="Arial"/>
              </w:rPr>
            </w:pPr>
          </w:p>
        </w:tc>
        <w:tc>
          <w:tcPr>
            <w:tcW w:w="6777" w:type="dxa"/>
            <w:gridSpan w:val="4"/>
          </w:tcPr>
          <w:p>
            <w:pPr>
              <w:pStyle w:val="GesAbsatz"/>
              <w:tabs>
                <w:tab w:val="left" w:pos="2268"/>
              </w:tabs>
              <w:jc w:val="center"/>
              <w:rPr>
                <w:rFonts w:cs="Arial"/>
                <w:sz w:val="18"/>
                <w:szCs w:val="18"/>
              </w:rPr>
            </w:pPr>
            <w:r>
              <w:rPr>
                <w:rFonts w:cs="Arial"/>
                <w:sz w:val="18"/>
                <w:szCs w:val="18"/>
              </w:rPr>
              <w:t>[mg/kg TM]</w:t>
            </w:r>
          </w:p>
        </w:tc>
      </w:tr>
      <w:tr>
        <w:trPr>
          <w:trHeight w:val="312"/>
        </w:trPr>
        <w:tc>
          <w:tcPr>
            <w:tcW w:w="2573" w:type="dxa"/>
          </w:tcPr>
          <w:p>
            <w:pPr>
              <w:pStyle w:val="GesAbsatz"/>
              <w:tabs>
                <w:tab w:val="left" w:pos="2268"/>
              </w:tabs>
              <w:rPr>
                <w:rFonts w:cs="Arial"/>
              </w:rPr>
            </w:pPr>
            <w:r>
              <w:rPr>
                <w:rFonts w:cs="Arial"/>
              </w:rPr>
              <w:t>Antimon</w:t>
            </w:r>
          </w:p>
        </w:tc>
        <w:tc>
          <w:tcPr>
            <w:tcW w:w="1275" w:type="dxa"/>
          </w:tcPr>
          <w:p>
            <w:pPr>
              <w:pStyle w:val="GesAbsatz"/>
              <w:tabs>
                <w:tab w:val="left" w:pos="2268"/>
              </w:tabs>
              <w:jc w:val="center"/>
              <w:rPr>
                <w:rFonts w:cs="Arial"/>
              </w:rPr>
            </w:pPr>
            <w:r>
              <w:rPr>
                <w:rFonts w:cs="Arial"/>
              </w:rPr>
              <w:t>50</w:t>
            </w:r>
          </w:p>
        </w:tc>
        <w:tc>
          <w:tcPr>
            <w:tcW w:w="1560" w:type="dxa"/>
          </w:tcPr>
          <w:p>
            <w:pPr>
              <w:pStyle w:val="GesAbsatz"/>
              <w:tabs>
                <w:tab w:val="left" w:pos="2268"/>
              </w:tabs>
              <w:jc w:val="center"/>
              <w:rPr>
                <w:rFonts w:cs="Arial"/>
              </w:rPr>
            </w:pPr>
            <w:r>
              <w:rPr>
                <w:rFonts w:cs="Arial"/>
              </w:rPr>
              <w:t>100</w:t>
            </w:r>
          </w:p>
        </w:tc>
        <w:tc>
          <w:tcPr>
            <w:tcW w:w="1842" w:type="dxa"/>
          </w:tcPr>
          <w:p>
            <w:pPr>
              <w:pStyle w:val="GesAbsatz"/>
              <w:tabs>
                <w:tab w:val="left" w:pos="2268"/>
              </w:tabs>
              <w:jc w:val="center"/>
              <w:rPr>
                <w:rFonts w:cs="Arial"/>
              </w:rPr>
            </w:pPr>
            <w:r>
              <w:rPr>
                <w:rFonts w:cs="Arial"/>
              </w:rPr>
              <w:t>250</w:t>
            </w:r>
          </w:p>
        </w:tc>
        <w:tc>
          <w:tcPr>
            <w:tcW w:w="2100" w:type="dxa"/>
          </w:tcPr>
          <w:p>
            <w:pPr>
              <w:pStyle w:val="GesAbsatz"/>
              <w:tabs>
                <w:tab w:val="left" w:pos="2268"/>
              </w:tabs>
              <w:jc w:val="center"/>
              <w:rPr>
                <w:rFonts w:cs="Arial"/>
              </w:rPr>
            </w:pPr>
            <w:r>
              <w:rPr>
                <w:rFonts w:cs="Arial"/>
              </w:rPr>
              <w:t>250</w:t>
            </w:r>
          </w:p>
        </w:tc>
      </w:tr>
      <w:tr>
        <w:trPr>
          <w:trHeight w:val="312"/>
        </w:trPr>
        <w:tc>
          <w:tcPr>
            <w:tcW w:w="2573" w:type="dxa"/>
          </w:tcPr>
          <w:p>
            <w:pPr>
              <w:pStyle w:val="GesAbsatz"/>
              <w:tabs>
                <w:tab w:val="left" w:pos="2268"/>
              </w:tabs>
              <w:rPr>
                <w:rFonts w:cs="Arial"/>
              </w:rPr>
            </w:pPr>
            <w:r>
              <w:rPr>
                <w:rFonts w:cs="Arial"/>
              </w:rPr>
              <w:t>Arsen</w:t>
            </w:r>
          </w:p>
        </w:tc>
        <w:tc>
          <w:tcPr>
            <w:tcW w:w="1275" w:type="dxa"/>
          </w:tcPr>
          <w:p>
            <w:pPr>
              <w:pStyle w:val="GesAbsatz"/>
              <w:tabs>
                <w:tab w:val="left" w:pos="2268"/>
              </w:tabs>
              <w:jc w:val="center"/>
              <w:rPr>
                <w:rFonts w:cs="Arial"/>
              </w:rPr>
            </w:pPr>
            <w:r>
              <w:rPr>
                <w:rFonts w:cs="Arial"/>
              </w:rPr>
              <w:t>25</w:t>
            </w:r>
          </w:p>
        </w:tc>
        <w:tc>
          <w:tcPr>
            <w:tcW w:w="1560" w:type="dxa"/>
          </w:tcPr>
          <w:p>
            <w:pPr>
              <w:pStyle w:val="GesAbsatz"/>
              <w:tabs>
                <w:tab w:val="left" w:pos="2268"/>
              </w:tabs>
              <w:jc w:val="center"/>
              <w:rPr>
                <w:rFonts w:cs="Arial"/>
              </w:rPr>
            </w:pPr>
            <w:r>
              <w:rPr>
                <w:rFonts w:cs="Arial"/>
              </w:rPr>
              <w:t>50</w:t>
            </w:r>
          </w:p>
        </w:tc>
        <w:tc>
          <w:tcPr>
            <w:tcW w:w="1842" w:type="dxa"/>
          </w:tcPr>
          <w:p>
            <w:pPr>
              <w:pStyle w:val="GesAbsatz"/>
              <w:tabs>
                <w:tab w:val="left" w:pos="2268"/>
              </w:tabs>
              <w:jc w:val="center"/>
              <w:rPr>
                <w:rFonts w:cs="Arial"/>
              </w:rPr>
            </w:pPr>
            <w:r>
              <w:rPr>
                <w:rFonts w:cs="Arial"/>
              </w:rPr>
              <w:t>125</w:t>
            </w:r>
          </w:p>
        </w:tc>
        <w:tc>
          <w:tcPr>
            <w:tcW w:w="2100" w:type="dxa"/>
          </w:tcPr>
          <w:p>
            <w:pPr>
              <w:pStyle w:val="GesAbsatz"/>
              <w:tabs>
                <w:tab w:val="left" w:pos="2268"/>
              </w:tabs>
              <w:jc w:val="center"/>
              <w:rPr>
                <w:rFonts w:cs="Arial"/>
              </w:rPr>
            </w:pPr>
            <w:r>
              <w:rPr>
                <w:rFonts w:cs="Arial"/>
              </w:rPr>
              <w:t>140</w:t>
            </w:r>
          </w:p>
        </w:tc>
      </w:tr>
      <w:tr>
        <w:trPr>
          <w:trHeight w:val="312"/>
        </w:trPr>
        <w:tc>
          <w:tcPr>
            <w:tcW w:w="2573" w:type="dxa"/>
          </w:tcPr>
          <w:p>
            <w:pPr>
              <w:pStyle w:val="GesAbsatz"/>
              <w:tabs>
                <w:tab w:val="left" w:pos="2268"/>
              </w:tabs>
              <w:rPr>
                <w:rFonts w:cs="Arial"/>
              </w:rPr>
            </w:pPr>
            <w:r>
              <w:rPr>
                <w:rFonts w:cs="Arial"/>
              </w:rPr>
              <w:t>Blei</w:t>
            </w:r>
          </w:p>
        </w:tc>
        <w:tc>
          <w:tcPr>
            <w:tcW w:w="1275" w:type="dxa"/>
          </w:tcPr>
          <w:p>
            <w:pPr>
              <w:pStyle w:val="GesAbsatz"/>
              <w:tabs>
                <w:tab w:val="left" w:pos="2268"/>
              </w:tabs>
              <w:jc w:val="center"/>
              <w:rPr>
                <w:rFonts w:cs="Arial"/>
              </w:rPr>
            </w:pPr>
            <w:r>
              <w:rPr>
                <w:rFonts w:cs="Arial"/>
              </w:rPr>
              <w:t>200</w:t>
            </w:r>
          </w:p>
        </w:tc>
        <w:tc>
          <w:tcPr>
            <w:tcW w:w="1560" w:type="dxa"/>
          </w:tcPr>
          <w:p>
            <w:pPr>
              <w:pStyle w:val="GesAbsatz"/>
              <w:tabs>
                <w:tab w:val="left" w:pos="2268"/>
              </w:tabs>
              <w:jc w:val="center"/>
              <w:rPr>
                <w:rFonts w:cs="Arial"/>
              </w:rPr>
            </w:pPr>
            <w:r>
              <w:rPr>
                <w:rFonts w:cs="Arial"/>
              </w:rPr>
              <w:t>400</w:t>
            </w:r>
          </w:p>
        </w:tc>
        <w:tc>
          <w:tcPr>
            <w:tcW w:w="1842" w:type="dxa"/>
          </w:tcPr>
          <w:p>
            <w:pPr>
              <w:pStyle w:val="GesAbsatz"/>
              <w:tabs>
                <w:tab w:val="left" w:pos="2268"/>
              </w:tabs>
              <w:jc w:val="center"/>
              <w:rPr>
                <w:rFonts w:cs="Arial"/>
              </w:rPr>
            </w:pPr>
            <w:r>
              <w:rPr>
                <w:rFonts w:cs="Arial"/>
              </w:rPr>
              <w:t>1 000</w:t>
            </w:r>
          </w:p>
        </w:tc>
        <w:tc>
          <w:tcPr>
            <w:tcW w:w="2100" w:type="dxa"/>
          </w:tcPr>
          <w:p>
            <w:pPr>
              <w:pStyle w:val="GesAbsatz"/>
              <w:tabs>
                <w:tab w:val="left" w:pos="2268"/>
              </w:tabs>
              <w:jc w:val="center"/>
              <w:rPr>
                <w:rFonts w:cs="Arial"/>
              </w:rPr>
            </w:pPr>
            <w:r>
              <w:rPr>
                <w:rFonts w:cs="Arial"/>
              </w:rPr>
              <w:t>2 000</w:t>
            </w:r>
          </w:p>
        </w:tc>
      </w:tr>
      <w:tr>
        <w:trPr>
          <w:trHeight w:val="312"/>
        </w:trPr>
        <w:tc>
          <w:tcPr>
            <w:tcW w:w="2573" w:type="dxa"/>
          </w:tcPr>
          <w:p>
            <w:pPr>
              <w:pStyle w:val="GesAbsatz"/>
              <w:tabs>
                <w:tab w:val="left" w:pos="2268"/>
              </w:tabs>
              <w:rPr>
                <w:rFonts w:cs="Arial"/>
              </w:rPr>
            </w:pPr>
            <w:r>
              <w:rPr>
                <w:rFonts w:cs="Arial"/>
              </w:rPr>
              <w:t>Cadmium</w:t>
            </w:r>
          </w:p>
        </w:tc>
        <w:tc>
          <w:tcPr>
            <w:tcW w:w="1275" w:type="dxa"/>
          </w:tcPr>
          <w:p>
            <w:pPr>
              <w:pStyle w:val="GesAbsatz"/>
              <w:tabs>
                <w:tab w:val="left" w:pos="2268"/>
              </w:tabs>
              <w:jc w:val="center"/>
              <w:rPr>
                <w:rFonts w:cs="Arial"/>
              </w:rPr>
            </w:pPr>
            <w:r>
              <w:rPr>
                <w:rFonts w:cs="Arial"/>
              </w:rPr>
              <w:t>10</w:t>
            </w:r>
            <w:r>
              <w:rPr>
                <w:rFonts w:cs="Arial"/>
                <w:vertAlign w:val="superscript"/>
              </w:rPr>
              <w:t>1</w:t>
            </w:r>
          </w:p>
        </w:tc>
        <w:tc>
          <w:tcPr>
            <w:tcW w:w="1560" w:type="dxa"/>
          </w:tcPr>
          <w:p>
            <w:pPr>
              <w:pStyle w:val="GesAbsatz"/>
              <w:tabs>
                <w:tab w:val="left" w:pos="2268"/>
              </w:tabs>
              <w:jc w:val="center"/>
              <w:rPr>
                <w:rFonts w:cs="Arial"/>
              </w:rPr>
            </w:pPr>
            <w:r>
              <w:rPr>
                <w:rFonts w:cs="Arial"/>
              </w:rPr>
              <w:t>20</w:t>
            </w:r>
            <w:r>
              <w:rPr>
                <w:rFonts w:cs="Arial"/>
                <w:vertAlign w:val="superscript"/>
              </w:rPr>
              <w:t>1</w:t>
            </w:r>
          </w:p>
        </w:tc>
        <w:tc>
          <w:tcPr>
            <w:tcW w:w="1842" w:type="dxa"/>
          </w:tcPr>
          <w:p>
            <w:pPr>
              <w:pStyle w:val="GesAbsatz"/>
              <w:tabs>
                <w:tab w:val="left" w:pos="2268"/>
              </w:tabs>
              <w:jc w:val="center"/>
              <w:rPr>
                <w:rFonts w:cs="Arial"/>
              </w:rPr>
            </w:pPr>
            <w:r>
              <w:rPr>
                <w:rFonts w:cs="Arial"/>
              </w:rPr>
              <w:t>50</w:t>
            </w:r>
          </w:p>
        </w:tc>
        <w:tc>
          <w:tcPr>
            <w:tcW w:w="2100" w:type="dxa"/>
          </w:tcPr>
          <w:p>
            <w:pPr>
              <w:pStyle w:val="GesAbsatz"/>
              <w:tabs>
                <w:tab w:val="left" w:pos="2268"/>
              </w:tabs>
              <w:jc w:val="center"/>
              <w:rPr>
                <w:rFonts w:cs="Arial"/>
              </w:rPr>
            </w:pPr>
            <w:r>
              <w:rPr>
                <w:rFonts w:cs="Arial"/>
              </w:rPr>
              <w:t>60</w:t>
            </w:r>
          </w:p>
        </w:tc>
      </w:tr>
      <w:tr>
        <w:trPr>
          <w:trHeight w:val="312"/>
        </w:trPr>
        <w:tc>
          <w:tcPr>
            <w:tcW w:w="2573" w:type="dxa"/>
          </w:tcPr>
          <w:p>
            <w:pPr>
              <w:pStyle w:val="GesAbsatz"/>
              <w:tabs>
                <w:tab w:val="left" w:pos="2268"/>
              </w:tabs>
              <w:rPr>
                <w:rFonts w:cs="Arial"/>
              </w:rPr>
            </w:pPr>
            <w:r>
              <w:rPr>
                <w:rFonts w:cs="Arial"/>
              </w:rPr>
              <w:t>Cyanide</w:t>
            </w:r>
          </w:p>
        </w:tc>
        <w:tc>
          <w:tcPr>
            <w:tcW w:w="1275" w:type="dxa"/>
          </w:tcPr>
          <w:p>
            <w:pPr>
              <w:pStyle w:val="GesAbsatz"/>
              <w:tabs>
                <w:tab w:val="left" w:pos="2268"/>
              </w:tabs>
              <w:jc w:val="center"/>
              <w:rPr>
                <w:rFonts w:cs="Arial"/>
              </w:rPr>
            </w:pPr>
            <w:r>
              <w:rPr>
                <w:rFonts w:cs="Arial"/>
              </w:rPr>
              <w:t>50</w:t>
            </w:r>
          </w:p>
        </w:tc>
        <w:tc>
          <w:tcPr>
            <w:tcW w:w="1560" w:type="dxa"/>
          </w:tcPr>
          <w:p>
            <w:pPr>
              <w:pStyle w:val="GesAbsatz"/>
              <w:tabs>
                <w:tab w:val="left" w:pos="2268"/>
              </w:tabs>
              <w:jc w:val="center"/>
              <w:rPr>
                <w:rFonts w:cs="Arial"/>
              </w:rPr>
            </w:pPr>
            <w:r>
              <w:rPr>
                <w:rFonts w:cs="Arial"/>
              </w:rPr>
              <w:t>50</w:t>
            </w:r>
          </w:p>
        </w:tc>
        <w:tc>
          <w:tcPr>
            <w:tcW w:w="1842" w:type="dxa"/>
          </w:tcPr>
          <w:p>
            <w:pPr>
              <w:pStyle w:val="GesAbsatz"/>
              <w:tabs>
                <w:tab w:val="left" w:pos="2268"/>
              </w:tabs>
              <w:jc w:val="center"/>
              <w:rPr>
                <w:rFonts w:cs="Arial"/>
              </w:rPr>
            </w:pPr>
            <w:r>
              <w:rPr>
                <w:rFonts w:cs="Arial"/>
              </w:rPr>
              <w:t>50</w:t>
            </w:r>
          </w:p>
        </w:tc>
        <w:tc>
          <w:tcPr>
            <w:tcW w:w="2100" w:type="dxa"/>
          </w:tcPr>
          <w:p>
            <w:pPr>
              <w:pStyle w:val="GesAbsatz"/>
              <w:tabs>
                <w:tab w:val="left" w:pos="2268"/>
              </w:tabs>
              <w:jc w:val="center"/>
              <w:rPr>
                <w:rFonts w:cs="Arial"/>
              </w:rPr>
            </w:pPr>
            <w:r>
              <w:rPr>
                <w:rFonts w:cs="Arial"/>
              </w:rPr>
              <w:t>100</w:t>
            </w:r>
          </w:p>
        </w:tc>
      </w:tr>
      <w:tr>
        <w:trPr>
          <w:trHeight w:val="312"/>
        </w:trPr>
        <w:tc>
          <w:tcPr>
            <w:tcW w:w="2573" w:type="dxa"/>
          </w:tcPr>
          <w:p>
            <w:pPr>
              <w:pStyle w:val="GesAbsatz"/>
              <w:tabs>
                <w:tab w:val="left" w:pos="2268"/>
              </w:tabs>
              <w:rPr>
                <w:rFonts w:cs="Arial"/>
              </w:rPr>
            </w:pPr>
            <w:r>
              <w:rPr>
                <w:rFonts w:cs="Arial"/>
              </w:rPr>
              <w:t>Chrom</w:t>
            </w:r>
            <w:r>
              <w:rPr>
                <w:rFonts w:cs="Arial"/>
                <w:vertAlign w:val="subscript"/>
              </w:rPr>
              <w:t>gesamt</w:t>
            </w:r>
            <w:r>
              <w:rPr>
                <w:rFonts w:cs="Arial"/>
                <w:vertAlign w:val="superscript"/>
              </w:rPr>
              <w:t>2</w:t>
            </w:r>
          </w:p>
        </w:tc>
        <w:tc>
          <w:tcPr>
            <w:tcW w:w="1275" w:type="dxa"/>
          </w:tcPr>
          <w:p>
            <w:pPr>
              <w:pStyle w:val="GesAbsatz"/>
              <w:tabs>
                <w:tab w:val="left" w:pos="2268"/>
              </w:tabs>
              <w:jc w:val="center"/>
              <w:rPr>
                <w:rFonts w:cs="Arial"/>
              </w:rPr>
            </w:pPr>
            <w:r>
              <w:rPr>
                <w:rFonts w:cs="Arial"/>
              </w:rPr>
              <w:t>200</w:t>
            </w:r>
          </w:p>
        </w:tc>
        <w:tc>
          <w:tcPr>
            <w:tcW w:w="1560" w:type="dxa"/>
          </w:tcPr>
          <w:p>
            <w:pPr>
              <w:pStyle w:val="GesAbsatz"/>
              <w:tabs>
                <w:tab w:val="left" w:pos="2268"/>
              </w:tabs>
              <w:jc w:val="center"/>
              <w:rPr>
                <w:rFonts w:cs="Arial"/>
              </w:rPr>
            </w:pPr>
            <w:r>
              <w:rPr>
                <w:rFonts w:cs="Arial"/>
              </w:rPr>
              <w:t>400</w:t>
            </w:r>
          </w:p>
        </w:tc>
        <w:tc>
          <w:tcPr>
            <w:tcW w:w="1842" w:type="dxa"/>
          </w:tcPr>
          <w:p>
            <w:pPr>
              <w:pStyle w:val="GesAbsatz"/>
              <w:tabs>
                <w:tab w:val="left" w:pos="2268"/>
              </w:tabs>
              <w:jc w:val="center"/>
              <w:rPr>
                <w:rFonts w:cs="Arial"/>
              </w:rPr>
            </w:pPr>
            <w:r>
              <w:rPr>
                <w:rFonts w:cs="Arial"/>
              </w:rPr>
              <w:t>400</w:t>
            </w:r>
          </w:p>
        </w:tc>
        <w:tc>
          <w:tcPr>
            <w:tcW w:w="2100" w:type="dxa"/>
          </w:tcPr>
          <w:p>
            <w:pPr>
              <w:pStyle w:val="GesAbsatz"/>
              <w:tabs>
                <w:tab w:val="left" w:pos="2268"/>
              </w:tabs>
              <w:jc w:val="center"/>
              <w:rPr>
                <w:rFonts w:cs="Arial"/>
              </w:rPr>
            </w:pPr>
            <w:r>
              <w:rPr>
                <w:rFonts w:cs="Arial"/>
              </w:rPr>
              <w:t>200</w:t>
            </w:r>
          </w:p>
        </w:tc>
      </w:tr>
      <w:tr>
        <w:trPr>
          <w:trHeight w:val="312"/>
        </w:trPr>
        <w:tc>
          <w:tcPr>
            <w:tcW w:w="2573" w:type="dxa"/>
          </w:tcPr>
          <w:p>
            <w:pPr>
              <w:pStyle w:val="GesAbsatz"/>
              <w:tabs>
                <w:tab w:val="left" w:pos="2268"/>
              </w:tabs>
              <w:rPr>
                <w:rFonts w:cs="Arial"/>
              </w:rPr>
            </w:pPr>
            <w:r>
              <w:rPr>
                <w:rFonts w:cs="Arial"/>
              </w:rPr>
              <w:t>Chrom</w:t>
            </w:r>
            <w:r>
              <w:rPr>
                <w:rFonts w:cs="Arial"/>
                <w:vertAlign w:val="subscript"/>
              </w:rPr>
              <w:t>VI</w:t>
            </w:r>
            <w:r>
              <w:rPr>
                <w:rFonts w:cs="Arial"/>
                <w:vertAlign w:val="superscript"/>
              </w:rPr>
              <w:t>2</w:t>
            </w:r>
          </w:p>
        </w:tc>
        <w:tc>
          <w:tcPr>
            <w:tcW w:w="1275" w:type="dxa"/>
          </w:tcPr>
          <w:p>
            <w:pPr>
              <w:pStyle w:val="GesAbsatz"/>
              <w:tabs>
                <w:tab w:val="left" w:pos="2268"/>
              </w:tabs>
              <w:jc w:val="center"/>
              <w:rPr>
                <w:rFonts w:cs="Arial"/>
              </w:rPr>
            </w:pPr>
            <w:r>
              <w:rPr>
                <w:rFonts w:cs="Arial"/>
              </w:rPr>
              <w:t>130</w:t>
            </w:r>
          </w:p>
        </w:tc>
        <w:tc>
          <w:tcPr>
            <w:tcW w:w="1560" w:type="dxa"/>
          </w:tcPr>
          <w:p>
            <w:pPr>
              <w:pStyle w:val="GesAbsatz"/>
              <w:tabs>
                <w:tab w:val="left" w:pos="2268"/>
              </w:tabs>
              <w:jc w:val="center"/>
              <w:rPr>
                <w:rFonts w:cs="Arial"/>
              </w:rPr>
            </w:pPr>
            <w:r>
              <w:rPr>
                <w:rFonts w:cs="Arial"/>
              </w:rPr>
              <w:t>250</w:t>
            </w:r>
          </w:p>
        </w:tc>
        <w:tc>
          <w:tcPr>
            <w:tcW w:w="1842" w:type="dxa"/>
          </w:tcPr>
          <w:p>
            <w:pPr>
              <w:pStyle w:val="GesAbsatz"/>
              <w:tabs>
                <w:tab w:val="left" w:pos="2268"/>
              </w:tabs>
              <w:jc w:val="center"/>
              <w:rPr>
                <w:rFonts w:cs="Arial"/>
              </w:rPr>
            </w:pPr>
            <w:r>
              <w:rPr>
                <w:rFonts w:cs="Arial"/>
              </w:rPr>
              <w:t>250</w:t>
            </w:r>
          </w:p>
        </w:tc>
        <w:tc>
          <w:tcPr>
            <w:tcW w:w="2100" w:type="dxa"/>
          </w:tcPr>
          <w:p>
            <w:pPr>
              <w:pStyle w:val="GesAbsatz"/>
              <w:tabs>
                <w:tab w:val="left" w:pos="2268"/>
              </w:tabs>
              <w:jc w:val="center"/>
              <w:rPr>
                <w:rFonts w:cs="Arial"/>
              </w:rPr>
            </w:pPr>
            <w:r>
              <w:rPr>
                <w:rFonts w:cs="Arial"/>
              </w:rPr>
              <w:t>130</w:t>
            </w:r>
          </w:p>
        </w:tc>
      </w:tr>
      <w:tr>
        <w:trPr>
          <w:trHeight w:val="312"/>
        </w:trPr>
        <w:tc>
          <w:tcPr>
            <w:tcW w:w="2573" w:type="dxa"/>
          </w:tcPr>
          <w:p>
            <w:pPr>
              <w:pStyle w:val="GesAbsatz"/>
              <w:tabs>
                <w:tab w:val="left" w:pos="2268"/>
              </w:tabs>
              <w:rPr>
                <w:rFonts w:cs="Arial"/>
              </w:rPr>
            </w:pPr>
            <w:r>
              <w:rPr>
                <w:rFonts w:cs="Arial"/>
              </w:rPr>
              <w:t>Kobalt</w:t>
            </w:r>
          </w:p>
        </w:tc>
        <w:tc>
          <w:tcPr>
            <w:tcW w:w="1275" w:type="dxa"/>
          </w:tcPr>
          <w:p>
            <w:pPr>
              <w:pStyle w:val="GesAbsatz"/>
              <w:tabs>
                <w:tab w:val="left" w:pos="2268"/>
              </w:tabs>
              <w:jc w:val="center"/>
              <w:rPr>
                <w:rFonts w:cs="Arial"/>
              </w:rPr>
            </w:pPr>
            <w:r>
              <w:rPr>
                <w:rFonts w:cs="Arial"/>
              </w:rPr>
              <w:t>300</w:t>
            </w:r>
          </w:p>
        </w:tc>
        <w:tc>
          <w:tcPr>
            <w:tcW w:w="1560" w:type="dxa"/>
          </w:tcPr>
          <w:p>
            <w:pPr>
              <w:pStyle w:val="GesAbsatz"/>
              <w:tabs>
                <w:tab w:val="left" w:pos="2268"/>
              </w:tabs>
              <w:jc w:val="center"/>
              <w:rPr>
                <w:rFonts w:cs="Arial"/>
              </w:rPr>
            </w:pPr>
            <w:r>
              <w:rPr>
                <w:rFonts w:cs="Arial"/>
              </w:rPr>
              <w:t>600</w:t>
            </w:r>
          </w:p>
        </w:tc>
        <w:tc>
          <w:tcPr>
            <w:tcW w:w="1842" w:type="dxa"/>
          </w:tcPr>
          <w:p>
            <w:pPr>
              <w:pStyle w:val="GesAbsatz"/>
              <w:tabs>
                <w:tab w:val="left" w:pos="2268"/>
              </w:tabs>
              <w:jc w:val="center"/>
              <w:rPr>
                <w:rFonts w:cs="Arial"/>
              </w:rPr>
            </w:pPr>
            <w:r>
              <w:rPr>
                <w:rFonts w:cs="Arial"/>
              </w:rPr>
              <w:t>600</w:t>
            </w:r>
          </w:p>
        </w:tc>
        <w:tc>
          <w:tcPr>
            <w:tcW w:w="2100" w:type="dxa"/>
          </w:tcPr>
          <w:p>
            <w:pPr>
              <w:pStyle w:val="GesAbsatz"/>
              <w:tabs>
                <w:tab w:val="left" w:pos="2268"/>
              </w:tabs>
              <w:jc w:val="center"/>
              <w:rPr>
                <w:rFonts w:cs="Arial"/>
              </w:rPr>
            </w:pPr>
            <w:r>
              <w:rPr>
                <w:rFonts w:cs="Arial"/>
              </w:rPr>
              <w:t>300</w:t>
            </w:r>
          </w:p>
        </w:tc>
      </w:tr>
      <w:tr>
        <w:trPr>
          <w:trHeight w:val="312"/>
        </w:trPr>
        <w:tc>
          <w:tcPr>
            <w:tcW w:w="2573" w:type="dxa"/>
          </w:tcPr>
          <w:p>
            <w:pPr>
              <w:pStyle w:val="GesAbsatz"/>
              <w:tabs>
                <w:tab w:val="left" w:pos="2268"/>
              </w:tabs>
              <w:rPr>
                <w:rFonts w:cs="Arial"/>
              </w:rPr>
            </w:pPr>
            <w:r>
              <w:rPr>
                <w:rFonts w:cs="Arial"/>
              </w:rPr>
              <w:t>Nickel</w:t>
            </w:r>
          </w:p>
        </w:tc>
        <w:tc>
          <w:tcPr>
            <w:tcW w:w="1275" w:type="dxa"/>
          </w:tcPr>
          <w:p>
            <w:pPr>
              <w:pStyle w:val="GesAbsatz"/>
              <w:tabs>
                <w:tab w:val="left" w:pos="2268"/>
              </w:tabs>
              <w:jc w:val="center"/>
              <w:rPr>
                <w:rFonts w:cs="Arial"/>
              </w:rPr>
            </w:pPr>
            <w:r>
              <w:rPr>
                <w:rFonts w:cs="Arial"/>
              </w:rPr>
              <w:t>70</w:t>
            </w:r>
          </w:p>
        </w:tc>
        <w:tc>
          <w:tcPr>
            <w:tcW w:w="1560" w:type="dxa"/>
          </w:tcPr>
          <w:p>
            <w:pPr>
              <w:pStyle w:val="GesAbsatz"/>
              <w:tabs>
                <w:tab w:val="left" w:pos="2268"/>
              </w:tabs>
              <w:jc w:val="center"/>
              <w:rPr>
                <w:rFonts w:cs="Arial"/>
              </w:rPr>
            </w:pPr>
            <w:r>
              <w:rPr>
                <w:rFonts w:cs="Arial"/>
              </w:rPr>
              <w:t>140</w:t>
            </w:r>
          </w:p>
        </w:tc>
        <w:tc>
          <w:tcPr>
            <w:tcW w:w="1842" w:type="dxa"/>
          </w:tcPr>
          <w:p>
            <w:pPr>
              <w:pStyle w:val="GesAbsatz"/>
              <w:tabs>
                <w:tab w:val="left" w:pos="2268"/>
              </w:tabs>
              <w:jc w:val="center"/>
              <w:rPr>
                <w:rFonts w:cs="Arial"/>
              </w:rPr>
            </w:pPr>
            <w:r>
              <w:rPr>
                <w:rFonts w:cs="Arial"/>
              </w:rPr>
              <w:t>350</w:t>
            </w:r>
          </w:p>
        </w:tc>
        <w:tc>
          <w:tcPr>
            <w:tcW w:w="2100" w:type="dxa"/>
          </w:tcPr>
          <w:p>
            <w:pPr>
              <w:pStyle w:val="GesAbsatz"/>
              <w:tabs>
                <w:tab w:val="left" w:pos="2268"/>
              </w:tabs>
              <w:jc w:val="center"/>
              <w:rPr>
                <w:rFonts w:cs="Arial"/>
              </w:rPr>
            </w:pPr>
            <w:r>
              <w:rPr>
                <w:rFonts w:cs="Arial"/>
              </w:rPr>
              <w:t>900</w:t>
            </w:r>
          </w:p>
        </w:tc>
      </w:tr>
      <w:tr>
        <w:trPr>
          <w:trHeight w:val="312"/>
        </w:trPr>
        <w:tc>
          <w:tcPr>
            <w:tcW w:w="2573" w:type="dxa"/>
          </w:tcPr>
          <w:p>
            <w:pPr>
              <w:pStyle w:val="GesAbsatz"/>
              <w:tabs>
                <w:tab w:val="left" w:pos="2268"/>
              </w:tabs>
              <w:rPr>
                <w:rFonts w:cs="Arial"/>
              </w:rPr>
            </w:pPr>
            <w:r>
              <w:rPr>
                <w:rFonts w:cs="Arial"/>
              </w:rPr>
              <w:t>Quecksilber</w:t>
            </w:r>
          </w:p>
        </w:tc>
        <w:tc>
          <w:tcPr>
            <w:tcW w:w="1275" w:type="dxa"/>
          </w:tcPr>
          <w:p>
            <w:pPr>
              <w:pStyle w:val="GesAbsatz"/>
              <w:tabs>
                <w:tab w:val="left" w:pos="2268"/>
              </w:tabs>
              <w:jc w:val="center"/>
              <w:rPr>
                <w:rFonts w:cs="Arial"/>
              </w:rPr>
            </w:pPr>
            <w:r>
              <w:rPr>
                <w:rFonts w:cs="Arial"/>
              </w:rPr>
              <w:t>10</w:t>
            </w:r>
          </w:p>
        </w:tc>
        <w:tc>
          <w:tcPr>
            <w:tcW w:w="1560" w:type="dxa"/>
          </w:tcPr>
          <w:p>
            <w:pPr>
              <w:pStyle w:val="GesAbsatz"/>
              <w:tabs>
                <w:tab w:val="left" w:pos="2268"/>
              </w:tabs>
              <w:jc w:val="center"/>
              <w:rPr>
                <w:rFonts w:cs="Arial"/>
              </w:rPr>
            </w:pPr>
            <w:r>
              <w:rPr>
                <w:rFonts w:cs="Arial"/>
              </w:rPr>
              <w:t>20</w:t>
            </w:r>
          </w:p>
        </w:tc>
        <w:tc>
          <w:tcPr>
            <w:tcW w:w="1842" w:type="dxa"/>
          </w:tcPr>
          <w:p>
            <w:pPr>
              <w:pStyle w:val="GesAbsatz"/>
              <w:tabs>
                <w:tab w:val="left" w:pos="2268"/>
              </w:tabs>
              <w:jc w:val="center"/>
              <w:rPr>
                <w:rFonts w:cs="Arial"/>
              </w:rPr>
            </w:pPr>
            <w:r>
              <w:rPr>
                <w:rFonts w:cs="Arial"/>
              </w:rPr>
              <w:t>50</w:t>
            </w:r>
          </w:p>
        </w:tc>
        <w:tc>
          <w:tcPr>
            <w:tcW w:w="2100" w:type="dxa"/>
          </w:tcPr>
          <w:p>
            <w:pPr>
              <w:pStyle w:val="GesAbsatz"/>
              <w:tabs>
                <w:tab w:val="left" w:pos="2268"/>
              </w:tabs>
              <w:jc w:val="center"/>
              <w:rPr>
                <w:rFonts w:cs="Arial"/>
              </w:rPr>
            </w:pPr>
            <w:r>
              <w:rPr>
                <w:rFonts w:cs="Arial"/>
              </w:rPr>
              <w:t>100</w:t>
            </w:r>
          </w:p>
        </w:tc>
      </w:tr>
      <w:tr>
        <w:trPr>
          <w:trHeight w:val="312"/>
        </w:trPr>
        <w:tc>
          <w:tcPr>
            <w:tcW w:w="2573" w:type="dxa"/>
          </w:tcPr>
          <w:p>
            <w:pPr>
              <w:pStyle w:val="GesAbsatz"/>
              <w:tabs>
                <w:tab w:val="left" w:pos="2268"/>
              </w:tabs>
              <w:rPr>
                <w:rFonts w:cs="Arial"/>
              </w:rPr>
            </w:pPr>
            <w:r>
              <w:rPr>
                <w:rFonts w:cs="Arial"/>
              </w:rPr>
              <w:t>Thallium</w:t>
            </w:r>
          </w:p>
        </w:tc>
        <w:tc>
          <w:tcPr>
            <w:tcW w:w="1275" w:type="dxa"/>
          </w:tcPr>
          <w:p>
            <w:pPr>
              <w:pStyle w:val="GesAbsatz"/>
              <w:tabs>
                <w:tab w:val="left" w:pos="2268"/>
              </w:tabs>
              <w:jc w:val="center"/>
              <w:rPr>
                <w:rFonts w:cs="Arial"/>
              </w:rPr>
            </w:pPr>
            <w:r>
              <w:rPr>
                <w:rFonts w:cs="Arial"/>
              </w:rPr>
              <w:t>5</w:t>
            </w:r>
          </w:p>
        </w:tc>
        <w:tc>
          <w:tcPr>
            <w:tcW w:w="1560" w:type="dxa"/>
          </w:tcPr>
          <w:p>
            <w:pPr>
              <w:pStyle w:val="GesAbsatz"/>
              <w:tabs>
                <w:tab w:val="left" w:pos="2268"/>
              </w:tabs>
              <w:jc w:val="center"/>
              <w:rPr>
                <w:rFonts w:cs="Arial"/>
              </w:rPr>
            </w:pPr>
            <w:r>
              <w:rPr>
                <w:rFonts w:cs="Arial"/>
              </w:rPr>
              <w:t>10</w:t>
            </w:r>
          </w:p>
        </w:tc>
        <w:tc>
          <w:tcPr>
            <w:tcW w:w="1842" w:type="dxa"/>
          </w:tcPr>
          <w:p>
            <w:pPr>
              <w:pStyle w:val="GesAbsatz"/>
              <w:tabs>
                <w:tab w:val="left" w:pos="2268"/>
              </w:tabs>
              <w:jc w:val="center"/>
              <w:rPr>
                <w:rFonts w:cs="Arial"/>
              </w:rPr>
            </w:pPr>
            <w:r>
              <w:rPr>
                <w:rFonts w:cs="Arial"/>
              </w:rPr>
              <w:t>25</w:t>
            </w:r>
          </w:p>
        </w:tc>
        <w:tc>
          <w:tcPr>
            <w:tcW w:w="2100" w:type="dxa"/>
          </w:tcPr>
          <w:p>
            <w:pPr>
              <w:pStyle w:val="GesAbsatz"/>
              <w:tabs>
                <w:tab w:val="left" w:pos="2268"/>
              </w:tabs>
              <w:jc w:val="center"/>
              <w:rPr>
                <w:rFonts w:cs="Arial"/>
              </w:rPr>
            </w:pPr>
            <w:r>
              <w:rPr>
                <w:rFonts w:cs="Arial"/>
              </w:rPr>
              <w:t>–</w:t>
            </w:r>
          </w:p>
        </w:tc>
      </w:tr>
      <w:tr>
        <w:trPr>
          <w:trHeight w:val="312"/>
        </w:trPr>
        <w:tc>
          <w:tcPr>
            <w:tcW w:w="2573" w:type="dxa"/>
          </w:tcPr>
          <w:p>
            <w:pPr>
              <w:pStyle w:val="GesAbsatz"/>
              <w:tabs>
                <w:tab w:val="left" w:pos="2268"/>
              </w:tabs>
              <w:rPr>
                <w:rFonts w:cs="Arial"/>
              </w:rPr>
            </w:pPr>
            <w:r>
              <w:rPr>
                <w:rFonts w:cs="Arial"/>
              </w:rPr>
              <w:t>Aldrin</w:t>
            </w:r>
          </w:p>
        </w:tc>
        <w:tc>
          <w:tcPr>
            <w:tcW w:w="1275" w:type="dxa"/>
          </w:tcPr>
          <w:p>
            <w:pPr>
              <w:pStyle w:val="GesAbsatz"/>
              <w:tabs>
                <w:tab w:val="left" w:pos="2268"/>
              </w:tabs>
              <w:jc w:val="center"/>
              <w:rPr>
                <w:rFonts w:cs="Arial"/>
              </w:rPr>
            </w:pPr>
            <w:r>
              <w:rPr>
                <w:rFonts w:cs="Arial"/>
              </w:rPr>
              <w:t>2</w:t>
            </w:r>
          </w:p>
        </w:tc>
        <w:tc>
          <w:tcPr>
            <w:tcW w:w="1560" w:type="dxa"/>
          </w:tcPr>
          <w:p>
            <w:pPr>
              <w:pStyle w:val="GesAbsatz"/>
              <w:tabs>
                <w:tab w:val="left" w:pos="2268"/>
              </w:tabs>
              <w:jc w:val="center"/>
              <w:rPr>
                <w:rFonts w:cs="Arial"/>
              </w:rPr>
            </w:pPr>
            <w:r>
              <w:rPr>
                <w:rFonts w:cs="Arial"/>
              </w:rPr>
              <w:t>4</w:t>
            </w:r>
          </w:p>
        </w:tc>
        <w:tc>
          <w:tcPr>
            <w:tcW w:w="1842" w:type="dxa"/>
          </w:tcPr>
          <w:p>
            <w:pPr>
              <w:pStyle w:val="GesAbsatz"/>
              <w:tabs>
                <w:tab w:val="left" w:pos="2268"/>
              </w:tabs>
              <w:jc w:val="center"/>
              <w:rPr>
                <w:rFonts w:cs="Arial"/>
              </w:rPr>
            </w:pPr>
            <w:r>
              <w:rPr>
                <w:rFonts w:cs="Arial"/>
              </w:rPr>
              <w:t>10</w:t>
            </w:r>
          </w:p>
        </w:tc>
        <w:tc>
          <w:tcPr>
            <w:tcW w:w="2100" w:type="dxa"/>
          </w:tcPr>
          <w:p>
            <w:pPr>
              <w:pStyle w:val="GesAbsatz"/>
              <w:tabs>
                <w:tab w:val="left" w:pos="2268"/>
              </w:tabs>
              <w:jc w:val="center"/>
              <w:rPr>
                <w:rFonts w:cs="Arial"/>
              </w:rPr>
            </w:pPr>
            <w:r>
              <w:rPr>
                <w:rFonts w:cs="Arial"/>
              </w:rPr>
              <w:t>–</w:t>
            </w:r>
          </w:p>
        </w:tc>
      </w:tr>
      <w:tr>
        <w:trPr>
          <w:trHeight w:val="312"/>
        </w:trPr>
        <w:tc>
          <w:tcPr>
            <w:tcW w:w="2573" w:type="dxa"/>
          </w:tcPr>
          <w:p>
            <w:pPr>
              <w:pStyle w:val="GesAbsatz"/>
              <w:tabs>
                <w:tab w:val="left" w:pos="2268"/>
              </w:tabs>
              <w:rPr>
                <w:rFonts w:cs="Arial"/>
              </w:rPr>
            </w:pPr>
            <w:r>
              <w:rPr>
                <w:rFonts w:cs="Arial"/>
              </w:rPr>
              <w:t>2,4-Dinitrotoluol</w:t>
            </w:r>
          </w:p>
        </w:tc>
        <w:tc>
          <w:tcPr>
            <w:tcW w:w="1275" w:type="dxa"/>
          </w:tcPr>
          <w:p>
            <w:pPr>
              <w:pStyle w:val="GesAbsatz"/>
              <w:tabs>
                <w:tab w:val="left" w:pos="2268"/>
              </w:tabs>
              <w:jc w:val="center"/>
              <w:rPr>
                <w:rFonts w:cs="Arial"/>
              </w:rPr>
            </w:pPr>
            <w:r>
              <w:rPr>
                <w:rFonts w:cs="Arial"/>
              </w:rPr>
              <w:t>3</w:t>
            </w:r>
          </w:p>
        </w:tc>
        <w:tc>
          <w:tcPr>
            <w:tcW w:w="1560" w:type="dxa"/>
          </w:tcPr>
          <w:p>
            <w:pPr>
              <w:pStyle w:val="GesAbsatz"/>
              <w:tabs>
                <w:tab w:val="left" w:pos="2268"/>
              </w:tabs>
              <w:jc w:val="center"/>
              <w:rPr>
                <w:rFonts w:cs="Arial"/>
              </w:rPr>
            </w:pPr>
            <w:r>
              <w:rPr>
                <w:rFonts w:cs="Arial"/>
              </w:rPr>
              <w:t>6</w:t>
            </w:r>
          </w:p>
        </w:tc>
        <w:tc>
          <w:tcPr>
            <w:tcW w:w="1842" w:type="dxa"/>
          </w:tcPr>
          <w:p>
            <w:pPr>
              <w:pStyle w:val="GesAbsatz"/>
              <w:tabs>
                <w:tab w:val="left" w:pos="2268"/>
              </w:tabs>
              <w:jc w:val="center"/>
              <w:rPr>
                <w:rFonts w:cs="Arial"/>
              </w:rPr>
            </w:pPr>
            <w:r>
              <w:rPr>
                <w:rFonts w:cs="Arial"/>
              </w:rPr>
              <w:t>15</w:t>
            </w:r>
          </w:p>
        </w:tc>
        <w:tc>
          <w:tcPr>
            <w:tcW w:w="2100" w:type="dxa"/>
          </w:tcPr>
          <w:p>
            <w:pPr>
              <w:pStyle w:val="GesAbsatz"/>
              <w:tabs>
                <w:tab w:val="left" w:pos="2268"/>
              </w:tabs>
              <w:jc w:val="center"/>
              <w:rPr>
                <w:rFonts w:cs="Arial"/>
              </w:rPr>
            </w:pPr>
            <w:r>
              <w:rPr>
                <w:rFonts w:cs="Arial"/>
              </w:rPr>
              <w:t>50</w:t>
            </w:r>
          </w:p>
        </w:tc>
      </w:tr>
      <w:tr>
        <w:trPr>
          <w:trHeight w:val="312"/>
        </w:trPr>
        <w:tc>
          <w:tcPr>
            <w:tcW w:w="2573" w:type="dxa"/>
          </w:tcPr>
          <w:p>
            <w:pPr>
              <w:pStyle w:val="GesAbsatz"/>
              <w:tabs>
                <w:tab w:val="left" w:pos="2268"/>
              </w:tabs>
              <w:rPr>
                <w:rFonts w:cs="Arial"/>
              </w:rPr>
            </w:pPr>
            <w:r>
              <w:rPr>
                <w:rFonts w:cs="Arial"/>
              </w:rPr>
              <w:lastRenderedPageBreak/>
              <w:t>2,6-Dinitrotoluol</w:t>
            </w:r>
          </w:p>
        </w:tc>
        <w:tc>
          <w:tcPr>
            <w:tcW w:w="1275" w:type="dxa"/>
          </w:tcPr>
          <w:p>
            <w:pPr>
              <w:pStyle w:val="GesAbsatz"/>
              <w:tabs>
                <w:tab w:val="left" w:pos="2268"/>
              </w:tabs>
              <w:jc w:val="center"/>
              <w:rPr>
                <w:rFonts w:cs="Arial"/>
              </w:rPr>
            </w:pPr>
            <w:r>
              <w:rPr>
                <w:rFonts w:cs="Arial"/>
              </w:rPr>
              <w:t>0,2</w:t>
            </w:r>
          </w:p>
        </w:tc>
        <w:tc>
          <w:tcPr>
            <w:tcW w:w="1560" w:type="dxa"/>
          </w:tcPr>
          <w:p>
            <w:pPr>
              <w:pStyle w:val="GesAbsatz"/>
              <w:tabs>
                <w:tab w:val="left" w:pos="2268"/>
              </w:tabs>
              <w:jc w:val="center"/>
              <w:rPr>
                <w:rFonts w:cs="Arial"/>
              </w:rPr>
            </w:pPr>
            <w:r>
              <w:rPr>
                <w:rFonts w:cs="Arial"/>
              </w:rPr>
              <w:t>0,4</w:t>
            </w:r>
          </w:p>
        </w:tc>
        <w:tc>
          <w:tcPr>
            <w:tcW w:w="1842" w:type="dxa"/>
          </w:tcPr>
          <w:p>
            <w:pPr>
              <w:pStyle w:val="GesAbsatz"/>
              <w:tabs>
                <w:tab w:val="left" w:pos="2268"/>
              </w:tabs>
              <w:jc w:val="center"/>
              <w:rPr>
                <w:rFonts w:cs="Arial"/>
              </w:rPr>
            </w:pPr>
            <w:r>
              <w:rPr>
                <w:rFonts w:cs="Arial"/>
              </w:rPr>
              <w:t>1</w:t>
            </w:r>
          </w:p>
        </w:tc>
        <w:tc>
          <w:tcPr>
            <w:tcW w:w="2100" w:type="dxa"/>
          </w:tcPr>
          <w:p>
            <w:pPr>
              <w:pStyle w:val="GesAbsatz"/>
              <w:tabs>
                <w:tab w:val="left" w:pos="2268"/>
              </w:tabs>
              <w:jc w:val="center"/>
              <w:rPr>
                <w:rFonts w:cs="Arial"/>
              </w:rPr>
            </w:pPr>
            <w:r>
              <w:rPr>
                <w:rFonts w:cs="Arial"/>
              </w:rPr>
              <w:t>5</w:t>
            </w:r>
          </w:p>
        </w:tc>
      </w:tr>
      <w:tr>
        <w:trPr>
          <w:trHeight w:val="312"/>
        </w:trPr>
        <w:tc>
          <w:tcPr>
            <w:tcW w:w="2573" w:type="dxa"/>
          </w:tcPr>
          <w:p>
            <w:pPr>
              <w:pStyle w:val="GesAbsatz"/>
              <w:tabs>
                <w:tab w:val="left" w:pos="2268"/>
              </w:tabs>
              <w:jc w:val="left"/>
              <w:rPr>
                <w:rFonts w:cs="Arial"/>
              </w:rPr>
            </w:pPr>
            <w:r>
              <w:rPr>
                <w:rFonts w:cs="Arial"/>
              </w:rPr>
              <w:t>DDT (Dichlordiphenyltrichlorethan)</w:t>
            </w:r>
          </w:p>
        </w:tc>
        <w:tc>
          <w:tcPr>
            <w:tcW w:w="1275" w:type="dxa"/>
          </w:tcPr>
          <w:p>
            <w:pPr>
              <w:pStyle w:val="GesAbsatz"/>
              <w:tabs>
                <w:tab w:val="left" w:pos="2268"/>
              </w:tabs>
              <w:jc w:val="center"/>
              <w:rPr>
                <w:rFonts w:cs="Arial"/>
              </w:rPr>
            </w:pPr>
            <w:r>
              <w:rPr>
                <w:rFonts w:cs="Arial"/>
              </w:rPr>
              <w:t>40</w:t>
            </w:r>
          </w:p>
        </w:tc>
        <w:tc>
          <w:tcPr>
            <w:tcW w:w="1560" w:type="dxa"/>
          </w:tcPr>
          <w:p>
            <w:pPr>
              <w:pStyle w:val="GesAbsatz"/>
              <w:tabs>
                <w:tab w:val="left" w:pos="2268"/>
              </w:tabs>
              <w:jc w:val="center"/>
              <w:rPr>
                <w:rFonts w:cs="Arial"/>
              </w:rPr>
            </w:pPr>
            <w:r>
              <w:rPr>
                <w:rFonts w:cs="Arial"/>
              </w:rPr>
              <w:t>80</w:t>
            </w:r>
          </w:p>
        </w:tc>
        <w:tc>
          <w:tcPr>
            <w:tcW w:w="1842" w:type="dxa"/>
          </w:tcPr>
          <w:p>
            <w:pPr>
              <w:pStyle w:val="GesAbsatz"/>
              <w:tabs>
                <w:tab w:val="left" w:pos="2268"/>
              </w:tabs>
              <w:jc w:val="center"/>
              <w:rPr>
                <w:rFonts w:cs="Arial"/>
              </w:rPr>
            </w:pPr>
            <w:r>
              <w:rPr>
                <w:rFonts w:cs="Arial"/>
              </w:rPr>
              <w:t>200</w:t>
            </w:r>
          </w:p>
        </w:tc>
        <w:tc>
          <w:tcPr>
            <w:tcW w:w="2100" w:type="dxa"/>
          </w:tcPr>
          <w:p>
            <w:pPr>
              <w:pStyle w:val="GesAbsatz"/>
              <w:tabs>
                <w:tab w:val="left" w:pos="2268"/>
              </w:tabs>
              <w:jc w:val="center"/>
              <w:rPr>
                <w:rFonts w:cs="Arial"/>
              </w:rPr>
            </w:pPr>
            <w:r>
              <w:rPr>
                <w:rFonts w:cs="Arial"/>
              </w:rPr>
              <w:t>400</w:t>
            </w:r>
          </w:p>
        </w:tc>
      </w:tr>
      <w:tr>
        <w:trPr>
          <w:trHeight w:val="312"/>
        </w:trPr>
        <w:tc>
          <w:tcPr>
            <w:tcW w:w="2573" w:type="dxa"/>
          </w:tcPr>
          <w:p>
            <w:pPr>
              <w:pStyle w:val="GesAbsatz"/>
              <w:tabs>
                <w:tab w:val="left" w:pos="2268"/>
              </w:tabs>
              <w:rPr>
                <w:rFonts w:cs="Arial"/>
              </w:rPr>
            </w:pPr>
            <w:r>
              <w:rPr>
                <w:rFonts w:cs="Arial"/>
              </w:rPr>
              <w:t>Hexachlorbenzol</w:t>
            </w:r>
          </w:p>
        </w:tc>
        <w:tc>
          <w:tcPr>
            <w:tcW w:w="1275" w:type="dxa"/>
          </w:tcPr>
          <w:p>
            <w:pPr>
              <w:pStyle w:val="GesAbsatz"/>
              <w:tabs>
                <w:tab w:val="left" w:pos="2268"/>
              </w:tabs>
              <w:jc w:val="center"/>
              <w:rPr>
                <w:rFonts w:cs="Arial"/>
              </w:rPr>
            </w:pPr>
            <w:r>
              <w:rPr>
                <w:rFonts w:cs="Arial"/>
              </w:rPr>
              <w:t>4</w:t>
            </w:r>
          </w:p>
        </w:tc>
        <w:tc>
          <w:tcPr>
            <w:tcW w:w="1560" w:type="dxa"/>
          </w:tcPr>
          <w:p>
            <w:pPr>
              <w:pStyle w:val="GesAbsatz"/>
              <w:tabs>
                <w:tab w:val="left" w:pos="2268"/>
              </w:tabs>
              <w:jc w:val="center"/>
              <w:rPr>
                <w:rFonts w:cs="Arial"/>
              </w:rPr>
            </w:pPr>
            <w:r>
              <w:rPr>
                <w:rFonts w:cs="Arial"/>
              </w:rPr>
              <w:t>8</w:t>
            </w:r>
          </w:p>
        </w:tc>
        <w:tc>
          <w:tcPr>
            <w:tcW w:w="1842" w:type="dxa"/>
          </w:tcPr>
          <w:p>
            <w:pPr>
              <w:pStyle w:val="GesAbsatz"/>
              <w:tabs>
                <w:tab w:val="left" w:pos="2268"/>
              </w:tabs>
              <w:jc w:val="center"/>
              <w:rPr>
                <w:rFonts w:cs="Arial"/>
              </w:rPr>
            </w:pPr>
            <w:r>
              <w:rPr>
                <w:rFonts w:cs="Arial"/>
              </w:rPr>
              <w:t>20</w:t>
            </w:r>
          </w:p>
        </w:tc>
        <w:tc>
          <w:tcPr>
            <w:tcW w:w="2100" w:type="dxa"/>
          </w:tcPr>
          <w:p>
            <w:pPr>
              <w:pStyle w:val="GesAbsatz"/>
              <w:tabs>
                <w:tab w:val="left" w:pos="2268"/>
              </w:tabs>
              <w:jc w:val="center"/>
              <w:rPr>
                <w:rFonts w:cs="Arial"/>
              </w:rPr>
            </w:pPr>
            <w:r>
              <w:rPr>
                <w:rFonts w:cs="Arial"/>
              </w:rPr>
              <w:t>200</w:t>
            </w:r>
          </w:p>
        </w:tc>
      </w:tr>
      <w:tr>
        <w:trPr>
          <w:trHeight w:val="511"/>
        </w:trPr>
        <w:tc>
          <w:tcPr>
            <w:tcW w:w="2573" w:type="dxa"/>
          </w:tcPr>
          <w:p>
            <w:pPr>
              <w:pStyle w:val="GesAbsatz"/>
              <w:tabs>
                <w:tab w:val="left" w:pos="2268"/>
              </w:tabs>
              <w:jc w:val="left"/>
              <w:rPr>
                <w:rFonts w:cs="Arial"/>
              </w:rPr>
            </w:pPr>
            <w:r>
              <w:rPr>
                <w:rFonts w:cs="Arial"/>
              </w:rPr>
              <w:t xml:space="preserve">Hexachlorcyclohexan (HCH-Gemisch oder </w:t>
            </w:r>
            <w:r>
              <w:rPr>
                <w:rFonts w:cs="Arial"/>
              </w:rPr>
              <w:br/>
              <w:t>β-HCH)</w:t>
            </w:r>
          </w:p>
        </w:tc>
        <w:tc>
          <w:tcPr>
            <w:tcW w:w="1275" w:type="dxa"/>
          </w:tcPr>
          <w:p>
            <w:pPr>
              <w:pStyle w:val="GesAbsatz"/>
              <w:tabs>
                <w:tab w:val="left" w:pos="2268"/>
              </w:tabs>
              <w:jc w:val="center"/>
              <w:rPr>
                <w:rFonts w:cs="Arial"/>
              </w:rPr>
            </w:pPr>
            <w:r>
              <w:rPr>
                <w:rFonts w:cs="Arial"/>
              </w:rPr>
              <w:t>5</w:t>
            </w:r>
          </w:p>
        </w:tc>
        <w:tc>
          <w:tcPr>
            <w:tcW w:w="1560" w:type="dxa"/>
          </w:tcPr>
          <w:p>
            <w:pPr>
              <w:pStyle w:val="GesAbsatz"/>
              <w:tabs>
                <w:tab w:val="left" w:pos="2268"/>
              </w:tabs>
              <w:jc w:val="center"/>
              <w:rPr>
                <w:rFonts w:cs="Arial"/>
              </w:rPr>
            </w:pPr>
            <w:r>
              <w:rPr>
                <w:rFonts w:cs="Arial"/>
              </w:rPr>
              <w:t>10</w:t>
            </w:r>
          </w:p>
        </w:tc>
        <w:tc>
          <w:tcPr>
            <w:tcW w:w="1842" w:type="dxa"/>
          </w:tcPr>
          <w:p>
            <w:pPr>
              <w:pStyle w:val="GesAbsatz"/>
              <w:tabs>
                <w:tab w:val="left" w:pos="2268"/>
              </w:tabs>
              <w:jc w:val="center"/>
              <w:rPr>
                <w:rFonts w:cs="Arial"/>
              </w:rPr>
            </w:pPr>
            <w:r>
              <w:rPr>
                <w:rFonts w:cs="Arial"/>
              </w:rPr>
              <w:t>25</w:t>
            </w:r>
          </w:p>
        </w:tc>
        <w:tc>
          <w:tcPr>
            <w:tcW w:w="2100" w:type="dxa"/>
          </w:tcPr>
          <w:p>
            <w:pPr>
              <w:pStyle w:val="GesAbsatz"/>
              <w:tabs>
                <w:tab w:val="left" w:pos="2268"/>
              </w:tabs>
              <w:jc w:val="center"/>
              <w:rPr>
                <w:rFonts w:cs="Arial"/>
              </w:rPr>
            </w:pPr>
            <w:r>
              <w:rPr>
                <w:rFonts w:cs="Arial"/>
              </w:rPr>
              <w:t>400</w:t>
            </w:r>
          </w:p>
        </w:tc>
      </w:tr>
      <w:tr>
        <w:trPr>
          <w:trHeight w:val="312"/>
        </w:trPr>
        <w:tc>
          <w:tcPr>
            <w:tcW w:w="2573" w:type="dxa"/>
          </w:tcPr>
          <w:p>
            <w:pPr>
              <w:pStyle w:val="GesAbsatz"/>
              <w:tabs>
                <w:tab w:val="left" w:pos="2268"/>
              </w:tabs>
              <w:jc w:val="left"/>
              <w:rPr>
                <w:rFonts w:cs="Arial"/>
              </w:rPr>
            </w:pPr>
            <w:r>
              <w:rPr>
                <w:rFonts w:cs="Arial"/>
              </w:rPr>
              <w:t>2,2‘, 4,4‘, 6,6‘-Hexa-nitrodiphenylamin (Hexyl)</w:t>
            </w:r>
          </w:p>
        </w:tc>
        <w:tc>
          <w:tcPr>
            <w:tcW w:w="1275" w:type="dxa"/>
          </w:tcPr>
          <w:p>
            <w:pPr>
              <w:pStyle w:val="GesAbsatz"/>
              <w:tabs>
                <w:tab w:val="left" w:pos="2268"/>
              </w:tabs>
              <w:jc w:val="center"/>
              <w:rPr>
                <w:rFonts w:cs="Arial"/>
              </w:rPr>
            </w:pPr>
            <w:r>
              <w:rPr>
                <w:rFonts w:cs="Arial"/>
              </w:rPr>
              <w:t>150</w:t>
            </w:r>
          </w:p>
        </w:tc>
        <w:tc>
          <w:tcPr>
            <w:tcW w:w="1560" w:type="dxa"/>
          </w:tcPr>
          <w:p>
            <w:pPr>
              <w:pStyle w:val="GesAbsatz"/>
              <w:tabs>
                <w:tab w:val="left" w:pos="2268"/>
              </w:tabs>
              <w:jc w:val="center"/>
              <w:rPr>
                <w:rFonts w:cs="Arial"/>
              </w:rPr>
            </w:pPr>
            <w:r>
              <w:rPr>
                <w:rFonts w:cs="Arial"/>
              </w:rPr>
              <w:t>300</w:t>
            </w:r>
          </w:p>
        </w:tc>
        <w:tc>
          <w:tcPr>
            <w:tcW w:w="1842" w:type="dxa"/>
          </w:tcPr>
          <w:p>
            <w:pPr>
              <w:pStyle w:val="GesAbsatz"/>
              <w:tabs>
                <w:tab w:val="left" w:pos="2268"/>
              </w:tabs>
              <w:jc w:val="center"/>
              <w:rPr>
                <w:rFonts w:cs="Arial"/>
              </w:rPr>
            </w:pPr>
            <w:r>
              <w:rPr>
                <w:rFonts w:cs="Arial"/>
              </w:rPr>
              <w:t>750</w:t>
            </w:r>
          </w:p>
        </w:tc>
        <w:tc>
          <w:tcPr>
            <w:tcW w:w="2100" w:type="dxa"/>
          </w:tcPr>
          <w:p>
            <w:pPr>
              <w:pStyle w:val="GesAbsatz"/>
              <w:tabs>
                <w:tab w:val="left" w:pos="2268"/>
              </w:tabs>
              <w:jc w:val="center"/>
              <w:rPr>
                <w:rFonts w:cs="Arial"/>
              </w:rPr>
            </w:pPr>
            <w:r>
              <w:rPr>
                <w:rFonts w:cs="Arial"/>
              </w:rPr>
              <w:t>1 500</w:t>
            </w:r>
          </w:p>
        </w:tc>
      </w:tr>
      <w:tr>
        <w:trPr>
          <w:trHeight w:val="511"/>
        </w:trPr>
        <w:tc>
          <w:tcPr>
            <w:tcW w:w="2573" w:type="dxa"/>
          </w:tcPr>
          <w:p>
            <w:pPr>
              <w:pStyle w:val="GesAbsatz"/>
              <w:tabs>
                <w:tab w:val="left" w:pos="2268"/>
              </w:tabs>
              <w:rPr>
                <w:rFonts w:cs="Arial"/>
              </w:rPr>
            </w:pPr>
            <w:r>
              <w:rPr>
                <w:rFonts w:cs="Arial"/>
              </w:rPr>
              <w:t>1,3,5-Trinitro-hexahydro-1,3, 5-triazin (Hexogen)</w:t>
            </w:r>
          </w:p>
        </w:tc>
        <w:tc>
          <w:tcPr>
            <w:tcW w:w="1275" w:type="dxa"/>
          </w:tcPr>
          <w:p>
            <w:pPr>
              <w:pStyle w:val="GesAbsatz"/>
              <w:tabs>
                <w:tab w:val="left" w:pos="2268"/>
              </w:tabs>
              <w:jc w:val="center"/>
              <w:rPr>
                <w:rFonts w:cs="Arial"/>
              </w:rPr>
            </w:pPr>
            <w:r>
              <w:rPr>
                <w:rFonts w:cs="Arial"/>
              </w:rPr>
              <w:t>100</w:t>
            </w:r>
          </w:p>
        </w:tc>
        <w:tc>
          <w:tcPr>
            <w:tcW w:w="1560" w:type="dxa"/>
          </w:tcPr>
          <w:p>
            <w:pPr>
              <w:pStyle w:val="GesAbsatz"/>
              <w:tabs>
                <w:tab w:val="left" w:pos="2268"/>
              </w:tabs>
              <w:jc w:val="center"/>
              <w:rPr>
                <w:rFonts w:cs="Arial"/>
              </w:rPr>
            </w:pPr>
            <w:r>
              <w:rPr>
                <w:rFonts w:cs="Arial"/>
              </w:rPr>
              <w:t>200</w:t>
            </w:r>
          </w:p>
        </w:tc>
        <w:tc>
          <w:tcPr>
            <w:tcW w:w="1842" w:type="dxa"/>
          </w:tcPr>
          <w:p>
            <w:pPr>
              <w:pStyle w:val="GesAbsatz"/>
              <w:tabs>
                <w:tab w:val="left" w:pos="2268"/>
              </w:tabs>
              <w:jc w:val="center"/>
              <w:rPr>
                <w:rFonts w:cs="Arial"/>
              </w:rPr>
            </w:pPr>
            <w:r>
              <w:rPr>
                <w:rFonts w:cs="Arial"/>
              </w:rPr>
              <w:t>500</w:t>
            </w:r>
          </w:p>
        </w:tc>
        <w:tc>
          <w:tcPr>
            <w:tcW w:w="2100" w:type="dxa"/>
          </w:tcPr>
          <w:p>
            <w:pPr>
              <w:pStyle w:val="GesAbsatz"/>
              <w:tabs>
                <w:tab w:val="left" w:pos="2268"/>
              </w:tabs>
              <w:jc w:val="center"/>
              <w:rPr>
                <w:rFonts w:cs="Arial"/>
              </w:rPr>
            </w:pPr>
            <w:r>
              <w:rPr>
                <w:rFonts w:cs="Arial"/>
              </w:rPr>
              <w:t>1 000</w:t>
            </w:r>
          </w:p>
        </w:tc>
      </w:tr>
      <w:tr>
        <w:trPr>
          <w:trHeight w:val="312"/>
        </w:trPr>
        <w:tc>
          <w:tcPr>
            <w:tcW w:w="2573" w:type="dxa"/>
          </w:tcPr>
          <w:p>
            <w:pPr>
              <w:pStyle w:val="GesAbsatz"/>
              <w:tabs>
                <w:tab w:val="left" w:pos="2268"/>
              </w:tabs>
              <w:rPr>
                <w:rFonts w:cs="Arial"/>
              </w:rPr>
            </w:pPr>
            <w:r>
              <w:rPr>
                <w:rFonts w:cs="Arial"/>
              </w:rPr>
              <w:t>Nitropenta</w:t>
            </w:r>
          </w:p>
        </w:tc>
        <w:tc>
          <w:tcPr>
            <w:tcW w:w="1275" w:type="dxa"/>
          </w:tcPr>
          <w:p>
            <w:pPr>
              <w:pStyle w:val="GesAbsatz"/>
              <w:tabs>
                <w:tab w:val="left" w:pos="2268"/>
              </w:tabs>
              <w:jc w:val="center"/>
              <w:rPr>
                <w:rFonts w:cs="Arial"/>
              </w:rPr>
            </w:pPr>
            <w:r>
              <w:rPr>
                <w:rFonts w:cs="Arial"/>
              </w:rPr>
              <w:t>500</w:t>
            </w:r>
          </w:p>
        </w:tc>
        <w:tc>
          <w:tcPr>
            <w:tcW w:w="1560" w:type="dxa"/>
          </w:tcPr>
          <w:p>
            <w:pPr>
              <w:pStyle w:val="GesAbsatz"/>
              <w:tabs>
                <w:tab w:val="left" w:pos="2268"/>
              </w:tabs>
              <w:jc w:val="center"/>
              <w:rPr>
                <w:rFonts w:cs="Arial"/>
              </w:rPr>
            </w:pPr>
            <w:r>
              <w:rPr>
                <w:rFonts w:cs="Arial"/>
              </w:rPr>
              <w:t>1 000</w:t>
            </w:r>
          </w:p>
        </w:tc>
        <w:tc>
          <w:tcPr>
            <w:tcW w:w="1842" w:type="dxa"/>
          </w:tcPr>
          <w:p>
            <w:pPr>
              <w:pStyle w:val="GesAbsatz"/>
              <w:tabs>
                <w:tab w:val="left" w:pos="2268"/>
              </w:tabs>
              <w:jc w:val="center"/>
              <w:rPr>
                <w:rFonts w:cs="Arial"/>
              </w:rPr>
            </w:pPr>
            <w:r>
              <w:rPr>
                <w:rFonts w:cs="Arial"/>
              </w:rPr>
              <w:t>2 500</w:t>
            </w:r>
          </w:p>
        </w:tc>
        <w:tc>
          <w:tcPr>
            <w:tcW w:w="2100" w:type="dxa"/>
          </w:tcPr>
          <w:p>
            <w:pPr>
              <w:pStyle w:val="GesAbsatz"/>
              <w:tabs>
                <w:tab w:val="left" w:pos="2268"/>
              </w:tabs>
              <w:jc w:val="center"/>
              <w:rPr>
                <w:rFonts w:cs="Arial"/>
              </w:rPr>
            </w:pPr>
            <w:r>
              <w:rPr>
                <w:rFonts w:cs="Arial"/>
              </w:rPr>
              <w:t>5 000</w:t>
            </w:r>
          </w:p>
        </w:tc>
      </w:tr>
      <w:tr>
        <w:trPr>
          <w:trHeight w:val="312"/>
        </w:trPr>
        <w:tc>
          <w:tcPr>
            <w:tcW w:w="2573" w:type="dxa"/>
          </w:tcPr>
          <w:p>
            <w:pPr>
              <w:pStyle w:val="GesAbsatz"/>
              <w:tabs>
                <w:tab w:val="left" w:pos="2268"/>
              </w:tabs>
              <w:rPr>
                <w:rFonts w:cs="Arial"/>
              </w:rPr>
            </w:pPr>
            <w:r>
              <w:rPr>
                <w:rFonts w:cs="Arial"/>
              </w:rPr>
              <w:t>Pentachlorphenol</w:t>
            </w:r>
          </w:p>
        </w:tc>
        <w:tc>
          <w:tcPr>
            <w:tcW w:w="1275" w:type="dxa"/>
          </w:tcPr>
          <w:p>
            <w:pPr>
              <w:pStyle w:val="GesAbsatz"/>
              <w:tabs>
                <w:tab w:val="left" w:pos="2268"/>
              </w:tabs>
              <w:jc w:val="center"/>
              <w:rPr>
                <w:rFonts w:cs="Arial"/>
              </w:rPr>
            </w:pPr>
            <w:r>
              <w:rPr>
                <w:rFonts w:cs="Arial"/>
              </w:rPr>
              <w:t>50</w:t>
            </w:r>
          </w:p>
        </w:tc>
        <w:tc>
          <w:tcPr>
            <w:tcW w:w="1560" w:type="dxa"/>
          </w:tcPr>
          <w:p>
            <w:pPr>
              <w:pStyle w:val="GesAbsatz"/>
              <w:tabs>
                <w:tab w:val="left" w:pos="2268"/>
              </w:tabs>
              <w:jc w:val="center"/>
              <w:rPr>
                <w:rFonts w:cs="Arial"/>
              </w:rPr>
            </w:pPr>
            <w:r>
              <w:rPr>
                <w:rFonts w:cs="Arial"/>
              </w:rPr>
              <w:t>100</w:t>
            </w:r>
          </w:p>
        </w:tc>
        <w:tc>
          <w:tcPr>
            <w:tcW w:w="1842" w:type="dxa"/>
          </w:tcPr>
          <w:p>
            <w:pPr>
              <w:pStyle w:val="GesAbsatz"/>
              <w:tabs>
                <w:tab w:val="left" w:pos="2268"/>
              </w:tabs>
              <w:jc w:val="center"/>
              <w:rPr>
                <w:rFonts w:cs="Arial"/>
              </w:rPr>
            </w:pPr>
            <w:r>
              <w:rPr>
                <w:rFonts w:cs="Arial"/>
              </w:rPr>
              <w:t>250</w:t>
            </w:r>
          </w:p>
        </w:tc>
        <w:tc>
          <w:tcPr>
            <w:tcW w:w="2100" w:type="dxa"/>
          </w:tcPr>
          <w:p>
            <w:pPr>
              <w:pStyle w:val="GesAbsatz"/>
              <w:tabs>
                <w:tab w:val="left" w:pos="2268"/>
              </w:tabs>
              <w:jc w:val="center"/>
              <w:rPr>
                <w:rFonts w:cs="Arial"/>
              </w:rPr>
            </w:pPr>
            <w:r>
              <w:rPr>
                <w:rFonts w:cs="Arial"/>
              </w:rPr>
              <w:t>500</w:t>
            </w:r>
          </w:p>
        </w:tc>
      </w:tr>
      <w:tr>
        <w:trPr>
          <w:trHeight w:val="511"/>
        </w:trPr>
        <w:tc>
          <w:tcPr>
            <w:tcW w:w="2573" w:type="dxa"/>
          </w:tcPr>
          <w:p>
            <w:pPr>
              <w:pStyle w:val="GesAbsatz"/>
              <w:tabs>
                <w:tab w:val="left" w:pos="2268"/>
              </w:tabs>
              <w:jc w:val="left"/>
              <w:rPr>
                <w:rFonts w:cs="Arial"/>
              </w:rPr>
            </w:pPr>
            <w:r>
              <w:rPr>
                <w:rFonts w:cs="Arial"/>
              </w:rPr>
              <w:t>Polyzyklische Aromatische Kohlenwasserstoffe (PAK</w:t>
            </w:r>
            <w:r>
              <w:rPr>
                <w:rFonts w:cs="Arial"/>
                <w:vertAlign w:val="subscript"/>
              </w:rPr>
              <w:t>16</w:t>
            </w:r>
            <w:r>
              <w:rPr>
                <w:rFonts w:cs="Arial"/>
              </w:rPr>
              <w:t>) vertreten durch Benzo(a)pyren</w:t>
            </w:r>
            <w:r>
              <w:rPr>
                <w:rFonts w:cs="Arial"/>
                <w:vertAlign w:val="superscript"/>
              </w:rPr>
              <w:t>3</w:t>
            </w:r>
          </w:p>
        </w:tc>
        <w:tc>
          <w:tcPr>
            <w:tcW w:w="1275" w:type="dxa"/>
          </w:tcPr>
          <w:p>
            <w:pPr>
              <w:pStyle w:val="GesAbsatz"/>
              <w:tabs>
                <w:tab w:val="left" w:pos="2268"/>
              </w:tabs>
              <w:jc w:val="center"/>
              <w:rPr>
                <w:rFonts w:cs="Arial"/>
              </w:rPr>
            </w:pPr>
            <w:r>
              <w:rPr>
                <w:rFonts w:cs="Arial"/>
              </w:rPr>
              <w:t>0,5</w:t>
            </w:r>
          </w:p>
        </w:tc>
        <w:tc>
          <w:tcPr>
            <w:tcW w:w="1560" w:type="dxa"/>
          </w:tcPr>
          <w:p>
            <w:pPr>
              <w:pStyle w:val="GesAbsatz"/>
              <w:tabs>
                <w:tab w:val="left" w:pos="2268"/>
              </w:tabs>
              <w:jc w:val="center"/>
              <w:rPr>
                <w:rFonts w:cs="Arial"/>
              </w:rPr>
            </w:pPr>
            <w:r>
              <w:rPr>
                <w:rFonts w:cs="Arial"/>
              </w:rPr>
              <w:t>1</w:t>
            </w:r>
          </w:p>
        </w:tc>
        <w:tc>
          <w:tcPr>
            <w:tcW w:w="1842" w:type="dxa"/>
          </w:tcPr>
          <w:p>
            <w:pPr>
              <w:pStyle w:val="GesAbsatz"/>
              <w:tabs>
                <w:tab w:val="left" w:pos="2268"/>
              </w:tabs>
              <w:jc w:val="center"/>
              <w:rPr>
                <w:rFonts w:cs="Arial"/>
              </w:rPr>
            </w:pPr>
            <w:r>
              <w:rPr>
                <w:rFonts w:cs="Arial"/>
              </w:rPr>
              <w:t>1</w:t>
            </w:r>
          </w:p>
        </w:tc>
        <w:tc>
          <w:tcPr>
            <w:tcW w:w="2100" w:type="dxa"/>
          </w:tcPr>
          <w:p>
            <w:pPr>
              <w:pStyle w:val="GesAbsatz"/>
              <w:tabs>
                <w:tab w:val="left" w:pos="2268"/>
              </w:tabs>
              <w:jc w:val="center"/>
              <w:rPr>
                <w:rFonts w:cs="Arial"/>
              </w:rPr>
            </w:pPr>
            <w:r>
              <w:rPr>
                <w:rFonts w:cs="Arial"/>
              </w:rPr>
              <w:t>5</w:t>
            </w:r>
          </w:p>
        </w:tc>
      </w:tr>
      <w:tr>
        <w:trPr>
          <w:trHeight w:val="312"/>
        </w:trPr>
        <w:tc>
          <w:tcPr>
            <w:tcW w:w="2573" w:type="dxa"/>
          </w:tcPr>
          <w:p>
            <w:pPr>
              <w:pStyle w:val="GesAbsatz"/>
              <w:tabs>
                <w:tab w:val="left" w:pos="2268"/>
              </w:tabs>
              <w:rPr>
                <w:rFonts w:cs="Arial"/>
                <w:vertAlign w:val="subscript"/>
              </w:rPr>
            </w:pPr>
            <w:r>
              <w:rPr>
                <w:rFonts w:cs="Arial"/>
              </w:rPr>
              <w:t>PCB</w:t>
            </w:r>
            <w:r>
              <w:rPr>
                <w:rFonts w:cs="Arial"/>
                <w:vertAlign w:val="subscript"/>
              </w:rPr>
              <w:t>6</w:t>
            </w:r>
          </w:p>
        </w:tc>
        <w:tc>
          <w:tcPr>
            <w:tcW w:w="1275" w:type="dxa"/>
          </w:tcPr>
          <w:p>
            <w:pPr>
              <w:pStyle w:val="GesAbsatz"/>
              <w:tabs>
                <w:tab w:val="left" w:pos="2268"/>
              </w:tabs>
              <w:jc w:val="center"/>
              <w:rPr>
                <w:rFonts w:cs="Arial"/>
              </w:rPr>
            </w:pPr>
            <w:r>
              <w:rPr>
                <w:rFonts w:cs="Arial"/>
              </w:rPr>
              <w:t>0,4</w:t>
            </w:r>
          </w:p>
        </w:tc>
        <w:tc>
          <w:tcPr>
            <w:tcW w:w="1560" w:type="dxa"/>
          </w:tcPr>
          <w:p>
            <w:pPr>
              <w:pStyle w:val="GesAbsatz"/>
              <w:tabs>
                <w:tab w:val="left" w:pos="2268"/>
              </w:tabs>
              <w:jc w:val="center"/>
              <w:rPr>
                <w:rFonts w:cs="Arial"/>
              </w:rPr>
            </w:pPr>
            <w:r>
              <w:rPr>
                <w:rFonts w:cs="Arial"/>
              </w:rPr>
              <w:t>0,8</w:t>
            </w:r>
          </w:p>
        </w:tc>
        <w:tc>
          <w:tcPr>
            <w:tcW w:w="1842" w:type="dxa"/>
          </w:tcPr>
          <w:p>
            <w:pPr>
              <w:pStyle w:val="GesAbsatz"/>
              <w:tabs>
                <w:tab w:val="left" w:pos="2268"/>
              </w:tabs>
              <w:jc w:val="center"/>
              <w:rPr>
                <w:rFonts w:cs="Arial"/>
              </w:rPr>
            </w:pPr>
            <w:r>
              <w:rPr>
                <w:rFonts w:cs="Arial"/>
              </w:rPr>
              <w:t>2</w:t>
            </w:r>
          </w:p>
        </w:tc>
        <w:tc>
          <w:tcPr>
            <w:tcW w:w="2100" w:type="dxa"/>
          </w:tcPr>
          <w:p>
            <w:pPr>
              <w:pStyle w:val="GesAbsatz"/>
              <w:tabs>
                <w:tab w:val="left" w:pos="2268"/>
              </w:tabs>
              <w:jc w:val="center"/>
              <w:rPr>
                <w:rFonts w:cs="Arial"/>
              </w:rPr>
            </w:pPr>
            <w:r>
              <w:rPr>
                <w:rFonts w:cs="Arial"/>
              </w:rPr>
              <w:t>40</w:t>
            </w:r>
          </w:p>
        </w:tc>
      </w:tr>
      <w:tr>
        <w:trPr>
          <w:trHeight w:val="312"/>
        </w:trPr>
        <w:tc>
          <w:tcPr>
            <w:tcW w:w="2573" w:type="dxa"/>
          </w:tcPr>
          <w:p>
            <w:pPr>
              <w:pStyle w:val="GesAbsatz"/>
              <w:tabs>
                <w:tab w:val="left" w:pos="2268"/>
              </w:tabs>
              <w:rPr>
                <w:rFonts w:cs="Arial"/>
              </w:rPr>
            </w:pPr>
            <w:r>
              <w:rPr>
                <w:rFonts w:cs="Arial"/>
              </w:rPr>
              <w:t>2,4,6 Trinitrotoluol (TNT)</w:t>
            </w:r>
          </w:p>
        </w:tc>
        <w:tc>
          <w:tcPr>
            <w:tcW w:w="1275" w:type="dxa"/>
          </w:tcPr>
          <w:p>
            <w:pPr>
              <w:pStyle w:val="GesAbsatz"/>
              <w:tabs>
                <w:tab w:val="left" w:pos="2268"/>
              </w:tabs>
              <w:jc w:val="center"/>
              <w:rPr>
                <w:rFonts w:cs="Arial"/>
              </w:rPr>
            </w:pPr>
            <w:r>
              <w:rPr>
                <w:rFonts w:cs="Arial"/>
              </w:rPr>
              <w:t>20</w:t>
            </w:r>
          </w:p>
        </w:tc>
        <w:tc>
          <w:tcPr>
            <w:tcW w:w="1560" w:type="dxa"/>
          </w:tcPr>
          <w:p>
            <w:pPr>
              <w:pStyle w:val="GesAbsatz"/>
              <w:tabs>
                <w:tab w:val="left" w:pos="2268"/>
              </w:tabs>
              <w:jc w:val="center"/>
              <w:rPr>
                <w:rFonts w:cs="Arial"/>
              </w:rPr>
            </w:pPr>
            <w:r>
              <w:rPr>
                <w:rFonts w:cs="Arial"/>
              </w:rPr>
              <w:t>40</w:t>
            </w:r>
          </w:p>
        </w:tc>
        <w:tc>
          <w:tcPr>
            <w:tcW w:w="1842" w:type="dxa"/>
          </w:tcPr>
          <w:p>
            <w:pPr>
              <w:pStyle w:val="GesAbsatz"/>
              <w:tabs>
                <w:tab w:val="left" w:pos="2268"/>
              </w:tabs>
              <w:jc w:val="center"/>
              <w:rPr>
                <w:rFonts w:cs="Arial"/>
              </w:rPr>
            </w:pPr>
            <w:r>
              <w:rPr>
                <w:rFonts w:cs="Arial"/>
              </w:rPr>
              <w:t>100</w:t>
            </w:r>
          </w:p>
        </w:tc>
        <w:tc>
          <w:tcPr>
            <w:tcW w:w="2100" w:type="dxa"/>
          </w:tcPr>
          <w:p>
            <w:pPr>
              <w:pStyle w:val="GesAbsatz"/>
              <w:tabs>
                <w:tab w:val="left" w:pos="2268"/>
              </w:tabs>
              <w:jc w:val="center"/>
              <w:rPr>
                <w:rFonts w:cs="Arial"/>
              </w:rPr>
            </w:pPr>
            <w:r>
              <w:rPr>
                <w:rFonts w:cs="Arial"/>
              </w:rPr>
              <w:t>200</w:t>
            </w:r>
          </w:p>
        </w:tc>
      </w:tr>
    </w:tbl>
    <w:p>
      <w:pPr>
        <w:pStyle w:val="GesAbsatz"/>
        <w:tabs>
          <w:tab w:val="clear" w:pos="425"/>
          <w:tab w:val="left" w:pos="2268"/>
        </w:tabs>
        <w:ind w:left="426" w:hanging="426"/>
        <w:rPr>
          <w:rFonts w:cs="Arial"/>
          <w:sz w:val="18"/>
          <w:szCs w:val="18"/>
        </w:rPr>
      </w:pPr>
      <w:r>
        <w:rPr>
          <w:rFonts w:cs="Arial"/>
          <w:sz w:val="18"/>
          <w:szCs w:val="18"/>
        </w:rPr>
        <w:t>1</w:t>
      </w:r>
      <w:r>
        <w:rPr>
          <w:rFonts w:cs="Arial"/>
          <w:sz w:val="18"/>
          <w:szCs w:val="18"/>
        </w:rPr>
        <w:tab/>
        <w:t>In Haus- und Kleingärten, die sowohl als Aufenthaltsbereiche für Kinder als auch für den Anbau von Nahrungspflanzen genutzt werden, gilt für Cadmium ein Prüfwert von 2,0 mg/kg Trockenmasse.</w:t>
      </w:r>
    </w:p>
    <w:p>
      <w:pPr>
        <w:pStyle w:val="GesAbsatz"/>
        <w:tabs>
          <w:tab w:val="clear" w:pos="425"/>
          <w:tab w:val="left" w:pos="2268"/>
        </w:tabs>
        <w:ind w:left="426" w:hanging="426"/>
        <w:rPr>
          <w:rFonts w:cs="Arial"/>
          <w:sz w:val="18"/>
          <w:szCs w:val="18"/>
        </w:rPr>
      </w:pPr>
      <w:r>
        <w:rPr>
          <w:rFonts w:cs="Arial"/>
          <w:sz w:val="18"/>
          <w:szCs w:val="18"/>
        </w:rPr>
        <w:t>2</w:t>
      </w:r>
      <w:r>
        <w:rPr>
          <w:rFonts w:cs="Arial"/>
          <w:sz w:val="18"/>
          <w:szCs w:val="18"/>
        </w:rPr>
        <w:tab/>
        <w:t>Bei Überschreitung der Prüfwerte für Chrom</w:t>
      </w:r>
      <w:r>
        <w:rPr>
          <w:rFonts w:cs="Arial"/>
          <w:sz w:val="18"/>
          <w:szCs w:val="18"/>
          <w:vertAlign w:val="subscript"/>
        </w:rPr>
        <w:t>gesamt</w:t>
      </w:r>
      <w:r>
        <w:rPr>
          <w:rFonts w:cs="Arial"/>
          <w:sz w:val="18"/>
          <w:szCs w:val="18"/>
        </w:rPr>
        <w:t xml:space="preserve"> ist der Anteil an Chrom</w:t>
      </w:r>
      <w:r>
        <w:rPr>
          <w:rFonts w:cs="Arial"/>
          <w:sz w:val="18"/>
          <w:szCs w:val="18"/>
          <w:vertAlign w:val="subscript"/>
        </w:rPr>
        <w:t>VI</w:t>
      </w:r>
      <w:r>
        <w:rPr>
          <w:rFonts w:cs="Arial"/>
          <w:sz w:val="18"/>
          <w:szCs w:val="18"/>
        </w:rPr>
        <w:t xml:space="preserve"> zu messen und anhand der Prüfwerte für Chrom VI zu bewerten.</w:t>
      </w:r>
    </w:p>
    <w:p>
      <w:pPr>
        <w:pStyle w:val="GesAbsatz"/>
        <w:tabs>
          <w:tab w:val="clear" w:pos="425"/>
          <w:tab w:val="left" w:pos="2268"/>
        </w:tabs>
        <w:ind w:left="426" w:hanging="426"/>
        <w:rPr>
          <w:rFonts w:cs="Arial"/>
          <w:sz w:val="18"/>
          <w:szCs w:val="18"/>
        </w:rPr>
      </w:pPr>
      <w:r>
        <w:rPr>
          <w:rFonts w:cs="Arial"/>
          <w:sz w:val="18"/>
          <w:szCs w:val="18"/>
        </w:rPr>
        <w:t>3</w:t>
      </w:r>
      <w:r>
        <w:rPr>
          <w:rFonts w:cs="Arial"/>
          <w:sz w:val="18"/>
          <w:szCs w:val="18"/>
        </w:rPr>
        <w:tab/>
        <w:t>Der Boden ist auf alle PAK</w:t>
      </w:r>
      <w:r>
        <w:rPr>
          <w:rFonts w:cs="Arial"/>
          <w:sz w:val="18"/>
          <w:szCs w:val="18"/>
          <w:vertAlign w:val="subscript"/>
        </w:rPr>
        <w:t>16</w:t>
      </w:r>
      <w:r>
        <w:rPr>
          <w:rFonts w:cs="Arial"/>
          <w:sz w:val="18"/>
          <w:szCs w:val="18"/>
        </w:rPr>
        <w:t xml:space="preserve"> hin zu untersuchen. Die Prüfwerte beziehen sich auf den Gehalt an Benzo(a)pyren im Boden. Benzo(a)pyren repräsentiert dabei die Wirkung typischer PAK-Gemische auf ehemaligen Kokereien, ehemaligen Gaswerksgeländen und ehemaligen Teermischwerken/-ölläger. Weicht das PAK-Muster oder der Anteil von Benzo(a)pyren an der Summe der Toxizitätsäquivalente im zu bewertenden Einzelfall deutlich von diesen typischen PAK-Gemischen ab, so ist dies bei der Anwendung der Prüfwerte zu berücksichtigen. Liegen die siedlungsbedingten Hintergrundwerte oberhalb der Prüfwerte für Benzo(a)pyren, ist dies bei der Bewertung der Untersuchungsergebnisse gemäß § 15 zu berücksichtigen.</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5: Maßnahmenwerte für den Wirkungspfad Boden-Mensch</w:t>
      </w:r>
    </w:p>
    <w:tbl>
      <w:tblPr>
        <w:tblW w:w="9660" w:type="dxa"/>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3707"/>
        <w:gridCol w:w="1417"/>
        <w:gridCol w:w="1276"/>
        <w:gridCol w:w="1583"/>
        <w:gridCol w:w="1677"/>
      </w:tblGrid>
      <w:tr>
        <w:trPr>
          <w:trHeight w:val="691"/>
        </w:trPr>
        <w:tc>
          <w:tcPr>
            <w:tcW w:w="3707" w:type="dxa"/>
          </w:tcPr>
          <w:p>
            <w:pPr>
              <w:pStyle w:val="GesAbsatz"/>
              <w:tabs>
                <w:tab w:val="left" w:pos="2268"/>
              </w:tabs>
              <w:jc w:val="center"/>
              <w:rPr>
                <w:rFonts w:cs="Arial"/>
              </w:rPr>
            </w:pPr>
            <w:r>
              <w:rPr>
                <w:rFonts w:cs="Arial"/>
              </w:rPr>
              <w:t>Stoff</w:t>
            </w:r>
          </w:p>
        </w:tc>
        <w:tc>
          <w:tcPr>
            <w:tcW w:w="1417" w:type="dxa"/>
          </w:tcPr>
          <w:p>
            <w:pPr>
              <w:pStyle w:val="GesAbsatz"/>
              <w:tabs>
                <w:tab w:val="left" w:pos="2268"/>
              </w:tabs>
              <w:jc w:val="center"/>
              <w:rPr>
                <w:rFonts w:cs="Arial"/>
              </w:rPr>
            </w:pPr>
            <w:r>
              <w:rPr>
                <w:rFonts w:cs="Arial"/>
              </w:rPr>
              <w:t>Kinderspielflächen</w:t>
            </w:r>
          </w:p>
        </w:tc>
        <w:tc>
          <w:tcPr>
            <w:tcW w:w="1276" w:type="dxa"/>
          </w:tcPr>
          <w:p>
            <w:pPr>
              <w:pStyle w:val="GesAbsatz"/>
              <w:tabs>
                <w:tab w:val="left" w:pos="2268"/>
              </w:tabs>
              <w:jc w:val="center"/>
              <w:rPr>
                <w:rFonts w:cs="Arial"/>
              </w:rPr>
            </w:pPr>
            <w:r>
              <w:rPr>
                <w:rFonts w:cs="Arial"/>
              </w:rPr>
              <w:t>Wohn</w:t>
            </w:r>
            <w:r>
              <w:rPr>
                <w:rFonts w:cs="Arial"/>
              </w:rPr>
              <w:br/>
              <w:t>gebiete</w:t>
            </w:r>
          </w:p>
        </w:tc>
        <w:tc>
          <w:tcPr>
            <w:tcW w:w="1583" w:type="dxa"/>
          </w:tcPr>
          <w:p>
            <w:pPr>
              <w:pStyle w:val="GesAbsatz"/>
              <w:tabs>
                <w:tab w:val="left" w:pos="2268"/>
              </w:tabs>
              <w:jc w:val="center"/>
              <w:rPr>
                <w:rFonts w:cs="Arial"/>
              </w:rPr>
            </w:pPr>
            <w:r>
              <w:rPr>
                <w:rFonts w:cs="Arial"/>
              </w:rPr>
              <w:t xml:space="preserve">Park- und </w:t>
            </w:r>
            <w:r>
              <w:rPr>
                <w:rFonts w:cs="Arial"/>
              </w:rPr>
              <w:br/>
              <w:t>Freizeit</w:t>
            </w:r>
            <w:r>
              <w:rPr>
                <w:rFonts w:cs="Arial"/>
              </w:rPr>
              <w:br/>
              <w:t>anlagen</w:t>
            </w:r>
          </w:p>
        </w:tc>
        <w:tc>
          <w:tcPr>
            <w:tcW w:w="1677" w:type="dxa"/>
          </w:tcPr>
          <w:p>
            <w:pPr>
              <w:pStyle w:val="GesAbsatz"/>
              <w:tabs>
                <w:tab w:val="left" w:pos="2268"/>
              </w:tabs>
              <w:jc w:val="center"/>
              <w:rPr>
                <w:rFonts w:cs="Arial"/>
              </w:rPr>
            </w:pPr>
            <w:r>
              <w:rPr>
                <w:rFonts w:cs="Arial"/>
              </w:rPr>
              <w:t>Industrie- und Gewerbegrundstücke</w:t>
            </w:r>
          </w:p>
        </w:tc>
      </w:tr>
      <w:tr>
        <w:trPr>
          <w:trHeight w:val="332"/>
        </w:trPr>
        <w:tc>
          <w:tcPr>
            <w:tcW w:w="3707" w:type="dxa"/>
          </w:tcPr>
          <w:p>
            <w:pPr>
              <w:pStyle w:val="GesAbsatz"/>
              <w:tabs>
                <w:tab w:val="left" w:pos="2268"/>
              </w:tabs>
              <w:rPr>
                <w:rFonts w:cs="Arial"/>
              </w:rPr>
            </w:pPr>
          </w:p>
        </w:tc>
        <w:tc>
          <w:tcPr>
            <w:tcW w:w="5953" w:type="dxa"/>
            <w:gridSpan w:val="4"/>
          </w:tcPr>
          <w:p>
            <w:pPr>
              <w:pStyle w:val="GesAbsatz"/>
              <w:tabs>
                <w:tab w:val="left" w:pos="2268"/>
              </w:tabs>
              <w:jc w:val="center"/>
              <w:rPr>
                <w:rFonts w:cs="Arial"/>
                <w:sz w:val="18"/>
                <w:szCs w:val="18"/>
              </w:rPr>
            </w:pPr>
            <w:r>
              <w:rPr>
                <w:rFonts w:cs="Arial"/>
                <w:sz w:val="18"/>
                <w:szCs w:val="18"/>
              </w:rPr>
              <w:t>[ng WHO-TEQ</w:t>
            </w:r>
            <w:r>
              <w:rPr>
                <w:rFonts w:cs="Arial"/>
                <w:sz w:val="18"/>
                <w:szCs w:val="18"/>
                <w:vertAlign w:val="superscript"/>
              </w:rPr>
              <w:t>1</w:t>
            </w:r>
            <w:r>
              <w:rPr>
                <w:rFonts w:cs="Arial"/>
                <w:sz w:val="18"/>
                <w:szCs w:val="18"/>
              </w:rPr>
              <w:t>/kg TM]</w:t>
            </w:r>
          </w:p>
        </w:tc>
      </w:tr>
      <w:tr>
        <w:trPr>
          <w:trHeight w:val="511"/>
        </w:trPr>
        <w:tc>
          <w:tcPr>
            <w:tcW w:w="3707" w:type="dxa"/>
          </w:tcPr>
          <w:p>
            <w:pPr>
              <w:pStyle w:val="GesAbsatz"/>
              <w:tabs>
                <w:tab w:val="left" w:pos="2268"/>
              </w:tabs>
              <w:rPr>
                <w:rFonts w:cs="Arial"/>
              </w:rPr>
            </w:pPr>
            <w:r>
              <w:rPr>
                <w:rFonts w:cs="Arial"/>
              </w:rPr>
              <w:t>Summe der Dioxine/Furane (PCDD/F) und dl-PCB</w:t>
            </w:r>
            <w:r>
              <w:rPr>
                <w:rFonts w:cs="Arial"/>
                <w:vertAlign w:val="superscript"/>
              </w:rPr>
              <w:t>2</w:t>
            </w:r>
          </w:p>
        </w:tc>
        <w:tc>
          <w:tcPr>
            <w:tcW w:w="1417" w:type="dxa"/>
          </w:tcPr>
          <w:p>
            <w:pPr>
              <w:pStyle w:val="GesAbsatz"/>
              <w:tabs>
                <w:tab w:val="left" w:pos="2268"/>
              </w:tabs>
              <w:jc w:val="center"/>
              <w:rPr>
                <w:rFonts w:cs="Arial"/>
              </w:rPr>
            </w:pPr>
            <w:r>
              <w:rPr>
                <w:rFonts w:cs="Arial"/>
              </w:rPr>
              <w:t>100</w:t>
            </w:r>
          </w:p>
        </w:tc>
        <w:tc>
          <w:tcPr>
            <w:tcW w:w="1276" w:type="dxa"/>
          </w:tcPr>
          <w:p>
            <w:pPr>
              <w:pStyle w:val="GesAbsatz"/>
              <w:tabs>
                <w:tab w:val="left" w:pos="2268"/>
              </w:tabs>
              <w:jc w:val="center"/>
              <w:rPr>
                <w:rFonts w:cs="Arial"/>
              </w:rPr>
            </w:pPr>
            <w:r>
              <w:rPr>
                <w:rFonts w:cs="Arial"/>
              </w:rPr>
              <w:t>1 000</w:t>
            </w:r>
          </w:p>
        </w:tc>
        <w:tc>
          <w:tcPr>
            <w:tcW w:w="1583" w:type="dxa"/>
          </w:tcPr>
          <w:p>
            <w:pPr>
              <w:pStyle w:val="GesAbsatz"/>
              <w:tabs>
                <w:tab w:val="left" w:pos="2268"/>
              </w:tabs>
              <w:jc w:val="center"/>
              <w:rPr>
                <w:rFonts w:cs="Arial"/>
              </w:rPr>
            </w:pPr>
            <w:r>
              <w:rPr>
                <w:rFonts w:cs="Arial"/>
              </w:rPr>
              <w:t>1 000</w:t>
            </w:r>
          </w:p>
        </w:tc>
        <w:tc>
          <w:tcPr>
            <w:tcW w:w="1677" w:type="dxa"/>
          </w:tcPr>
          <w:p>
            <w:pPr>
              <w:pStyle w:val="GesAbsatz"/>
              <w:tabs>
                <w:tab w:val="left" w:pos="2268"/>
              </w:tabs>
              <w:jc w:val="center"/>
              <w:rPr>
                <w:rFonts w:cs="Arial"/>
              </w:rPr>
            </w:pPr>
            <w:r>
              <w:rPr>
                <w:rFonts w:cs="Arial"/>
              </w:rPr>
              <w:t>10 000</w:t>
            </w:r>
          </w:p>
        </w:tc>
      </w:tr>
    </w:tbl>
    <w:p>
      <w:pPr>
        <w:pStyle w:val="GesAbsatz"/>
        <w:tabs>
          <w:tab w:val="clear" w:pos="425"/>
          <w:tab w:val="left" w:pos="2268"/>
        </w:tabs>
        <w:ind w:left="426" w:hanging="426"/>
        <w:rPr>
          <w:rFonts w:cs="Arial"/>
          <w:sz w:val="18"/>
          <w:szCs w:val="18"/>
        </w:rPr>
      </w:pPr>
      <w:r>
        <w:rPr>
          <w:rFonts w:cs="Arial"/>
          <w:sz w:val="18"/>
          <w:szCs w:val="18"/>
        </w:rPr>
        <w:t>1</w:t>
      </w:r>
      <w:r>
        <w:rPr>
          <w:rFonts w:cs="Arial"/>
          <w:sz w:val="18"/>
          <w:szCs w:val="18"/>
        </w:rPr>
        <w:tab/>
        <w:t>Toxizitätsäquivalente, berechnet unter Verwendung der Toxizitätsäquivalenzfaktoren (WHO-TEF) von 2005.</w:t>
      </w:r>
    </w:p>
    <w:p>
      <w:pPr>
        <w:pStyle w:val="GesAbsatz"/>
        <w:tabs>
          <w:tab w:val="clear" w:pos="425"/>
          <w:tab w:val="left" w:pos="2268"/>
        </w:tabs>
        <w:ind w:left="426" w:hanging="426"/>
        <w:rPr>
          <w:rFonts w:cs="Arial"/>
          <w:sz w:val="18"/>
          <w:szCs w:val="18"/>
        </w:rPr>
      </w:pPr>
      <w:r>
        <w:rPr>
          <w:rFonts w:cs="Arial"/>
          <w:sz w:val="18"/>
          <w:szCs w:val="18"/>
        </w:rPr>
        <w:t>2</w:t>
      </w:r>
      <w:r>
        <w:rPr>
          <w:rFonts w:cs="Arial"/>
          <w:sz w:val="18"/>
          <w:szCs w:val="18"/>
        </w:rPr>
        <w:tab/>
        <w:t>Summe der Dioxine (polychlorierte Dibenzo-para-dioxine (PCDD) und polychlorierte Dibenzofurane (PCDF)) und dioxinähnlichen polychlorierten Biphenyle (dl-PCB) nach der DIN EN 16190:2019-10.</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6: Prüf- und Maßnahmenwerte für den Wirkungspfad Boden-Nutzpflanze auf Ackerflächen und in Nutzgärten im Hinblick auf die Pflanzenqualität</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423"/>
        <w:gridCol w:w="2835"/>
        <w:gridCol w:w="1383"/>
        <w:gridCol w:w="1706"/>
      </w:tblGrid>
      <w:tr>
        <w:trPr>
          <w:trHeight w:val="332"/>
        </w:trPr>
        <w:tc>
          <w:tcPr>
            <w:tcW w:w="3423" w:type="dxa"/>
          </w:tcPr>
          <w:p>
            <w:pPr>
              <w:pStyle w:val="GesAbsatz"/>
              <w:tabs>
                <w:tab w:val="left" w:pos="2268"/>
              </w:tabs>
              <w:jc w:val="center"/>
              <w:rPr>
                <w:rFonts w:cs="Arial"/>
              </w:rPr>
            </w:pPr>
            <w:r>
              <w:rPr>
                <w:rFonts w:cs="Arial"/>
              </w:rPr>
              <w:t>Stoff</w:t>
            </w:r>
          </w:p>
        </w:tc>
        <w:tc>
          <w:tcPr>
            <w:tcW w:w="2835" w:type="dxa"/>
          </w:tcPr>
          <w:p>
            <w:pPr>
              <w:pStyle w:val="GesAbsatz"/>
              <w:tabs>
                <w:tab w:val="left" w:pos="2268"/>
              </w:tabs>
              <w:jc w:val="center"/>
              <w:rPr>
                <w:rFonts w:cs="Arial"/>
              </w:rPr>
            </w:pPr>
            <w:r>
              <w:rPr>
                <w:rFonts w:cs="Arial"/>
              </w:rPr>
              <w:t>Extraktionsverfahren</w:t>
            </w:r>
          </w:p>
        </w:tc>
        <w:tc>
          <w:tcPr>
            <w:tcW w:w="1383" w:type="dxa"/>
          </w:tcPr>
          <w:p>
            <w:pPr>
              <w:pStyle w:val="GesAbsatz"/>
              <w:tabs>
                <w:tab w:val="left" w:pos="2268"/>
              </w:tabs>
              <w:jc w:val="center"/>
              <w:rPr>
                <w:rFonts w:cs="Arial"/>
              </w:rPr>
            </w:pPr>
            <w:r>
              <w:rPr>
                <w:rFonts w:cs="Arial"/>
              </w:rPr>
              <w:t>Prüfwert</w:t>
            </w:r>
          </w:p>
        </w:tc>
        <w:tc>
          <w:tcPr>
            <w:tcW w:w="1706" w:type="dxa"/>
          </w:tcPr>
          <w:p>
            <w:pPr>
              <w:pStyle w:val="GesAbsatz"/>
              <w:tabs>
                <w:tab w:val="left" w:pos="2268"/>
              </w:tabs>
              <w:jc w:val="center"/>
              <w:rPr>
                <w:rFonts w:cs="Arial"/>
              </w:rPr>
            </w:pPr>
            <w:r>
              <w:rPr>
                <w:rFonts w:cs="Arial"/>
              </w:rPr>
              <w:t>Maßnahmenwert</w:t>
            </w:r>
          </w:p>
        </w:tc>
      </w:tr>
      <w:tr>
        <w:trPr>
          <w:trHeight w:val="332"/>
        </w:trPr>
        <w:tc>
          <w:tcPr>
            <w:tcW w:w="3423" w:type="dxa"/>
          </w:tcPr>
          <w:p>
            <w:pPr>
              <w:pStyle w:val="GesAbsatz"/>
              <w:tabs>
                <w:tab w:val="left" w:pos="2268"/>
              </w:tabs>
              <w:jc w:val="left"/>
              <w:rPr>
                <w:rFonts w:cs="Arial"/>
              </w:rPr>
            </w:pPr>
          </w:p>
        </w:tc>
        <w:tc>
          <w:tcPr>
            <w:tcW w:w="2835" w:type="dxa"/>
          </w:tcPr>
          <w:p>
            <w:pPr>
              <w:pStyle w:val="GesAbsatz"/>
              <w:tabs>
                <w:tab w:val="left" w:pos="2268"/>
              </w:tabs>
              <w:jc w:val="center"/>
              <w:rPr>
                <w:rFonts w:cs="Arial"/>
              </w:rPr>
            </w:pPr>
          </w:p>
        </w:tc>
        <w:tc>
          <w:tcPr>
            <w:tcW w:w="3089" w:type="dxa"/>
            <w:gridSpan w:val="2"/>
          </w:tcPr>
          <w:p>
            <w:pPr>
              <w:pStyle w:val="GesAbsatz"/>
              <w:tabs>
                <w:tab w:val="left" w:pos="2268"/>
              </w:tabs>
              <w:jc w:val="center"/>
              <w:rPr>
                <w:rFonts w:cs="Arial"/>
              </w:rPr>
            </w:pPr>
            <w:r>
              <w:rPr>
                <w:rFonts w:cs="Arial"/>
              </w:rPr>
              <w:t>[mg/kg TM]</w:t>
            </w:r>
          </w:p>
        </w:tc>
      </w:tr>
      <w:tr>
        <w:trPr>
          <w:trHeight w:val="312"/>
        </w:trPr>
        <w:tc>
          <w:tcPr>
            <w:tcW w:w="3423" w:type="dxa"/>
          </w:tcPr>
          <w:p>
            <w:pPr>
              <w:pStyle w:val="GesAbsatz"/>
              <w:tabs>
                <w:tab w:val="left" w:pos="2268"/>
              </w:tabs>
              <w:jc w:val="left"/>
              <w:rPr>
                <w:rFonts w:cs="Arial"/>
              </w:rPr>
            </w:pPr>
            <w:r>
              <w:rPr>
                <w:rFonts w:cs="Arial"/>
              </w:rPr>
              <w:t>Arsen</w:t>
            </w:r>
          </w:p>
        </w:tc>
        <w:tc>
          <w:tcPr>
            <w:tcW w:w="2835" w:type="dxa"/>
          </w:tcPr>
          <w:p>
            <w:pPr>
              <w:pStyle w:val="GesAbsatz"/>
              <w:tabs>
                <w:tab w:val="left" w:pos="2268"/>
              </w:tabs>
              <w:jc w:val="center"/>
              <w:rPr>
                <w:rFonts w:cs="Arial"/>
              </w:rPr>
            </w:pPr>
            <w:r>
              <w:rPr>
                <w:rFonts w:cs="Arial"/>
              </w:rPr>
              <w:t>Königswasser (KW)</w:t>
            </w:r>
          </w:p>
        </w:tc>
        <w:tc>
          <w:tcPr>
            <w:tcW w:w="1383" w:type="dxa"/>
          </w:tcPr>
          <w:p>
            <w:pPr>
              <w:pStyle w:val="GesAbsatz"/>
              <w:tabs>
                <w:tab w:val="left" w:pos="2268"/>
              </w:tabs>
              <w:jc w:val="center"/>
              <w:rPr>
                <w:rFonts w:cs="Arial"/>
              </w:rPr>
            </w:pPr>
            <w:r>
              <w:rPr>
                <w:rFonts w:cs="Arial"/>
              </w:rPr>
              <w:t>200</w:t>
            </w:r>
            <w:r>
              <w:rPr>
                <w:rFonts w:cs="Arial"/>
                <w:vertAlign w:val="superscript"/>
              </w:rPr>
              <w:t>1</w:t>
            </w:r>
          </w:p>
        </w:tc>
        <w:tc>
          <w:tcPr>
            <w:tcW w:w="1706" w:type="dxa"/>
          </w:tcPr>
          <w:p>
            <w:pPr>
              <w:pStyle w:val="GesAbsatz"/>
              <w:tabs>
                <w:tab w:val="left" w:pos="2268"/>
              </w:tabs>
              <w:jc w:val="center"/>
              <w:rPr>
                <w:rFonts w:cs="Arial"/>
              </w:rPr>
            </w:pPr>
            <w:r>
              <w:rPr>
                <w:rFonts w:cs="Arial"/>
              </w:rPr>
              <w:t>–</w:t>
            </w:r>
          </w:p>
        </w:tc>
      </w:tr>
      <w:tr>
        <w:trPr>
          <w:trHeight w:val="312"/>
        </w:trPr>
        <w:tc>
          <w:tcPr>
            <w:tcW w:w="3423" w:type="dxa"/>
          </w:tcPr>
          <w:p>
            <w:pPr>
              <w:pStyle w:val="GesAbsatz"/>
              <w:tabs>
                <w:tab w:val="left" w:pos="2268"/>
              </w:tabs>
              <w:jc w:val="left"/>
              <w:rPr>
                <w:rFonts w:cs="Arial"/>
              </w:rPr>
            </w:pPr>
            <w:r>
              <w:rPr>
                <w:rFonts w:cs="Arial"/>
              </w:rPr>
              <w:lastRenderedPageBreak/>
              <w:t>Blei</w:t>
            </w:r>
          </w:p>
        </w:tc>
        <w:tc>
          <w:tcPr>
            <w:tcW w:w="2835" w:type="dxa"/>
          </w:tcPr>
          <w:p>
            <w:pPr>
              <w:pStyle w:val="GesAbsatz"/>
              <w:tabs>
                <w:tab w:val="left" w:pos="2268"/>
              </w:tabs>
              <w:jc w:val="center"/>
              <w:rPr>
                <w:rFonts w:cs="Arial"/>
              </w:rPr>
            </w:pPr>
            <w:r>
              <w:rPr>
                <w:rFonts w:cs="Arial"/>
              </w:rPr>
              <w:t>Ammoniumnitrat (AN)</w:t>
            </w:r>
          </w:p>
        </w:tc>
        <w:tc>
          <w:tcPr>
            <w:tcW w:w="1383" w:type="dxa"/>
          </w:tcPr>
          <w:p>
            <w:pPr>
              <w:pStyle w:val="GesAbsatz"/>
              <w:tabs>
                <w:tab w:val="left" w:pos="2268"/>
              </w:tabs>
              <w:jc w:val="center"/>
              <w:rPr>
                <w:rFonts w:cs="Arial"/>
              </w:rPr>
            </w:pPr>
            <w:r>
              <w:rPr>
                <w:rFonts w:cs="Arial"/>
              </w:rPr>
              <w:t>0,1</w:t>
            </w:r>
          </w:p>
        </w:tc>
        <w:tc>
          <w:tcPr>
            <w:tcW w:w="1706" w:type="dxa"/>
          </w:tcPr>
          <w:p>
            <w:pPr>
              <w:pStyle w:val="GesAbsatz"/>
              <w:tabs>
                <w:tab w:val="left" w:pos="2268"/>
              </w:tabs>
              <w:jc w:val="center"/>
              <w:rPr>
                <w:rFonts w:cs="Arial"/>
              </w:rPr>
            </w:pPr>
            <w:r>
              <w:rPr>
                <w:rFonts w:cs="Arial"/>
              </w:rPr>
              <w:t>–</w:t>
            </w:r>
          </w:p>
        </w:tc>
      </w:tr>
      <w:tr>
        <w:trPr>
          <w:trHeight w:val="312"/>
        </w:trPr>
        <w:tc>
          <w:tcPr>
            <w:tcW w:w="3423" w:type="dxa"/>
          </w:tcPr>
          <w:p>
            <w:pPr>
              <w:pStyle w:val="GesAbsatz"/>
              <w:tabs>
                <w:tab w:val="left" w:pos="2268"/>
              </w:tabs>
              <w:jc w:val="left"/>
              <w:rPr>
                <w:rFonts w:cs="Arial"/>
              </w:rPr>
            </w:pPr>
            <w:r>
              <w:rPr>
                <w:rFonts w:cs="Arial"/>
              </w:rPr>
              <w:t>Cadmium</w:t>
            </w:r>
          </w:p>
        </w:tc>
        <w:tc>
          <w:tcPr>
            <w:tcW w:w="2835" w:type="dxa"/>
          </w:tcPr>
          <w:p>
            <w:pPr>
              <w:pStyle w:val="GesAbsatz"/>
              <w:tabs>
                <w:tab w:val="left" w:pos="2268"/>
              </w:tabs>
              <w:jc w:val="center"/>
              <w:rPr>
                <w:rFonts w:cs="Arial"/>
              </w:rPr>
            </w:pPr>
            <w:r>
              <w:rPr>
                <w:rFonts w:cs="Arial"/>
              </w:rPr>
              <w:t>AN</w:t>
            </w:r>
          </w:p>
        </w:tc>
        <w:tc>
          <w:tcPr>
            <w:tcW w:w="1383" w:type="dxa"/>
          </w:tcPr>
          <w:p>
            <w:pPr>
              <w:pStyle w:val="GesAbsatz"/>
              <w:tabs>
                <w:tab w:val="left" w:pos="2268"/>
              </w:tabs>
              <w:jc w:val="center"/>
              <w:rPr>
                <w:rFonts w:cs="Arial"/>
              </w:rPr>
            </w:pPr>
            <w:r>
              <w:rPr>
                <w:rFonts w:cs="Arial"/>
              </w:rPr>
              <w:t>–</w:t>
            </w:r>
          </w:p>
        </w:tc>
        <w:tc>
          <w:tcPr>
            <w:tcW w:w="1706" w:type="dxa"/>
          </w:tcPr>
          <w:p>
            <w:pPr>
              <w:pStyle w:val="GesAbsatz"/>
              <w:tabs>
                <w:tab w:val="left" w:pos="2268"/>
              </w:tabs>
              <w:jc w:val="center"/>
              <w:rPr>
                <w:rFonts w:cs="Arial"/>
              </w:rPr>
            </w:pPr>
            <w:r>
              <w:rPr>
                <w:rFonts w:cs="Arial"/>
              </w:rPr>
              <w:t>0,04/0,1</w:t>
            </w:r>
            <w:r>
              <w:rPr>
                <w:rFonts w:cs="Arial"/>
                <w:vertAlign w:val="superscript"/>
              </w:rPr>
              <w:t>2</w:t>
            </w:r>
          </w:p>
        </w:tc>
      </w:tr>
      <w:tr>
        <w:trPr>
          <w:trHeight w:val="312"/>
        </w:trPr>
        <w:tc>
          <w:tcPr>
            <w:tcW w:w="3423" w:type="dxa"/>
          </w:tcPr>
          <w:p>
            <w:pPr>
              <w:pStyle w:val="GesAbsatz"/>
              <w:tabs>
                <w:tab w:val="left" w:pos="2268"/>
              </w:tabs>
              <w:jc w:val="left"/>
              <w:rPr>
                <w:rFonts w:cs="Arial"/>
              </w:rPr>
            </w:pPr>
            <w:r>
              <w:rPr>
                <w:rFonts w:cs="Arial"/>
              </w:rPr>
              <w:t>Quecksilber</w:t>
            </w:r>
          </w:p>
        </w:tc>
        <w:tc>
          <w:tcPr>
            <w:tcW w:w="2835" w:type="dxa"/>
          </w:tcPr>
          <w:p>
            <w:pPr>
              <w:pStyle w:val="GesAbsatz"/>
              <w:tabs>
                <w:tab w:val="left" w:pos="2268"/>
              </w:tabs>
              <w:jc w:val="center"/>
              <w:rPr>
                <w:rFonts w:cs="Arial"/>
              </w:rPr>
            </w:pPr>
            <w:r>
              <w:rPr>
                <w:rFonts w:cs="Arial"/>
              </w:rPr>
              <w:t>KW</w:t>
            </w:r>
          </w:p>
        </w:tc>
        <w:tc>
          <w:tcPr>
            <w:tcW w:w="1383" w:type="dxa"/>
          </w:tcPr>
          <w:p>
            <w:pPr>
              <w:pStyle w:val="GesAbsatz"/>
              <w:tabs>
                <w:tab w:val="left" w:pos="2268"/>
              </w:tabs>
              <w:jc w:val="center"/>
              <w:rPr>
                <w:rFonts w:cs="Arial"/>
              </w:rPr>
            </w:pPr>
            <w:r>
              <w:rPr>
                <w:rFonts w:cs="Arial"/>
              </w:rPr>
              <w:t>5</w:t>
            </w:r>
          </w:p>
        </w:tc>
        <w:tc>
          <w:tcPr>
            <w:tcW w:w="1706" w:type="dxa"/>
          </w:tcPr>
          <w:p>
            <w:pPr>
              <w:pStyle w:val="GesAbsatz"/>
              <w:tabs>
                <w:tab w:val="left" w:pos="2268"/>
              </w:tabs>
              <w:jc w:val="center"/>
              <w:rPr>
                <w:rFonts w:cs="Arial"/>
              </w:rPr>
            </w:pPr>
            <w:r>
              <w:rPr>
                <w:rFonts w:cs="Arial"/>
              </w:rPr>
              <w:t>–</w:t>
            </w:r>
          </w:p>
        </w:tc>
      </w:tr>
      <w:tr>
        <w:trPr>
          <w:trHeight w:val="312"/>
        </w:trPr>
        <w:tc>
          <w:tcPr>
            <w:tcW w:w="3423" w:type="dxa"/>
          </w:tcPr>
          <w:p>
            <w:pPr>
              <w:pStyle w:val="GesAbsatz"/>
              <w:tabs>
                <w:tab w:val="left" w:pos="2268"/>
              </w:tabs>
              <w:jc w:val="left"/>
              <w:rPr>
                <w:rFonts w:cs="Arial"/>
              </w:rPr>
            </w:pPr>
            <w:r>
              <w:rPr>
                <w:rFonts w:cs="Arial"/>
              </w:rPr>
              <w:t>Thallium</w:t>
            </w:r>
          </w:p>
        </w:tc>
        <w:tc>
          <w:tcPr>
            <w:tcW w:w="2835" w:type="dxa"/>
          </w:tcPr>
          <w:p>
            <w:pPr>
              <w:pStyle w:val="GesAbsatz"/>
              <w:tabs>
                <w:tab w:val="left" w:pos="2268"/>
              </w:tabs>
              <w:jc w:val="center"/>
              <w:rPr>
                <w:rFonts w:cs="Arial"/>
              </w:rPr>
            </w:pPr>
            <w:r>
              <w:rPr>
                <w:rFonts w:cs="Arial"/>
              </w:rPr>
              <w:t>AN</w:t>
            </w:r>
          </w:p>
        </w:tc>
        <w:tc>
          <w:tcPr>
            <w:tcW w:w="1383" w:type="dxa"/>
          </w:tcPr>
          <w:p>
            <w:pPr>
              <w:pStyle w:val="GesAbsatz"/>
              <w:tabs>
                <w:tab w:val="left" w:pos="2268"/>
              </w:tabs>
              <w:jc w:val="center"/>
              <w:rPr>
                <w:rFonts w:cs="Arial"/>
              </w:rPr>
            </w:pPr>
            <w:r>
              <w:rPr>
                <w:rFonts w:cs="Arial"/>
              </w:rPr>
              <w:t>0,1</w:t>
            </w:r>
          </w:p>
        </w:tc>
        <w:tc>
          <w:tcPr>
            <w:tcW w:w="1706" w:type="dxa"/>
          </w:tcPr>
          <w:p>
            <w:pPr>
              <w:pStyle w:val="GesAbsatz"/>
              <w:tabs>
                <w:tab w:val="left" w:pos="2268"/>
              </w:tabs>
              <w:jc w:val="center"/>
              <w:rPr>
                <w:rFonts w:cs="Arial"/>
              </w:rPr>
            </w:pPr>
            <w:r>
              <w:rPr>
                <w:rFonts w:cs="Arial"/>
              </w:rPr>
              <w:t>–</w:t>
            </w:r>
          </w:p>
        </w:tc>
      </w:tr>
      <w:tr>
        <w:trPr>
          <w:trHeight w:val="312"/>
        </w:trPr>
        <w:tc>
          <w:tcPr>
            <w:tcW w:w="3423" w:type="dxa"/>
          </w:tcPr>
          <w:p>
            <w:pPr>
              <w:pStyle w:val="GesAbsatz"/>
              <w:tabs>
                <w:tab w:val="left" w:pos="2268"/>
              </w:tabs>
              <w:jc w:val="left"/>
              <w:rPr>
                <w:rFonts w:cs="Arial"/>
              </w:rPr>
            </w:pPr>
            <w:r>
              <w:rPr>
                <w:rFonts w:cs="Arial"/>
              </w:rPr>
              <w:t>Benzo(a)pyren</w:t>
            </w:r>
          </w:p>
        </w:tc>
        <w:tc>
          <w:tcPr>
            <w:tcW w:w="2835" w:type="dxa"/>
          </w:tcPr>
          <w:p>
            <w:pPr>
              <w:pStyle w:val="GesAbsatz"/>
              <w:tabs>
                <w:tab w:val="left" w:pos="2268"/>
              </w:tabs>
              <w:jc w:val="center"/>
              <w:rPr>
                <w:rFonts w:cs="Arial"/>
              </w:rPr>
            </w:pPr>
            <w:r>
              <w:rPr>
                <w:rFonts w:cs="Arial"/>
              </w:rPr>
              <w:t>siehe Anlage 3 Tabelle 5</w:t>
            </w:r>
          </w:p>
        </w:tc>
        <w:tc>
          <w:tcPr>
            <w:tcW w:w="1383" w:type="dxa"/>
          </w:tcPr>
          <w:p>
            <w:pPr>
              <w:pStyle w:val="GesAbsatz"/>
              <w:tabs>
                <w:tab w:val="left" w:pos="2268"/>
              </w:tabs>
              <w:jc w:val="center"/>
              <w:rPr>
                <w:rFonts w:cs="Arial"/>
              </w:rPr>
            </w:pPr>
            <w:r>
              <w:rPr>
                <w:rFonts w:cs="Arial"/>
              </w:rPr>
              <w:t>1</w:t>
            </w:r>
          </w:p>
        </w:tc>
        <w:tc>
          <w:tcPr>
            <w:tcW w:w="1706" w:type="dxa"/>
          </w:tcPr>
          <w:p>
            <w:pPr>
              <w:pStyle w:val="GesAbsatz"/>
              <w:tabs>
                <w:tab w:val="left" w:pos="2268"/>
              </w:tabs>
              <w:jc w:val="center"/>
              <w:rPr>
                <w:rFonts w:cs="Arial"/>
              </w:rPr>
            </w:pPr>
            <w:r>
              <w:rPr>
                <w:rFonts w:cs="Arial"/>
              </w:rPr>
              <w:t>–</w:t>
            </w:r>
          </w:p>
        </w:tc>
      </w:tr>
      <w:tr>
        <w:trPr>
          <w:trHeight w:val="312"/>
        </w:trPr>
        <w:tc>
          <w:tcPr>
            <w:tcW w:w="3423" w:type="dxa"/>
          </w:tcPr>
          <w:p>
            <w:pPr>
              <w:pStyle w:val="GesAbsatz"/>
              <w:tabs>
                <w:tab w:val="left" w:pos="2268"/>
              </w:tabs>
              <w:jc w:val="left"/>
              <w:rPr>
                <w:rFonts w:cs="Arial"/>
              </w:rPr>
            </w:pPr>
            <w:r>
              <w:rPr>
                <w:rFonts w:cs="Arial"/>
              </w:rPr>
              <w:t>DDT (Dichlordiphenyl-trichlorethan)</w:t>
            </w:r>
          </w:p>
        </w:tc>
        <w:tc>
          <w:tcPr>
            <w:tcW w:w="2835" w:type="dxa"/>
          </w:tcPr>
          <w:p>
            <w:pPr>
              <w:pStyle w:val="GesAbsatz"/>
              <w:tabs>
                <w:tab w:val="left" w:pos="2268"/>
              </w:tabs>
              <w:jc w:val="center"/>
              <w:rPr>
                <w:rFonts w:cs="Arial"/>
              </w:rPr>
            </w:pPr>
            <w:r>
              <w:rPr>
                <w:rFonts w:cs="Arial"/>
              </w:rPr>
              <w:t>siehe Anlage 3 Tabelle 5</w:t>
            </w:r>
          </w:p>
        </w:tc>
        <w:tc>
          <w:tcPr>
            <w:tcW w:w="1383" w:type="dxa"/>
          </w:tcPr>
          <w:p>
            <w:pPr>
              <w:pStyle w:val="GesAbsatz"/>
              <w:tabs>
                <w:tab w:val="left" w:pos="2268"/>
              </w:tabs>
              <w:jc w:val="center"/>
              <w:rPr>
                <w:rFonts w:cs="Arial"/>
              </w:rPr>
            </w:pPr>
            <w:r>
              <w:rPr>
                <w:rFonts w:cs="Arial"/>
              </w:rPr>
              <w:t>1</w:t>
            </w:r>
          </w:p>
        </w:tc>
        <w:tc>
          <w:tcPr>
            <w:tcW w:w="1706" w:type="dxa"/>
          </w:tcPr>
          <w:p>
            <w:pPr>
              <w:pStyle w:val="GesAbsatz"/>
              <w:tabs>
                <w:tab w:val="left" w:pos="2268"/>
              </w:tabs>
              <w:jc w:val="center"/>
              <w:rPr>
                <w:rFonts w:cs="Arial"/>
              </w:rPr>
            </w:pPr>
            <w:r>
              <w:rPr>
                <w:rFonts w:cs="Arial"/>
              </w:rPr>
              <w:t>–</w:t>
            </w:r>
          </w:p>
        </w:tc>
      </w:tr>
    </w:tbl>
    <w:p>
      <w:pPr>
        <w:pStyle w:val="GesAbsatz"/>
        <w:tabs>
          <w:tab w:val="clear" w:pos="425"/>
          <w:tab w:val="left" w:pos="2268"/>
        </w:tabs>
        <w:ind w:left="426" w:hanging="426"/>
        <w:rPr>
          <w:rFonts w:cs="Arial"/>
        </w:rPr>
      </w:pPr>
      <w:r>
        <w:rPr>
          <w:rFonts w:cs="Arial"/>
        </w:rPr>
        <w:t>1</w:t>
      </w:r>
      <w:r>
        <w:rPr>
          <w:rFonts w:cs="Arial"/>
        </w:rPr>
        <w:tab/>
        <w:t>Bei Böden mit zeitweise reduzierenden Verhältnissen gilt ein Prüfwert von 50 mg/kg.</w:t>
      </w:r>
    </w:p>
    <w:p>
      <w:pPr>
        <w:pStyle w:val="GesAbsatz"/>
        <w:tabs>
          <w:tab w:val="clear" w:pos="425"/>
          <w:tab w:val="left" w:pos="2268"/>
        </w:tabs>
        <w:ind w:left="426" w:hanging="426"/>
        <w:rPr>
          <w:rFonts w:cs="Arial"/>
        </w:rPr>
      </w:pPr>
      <w:r>
        <w:rPr>
          <w:rFonts w:cs="Arial"/>
        </w:rPr>
        <w:t>2</w:t>
      </w:r>
      <w:r>
        <w:rPr>
          <w:rFonts w:cs="Arial"/>
        </w:rPr>
        <w:tab/>
        <w:t>Auf Flächen mit Brotweizenanbau oder Gemüseanbau gilt ein Maßnahmenwert von 0,04 mg/kg; ansonsten gilt ein Maßnahmenwert von 0,1 mg/kg.</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7: Prüf- und Maßnahmenwerte für den Wirkungspfad Boden-Nutzpflanze auf Grünlandflächen im Hinblick auf die Pflanzenqualität</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147"/>
        <w:gridCol w:w="2694"/>
        <w:gridCol w:w="2409"/>
        <w:gridCol w:w="2097"/>
      </w:tblGrid>
      <w:tr>
        <w:trPr>
          <w:trHeight w:val="332"/>
        </w:trPr>
        <w:tc>
          <w:tcPr>
            <w:tcW w:w="2147" w:type="dxa"/>
          </w:tcPr>
          <w:p>
            <w:pPr>
              <w:pStyle w:val="GesAbsatz"/>
              <w:tabs>
                <w:tab w:val="left" w:pos="2268"/>
              </w:tabs>
              <w:jc w:val="center"/>
              <w:rPr>
                <w:rFonts w:cs="Arial"/>
              </w:rPr>
            </w:pPr>
            <w:r>
              <w:rPr>
                <w:rFonts w:cs="Arial"/>
              </w:rPr>
              <w:t>Stoff</w:t>
            </w:r>
          </w:p>
        </w:tc>
        <w:tc>
          <w:tcPr>
            <w:tcW w:w="2694" w:type="dxa"/>
          </w:tcPr>
          <w:p>
            <w:pPr>
              <w:pStyle w:val="GesAbsatz"/>
              <w:tabs>
                <w:tab w:val="left" w:pos="2268"/>
              </w:tabs>
              <w:jc w:val="center"/>
              <w:rPr>
                <w:rFonts w:cs="Arial"/>
              </w:rPr>
            </w:pPr>
            <w:r>
              <w:rPr>
                <w:rFonts w:cs="Arial"/>
              </w:rPr>
              <w:t>Extraktionsverfahren</w:t>
            </w:r>
          </w:p>
        </w:tc>
        <w:tc>
          <w:tcPr>
            <w:tcW w:w="2409" w:type="dxa"/>
          </w:tcPr>
          <w:p>
            <w:pPr>
              <w:pStyle w:val="GesAbsatz"/>
              <w:tabs>
                <w:tab w:val="left" w:pos="2268"/>
              </w:tabs>
              <w:jc w:val="center"/>
              <w:rPr>
                <w:rFonts w:cs="Arial"/>
              </w:rPr>
            </w:pPr>
            <w:r>
              <w:rPr>
                <w:rFonts w:cs="Arial"/>
              </w:rPr>
              <w:t>Prüfwert</w:t>
            </w:r>
          </w:p>
        </w:tc>
        <w:tc>
          <w:tcPr>
            <w:tcW w:w="2097" w:type="dxa"/>
          </w:tcPr>
          <w:p>
            <w:pPr>
              <w:pStyle w:val="GesAbsatz"/>
              <w:tabs>
                <w:tab w:val="left" w:pos="2268"/>
              </w:tabs>
              <w:jc w:val="center"/>
              <w:rPr>
                <w:rFonts w:cs="Arial"/>
              </w:rPr>
            </w:pPr>
            <w:r>
              <w:rPr>
                <w:rFonts w:cs="Arial"/>
              </w:rPr>
              <w:t>Maßnahmenwert</w:t>
            </w:r>
          </w:p>
        </w:tc>
      </w:tr>
      <w:tr>
        <w:trPr>
          <w:trHeight w:val="332"/>
        </w:trPr>
        <w:tc>
          <w:tcPr>
            <w:tcW w:w="2147" w:type="dxa"/>
          </w:tcPr>
          <w:p>
            <w:pPr>
              <w:pStyle w:val="GesAbsatz"/>
              <w:tabs>
                <w:tab w:val="left" w:pos="2268"/>
              </w:tabs>
              <w:rPr>
                <w:rFonts w:cs="Arial"/>
              </w:rPr>
            </w:pPr>
          </w:p>
        </w:tc>
        <w:tc>
          <w:tcPr>
            <w:tcW w:w="2694" w:type="dxa"/>
          </w:tcPr>
          <w:p>
            <w:pPr>
              <w:pStyle w:val="GesAbsatz"/>
              <w:tabs>
                <w:tab w:val="left" w:pos="2268"/>
              </w:tabs>
              <w:jc w:val="center"/>
              <w:rPr>
                <w:rFonts w:cs="Arial"/>
              </w:rPr>
            </w:pPr>
          </w:p>
        </w:tc>
        <w:tc>
          <w:tcPr>
            <w:tcW w:w="4506" w:type="dxa"/>
            <w:gridSpan w:val="2"/>
          </w:tcPr>
          <w:p>
            <w:pPr>
              <w:pStyle w:val="GesAbsatz"/>
              <w:tabs>
                <w:tab w:val="left" w:pos="2268"/>
              </w:tabs>
              <w:jc w:val="center"/>
              <w:rPr>
                <w:rFonts w:cs="Arial"/>
              </w:rPr>
            </w:pPr>
            <w:r>
              <w:rPr>
                <w:rFonts w:cs="Arial"/>
              </w:rPr>
              <w:t>[mg/kg TM]</w:t>
            </w:r>
          </w:p>
        </w:tc>
      </w:tr>
      <w:tr>
        <w:trPr>
          <w:trHeight w:val="312"/>
        </w:trPr>
        <w:tc>
          <w:tcPr>
            <w:tcW w:w="2147" w:type="dxa"/>
          </w:tcPr>
          <w:p>
            <w:pPr>
              <w:pStyle w:val="GesAbsatz"/>
              <w:tabs>
                <w:tab w:val="left" w:pos="2268"/>
              </w:tabs>
              <w:rPr>
                <w:rFonts w:cs="Arial"/>
              </w:rPr>
            </w:pPr>
            <w:r>
              <w:rPr>
                <w:rFonts w:cs="Arial"/>
              </w:rPr>
              <w:t>Arsen</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50</w:t>
            </w:r>
          </w:p>
        </w:tc>
        <w:tc>
          <w:tcPr>
            <w:tcW w:w="2097" w:type="dxa"/>
          </w:tcPr>
          <w:p>
            <w:pPr>
              <w:pStyle w:val="GesAbsatz"/>
              <w:tabs>
                <w:tab w:val="left" w:pos="2268"/>
              </w:tabs>
              <w:jc w:val="center"/>
              <w:rPr>
                <w:rFonts w:cs="Arial"/>
              </w:rPr>
            </w:pPr>
            <w:r>
              <w:rPr>
                <w:rFonts w:cs="Arial"/>
              </w:rPr>
              <w:t>–</w:t>
            </w:r>
          </w:p>
        </w:tc>
      </w:tr>
      <w:tr>
        <w:trPr>
          <w:trHeight w:val="312"/>
        </w:trPr>
        <w:tc>
          <w:tcPr>
            <w:tcW w:w="2147" w:type="dxa"/>
          </w:tcPr>
          <w:p>
            <w:pPr>
              <w:pStyle w:val="GesAbsatz"/>
              <w:tabs>
                <w:tab w:val="left" w:pos="2268"/>
              </w:tabs>
              <w:rPr>
                <w:rFonts w:cs="Arial"/>
              </w:rPr>
            </w:pPr>
            <w:r>
              <w:rPr>
                <w:rFonts w:cs="Arial"/>
              </w:rPr>
              <w:t>Blei</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1 200</w:t>
            </w:r>
          </w:p>
        </w:tc>
      </w:tr>
      <w:tr>
        <w:trPr>
          <w:trHeight w:val="312"/>
        </w:trPr>
        <w:tc>
          <w:tcPr>
            <w:tcW w:w="2147" w:type="dxa"/>
          </w:tcPr>
          <w:p>
            <w:pPr>
              <w:pStyle w:val="GesAbsatz"/>
              <w:tabs>
                <w:tab w:val="left" w:pos="2268"/>
              </w:tabs>
              <w:rPr>
                <w:rFonts w:cs="Arial"/>
              </w:rPr>
            </w:pPr>
            <w:r>
              <w:rPr>
                <w:rFonts w:cs="Arial"/>
              </w:rPr>
              <w:t>Cadmium</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20</w:t>
            </w:r>
            <w:r>
              <w:rPr>
                <w:rFonts w:cs="Arial"/>
                <w:vertAlign w:val="superscript"/>
              </w:rPr>
              <w:t>1</w:t>
            </w:r>
          </w:p>
        </w:tc>
      </w:tr>
      <w:tr>
        <w:trPr>
          <w:trHeight w:val="312"/>
        </w:trPr>
        <w:tc>
          <w:tcPr>
            <w:tcW w:w="2147" w:type="dxa"/>
          </w:tcPr>
          <w:p>
            <w:pPr>
              <w:pStyle w:val="GesAbsatz"/>
              <w:tabs>
                <w:tab w:val="left" w:pos="2268"/>
              </w:tabs>
              <w:rPr>
                <w:rFonts w:cs="Arial"/>
              </w:rPr>
            </w:pPr>
            <w:r>
              <w:rPr>
                <w:rFonts w:cs="Arial"/>
              </w:rPr>
              <w:t>Kupfer</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1 300</w:t>
            </w:r>
            <w:r>
              <w:rPr>
                <w:rFonts w:cs="Arial"/>
                <w:vertAlign w:val="superscript"/>
              </w:rPr>
              <w:t>2</w:t>
            </w:r>
          </w:p>
        </w:tc>
      </w:tr>
      <w:tr>
        <w:trPr>
          <w:trHeight w:val="312"/>
        </w:trPr>
        <w:tc>
          <w:tcPr>
            <w:tcW w:w="2147" w:type="dxa"/>
          </w:tcPr>
          <w:p>
            <w:pPr>
              <w:pStyle w:val="GesAbsatz"/>
              <w:tabs>
                <w:tab w:val="left" w:pos="2268"/>
              </w:tabs>
              <w:rPr>
                <w:rFonts w:cs="Arial"/>
              </w:rPr>
            </w:pPr>
            <w:r>
              <w:rPr>
                <w:rFonts w:cs="Arial"/>
              </w:rPr>
              <w:t>Nickel</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1 900</w:t>
            </w:r>
          </w:p>
        </w:tc>
      </w:tr>
      <w:tr>
        <w:trPr>
          <w:trHeight w:val="312"/>
        </w:trPr>
        <w:tc>
          <w:tcPr>
            <w:tcW w:w="2147" w:type="dxa"/>
          </w:tcPr>
          <w:p>
            <w:pPr>
              <w:pStyle w:val="GesAbsatz"/>
              <w:tabs>
                <w:tab w:val="left" w:pos="2268"/>
              </w:tabs>
              <w:rPr>
                <w:rFonts w:cs="Arial"/>
              </w:rPr>
            </w:pPr>
            <w:r>
              <w:rPr>
                <w:rFonts w:cs="Arial"/>
              </w:rPr>
              <w:t>Quecksilber</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2</w:t>
            </w:r>
          </w:p>
        </w:tc>
      </w:tr>
      <w:tr>
        <w:trPr>
          <w:trHeight w:val="312"/>
        </w:trPr>
        <w:tc>
          <w:tcPr>
            <w:tcW w:w="2147" w:type="dxa"/>
          </w:tcPr>
          <w:p>
            <w:pPr>
              <w:pStyle w:val="GesAbsatz"/>
              <w:tabs>
                <w:tab w:val="left" w:pos="2268"/>
              </w:tabs>
              <w:rPr>
                <w:rFonts w:cs="Arial"/>
              </w:rPr>
            </w:pPr>
            <w:r>
              <w:rPr>
                <w:rFonts w:cs="Arial"/>
              </w:rPr>
              <w:t>Thallium</w:t>
            </w:r>
          </w:p>
        </w:tc>
        <w:tc>
          <w:tcPr>
            <w:tcW w:w="2694" w:type="dxa"/>
          </w:tcPr>
          <w:p>
            <w:pPr>
              <w:pStyle w:val="GesAbsatz"/>
              <w:tabs>
                <w:tab w:val="left" w:pos="2268"/>
              </w:tabs>
              <w:jc w:val="center"/>
              <w:rPr>
                <w:rFonts w:cs="Arial"/>
              </w:rPr>
            </w:pPr>
            <w:r>
              <w:rPr>
                <w:rFonts w:cs="Arial"/>
              </w:rPr>
              <w:t>KW</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15</w:t>
            </w:r>
          </w:p>
        </w:tc>
      </w:tr>
      <w:tr>
        <w:trPr>
          <w:trHeight w:val="312"/>
        </w:trPr>
        <w:tc>
          <w:tcPr>
            <w:tcW w:w="2147" w:type="dxa"/>
          </w:tcPr>
          <w:p>
            <w:pPr>
              <w:pStyle w:val="GesAbsatz"/>
              <w:tabs>
                <w:tab w:val="left" w:pos="2268"/>
              </w:tabs>
              <w:rPr>
                <w:rFonts w:cs="Arial"/>
              </w:rPr>
            </w:pPr>
            <w:r>
              <w:rPr>
                <w:rFonts w:cs="Arial"/>
              </w:rPr>
              <w:t>Hexachlorbenzol</w:t>
            </w:r>
          </w:p>
        </w:tc>
        <w:tc>
          <w:tcPr>
            <w:tcW w:w="2694" w:type="dxa"/>
          </w:tcPr>
          <w:p>
            <w:pPr>
              <w:pStyle w:val="GesAbsatz"/>
              <w:tabs>
                <w:tab w:val="left" w:pos="2268"/>
              </w:tabs>
              <w:jc w:val="center"/>
              <w:rPr>
                <w:rFonts w:cs="Arial"/>
              </w:rPr>
            </w:pPr>
            <w:r>
              <w:rPr>
                <w:rFonts w:cs="Arial"/>
              </w:rPr>
              <w:t>siehe Anlage 3 Tabelle 5</w:t>
            </w:r>
          </w:p>
        </w:tc>
        <w:tc>
          <w:tcPr>
            <w:tcW w:w="2409" w:type="dxa"/>
          </w:tcPr>
          <w:p>
            <w:pPr>
              <w:pStyle w:val="GesAbsatz"/>
              <w:tabs>
                <w:tab w:val="left" w:pos="2268"/>
              </w:tabs>
              <w:jc w:val="center"/>
              <w:rPr>
                <w:rFonts w:cs="Arial"/>
              </w:rPr>
            </w:pPr>
            <w:r>
              <w:rPr>
                <w:rFonts w:cs="Arial"/>
              </w:rPr>
              <w:t>0,5</w:t>
            </w:r>
          </w:p>
        </w:tc>
        <w:tc>
          <w:tcPr>
            <w:tcW w:w="2097" w:type="dxa"/>
          </w:tcPr>
          <w:p>
            <w:pPr>
              <w:pStyle w:val="GesAbsatz"/>
              <w:tabs>
                <w:tab w:val="left" w:pos="2268"/>
              </w:tabs>
              <w:jc w:val="center"/>
              <w:rPr>
                <w:rFonts w:cs="Arial"/>
              </w:rPr>
            </w:pPr>
            <w:r>
              <w:rPr>
                <w:rFonts w:cs="Arial"/>
              </w:rPr>
              <w:t>–</w:t>
            </w:r>
          </w:p>
        </w:tc>
      </w:tr>
      <w:tr>
        <w:trPr>
          <w:trHeight w:val="312"/>
        </w:trPr>
        <w:tc>
          <w:tcPr>
            <w:tcW w:w="2147" w:type="dxa"/>
          </w:tcPr>
          <w:p>
            <w:pPr>
              <w:pStyle w:val="GesAbsatz"/>
              <w:tabs>
                <w:tab w:val="left" w:pos="2268"/>
              </w:tabs>
              <w:rPr>
                <w:rFonts w:cs="Arial"/>
              </w:rPr>
            </w:pPr>
            <w:r>
              <w:rPr>
                <w:rFonts w:cs="Arial"/>
              </w:rPr>
              <w:t>Hexachlorcyclohexan, gesamt</w:t>
            </w:r>
          </w:p>
        </w:tc>
        <w:tc>
          <w:tcPr>
            <w:tcW w:w="2694" w:type="dxa"/>
          </w:tcPr>
          <w:p>
            <w:pPr>
              <w:pStyle w:val="GesAbsatz"/>
              <w:tabs>
                <w:tab w:val="left" w:pos="2268"/>
              </w:tabs>
              <w:jc w:val="center"/>
              <w:rPr>
                <w:rFonts w:cs="Arial"/>
              </w:rPr>
            </w:pPr>
            <w:r>
              <w:rPr>
                <w:rFonts w:cs="Arial"/>
              </w:rPr>
              <w:t>siehe Anlage 3 Tabelle 5</w:t>
            </w:r>
          </w:p>
        </w:tc>
        <w:tc>
          <w:tcPr>
            <w:tcW w:w="2409" w:type="dxa"/>
          </w:tcPr>
          <w:p>
            <w:pPr>
              <w:pStyle w:val="GesAbsatz"/>
              <w:tabs>
                <w:tab w:val="left" w:pos="2268"/>
              </w:tabs>
              <w:jc w:val="center"/>
              <w:rPr>
                <w:rFonts w:cs="Arial"/>
              </w:rPr>
            </w:pPr>
            <w:r>
              <w:rPr>
                <w:rFonts w:cs="Arial"/>
              </w:rPr>
              <w:t>0,05</w:t>
            </w:r>
          </w:p>
        </w:tc>
        <w:tc>
          <w:tcPr>
            <w:tcW w:w="2097" w:type="dxa"/>
          </w:tcPr>
          <w:p>
            <w:pPr>
              <w:pStyle w:val="GesAbsatz"/>
              <w:tabs>
                <w:tab w:val="left" w:pos="2268"/>
              </w:tabs>
              <w:jc w:val="center"/>
              <w:rPr>
                <w:rFonts w:cs="Arial"/>
              </w:rPr>
            </w:pPr>
            <w:r>
              <w:rPr>
                <w:rFonts w:cs="Arial"/>
              </w:rPr>
              <w:t>–</w:t>
            </w:r>
          </w:p>
        </w:tc>
      </w:tr>
      <w:tr>
        <w:trPr>
          <w:trHeight w:val="312"/>
        </w:trPr>
        <w:tc>
          <w:tcPr>
            <w:tcW w:w="2147" w:type="dxa"/>
          </w:tcPr>
          <w:p>
            <w:pPr>
              <w:pStyle w:val="GesAbsatz"/>
              <w:tabs>
                <w:tab w:val="left" w:pos="2268"/>
              </w:tabs>
              <w:rPr>
                <w:rFonts w:cs="Arial"/>
                <w:vertAlign w:val="subscript"/>
              </w:rPr>
            </w:pPr>
            <w:r>
              <w:rPr>
                <w:rFonts w:cs="Arial"/>
              </w:rPr>
              <w:t>PCB</w:t>
            </w:r>
            <w:r>
              <w:rPr>
                <w:rFonts w:cs="Arial"/>
                <w:vertAlign w:val="subscript"/>
              </w:rPr>
              <w:t>6</w:t>
            </w:r>
          </w:p>
        </w:tc>
        <w:tc>
          <w:tcPr>
            <w:tcW w:w="2694" w:type="dxa"/>
          </w:tcPr>
          <w:p>
            <w:pPr>
              <w:pStyle w:val="GesAbsatz"/>
              <w:tabs>
                <w:tab w:val="left" w:pos="2268"/>
              </w:tabs>
              <w:jc w:val="center"/>
              <w:rPr>
                <w:rFonts w:cs="Arial"/>
              </w:rPr>
            </w:pPr>
            <w:r>
              <w:rPr>
                <w:rFonts w:cs="Arial"/>
              </w:rPr>
              <w:t>siehe Anlage 3 Tabelle 5</w:t>
            </w:r>
          </w:p>
        </w:tc>
        <w:tc>
          <w:tcPr>
            <w:tcW w:w="2409" w:type="dxa"/>
          </w:tcPr>
          <w:p>
            <w:pPr>
              <w:pStyle w:val="GesAbsatz"/>
              <w:tabs>
                <w:tab w:val="left" w:pos="2268"/>
              </w:tabs>
              <w:jc w:val="center"/>
              <w:rPr>
                <w:rFonts w:cs="Arial"/>
              </w:rPr>
            </w:pPr>
            <w:r>
              <w:rPr>
                <w:rFonts w:cs="Arial"/>
              </w:rPr>
              <w:t>–</w:t>
            </w:r>
          </w:p>
        </w:tc>
        <w:tc>
          <w:tcPr>
            <w:tcW w:w="2097" w:type="dxa"/>
          </w:tcPr>
          <w:p>
            <w:pPr>
              <w:pStyle w:val="GesAbsatz"/>
              <w:tabs>
                <w:tab w:val="left" w:pos="2268"/>
              </w:tabs>
              <w:jc w:val="center"/>
              <w:rPr>
                <w:rFonts w:cs="Arial"/>
              </w:rPr>
            </w:pPr>
            <w:r>
              <w:rPr>
                <w:rFonts w:cs="Arial"/>
              </w:rPr>
              <w:t>0,2</w:t>
            </w:r>
          </w:p>
        </w:tc>
      </w:tr>
      <w:tr>
        <w:trPr>
          <w:trHeight w:val="312"/>
        </w:trPr>
        <w:tc>
          <w:tcPr>
            <w:tcW w:w="2147" w:type="dxa"/>
          </w:tcPr>
          <w:p>
            <w:pPr>
              <w:pStyle w:val="GesAbsatz"/>
              <w:tabs>
                <w:tab w:val="left" w:pos="2268"/>
              </w:tabs>
              <w:rPr>
                <w:rFonts w:cs="Arial"/>
              </w:rPr>
            </w:pPr>
          </w:p>
        </w:tc>
        <w:tc>
          <w:tcPr>
            <w:tcW w:w="2694" w:type="dxa"/>
          </w:tcPr>
          <w:p>
            <w:pPr>
              <w:pStyle w:val="GesAbsatz"/>
              <w:tabs>
                <w:tab w:val="left" w:pos="2268"/>
              </w:tabs>
              <w:jc w:val="center"/>
              <w:rPr>
                <w:rFonts w:cs="Arial"/>
              </w:rPr>
            </w:pPr>
          </w:p>
        </w:tc>
        <w:tc>
          <w:tcPr>
            <w:tcW w:w="4506" w:type="dxa"/>
            <w:gridSpan w:val="2"/>
          </w:tcPr>
          <w:p>
            <w:pPr>
              <w:pStyle w:val="GesAbsatz"/>
              <w:tabs>
                <w:tab w:val="left" w:pos="2268"/>
              </w:tabs>
              <w:jc w:val="center"/>
              <w:rPr>
                <w:rFonts w:cs="Arial"/>
              </w:rPr>
            </w:pPr>
            <w:r>
              <w:rPr>
                <w:rFonts w:cs="Arial"/>
              </w:rPr>
              <w:t>[ng WHO-TEQ/kg TM]</w:t>
            </w:r>
          </w:p>
        </w:tc>
      </w:tr>
      <w:tr>
        <w:trPr>
          <w:trHeight w:val="312"/>
        </w:trPr>
        <w:tc>
          <w:tcPr>
            <w:tcW w:w="2147" w:type="dxa"/>
          </w:tcPr>
          <w:p>
            <w:pPr>
              <w:pStyle w:val="GesAbsatz"/>
              <w:tabs>
                <w:tab w:val="left" w:pos="2268"/>
              </w:tabs>
              <w:rPr>
                <w:rFonts w:cs="Arial"/>
              </w:rPr>
            </w:pPr>
            <w:r>
              <w:rPr>
                <w:rFonts w:cs="Arial"/>
              </w:rPr>
              <w:t>PCDD/F</w:t>
            </w:r>
            <w:r>
              <w:rPr>
                <w:rFonts w:cs="Arial"/>
                <w:vertAlign w:val="superscript"/>
              </w:rPr>
              <w:t>3</w:t>
            </w:r>
          </w:p>
        </w:tc>
        <w:tc>
          <w:tcPr>
            <w:tcW w:w="2694" w:type="dxa"/>
          </w:tcPr>
          <w:p>
            <w:pPr>
              <w:pStyle w:val="GesAbsatz"/>
              <w:tabs>
                <w:tab w:val="left" w:pos="2268"/>
              </w:tabs>
              <w:jc w:val="center"/>
              <w:rPr>
                <w:rFonts w:cs="Arial"/>
              </w:rPr>
            </w:pPr>
            <w:r>
              <w:rPr>
                <w:rFonts w:cs="Arial"/>
              </w:rPr>
              <w:t>siehe Anlage 3 Tabelle 5</w:t>
            </w:r>
          </w:p>
        </w:tc>
        <w:tc>
          <w:tcPr>
            <w:tcW w:w="2409" w:type="dxa"/>
          </w:tcPr>
          <w:p>
            <w:pPr>
              <w:pStyle w:val="GesAbsatz"/>
              <w:tabs>
                <w:tab w:val="left" w:pos="2268"/>
              </w:tabs>
              <w:jc w:val="center"/>
              <w:rPr>
                <w:rFonts w:cs="Arial"/>
              </w:rPr>
            </w:pPr>
            <w:r>
              <w:rPr>
                <w:rFonts w:cs="Arial"/>
              </w:rPr>
              <w:t>15</w:t>
            </w:r>
          </w:p>
        </w:tc>
        <w:tc>
          <w:tcPr>
            <w:tcW w:w="2097" w:type="dxa"/>
          </w:tcPr>
          <w:p>
            <w:pPr>
              <w:pStyle w:val="GesAbsatz"/>
              <w:tabs>
                <w:tab w:val="left" w:pos="2268"/>
              </w:tabs>
              <w:jc w:val="center"/>
              <w:rPr>
                <w:rFonts w:cs="Arial"/>
              </w:rPr>
            </w:pPr>
            <w:r>
              <w:rPr>
                <w:rFonts w:cs="Arial"/>
              </w:rPr>
              <w:t>–</w:t>
            </w:r>
          </w:p>
        </w:tc>
      </w:tr>
    </w:tbl>
    <w:p>
      <w:pPr>
        <w:pStyle w:val="GesAbsatz"/>
        <w:tabs>
          <w:tab w:val="clear" w:pos="425"/>
          <w:tab w:val="left" w:pos="2268"/>
        </w:tabs>
        <w:ind w:left="426" w:hanging="426"/>
        <w:rPr>
          <w:rFonts w:cs="Arial"/>
        </w:rPr>
      </w:pPr>
      <w:r>
        <w:rPr>
          <w:rFonts w:cs="Arial"/>
        </w:rPr>
        <w:t>1</w:t>
      </w:r>
      <w:r>
        <w:rPr>
          <w:rFonts w:cs="Arial"/>
        </w:rPr>
        <w:tab/>
        <w:t>Bei Flächen mit pH-Werten unter pH 5 gilt ein Maßnahmenwert von 15 mg/kg.</w:t>
      </w:r>
    </w:p>
    <w:p>
      <w:pPr>
        <w:pStyle w:val="GesAbsatz"/>
        <w:tabs>
          <w:tab w:val="clear" w:pos="425"/>
          <w:tab w:val="left" w:pos="2268"/>
        </w:tabs>
        <w:ind w:left="426" w:hanging="426"/>
        <w:rPr>
          <w:rFonts w:cs="Arial"/>
        </w:rPr>
      </w:pPr>
      <w:r>
        <w:rPr>
          <w:rFonts w:cs="Arial"/>
        </w:rPr>
        <w:t>2</w:t>
      </w:r>
      <w:r>
        <w:rPr>
          <w:rFonts w:cs="Arial"/>
        </w:rPr>
        <w:tab/>
        <w:t>Bei Grünlandnutzung durch Schafe gilt ein Maßnahmenwert von 200 mg/kg.</w:t>
      </w:r>
    </w:p>
    <w:p>
      <w:pPr>
        <w:pStyle w:val="GesAbsatz"/>
        <w:tabs>
          <w:tab w:val="clear" w:pos="425"/>
          <w:tab w:val="left" w:pos="2268"/>
        </w:tabs>
        <w:ind w:left="426" w:hanging="426"/>
        <w:rPr>
          <w:rFonts w:cs="Arial"/>
        </w:rPr>
      </w:pPr>
      <w:r>
        <w:rPr>
          <w:rFonts w:cs="Arial"/>
        </w:rPr>
        <w:t>3</w:t>
      </w:r>
      <w:r>
        <w:rPr>
          <w:rFonts w:cs="Arial"/>
        </w:rPr>
        <w:tab/>
        <w:t>Summe der Dioxine, Furane (PCDD/F): polychlorierte Dibenzo-para-dioxine (PCDD) und polychlorierte Dibenzofurane (PCDF)) ausgedrückt in WHO-TEQ (2005).</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8: Prüfwerte für den Wirkungspfad Boden-Nutzpflanze auf Ackerflächen im Hinblick auf Wachstumsbeeinträchtigungen bei Kulturpflanzen</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679"/>
        <w:gridCol w:w="2832"/>
        <w:gridCol w:w="2837"/>
      </w:tblGrid>
      <w:tr>
        <w:trPr>
          <w:trHeight w:val="332"/>
        </w:trPr>
        <w:tc>
          <w:tcPr>
            <w:tcW w:w="3679" w:type="dxa"/>
          </w:tcPr>
          <w:p>
            <w:pPr>
              <w:pStyle w:val="GesAbsatz"/>
              <w:tabs>
                <w:tab w:val="left" w:pos="2268"/>
              </w:tabs>
              <w:jc w:val="center"/>
              <w:rPr>
                <w:rFonts w:cs="Arial"/>
              </w:rPr>
            </w:pPr>
            <w:r>
              <w:rPr>
                <w:rFonts w:cs="Arial"/>
              </w:rPr>
              <w:t>Stoff</w:t>
            </w:r>
          </w:p>
        </w:tc>
        <w:tc>
          <w:tcPr>
            <w:tcW w:w="2832" w:type="dxa"/>
          </w:tcPr>
          <w:p>
            <w:pPr>
              <w:pStyle w:val="GesAbsatz"/>
              <w:tabs>
                <w:tab w:val="left" w:pos="2268"/>
              </w:tabs>
              <w:jc w:val="center"/>
              <w:rPr>
                <w:rFonts w:cs="Arial"/>
              </w:rPr>
            </w:pPr>
            <w:r>
              <w:rPr>
                <w:rFonts w:cs="Arial"/>
              </w:rPr>
              <w:t>Extraktionsverfahren</w:t>
            </w:r>
          </w:p>
        </w:tc>
        <w:tc>
          <w:tcPr>
            <w:tcW w:w="2837" w:type="dxa"/>
          </w:tcPr>
          <w:p>
            <w:pPr>
              <w:pStyle w:val="GesAbsatz"/>
              <w:tabs>
                <w:tab w:val="left" w:pos="2268"/>
              </w:tabs>
              <w:jc w:val="center"/>
              <w:rPr>
                <w:rFonts w:cs="Arial"/>
              </w:rPr>
            </w:pPr>
            <w:r>
              <w:rPr>
                <w:rFonts w:cs="Arial"/>
              </w:rPr>
              <w:t>Prüfwert</w:t>
            </w:r>
          </w:p>
        </w:tc>
      </w:tr>
      <w:tr>
        <w:trPr>
          <w:trHeight w:val="332"/>
        </w:trPr>
        <w:tc>
          <w:tcPr>
            <w:tcW w:w="3679" w:type="dxa"/>
          </w:tcPr>
          <w:p>
            <w:pPr>
              <w:pStyle w:val="GesAbsatz"/>
              <w:tabs>
                <w:tab w:val="left" w:pos="2268"/>
              </w:tabs>
              <w:rPr>
                <w:rFonts w:cs="Arial"/>
              </w:rPr>
            </w:pPr>
          </w:p>
        </w:tc>
        <w:tc>
          <w:tcPr>
            <w:tcW w:w="2832" w:type="dxa"/>
          </w:tcPr>
          <w:p>
            <w:pPr>
              <w:pStyle w:val="GesAbsatz"/>
              <w:tabs>
                <w:tab w:val="left" w:pos="2268"/>
              </w:tabs>
              <w:jc w:val="center"/>
              <w:rPr>
                <w:rFonts w:cs="Arial"/>
              </w:rPr>
            </w:pPr>
          </w:p>
        </w:tc>
        <w:tc>
          <w:tcPr>
            <w:tcW w:w="2837" w:type="dxa"/>
          </w:tcPr>
          <w:p>
            <w:pPr>
              <w:pStyle w:val="GesAbsatz"/>
              <w:tabs>
                <w:tab w:val="left" w:pos="2268"/>
              </w:tabs>
              <w:jc w:val="center"/>
              <w:rPr>
                <w:rFonts w:cs="Arial"/>
              </w:rPr>
            </w:pPr>
            <w:r>
              <w:rPr>
                <w:rFonts w:cs="Arial"/>
              </w:rPr>
              <w:t>[mg/kg TM]</w:t>
            </w:r>
          </w:p>
        </w:tc>
      </w:tr>
      <w:tr>
        <w:trPr>
          <w:trHeight w:val="312"/>
        </w:trPr>
        <w:tc>
          <w:tcPr>
            <w:tcW w:w="3679" w:type="dxa"/>
          </w:tcPr>
          <w:p>
            <w:pPr>
              <w:pStyle w:val="GesAbsatz"/>
              <w:tabs>
                <w:tab w:val="left" w:pos="2268"/>
              </w:tabs>
              <w:rPr>
                <w:rFonts w:cs="Arial"/>
              </w:rPr>
            </w:pPr>
            <w:r>
              <w:rPr>
                <w:rFonts w:cs="Arial"/>
              </w:rPr>
              <w:t>Arsen</w:t>
            </w:r>
          </w:p>
        </w:tc>
        <w:tc>
          <w:tcPr>
            <w:tcW w:w="2832" w:type="dxa"/>
          </w:tcPr>
          <w:p>
            <w:pPr>
              <w:pStyle w:val="GesAbsatz"/>
              <w:tabs>
                <w:tab w:val="left" w:pos="2268"/>
              </w:tabs>
              <w:jc w:val="center"/>
              <w:rPr>
                <w:rFonts w:cs="Arial"/>
              </w:rPr>
            </w:pPr>
            <w:r>
              <w:rPr>
                <w:rFonts w:cs="Arial"/>
              </w:rPr>
              <w:t>Ammoniumnitrat (AN)</w:t>
            </w:r>
          </w:p>
        </w:tc>
        <w:tc>
          <w:tcPr>
            <w:tcW w:w="2837" w:type="dxa"/>
          </w:tcPr>
          <w:p>
            <w:pPr>
              <w:pStyle w:val="GesAbsatz"/>
              <w:tabs>
                <w:tab w:val="left" w:pos="2268"/>
              </w:tabs>
              <w:jc w:val="center"/>
              <w:rPr>
                <w:rFonts w:cs="Arial"/>
              </w:rPr>
            </w:pPr>
            <w:r>
              <w:rPr>
                <w:rFonts w:cs="Arial"/>
              </w:rPr>
              <w:t>0,4</w:t>
            </w:r>
          </w:p>
        </w:tc>
      </w:tr>
      <w:tr>
        <w:trPr>
          <w:trHeight w:val="312"/>
        </w:trPr>
        <w:tc>
          <w:tcPr>
            <w:tcW w:w="3679" w:type="dxa"/>
          </w:tcPr>
          <w:p>
            <w:pPr>
              <w:pStyle w:val="GesAbsatz"/>
              <w:tabs>
                <w:tab w:val="left" w:pos="2268"/>
              </w:tabs>
              <w:rPr>
                <w:rFonts w:cs="Arial"/>
              </w:rPr>
            </w:pPr>
            <w:r>
              <w:rPr>
                <w:rFonts w:cs="Arial"/>
              </w:rPr>
              <w:t>Kupfer</w:t>
            </w:r>
          </w:p>
        </w:tc>
        <w:tc>
          <w:tcPr>
            <w:tcW w:w="2832" w:type="dxa"/>
          </w:tcPr>
          <w:p>
            <w:pPr>
              <w:pStyle w:val="GesAbsatz"/>
              <w:tabs>
                <w:tab w:val="left" w:pos="2268"/>
              </w:tabs>
              <w:jc w:val="center"/>
              <w:rPr>
                <w:rFonts w:cs="Arial"/>
              </w:rPr>
            </w:pPr>
            <w:r>
              <w:rPr>
                <w:rFonts w:cs="Arial"/>
              </w:rPr>
              <w:t>AN</w:t>
            </w:r>
          </w:p>
        </w:tc>
        <w:tc>
          <w:tcPr>
            <w:tcW w:w="2837" w:type="dxa"/>
          </w:tcPr>
          <w:p>
            <w:pPr>
              <w:pStyle w:val="GesAbsatz"/>
              <w:tabs>
                <w:tab w:val="left" w:pos="2268"/>
              </w:tabs>
              <w:jc w:val="center"/>
              <w:rPr>
                <w:rFonts w:cs="Arial"/>
              </w:rPr>
            </w:pPr>
            <w:r>
              <w:rPr>
                <w:rFonts w:cs="Arial"/>
              </w:rPr>
              <w:t>1</w:t>
            </w:r>
          </w:p>
        </w:tc>
      </w:tr>
      <w:tr>
        <w:trPr>
          <w:trHeight w:val="312"/>
        </w:trPr>
        <w:tc>
          <w:tcPr>
            <w:tcW w:w="3679" w:type="dxa"/>
          </w:tcPr>
          <w:p>
            <w:pPr>
              <w:pStyle w:val="GesAbsatz"/>
              <w:tabs>
                <w:tab w:val="left" w:pos="2268"/>
              </w:tabs>
              <w:rPr>
                <w:rFonts w:cs="Arial"/>
              </w:rPr>
            </w:pPr>
            <w:r>
              <w:rPr>
                <w:rFonts w:cs="Arial"/>
              </w:rPr>
              <w:t>Nickel</w:t>
            </w:r>
          </w:p>
        </w:tc>
        <w:tc>
          <w:tcPr>
            <w:tcW w:w="2832" w:type="dxa"/>
          </w:tcPr>
          <w:p>
            <w:pPr>
              <w:pStyle w:val="GesAbsatz"/>
              <w:tabs>
                <w:tab w:val="left" w:pos="2268"/>
              </w:tabs>
              <w:jc w:val="center"/>
              <w:rPr>
                <w:rFonts w:cs="Arial"/>
              </w:rPr>
            </w:pPr>
            <w:r>
              <w:rPr>
                <w:rFonts w:cs="Arial"/>
              </w:rPr>
              <w:t>AN</w:t>
            </w:r>
          </w:p>
        </w:tc>
        <w:tc>
          <w:tcPr>
            <w:tcW w:w="2837" w:type="dxa"/>
          </w:tcPr>
          <w:p>
            <w:pPr>
              <w:pStyle w:val="GesAbsatz"/>
              <w:tabs>
                <w:tab w:val="left" w:pos="2268"/>
              </w:tabs>
              <w:jc w:val="center"/>
              <w:rPr>
                <w:rFonts w:cs="Arial"/>
              </w:rPr>
            </w:pPr>
            <w:r>
              <w:rPr>
                <w:rFonts w:cs="Arial"/>
              </w:rPr>
              <w:t>1,5</w:t>
            </w:r>
          </w:p>
        </w:tc>
      </w:tr>
      <w:tr>
        <w:trPr>
          <w:trHeight w:val="312"/>
        </w:trPr>
        <w:tc>
          <w:tcPr>
            <w:tcW w:w="3679" w:type="dxa"/>
          </w:tcPr>
          <w:p>
            <w:pPr>
              <w:pStyle w:val="GesAbsatz"/>
              <w:tabs>
                <w:tab w:val="left" w:pos="2268"/>
              </w:tabs>
              <w:rPr>
                <w:rFonts w:cs="Arial"/>
              </w:rPr>
            </w:pPr>
            <w:r>
              <w:rPr>
                <w:rFonts w:cs="Arial"/>
              </w:rPr>
              <w:lastRenderedPageBreak/>
              <w:t>Zink</w:t>
            </w:r>
          </w:p>
        </w:tc>
        <w:tc>
          <w:tcPr>
            <w:tcW w:w="2832" w:type="dxa"/>
          </w:tcPr>
          <w:p>
            <w:pPr>
              <w:pStyle w:val="GesAbsatz"/>
              <w:tabs>
                <w:tab w:val="left" w:pos="2268"/>
              </w:tabs>
              <w:jc w:val="center"/>
              <w:rPr>
                <w:rFonts w:cs="Arial"/>
              </w:rPr>
            </w:pPr>
            <w:r>
              <w:rPr>
                <w:rFonts w:cs="Arial"/>
              </w:rPr>
              <w:t>AN</w:t>
            </w:r>
          </w:p>
        </w:tc>
        <w:tc>
          <w:tcPr>
            <w:tcW w:w="2837" w:type="dxa"/>
          </w:tcPr>
          <w:p>
            <w:pPr>
              <w:pStyle w:val="GesAbsatz"/>
              <w:tabs>
                <w:tab w:val="left" w:pos="2268"/>
              </w:tabs>
              <w:jc w:val="center"/>
              <w:rPr>
                <w:rFonts w:cs="Arial"/>
              </w:rPr>
            </w:pPr>
            <w:r>
              <w:rPr>
                <w:rFonts w:cs="Arial"/>
              </w:rPr>
              <w:t>2</w:t>
            </w:r>
          </w:p>
        </w:tc>
      </w:tr>
    </w:tbl>
    <w:p>
      <w:pPr>
        <w:pStyle w:val="GesAbsatz"/>
        <w:tabs>
          <w:tab w:val="clear" w:pos="425"/>
          <w:tab w:val="left" w:pos="2268"/>
        </w:tabs>
        <w:rPr>
          <w:rFonts w:cs="Arial"/>
        </w:rPr>
      </w:pPr>
    </w:p>
    <w:p>
      <w:pPr>
        <w:pStyle w:val="GesAbsatz"/>
        <w:tabs>
          <w:tab w:val="clear" w:pos="425"/>
          <w:tab w:val="left" w:pos="2268"/>
        </w:tabs>
        <w:rPr>
          <w:rFonts w:cs="Arial"/>
        </w:rPr>
      </w:pPr>
    </w:p>
    <w:p>
      <w:pPr>
        <w:pStyle w:val="berschrift2"/>
        <w:jc w:val="left"/>
      </w:pPr>
      <w:bookmarkStart w:id="39" w:name="_Toc128479856"/>
      <w:r>
        <w:t>Anlage 3</w:t>
      </w:r>
      <w:r>
        <w:br/>
        <w:t>(zu § 6 Absatz 11 Satz 1, § 15 Absatz 1 Satz 2, § 19 Absatz 9, § 20 Absatz 1 Satz 3 und 4, § 24 Absatz 2 und 4 bis 10)</w:t>
      </w:r>
      <w:bookmarkEnd w:id="39"/>
    </w:p>
    <w:p>
      <w:pPr>
        <w:pStyle w:val="GesAbsatz"/>
        <w:tabs>
          <w:tab w:val="clear" w:pos="425"/>
          <w:tab w:val="left" w:pos="2268"/>
        </w:tabs>
        <w:rPr>
          <w:rFonts w:cs="Arial"/>
        </w:rPr>
      </w:pPr>
    </w:p>
    <w:p>
      <w:pPr>
        <w:pStyle w:val="GesAbsatz"/>
        <w:tabs>
          <w:tab w:val="clear" w:pos="425"/>
          <w:tab w:val="left" w:pos="2268"/>
        </w:tabs>
        <w:jc w:val="center"/>
        <w:rPr>
          <w:rFonts w:cs="Arial"/>
          <w:b/>
        </w:rPr>
      </w:pPr>
      <w:r>
        <w:rPr>
          <w:rFonts w:cs="Arial"/>
          <w:b/>
        </w:rPr>
        <w:t>Untersuchungsverfahren</w:t>
      </w:r>
    </w:p>
    <w:p>
      <w:pPr>
        <w:pStyle w:val="GesAbsatz"/>
        <w:tabs>
          <w:tab w:val="clear" w:pos="425"/>
          <w:tab w:val="left" w:pos="2268"/>
        </w:tabs>
        <w:rPr>
          <w:rFonts w:cs="Arial"/>
        </w:rPr>
      </w:pPr>
      <w:r>
        <w:rPr>
          <w:rFonts w:cs="Arial"/>
        </w:rPr>
        <w:t>Tabelle 1: Verfahren zur Bestimmung der physikalisch-chemischen Eigenschaften</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281"/>
        <w:gridCol w:w="2949"/>
        <w:gridCol w:w="3120"/>
      </w:tblGrid>
      <w:tr>
        <w:trPr>
          <w:trHeight w:val="332"/>
        </w:trPr>
        <w:tc>
          <w:tcPr>
            <w:tcW w:w="3281" w:type="dxa"/>
          </w:tcPr>
          <w:p>
            <w:pPr>
              <w:pStyle w:val="GesAbsatz"/>
              <w:tabs>
                <w:tab w:val="left" w:pos="2268"/>
              </w:tabs>
              <w:jc w:val="center"/>
              <w:rPr>
                <w:rFonts w:cs="Arial"/>
              </w:rPr>
            </w:pPr>
            <w:r>
              <w:rPr>
                <w:rFonts w:cs="Arial"/>
              </w:rPr>
              <w:t>Eigenschaft</w:t>
            </w:r>
          </w:p>
        </w:tc>
        <w:tc>
          <w:tcPr>
            <w:tcW w:w="2949" w:type="dxa"/>
          </w:tcPr>
          <w:p>
            <w:pPr>
              <w:pStyle w:val="GesAbsatz"/>
              <w:tabs>
                <w:tab w:val="left" w:pos="2268"/>
              </w:tabs>
              <w:jc w:val="center"/>
              <w:rPr>
                <w:rFonts w:cs="Arial"/>
              </w:rPr>
            </w:pPr>
            <w:r>
              <w:rPr>
                <w:rFonts w:cs="Arial"/>
              </w:rPr>
              <w:t>Methode</w:t>
            </w:r>
          </w:p>
        </w:tc>
        <w:tc>
          <w:tcPr>
            <w:tcW w:w="3120" w:type="dxa"/>
          </w:tcPr>
          <w:p>
            <w:pPr>
              <w:pStyle w:val="GesAbsatz"/>
              <w:tabs>
                <w:tab w:val="left" w:pos="2268"/>
              </w:tabs>
              <w:jc w:val="center"/>
              <w:rPr>
                <w:rFonts w:cs="Arial"/>
              </w:rPr>
            </w:pPr>
            <w:r>
              <w:rPr>
                <w:rFonts w:cs="Arial"/>
              </w:rPr>
              <w:t>Norm</w:t>
            </w:r>
          </w:p>
        </w:tc>
      </w:tr>
      <w:tr>
        <w:trPr>
          <w:trHeight w:val="511"/>
        </w:trPr>
        <w:tc>
          <w:tcPr>
            <w:tcW w:w="3281" w:type="dxa"/>
            <w:vMerge w:val="restart"/>
          </w:tcPr>
          <w:p>
            <w:pPr>
              <w:pStyle w:val="GesAbsatz"/>
              <w:tabs>
                <w:tab w:val="left" w:pos="2268"/>
              </w:tabs>
              <w:jc w:val="left"/>
              <w:rPr>
                <w:rFonts w:cs="Arial"/>
              </w:rPr>
            </w:pPr>
            <w:r>
              <w:rPr>
                <w:rFonts w:cs="Arial"/>
              </w:rPr>
              <w:t>Bestimmung der Trockenmasse</w:t>
            </w:r>
          </w:p>
        </w:tc>
        <w:tc>
          <w:tcPr>
            <w:tcW w:w="2949" w:type="dxa"/>
            <w:vMerge w:val="restart"/>
          </w:tcPr>
          <w:p>
            <w:pPr>
              <w:pStyle w:val="GesAbsatz"/>
              <w:tabs>
                <w:tab w:val="left" w:pos="2268"/>
              </w:tabs>
              <w:jc w:val="left"/>
              <w:rPr>
                <w:rFonts w:cs="Arial"/>
              </w:rPr>
            </w:pPr>
            <w:r>
              <w:rPr>
                <w:rFonts w:cs="Arial"/>
              </w:rPr>
              <w:t>feldfrische oder luftgetrocknete Bodenproben</w:t>
            </w:r>
          </w:p>
        </w:tc>
        <w:tc>
          <w:tcPr>
            <w:tcW w:w="3120" w:type="dxa"/>
          </w:tcPr>
          <w:p>
            <w:pPr>
              <w:pStyle w:val="GesAbsatz"/>
              <w:tabs>
                <w:tab w:val="left" w:pos="2268"/>
              </w:tabs>
              <w:jc w:val="left"/>
              <w:rPr>
                <w:rFonts w:cs="Arial"/>
              </w:rPr>
            </w:pPr>
            <w:r>
              <w:rPr>
                <w:rFonts w:cs="Arial"/>
              </w:rPr>
              <w:t>DIN EN 14346:2007-03</w:t>
            </w:r>
            <w:r>
              <w:rPr>
                <w:rFonts w:cs="Arial"/>
              </w:rPr>
              <w:br/>
              <w:t>Verfahren A</w:t>
            </w:r>
          </w:p>
        </w:tc>
      </w:tr>
      <w:tr>
        <w:trPr>
          <w:trHeight w:val="312"/>
        </w:trPr>
        <w:tc>
          <w:tcPr>
            <w:tcW w:w="3281" w:type="dxa"/>
            <w:vMerge/>
          </w:tcPr>
          <w:p>
            <w:pPr>
              <w:pStyle w:val="GesAbsatz"/>
              <w:tabs>
                <w:tab w:val="left" w:pos="2268"/>
              </w:tabs>
              <w:jc w:val="left"/>
              <w:rPr>
                <w:rFonts w:cs="Arial"/>
              </w:rPr>
            </w:pPr>
          </w:p>
        </w:tc>
        <w:tc>
          <w:tcPr>
            <w:tcW w:w="2949" w:type="dxa"/>
            <w:vMerge/>
          </w:tcPr>
          <w:p>
            <w:pPr>
              <w:pStyle w:val="GesAbsatz"/>
              <w:tabs>
                <w:tab w:val="left" w:pos="2268"/>
              </w:tabs>
              <w:jc w:val="left"/>
              <w:rPr>
                <w:rFonts w:cs="Arial"/>
              </w:rPr>
            </w:pPr>
          </w:p>
        </w:tc>
        <w:tc>
          <w:tcPr>
            <w:tcW w:w="3120" w:type="dxa"/>
          </w:tcPr>
          <w:p>
            <w:pPr>
              <w:pStyle w:val="GesAbsatz"/>
              <w:tabs>
                <w:tab w:val="left" w:pos="2268"/>
              </w:tabs>
              <w:jc w:val="left"/>
              <w:rPr>
                <w:rFonts w:cs="Arial"/>
              </w:rPr>
            </w:pPr>
            <w:r>
              <w:rPr>
                <w:rFonts w:cs="Arial"/>
              </w:rPr>
              <w:t>DIN EN 15934:2012-11</w:t>
            </w:r>
          </w:p>
        </w:tc>
      </w:tr>
      <w:tr>
        <w:trPr>
          <w:trHeight w:val="711"/>
        </w:trPr>
        <w:tc>
          <w:tcPr>
            <w:tcW w:w="3281" w:type="dxa"/>
          </w:tcPr>
          <w:p>
            <w:pPr>
              <w:pStyle w:val="GesAbsatz"/>
              <w:tabs>
                <w:tab w:val="left" w:pos="2268"/>
              </w:tabs>
              <w:jc w:val="left"/>
              <w:rPr>
                <w:rFonts w:cs="Arial"/>
              </w:rPr>
            </w:pPr>
            <w:r>
              <w:rPr>
                <w:rFonts w:cs="Arial"/>
              </w:rPr>
              <w:t>Organischer Kohlenstoff und Gesamtkohlenstoff nach trockener Verbrennung</w:t>
            </w:r>
          </w:p>
        </w:tc>
        <w:tc>
          <w:tcPr>
            <w:tcW w:w="2949" w:type="dxa"/>
          </w:tcPr>
          <w:p>
            <w:pPr>
              <w:pStyle w:val="GesAbsatz"/>
              <w:tabs>
                <w:tab w:val="left" w:pos="2268"/>
              </w:tabs>
              <w:jc w:val="left"/>
              <w:rPr>
                <w:rFonts w:cs="Arial"/>
              </w:rPr>
            </w:pPr>
            <w:r>
              <w:rPr>
                <w:rFonts w:cs="Arial"/>
              </w:rPr>
              <w:t>luftgetrocknete Bodenproben</w:t>
            </w:r>
          </w:p>
        </w:tc>
        <w:tc>
          <w:tcPr>
            <w:tcW w:w="3120" w:type="dxa"/>
          </w:tcPr>
          <w:p>
            <w:pPr>
              <w:pStyle w:val="GesAbsatz"/>
              <w:tabs>
                <w:tab w:val="left" w:pos="2268"/>
              </w:tabs>
              <w:jc w:val="left"/>
              <w:rPr>
                <w:rFonts w:cs="Arial"/>
              </w:rPr>
            </w:pPr>
            <w:r>
              <w:rPr>
                <w:rFonts w:cs="Arial"/>
              </w:rPr>
              <w:t>DIN EN 15936:2012-11</w:t>
            </w:r>
          </w:p>
          <w:p>
            <w:pPr>
              <w:pStyle w:val="GesAbsatz"/>
              <w:tabs>
                <w:tab w:val="left" w:pos="2268"/>
              </w:tabs>
              <w:jc w:val="left"/>
              <w:rPr>
                <w:rFonts w:cs="Arial"/>
              </w:rPr>
            </w:pPr>
            <w:r>
              <w:rPr>
                <w:rFonts w:cs="Arial"/>
              </w:rPr>
              <w:t>DIN 19539:2016-12</w:t>
            </w:r>
          </w:p>
        </w:tc>
      </w:tr>
      <w:tr>
        <w:trPr>
          <w:trHeight w:val="711"/>
        </w:trPr>
        <w:tc>
          <w:tcPr>
            <w:tcW w:w="3281" w:type="dxa"/>
          </w:tcPr>
          <w:p>
            <w:pPr>
              <w:pStyle w:val="GesAbsatz"/>
              <w:tabs>
                <w:tab w:val="left" w:pos="2268"/>
              </w:tabs>
              <w:jc w:val="left"/>
              <w:rPr>
                <w:rFonts w:cs="Arial"/>
              </w:rPr>
            </w:pPr>
            <w:r>
              <w:rPr>
                <w:rFonts w:cs="Arial"/>
              </w:rPr>
              <w:t>Organischer Kohlenstoff (TOC 400) nach trockener Verbrennung bis 400 °C</w:t>
            </w:r>
          </w:p>
        </w:tc>
        <w:tc>
          <w:tcPr>
            <w:tcW w:w="2949" w:type="dxa"/>
          </w:tcPr>
          <w:p>
            <w:pPr>
              <w:pStyle w:val="GesAbsatz"/>
              <w:tabs>
                <w:tab w:val="left" w:pos="2268"/>
              </w:tabs>
              <w:jc w:val="left"/>
              <w:rPr>
                <w:rFonts w:cs="Arial"/>
              </w:rPr>
            </w:pPr>
            <w:r>
              <w:rPr>
                <w:rFonts w:cs="Arial"/>
              </w:rPr>
              <w:t>luftgetrocknete Bodenproben</w:t>
            </w:r>
          </w:p>
        </w:tc>
        <w:tc>
          <w:tcPr>
            <w:tcW w:w="3120" w:type="dxa"/>
          </w:tcPr>
          <w:p>
            <w:pPr>
              <w:pStyle w:val="GesAbsatz"/>
              <w:tabs>
                <w:tab w:val="left" w:pos="2268"/>
              </w:tabs>
              <w:jc w:val="left"/>
              <w:rPr>
                <w:rFonts w:cs="Arial"/>
              </w:rPr>
            </w:pPr>
            <w:r>
              <w:rPr>
                <w:rFonts w:cs="Arial"/>
              </w:rPr>
              <w:t>DIN 19539:2016-12</w:t>
            </w:r>
          </w:p>
        </w:tc>
      </w:tr>
      <w:tr>
        <w:trPr>
          <w:trHeight w:val="981"/>
        </w:trPr>
        <w:tc>
          <w:tcPr>
            <w:tcW w:w="3281" w:type="dxa"/>
          </w:tcPr>
          <w:p>
            <w:pPr>
              <w:pStyle w:val="GesAbsatz"/>
              <w:tabs>
                <w:tab w:val="left" w:pos="2268"/>
              </w:tabs>
              <w:jc w:val="left"/>
              <w:rPr>
                <w:rFonts w:cs="Arial"/>
              </w:rPr>
            </w:pPr>
            <w:r>
              <w:rPr>
                <w:rFonts w:cs="Arial"/>
              </w:rPr>
              <w:t>pH-Wert (CaCl</w:t>
            </w:r>
            <w:r>
              <w:rPr>
                <w:rFonts w:cs="Arial"/>
                <w:vertAlign w:val="subscript"/>
              </w:rPr>
              <w:t>2</w:t>
            </w:r>
            <w:r>
              <w:rPr>
                <w:rFonts w:cs="Arial"/>
              </w:rPr>
              <w:t>)</w:t>
            </w:r>
          </w:p>
        </w:tc>
        <w:tc>
          <w:tcPr>
            <w:tcW w:w="2949" w:type="dxa"/>
          </w:tcPr>
          <w:p>
            <w:pPr>
              <w:pStyle w:val="GesAbsatz"/>
              <w:tabs>
                <w:tab w:val="left" w:pos="2268"/>
              </w:tabs>
              <w:jc w:val="left"/>
              <w:rPr>
                <w:rFonts w:cs="Arial"/>
              </w:rPr>
            </w:pPr>
            <w:r>
              <w:rPr>
                <w:rFonts w:cs="Arial"/>
              </w:rPr>
              <w:t>Suspension der feldfrischen oder luftgetrockneten Bodenprobe in CaCl</w:t>
            </w:r>
            <w:r>
              <w:rPr>
                <w:rFonts w:cs="Arial"/>
                <w:vertAlign w:val="subscript"/>
              </w:rPr>
              <w:t>2</w:t>
            </w:r>
            <w:r>
              <w:rPr>
                <w:rFonts w:cs="Arial"/>
              </w:rPr>
              <w:t>-Lösung;</w:t>
            </w:r>
          </w:p>
          <w:p>
            <w:pPr>
              <w:pStyle w:val="GesAbsatz"/>
              <w:tabs>
                <w:tab w:val="left" w:pos="2268"/>
              </w:tabs>
              <w:jc w:val="left"/>
              <w:rPr>
                <w:rFonts w:cs="Arial"/>
              </w:rPr>
            </w:pPr>
            <w:r>
              <w:rPr>
                <w:rFonts w:cs="Arial"/>
              </w:rPr>
              <w:t>Konzentration (CaCl</w:t>
            </w:r>
            <w:r>
              <w:rPr>
                <w:rFonts w:cs="Arial"/>
                <w:vertAlign w:val="subscript"/>
              </w:rPr>
              <w:t>2</w:t>
            </w:r>
            <w:r>
              <w:rPr>
                <w:rFonts w:cs="Arial"/>
              </w:rPr>
              <w:t>): 0,01 mol/l</w:t>
            </w:r>
          </w:p>
        </w:tc>
        <w:tc>
          <w:tcPr>
            <w:tcW w:w="3120" w:type="dxa"/>
          </w:tcPr>
          <w:p>
            <w:pPr>
              <w:pStyle w:val="GesAbsatz"/>
              <w:tabs>
                <w:tab w:val="left" w:pos="2268"/>
              </w:tabs>
              <w:jc w:val="left"/>
              <w:rPr>
                <w:rFonts w:cs="Arial"/>
              </w:rPr>
            </w:pPr>
            <w:r>
              <w:rPr>
                <w:rFonts w:cs="Arial"/>
              </w:rPr>
              <w:t>DIN EN 15933:2012-11</w:t>
            </w:r>
          </w:p>
        </w:tc>
      </w:tr>
      <w:tr>
        <w:trPr>
          <w:trHeight w:val="1365"/>
        </w:trPr>
        <w:tc>
          <w:tcPr>
            <w:tcW w:w="3281" w:type="dxa"/>
          </w:tcPr>
          <w:p>
            <w:pPr>
              <w:pStyle w:val="GesAbsatz"/>
              <w:tabs>
                <w:tab w:val="left" w:pos="2268"/>
              </w:tabs>
              <w:jc w:val="left"/>
              <w:rPr>
                <w:rFonts w:cs="Arial"/>
              </w:rPr>
            </w:pPr>
            <w:r>
              <w:rPr>
                <w:rFonts w:cs="Arial"/>
              </w:rPr>
              <w:t>Bodenart</w:t>
            </w:r>
          </w:p>
        </w:tc>
        <w:tc>
          <w:tcPr>
            <w:tcW w:w="2949" w:type="dxa"/>
          </w:tcPr>
          <w:p>
            <w:pPr>
              <w:pStyle w:val="GesAbsatz"/>
              <w:tabs>
                <w:tab w:val="left" w:pos="2268"/>
              </w:tabs>
              <w:jc w:val="left"/>
              <w:rPr>
                <w:rFonts w:cs="Arial"/>
              </w:rPr>
            </w:pPr>
            <w:r>
              <w:rPr>
                <w:rFonts w:cs="Arial"/>
              </w:rPr>
              <w:t>Fingerprobe im Gelände</w:t>
            </w:r>
          </w:p>
        </w:tc>
        <w:tc>
          <w:tcPr>
            <w:tcW w:w="3120" w:type="dxa"/>
          </w:tcPr>
          <w:p>
            <w:pPr>
              <w:pStyle w:val="GesAbsatz"/>
              <w:tabs>
                <w:tab w:val="left" w:pos="2268"/>
              </w:tabs>
              <w:jc w:val="left"/>
              <w:rPr>
                <w:rFonts w:cs="Arial"/>
              </w:rPr>
            </w:pPr>
            <w:r>
              <w:rPr>
                <w:rFonts w:cs="Arial"/>
              </w:rPr>
              <w:t>Bodenkundliche Kartieranleitung, 5. Auflage Hannover 2009 (KA 5);</w:t>
            </w:r>
          </w:p>
          <w:p>
            <w:pPr>
              <w:pStyle w:val="GesAbsatz"/>
              <w:tabs>
                <w:tab w:val="left" w:pos="2268"/>
              </w:tabs>
              <w:jc w:val="left"/>
              <w:rPr>
                <w:rFonts w:cs="Arial"/>
              </w:rPr>
            </w:pPr>
            <w:r>
              <w:rPr>
                <w:rFonts w:cs="Arial"/>
              </w:rPr>
              <w:t>Arbeitshilfe für die Bodenansprache im vor- und nachsorgenden Bodenschutz, Hannover 2009; DIN ISO 11277:2002-08</w:t>
            </w:r>
          </w:p>
        </w:tc>
      </w:tr>
      <w:tr>
        <w:trPr>
          <w:trHeight w:val="511"/>
        </w:trPr>
        <w:tc>
          <w:tcPr>
            <w:tcW w:w="3281" w:type="dxa"/>
            <w:vMerge w:val="restart"/>
          </w:tcPr>
          <w:p>
            <w:pPr>
              <w:pStyle w:val="GesAbsatz"/>
              <w:tabs>
                <w:tab w:val="left" w:pos="2268"/>
              </w:tabs>
              <w:jc w:val="left"/>
              <w:rPr>
                <w:rFonts w:cs="Arial"/>
              </w:rPr>
            </w:pPr>
            <w:r>
              <w:rPr>
                <w:rFonts w:cs="Arial"/>
              </w:rPr>
              <w:t>Korngrößenverteilung/Bodenart</w:t>
            </w:r>
          </w:p>
        </w:tc>
        <w:tc>
          <w:tcPr>
            <w:tcW w:w="2949" w:type="dxa"/>
          </w:tcPr>
          <w:p>
            <w:pPr>
              <w:pStyle w:val="GesAbsatz"/>
              <w:tabs>
                <w:tab w:val="left" w:pos="2268"/>
              </w:tabs>
              <w:jc w:val="left"/>
              <w:rPr>
                <w:rFonts w:cs="Arial"/>
              </w:rPr>
            </w:pPr>
            <w:r>
              <w:rPr>
                <w:rFonts w:cs="Arial"/>
              </w:rPr>
              <w:t xml:space="preserve">Siebung, Dispergierung, </w:t>
            </w:r>
            <w:r>
              <w:rPr>
                <w:rFonts w:cs="Arial"/>
              </w:rPr>
              <w:br/>
              <w:t>Pipett-Analyse</w:t>
            </w:r>
          </w:p>
        </w:tc>
        <w:tc>
          <w:tcPr>
            <w:tcW w:w="3120" w:type="dxa"/>
          </w:tcPr>
          <w:p>
            <w:pPr>
              <w:pStyle w:val="GesAbsatz"/>
              <w:tabs>
                <w:tab w:val="left" w:pos="2268"/>
              </w:tabs>
              <w:jc w:val="left"/>
              <w:rPr>
                <w:rFonts w:cs="Arial"/>
              </w:rPr>
            </w:pPr>
            <w:r>
              <w:rPr>
                <w:rFonts w:cs="Arial"/>
              </w:rPr>
              <w:t>DIN ISO 11277:2002-08</w:t>
            </w:r>
          </w:p>
        </w:tc>
      </w:tr>
      <w:tr>
        <w:trPr>
          <w:trHeight w:val="582"/>
        </w:trPr>
        <w:tc>
          <w:tcPr>
            <w:tcW w:w="3281" w:type="dxa"/>
            <w:vMerge/>
          </w:tcPr>
          <w:p>
            <w:pPr>
              <w:pStyle w:val="GesAbsatz"/>
              <w:tabs>
                <w:tab w:val="left" w:pos="2268"/>
              </w:tabs>
              <w:jc w:val="left"/>
              <w:rPr>
                <w:rFonts w:cs="Arial"/>
              </w:rPr>
            </w:pPr>
          </w:p>
        </w:tc>
        <w:tc>
          <w:tcPr>
            <w:tcW w:w="2949" w:type="dxa"/>
          </w:tcPr>
          <w:p>
            <w:pPr>
              <w:pStyle w:val="GesAbsatz"/>
              <w:tabs>
                <w:tab w:val="left" w:pos="2268"/>
              </w:tabs>
              <w:jc w:val="left"/>
              <w:rPr>
                <w:rFonts w:cs="Arial"/>
              </w:rPr>
            </w:pPr>
            <w:r>
              <w:rPr>
                <w:rFonts w:cs="Arial"/>
              </w:rPr>
              <w:t xml:space="preserve">Siebung, Dispergierung, </w:t>
            </w:r>
            <w:r>
              <w:rPr>
                <w:rFonts w:cs="Arial"/>
              </w:rPr>
              <w:br/>
              <w:t>Aräometermethode</w:t>
            </w:r>
          </w:p>
        </w:tc>
        <w:tc>
          <w:tcPr>
            <w:tcW w:w="3120" w:type="dxa"/>
          </w:tcPr>
          <w:p>
            <w:pPr>
              <w:pStyle w:val="GesAbsatz"/>
              <w:tabs>
                <w:tab w:val="left" w:pos="2268"/>
              </w:tabs>
              <w:jc w:val="left"/>
              <w:rPr>
                <w:rFonts w:cs="Arial"/>
              </w:rPr>
            </w:pPr>
            <w:r>
              <w:rPr>
                <w:rFonts w:cs="Arial"/>
              </w:rPr>
              <w:t>DIN ISO 11277:2002-08</w:t>
            </w:r>
          </w:p>
          <w:p>
            <w:pPr>
              <w:pStyle w:val="GesAbsatz"/>
              <w:tabs>
                <w:tab w:val="left" w:pos="2268"/>
              </w:tabs>
              <w:jc w:val="left"/>
              <w:rPr>
                <w:rFonts w:cs="Arial"/>
              </w:rPr>
            </w:pPr>
            <w:r>
              <w:rPr>
                <w:rFonts w:cs="Arial"/>
              </w:rPr>
              <w:t>DIN EN ISO 17892-4:2017-04</w:t>
            </w:r>
          </w:p>
        </w:tc>
      </w:tr>
      <w:tr>
        <w:trPr>
          <w:trHeight w:val="711"/>
        </w:trPr>
        <w:tc>
          <w:tcPr>
            <w:tcW w:w="3281" w:type="dxa"/>
          </w:tcPr>
          <w:p>
            <w:pPr>
              <w:pStyle w:val="GesAbsatz"/>
              <w:tabs>
                <w:tab w:val="left" w:pos="2268"/>
              </w:tabs>
              <w:jc w:val="left"/>
              <w:rPr>
                <w:rFonts w:cs="Arial"/>
              </w:rPr>
            </w:pPr>
            <w:r>
              <w:rPr>
                <w:rFonts w:cs="Arial"/>
              </w:rPr>
              <w:t>Rohdichte</w:t>
            </w:r>
          </w:p>
        </w:tc>
        <w:tc>
          <w:tcPr>
            <w:tcW w:w="2949" w:type="dxa"/>
          </w:tcPr>
          <w:p>
            <w:pPr>
              <w:pStyle w:val="GesAbsatz"/>
              <w:tabs>
                <w:tab w:val="left" w:pos="2268"/>
              </w:tabs>
              <w:jc w:val="left"/>
              <w:rPr>
                <w:rFonts w:cs="Arial"/>
              </w:rPr>
            </w:pPr>
            <w:r>
              <w:rPr>
                <w:rFonts w:cs="Arial"/>
              </w:rPr>
              <w:t>Trocknung einer volumengerecht entnommenen Bodenprobe bei 105 °C, rückwiegen</w:t>
            </w:r>
          </w:p>
        </w:tc>
        <w:tc>
          <w:tcPr>
            <w:tcW w:w="3120" w:type="dxa"/>
          </w:tcPr>
          <w:p>
            <w:pPr>
              <w:pStyle w:val="GesAbsatz"/>
              <w:tabs>
                <w:tab w:val="left" w:pos="2268"/>
              </w:tabs>
              <w:jc w:val="left"/>
              <w:rPr>
                <w:rFonts w:cs="Arial"/>
              </w:rPr>
            </w:pPr>
            <w:r>
              <w:rPr>
                <w:rFonts w:cs="Arial"/>
              </w:rPr>
              <w:t>DIN EN ISO 11272:2017-07</w:t>
            </w:r>
          </w:p>
        </w:tc>
      </w:tr>
    </w:tbl>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2: Verfahren zur Herstellung von Eluaten mit Wasser</w:t>
      </w:r>
    </w:p>
    <w:tbl>
      <w:tblPr>
        <w:tblW w:w="0" w:type="auto"/>
        <w:tblInd w:w="116"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565"/>
        <w:gridCol w:w="3402"/>
        <w:gridCol w:w="2383"/>
      </w:tblGrid>
      <w:tr>
        <w:trPr>
          <w:trHeight w:val="332"/>
        </w:trPr>
        <w:tc>
          <w:tcPr>
            <w:tcW w:w="3565" w:type="dxa"/>
          </w:tcPr>
          <w:p>
            <w:pPr>
              <w:pStyle w:val="GesAbsatz"/>
              <w:tabs>
                <w:tab w:val="left" w:pos="2268"/>
              </w:tabs>
              <w:jc w:val="center"/>
              <w:rPr>
                <w:rFonts w:cs="Arial"/>
              </w:rPr>
            </w:pPr>
            <w:r>
              <w:rPr>
                <w:rFonts w:cs="Arial"/>
              </w:rPr>
              <w:t>Verfahren</w:t>
            </w:r>
          </w:p>
        </w:tc>
        <w:tc>
          <w:tcPr>
            <w:tcW w:w="3402" w:type="dxa"/>
          </w:tcPr>
          <w:p>
            <w:pPr>
              <w:pStyle w:val="GesAbsatz"/>
              <w:tabs>
                <w:tab w:val="left" w:pos="2268"/>
              </w:tabs>
              <w:jc w:val="center"/>
              <w:rPr>
                <w:rFonts w:cs="Arial"/>
              </w:rPr>
            </w:pPr>
            <w:r>
              <w:rPr>
                <w:rFonts w:cs="Arial"/>
              </w:rPr>
              <w:t>Verfahrenshinweise</w:t>
            </w:r>
          </w:p>
        </w:tc>
        <w:tc>
          <w:tcPr>
            <w:tcW w:w="2383" w:type="dxa"/>
          </w:tcPr>
          <w:p>
            <w:pPr>
              <w:pStyle w:val="GesAbsatz"/>
              <w:tabs>
                <w:tab w:val="left" w:pos="2268"/>
              </w:tabs>
              <w:jc w:val="center"/>
              <w:rPr>
                <w:rFonts w:cs="Arial"/>
              </w:rPr>
            </w:pPr>
            <w:r>
              <w:rPr>
                <w:rFonts w:cs="Arial"/>
              </w:rPr>
              <w:t>Norm</w:t>
            </w:r>
          </w:p>
        </w:tc>
      </w:tr>
      <w:tr>
        <w:trPr>
          <w:trHeight w:val="312"/>
        </w:trPr>
        <w:tc>
          <w:tcPr>
            <w:tcW w:w="9350" w:type="dxa"/>
            <w:gridSpan w:val="3"/>
          </w:tcPr>
          <w:p>
            <w:pPr>
              <w:pStyle w:val="GesAbsatz"/>
              <w:tabs>
                <w:tab w:val="left" w:pos="2268"/>
              </w:tabs>
              <w:rPr>
                <w:rFonts w:cs="Arial"/>
              </w:rPr>
            </w:pPr>
            <w:r>
              <w:rPr>
                <w:rFonts w:cs="Arial"/>
              </w:rPr>
              <w:t>Anorganische und organische Stoffe</w:t>
            </w:r>
          </w:p>
        </w:tc>
      </w:tr>
      <w:tr>
        <w:trPr>
          <w:trHeight w:val="868"/>
        </w:trPr>
        <w:tc>
          <w:tcPr>
            <w:tcW w:w="3565" w:type="dxa"/>
          </w:tcPr>
          <w:p>
            <w:pPr>
              <w:pStyle w:val="GesAbsatz"/>
              <w:tabs>
                <w:tab w:val="left" w:pos="2268"/>
              </w:tabs>
              <w:rPr>
                <w:rFonts w:cs="Arial"/>
              </w:rPr>
            </w:pPr>
            <w:r>
              <w:rPr>
                <w:rFonts w:cs="Arial"/>
              </w:rPr>
              <w:t>Elution mit Wasser durch Schüttelverfahren oder Säulenschnellverfahren</w:t>
            </w:r>
          </w:p>
        </w:tc>
        <w:tc>
          <w:tcPr>
            <w:tcW w:w="3402" w:type="dxa"/>
          </w:tcPr>
          <w:p>
            <w:pPr>
              <w:pStyle w:val="GesAbsatz"/>
              <w:tabs>
                <w:tab w:val="left" w:pos="2268"/>
              </w:tabs>
              <w:rPr>
                <w:rFonts w:cs="Arial"/>
              </w:rPr>
            </w:pPr>
            <w:r>
              <w:rPr>
                <w:rFonts w:cs="Arial"/>
              </w:rPr>
              <w:t>Flüssigkeits-Feststoffverhältnis 2:1</w:t>
            </w:r>
          </w:p>
        </w:tc>
        <w:tc>
          <w:tcPr>
            <w:tcW w:w="2383" w:type="dxa"/>
          </w:tcPr>
          <w:p>
            <w:pPr>
              <w:pStyle w:val="GesAbsatz"/>
              <w:tabs>
                <w:tab w:val="left" w:pos="2268"/>
              </w:tabs>
              <w:rPr>
                <w:rFonts w:cs="Arial"/>
              </w:rPr>
            </w:pPr>
            <w:r>
              <w:rPr>
                <w:rFonts w:cs="Arial"/>
              </w:rPr>
              <w:t>DIN 19528:2009-01</w:t>
            </w:r>
          </w:p>
          <w:p>
            <w:pPr>
              <w:pStyle w:val="GesAbsatz"/>
              <w:tabs>
                <w:tab w:val="left" w:pos="2268"/>
              </w:tabs>
              <w:rPr>
                <w:rFonts w:cs="Arial"/>
              </w:rPr>
            </w:pPr>
            <w:r>
              <w:rPr>
                <w:rFonts w:cs="Arial"/>
              </w:rPr>
              <w:t>DIN 19529:2015-12</w:t>
            </w:r>
          </w:p>
        </w:tc>
      </w:tr>
    </w:tbl>
    <w:p>
      <w:pPr>
        <w:pStyle w:val="GesAbsatz"/>
        <w:tabs>
          <w:tab w:val="clear" w:pos="425"/>
          <w:tab w:val="left" w:pos="2268"/>
        </w:tabs>
        <w:rPr>
          <w:rFonts w:cs="Arial"/>
        </w:rPr>
      </w:pPr>
    </w:p>
    <w:p>
      <w:pPr>
        <w:pStyle w:val="GesAbsatz"/>
        <w:tabs>
          <w:tab w:val="clear" w:pos="425"/>
          <w:tab w:val="left" w:pos="2268"/>
        </w:tabs>
        <w:rPr>
          <w:rFonts w:cs="Arial"/>
        </w:rPr>
      </w:pPr>
      <w:r>
        <w:rPr>
          <w:rFonts w:cs="Arial"/>
        </w:rPr>
        <w:lastRenderedPageBreak/>
        <w:t>Tabelle 3: Nutzungsorientierte Beprobungstiefe bei Untersuchungen zu den Wirkungspfaden Boden- Mensch und Boden-Nutzpflanze</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550"/>
        <w:gridCol w:w="3679"/>
        <w:gridCol w:w="3119"/>
      </w:tblGrid>
      <w:tr>
        <w:trPr>
          <w:trHeight w:val="332"/>
        </w:trPr>
        <w:tc>
          <w:tcPr>
            <w:tcW w:w="2550" w:type="dxa"/>
          </w:tcPr>
          <w:p>
            <w:pPr>
              <w:pStyle w:val="GesAbsatz"/>
              <w:tabs>
                <w:tab w:val="left" w:pos="2268"/>
              </w:tabs>
              <w:jc w:val="center"/>
              <w:rPr>
                <w:rFonts w:cs="Arial"/>
              </w:rPr>
            </w:pPr>
            <w:r>
              <w:rPr>
                <w:rFonts w:cs="Arial"/>
              </w:rPr>
              <w:t>Wirkungspfad</w:t>
            </w:r>
          </w:p>
        </w:tc>
        <w:tc>
          <w:tcPr>
            <w:tcW w:w="3679" w:type="dxa"/>
          </w:tcPr>
          <w:p>
            <w:pPr>
              <w:pStyle w:val="GesAbsatz"/>
              <w:tabs>
                <w:tab w:val="left" w:pos="2268"/>
              </w:tabs>
              <w:jc w:val="center"/>
              <w:rPr>
                <w:rFonts w:cs="Arial"/>
              </w:rPr>
            </w:pPr>
            <w:r>
              <w:rPr>
                <w:rFonts w:cs="Arial"/>
              </w:rPr>
              <w:t>Nutzungsarten</w:t>
            </w:r>
          </w:p>
        </w:tc>
        <w:tc>
          <w:tcPr>
            <w:tcW w:w="3119" w:type="dxa"/>
          </w:tcPr>
          <w:p>
            <w:pPr>
              <w:pStyle w:val="GesAbsatz"/>
              <w:tabs>
                <w:tab w:val="left" w:pos="2268"/>
              </w:tabs>
              <w:jc w:val="center"/>
              <w:rPr>
                <w:rFonts w:cs="Arial"/>
              </w:rPr>
            </w:pPr>
            <w:r>
              <w:rPr>
                <w:rFonts w:cs="Arial"/>
              </w:rPr>
              <w:t>Beprobungstiefe</w:t>
            </w:r>
          </w:p>
        </w:tc>
      </w:tr>
      <w:tr>
        <w:trPr>
          <w:trHeight w:val="582"/>
        </w:trPr>
        <w:tc>
          <w:tcPr>
            <w:tcW w:w="2550" w:type="dxa"/>
            <w:vMerge w:val="restart"/>
          </w:tcPr>
          <w:p>
            <w:pPr>
              <w:pStyle w:val="GesAbsatz"/>
              <w:tabs>
                <w:tab w:val="left" w:pos="2268"/>
              </w:tabs>
              <w:rPr>
                <w:rFonts w:cs="Arial"/>
              </w:rPr>
            </w:pPr>
            <w:r>
              <w:rPr>
                <w:rFonts w:cs="Arial"/>
              </w:rPr>
              <w:t>Boden-Mensch</w:t>
            </w:r>
          </w:p>
        </w:tc>
        <w:tc>
          <w:tcPr>
            <w:tcW w:w="3679" w:type="dxa"/>
          </w:tcPr>
          <w:p>
            <w:pPr>
              <w:pStyle w:val="GesAbsatz"/>
              <w:tabs>
                <w:tab w:val="left" w:pos="2268"/>
              </w:tabs>
              <w:rPr>
                <w:rFonts w:cs="Arial"/>
              </w:rPr>
            </w:pPr>
            <w:r>
              <w:rPr>
                <w:rFonts w:cs="Arial"/>
              </w:rPr>
              <w:t>Kinderspielflächen, Wohngebiete</w:t>
            </w:r>
          </w:p>
        </w:tc>
        <w:tc>
          <w:tcPr>
            <w:tcW w:w="3119" w:type="dxa"/>
          </w:tcPr>
          <w:p>
            <w:pPr>
              <w:pStyle w:val="GesAbsatz"/>
              <w:tabs>
                <w:tab w:val="left" w:pos="2268"/>
              </w:tabs>
              <w:rPr>
                <w:rFonts w:cs="Arial"/>
              </w:rPr>
            </w:pPr>
            <w:r>
              <w:rPr>
                <w:rFonts w:cs="Arial"/>
              </w:rPr>
              <w:t>0 – 10 cm</w:t>
            </w:r>
            <w:r>
              <w:rPr>
                <w:rFonts w:cs="Arial"/>
                <w:vertAlign w:val="superscript"/>
              </w:rPr>
              <w:t>1</w:t>
            </w:r>
          </w:p>
          <w:p>
            <w:pPr>
              <w:pStyle w:val="GesAbsatz"/>
              <w:tabs>
                <w:tab w:val="left" w:pos="2268"/>
              </w:tabs>
              <w:rPr>
                <w:rFonts w:cs="Arial"/>
              </w:rPr>
            </w:pPr>
            <w:r>
              <w:rPr>
                <w:rFonts w:cs="Arial"/>
              </w:rPr>
              <w:t>10 – 30 cm</w:t>
            </w:r>
            <w:r>
              <w:rPr>
                <w:rFonts w:cs="Arial"/>
                <w:vertAlign w:val="superscript"/>
              </w:rPr>
              <w:t>2</w:t>
            </w:r>
          </w:p>
        </w:tc>
      </w:tr>
      <w:tr>
        <w:trPr>
          <w:trHeight w:val="31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Park- und Freizeitanlagen</w:t>
            </w:r>
          </w:p>
        </w:tc>
        <w:tc>
          <w:tcPr>
            <w:tcW w:w="3119" w:type="dxa"/>
          </w:tcPr>
          <w:p>
            <w:pPr>
              <w:pStyle w:val="GesAbsatz"/>
              <w:tabs>
                <w:tab w:val="left" w:pos="2268"/>
              </w:tabs>
              <w:rPr>
                <w:rFonts w:cs="Arial"/>
              </w:rPr>
            </w:pPr>
            <w:r>
              <w:rPr>
                <w:rFonts w:cs="Arial"/>
              </w:rPr>
              <w:t>0 – 10 cm</w:t>
            </w:r>
            <w:r>
              <w:rPr>
                <w:rFonts w:cs="Arial"/>
                <w:vertAlign w:val="superscript"/>
              </w:rPr>
              <w:t>1</w:t>
            </w:r>
          </w:p>
        </w:tc>
      </w:tr>
      <w:tr>
        <w:trPr>
          <w:trHeight w:val="31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Industrie- und Gewerbegrundstücke</w:t>
            </w:r>
          </w:p>
        </w:tc>
        <w:tc>
          <w:tcPr>
            <w:tcW w:w="3119" w:type="dxa"/>
          </w:tcPr>
          <w:p>
            <w:pPr>
              <w:pStyle w:val="GesAbsatz"/>
              <w:tabs>
                <w:tab w:val="left" w:pos="2268"/>
              </w:tabs>
              <w:rPr>
                <w:rFonts w:cs="Arial"/>
              </w:rPr>
            </w:pPr>
            <w:r>
              <w:rPr>
                <w:rFonts w:cs="Arial"/>
              </w:rPr>
              <w:t>0 – 10 cm</w:t>
            </w:r>
            <w:r>
              <w:rPr>
                <w:rFonts w:cs="Arial"/>
                <w:vertAlign w:val="superscript"/>
              </w:rPr>
              <w:t>1</w:t>
            </w:r>
          </w:p>
        </w:tc>
      </w:tr>
      <w:tr>
        <w:trPr>
          <w:trHeight w:val="582"/>
        </w:trPr>
        <w:tc>
          <w:tcPr>
            <w:tcW w:w="2550" w:type="dxa"/>
            <w:vMerge w:val="restart"/>
          </w:tcPr>
          <w:p>
            <w:pPr>
              <w:pStyle w:val="GesAbsatz"/>
              <w:tabs>
                <w:tab w:val="left" w:pos="2268"/>
              </w:tabs>
              <w:rPr>
                <w:rFonts w:cs="Arial"/>
              </w:rPr>
            </w:pPr>
            <w:r>
              <w:rPr>
                <w:rFonts w:cs="Arial"/>
              </w:rPr>
              <w:t>Boden-Nutzpflanze</w:t>
            </w:r>
          </w:p>
        </w:tc>
        <w:tc>
          <w:tcPr>
            <w:tcW w:w="3679" w:type="dxa"/>
          </w:tcPr>
          <w:p>
            <w:pPr>
              <w:pStyle w:val="GesAbsatz"/>
              <w:tabs>
                <w:tab w:val="left" w:pos="2268"/>
              </w:tabs>
              <w:rPr>
                <w:rFonts w:cs="Arial"/>
              </w:rPr>
            </w:pPr>
            <w:r>
              <w:rPr>
                <w:rFonts w:cs="Arial"/>
              </w:rPr>
              <w:t>Ackerflächen, Nutzgärten</w:t>
            </w:r>
          </w:p>
        </w:tc>
        <w:tc>
          <w:tcPr>
            <w:tcW w:w="3119" w:type="dxa"/>
          </w:tcPr>
          <w:p>
            <w:pPr>
              <w:pStyle w:val="GesAbsatz"/>
              <w:tabs>
                <w:tab w:val="left" w:pos="2268"/>
              </w:tabs>
              <w:rPr>
                <w:rFonts w:cs="Arial"/>
              </w:rPr>
            </w:pPr>
            <w:r>
              <w:rPr>
                <w:rFonts w:cs="Arial"/>
              </w:rPr>
              <w:t>0 – 30 cm</w:t>
            </w:r>
            <w:r>
              <w:rPr>
                <w:rFonts w:cs="Arial"/>
                <w:vertAlign w:val="superscript"/>
              </w:rPr>
              <w:t>3</w:t>
            </w:r>
          </w:p>
          <w:p>
            <w:pPr>
              <w:pStyle w:val="GesAbsatz"/>
              <w:tabs>
                <w:tab w:val="left" w:pos="2268"/>
              </w:tabs>
              <w:rPr>
                <w:rFonts w:cs="Arial"/>
              </w:rPr>
            </w:pPr>
            <w:r>
              <w:rPr>
                <w:rFonts w:cs="Arial"/>
              </w:rPr>
              <w:t>30 – 60 cm</w:t>
            </w:r>
          </w:p>
        </w:tc>
      </w:tr>
      <w:tr>
        <w:trPr>
          <w:trHeight w:val="58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Grünlandflächen</w:t>
            </w:r>
          </w:p>
        </w:tc>
        <w:tc>
          <w:tcPr>
            <w:tcW w:w="3119" w:type="dxa"/>
          </w:tcPr>
          <w:p>
            <w:pPr>
              <w:pStyle w:val="GesAbsatz"/>
              <w:tabs>
                <w:tab w:val="left" w:pos="2268"/>
              </w:tabs>
              <w:rPr>
                <w:rFonts w:cs="Arial"/>
              </w:rPr>
            </w:pPr>
            <w:r>
              <w:rPr>
                <w:rFonts w:cs="Arial"/>
              </w:rPr>
              <w:t>0 – 10 cm</w:t>
            </w:r>
            <w:r>
              <w:rPr>
                <w:rFonts w:cs="Arial"/>
                <w:vertAlign w:val="superscript"/>
              </w:rPr>
              <w:t>4</w:t>
            </w:r>
          </w:p>
          <w:p>
            <w:pPr>
              <w:pStyle w:val="GesAbsatz"/>
              <w:tabs>
                <w:tab w:val="left" w:pos="2268"/>
              </w:tabs>
              <w:rPr>
                <w:rFonts w:cs="Arial"/>
              </w:rPr>
            </w:pPr>
            <w:r>
              <w:rPr>
                <w:rFonts w:cs="Arial"/>
              </w:rPr>
              <w:t>10 – 30 cm</w:t>
            </w:r>
          </w:p>
        </w:tc>
      </w:tr>
    </w:tbl>
    <w:p>
      <w:pPr>
        <w:pStyle w:val="GesAbsatz"/>
        <w:tabs>
          <w:tab w:val="clear" w:pos="425"/>
          <w:tab w:val="left" w:pos="2268"/>
        </w:tabs>
        <w:ind w:left="426" w:hanging="426"/>
        <w:rPr>
          <w:rFonts w:cs="Arial"/>
          <w:sz w:val="18"/>
          <w:szCs w:val="18"/>
        </w:rPr>
      </w:pPr>
      <w:r>
        <w:rPr>
          <w:rFonts w:cs="Arial"/>
          <w:sz w:val="18"/>
          <w:szCs w:val="18"/>
        </w:rPr>
        <w:t>1</w:t>
      </w:r>
      <w:r>
        <w:rPr>
          <w:rFonts w:cs="Arial"/>
          <w:sz w:val="18"/>
          <w:szCs w:val="18"/>
        </w:rPr>
        <w:tab/>
        <w:t>Kontaktbereich für orale und dermale Schadstoffaufnahme, zusätzlich 0 – 2 cm bei Relevanz des inhalativen Aufnahmepfades.</w:t>
      </w:r>
    </w:p>
    <w:p>
      <w:pPr>
        <w:pStyle w:val="GesAbsatz"/>
        <w:tabs>
          <w:tab w:val="clear" w:pos="425"/>
          <w:tab w:val="left" w:pos="2268"/>
        </w:tabs>
        <w:ind w:left="426" w:hanging="426"/>
        <w:rPr>
          <w:rFonts w:cs="Arial"/>
          <w:sz w:val="18"/>
          <w:szCs w:val="18"/>
        </w:rPr>
      </w:pPr>
      <w:r>
        <w:rPr>
          <w:rFonts w:cs="Arial"/>
          <w:sz w:val="18"/>
          <w:szCs w:val="18"/>
        </w:rPr>
        <w:t>2</w:t>
      </w:r>
      <w:r>
        <w:rPr>
          <w:rFonts w:cs="Arial"/>
          <w:sz w:val="18"/>
          <w:szCs w:val="18"/>
        </w:rPr>
        <w:tab/>
        <w:t>30 cm durchschnittliche Mächtigkeit aufgebrachter Bodenschichten, zugleich von Kindern erreichbare Tiefe.</w:t>
      </w:r>
    </w:p>
    <w:p>
      <w:pPr>
        <w:pStyle w:val="GesAbsatz"/>
        <w:tabs>
          <w:tab w:val="clear" w:pos="425"/>
          <w:tab w:val="left" w:pos="2268"/>
        </w:tabs>
        <w:ind w:left="426" w:hanging="426"/>
        <w:rPr>
          <w:rFonts w:cs="Arial"/>
          <w:sz w:val="18"/>
          <w:szCs w:val="18"/>
        </w:rPr>
      </w:pPr>
      <w:r>
        <w:rPr>
          <w:rFonts w:cs="Arial"/>
          <w:sz w:val="18"/>
          <w:szCs w:val="18"/>
        </w:rPr>
        <w:t>3</w:t>
      </w:r>
      <w:r>
        <w:rPr>
          <w:rFonts w:cs="Arial"/>
          <w:sz w:val="18"/>
          <w:szCs w:val="18"/>
        </w:rPr>
        <w:tab/>
        <w:t>Bei abweichender Mächtigkeit des Bearbeitungshorizontes bis zur Untergrenze des Bearbeitungshorizontes.</w:t>
      </w:r>
    </w:p>
    <w:p>
      <w:pPr>
        <w:pStyle w:val="GesAbsatz"/>
        <w:tabs>
          <w:tab w:val="clear" w:pos="425"/>
          <w:tab w:val="left" w:pos="2268"/>
        </w:tabs>
        <w:ind w:left="426" w:hanging="426"/>
        <w:rPr>
          <w:rFonts w:cs="Arial"/>
          <w:sz w:val="18"/>
          <w:szCs w:val="18"/>
        </w:rPr>
      </w:pPr>
      <w:r>
        <w:rPr>
          <w:rFonts w:cs="Arial"/>
          <w:sz w:val="18"/>
          <w:szCs w:val="18"/>
        </w:rPr>
        <w:t>4</w:t>
      </w:r>
      <w:r>
        <w:rPr>
          <w:rFonts w:cs="Arial"/>
          <w:sz w:val="18"/>
          <w:szCs w:val="18"/>
        </w:rPr>
        <w:tab/>
        <w:t>Bei abweichender Mächtigkeit des Hauptwurzelbereiches bis zur Untergrenze des Hauptwurzelbereiches.</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4: Verfahren zur Bestimmung anorganischer Stoffgehalte</w:t>
      </w:r>
    </w:p>
    <w:tbl>
      <w:tblPr>
        <w:tblW w:w="0" w:type="auto"/>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550"/>
        <w:gridCol w:w="3679"/>
        <w:gridCol w:w="3119"/>
      </w:tblGrid>
      <w:tr>
        <w:trPr>
          <w:trHeight w:val="332"/>
        </w:trPr>
        <w:tc>
          <w:tcPr>
            <w:tcW w:w="2550" w:type="dxa"/>
          </w:tcPr>
          <w:p>
            <w:pPr>
              <w:pStyle w:val="GesAbsatz"/>
              <w:tabs>
                <w:tab w:val="left" w:pos="2268"/>
              </w:tabs>
              <w:jc w:val="center"/>
              <w:rPr>
                <w:rFonts w:cs="Arial"/>
              </w:rPr>
            </w:pPr>
            <w:r>
              <w:rPr>
                <w:rFonts w:cs="Arial"/>
              </w:rPr>
              <w:t>Stoff</w:t>
            </w:r>
          </w:p>
        </w:tc>
        <w:tc>
          <w:tcPr>
            <w:tcW w:w="3679" w:type="dxa"/>
          </w:tcPr>
          <w:p>
            <w:pPr>
              <w:pStyle w:val="GesAbsatz"/>
              <w:tabs>
                <w:tab w:val="left" w:pos="2268"/>
              </w:tabs>
              <w:jc w:val="center"/>
              <w:rPr>
                <w:rFonts w:cs="Arial"/>
              </w:rPr>
            </w:pPr>
            <w:r>
              <w:rPr>
                <w:rFonts w:cs="Arial"/>
              </w:rPr>
              <w:t>Methode</w:t>
            </w:r>
          </w:p>
        </w:tc>
        <w:tc>
          <w:tcPr>
            <w:tcW w:w="3119" w:type="dxa"/>
          </w:tcPr>
          <w:p>
            <w:pPr>
              <w:pStyle w:val="GesAbsatz"/>
              <w:tabs>
                <w:tab w:val="left" w:pos="2268"/>
              </w:tabs>
              <w:jc w:val="center"/>
              <w:rPr>
                <w:rFonts w:cs="Arial"/>
              </w:rPr>
            </w:pPr>
            <w:r>
              <w:rPr>
                <w:rFonts w:cs="Arial"/>
              </w:rPr>
              <w:t>Norm</w:t>
            </w:r>
          </w:p>
        </w:tc>
      </w:tr>
      <w:tr>
        <w:trPr>
          <w:trHeight w:val="511"/>
        </w:trPr>
        <w:tc>
          <w:tcPr>
            <w:tcW w:w="2550" w:type="dxa"/>
            <w:vMerge w:val="restart"/>
          </w:tcPr>
          <w:p>
            <w:pPr>
              <w:pStyle w:val="GesAbsatz"/>
              <w:tabs>
                <w:tab w:val="left" w:pos="2268"/>
              </w:tabs>
              <w:rPr>
                <w:rFonts w:cs="Arial"/>
              </w:rPr>
            </w:pPr>
            <w:r>
              <w:rPr>
                <w:rFonts w:cs="Arial"/>
              </w:rPr>
              <w:t>Antimon, Arsen, Blei, Cadmium, Chrom</w:t>
            </w:r>
            <w:r>
              <w:rPr>
                <w:rFonts w:cs="Arial"/>
                <w:vertAlign w:val="subscript"/>
              </w:rPr>
              <w:t>gesamt</w:t>
            </w:r>
            <w:r>
              <w:rPr>
                <w:rFonts w:cs="Arial"/>
              </w:rPr>
              <w:t>, Kobalt, Kupfer, Nickel, Molybdän, Selen, Thallium, Vanadium, Zink</w:t>
            </w:r>
          </w:p>
        </w:tc>
        <w:tc>
          <w:tcPr>
            <w:tcW w:w="3679" w:type="dxa"/>
          </w:tcPr>
          <w:p>
            <w:pPr>
              <w:pStyle w:val="GesAbsatz"/>
              <w:tabs>
                <w:tab w:val="left" w:pos="2268"/>
              </w:tabs>
              <w:rPr>
                <w:rFonts w:cs="Arial"/>
              </w:rPr>
            </w:pPr>
            <w:r>
              <w:rPr>
                <w:rFonts w:cs="Arial"/>
              </w:rPr>
              <w:t>ICP-Atomemissionsspektrometrie</w:t>
            </w:r>
            <w:r>
              <w:rPr>
                <w:rFonts w:cs="Arial"/>
              </w:rPr>
              <w:br/>
              <w:t>(ICP-AES/ICP-OES)</w:t>
            </w:r>
          </w:p>
        </w:tc>
        <w:tc>
          <w:tcPr>
            <w:tcW w:w="3119" w:type="dxa"/>
          </w:tcPr>
          <w:p>
            <w:pPr>
              <w:pStyle w:val="GesAbsatz"/>
              <w:tabs>
                <w:tab w:val="left" w:pos="2268"/>
              </w:tabs>
              <w:rPr>
                <w:rFonts w:cs="Arial"/>
              </w:rPr>
            </w:pPr>
            <w:r>
              <w:rPr>
                <w:rFonts w:cs="Arial"/>
              </w:rPr>
              <w:t>DIN ISO 22036:2009-06</w:t>
            </w:r>
          </w:p>
        </w:tc>
      </w:tr>
      <w:tr>
        <w:trPr>
          <w:trHeight w:val="58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induktiv gekoppelte Plasma-Atom-Emissionsspektrometrie (ICP-OES)</w:t>
            </w:r>
          </w:p>
        </w:tc>
        <w:tc>
          <w:tcPr>
            <w:tcW w:w="3119" w:type="dxa"/>
          </w:tcPr>
          <w:p>
            <w:pPr>
              <w:pStyle w:val="GesAbsatz"/>
              <w:tabs>
                <w:tab w:val="left" w:pos="2268"/>
              </w:tabs>
              <w:jc w:val="left"/>
              <w:rPr>
                <w:rFonts w:cs="Arial"/>
              </w:rPr>
            </w:pPr>
            <w:r>
              <w:rPr>
                <w:rFonts w:cs="Arial"/>
              </w:rPr>
              <w:t xml:space="preserve">DIN EN ISO 11885:2009-09 </w:t>
            </w:r>
            <w:r>
              <w:rPr>
                <w:rFonts w:cs="Arial"/>
              </w:rPr>
              <w:br/>
              <w:t>DIN EN 16170:2017-01</w:t>
            </w:r>
          </w:p>
        </w:tc>
      </w:tr>
      <w:tr>
        <w:trPr>
          <w:trHeight w:val="910"/>
        </w:trPr>
        <w:tc>
          <w:tcPr>
            <w:tcW w:w="2550" w:type="dxa"/>
            <w:vMerge/>
          </w:tcPr>
          <w:p>
            <w:pPr>
              <w:pStyle w:val="GesAbsatz"/>
              <w:tabs>
                <w:tab w:val="left" w:pos="2268"/>
              </w:tabs>
              <w:rPr>
                <w:rFonts w:cs="Arial"/>
              </w:rPr>
            </w:pPr>
          </w:p>
        </w:tc>
        <w:tc>
          <w:tcPr>
            <w:tcW w:w="3679" w:type="dxa"/>
          </w:tcPr>
          <w:p>
            <w:pPr>
              <w:pStyle w:val="GesAbsatz"/>
              <w:tabs>
                <w:tab w:val="left" w:pos="2268"/>
              </w:tabs>
              <w:jc w:val="left"/>
              <w:rPr>
                <w:rFonts w:cs="Arial"/>
              </w:rPr>
            </w:pPr>
            <w:r>
              <w:rPr>
                <w:rFonts w:cs="Arial"/>
              </w:rPr>
              <w:t>ICP-Massenspektrometrie (ICP-MS) möglich, Berücksichtigung von spektralen Störungen bei hohen Matrixkonzentrationen erforderlich</w:t>
            </w:r>
          </w:p>
        </w:tc>
        <w:tc>
          <w:tcPr>
            <w:tcW w:w="3119" w:type="dxa"/>
          </w:tcPr>
          <w:p>
            <w:pPr>
              <w:pStyle w:val="GesAbsatz"/>
              <w:tabs>
                <w:tab w:val="left" w:pos="2268"/>
              </w:tabs>
              <w:rPr>
                <w:rFonts w:cs="Arial"/>
              </w:rPr>
            </w:pPr>
            <w:r>
              <w:rPr>
                <w:rFonts w:cs="Arial"/>
              </w:rPr>
              <w:t>DIN EN 16171:2017-01</w:t>
            </w:r>
          </w:p>
          <w:p>
            <w:pPr>
              <w:pStyle w:val="GesAbsatz"/>
              <w:tabs>
                <w:tab w:val="left" w:pos="2268"/>
              </w:tabs>
              <w:rPr>
                <w:rFonts w:cs="Arial"/>
              </w:rPr>
            </w:pPr>
            <w:r>
              <w:rPr>
                <w:rFonts w:cs="Arial"/>
              </w:rPr>
              <w:t>DIN EN ISO 17294-2:2017-01</w:t>
            </w:r>
          </w:p>
        </w:tc>
      </w:tr>
      <w:tr>
        <w:trPr>
          <w:trHeight w:val="312"/>
        </w:trPr>
        <w:tc>
          <w:tcPr>
            <w:tcW w:w="2550" w:type="dxa"/>
            <w:vMerge w:val="restart"/>
          </w:tcPr>
          <w:p>
            <w:pPr>
              <w:pStyle w:val="GesAbsatz"/>
              <w:tabs>
                <w:tab w:val="left" w:pos="2268"/>
              </w:tabs>
              <w:rPr>
                <w:rFonts w:cs="Arial"/>
              </w:rPr>
            </w:pPr>
            <w:r>
              <w:rPr>
                <w:rFonts w:cs="Arial"/>
              </w:rPr>
              <w:t>Arsen</w:t>
            </w:r>
          </w:p>
        </w:tc>
        <w:tc>
          <w:tcPr>
            <w:tcW w:w="3679" w:type="dxa"/>
          </w:tcPr>
          <w:p>
            <w:pPr>
              <w:pStyle w:val="GesAbsatz"/>
              <w:tabs>
                <w:tab w:val="left" w:pos="2268"/>
              </w:tabs>
              <w:rPr>
                <w:rFonts w:cs="Arial"/>
              </w:rPr>
            </w:pPr>
            <w:r>
              <w:rPr>
                <w:rFonts w:cs="Arial"/>
              </w:rPr>
              <w:t>ICP-AES/ICP-OES</w:t>
            </w:r>
          </w:p>
        </w:tc>
        <w:tc>
          <w:tcPr>
            <w:tcW w:w="3119" w:type="dxa"/>
          </w:tcPr>
          <w:p>
            <w:pPr>
              <w:pStyle w:val="GesAbsatz"/>
              <w:tabs>
                <w:tab w:val="left" w:pos="2268"/>
              </w:tabs>
              <w:rPr>
                <w:rFonts w:cs="Arial"/>
              </w:rPr>
            </w:pPr>
            <w:r>
              <w:rPr>
                <w:rFonts w:cs="Arial"/>
              </w:rPr>
              <w:t>DIN ISO 22036:2009-06</w:t>
            </w:r>
          </w:p>
        </w:tc>
      </w:tr>
      <w:tr>
        <w:trPr>
          <w:trHeight w:val="31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ICP-MS</w:t>
            </w:r>
          </w:p>
        </w:tc>
        <w:tc>
          <w:tcPr>
            <w:tcW w:w="3119" w:type="dxa"/>
          </w:tcPr>
          <w:p>
            <w:pPr>
              <w:pStyle w:val="GesAbsatz"/>
              <w:tabs>
                <w:tab w:val="left" w:pos="2268"/>
              </w:tabs>
              <w:rPr>
                <w:rFonts w:cs="Arial"/>
              </w:rPr>
            </w:pPr>
            <w:r>
              <w:rPr>
                <w:rFonts w:cs="Arial"/>
              </w:rPr>
              <w:t>DIN EN ISO 17294-2:2017-01</w:t>
            </w:r>
          </w:p>
        </w:tc>
      </w:tr>
      <w:tr>
        <w:trPr>
          <w:trHeight w:val="58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Hydrid-Atomabsorptionsspektrometrie (Hydrid-AAS)</w:t>
            </w:r>
          </w:p>
        </w:tc>
        <w:tc>
          <w:tcPr>
            <w:tcW w:w="3119" w:type="dxa"/>
          </w:tcPr>
          <w:p>
            <w:pPr>
              <w:pStyle w:val="GesAbsatz"/>
              <w:tabs>
                <w:tab w:val="left" w:pos="2268"/>
              </w:tabs>
              <w:jc w:val="left"/>
              <w:rPr>
                <w:rFonts w:cs="Arial"/>
              </w:rPr>
            </w:pPr>
            <w:r>
              <w:rPr>
                <w:rFonts w:cs="Arial"/>
              </w:rPr>
              <w:t xml:space="preserve">E DIN ISO 17378-2:2017-01 </w:t>
            </w:r>
            <w:r>
              <w:rPr>
                <w:rFonts w:cs="Arial"/>
              </w:rPr>
              <w:br/>
              <w:t>DIN ISO 20280:2010-05</w:t>
            </w:r>
          </w:p>
        </w:tc>
      </w:tr>
      <w:tr>
        <w:trPr>
          <w:trHeight w:val="711"/>
        </w:trPr>
        <w:tc>
          <w:tcPr>
            <w:tcW w:w="2550" w:type="dxa"/>
            <w:vMerge w:val="restart"/>
          </w:tcPr>
          <w:p>
            <w:pPr>
              <w:pStyle w:val="GesAbsatz"/>
              <w:tabs>
                <w:tab w:val="left" w:pos="2268"/>
              </w:tabs>
              <w:rPr>
                <w:rFonts w:cs="Arial"/>
              </w:rPr>
            </w:pPr>
            <w:r>
              <w:rPr>
                <w:rFonts w:cs="Arial"/>
              </w:rPr>
              <w:t>Quecksilber</w:t>
            </w:r>
          </w:p>
        </w:tc>
        <w:tc>
          <w:tcPr>
            <w:tcW w:w="3679" w:type="dxa"/>
          </w:tcPr>
          <w:p>
            <w:pPr>
              <w:pStyle w:val="GesAbsatz"/>
              <w:tabs>
                <w:tab w:val="left" w:pos="2268"/>
              </w:tabs>
              <w:jc w:val="left"/>
              <w:rPr>
                <w:rFonts w:cs="Arial"/>
              </w:rPr>
            </w:pPr>
            <w:r>
              <w:rPr>
                <w:rFonts w:cs="Arial"/>
              </w:rPr>
              <w:t>AAS-Kaltdampftechnik; bei der Probenvorbehandlung darf die Trocknungstemperatur 40 ºC nicht überschreiten</w:t>
            </w:r>
          </w:p>
        </w:tc>
        <w:tc>
          <w:tcPr>
            <w:tcW w:w="3119" w:type="dxa"/>
          </w:tcPr>
          <w:p>
            <w:pPr>
              <w:pStyle w:val="GesAbsatz"/>
              <w:tabs>
                <w:tab w:val="left" w:pos="2268"/>
              </w:tabs>
              <w:rPr>
                <w:rFonts w:cs="Arial"/>
              </w:rPr>
            </w:pPr>
            <w:r>
              <w:rPr>
                <w:rFonts w:cs="Arial"/>
              </w:rPr>
              <w:t>DIN EN ISO 15586:2004-02</w:t>
            </w:r>
          </w:p>
        </w:tc>
      </w:tr>
      <w:tr>
        <w:trPr>
          <w:trHeight w:val="312"/>
        </w:trPr>
        <w:tc>
          <w:tcPr>
            <w:tcW w:w="2550" w:type="dxa"/>
            <w:vMerge/>
          </w:tcPr>
          <w:p>
            <w:pPr>
              <w:pStyle w:val="GesAbsatz"/>
              <w:tabs>
                <w:tab w:val="left" w:pos="2268"/>
              </w:tabs>
              <w:rPr>
                <w:rFonts w:cs="Arial"/>
              </w:rPr>
            </w:pPr>
          </w:p>
        </w:tc>
        <w:tc>
          <w:tcPr>
            <w:tcW w:w="3679" w:type="dxa"/>
          </w:tcPr>
          <w:p>
            <w:pPr>
              <w:pStyle w:val="GesAbsatz"/>
              <w:tabs>
                <w:tab w:val="left" w:pos="2268"/>
              </w:tabs>
              <w:rPr>
                <w:rFonts w:cs="Arial"/>
              </w:rPr>
            </w:pPr>
            <w:r>
              <w:rPr>
                <w:rFonts w:cs="Arial"/>
              </w:rPr>
              <w:t>ICP-MS</w:t>
            </w:r>
          </w:p>
        </w:tc>
        <w:tc>
          <w:tcPr>
            <w:tcW w:w="3119" w:type="dxa"/>
          </w:tcPr>
          <w:p>
            <w:pPr>
              <w:pStyle w:val="GesAbsatz"/>
              <w:tabs>
                <w:tab w:val="left" w:pos="2268"/>
              </w:tabs>
              <w:rPr>
                <w:rFonts w:cs="Arial"/>
              </w:rPr>
            </w:pPr>
            <w:r>
              <w:rPr>
                <w:rFonts w:cs="Arial"/>
              </w:rPr>
              <w:t>DIN EN ISO 17294-2:2017-01</w:t>
            </w:r>
          </w:p>
        </w:tc>
      </w:tr>
      <w:tr>
        <w:trPr>
          <w:trHeight w:val="711"/>
        </w:trPr>
        <w:tc>
          <w:tcPr>
            <w:tcW w:w="2550" w:type="dxa"/>
          </w:tcPr>
          <w:p>
            <w:pPr>
              <w:pStyle w:val="GesAbsatz"/>
              <w:tabs>
                <w:tab w:val="left" w:pos="2268"/>
              </w:tabs>
              <w:rPr>
                <w:rFonts w:cs="Arial"/>
                <w:vertAlign w:val="subscript"/>
              </w:rPr>
            </w:pPr>
            <w:r>
              <w:rPr>
                <w:rFonts w:cs="Arial"/>
              </w:rPr>
              <w:t>Chrom</w:t>
            </w:r>
            <w:r>
              <w:rPr>
                <w:rFonts w:cs="Arial"/>
                <w:vertAlign w:val="subscript"/>
              </w:rPr>
              <w:t>VI</w:t>
            </w:r>
          </w:p>
        </w:tc>
        <w:tc>
          <w:tcPr>
            <w:tcW w:w="3679" w:type="dxa"/>
          </w:tcPr>
          <w:p>
            <w:pPr>
              <w:pStyle w:val="GesAbsatz"/>
              <w:tabs>
                <w:tab w:val="left" w:pos="2268"/>
              </w:tabs>
              <w:jc w:val="left"/>
              <w:rPr>
                <w:rFonts w:cs="Arial"/>
              </w:rPr>
            </w:pPr>
            <w:r>
              <w:rPr>
                <w:rFonts w:cs="Arial"/>
              </w:rPr>
              <w:t>alkalisches Heiß-Extraktionsverfahren mit Natronlauge (0,5 mol/l)/Na</w:t>
            </w:r>
            <w:r>
              <w:rPr>
                <w:rFonts w:cs="Arial"/>
                <w:vertAlign w:val="subscript"/>
              </w:rPr>
              <w:t>2</w:t>
            </w:r>
            <w:r>
              <w:rPr>
                <w:rFonts w:cs="Arial"/>
              </w:rPr>
              <w:t>CO</w:t>
            </w:r>
            <w:r>
              <w:rPr>
                <w:rFonts w:cs="Arial"/>
                <w:vertAlign w:val="subscript"/>
              </w:rPr>
              <w:t>3</w:t>
            </w:r>
            <w:r>
              <w:rPr>
                <w:rFonts w:cs="Arial"/>
              </w:rPr>
              <w:t>-Lösung (0,28 mol/l)</w:t>
            </w:r>
          </w:p>
        </w:tc>
        <w:tc>
          <w:tcPr>
            <w:tcW w:w="3119" w:type="dxa"/>
          </w:tcPr>
          <w:p>
            <w:pPr>
              <w:pStyle w:val="GesAbsatz"/>
              <w:tabs>
                <w:tab w:val="left" w:pos="2268"/>
              </w:tabs>
              <w:rPr>
                <w:rFonts w:cs="Arial"/>
              </w:rPr>
            </w:pPr>
            <w:r>
              <w:rPr>
                <w:rFonts w:cs="Arial"/>
              </w:rPr>
              <w:t>DIN EN 15192:2007-02</w:t>
            </w:r>
          </w:p>
        </w:tc>
      </w:tr>
      <w:tr>
        <w:trPr>
          <w:trHeight w:val="511"/>
        </w:trPr>
        <w:tc>
          <w:tcPr>
            <w:tcW w:w="2550" w:type="dxa"/>
          </w:tcPr>
          <w:p>
            <w:pPr>
              <w:pStyle w:val="GesAbsatz"/>
              <w:tabs>
                <w:tab w:val="left" w:pos="2268"/>
              </w:tabs>
              <w:rPr>
                <w:rFonts w:cs="Arial"/>
              </w:rPr>
            </w:pPr>
            <w:r>
              <w:rPr>
                <w:rFonts w:cs="Arial"/>
              </w:rPr>
              <w:t>Cyanide</w:t>
            </w:r>
          </w:p>
        </w:tc>
        <w:tc>
          <w:tcPr>
            <w:tcW w:w="3679" w:type="dxa"/>
          </w:tcPr>
          <w:p>
            <w:pPr>
              <w:pStyle w:val="GesAbsatz"/>
              <w:tabs>
                <w:tab w:val="left" w:pos="2268"/>
              </w:tabs>
              <w:jc w:val="left"/>
              <w:rPr>
                <w:rFonts w:cs="Arial"/>
              </w:rPr>
            </w:pPr>
            <w:r>
              <w:rPr>
                <w:rFonts w:cs="Arial"/>
              </w:rPr>
              <w:t xml:space="preserve">Verfahren mittels kontinuierlicher </w:t>
            </w:r>
            <w:r>
              <w:rPr>
                <w:rFonts w:cs="Arial"/>
              </w:rPr>
              <w:br/>
              <w:t>Durchflussanalyse</w:t>
            </w:r>
          </w:p>
        </w:tc>
        <w:tc>
          <w:tcPr>
            <w:tcW w:w="3119" w:type="dxa"/>
          </w:tcPr>
          <w:p>
            <w:pPr>
              <w:pStyle w:val="GesAbsatz"/>
              <w:tabs>
                <w:tab w:val="left" w:pos="2268"/>
              </w:tabs>
              <w:rPr>
                <w:rFonts w:cs="Arial"/>
              </w:rPr>
            </w:pPr>
            <w:r>
              <w:rPr>
                <w:rFonts w:cs="Arial"/>
              </w:rPr>
              <w:t>DIN EN ISO 17380:2013-10</w:t>
            </w:r>
          </w:p>
        </w:tc>
      </w:tr>
    </w:tbl>
    <w:p>
      <w:pPr>
        <w:pStyle w:val="GesAbsatz"/>
        <w:tabs>
          <w:tab w:val="left" w:pos="2268"/>
        </w:tabs>
        <w:rPr>
          <w:rFonts w:cs="Arial"/>
        </w:rPr>
      </w:pPr>
    </w:p>
    <w:p>
      <w:pPr>
        <w:pStyle w:val="GesAbsatz"/>
        <w:tabs>
          <w:tab w:val="clear" w:pos="425"/>
          <w:tab w:val="left" w:pos="2268"/>
        </w:tabs>
        <w:rPr>
          <w:rFonts w:cs="Arial"/>
        </w:rPr>
      </w:pPr>
      <w:r>
        <w:rPr>
          <w:rFonts w:cs="Arial"/>
        </w:rPr>
        <w:t>Tabelle 5: Verfahren zur Bestimmung organischer Stoffgehalte</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550"/>
        <w:gridCol w:w="4133"/>
        <w:gridCol w:w="2665"/>
      </w:tblGrid>
      <w:tr>
        <w:trPr>
          <w:trHeight w:val="332"/>
        </w:trPr>
        <w:tc>
          <w:tcPr>
            <w:tcW w:w="2550" w:type="dxa"/>
          </w:tcPr>
          <w:p>
            <w:pPr>
              <w:pStyle w:val="GesAbsatz"/>
              <w:tabs>
                <w:tab w:val="left" w:pos="2268"/>
              </w:tabs>
              <w:jc w:val="left"/>
              <w:rPr>
                <w:rFonts w:cs="Arial"/>
              </w:rPr>
            </w:pPr>
            <w:r>
              <w:rPr>
                <w:rFonts w:cs="Arial"/>
              </w:rPr>
              <w:t>Stoff</w:t>
            </w:r>
          </w:p>
        </w:tc>
        <w:tc>
          <w:tcPr>
            <w:tcW w:w="4133" w:type="dxa"/>
          </w:tcPr>
          <w:p>
            <w:pPr>
              <w:pStyle w:val="GesAbsatz"/>
              <w:tabs>
                <w:tab w:val="left" w:pos="2268"/>
              </w:tabs>
              <w:jc w:val="left"/>
              <w:rPr>
                <w:rFonts w:cs="Arial"/>
              </w:rPr>
            </w:pPr>
            <w:r>
              <w:rPr>
                <w:rFonts w:cs="Arial"/>
              </w:rPr>
              <w:t>Methode</w:t>
            </w:r>
          </w:p>
        </w:tc>
        <w:tc>
          <w:tcPr>
            <w:tcW w:w="2665" w:type="dxa"/>
          </w:tcPr>
          <w:p>
            <w:pPr>
              <w:pStyle w:val="GesAbsatz"/>
              <w:tabs>
                <w:tab w:val="left" w:pos="2268"/>
              </w:tabs>
              <w:jc w:val="left"/>
              <w:rPr>
                <w:rFonts w:cs="Arial"/>
              </w:rPr>
            </w:pPr>
            <w:r>
              <w:rPr>
                <w:rFonts w:cs="Arial"/>
              </w:rPr>
              <w:t>Norm</w:t>
            </w:r>
          </w:p>
        </w:tc>
      </w:tr>
      <w:tr>
        <w:trPr>
          <w:trHeight w:val="1508"/>
        </w:trPr>
        <w:tc>
          <w:tcPr>
            <w:tcW w:w="2550" w:type="dxa"/>
          </w:tcPr>
          <w:p>
            <w:pPr>
              <w:pStyle w:val="GesAbsatz"/>
              <w:tabs>
                <w:tab w:val="left" w:pos="2268"/>
              </w:tabs>
              <w:jc w:val="left"/>
              <w:rPr>
                <w:rFonts w:cs="Arial"/>
                <w:vertAlign w:val="subscript"/>
              </w:rPr>
            </w:pPr>
            <w:r>
              <w:rPr>
                <w:rFonts w:cs="Arial"/>
              </w:rPr>
              <w:lastRenderedPageBreak/>
              <w:t>PAK</w:t>
            </w:r>
            <w:r>
              <w:rPr>
                <w:rFonts w:cs="Arial"/>
                <w:vertAlign w:val="subscript"/>
              </w:rPr>
              <w:t>16</w:t>
            </w:r>
          </w:p>
          <w:p>
            <w:pPr>
              <w:pStyle w:val="GesAbsatz"/>
              <w:tabs>
                <w:tab w:val="left" w:pos="2268"/>
              </w:tabs>
              <w:jc w:val="left"/>
              <w:rPr>
                <w:rFonts w:cs="Arial"/>
              </w:rPr>
            </w:pPr>
            <w:r>
              <w:rPr>
                <w:rFonts w:cs="Arial"/>
              </w:rPr>
              <w:t>Benzo(a)pyren</w:t>
            </w:r>
          </w:p>
        </w:tc>
        <w:tc>
          <w:tcPr>
            <w:tcW w:w="4133" w:type="dxa"/>
          </w:tcPr>
          <w:p>
            <w:pPr>
              <w:pStyle w:val="GesAbsatz"/>
              <w:tabs>
                <w:tab w:val="left" w:pos="2268"/>
              </w:tabs>
              <w:jc w:val="left"/>
              <w:rPr>
                <w:rFonts w:cs="Arial"/>
              </w:rPr>
            </w:pPr>
            <w:r>
              <w:rPr>
                <w:rFonts w:cs="Arial"/>
              </w:rPr>
              <w:t>Extraktion mit Aceton, Zugeben von Petrolether, Entfernen des Acetons, chromatographische Reinigung des Petroletherextraktes; Quantifizierung mittels GC-MS oder Aufnahme des Petroletherextraktes in Acetonitril; Quantifizierung mittels HPLC mit UV/ DAD bzw. FLD</w:t>
            </w:r>
          </w:p>
        </w:tc>
        <w:tc>
          <w:tcPr>
            <w:tcW w:w="2665" w:type="dxa"/>
          </w:tcPr>
          <w:p>
            <w:pPr>
              <w:pStyle w:val="GesAbsatz"/>
              <w:tabs>
                <w:tab w:val="left" w:pos="2268"/>
              </w:tabs>
              <w:jc w:val="left"/>
              <w:rPr>
                <w:rFonts w:cs="Arial"/>
              </w:rPr>
            </w:pPr>
            <w:r>
              <w:rPr>
                <w:rFonts w:cs="Arial"/>
              </w:rPr>
              <w:t>DIN ISO 18287:2006-05</w:t>
            </w:r>
          </w:p>
          <w:p>
            <w:pPr>
              <w:pStyle w:val="GesAbsatz"/>
              <w:tabs>
                <w:tab w:val="left" w:pos="2268"/>
              </w:tabs>
              <w:jc w:val="left"/>
              <w:rPr>
                <w:rFonts w:cs="Arial"/>
              </w:rPr>
            </w:pPr>
            <w:r>
              <w:rPr>
                <w:rFonts w:cs="Arial"/>
              </w:rPr>
              <w:t>DIN EN 16181:2019-08</w:t>
            </w:r>
          </w:p>
        </w:tc>
      </w:tr>
      <w:tr>
        <w:trPr>
          <w:trHeight w:val="1109"/>
        </w:trPr>
        <w:tc>
          <w:tcPr>
            <w:tcW w:w="2550" w:type="dxa"/>
          </w:tcPr>
          <w:p>
            <w:pPr>
              <w:pStyle w:val="GesAbsatz"/>
              <w:tabs>
                <w:tab w:val="left" w:pos="2268"/>
              </w:tabs>
              <w:jc w:val="left"/>
              <w:rPr>
                <w:rFonts w:cs="Arial"/>
              </w:rPr>
            </w:pPr>
            <w:r>
              <w:rPr>
                <w:rFonts w:cs="Arial"/>
              </w:rPr>
              <w:t>Hexachlorbenzol</w:t>
            </w:r>
          </w:p>
        </w:tc>
        <w:tc>
          <w:tcPr>
            <w:tcW w:w="4133" w:type="dxa"/>
          </w:tcPr>
          <w:p>
            <w:pPr>
              <w:pStyle w:val="GesAbsatz"/>
              <w:tabs>
                <w:tab w:val="left" w:pos="2268"/>
              </w:tabs>
              <w:jc w:val="left"/>
              <w:rPr>
                <w:rFonts w:cs="Arial"/>
              </w:rPr>
            </w:pPr>
            <w:r>
              <w:rPr>
                <w:rFonts w:cs="Arial"/>
              </w:rPr>
              <w:t>Extraktion mit Aceton/ Cyclohexan-Gemisch oder Aceton/Petrolether, ggf. chromatographische Reinigung nach Entfernen des Acetons; Quantifizierung mittels GC-ECD oder GC-MS</w:t>
            </w:r>
          </w:p>
        </w:tc>
        <w:tc>
          <w:tcPr>
            <w:tcW w:w="2665" w:type="dxa"/>
          </w:tcPr>
          <w:p>
            <w:pPr>
              <w:pStyle w:val="GesAbsatz"/>
              <w:tabs>
                <w:tab w:val="left" w:pos="2268"/>
              </w:tabs>
              <w:jc w:val="left"/>
              <w:rPr>
                <w:rFonts w:cs="Arial"/>
              </w:rPr>
            </w:pPr>
            <w:r>
              <w:rPr>
                <w:rFonts w:cs="Arial"/>
              </w:rPr>
              <w:t>DIN ISO 10382:2003-05</w:t>
            </w:r>
          </w:p>
        </w:tc>
      </w:tr>
      <w:tr>
        <w:trPr>
          <w:trHeight w:val="910"/>
        </w:trPr>
        <w:tc>
          <w:tcPr>
            <w:tcW w:w="2550" w:type="dxa"/>
          </w:tcPr>
          <w:p>
            <w:pPr>
              <w:pStyle w:val="GesAbsatz"/>
              <w:tabs>
                <w:tab w:val="left" w:pos="2268"/>
              </w:tabs>
              <w:jc w:val="left"/>
              <w:rPr>
                <w:rFonts w:cs="Arial"/>
              </w:rPr>
            </w:pPr>
            <w:r>
              <w:rPr>
                <w:rFonts w:cs="Arial"/>
              </w:rPr>
              <w:t>Pentachlorphenol</w:t>
            </w:r>
          </w:p>
        </w:tc>
        <w:tc>
          <w:tcPr>
            <w:tcW w:w="4133" w:type="dxa"/>
          </w:tcPr>
          <w:p>
            <w:pPr>
              <w:pStyle w:val="GesAbsatz"/>
              <w:tabs>
                <w:tab w:val="left" w:pos="2268"/>
              </w:tabs>
              <w:jc w:val="left"/>
              <w:rPr>
                <w:rFonts w:cs="Arial"/>
              </w:rPr>
            </w:pPr>
            <w:r>
              <w:rPr>
                <w:rFonts w:cs="Arial"/>
              </w:rPr>
              <w:t>Soxhlet-Extraktion mit Heptan oder Aceton/ Heptan (50:50); Derivatisierung mit Essigsäureanhydrid; Quantifizierung mittels GC- ECD oder GC-MS</w:t>
            </w:r>
          </w:p>
        </w:tc>
        <w:tc>
          <w:tcPr>
            <w:tcW w:w="2665" w:type="dxa"/>
          </w:tcPr>
          <w:p>
            <w:pPr>
              <w:pStyle w:val="GesAbsatz"/>
              <w:tabs>
                <w:tab w:val="left" w:pos="2268"/>
              </w:tabs>
              <w:jc w:val="left"/>
              <w:rPr>
                <w:rFonts w:cs="Arial"/>
              </w:rPr>
            </w:pPr>
            <w:r>
              <w:rPr>
                <w:rFonts w:cs="Arial"/>
              </w:rPr>
              <w:t>DIN ISO 14154:2005-12</w:t>
            </w:r>
          </w:p>
        </w:tc>
      </w:tr>
      <w:tr>
        <w:trPr>
          <w:trHeight w:val="1109"/>
        </w:trPr>
        <w:tc>
          <w:tcPr>
            <w:tcW w:w="2550" w:type="dxa"/>
          </w:tcPr>
          <w:p>
            <w:pPr>
              <w:pStyle w:val="GesAbsatz"/>
              <w:tabs>
                <w:tab w:val="left" w:pos="2268"/>
              </w:tabs>
              <w:jc w:val="left"/>
              <w:rPr>
                <w:rFonts w:cs="Arial"/>
              </w:rPr>
            </w:pPr>
            <w:r>
              <w:rPr>
                <w:rFonts w:cs="Arial"/>
              </w:rPr>
              <w:t>Aldrin, DDT,</w:t>
            </w:r>
          </w:p>
          <w:p>
            <w:pPr>
              <w:pStyle w:val="GesAbsatz"/>
              <w:tabs>
                <w:tab w:val="left" w:pos="2268"/>
              </w:tabs>
              <w:jc w:val="left"/>
              <w:rPr>
                <w:rFonts w:cs="Arial"/>
              </w:rPr>
            </w:pPr>
            <w:r>
              <w:rPr>
                <w:rFonts w:cs="Arial"/>
              </w:rPr>
              <w:t xml:space="preserve">Hexachlorcyclohexan (HCH- Gemisch </w:t>
            </w:r>
            <w:r>
              <w:rPr>
                <w:rFonts w:cs="Arial"/>
              </w:rPr>
              <w:br/>
              <w:t>oder β-HCH)</w:t>
            </w:r>
          </w:p>
        </w:tc>
        <w:tc>
          <w:tcPr>
            <w:tcW w:w="4133" w:type="dxa"/>
          </w:tcPr>
          <w:p>
            <w:pPr>
              <w:pStyle w:val="GesAbsatz"/>
              <w:tabs>
                <w:tab w:val="left" w:pos="2268"/>
              </w:tabs>
              <w:jc w:val="left"/>
              <w:rPr>
                <w:rFonts w:cs="Arial"/>
              </w:rPr>
            </w:pPr>
            <w:r>
              <w:rPr>
                <w:rFonts w:cs="Arial"/>
              </w:rPr>
              <w:t>Extraktion mit Aceton/ Cyclohexan-Gemisch oder Aceton/Petrolether, ggf. chromatographische Reinigung nach Entfernen des Acetons; Quantifizierung mittels GC-ECD oder GC-MS</w:t>
            </w:r>
          </w:p>
        </w:tc>
        <w:tc>
          <w:tcPr>
            <w:tcW w:w="2665" w:type="dxa"/>
          </w:tcPr>
          <w:p>
            <w:pPr>
              <w:pStyle w:val="GesAbsatz"/>
              <w:tabs>
                <w:tab w:val="left" w:pos="2268"/>
              </w:tabs>
              <w:jc w:val="left"/>
              <w:rPr>
                <w:rFonts w:cs="Arial"/>
              </w:rPr>
            </w:pPr>
            <w:r>
              <w:rPr>
                <w:rFonts w:cs="Arial"/>
              </w:rPr>
              <w:t>DIN ISO 10382:2003-05</w:t>
            </w:r>
          </w:p>
        </w:tc>
      </w:tr>
      <w:tr>
        <w:trPr>
          <w:trHeight w:val="1109"/>
        </w:trPr>
        <w:tc>
          <w:tcPr>
            <w:tcW w:w="2550" w:type="dxa"/>
          </w:tcPr>
          <w:p>
            <w:pPr>
              <w:pStyle w:val="GesAbsatz"/>
              <w:tabs>
                <w:tab w:val="left" w:pos="2268"/>
              </w:tabs>
              <w:jc w:val="left"/>
              <w:rPr>
                <w:rFonts w:cs="Arial"/>
                <w:vertAlign w:val="subscript"/>
              </w:rPr>
            </w:pPr>
            <w:r>
              <w:rPr>
                <w:rFonts w:cs="Arial"/>
              </w:rPr>
              <w:t>PCB</w:t>
            </w:r>
            <w:r>
              <w:rPr>
                <w:rFonts w:cs="Arial"/>
                <w:vertAlign w:val="subscript"/>
              </w:rPr>
              <w:t>6</w:t>
            </w:r>
          </w:p>
        </w:tc>
        <w:tc>
          <w:tcPr>
            <w:tcW w:w="4133" w:type="dxa"/>
          </w:tcPr>
          <w:p>
            <w:pPr>
              <w:pStyle w:val="GesAbsatz"/>
              <w:tabs>
                <w:tab w:val="left" w:pos="2268"/>
              </w:tabs>
              <w:jc w:val="left"/>
              <w:rPr>
                <w:rFonts w:cs="Arial"/>
              </w:rPr>
            </w:pPr>
            <w:r>
              <w:rPr>
                <w:rFonts w:cs="Arial"/>
              </w:rPr>
              <w:t>Extraktion mit Aceton/ Cyclohexan-Gemisch oder Aceton/Petrolether, ggf. chromatographische Reinigung nach Entfernen des Acetons; Quantifizierung mittels GC-ECD oder GC-MS</w:t>
            </w:r>
          </w:p>
        </w:tc>
        <w:tc>
          <w:tcPr>
            <w:tcW w:w="2665" w:type="dxa"/>
          </w:tcPr>
          <w:p>
            <w:pPr>
              <w:pStyle w:val="GesAbsatz"/>
              <w:tabs>
                <w:tab w:val="left" w:pos="2268"/>
              </w:tabs>
              <w:jc w:val="left"/>
              <w:rPr>
                <w:rFonts w:cs="Arial"/>
              </w:rPr>
            </w:pPr>
            <w:r>
              <w:rPr>
                <w:rFonts w:cs="Arial"/>
              </w:rPr>
              <w:t>DIN ISO 10382:2003-05</w:t>
            </w:r>
          </w:p>
          <w:p>
            <w:pPr>
              <w:pStyle w:val="GesAbsatz"/>
              <w:tabs>
                <w:tab w:val="left" w:pos="2268"/>
              </w:tabs>
              <w:jc w:val="left"/>
              <w:rPr>
                <w:rFonts w:cs="Arial"/>
              </w:rPr>
            </w:pPr>
            <w:r>
              <w:rPr>
                <w:rFonts w:cs="Arial"/>
              </w:rPr>
              <w:t>DIN EN 16167:2019-06</w:t>
            </w:r>
          </w:p>
        </w:tc>
      </w:tr>
      <w:tr>
        <w:trPr>
          <w:trHeight w:val="711"/>
        </w:trPr>
        <w:tc>
          <w:tcPr>
            <w:tcW w:w="2550" w:type="dxa"/>
          </w:tcPr>
          <w:p>
            <w:pPr>
              <w:pStyle w:val="GesAbsatz"/>
              <w:tabs>
                <w:tab w:val="left" w:pos="2268"/>
              </w:tabs>
              <w:jc w:val="left"/>
              <w:rPr>
                <w:rFonts w:cs="Arial"/>
              </w:rPr>
            </w:pPr>
            <w:r>
              <w:rPr>
                <w:rFonts w:cs="Arial"/>
              </w:rPr>
              <w:t>PCDD/F,</w:t>
            </w:r>
            <w:r>
              <w:rPr>
                <w:rFonts w:cs="Arial"/>
              </w:rPr>
              <w:br/>
              <w:t>dl-PCB</w:t>
            </w:r>
          </w:p>
        </w:tc>
        <w:tc>
          <w:tcPr>
            <w:tcW w:w="4133" w:type="dxa"/>
          </w:tcPr>
          <w:p>
            <w:pPr>
              <w:pStyle w:val="GesAbsatz"/>
              <w:tabs>
                <w:tab w:val="left" w:pos="2268"/>
              </w:tabs>
              <w:jc w:val="left"/>
              <w:rPr>
                <w:rFonts w:cs="Arial"/>
              </w:rPr>
            </w:pPr>
            <w:r>
              <w:rPr>
                <w:rFonts w:cs="Arial"/>
              </w:rPr>
              <w:t>Soxhlet-Extraktion der Proben mit Toluol, chromatographische Reinigung; Quantifizierung mittels HR GC-MS</w:t>
            </w:r>
          </w:p>
        </w:tc>
        <w:tc>
          <w:tcPr>
            <w:tcW w:w="2665" w:type="dxa"/>
          </w:tcPr>
          <w:p>
            <w:pPr>
              <w:pStyle w:val="GesAbsatz"/>
              <w:tabs>
                <w:tab w:val="left" w:pos="2268"/>
              </w:tabs>
              <w:jc w:val="left"/>
              <w:rPr>
                <w:rFonts w:cs="Arial"/>
              </w:rPr>
            </w:pPr>
            <w:r>
              <w:rPr>
                <w:rFonts w:cs="Arial"/>
              </w:rPr>
              <w:t>DIN 38414-24:2000-10</w:t>
            </w:r>
          </w:p>
          <w:p>
            <w:pPr>
              <w:pStyle w:val="GesAbsatz"/>
              <w:tabs>
                <w:tab w:val="left" w:pos="2268"/>
              </w:tabs>
              <w:jc w:val="left"/>
              <w:rPr>
                <w:rFonts w:cs="Arial"/>
              </w:rPr>
            </w:pPr>
            <w:r>
              <w:rPr>
                <w:rFonts w:cs="Arial"/>
              </w:rPr>
              <w:t>DIN EN 16190:2019-10</w:t>
            </w:r>
          </w:p>
        </w:tc>
      </w:tr>
      <w:tr>
        <w:trPr>
          <w:trHeight w:val="1707"/>
        </w:trPr>
        <w:tc>
          <w:tcPr>
            <w:tcW w:w="2550" w:type="dxa"/>
          </w:tcPr>
          <w:p>
            <w:pPr>
              <w:pStyle w:val="GesAbsatz"/>
              <w:tabs>
                <w:tab w:val="left" w:pos="2268"/>
              </w:tabs>
              <w:jc w:val="left"/>
              <w:rPr>
                <w:rFonts w:cs="Arial"/>
              </w:rPr>
            </w:pPr>
            <w:r>
              <w:rPr>
                <w:rFonts w:cs="Arial"/>
              </w:rPr>
              <w:t xml:space="preserve">2,4-Dinitrotoluol, </w:t>
            </w:r>
            <w:r>
              <w:rPr>
                <w:rFonts w:cs="Arial"/>
              </w:rPr>
              <w:br/>
              <w:t>2,6-Dinitrotoluol,</w:t>
            </w:r>
            <w:r>
              <w:rPr>
                <w:rFonts w:cs="Arial"/>
              </w:rPr>
              <w:br/>
              <w:t>2,2', 4,4', 6,6'-Hexanitro- diphenylamin (Hexyl),</w:t>
            </w:r>
            <w:r>
              <w:rPr>
                <w:rFonts w:cs="Arial"/>
              </w:rPr>
              <w:br/>
              <w:t>1,3,5-Trinitro-hexahydro- 1,3,5-triazin (Hexogen), Nitropenta,</w:t>
            </w:r>
            <w:r>
              <w:rPr>
                <w:rFonts w:cs="Arial"/>
              </w:rPr>
              <w:br/>
              <w:t>2,4,6-Trinitrotoluol (TNT)</w:t>
            </w:r>
          </w:p>
        </w:tc>
        <w:tc>
          <w:tcPr>
            <w:tcW w:w="4133" w:type="dxa"/>
          </w:tcPr>
          <w:p>
            <w:pPr>
              <w:pStyle w:val="GesAbsatz"/>
              <w:tabs>
                <w:tab w:val="left" w:pos="2268"/>
              </w:tabs>
              <w:jc w:val="left"/>
              <w:rPr>
                <w:rFonts w:cs="Arial"/>
              </w:rPr>
            </w:pPr>
            <w:r>
              <w:rPr>
                <w:rFonts w:cs="Arial"/>
              </w:rPr>
              <w:t xml:space="preserve">Extraktion mit Methanol oder Acetonitril und Quantifizierung mittels HPLC mit UV/DAD oder Extraktion mit Methanol, Umlösen in Toluol und Quantifizierung mittels GC-ECD </w:t>
            </w:r>
            <w:r>
              <w:rPr>
                <w:rFonts w:cs="Arial"/>
              </w:rPr>
              <w:br/>
              <w:t>oder GC-MS</w:t>
            </w:r>
          </w:p>
        </w:tc>
        <w:tc>
          <w:tcPr>
            <w:tcW w:w="2665" w:type="dxa"/>
          </w:tcPr>
          <w:p>
            <w:pPr>
              <w:pStyle w:val="GesAbsatz"/>
              <w:tabs>
                <w:tab w:val="left" w:pos="2268"/>
              </w:tabs>
              <w:jc w:val="left"/>
              <w:rPr>
                <w:rFonts w:cs="Arial"/>
              </w:rPr>
            </w:pPr>
            <w:r>
              <w:rPr>
                <w:rFonts w:cs="Arial"/>
              </w:rPr>
              <w:t>DIN ISO 11916-1:2014-11</w:t>
            </w:r>
          </w:p>
          <w:p>
            <w:pPr>
              <w:pStyle w:val="GesAbsatz"/>
              <w:tabs>
                <w:tab w:val="left" w:pos="2268"/>
              </w:tabs>
              <w:jc w:val="left"/>
              <w:rPr>
                <w:rFonts w:cs="Arial"/>
              </w:rPr>
            </w:pPr>
            <w:r>
              <w:rPr>
                <w:rFonts w:cs="Arial"/>
              </w:rPr>
              <w:t>DIN ISO 11916-2:2014-11</w:t>
            </w:r>
          </w:p>
          <w:p>
            <w:pPr>
              <w:pStyle w:val="GesAbsatz"/>
              <w:tabs>
                <w:tab w:val="left" w:pos="2268"/>
              </w:tabs>
              <w:jc w:val="left"/>
              <w:rPr>
                <w:rFonts w:cs="Arial"/>
              </w:rPr>
            </w:pPr>
            <w:r>
              <w:rPr>
                <w:rFonts w:cs="Arial"/>
              </w:rPr>
              <w:t xml:space="preserve">für Hexogen und Hexyl ausschließlich: </w:t>
            </w:r>
            <w:r>
              <w:rPr>
                <w:rFonts w:cs="Arial"/>
              </w:rPr>
              <w:br/>
              <w:t>DIN ISO 11916-1:2014-11</w:t>
            </w:r>
          </w:p>
        </w:tc>
      </w:tr>
      <w:tr>
        <w:trPr>
          <w:trHeight w:val="1707"/>
        </w:trPr>
        <w:tc>
          <w:tcPr>
            <w:tcW w:w="2550" w:type="dxa"/>
          </w:tcPr>
          <w:p>
            <w:pPr>
              <w:pStyle w:val="GesAbsatz"/>
              <w:tabs>
                <w:tab w:val="left" w:pos="2268"/>
              </w:tabs>
              <w:jc w:val="left"/>
              <w:rPr>
                <w:rFonts w:cs="Arial"/>
              </w:rPr>
            </w:pPr>
            <w:r>
              <w:rPr>
                <w:rFonts w:cs="Arial"/>
              </w:rPr>
              <w:t>EOX</w:t>
            </w:r>
          </w:p>
        </w:tc>
        <w:tc>
          <w:tcPr>
            <w:tcW w:w="4133" w:type="dxa"/>
          </w:tcPr>
          <w:p>
            <w:pPr>
              <w:pStyle w:val="GesAbsatz"/>
              <w:tabs>
                <w:tab w:val="left" w:pos="2268"/>
              </w:tabs>
              <w:jc w:val="left"/>
              <w:rPr>
                <w:rFonts w:cs="Arial"/>
              </w:rPr>
            </w:pPr>
            <w:r>
              <w:rPr>
                <w:rFonts w:cs="Arial"/>
              </w:rPr>
              <w:t>Die extrahierbare organisch gebundenen Halogene werden nach Gefriertrocknung und Extraktion mit z. B. Hexan erfasst und im Sauerstoffstrom verbrannt. Die Temperatur im Verbrennungsraum während der gesamten Analysenzeit muss mindestens 950 °C betragen (Gerät, z. B. Microcoulometer)</w:t>
            </w:r>
          </w:p>
        </w:tc>
        <w:tc>
          <w:tcPr>
            <w:tcW w:w="2665" w:type="dxa"/>
          </w:tcPr>
          <w:p>
            <w:pPr>
              <w:pStyle w:val="GesAbsatz"/>
              <w:tabs>
                <w:tab w:val="left" w:pos="2268"/>
              </w:tabs>
              <w:jc w:val="left"/>
              <w:rPr>
                <w:rFonts w:cs="Arial"/>
              </w:rPr>
            </w:pPr>
            <w:r>
              <w:rPr>
                <w:rFonts w:cs="Arial"/>
              </w:rPr>
              <w:t>DIN 38414-17:2017-01</w:t>
            </w:r>
          </w:p>
        </w:tc>
      </w:tr>
    </w:tbl>
    <w:p>
      <w:pPr>
        <w:pStyle w:val="GesAbsatz"/>
        <w:tabs>
          <w:tab w:val="left" w:pos="2268"/>
        </w:tabs>
        <w:rPr>
          <w:rFonts w:cs="Arial"/>
        </w:rPr>
      </w:pPr>
    </w:p>
    <w:p>
      <w:pPr>
        <w:pStyle w:val="GesAbsatz"/>
        <w:tabs>
          <w:tab w:val="clear" w:pos="425"/>
          <w:tab w:val="left" w:pos="2268"/>
        </w:tabs>
        <w:rPr>
          <w:rFonts w:cs="Arial"/>
        </w:rPr>
      </w:pPr>
      <w:r>
        <w:rPr>
          <w:rFonts w:cs="Arial"/>
        </w:rPr>
        <w:t>Tabelle 6: Verfahren zur Bestimmung der Konzentration anorganischer Stoffe</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550"/>
        <w:gridCol w:w="3679"/>
        <w:gridCol w:w="3119"/>
      </w:tblGrid>
      <w:tr>
        <w:trPr>
          <w:trHeight w:val="332"/>
        </w:trPr>
        <w:tc>
          <w:tcPr>
            <w:tcW w:w="2550" w:type="dxa"/>
          </w:tcPr>
          <w:p>
            <w:pPr>
              <w:pStyle w:val="GesAbsatz"/>
              <w:tabs>
                <w:tab w:val="left" w:pos="2268"/>
              </w:tabs>
              <w:jc w:val="left"/>
              <w:rPr>
                <w:rFonts w:cs="Arial"/>
              </w:rPr>
            </w:pPr>
            <w:r>
              <w:rPr>
                <w:rFonts w:cs="Arial"/>
              </w:rPr>
              <w:t>Stoff</w:t>
            </w:r>
          </w:p>
        </w:tc>
        <w:tc>
          <w:tcPr>
            <w:tcW w:w="3679" w:type="dxa"/>
          </w:tcPr>
          <w:p>
            <w:pPr>
              <w:pStyle w:val="GesAbsatz"/>
              <w:tabs>
                <w:tab w:val="left" w:pos="2268"/>
              </w:tabs>
              <w:jc w:val="left"/>
              <w:rPr>
                <w:rFonts w:cs="Arial"/>
              </w:rPr>
            </w:pPr>
            <w:r>
              <w:rPr>
                <w:rFonts w:cs="Arial"/>
              </w:rPr>
              <w:t>Methode</w:t>
            </w:r>
          </w:p>
        </w:tc>
        <w:tc>
          <w:tcPr>
            <w:tcW w:w="3119" w:type="dxa"/>
          </w:tcPr>
          <w:p>
            <w:pPr>
              <w:pStyle w:val="GesAbsatz"/>
              <w:tabs>
                <w:tab w:val="left" w:pos="2268"/>
              </w:tabs>
              <w:jc w:val="left"/>
              <w:rPr>
                <w:rFonts w:cs="Arial"/>
              </w:rPr>
            </w:pPr>
            <w:r>
              <w:rPr>
                <w:rFonts w:cs="Arial"/>
              </w:rPr>
              <w:t>Norm</w:t>
            </w:r>
          </w:p>
        </w:tc>
      </w:tr>
      <w:tr>
        <w:trPr>
          <w:trHeight w:val="312"/>
        </w:trPr>
        <w:tc>
          <w:tcPr>
            <w:tcW w:w="2550" w:type="dxa"/>
            <w:vMerge w:val="restart"/>
          </w:tcPr>
          <w:p>
            <w:pPr>
              <w:pStyle w:val="GesAbsatz"/>
              <w:tabs>
                <w:tab w:val="left" w:pos="2268"/>
              </w:tabs>
              <w:jc w:val="left"/>
              <w:rPr>
                <w:rFonts w:cs="Arial"/>
              </w:rPr>
            </w:pPr>
            <w:r>
              <w:rPr>
                <w:rFonts w:cs="Arial"/>
              </w:rPr>
              <w:t>Antimon, Arsen, Barium, Blei, Bor, Cadmium, Chrom gesamt, Kobalt, Kupfer, Molybdän, Nickel, Selen, Thallium, Vanadium, Zink</w:t>
            </w:r>
          </w:p>
        </w:tc>
        <w:tc>
          <w:tcPr>
            <w:tcW w:w="3679" w:type="dxa"/>
          </w:tcPr>
          <w:p>
            <w:pPr>
              <w:pStyle w:val="GesAbsatz"/>
              <w:tabs>
                <w:tab w:val="left" w:pos="2268"/>
              </w:tabs>
              <w:jc w:val="left"/>
              <w:rPr>
                <w:rFonts w:cs="Arial"/>
              </w:rPr>
            </w:pPr>
            <w:r>
              <w:rPr>
                <w:rFonts w:cs="Arial"/>
              </w:rPr>
              <w:t>ICP-AES/ICP-OES</w:t>
            </w:r>
          </w:p>
        </w:tc>
        <w:tc>
          <w:tcPr>
            <w:tcW w:w="3119" w:type="dxa"/>
          </w:tcPr>
          <w:p>
            <w:pPr>
              <w:pStyle w:val="GesAbsatz"/>
              <w:tabs>
                <w:tab w:val="left" w:pos="2268"/>
              </w:tabs>
              <w:jc w:val="left"/>
              <w:rPr>
                <w:rFonts w:cs="Arial"/>
              </w:rPr>
            </w:pPr>
            <w:r>
              <w:rPr>
                <w:rFonts w:cs="Arial"/>
              </w:rPr>
              <w:t>DIN ISO 22036:2009-06</w:t>
            </w:r>
          </w:p>
        </w:tc>
      </w:tr>
      <w:tr>
        <w:trPr>
          <w:trHeight w:val="787"/>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ICP-MS möglich</w:t>
            </w:r>
          </w:p>
        </w:tc>
        <w:tc>
          <w:tcPr>
            <w:tcW w:w="3119" w:type="dxa"/>
          </w:tcPr>
          <w:p>
            <w:pPr>
              <w:pStyle w:val="GesAbsatz"/>
              <w:tabs>
                <w:tab w:val="left" w:pos="2268"/>
              </w:tabs>
              <w:jc w:val="left"/>
              <w:rPr>
                <w:rFonts w:cs="Arial"/>
              </w:rPr>
            </w:pPr>
            <w:r>
              <w:rPr>
                <w:rFonts w:cs="Arial"/>
              </w:rPr>
              <w:t>DIN EN ISO 17294-2:2017-01</w:t>
            </w:r>
          </w:p>
        </w:tc>
      </w:tr>
      <w:tr>
        <w:trPr>
          <w:trHeight w:val="312"/>
        </w:trPr>
        <w:tc>
          <w:tcPr>
            <w:tcW w:w="2550" w:type="dxa"/>
            <w:vMerge w:val="restart"/>
          </w:tcPr>
          <w:p>
            <w:pPr>
              <w:pStyle w:val="GesAbsatz"/>
              <w:tabs>
                <w:tab w:val="left" w:pos="2268"/>
              </w:tabs>
              <w:jc w:val="left"/>
              <w:rPr>
                <w:rFonts w:cs="Arial"/>
              </w:rPr>
            </w:pPr>
            <w:r>
              <w:rPr>
                <w:rFonts w:cs="Arial"/>
              </w:rPr>
              <w:t>Arsen, Antimon</w:t>
            </w:r>
          </w:p>
        </w:tc>
        <w:tc>
          <w:tcPr>
            <w:tcW w:w="3679" w:type="dxa"/>
          </w:tcPr>
          <w:p>
            <w:pPr>
              <w:pStyle w:val="GesAbsatz"/>
              <w:tabs>
                <w:tab w:val="left" w:pos="2268"/>
              </w:tabs>
              <w:jc w:val="left"/>
              <w:rPr>
                <w:rFonts w:cs="Arial"/>
              </w:rPr>
            </w:pPr>
            <w:r>
              <w:rPr>
                <w:rFonts w:cs="Arial"/>
              </w:rPr>
              <w:t>AAS-Graphitrohr</w:t>
            </w:r>
          </w:p>
        </w:tc>
        <w:tc>
          <w:tcPr>
            <w:tcW w:w="3119" w:type="dxa"/>
          </w:tcPr>
          <w:p>
            <w:pPr>
              <w:pStyle w:val="GesAbsatz"/>
              <w:tabs>
                <w:tab w:val="left" w:pos="2268"/>
              </w:tabs>
              <w:jc w:val="left"/>
              <w:rPr>
                <w:rFonts w:cs="Arial"/>
              </w:rPr>
            </w:pPr>
            <w:r>
              <w:rPr>
                <w:rFonts w:cs="Arial"/>
              </w:rPr>
              <w:t>DIN EN ISO 15586:2004-02</w:t>
            </w:r>
          </w:p>
        </w:tc>
      </w:tr>
      <w:tr>
        <w:trPr>
          <w:trHeight w:val="312"/>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ICP-AES/ICP-OES</w:t>
            </w:r>
          </w:p>
        </w:tc>
        <w:tc>
          <w:tcPr>
            <w:tcW w:w="3119" w:type="dxa"/>
          </w:tcPr>
          <w:p>
            <w:pPr>
              <w:pStyle w:val="GesAbsatz"/>
              <w:tabs>
                <w:tab w:val="left" w:pos="2268"/>
              </w:tabs>
              <w:jc w:val="left"/>
              <w:rPr>
                <w:rFonts w:cs="Arial"/>
              </w:rPr>
            </w:pPr>
            <w:r>
              <w:rPr>
                <w:rFonts w:cs="Arial"/>
              </w:rPr>
              <w:t>DIN ISO 22036:2009-06</w:t>
            </w:r>
          </w:p>
        </w:tc>
      </w:tr>
      <w:tr>
        <w:trPr>
          <w:trHeight w:val="312"/>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ICP-MS</w:t>
            </w:r>
          </w:p>
        </w:tc>
        <w:tc>
          <w:tcPr>
            <w:tcW w:w="3119" w:type="dxa"/>
          </w:tcPr>
          <w:p>
            <w:pPr>
              <w:pStyle w:val="GesAbsatz"/>
              <w:tabs>
                <w:tab w:val="left" w:pos="2268"/>
              </w:tabs>
              <w:jc w:val="left"/>
              <w:rPr>
                <w:rFonts w:cs="Arial"/>
              </w:rPr>
            </w:pPr>
            <w:r>
              <w:rPr>
                <w:rFonts w:cs="Arial"/>
              </w:rPr>
              <w:t>DIN EN ISO 17294-2:2017-01</w:t>
            </w:r>
          </w:p>
        </w:tc>
      </w:tr>
      <w:tr>
        <w:trPr>
          <w:trHeight w:val="511"/>
        </w:trPr>
        <w:tc>
          <w:tcPr>
            <w:tcW w:w="2550" w:type="dxa"/>
          </w:tcPr>
          <w:p>
            <w:pPr>
              <w:pStyle w:val="GesAbsatz"/>
              <w:tabs>
                <w:tab w:val="left" w:pos="2268"/>
              </w:tabs>
              <w:jc w:val="left"/>
              <w:rPr>
                <w:rFonts w:cs="Arial"/>
                <w:vertAlign w:val="subscript"/>
              </w:rPr>
            </w:pPr>
            <w:r>
              <w:rPr>
                <w:rFonts w:cs="Arial"/>
              </w:rPr>
              <w:t>Chrom</w:t>
            </w:r>
            <w:r>
              <w:rPr>
                <w:rFonts w:cs="Arial"/>
                <w:vertAlign w:val="subscript"/>
              </w:rPr>
              <w:t>VI</w:t>
            </w:r>
          </w:p>
        </w:tc>
        <w:tc>
          <w:tcPr>
            <w:tcW w:w="3679" w:type="dxa"/>
          </w:tcPr>
          <w:p>
            <w:pPr>
              <w:pStyle w:val="GesAbsatz"/>
              <w:tabs>
                <w:tab w:val="left" w:pos="2268"/>
              </w:tabs>
              <w:jc w:val="left"/>
              <w:rPr>
                <w:rFonts w:cs="Arial"/>
              </w:rPr>
            </w:pPr>
            <w:r>
              <w:rPr>
                <w:rFonts w:cs="Arial"/>
              </w:rPr>
              <w:t>Trennung und Bestimmung analog der Behandlung der Extraktionslösung</w:t>
            </w:r>
          </w:p>
        </w:tc>
        <w:tc>
          <w:tcPr>
            <w:tcW w:w="3119" w:type="dxa"/>
          </w:tcPr>
          <w:p>
            <w:pPr>
              <w:pStyle w:val="GesAbsatz"/>
              <w:tabs>
                <w:tab w:val="left" w:pos="2268"/>
              </w:tabs>
              <w:jc w:val="left"/>
              <w:rPr>
                <w:rFonts w:cs="Arial"/>
              </w:rPr>
            </w:pPr>
            <w:r>
              <w:rPr>
                <w:rFonts w:cs="Arial"/>
              </w:rPr>
              <w:t>DIN EN 15192:2007-02</w:t>
            </w:r>
          </w:p>
        </w:tc>
      </w:tr>
      <w:tr>
        <w:trPr>
          <w:trHeight w:val="582"/>
        </w:trPr>
        <w:tc>
          <w:tcPr>
            <w:tcW w:w="2550" w:type="dxa"/>
            <w:vMerge w:val="restart"/>
          </w:tcPr>
          <w:p>
            <w:pPr>
              <w:pStyle w:val="GesAbsatz"/>
              <w:tabs>
                <w:tab w:val="left" w:pos="2268"/>
              </w:tabs>
              <w:jc w:val="left"/>
              <w:rPr>
                <w:rFonts w:cs="Arial"/>
              </w:rPr>
            </w:pPr>
            <w:r>
              <w:rPr>
                <w:rFonts w:cs="Arial"/>
              </w:rPr>
              <w:t>Quecksilber</w:t>
            </w:r>
          </w:p>
        </w:tc>
        <w:tc>
          <w:tcPr>
            <w:tcW w:w="3679" w:type="dxa"/>
          </w:tcPr>
          <w:p>
            <w:pPr>
              <w:pStyle w:val="GesAbsatz"/>
              <w:tabs>
                <w:tab w:val="left" w:pos="2268"/>
              </w:tabs>
              <w:jc w:val="left"/>
              <w:rPr>
                <w:rFonts w:cs="Arial"/>
              </w:rPr>
            </w:pPr>
            <w:r>
              <w:rPr>
                <w:rFonts w:cs="Arial"/>
              </w:rPr>
              <w:t>AAS</w:t>
            </w:r>
          </w:p>
        </w:tc>
        <w:tc>
          <w:tcPr>
            <w:tcW w:w="3119" w:type="dxa"/>
          </w:tcPr>
          <w:p>
            <w:pPr>
              <w:pStyle w:val="GesAbsatz"/>
              <w:tabs>
                <w:tab w:val="left" w:pos="2268"/>
              </w:tabs>
              <w:jc w:val="left"/>
              <w:rPr>
                <w:rFonts w:cs="Arial"/>
              </w:rPr>
            </w:pPr>
            <w:r>
              <w:rPr>
                <w:rFonts w:cs="Arial"/>
              </w:rPr>
              <w:t xml:space="preserve">DIN EN 16175-1:2016-12 </w:t>
            </w:r>
            <w:r>
              <w:rPr>
                <w:rFonts w:cs="Arial"/>
              </w:rPr>
              <w:br/>
              <w:t>DIN EN ISO 12846:2012-08</w:t>
            </w:r>
          </w:p>
        </w:tc>
      </w:tr>
      <w:tr>
        <w:trPr>
          <w:trHeight w:val="312"/>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ICP-MS</w:t>
            </w:r>
          </w:p>
        </w:tc>
        <w:tc>
          <w:tcPr>
            <w:tcW w:w="3119" w:type="dxa"/>
          </w:tcPr>
          <w:p>
            <w:pPr>
              <w:pStyle w:val="GesAbsatz"/>
              <w:tabs>
                <w:tab w:val="left" w:pos="2268"/>
              </w:tabs>
              <w:jc w:val="left"/>
              <w:rPr>
                <w:rFonts w:cs="Arial"/>
              </w:rPr>
            </w:pPr>
            <w:r>
              <w:rPr>
                <w:rFonts w:cs="Arial"/>
              </w:rPr>
              <w:t>DIN EN ISO 17294-2:2017-01</w:t>
            </w:r>
          </w:p>
        </w:tc>
      </w:tr>
      <w:tr>
        <w:trPr>
          <w:trHeight w:val="582"/>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Atomfluoreszenzspektrometrie (AFS)</w:t>
            </w:r>
          </w:p>
        </w:tc>
        <w:tc>
          <w:tcPr>
            <w:tcW w:w="3119" w:type="dxa"/>
          </w:tcPr>
          <w:p>
            <w:pPr>
              <w:pStyle w:val="GesAbsatz"/>
              <w:tabs>
                <w:tab w:val="left" w:pos="2268"/>
              </w:tabs>
              <w:jc w:val="left"/>
              <w:rPr>
                <w:rFonts w:cs="Arial"/>
              </w:rPr>
            </w:pPr>
            <w:r>
              <w:rPr>
                <w:rFonts w:cs="Arial"/>
              </w:rPr>
              <w:t xml:space="preserve">DIN EN 16175-2:2016-12 </w:t>
            </w:r>
            <w:r>
              <w:rPr>
                <w:rFonts w:cs="Arial"/>
              </w:rPr>
              <w:br/>
              <w:t>DIN EN ISO 17852:2008-04</w:t>
            </w:r>
          </w:p>
        </w:tc>
      </w:tr>
      <w:tr>
        <w:trPr>
          <w:trHeight w:val="312"/>
        </w:trPr>
        <w:tc>
          <w:tcPr>
            <w:tcW w:w="2550" w:type="dxa"/>
            <w:vMerge w:val="restart"/>
          </w:tcPr>
          <w:p>
            <w:pPr>
              <w:pStyle w:val="GesAbsatz"/>
              <w:tabs>
                <w:tab w:val="left" w:pos="2268"/>
              </w:tabs>
              <w:jc w:val="left"/>
              <w:rPr>
                <w:rFonts w:cs="Arial"/>
              </w:rPr>
            </w:pPr>
            <w:r>
              <w:rPr>
                <w:rFonts w:cs="Arial"/>
              </w:rPr>
              <w:t>Selen</w:t>
            </w:r>
          </w:p>
        </w:tc>
        <w:tc>
          <w:tcPr>
            <w:tcW w:w="3679" w:type="dxa"/>
          </w:tcPr>
          <w:p>
            <w:pPr>
              <w:pStyle w:val="GesAbsatz"/>
              <w:tabs>
                <w:tab w:val="left" w:pos="2268"/>
              </w:tabs>
              <w:jc w:val="left"/>
              <w:rPr>
                <w:rFonts w:cs="Arial"/>
              </w:rPr>
            </w:pPr>
            <w:r>
              <w:rPr>
                <w:rFonts w:cs="Arial"/>
              </w:rPr>
              <w:t>ICP-AES/ICP-OES</w:t>
            </w:r>
          </w:p>
        </w:tc>
        <w:tc>
          <w:tcPr>
            <w:tcW w:w="3119" w:type="dxa"/>
          </w:tcPr>
          <w:p>
            <w:pPr>
              <w:pStyle w:val="GesAbsatz"/>
              <w:tabs>
                <w:tab w:val="left" w:pos="2268"/>
              </w:tabs>
              <w:jc w:val="left"/>
              <w:rPr>
                <w:rFonts w:cs="Arial"/>
              </w:rPr>
            </w:pPr>
            <w:r>
              <w:rPr>
                <w:rFonts w:cs="Arial"/>
              </w:rPr>
              <w:t>DIN ISO 22036:2009-06</w:t>
            </w:r>
          </w:p>
        </w:tc>
      </w:tr>
      <w:tr>
        <w:trPr>
          <w:trHeight w:val="312"/>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ICP-MS</w:t>
            </w:r>
          </w:p>
        </w:tc>
        <w:tc>
          <w:tcPr>
            <w:tcW w:w="3119" w:type="dxa"/>
          </w:tcPr>
          <w:p>
            <w:pPr>
              <w:pStyle w:val="GesAbsatz"/>
              <w:tabs>
                <w:tab w:val="left" w:pos="2268"/>
              </w:tabs>
              <w:jc w:val="left"/>
              <w:rPr>
                <w:rFonts w:cs="Arial"/>
              </w:rPr>
            </w:pPr>
            <w:r>
              <w:rPr>
                <w:rFonts w:cs="Arial"/>
              </w:rPr>
              <w:t>DIN EN ISO 17294-2:2017-01</w:t>
            </w:r>
          </w:p>
        </w:tc>
      </w:tr>
      <w:tr>
        <w:trPr>
          <w:trHeight w:val="838"/>
        </w:trPr>
        <w:tc>
          <w:tcPr>
            <w:tcW w:w="2550" w:type="dxa"/>
          </w:tcPr>
          <w:p>
            <w:pPr>
              <w:pStyle w:val="GesAbsatz"/>
              <w:tabs>
                <w:tab w:val="left" w:pos="2268"/>
              </w:tabs>
              <w:jc w:val="left"/>
              <w:rPr>
                <w:rFonts w:cs="Arial"/>
                <w:vertAlign w:val="subscript"/>
              </w:rPr>
            </w:pPr>
            <w:r>
              <w:rPr>
                <w:rFonts w:cs="Arial"/>
              </w:rPr>
              <w:t>Cyanide</w:t>
            </w:r>
            <w:r>
              <w:rPr>
                <w:rFonts w:cs="Arial"/>
                <w:vertAlign w:val="subscript"/>
              </w:rPr>
              <w:t>gesamt</w:t>
            </w:r>
          </w:p>
        </w:tc>
        <w:tc>
          <w:tcPr>
            <w:tcW w:w="3679" w:type="dxa"/>
          </w:tcPr>
          <w:p>
            <w:pPr>
              <w:pStyle w:val="GesAbsatz"/>
              <w:tabs>
                <w:tab w:val="left" w:pos="2268"/>
              </w:tabs>
              <w:jc w:val="left"/>
              <w:rPr>
                <w:rFonts w:cs="Arial"/>
              </w:rPr>
            </w:pPr>
            <w:r>
              <w:rPr>
                <w:rFonts w:cs="Arial"/>
              </w:rPr>
              <w:t>Spektralphotometrie</w:t>
            </w:r>
          </w:p>
        </w:tc>
        <w:tc>
          <w:tcPr>
            <w:tcW w:w="3119" w:type="dxa"/>
          </w:tcPr>
          <w:p>
            <w:pPr>
              <w:pStyle w:val="GesAbsatz"/>
              <w:tabs>
                <w:tab w:val="left" w:pos="2268"/>
              </w:tabs>
              <w:jc w:val="left"/>
              <w:rPr>
                <w:rFonts w:cs="Arial"/>
              </w:rPr>
            </w:pPr>
            <w:r>
              <w:rPr>
                <w:rFonts w:cs="Arial"/>
              </w:rPr>
              <w:t>DIN 38405-13:2011-04</w:t>
            </w:r>
            <w:r>
              <w:rPr>
                <w:rFonts w:cs="Arial"/>
              </w:rPr>
              <w:br/>
              <w:t>DIN EN ISO 14403-1:2012-10</w:t>
            </w:r>
            <w:r>
              <w:rPr>
                <w:rFonts w:cs="Arial"/>
              </w:rPr>
              <w:br/>
              <w:t>DIN EN ISO 14403-2:2012-10</w:t>
            </w:r>
          </w:p>
        </w:tc>
      </w:tr>
      <w:tr>
        <w:trPr>
          <w:trHeight w:val="838"/>
        </w:trPr>
        <w:tc>
          <w:tcPr>
            <w:tcW w:w="2550" w:type="dxa"/>
          </w:tcPr>
          <w:p>
            <w:pPr>
              <w:pStyle w:val="GesAbsatz"/>
              <w:tabs>
                <w:tab w:val="left" w:pos="2268"/>
              </w:tabs>
              <w:jc w:val="left"/>
              <w:rPr>
                <w:rFonts w:cs="Arial"/>
              </w:rPr>
            </w:pPr>
            <w:r>
              <w:rPr>
                <w:rFonts w:cs="Arial"/>
              </w:rPr>
              <w:t>Cyanide</w:t>
            </w:r>
            <w:r>
              <w:rPr>
                <w:rFonts w:cs="Arial"/>
                <w:vertAlign w:val="subscript"/>
              </w:rPr>
              <w:t>leicht freisetzbar</w:t>
            </w:r>
          </w:p>
        </w:tc>
        <w:tc>
          <w:tcPr>
            <w:tcW w:w="3679" w:type="dxa"/>
          </w:tcPr>
          <w:p>
            <w:pPr>
              <w:pStyle w:val="GesAbsatz"/>
              <w:tabs>
                <w:tab w:val="left" w:pos="2268"/>
              </w:tabs>
              <w:jc w:val="left"/>
              <w:rPr>
                <w:rFonts w:cs="Arial"/>
              </w:rPr>
            </w:pPr>
            <w:r>
              <w:rPr>
                <w:rFonts w:cs="Arial"/>
              </w:rPr>
              <w:t>Spektralphotometrie</w:t>
            </w:r>
          </w:p>
        </w:tc>
        <w:tc>
          <w:tcPr>
            <w:tcW w:w="3119" w:type="dxa"/>
          </w:tcPr>
          <w:p>
            <w:pPr>
              <w:pStyle w:val="GesAbsatz"/>
              <w:tabs>
                <w:tab w:val="left" w:pos="2268"/>
              </w:tabs>
              <w:jc w:val="left"/>
              <w:rPr>
                <w:rFonts w:cs="Arial"/>
              </w:rPr>
            </w:pPr>
            <w:r>
              <w:rPr>
                <w:rFonts w:cs="Arial"/>
              </w:rPr>
              <w:t>DIN 38405-13:2011-04</w:t>
            </w:r>
            <w:r>
              <w:rPr>
                <w:rFonts w:cs="Arial"/>
              </w:rPr>
              <w:br/>
              <w:t>DIN EN ISO 14403-1:2012-10</w:t>
            </w:r>
            <w:r>
              <w:rPr>
                <w:rFonts w:cs="Arial"/>
              </w:rPr>
              <w:br/>
              <w:t>DIN EN ISO 14403-2:2012-10</w:t>
            </w:r>
          </w:p>
        </w:tc>
      </w:tr>
      <w:tr>
        <w:trPr>
          <w:trHeight w:val="312"/>
        </w:trPr>
        <w:tc>
          <w:tcPr>
            <w:tcW w:w="2550" w:type="dxa"/>
            <w:vMerge w:val="restart"/>
          </w:tcPr>
          <w:p>
            <w:pPr>
              <w:pStyle w:val="GesAbsatz"/>
              <w:tabs>
                <w:tab w:val="left" w:pos="2268"/>
              </w:tabs>
              <w:jc w:val="left"/>
              <w:rPr>
                <w:rFonts w:cs="Arial"/>
              </w:rPr>
            </w:pPr>
            <w:r>
              <w:rPr>
                <w:rFonts w:cs="Arial"/>
              </w:rPr>
              <w:t>Fluorid, Sulfat</w:t>
            </w:r>
          </w:p>
        </w:tc>
        <w:tc>
          <w:tcPr>
            <w:tcW w:w="3679" w:type="dxa"/>
          </w:tcPr>
          <w:p>
            <w:pPr>
              <w:pStyle w:val="GesAbsatz"/>
              <w:tabs>
                <w:tab w:val="left" w:pos="2268"/>
              </w:tabs>
              <w:jc w:val="left"/>
              <w:rPr>
                <w:rFonts w:cs="Arial"/>
              </w:rPr>
            </w:pPr>
            <w:r>
              <w:rPr>
                <w:rFonts w:cs="Arial"/>
              </w:rPr>
              <w:t>Fluoridsensitive Elektrode</w:t>
            </w:r>
          </w:p>
        </w:tc>
        <w:tc>
          <w:tcPr>
            <w:tcW w:w="3119" w:type="dxa"/>
          </w:tcPr>
          <w:p>
            <w:pPr>
              <w:pStyle w:val="GesAbsatz"/>
              <w:tabs>
                <w:tab w:val="left" w:pos="2268"/>
              </w:tabs>
              <w:jc w:val="left"/>
              <w:rPr>
                <w:rFonts w:cs="Arial"/>
              </w:rPr>
            </w:pPr>
            <w:r>
              <w:rPr>
                <w:rFonts w:cs="Arial"/>
              </w:rPr>
              <w:t>DIN 38405-4:1985-07</w:t>
            </w:r>
          </w:p>
        </w:tc>
      </w:tr>
      <w:tr>
        <w:trPr>
          <w:trHeight w:val="312"/>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Ionenchromatographie</w:t>
            </w:r>
          </w:p>
        </w:tc>
        <w:tc>
          <w:tcPr>
            <w:tcW w:w="3119" w:type="dxa"/>
          </w:tcPr>
          <w:p>
            <w:pPr>
              <w:pStyle w:val="GesAbsatz"/>
              <w:tabs>
                <w:tab w:val="left" w:pos="2268"/>
              </w:tabs>
              <w:jc w:val="left"/>
              <w:rPr>
                <w:rFonts w:cs="Arial"/>
              </w:rPr>
            </w:pPr>
            <w:r>
              <w:rPr>
                <w:rFonts w:cs="Arial"/>
              </w:rPr>
              <w:t>DIN EN ISO 10304-1:2009-07</w:t>
            </w:r>
          </w:p>
        </w:tc>
      </w:tr>
    </w:tbl>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7: Verfahren zur Bestimmung der Konzentration organischer Stoffe</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2550"/>
        <w:gridCol w:w="3679"/>
        <w:gridCol w:w="3119"/>
      </w:tblGrid>
      <w:tr>
        <w:trPr>
          <w:trHeight w:val="332"/>
        </w:trPr>
        <w:tc>
          <w:tcPr>
            <w:tcW w:w="2550" w:type="dxa"/>
          </w:tcPr>
          <w:p>
            <w:pPr>
              <w:pStyle w:val="GesAbsatz"/>
              <w:tabs>
                <w:tab w:val="left" w:pos="2268"/>
              </w:tabs>
              <w:jc w:val="left"/>
              <w:rPr>
                <w:rFonts w:cs="Arial"/>
              </w:rPr>
            </w:pPr>
            <w:r>
              <w:rPr>
                <w:rFonts w:cs="Arial"/>
              </w:rPr>
              <w:t>Stoff</w:t>
            </w:r>
          </w:p>
        </w:tc>
        <w:tc>
          <w:tcPr>
            <w:tcW w:w="3679" w:type="dxa"/>
          </w:tcPr>
          <w:p>
            <w:pPr>
              <w:pStyle w:val="GesAbsatz"/>
              <w:tabs>
                <w:tab w:val="left" w:pos="2268"/>
              </w:tabs>
              <w:jc w:val="left"/>
              <w:rPr>
                <w:rFonts w:cs="Arial"/>
              </w:rPr>
            </w:pPr>
            <w:r>
              <w:rPr>
                <w:rFonts w:cs="Arial"/>
              </w:rPr>
              <w:t>Methode</w:t>
            </w:r>
          </w:p>
        </w:tc>
        <w:tc>
          <w:tcPr>
            <w:tcW w:w="3119" w:type="dxa"/>
          </w:tcPr>
          <w:p>
            <w:pPr>
              <w:pStyle w:val="GesAbsatz"/>
              <w:tabs>
                <w:tab w:val="left" w:pos="2268"/>
              </w:tabs>
              <w:jc w:val="left"/>
              <w:rPr>
                <w:rFonts w:cs="Arial"/>
              </w:rPr>
            </w:pPr>
            <w:r>
              <w:rPr>
                <w:rFonts w:cs="Arial"/>
              </w:rPr>
              <w:t>Norm</w:t>
            </w:r>
          </w:p>
        </w:tc>
      </w:tr>
      <w:tr>
        <w:trPr>
          <w:trHeight w:val="579"/>
        </w:trPr>
        <w:tc>
          <w:tcPr>
            <w:tcW w:w="2550" w:type="dxa"/>
            <w:vMerge w:val="restart"/>
          </w:tcPr>
          <w:p>
            <w:pPr>
              <w:pStyle w:val="GesAbsatz"/>
              <w:tabs>
                <w:tab w:val="left" w:pos="2268"/>
              </w:tabs>
              <w:jc w:val="left"/>
              <w:rPr>
                <w:rFonts w:cs="Arial"/>
              </w:rPr>
            </w:pPr>
            <w:r>
              <w:rPr>
                <w:rFonts w:cs="Arial"/>
              </w:rPr>
              <w:t>BTEX1</w:t>
            </w:r>
          </w:p>
        </w:tc>
        <w:tc>
          <w:tcPr>
            <w:tcW w:w="3679" w:type="dxa"/>
          </w:tcPr>
          <w:p>
            <w:pPr>
              <w:pStyle w:val="GesAbsatz"/>
              <w:tabs>
                <w:tab w:val="left" w:pos="2268"/>
              </w:tabs>
              <w:jc w:val="left"/>
              <w:rPr>
                <w:rFonts w:cs="Arial"/>
              </w:rPr>
            </w:pPr>
            <w:r>
              <w:rPr>
                <w:rFonts w:cs="Arial"/>
              </w:rPr>
              <w:t>GC-FID (Matrixbelastung beachten), HS-GC-MS</w:t>
            </w:r>
          </w:p>
        </w:tc>
        <w:tc>
          <w:tcPr>
            <w:tcW w:w="3119" w:type="dxa"/>
          </w:tcPr>
          <w:p>
            <w:pPr>
              <w:pStyle w:val="GesAbsatz"/>
              <w:tabs>
                <w:tab w:val="left" w:pos="2268"/>
              </w:tabs>
              <w:jc w:val="left"/>
              <w:rPr>
                <w:rFonts w:cs="Arial"/>
              </w:rPr>
            </w:pPr>
            <w:r>
              <w:rPr>
                <w:rFonts w:cs="Arial"/>
              </w:rPr>
              <w:t>DIN 38407-43:2014-10</w:t>
            </w:r>
          </w:p>
        </w:tc>
      </w:tr>
      <w:tr>
        <w:trPr>
          <w:trHeight w:val="579"/>
        </w:trPr>
        <w:tc>
          <w:tcPr>
            <w:tcW w:w="2550" w:type="dxa"/>
            <w:vMerge/>
          </w:tcPr>
          <w:p>
            <w:pPr>
              <w:pStyle w:val="GesAbsatz"/>
              <w:tabs>
                <w:tab w:val="left" w:pos="2268"/>
              </w:tabs>
              <w:jc w:val="left"/>
              <w:rPr>
                <w:rFonts w:cs="Arial"/>
              </w:rPr>
            </w:pPr>
          </w:p>
        </w:tc>
        <w:tc>
          <w:tcPr>
            <w:tcW w:w="3679" w:type="dxa"/>
          </w:tcPr>
          <w:p>
            <w:pPr>
              <w:pStyle w:val="GesAbsatz"/>
              <w:tabs>
                <w:tab w:val="left" w:pos="2268"/>
              </w:tabs>
              <w:jc w:val="left"/>
              <w:rPr>
                <w:rFonts w:cs="Arial"/>
              </w:rPr>
            </w:pPr>
            <w:r>
              <w:rPr>
                <w:rFonts w:cs="Arial"/>
              </w:rPr>
              <w:t xml:space="preserve">Purge und Trap-Anreicherung und </w:t>
            </w:r>
            <w:r>
              <w:rPr>
                <w:rFonts w:cs="Arial"/>
              </w:rPr>
              <w:br/>
              <w:t>thermischer Desorption</w:t>
            </w:r>
          </w:p>
        </w:tc>
        <w:tc>
          <w:tcPr>
            <w:tcW w:w="3119" w:type="dxa"/>
          </w:tcPr>
          <w:p>
            <w:pPr>
              <w:pStyle w:val="GesAbsatz"/>
              <w:tabs>
                <w:tab w:val="left" w:pos="2268"/>
              </w:tabs>
              <w:jc w:val="left"/>
              <w:rPr>
                <w:rFonts w:cs="Arial"/>
              </w:rPr>
            </w:pPr>
            <w:r>
              <w:rPr>
                <w:rFonts w:cs="Arial"/>
              </w:rPr>
              <w:t>DIN EN ISO 15680:2004-04</w:t>
            </w:r>
          </w:p>
        </w:tc>
      </w:tr>
      <w:tr>
        <w:trPr>
          <w:trHeight w:val="650"/>
        </w:trPr>
        <w:tc>
          <w:tcPr>
            <w:tcW w:w="2550" w:type="dxa"/>
          </w:tcPr>
          <w:p>
            <w:pPr>
              <w:pStyle w:val="GesAbsatz"/>
              <w:tabs>
                <w:tab w:val="left" w:pos="2268"/>
              </w:tabs>
              <w:jc w:val="left"/>
              <w:rPr>
                <w:rFonts w:cs="Arial"/>
              </w:rPr>
            </w:pPr>
            <w:r>
              <w:rPr>
                <w:rFonts w:cs="Arial"/>
              </w:rPr>
              <w:t>Anthracen</w:t>
            </w:r>
          </w:p>
        </w:tc>
        <w:tc>
          <w:tcPr>
            <w:tcW w:w="3679" w:type="dxa"/>
          </w:tcPr>
          <w:p>
            <w:pPr>
              <w:pStyle w:val="GesAbsatz"/>
              <w:tabs>
                <w:tab w:val="left" w:pos="2268"/>
              </w:tabs>
              <w:jc w:val="left"/>
              <w:rPr>
                <w:rFonts w:cs="Arial"/>
              </w:rPr>
            </w:pPr>
            <w:r>
              <w:rPr>
                <w:rFonts w:cs="Arial"/>
              </w:rPr>
              <w:t>HPLC-F, GC-MS</w:t>
            </w:r>
          </w:p>
        </w:tc>
        <w:tc>
          <w:tcPr>
            <w:tcW w:w="3119" w:type="dxa"/>
          </w:tcPr>
          <w:p>
            <w:pPr>
              <w:pStyle w:val="GesAbsatz"/>
              <w:tabs>
                <w:tab w:val="left" w:pos="2268"/>
              </w:tabs>
              <w:jc w:val="left"/>
              <w:rPr>
                <w:rFonts w:cs="Arial"/>
              </w:rPr>
            </w:pPr>
            <w:r>
              <w:rPr>
                <w:rFonts w:cs="Arial"/>
              </w:rPr>
              <w:t xml:space="preserve">DIN EN ISO 17993:2004-03 </w:t>
            </w:r>
            <w:r>
              <w:rPr>
                <w:rFonts w:cs="Arial"/>
              </w:rPr>
              <w:br/>
              <w:t>DIN 38407-39:2011-09</w:t>
            </w:r>
          </w:p>
        </w:tc>
      </w:tr>
      <w:tr>
        <w:trPr>
          <w:trHeight w:val="650"/>
        </w:trPr>
        <w:tc>
          <w:tcPr>
            <w:tcW w:w="2550" w:type="dxa"/>
          </w:tcPr>
          <w:p>
            <w:pPr>
              <w:pStyle w:val="GesAbsatz"/>
              <w:tabs>
                <w:tab w:val="left" w:pos="2268"/>
              </w:tabs>
              <w:jc w:val="left"/>
              <w:rPr>
                <w:rFonts w:cs="Arial"/>
              </w:rPr>
            </w:pPr>
            <w:r>
              <w:rPr>
                <w:rFonts w:cs="Arial"/>
              </w:rPr>
              <w:t>Benzo(a)pyren</w:t>
            </w:r>
          </w:p>
        </w:tc>
        <w:tc>
          <w:tcPr>
            <w:tcW w:w="3679" w:type="dxa"/>
          </w:tcPr>
          <w:p>
            <w:pPr>
              <w:pStyle w:val="GesAbsatz"/>
              <w:tabs>
                <w:tab w:val="left" w:pos="2268"/>
              </w:tabs>
              <w:jc w:val="left"/>
              <w:rPr>
                <w:rFonts w:cs="Arial"/>
              </w:rPr>
            </w:pPr>
            <w:r>
              <w:rPr>
                <w:rFonts w:cs="Arial"/>
              </w:rPr>
              <w:t>HPLC-F, GC-MS</w:t>
            </w:r>
          </w:p>
        </w:tc>
        <w:tc>
          <w:tcPr>
            <w:tcW w:w="3119" w:type="dxa"/>
          </w:tcPr>
          <w:p>
            <w:pPr>
              <w:pStyle w:val="GesAbsatz"/>
              <w:tabs>
                <w:tab w:val="left" w:pos="2268"/>
              </w:tabs>
              <w:jc w:val="left"/>
              <w:rPr>
                <w:rFonts w:cs="Arial"/>
              </w:rPr>
            </w:pPr>
            <w:r>
              <w:rPr>
                <w:rFonts w:cs="Arial"/>
              </w:rPr>
              <w:t xml:space="preserve">DIN EN ISO 17993:2004-03 </w:t>
            </w:r>
            <w:r>
              <w:rPr>
                <w:rFonts w:cs="Arial"/>
              </w:rPr>
              <w:br/>
              <w:t>DIN 38407-39:2011-09</w:t>
            </w:r>
          </w:p>
        </w:tc>
      </w:tr>
      <w:tr>
        <w:trPr>
          <w:trHeight w:val="650"/>
        </w:trPr>
        <w:tc>
          <w:tcPr>
            <w:tcW w:w="2550" w:type="dxa"/>
          </w:tcPr>
          <w:p>
            <w:pPr>
              <w:pStyle w:val="GesAbsatz"/>
              <w:tabs>
                <w:tab w:val="left" w:pos="2268"/>
              </w:tabs>
              <w:jc w:val="left"/>
              <w:rPr>
                <w:rFonts w:cs="Arial"/>
              </w:rPr>
            </w:pPr>
            <w:r>
              <w:rPr>
                <w:rFonts w:cs="Arial"/>
              </w:rPr>
              <w:t>Benzol</w:t>
            </w:r>
          </w:p>
        </w:tc>
        <w:tc>
          <w:tcPr>
            <w:tcW w:w="3679" w:type="dxa"/>
          </w:tcPr>
          <w:p>
            <w:pPr>
              <w:pStyle w:val="GesAbsatz"/>
              <w:tabs>
                <w:tab w:val="left" w:pos="2268"/>
              </w:tabs>
              <w:jc w:val="left"/>
              <w:rPr>
                <w:rFonts w:cs="Arial"/>
              </w:rPr>
            </w:pPr>
            <w:r>
              <w:rPr>
                <w:rFonts w:cs="Arial"/>
              </w:rPr>
              <w:t>HS-GC-MS,</w:t>
            </w:r>
          </w:p>
          <w:p>
            <w:pPr>
              <w:pStyle w:val="GesAbsatz"/>
              <w:tabs>
                <w:tab w:val="left" w:pos="2268"/>
              </w:tabs>
              <w:jc w:val="left"/>
              <w:rPr>
                <w:rFonts w:cs="Arial"/>
              </w:rPr>
            </w:pPr>
            <w:r>
              <w:rPr>
                <w:rFonts w:cs="Arial"/>
              </w:rPr>
              <w:t>HS-SPME GC-MS</w:t>
            </w:r>
          </w:p>
        </w:tc>
        <w:tc>
          <w:tcPr>
            <w:tcW w:w="3119" w:type="dxa"/>
          </w:tcPr>
          <w:p>
            <w:pPr>
              <w:pStyle w:val="GesAbsatz"/>
              <w:tabs>
                <w:tab w:val="left" w:pos="2268"/>
              </w:tabs>
              <w:jc w:val="left"/>
              <w:rPr>
                <w:rFonts w:cs="Arial"/>
              </w:rPr>
            </w:pPr>
            <w:r>
              <w:rPr>
                <w:rFonts w:cs="Arial"/>
              </w:rPr>
              <w:t>DIN 38407-43:2014-10</w:t>
            </w:r>
          </w:p>
          <w:p>
            <w:pPr>
              <w:pStyle w:val="GesAbsatz"/>
              <w:tabs>
                <w:tab w:val="left" w:pos="2268"/>
              </w:tabs>
              <w:jc w:val="left"/>
              <w:rPr>
                <w:rFonts w:cs="Arial"/>
              </w:rPr>
            </w:pPr>
            <w:r>
              <w:rPr>
                <w:rFonts w:cs="Arial"/>
              </w:rPr>
              <w:t>DIN EN ISO 17943:2016-10</w:t>
            </w:r>
          </w:p>
        </w:tc>
      </w:tr>
      <w:tr>
        <w:trPr>
          <w:trHeight w:val="380"/>
        </w:trPr>
        <w:tc>
          <w:tcPr>
            <w:tcW w:w="2550" w:type="dxa"/>
          </w:tcPr>
          <w:p>
            <w:pPr>
              <w:pStyle w:val="GesAbsatz"/>
              <w:tabs>
                <w:tab w:val="left" w:pos="2268"/>
              </w:tabs>
              <w:jc w:val="left"/>
              <w:rPr>
                <w:rFonts w:cs="Arial"/>
              </w:rPr>
            </w:pPr>
            <w:r>
              <w:rPr>
                <w:rFonts w:cs="Arial"/>
              </w:rPr>
              <w:t>Summe Chlorbenzole</w:t>
            </w:r>
          </w:p>
        </w:tc>
        <w:tc>
          <w:tcPr>
            <w:tcW w:w="3679" w:type="dxa"/>
          </w:tcPr>
          <w:p>
            <w:pPr>
              <w:pStyle w:val="GesAbsatz"/>
              <w:tabs>
                <w:tab w:val="left" w:pos="2268"/>
              </w:tabs>
              <w:jc w:val="left"/>
              <w:rPr>
                <w:rFonts w:cs="Arial"/>
              </w:rPr>
            </w:pPr>
            <w:r>
              <w:rPr>
                <w:rFonts w:cs="Arial"/>
              </w:rPr>
              <w:t>GC-MS</w:t>
            </w:r>
          </w:p>
        </w:tc>
        <w:tc>
          <w:tcPr>
            <w:tcW w:w="3119" w:type="dxa"/>
          </w:tcPr>
          <w:p>
            <w:pPr>
              <w:pStyle w:val="GesAbsatz"/>
              <w:tabs>
                <w:tab w:val="left" w:pos="2268"/>
              </w:tabs>
              <w:jc w:val="left"/>
              <w:rPr>
                <w:rFonts w:cs="Arial"/>
              </w:rPr>
            </w:pPr>
            <w:r>
              <w:rPr>
                <w:rFonts w:cs="Arial"/>
              </w:rPr>
              <w:t>DIN 38407-37:2013-11</w:t>
            </w:r>
          </w:p>
        </w:tc>
      </w:tr>
      <w:tr>
        <w:trPr>
          <w:trHeight w:val="380"/>
        </w:trPr>
        <w:tc>
          <w:tcPr>
            <w:tcW w:w="2550" w:type="dxa"/>
          </w:tcPr>
          <w:p>
            <w:pPr>
              <w:pStyle w:val="GesAbsatz"/>
              <w:tabs>
                <w:tab w:val="left" w:pos="2268"/>
              </w:tabs>
              <w:jc w:val="left"/>
              <w:rPr>
                <w:rFonts w:cs="Arial"/>
              </w:rPr>
            </w:pPr>
            <w:r>
              <w:rPr>
                <w:rFonts w:cs="Arial"/>
              </w:rPr>
              <w:t>Chlorethen (Vinylchlorid)</w:t>
            </w:r>
          </w:p>
        </w:tc>
        <w:tc>
          <w:tcPr>
            <w:tcW w:w="3679" w:type="dxa"/>
          </w:tcPr>
          <w:p>
            <w:pPr>
              <w:pStyle w:val="GesAbsatz"/>
              <w:tabs>
                <w:tab w:val="left" w:pos="2268"/>
              </w:tabs>
              <w:jc w:val="left"/>
              <w:rPr>
                <w:rFonts w:cs="Arial"/>
              </w:rPr>
            </w:pPr>
            <w:r>
              <w:rPr>
                <w:rFonts w:cs="Arial"/>
              </w:rPr>
              <w:t>HS-SPME GC-MS</w:t>
            </w:r>
          </w:p>
        </w:tc>
        <w:tc>
          <w:tcPr>
            <w:tcW w:w="3119" w:type="dxa"/>
          </w:tcPr>
          <w:p>
            <w:pPr>
              <w:pStyle w:val="GesAbsatz"/>
              <w:tabs>
                <w:tab w:val="left" w:pos="2268"/>
              </w:tabs>
              <w:jc w:val="left"/>
              <w:rPr>
                <w:rFonts w:cs="Arial"/>
              </w:rPr>
            </w:pPr>
            <w:r>
              <w:rPr>
                <w:rFonts w:cs="Arial"/>
              </w:rPr>
              <w:t>DIN EN ISO 17943:2016-10</w:t>
            </w:r>
          </w:p>
        </w:tc>
      </w:tr>
      <w:tr>
        <w:trPr>
          <w:trHeight w:val="380"/>
        </w:trPr>
        <w:tc>
          <w:tcPr>
            <w:tcW w:w="2550" w:type="dxa"/>
          </w:tcPr>
          <w:p>
            <w:pPr>
              <w:pStyle w:val="GesAbsatz"/>
              <w:tabs>
                <w:tab w:val="left" w:pos="2268"/>
              </w:tabs>
              <w:jc w:val="left"/>
              <w:rPr>
                <w:rFonts w:cs="Arial"/>
              </w:rPr>
            </w:pPr>
            <w:r>
              <w:rPr>
                <w:rFonts w:cs="Arial"/>
              </w:rPr>
              <w:t>Summe Chlorphenole</w:t>
            </w:r>
          </w:p>
        </w:tc>
        <w:tc>
          <w:tcPr>
            <w:tcW w:w="3679" w:type="dxa"/>
          </w:tcPr>
          <w:p>
            <w:pPr>
              <w:pStyle w:val="GesAbsatz"/>
              <w:tabs>
                <w:tab w:val="left" w:pos="2268"/>
              </w:tabs>
              <w:jc w:val="left"/>
              <w:rPr>
                <w:rFonts w:cs="Arial"/>
              </w:rPr>
            </w:pPr>
            <w:r>
              <w:rPr>
                <w:rFonts w:cs="Arial"/>
              </w:rPr>
              <w:t>GC-ECD, GC-MS</w:t>
            </w:r>
          </w:p>
        </w:tc>
        <w:tc>
          <w:tcPr>
            <w:tcW w:w="3119" w:type="dxa"/>
          </w:tcPr>
          <w:p>
            <w:pPr>
              <w:pStyle w:val="GesAbsatz"/>
              <w:tabs>
                <w:tab w:val="left" w:pos="2268"/>
              </w:tabs>
              <w:jc w:val="left"/>
              <w:rPr>
                <w:rFonts w:cs="Arial"/>
              </w:rPr>
            </w:pPr>
            <w:r>
              <w:rPr>
                <w:rFonts w:cs="Arial"/>
              </w:rPr>
              <w:t>DIN EN 12673:1999-05</w:t>
            </w:r>
          </w:p>
        </w:tc>
      </w:tr>
      <w:tr>
        <w:trPr>
          <w:trHeight w:val="380"/>
        </w:trPr>
        <w:tc>
          <w:tcPr>
            <w:tcW w:w="2550" w:type="dxa"/>
          </w:tcPr>
          <w:p>
            <w:pPr>
              <w:pStyle w:val="GesAbsatz"/>
              <w:tabs>
                <w:tab w:val="left" w:pos="2268"/>
              </w:tabs>
              <w:jc w:val="left"/>
              <w:rPr>
                <w:rFonts w:cs="Arial"/>
              </w:rPr>
            </w:pPr>
            <w:r>
              <w:rPr>
                <w:rFonts w:cs="Arial"/>
              </w:rPr>
              <w:t>Pentachlorphenol</w:t>
            </w:r>
          </w:p>
        </w:tc>
        <w:tc>
          <w:tcPr>
            <w:tcW w:w="3679" w:type="dxa"/>
          </w:tcPr>
          <w:p>
            <w:pPr>
              <w:pStyle w:val="GesAbsatz"/>
              <w:tabs>
                <w:tab w:val="left" w:pos="2268"/>
              </w:tabs>
              <w:jc w:val="left"/>
              <w:rPr>
                <w:rFonts w:cs="Arial"/>
              </w:rPr>
            </w:pPr>
            <w:r>
              <w:rPr>
                <w:rFonts w:cs="Arial"/>
              </w:rPr>
              <w:t>GC-ECD, GC-MS</w:t>
            </w:r>
          </w:p>
        </w:tc>
        <w:tc>
          <w:tcPr>
            <w:tcW w:w="3119" w:type="dxa"/>
          </w:tcPr>
          <w:p>
            <w:pPr>
              <w:pStyle w:val="GesAbsatz"/>
              <w:tabs>
                <w:tab w:val="left" w:pos="2268"/>
              </w:tabs>
              <w:jc w:val="left"/>
              <w:rPr>
                <w:rFonts w:cs="Arial"/>
              </w:rPr>
            </w:pPr>
            <w:r>
              <w:rPr>
                <w:rFonts w:cs="Arial"/>
              </w:rPr>
              <w:t>DIN EN 12673:1999-05</w:t>
            </w:r>
          </w:p>
        </w:tc>
      </w:tr>
      <w:tr>
        <w:trPr>
          <w:trHeight w:val="380"/>
        </w:trPr>
        <w:tc>
          <w:tcPr>
            <w:tcW w:w="2550" w:type="dxa"/>
          </w:tcPr>
          <w:p>
            <w:pPr>
              <w:pStyle w:val="GesAbsatz"/>
              <w:tabs>
                <w:tab w:val="left" w:pos="2268"/>
              </w:tabs>
              <w:jc w:val="left"/>
              <w:rPr>
                <w:rFonts w:cs="Arial"/>
              </w:rPr>
            </w:pPr>
            <w:r>
              <w:rPr>
                <w:rFonts w:cs="Arial"/>
              </w:rPr>
              <w:t>Hexachlorbenzol (HCB)</w:t>
            </w:r>
          </w:p>
        </w:tc>
        <w:tc>
          <w:tcPr>
            <w:tcW w:w="3679" w:type="dxa"/>
          </w:tcPr>
          <w:p>
            <w:pPr>
              <w:pStyle w:val="GesAbsatz"/>
              <w:tabs>
                <w:tab w:val="left" w:pos="2268"/>
              </w:tabs>
              <w:jc w:val="left"/>
              <w:rPr>
                <w:rFonts w:cs="Arial"/>
              </w:rPr>
            </w:pPr>
            <w:r>
              <w:rPr>
                <w:rFonts w:cs="Arial"/>
              </w:rPr>
              <w:t>GC-MS</w:t>
            </w:r>
          </w:p>
        </w:tc>
        <w:tc>
          <w:tcPr>
            <w:tcW w:w="3119" w:type="dxa"/>
          </w:tcPr>
          <w:p>
            <w:pPr>
              <w:pStyle w:val="GesAbsatz"/>
              <w:tabs>
                <w:tab w:val="left" w:pos="2268"/>
              </w:tabs>
              <w:jc w:val="left"/>
              <w:rPr>
                <w:rFonts w:cs="Arial"/>
              </w:rPr>
            </w:pPr>
            <w:r>
              <w:rPr>
                <w:rFonts w:cs="Arial"/>
              </w:rPr>
              <w:t>DIN 38407-37:2013-11</w:t>
            </w:r>
          </w:p>
        </w:tc>
      </w:tr>
      <w:tr>
        <w:trPr>
          <w:trHeight w:val="579"/>
        </w:trPr>
        <w:tc>
          <w:tcPr>
            <w:tcW w:w="2550" w:type="dxa"/>
          </w:tcPr>
          <w:p>
            <w:pPr>
              <w:pStyle w:val="GesAbsatz"/>
              <w:tabs>
                <w:tab w:val="left" w:pos="2268"/>
              </w:tabs>
              <w:jc w:val="left"/>
              <w:rPr>
                <w:rFonts w:cs="Arial"/>
              </w:rPr>
            </w:pPr>
            <w:r>
              <w:rPr>
                <w:rFonts w:cs="Arial"/>
              </w:rPr>
              <w:t xml:space="preserve">Summe </w:t>
            </w:r>
            <w:r>
              <w:rPr>
                <w:rFonts w:cs="Arial"/>
              </w:rPr>
              <w:br/>
              <w:t>Kohlenwasserstoffe</w:t>
            </w:r>
            <w:r>
              <w:rPr>
                <w:rFonts w:cs="Arial"/>
                <w:vertAlign w:val="superscript"/>
              </w:rPr>
              <w:t>2</w:t>
            </w:r>
          </w:p>
        </w:tc>
        <w:tc>
          <w:tcPr>
            <w:tcW w:w="3679" w:type="dxa"/>
          </w:tcPr>
          <w:p>
            <w:pPr>
              <w:pStyle w:val="GesAbsatz"/>
              <w:tabs>
                <w:tab w:val="left" w:pos="2268"/>
              </w:tabs>
              <w:jc w:val="left"/>
              <w:rPr>
                <w:rFonts w:cs="Arial"/>
              </w:rPr>
            </w:pPr>
            <w:r>
              <w:rPr>
                <w:rFonts w:cs="Arial"/>
              </w:rPr>
              <w:t xml:space="preserve">Extraktion mit Petrolether, </w:t>
            </w:r>
            <w:r>
              <w:rPr>
                <w:rFonts w:cs="Arial"/>
              </w:rPr>
              <w:br/>
              <w:t>gaschromatographische Quantifizierung</w:t>
            </w:r>
          </w:p>
        </w:tc>
        <w:tc>
          <w:tcPr>
            <w:tcW w:w="3119" w:type="dxa"/>
          </w:tcPr>
          <w:p>
            <w:pPr>
              <w:pStyle w:val="GesAbsatz"/>
              <w:tabs>
                <w:tab w:val="left" w:pos="2268"/>
              </w:tabs>
              <w:jc w:val="left"/>
              <w:rPr>
                <w:rFonts w:cs="Arial"/>
              </w:rPr>
            </w:pPr>
            <w:r>
              <w:rPr>
                <w:rFonts w:cs="Arial"/>
              </w:rPr>
              <w:t>DIN EN ISO 9377-2:2001-07</w:t>
            </w:r>
          </w:p>
        </w:tc>
      </w:tr>
      <w:tr>
        <w:trPr>
          <w:trHeight w:val="906"/>
        </w:trPr>
        <w:tc>
          <w:tcPr>
            <w:tcW w:w="2550" w:type="dxa"/>
          </w:tcPr>
          <w:p>
            <w:pPr>
              <w:pStyle w:val="GesAbsatz"/>
              <w:tabs>
                <w:tab w:val="left" w:pos="2268"/>
              </w:tabs>
              <w:jc w:val="left"/>
              <w:rPr>
                <w:rFonts w:cs="Arial"/>
              </w:rPr>
            </w:pPr>
            <w:r>
              <w:rPr>
                <w:rFonts w:cs="Arial"/>
              </w:rPr>
              <w:t>LHKW</w:t>
            </w:r>
            <w:r>
              <w:rPr>
                <w:rFonts w:cs="Arial"/>
                <w:vertAlign w:val="superscript"/>
              </w:rPr>
              <w:t>3</w:t>
            </w:r>
          </w:p>
        </w:tc>
        <w:tc>
          <w:tcPr>
            <w:tcW w:w="3679" w:type="dxa"/>
          </w:tcPr>
          <w:p>
            <w:pPr>
              <w:pStyle w:val="GesAbsatz"/>
              <w:tabs>
                <w:tab w:val="left" w:pos="2268"/>
              </w:tabs>
              <w:jc w:val="left"/>
              <w:rPr>
                <w:rFonts w:cs="Arial"/>
              </w:rPr>
            </w:pPr>
            <w:r>
              <w:rPr>
                <w:rFonts w:cs="Arial"/>
              </w:rPr>
              <w:t>GC-MS</w:t>
            </w:r>
          </w:p>
          <w:p>
            <w:pPr>
              <w:pStyle w:val="GesAbsatz"/>
              <w:tabs>
                <w:tab w:val="left" w:pos="2268"/>
              </w:tabs>
              <w:jc w:val="left"/>
              <w:rPr>
                <w:rFonts w:cs="Arial"/>
              </w:rPr>
            </w:pPr>
            <w:r>
              <w:rPr>
                <w:rFonts w:cs="Arial"/>
              </w:rPr>
              <w:t>GC</w:t>
            </w:r>
          </w:p>
          <w:p>
            <w:pPr>
              <w:pStyle w:val="GesAbsatz"/>
              <w:tabs>
                <w:tab w:val="left" w:pos="2268"/>
              </w:tabs>
              <w:jc w:val="left"/>
              <w:rPr>
                <w:rFonts w:cs="Arial"/>
              </w:rPr>
            </w:pPr>
            <w:r>
              <w:rPr>
                <w:rFonts w:cs="Arial"/>
              </w:rPr>
              <w:lastRenderedPageBreak/>
              <w:t>HS-SPME GC-MS</w:t>
            </w:r>
          </w:p>
        </w:tc>
        <w:tc>
          <w:tcPr>
            <w:tcW w:w="3119" w:type="dxa"/>
          </w:tcPr>
          <w:p>
            <w:pPr>
              <w:pStyle w:val="GesAbsatz"/>
              <w:tabs>
                <w:tab w:val="left" w:pos="2268"/>
              </w:tabs>
              <w:jc w:val="left"/>
              <w:rPr>
                <w:rFonts w:cs="Arial"/>
              </w:rPr>
            </w:pPr>
            <w:r>
              <w:rPr>
                <w:rFonts w:cs="Arial"/>
              </w:rPr>
              <w:lastRenderedPageBreak/>
              <w:t>DIN 38407-43:2014-10</w:t>
            </w:r>
          </w:p>
          <w:p>
            <w:pPr>
              <w:pStyle w:val="GesAbsatz"/>
              <w:tabs>
                <w:tab w:val="left" w:pos="2268"/>
              </w:tabs>
              <w:jc w:val="left"/>
              <w:rPr>
                <w:rFonts w:cs="Arial"/>
              </w:rPr>
            </w:pPr>
            <w:r>
              <w:rPr>
                <w:rFonts w:cs="Arial"/>
              </w:rPr>
              <w:t xml:space="preserve">DIN EN ISO 10301:1997-08 </w:t>
            </w:r>
          </w:p>
          <w:p>
            <w:pPr>
              <w:pStyle w:val="GesAbsatz"/>
              <w:tabs>
                <w:tab w:val="left" w:pos="2268"/>
              </w:tabs>
              <w:jc w:val="left"/>
              <w:rPr>
                <w:rFonts w:cs="Arial"/>
              </w:rPr>
            </w:pPr>
            <w:r>
              <w:rPr>
                <w:rFonts w:cs="Arial"/>
              </w:rPr>
              <w:lastRenderedPageBreak/>
              <w:t>DIN EN ISO 17943:2016-10</w:t>
            </w:r>
          </w:p>
        </w:tc>
      </w:tr>
      <w:tr>
        <w:trPr>
          <w:trHeight w:val="650"/>
        </w:trPr>
        <w:tc>
          <w:tcPr>
            <w:tcW w:w="2550" w:type="dxa"/>
          </w:tcPr>
          <w:p>
            <w:pPr>
              <w:pStyle w:val="GesAbsatz"/>
              <w:tabs>
                <w:tab w:val="left" w:pos="2268"/>
              </w:tabs>
              <w:jc w:val="left"/>
              <w:rPr>
                <w:rFonts w:cs="Arial"/>
              </w:rPr>
            </w:pPr>
            <w:r>
              <w:rPr>
                <w:rFonts w:cs="Arial"/>
              </w:rPr>
              <w:lastRenderedPageBreak/>
              <w:t>Methyl-tertiär-butylether</w:t>
            </w:r>
            <w:r>
              <w:rPr>
                <w:rFonts w:cs="Arial"/>
              </w:rPr>
              <w:br/>
              <w:t>(MTBE)</w:t>
            </w:r>
          </w:p>
        </w:tc>
        <w:tc>
          <w:tcPr>
            <w:tcW w:w="3679" w:type="dxa"/>
          </w:tcPr>
          <w:p>
            <w:pPr>
              <w:pStyle w:val="GesAbsatz"/>
              <w:tabs>
                <w:tab w:val="left" w:pos="2268"/>
              </w:tabs>
              <w:jc w:val="left"/>
              <w:rPr>
                <w:rFonts w:cs="Arial"/>
              </w:rPr>
            </w:pPr>
            <w:r>
              <w:rPr>
                <w:rFonts w:cs="Arial"/>
              </w:rPr>
              <w:t>GC-MS,</w:t>
            </w:r>
          </w:p>
          <w:p>
            <w:pPr>
              <w:pStyle w:val="GesAbsatz"/>
              <w:tabs>
                <w:tab w:val="left" w:pos="2268"/>
              </w:tabs>
              <w:jc w:val="left"/>
              <w:rPr>
                <w:rFonts w:cs="Arial"/>
              </w:rPr>
            </w:pPr>
            <w:r>
              <w:rPr>
                <w:rFonts w:cs="Arial"/>
              </w:rPr>
              <w:t>HS-SPME GC-MS</w:t>
            </w:r>
          </w:p>
        </w:tc>
        <w:tc>
          <w:tcPr>
            <w:tcW w:w="3119" w:type="dxa"/>
          </w:tcPr>
          <w:p>
            <w:pPr>
              <w:pStyle w:val="GesAbsatz"/>
              <w:tabs>
                <w:tab w:val="left" w:pos="2268"/>
              </w:tabs>
              <w:jc w:val="left"/>
              <w:rPr>
                <w:rFonts w:cs="Arial"/>
              </w:rPr>
            </w:pPr>
            <w:r>
              <w:rPr>
                <w:rFonts w:cs="Arial"/>
              </w:rPr>
              <w:t>DIN 38407-43:2014-10</w:t>
            </w:r>
          </w:p>
          <w:p>
            <w:pPr>
              <w:pStyle w:val="GesAbsatz"/>
              <w:tabs>
                <w:tab w:val="left" w:pos="2268"/>
              </w:tabs>
              <w:jc w:val="left"/>
              <w:rPr>
                <w:rFonts w:cs="Arial"/>
              </w:rPr>
            </w:pPr>
            <w:r>
              <w:rPr>
                <w:rFonts w:cs="Arial"/>
              </w:rPr>
              <w:t>DIN EN ISO 17943:2016-10</w:t>
            </w:r>
          </w:p>
        </w:tc>
      </w:tr>
      <w:tr>
        <w:trPr>
          <w:trHeight w:val="1361"/>
        </w:trPr>
        <w:tc>
          <w:tcPr>
            <w:tcW w:w="2550" w:type="dxa"/>
          </w:tcPr>
          <w:p>
            <w:pPr>
              <w:pStyle w:val="GesAbsatz"/>
              <w:tabs>
                <w:tab w:val="left" w:pos="2268"/>
              </w:tabs>
              <w:jc w:val="left"/>
              <w:rPr>
                <w:rFonts w:cs="Arial"/>
              </w:rPr>
            </w:pPr>
            <w:r>
              <w:rPr>
                <w:rFonts w:cs="Arial"/>
              </w:rPr>
              <w:t xml:space="preserve">Naphthalin und </w:t>
            </w:r>
            <w:r>
              <w:rPr>
                <w:rFonts w:cs="Arial"/>
              </w:rPr>
              <w:br/>
              <w:t>Methylnaphthaline</w:t>
            </w:r>
          </w:p>
        </w:tc>
        <w:tc>
          <w:tcPr>
            <w:tcW w:w="3679" w:type="dxa"/>
          </w:tcPr>
          <w:p>
            <w:pPr>
              <w:pStyle w:val="GesAbsatz"/>
              <w:tabs>
                <w:tab w:val="left" w:pos="2268"/>
              </w:tabs>
              <w:jc w:val="left"/>
              <w:rPr>
                <w:rFonts w:cs="Arial"/>
              </w:rPr>
            </w:pPr>
            <w:r>
              <w:rPr>
                <w:rFonts w:cs="Arial"/>
              </w:rPr>
              <w:t>GC-MS</w:t>
            </w:r>
          </w:p>
          <w:p>
            <w:pPr>
              <w:pStyle w:val="GesAbsatz"/>
              <w:tabs>
                <w:tab w:val="left" w:pos="2268"/>
              </w:tabs>
              <w:jc w:val="left"/>
              <w:rPr>
                <w:rFonts w:cs="Arial"/>
              </w:rPr>
            </w:pPr>
            <w:r>
              <w:rPr>
                <w:rFonts w:cs="Arial"/>
                <w:lang w:val="en-US"/>
              </w:rPr>
              <w:t>Purge</w:t>
            </w:r>
            <w:r>
              <w:rPr>
                <w:rFonts w:cs="Arial"/>
              </w:rPr>
              <w:t xml:space="preserve"> und Trap-Anreicherung und thermischer Desorption</w:t>
            </w:r>
          </w:p>
          <w:p>
            <w:pPr>
              <w:pStyle w:val="GesAbsatz"/>
              <w:tabs>
                <w:tab w:val="left" w:pos="2268"/>
              </w:tabs>
              <w:jc w:val="left"/>
              <w:rPr>
                <w:rFonts w:cs="Arial"/>
              </w:rPr>
            </w:pPr>
            <w:r>
              <w:rPr>
                <w:rFonts w:cs="Arial"/>
              </w:rPr>
              <w:t>GC-MS</w:t>
            </w:r>
          </w:p>
          <w:p>
            <w:pPr>
              <w:pStyle w:val="GesAbsatz"/>
              <w:tabs>
                <w:tab w:val="left" w:pos="2268"/>
              </w:tabs>
              <w:jc w:val="left"/>
              <w:rPr>
                <w:rFonts w:cs="Arial"/>
              </w:rPr>
            </w:pPr>
            <w:r>
              <w:rPr>
                <w:rFonts w:cs="Arial"/>
              </w:rPr>
              <w:t>HS-SPME GC-MS</w:t>
            </w:r>
          </w:p>
        </w:tc>
        <w:tc>
          <w:tcPr>
            <w:tcW w:w="3119" w:type="dxa"/>
          </w:tcPr>
          <w:p>
            <w:pPr>
              <w:pStyle w:val="GesAbsatz"/>
              <w:tabs>
                <w:tab w:val="left" w:pos="2268"/>
              </w:tabs>
              <w:jc w:val="left"/>
              <w:rPr>
                <w:rFonts w:cs="Arial"/>
              </w:rPr>
            </w:pPr>
            <w:r>
              <w:rPr>
                <w:rFonts w:cs="Arial"/>
              </w:rPr>
              <w:t>DIN 38407-39:2011-09</w:t>
            </w:r>
          </w:p>
          <w:p>
            <w:pPr>
              <w:pStyle w:val="GesAbsatz"/>
              <w:tabs>
                <w:tab w:val="left" w:pos="2268"/>
              </w:tabs>
              <w:jc w:val="left"/>
              <w:rPr>
                <w:rFonts w:cs="Arial"/>
              </w:rPr>
            </w:pPr>
            <w:r>
              <w:rPr>
                <w:rFonts w:cs="Arial"/>
              </w:rPr>
              <w:t>DIN EN ISO 15680:2004-04</w:t>
            </w:r>
          </w:p>
          <w:p>
            <w:pPr>
              <w:pStyle w:val="GesAbsatz"/>
              <w:tabs>
                <w:tab w:val="left" w:pos="2268"/>
              </w:tabs>
              <w:jc w:val="left"/>
              <w:rPr>
                <w:rFonts w:cs="Arial"/>
              </w:rPr>
            </w:pPr>
            <w:r>
              <w:rPr>
                <w:rFonts w:cs="Arial"/>
              </w:rPr>
              <w:t>DIN 38407-43:2014-10</w:t>
            </w:r>
          </w:p>
          <w:p>
            <w:pPr>
              <w:pStyle w:val="GesAbsatz"/>
              <w:tabs>
                <w:tab w:val="left" w:pos="2268"/>
              </w:tabs>
              <w:jc w:val="left"/>
              <w:rPr>
                <w:rFonts w:cs="Arial"/>
              </w:rPr>
            </w:pPr>
            <w:r>
              <w:rPr>
                <w:rFonts w:cs="Arial"/>
              </w:rPr>
              <w:t>DIN EN ISO 17943:2016-10</w:t>
            </w:r>
          </w:p>
        </w:tc>
      </w:tr>
      <w:tr>
        <w:trPr>
          <w:trHeight w:val="778"/>
        </w:trPr>
        <w:tc>
          <w:tcPr>
            <w:tcW w:w="2550" w:type="dxa"/>
          </w:tcPr>
          <w:p>
            <w:pPr>
              <w:pStyle w:val="GesAbsatz"/>
              <w:tabs>
                <w:tab w:val="left" w:pos="2268"/>
              </w:tabs>
              <w:jc w:val="left"/>
              <w:rPr>
                <w:rFonts w:cs="Arial"/>
              </w:rPr>
            </w:pPr>
            <w:r>
              <w:rPr>
                <w:rFonts w:cs="Arial"/>
              </w:rPr>
              <w:t>Summe Nonylphenol</w:t>
            </w:r>
            <w:r>
              <w:rPr>
                <w:rFonts w:cs="Arial"/>
              </w:rPr>
              <w:br/>
              <w:t xml:space="preserve">(= 4-Nonylphenol, </w:t>
            </w:r>
            <w:r>
              <w:rPr>
                <w:rFonts w:cs="Arial"/>
              </w:rPr>
              <w:br/>
              <w:t>verzweigt, und Nonylphenol-Isomere)</w:t>
            </w:r>
          </w:p>
        </w:tc>
        <w:tc>
          <w:tcPr>
            <w:tcW w:w="3679" w:type="dxa"/>
          </w:tcPr>
          <w:p>
            <w:pPr>
              <w:pStyle w:val="GesAbsatz"/>
              <w:tabs>
                <w:tab w:val="left" w:pos="2268"/>
              </w:tabs>
              <w:jc w:val="left"/>
              <w:rPr>
                <w:rFonts w:cs="Arial"/>
              </w:rPr>
            </w:pPr>
            <w:r>
              <w:rPr>
                <w:rFonts w:cs="Arial"/>
              </w:rPr>
              <w:t>GC-MS</w:t>
            </w:r>
          </w:p>
        </w:tc>
        <w:tc>
          <w:tcPr>
            <w:tcW w:w="3119" w:type="dxa"/>
          </w:tcPr>
          <w:p>
            <w:pPr>
              <w:pStyle w:val="GesAbsatz"/>
              <w:tabs>
                <w:tab w:val="left" w:pos="2268"/>
              </w:tabs>
              <w:jc w:val="left"/>
              <w:rPr>
                <w:rFonts w:cs="Arial"/>
              </w:rPr>
            </w:pPr>
            <w:r>
              <w:rPr>
                <w:rFonts w:cs="Arial"/>
              </w:rPr>
              <w:t>DIN EN ISO 18857-1:2007-02</w:t>
            </w:r>
          </w:p>
        </w:tc>
      </w:tr>
      <w:tr>
        <w:trPr>
          <w:trHeight w:val="380"/>
        </w:trPr>
        <w:tc>
          <w:tcPr>
            <w:tcW w:w="2550" w:type="dxa"/>
          </w:tcPr>
          <w:p>
            <w:pPr>
              <w:pStyle w:val="GesAbsatz"/>
              <w:tabs>
                <w:tab w:val="left" w:pos="2268"/>
              </w:tabs>
              <w:jc w:val="left"/>
              <w:rPr>
                <w:rFonts w:cs="Arial"/>
              </w:rPr>
            </w:pPr>
            <w:r>
              <w:rPr>
                <w:rFonts w:cs="Arial"/>
              </w:rPr>
              <w:t>Phenole</w:t>
            </w:r>
          </w:p>
        </w:tc>
        <w:tc>
          <w:tcPr>
            <w:tcW w:w="3679" w:type="dxa"/>
          </w:tcPr>
          <w:p>
            <w:pPr>
              <w:pStyle w:val="GesAbsatz"/>
              <w:tabs>
                <w:tab w:val="left" w:pos="2268"/>
              </w:tabs>
              <w:jc w:val="left"/>
              <w:rPr>
                <w:rFonts w:cs="Arial"/>
              </w:rPr>
            </w:pPr>
            <w:r>
              <w:rPr>
                <w:rFonts w:cs="Arial"/>
              </w:rPr>
              <w:t>GC-MS</w:t>
            </w:r>
          </w:p>
        </w:tc>
        <w:tc>
          <w:tcPr>
            <w:tcW w:w="3119" w:type="dxa"/>
          </w:tcPr>
          <w:p>
            <w:pPr>
              <w:pStyle w:val="GesAbsatz"/>
              <w:tabs>
                <w:tab w:val="left" w:pos="2268"/>
              </w:tabs>
              <w:jc w:val="left"/>
              <w:rPr>
                <w:rFonts w:cs="Arial"/>
              </w:rPr>
            </w:pPr>
            <w:r>
              <w:rPr>
                <w:rFonts w:cs="Arial"/>
              </w:rPr>
              <w:t>DIN 38407-27:2012-10</w:t>
            </w:r>
          </w:p>
        </w:tc>
      </w:tr>
      <w:tr>
        <w:trPr>
          <w:trHeight w:val="579"/>
        </w:trPr>
        <w:tc>
          <w:tcPr>
            <w:tcW w:w="2550" w:type="dxa"/>
          </w:tcPr>
          <w:p>
            <w:pPr>
              <w:pStyle w:val="GesAbsatz"/>
              <w:tabs>
                <w:tab w:val="left" w:pos="2268"/>
              </w:tabs>
              <w:jc w:val="left"/>
              <w:rPr>
                <w:rFonts w:cs="Arial"/>
              </w:rPr>
            </w:pPr>
            <w:r>
              <w:rPr>
                <w:rFonts w:cs="Arial"/>
              </w:rPr>
              <w:t>Summe aus PCB</w:t>
            </w:r>
            <w:r>
              <w:rPr>
                <w:rFonts w:cs="Arial"/>
                <w:vertAlign w:val="subscript"/>
              </w:rPr>
              <w:t>6</w:t>
            </w:r>
            <w:r>
              <w:rPr>
                <w:rFonts w:cs="Arial"/>
              </w:rPr>
              <w:t xml:space="preserve"> und PCB-118</w:t>
            </w:r>
          </w:p>
        </w:tc>
        <w:tc>
          <w:tcPr>
            <w:tcW w:w="3679" w:type="dxa"/>
          </w:tcPr>
          <w:p>
            <w:pPr>
              <w:pStyle w:val="GesAbsatz"/>
              <w:tabs>
                <w:tab w:val="left" w:pos="2268"/>
              </w:tabs>
              <w:jc w:val="left"/>
              <w:rPr>
                <w:rFonts w:cs="Arial"/>
              </w:rPr>
            </w:pPr>
            <w:r>
              <w:rPr>
                <w:rFonts w:cs="Arial"/>
              </w:rPr>
              <w:t>GC-MS</w:t>
            </w:r>
          </w:p>
        </w:tc>
        <w:tc>
          <w:tcPr>
            <w:tcW w:w="3119" w:type="dxa"/>
          </w:tcPr>
          <w:p>
            <w:pPr>
              <w:pStyle w:val="GesAbsatz"/>
              <w:tabs>
                <w:tab w:val="left" w:pos="2268"/>
              </w:tabs>
              <w:jc w:val="left"/>
              <w:rPr>
                <w:rFonts w:cs="Arial"/>
              </w:rPr>
            </w:pPr>
            <w:r>
              <w:rPr>
                <w:rFonts w:cs="Arial"/>
              </w:rPr>
              <w:t>DIN 38407-37:2013-11</w:t>
            </w:r>
          </w:p>
        </w:tc>
      </w:tr>
      <w:tr>
        <w:trPr>
          <w:trHeight w:val="650"/>
        </w:trPr>
        <w:tc>
          <w:tcPr>
            <w:tcW w:w="2550" w:type="dxa"/>
          </w:tcPr>
          <w:p>
            <w:pPr>
              <w:pStyle w:val="GesAbsatz"/>
              <w:tabs>
                <w:tab w:val="left" w:pos="2268"/>
              </w:tabs>
              <w:jc w:val="left"/>
              <w:rPr>
                <w:rFonts w:cs="Arial"/>
                <w:vertAlign w:val="subscript"/>
              </w:rPr>
            </w:pPr>
            <w:r>
              <w:rPr>
                <w:rFonts w:cs="Arial"/>
              </w:rPr>
              <w:t>PAK</w:t>
            </w:r>
            <w:r>
              <w:rPr>
                <w:rFonts w:cs="Arial"/>
                <w:vertAlign w:val="subscript"/>
              </w:rPr>
              <w:t>16</w:t>
            </w:r>
          </w:p>
        </w:tc>
        <w:tc>
          <w:tcPr>
            <w:tcW w:w="3679" w:type="dxa"/>
          </w:tcPr>
          <w:p>
            <w:pPr>
              <w:pStyle w:val="GesAbsatz"/>
              <w:tabs>
                <w:tab w:val="left" w:pos="2268"/>
              </w:tabs>
              <w:jc w:val="left"/>
              <w:rPr>
                <w:rFonts w:cs="Arial"/>
              </w:rPr>
            </w:pPr>
            <w:r>
              <w:rPr>
                <w:rFonts w:cs="Arial"/>
              </w:rPr>
              <w:t xml:space="preserve">HPLC-F, </w:t>
            </w:r>
            <w:r>
              <w:rPr>
                <w:rFonts w:cs="Arial"/>
              </w:rPr>
              <w:br/>
              <w:t>GC-MS</w:t>
            </w:r>
          </w:p>
        </w:tc>
        <w:tc>
          <w:tcPr>
            <w:tcW w:w="3119" w:type="dxa"/>
          </w:tcPr>
          <w:p>
            <w:pPr>
              <w:pStyle w:val="GesAbsatz"/>
              <w:tabs>
                <w:tab w:val="left" w:pos="2268"/>
              </w:tabs>
              <w:jc w:val="left"/>
              <w:rPr>
                <w:rFonts w:cs="Arial"/>
              </w:rPr>
            </w:pPr>
            <w:r>
              <w:rPr>
                <w:rFonts w:cs="Arial"/>
              </w:rPr>
              <w:t xml:space="preserve">DIN EN ISO 17993:2004-03 </w:t>
            </w:r>
            <w:r>
              <w:rPr>
                <w:rFonts w:cs="Arial"/>
              </w:rPr>
              <w:br/>
              <w:t>DIN 38407-39: 2011-09</w:t>
            </w:r>
          </w:p>
        </w:tc>
      </w:tr>
      <w:tr>
        <w:trPr>
          <w:trHeight w:val="650"/>
        </w:trPr>
        <w:tc>
          <w:tcPr>
            <w:tcW w:w="2550" w:type="dxa"/>
          </w:tcPr>
          <w:p>
            <w:pPr>
              <w:pStyle w:val="GesAbsatz"/>
              <w:tabs>
                <w:tab w:val="left" w:pos="2268"/>
              </w:tabs>
              <w:jc w:val="left"/>
              <w:rPr>
                <w:rFonts w:cs="Arial"/>
              </w:rPr>
            </w:pPr>
            <w:r>
              <w:rPr>
                <w:rFonts w:cs="Arial"/>
              </w:rPr>
              <w:t xml:space="preserve">Summe aus Tri- und </w:t>
            </w:r>
            <w:r>
              <w:rPr>
                <w:rFonts w:cs="Arial"/>
              </w:rPr>
              <w:br/>
              <w:t>Tetrachlorethen</w:t>
            </w:r>
          </w:p>
        </w:tc>
        <w:tc>
          <w:tcPr>
            <w:tcW w:w="3679" w:type="dxa"/>
          </w:tcPr>
          <w:p>
            <w:pPr>
              <w:pStyle w:val="GesAbsatz"/>
              <w:tabs>
                <w:tab w:val="left" w:pos="2268"/>
              </w:tabs>
              <w:jc w:val="left"/>
              <w:rPr>
                <w:rFonts w:cs="Arial"/>
              </w:rPr>
            </w:pPr>
            <w:r>
              <w:rPr>
                <w:rFonts w:cs="Arial"/>
              </w:rPr>
              <w:t>GC-MS</w:t>
            </w:r>
            <w:r>
              <w:rPr>
                <w:rFonts w:cs="Arial"/>
              </w:rPr>
              <w:br/>
              <w:t>HS-SPME GC-MS</w:t>
            </w:r>
          </w:p>
        </w:tc>
        <w:tc>
          <w:tcPr>
            <w:tcW w:w="3119" w:type="dxa"/>
          </w:tcPr>
          <w:p>
            <w:pPr>
              <w:pStyle w:val="GesAbsatz"/>
              <w:tabs>
                <w:tab w:val="left" w:pos="2268"/>
              </w:tabs>
              <w:jc w:val="left"/>
              <w:rPr>
                <w:rFonts w:cs="Arial"/>
              </w:rPr>
            </w:pPr>
            <w:r>
              <w:rPr>
                <w:rFonts w:cs="Arial"/>
              </w:rPr>
              <w:t>DIN 38407-43:2014-10</w:t>
            </w:r>
            <w:r>
              <w:rPr>
                <w:rFonts w:cs="Arial"/>
              </w:rPr>
              <w:br/>
              <w:t>DIN EN ISO 17943:2016-10</w:t>
            </w:r>
          </w:p>
        </w:tc>
      </w:tr>
      <w:tr>
        <w:trPr>
          <w:trHeight w:val="1775"/>
        </w:trPr>
        <w:tc>
          <w:tcPr>
            <w:tcW w:w="2550" w:type="dxa"/>
          </w:tcPr>
          <w:p>
            <w:pPr>
              <w:pStyle w:val="GesAbsatz"/>
              <w:tabs>
                <w:tab w:val="left" w:pos="2268"/>
              </w:tabs>
              <w:jc w:val="left"/>
              <w:rPr>
                <w:rFonts w:cs="Arial"/>
              </w:rPr>
            </w:pPr>
            <w:r>
              <w:rPr>
                <w:rFonts w:cs="Arial"/>
              </w:rPr>
              <w:t>Perfluorbutansäure (PFBA), Perfluoroktansäure (PFOA), Perfluornonansäure (PFNA), Perfluorbutansulfonsäure (PFBS), Perfluorhexansäure (PFHxA), Perfluorhexansulfonsäure (PFHxS), Perfluoroktansulfonsäure (PFOS)</w:t>
            </w:r>
          </w:p>
        </w:tc>
        <w:tc>
          <w:tcPr>
            <w:tcW w:w="3679" w:type="dxa"/>
          </w:tcPr>
          <w:p>
            <w:pPr>
              <w:pStyle w:val="GesAbsatz"/>
              <w:tabs>
                <w:tab w:val="left" w:pos="2268"/>
              </w:tabs>
              <w:jc w:val="left"/>
              <w:rPr>
                <w:rFonts w:cs="Arial"/>
              </w:rPr>
            </w:pPr>
            <w:r>
              <w:rPr>
                <w:rFonts w:cs="Arial"/>
              </w:rPr>
              <w:t>Verfahren mittels Hochleistungs-Flüssigkeitschromatographie und massenspektrometrischer Detektion (HPLC-MS/MS) nach Fest-Flüssig-Extraktion</w:t>
            </w:r>
          </w:p>
        </w:tc>
        <w:tc>
          <w:tcPr>
            <w:tcW w:w="3119" w:type="dxa"/>
          </w:tcPr>
          <w:p>
            <w:pPr>
              <w:pStyle w:val="GesAbsatz"/>
              <w:tabs>
                <w:tab w:val="left" w:pos="2268"/>
              </w:tabs>
              <w:jc w:val="left"/>
              <w:rPr>
                <w:rFonts w:cs="Arial"/>
              </w:rPr>
            </w:pPr>
            <w:r>
              <w:rPr>
                <w:rFonts w:cs="Arial"/>
              </w:rPr>
              <w:t>DIN 38407-42:2011-03</w:t>
            </w:r>
          </w:p>
          <w:p>
            <w:pPr>
              <w:pStyle w:val="GesAbsatz"/>
              <w:tabs>
                <w:tab w:val="left" w:pos="2268"/>
              </w:tabs>
              <w:jc w:val="left"/>
              <w:rPr>
                <w:rFonts w:cs="Arial"/>
              </w:rPr>
            </w:pPr>
            <w:r>
              <w:rPr>
                <w:rFonts w:cs="Arial"/>
              </w:rPr>
              <w:t>DIN 38414-14:2011-08</w:t>
            </w:r>
          </w:p>
        </w:tc>
      </w:tr>
      <w:tr>
        <w:trPr>
          <w:trHeight w:val="1775"/>
        </w:trPr>
        <w:tc>
          <w:tcPr>
            <w:tcW w:w="2550" w:type="dxa"/>
          </w:tcPr>
          <w:p>
            <w:pPr>
              <w:pStyle w:val="GesAbsatz"/>
              <w:tabs>
                <w:tab w:val="left" w:pos="2268"/>
              </w:tabs>
              <w:jc w:val="left"/>
              <w:rPr>
                <w:rFonts w:cs="Arial"/>
              </w:rPr>
            </w:pPr>
            <w:r>
              <w:rPr>
                <w:rFonts w:cs="Arial"/>
              </w:rPr>
              <w:t xml:space="preserve">2,4-Dinitrotoluol, </w:t>
            </w:r>
            <w:r>
              <w:rPr>
                <w:rFonts w:cs="Arial"/>
              </w:rPr>
              <w:br/>
              <w:t xml:space="preserve">2,6-Dinitrotoluol, </w:t>
            </w:r>
            <w:r>
              <w:rPr>
                <w:rFonts w:cs="Arial"/>
              </w:rPr>
              <w:br/>
              <w:t>2,2', 4,4', 6,6'-Hexanitrodiphenylamin (Hexyl),</w:t>
            </w:r>
            <w:r>
              <w:rPr>
                <w:rFonts w:cs="Arial"/>
              </w:rPr>
              <w:br/>
              <w:t>1,3,5-Trinitro-hexahydro-1,3,5-triazin (Hexogen),</w:t>
            </w:r>
            <w:r>
              <w:rPr>
                <w:rFonts w:cs="Arial"/>
              </w:rPr>
              <w:br/>
              <w:t xml:space="preserve">Nitropenta, </w:t>
            </w:r>
            <w:r>
              <w:rPr>
                <w:rFonts w:cs="Arial"/>
              </w:rPr>
              <w:br/>
              <w:t>2,4,6-Trinitrotoluol (TNT)</w:t>
            </w:r>
          </w:p>
        </w:tc>
        <w:tc>
          <w:tcPr>
            <w:tcW w:w="3679" w:type="dxa"/>
          </w:tcPr>
          <w:p>
            <w:pPr>
              <w:pStyle w:val="GesAbsatz"/>
              <w:tabs>
                <w:tab w:val="left" w:pos="2268"/>
              </w:tabs>
              <w:jc w:val="left"/>
              <w:rPr>
                <w:rFonts w:cs="Arial"/>
              </w:rPr>
            </w:pPr>
            <w:r>
              <w:rPr>
                <w:rFonts w:cs="Arial"/>
              </w:rPr>
              <w:t>HPLC mit UV-Detektion</w:t>
            </w:r>
          </w:p>
        </w:tc>
        <w:tc>
          <w:tcPr>
            <w:tcW w:w="3119" w:type="dxa"/>
          </w:tcPr>
          <w:p>
            <w:pPr>
              <w:pStyle w:val="GesAbsatz"/>
              <w:tabs>
                <w:tab w:val="left" w:pos="2268"/>
              </w:tabs>
              <w:jc w:val="left"/>
              <w:rPr>
                <w:rFonts w:cs="Arial"/>
              </w:rPr>
            </w:pPr>
            <w:r>
              <w:rPr>
                <w:rFonts w:cs="Arial"/>
              </w:rPr>
              <w:t>DIN EN ISO 22478:2006-07</w:t>
            </w:r>
          </w:p>
        </w:tc>
      </w:tr>
    </w:tbl>
    <w:p>
      <w:pPr>
        <w:pStyle w:val="GesAbsatz"/>
        <w:tabs>
          <w:tab w:val="left" w:pos="2268"/>
        </w:tabs>
        <w:ind w:left="426" w:hanging="426"/>
        <w:rPr>
          <w:rFonts w:cs="Arial"/>
          <w:sz w:val="18"/>
          <w:szCs w:val="18"/>
        </w:rPr>
      </w:pPr>
      <w:r>
        <w:rPr>
          <w:rFonts w:cs="Arial"/>
          <w:sz w:val="18"/>
          <w:szCs w:val="18"/>
        </w:rPr>
        <w:t>1</w:t>
      </w:r>
      <w:r>
        <w:rPr>
          <w:rFonts w:cs="Arial"/>
          <w:sz w:val="18"/>
          <w:szCs w:val="18"/>
        </w:rPr>
        <w:tab/>
        <w:t>BTEX: Summe Benzol, Toluol, Ethylbenzol und Xylole.</w:t>
      </w:r>
    </w:p>
    <w:p>
      <w:pPr>
        <w:pStyle w:val="GesAbsatz"/>
        <w:tabs>
          <w:tab w:val="left" w:pos="2268"/>
        </w:tabs>
        <w:ind w:left="426" w:hanging="426"/>
        <w:rPr>
          <w:rFonts w:cs="Arial"/>
          <w:sz w:val="18"/>
          <w:szCs w:val="18"/>
        </w:rPr>
      </w:pPr>
      <w:r>
        <w:rPr>
          <w:rFonts w:cs="Arial"/>
          <w:sz w:val="18"/>
          <w:szCs w:val="18"/>
        </w:rPr>
        <w:t>2</w:t>
      </w:r>
      <w:r>
        <w:rPr>
          <w:rFonts w:cs="Arial"/>
          <w:sz w:val="18"/>
          <w:szCs w:val="18"/>
        </w:rPr>
        <w:tab/>
        <w:t>Summe der Kohlenwasserstoffe, die zwischen n-Dekan (C 10) und n-Tetracontan (C 40) von der gaschromatographischen Säule eluieren.</w:t>
      </w:r>
    </w:p>
    <w:p>
      <w:pPr>
        <w:pStyle w:val="GesAbsatz"/>
        <w:tabs>
          <w:tab w:val="left" w:pos="2268"/>
        </w:tabs>
        <w:ind w:left="426" w:hanging="426"/>
        <w:rPr>
          <w:rFonts w:cs="Arial"/>
          <w:sz w:val="18"/>
          <w:szCs w:val="18"/>
        </w:rPr>
      </w:pPr>
      <w:r>
        <w:rPr>
          <w:rFonts w:cs="Arial"/>
          <w:sz w:val="18"/>
          <w:szCs w:val="18"/>
        </w:rPr>
        <w:t>3</w:t>
      </w:r>
      <w:r>
        <w:rPr>
          <w:rFonts w:cs="Arial"/>
          <w:sz w:val="18"/>
          <w:szCs w:val="18"/>
        </w:rPr>
        <w:tab/>
        <w:t>LHKW, gesamt: Leichtflüchtige Halogenkohlenwasserstoffe, d. h. Summe der halogenierten C1- und C2-Kohlenwasserstoffe; einschließlich Trihalogenmethane.</w:t>
      </w:r>
    </w:p>
    <w:p>
      <w:pPr>
        <w:pStyle w:val="GesAbsatz"/>
        <w:tabs>
          <w:tab w:val="clear" w:pos="425"/>
          <w:tab w:val="left" w:pos="2268"/>
        </w:tabs>
        <w:rPr>
          <w:rFonts w:cs="Arial"/>
        </w:rPr>
      </w:pPr>
    </w:p>
    <w:p>
      <w:pPr>
        <w:pStyle w:val="GesAbsatz"/>
        <w:tabs>
          <w:tab w:val="clear" w:pos="425"/>
          <w:tab w:val="left" w:pos="2268"/>
        </w:tabs>
        <w:rPr>
          <w:rFonts w:cs="Arial"/>
        </w:rPr>
      </w:pPr>
      <w:r>
        <w:rPr>
          <w:rFonts w:cs="Arial"/>
        </w:rPr>
        <w:t>Tabelle 8: Bodenluft- und Deponiegasuntersuchung</w:t>
      </w:r>
    </w:p>
    <w:tbl>
      <w:tblPr>
        <w:tblW w:w="0" w:type="auto"/>
        <w:tblInd w:w="116"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13" w:type="dxa"/>
          <w:right w:w="0" w:type="dxa"/>
        </w:tblCellMar>
        <w:tblLook w:val="0000" w:firstRow="0" w:lastRow="0" w:firstColumn="0" w:lastColumn="0" w:noHBand="0" w:noVBand="0"/>
      </w:tblPr>
      <w:tblGrid>
        <w:gridCol w:w="3140"/>
        <w:gridCol w:w="3969"/>
        <w:gridCol w:w="2239"/>
      </w:tblGrid>
      <w:tr>
        <w:trPr>
          <w:trHeight w:val="332"/>
        </w:trPr>
        <w:tc>
          <w:tcPr>
            <w:tcW w:w="3140" w:type="dxa"/>
          </w:tcPr>
          <w:p>
            <w:pPr>
              <w:pStyle w:val="GesAbsatz"/>
              <w:tabs>
                <w:tab w:val="left" w:pos="2268"/>
              </w:tabs>
              <w:jc w:val="left"/>
              <w:rPr>
                <w:rFonts w:cs="Arial"/>
              </w:rPr>
            </w:pPr>
            <w:r>
              <w:rPr>
                <w:rFonts w:cs="Arial"/>
              </w:rPr>
              <w:t>Stoff</w:t>
            </w:r>
          </w:p>
        </w:tc>
        <w:tc>
          <w:tcPr>
            <w:tcW w:w="3969" w:type="dxa"/>
          </w:tcPr>
          <w:p>
            <w:pPr>
              <w:pStyle w:val="GesAbsatz"/>
              <w:tabs>
                <w:tab w:val="left" w:pos="2268"/>
              </w:tabs>
              <w:jc w:val="left"/>
              <w:rPr>
                <w:rFonts w:cs="Arial"/>
              </w:rPr>
            </w:pPr>
            <w:r>
              <w:rPr>
                <w:rFonts w:cs="Arial"/>
              </w:rPr>
              <w:t>Methode</w:t>
            </w:r>
          </w:p>
        </w:tc>
        <w:tc>
          <w:tcPr>
            <w:tcW w:w="2239" w:type="dxa"/>
          </w:tcPr>
          <w:p>
            <w:pPr>
              <w:pStyle w:val="GesAbsatz"/>
              <w:tabs>
                <w:tab w:val="left" w:pos="2268"/>
              </w:tabs>
              <w:jc w:val="left"/>
              <w:rPr>
                <w:rFonts w:cs="Arial"/>
              </w:rPr>
            </w:pPr>
            <w:r>
              <w:rPr>
                <w:rFonts w:cs="Arial"/>
              </w:rPr>
              <w:t>Norm</w:t>
            </w:r>
          </w:p>
        </w:tc>
      </w:tr>
      <w:tr>
        <w:trPr>
          <w:trHeight w:val="312"/>
        </w:trPr>
        <w:tc>
          <w:tcPr>
            <w:tcW w:w="3140" w:type="dxa"/>
            <w:vMerge w:val="restart"/>
          </w:tcPr>
          <w:p>
            <w:pPr>
              <w:pStyle w:val="GesAbsatz"/>
              <w:tabs>
                <w:tab w:val="left" w:pos="2268"/>
              </w:tabs>
              <w:jc w:val="left"/>
              <w:rPr>
                <w:rFonts w:cs="Arial"/>
              </w:rPr>
            </w:pPr>
            <w:r>
              <w:rPr>
                <w:rFonts w:cs="Arial"/>
              </w:rPr>
              <w:t>BTEX, LHKW, leichtflüchtige aliphatische Kohlenwasserstoffe</w:t>
            </w:r>
            <w:r>
              <w:rPr>
                <w:rFonts w:cs="Arial"/>
              </w:rPr>
              <w:br/>
            </w:r>
            <w:r>
              <w:rPr>
                <w:rFonts w:cs="Arial"/>
              </w:rPr>
              <w:lastRenderedPageBreak/>
              <w:t>(Alkane, Cycloalkane und Alkene mit 5 bis 10 C- Atomen), MTBE</w:t>
            </w:r>
          </w:p>
        </w:tc>
        <w:tc>
          <w:tcPr>
            <w:tcW w:w="3969" w:type="dxa"/>
          </w:tcPr>
          <w:p>
            <w:pPr>
              <w:pStyle w:val="GesAbsatz"/>
              <w:tabs>
                <w:tab w:val="left" w:pos="2268"/>
              </w:tabs>
              <w:jc w:val="left"/>
              <w:rPr>
                <w:rFonts w:cs="Arial"/>
              </w:rPr>
            </w:pPr>
            <w:r>
              <w:rPr>
                <w:rFonts w:cs="Arial"/>
              </w:rPr>
              <w:lastRenderedPageBreak/>
              <w:t>Messplanung Bodenluft</w:t>
            </w:r>
          </w:p>
        </w:tc>
        <w:tc>
          <w:tcPr>
            <w:tcW w:w="2239" w:type="dxa"/>
          </w:tcPr>
          <w:p>
            <w:pPr>
              <w:pStyle w:val="GesAbsatz"/>
              <w:tabs>
                <w:tab w:val="left" w:pos="2268"/>
              </w:tabs>
              <w:jc w:val="left"/>
              <w:rPr>
                <w:rFonts w:cs="Arial"/>
              </w:rPr>
            </w:pPr>
            <w:r>
              <w:rPr>
                <w:rFonts w:cs="Arial"/>
              </w:rPr>
              <w:t>VDI 3865-1:2005-06</w:t>
            </w:r>
          </w:p>
        </w:tc>
      </w:tr>
      <w:tr>
        <w:trPr>
          <w:trHeight w:val="312"/>
        </w:trPr>
        <w:tc>
          <w:tcPr>
            <w:tcW w:w="3140" w:type="dxa"/>
            <w:vMerge/>
          </w:tcPr>
          <w:p>
            <w:pPr>
              <w:pStyle w:val="GesAbsatz"/>
              <w:tabs>
                <w:tab w:val="left" w:pos="2268"/>
              </w:tabs>
              <w:jc w:val="left"/>
              <w:rPr>
                <w:rFonts w:cs="Arial"/>
              </w:rPr>
            </w:pPr>
          </w:p>
        </w:tc>
        <w:tc>
          <w:tcPr>
            <w:tcW w:w="3969" w:type="dxa"/>
          </w:tcPr>
          <w:p>
            <w:pPr>
              <w:pStyle w:val="GesAbsatz"/>
              <w:tabs>
                <w:tab w:val="left" w:pos="2268"/>
              </w:tabs>
              <w:jc w:val="left"/>
              <w:rPr>
                <w:rFonts w:cs="Arial"/>
              </w:rPr>
            </w:pPr>
            <w:r>
              <w:rPr>
                <w:rFonts w:cs="Arial"/>
              </w:rPr>
              <w:t>Probennahmetechnik, Messstellen</w:t>
            </w:r>
          </w:p>
        </w:tc>
        <w:tc>
          <w:tcPr>
            <w:tcW w:w="2239" w:type="dxa"/>
          </w:tcPr>
          <w:p>
            <w:pPr>
              <w:pStyle w:val="GesAbsatz"/>
              <w:tabs>
                <w:tab w:val="left" w:pos="2268"/>
              </w:tabs>
              <w:jc w:val="left"/>
              <w:rPr>
                <w:rFonts w:cs="Arial"/>
              </w:rPr>
            </w:pPr>
            <w:r>
              <w:rPr>
                <w:rFonts w:cs="Arial"/>
              </w:rPr>
              <w:t>VDI 3865-2:1998-01</w:t>
            </w:r>
          </w:p>
        </w:tc>
      </w:tr>
      <w:tr>
        <w:trPr>
          <w:trHeight w:val="312"/>
        </w:trPr>
        <w:tc>
          <w:tcPr>
            <w:tcW w:w="3140" w:type="dxa"/>
            <w:vMerge/>
          </w:tcPr>
          <w:p>
            <w:pPr>
              <w:pStyle w:val="GesAbsatz"/>
              <w:tabs>
                <w:tab w:val="left" w:pos="2268"/>
              </w:tabs>
              <w:jc w:val="left"/>
              <w:rPr>
                <w:rFonts w:cs="Arial"/>
              </w:rPr>
            </w:pPr>
          </w:p>
        </w:tc>
        <w:tc>
          <w:tcPr>
            <w:tcW w:w="3969" w:type="dxa"/>
          </w:tcPr>
          <w:p>
            <w:pPr>
              <w:pStyle w:val="GesAbsatz"/>
              <w:tabs>
                <w:tab w:val="left" w:pos="2268"/>
              </w:tabs>
              <w:jc w:val="left"/>
              <w:rPr>
                <w:rFonts w:cs="Arial"/>
              </w:rPr>
            </w:pPr>
            <w:r>
              <w:rPr>
                <w:rFonts w:cs="Arial"/>
              </w:rPr>
              <w:t>Anreicherungstechnik</w:t>
            </w:r>
          </w:p>
        </w:tc>
        <w:tc>
          <w:tcPr>
            <w:tcW w:w="2239" w:type="dxa"/>
          </w:tcPr>
          <w:p>
            <w:pPr>
              <w:pStyle w:val="GesAbsatz"/>
              <w:tabs>
                <w:tab w:val="left" w:pos="2268"/>
              </w:tabs>
              <w:jc w:val="left"/>
              <w:rPr>
                <w:rFonts w:cs="Arial"/>
              </w:rPr>
            </w:pPr>
            <w:r>
              <w:rPr>
                <w:rFonts w:cs="Arial"/>
              </w:rPr>
              <w:t>VDI 3865-3:1998-06</w:t>
            </w:r>
          </w:p>
        </w:tc>
      </w:tr>
      <w:tr>
        <w:trPr>
          <w:trHeight w:val="312"/>
        </w:trPr>
        <w:tc>
          <w:tcPr>
            <w:tcW w:w="3140" w:type="dxa"/>
            <w:vMerge/>
          </w:tcPr>
          <w:p>
            <w:pPr>
              <w:pStyle w:val="GesAbsatz"/>
              <w:tabs>
                <w:tab w:val="left" w:pos="2268"/>
              </w:tabs>
              <w:jc w:val="left"/>
              <w:rPr>
                <w:rFonts w:cs="Arial"/>
              </w:rPr>
            </w:pPr>
          </w:p>
        </w:tc>
        <w:tc>
          <w:tcPr>
            <w:tcW w:w="3969" w:type="dxa"/>
          </w:tcPr>
          <w:p>
            <w:pPr>
              <w:pStyle w:val="GesAbsatz"/>
              <w:tabs>
                <w:tab w:val="left" w:pos="2268"/>
              </w:tabs>
              <w:jc w:val="left"/>
              <w:rPr>
                <w:rFonts w:cs="Arial"/>
              </w:rPr>
            </w:pPr>
            <w:r>
              <w:rPr>
                <w:rFonts w:cs="Arial"/>
              </w:rPr>
              <w:t>Direktmesstechnik</w:t>
            </w:r>
          </w:p>
        </w:tc>
        <w:tc>
          <w:tcPr>
            <w:tcW w:w="2239" w:type="dxa"/>
          </w:tcPr>
          <w:p>
            <w:pPr>
              <w:pStyle w:val="GesAbsatz"/>
              <w:tabs>
                <w:tab w:val="left" w:pos="2268"/>
              </w:tabs>
              <w:jc w:val="left"/>
              <w:rPr>
                <w:rFonts w:cs="Arial"/>
              </w:rPr>
            </w:pPr>
            <w:r>
              <w:rPr>
                <w:rFonts w:cs="Arial"/>
              </w:rPr>
              <w:t>VDI 3865-4:2000-12</w:t>
            </w:r>
          </w:p>
        </w:tc>
      </w:tr>
      <w:tr>
        <w:trPr>
          <w:trHeight w:val="312"/>
        </w:trPr>
        <w:tc>
          <w:tcPr>
            <w:tcW w:w="3140" w:type="dxa"/>
            <w:vMerge w:val="restart"/>
          </w:tcPr>
          <w:p>
            <w:pPr>
              <w:pStyle w:val="GesAbsatz"/>
              <w:tabs>
                <w:tab w:val="left" w:pos="2268"/>
              </w:tabs>
              <w:jc w:val="left"/>
              <w:rPr>
                <w:rFonts w:cs="Arial"/>
                <w:vertAlign w:val="subscript"/>
              </w:rPr>
            </w:pPr>
            <w:r>
              <w:rPr>
                <w:rFonts w:cs="Arial"/>
              </w:rPr>
              <w:t>CO</w:t>
            </w:r>
            <w:r>
              <w:rPr>
                <w:rFonts w:cs="Arial"/>
                <w:vertAlign w:val="subscript"/>
              </w:rPr>
              <w:t>2</w:t>
            </w:r>
            <w:r>
              <w:rPr>
                <w:rFonts w:cs="Arial"/>
              </w:rPr>
              <w:t>, CH</w:t>
            </w:r>
            <w:r>
              <w:rPr>
                <w:rFonts w:cs="Arial"/>
                <w:vertAlign w:val="subscript"/>
              </w:rPr>
              <w:t>4</w:t>
            </w:r>
            <w:r>
              <w:rPr>
                <w:rFonts w:cs="Arial"/>
              </w:rPr>
              <w:t>, O</w:t>
            </w:r>
            <w:r>
              <w:rPr>
                <w:rFonts w:cs="Arial"/>
                <w:vertAlign w:val="subscript"/>
              </w:rPr>
              <w:t>2</w:t>
            </w:r>
            <w:r>
              <w:rPr>
                <w:rFonts w:cs="Arial"/>
              </w:rPr>
              <w:t>, N</w:t>
            </w:r>
            <w:r>
              <w:rPr>
                <w:rFonts w:cs="Arial"/>
                <w:vertAlign w:val="subscript"/>
              </w:rPr>
              <w:t>2</w:t>
            </w:r>
            <w:r>
              <w:rPr>
                <w:rFonts w:cs="Arial"/>
              </w:rPr>
              <w:t>, H</w:t>
            </w:r>
            <w:r>
              <w:rPr>
                <w:rFonts w:cs="Arial"/>
                <w:vertAlign w:val="subscript"/>
              </w:rPr>
              <w:t>2</w:t>
            </w:r>
            <w:r>
              <w:rPr>
                <w:rFonts w:cs="Arial"/>
              </w:rPr>
              <w:t>S, NH</w:t>
            </w:r>
            <w:r>
              <w:rPr>
                <w:rFonts w:cs="Arial"/>
                <w:vertAlign w:val="subscript"/>
              </w:rPr>
              <w:t>3</w:t>
            </w:r>
          </w:p>
        </w:tc>
        <w:tc>
          <w:tcPr>
            <w:tcW w:w="3969" w:type="dxa"/>
          </w:tcPr>
          <w:p>
            <w:pPr>
              <w:pStyle w:val="GesAbsatz"/>
              <w:tabs>
                <w:tab w:val="left" w:pos="2268"/>
              </w:tabs>
              <w:jc w:val="left"/>
              <w:rPr>
                <w:rFonts w:cs="Arial"/>
              </w:rPr>
            </w:pPr>
            <w:r>
              <w:rPr>
                <w:rFonts w:cs="Arial"/>
              </w:rPr>
              <w:t>Messplanung</w:t>
            </w:r>
          </w:p>
        </w:tc>
        <w:tc>
          <w:tcPr>
            <w:tcW w:w="2239" w:type="dxa"/>
          </w:tcPr>
          <w:p>
            <w:pPr>
              <w:pStyle w:val="GesAbsatz"/>
              <w:tabs>
                <w:tab w:val="left" w:pos="2268"/>
              </w:tabs>
              <w:jc w:val="left"/>
              <w:rPr>
                <w:rFonts w:cs="Arial"/>
              </w:rPr>
            </w:pPr>
            <w:r>
              <w:rPr>
                <w:rFonts w:cs="Arial"/>
              </w:rPr>
              <w:t>VDI 3860-4:2012-06</w:t>
            </w:r>
          </w:p>
        </w:tc>
      </w:tr>
      <w:tr>
        <w:trPr>
          <w:trHeight w:val="511"/>
        </w:trPr>
        <w:tc>
          <w:tcPr>
            <w:tcW w:w="3140" w:type="dxa"/>
            <w:vMerge/>
          </w:tcPr>
          <w:p>
            <w:pPr>
              <w:pStyle w:val="GesAbsatz"/>
              <w:tabs>
                <w:tab w:val="left" w:pos="2268"/>
              </w:tabs>
              <w:jc w:val="left"/>
              <w:rPr>
                <w:rFonts w:cs="Arial"/>
              </w:rPr>
            </w:pPr>
          </w:p>
        </w:tc>
        <w:tc>
          <w:tcPr>
            <w:tcW w:w="3969" w:type="dxa"/>
          </w:tcPr>
          <w:p>
            <w:pPr>
              <w:pStyle w:val="GesAbsatz"/>
              <w:tabs>
                <w:tab w:val="left" w:pos="2268"/>
              </w:tabs>
              <w:jc w:val="left"/>
              <w:rPr>
                <w:rFonts w:cs="Arial"/>
              </w:rPr>
            </w:pPr>
            <w:r>
              <w:rPr>
                <w:rFonts w:cs="Arial"/>
              </w:rPr>
              <w:t xml:space="preserve">Bestimmung der Haupt- und </w:t>
            </w:r>
            <w:r>
              <w:rPr>
                <w:rFonts w:cs="Arial"/>
              </w:rPr>
              <w:br/>
              <w:t>Spurenkomponenten</w:t>
            </w:r>
          </w:p>
        </w:tc>
        <w:tc>
          <w:tcPr>
            <w:tcW w:w="2239" w:type="dxa"/>
          </w:tcPr>
          <w:p>
            <w:pPr>
              <w:pStyle w:val="GesAbsatz"/>
              <w:tabs>
                <w:tab w:val="left" w:pos="2268"/>
              </w:tabs>
              <w:jc w:val="left"/>
              <w:rPr>
                <w:rFonts w:cs="Arial"/>
              </w:rPr>
            </w:pPr>
            <w:r>
              <w:rPr>
                <w:rFonts w:cs="Arial"/>
              </w:rPr>
              <w:t>VDI 3860-2:2019-05</w:t>
            </w:r>
          </w:p>
        </w:tc>
      </w:tr>
      <w:tr>
        <w:trPr>
          <w:trHeight w:val="511"/>
        </w:trPr>
        <w:tc>
          <w:tcPr>
            <w:tcW w:w="3140" w:type="dxa"/>
            <w:vMerge/>
          </w:tcPr>
          <w:p>
            <w:pPr>
              <w:pStyle w:val="GesAbsatz"/>
              <w:tabs>
                <w:tab w:val="left" w:pos="2268"/>
              </w:tabs>
              <w:jc w:val="left"/>
              <w:rPr>
                <w:rFonts w:cs="Arial"/>
              </w:rPr>
            </w:pPr>
          </w:p>
        </w:tc>
        <w:tc>
          <w:tcPr>
            <w:tcW w:w="3969" w:type="dxa"/>
          </w:tcPr>
          <w:p>
            <w:pPr>
              <w:pStyle w:val="GesAbsatz"/>
              <w:tabs>
                <w:tab w:val="left" w:pos="2268"/>
              </w:tabs>
              <w:jc w:val="left"/>
              <w:rPr>
                <w:rFonts w:cs="Arial"/>
              </w:rPr>
            </w:pPr>
            <w:r>
              <w:rPr>
                <w:rFonts w:cs="Arial"/>
              </w:rPr>
              <w:t>Diffuse CH</w:t>
            </w:r>
            <w:r>
              <w:rPr>
                <w:rFonts w:cs="Arial"/>
                <w:vertAlign w:val="subscript"/>
              </w:rPr>
              <w:t>4</w:t>
            </w:r>
            <w:r>
              <w:rPr>
                <w:rFonts w:cs="Arial"/>
              </w:rPr>
              <w:t xml:space="preserve">-Ausgasung; </w:t>
            </w:r>
            <w:r>
              <w:rPr>
                <w:rFonts w:cs="Arial"/>
              </w:rPr>
              <w:br/>
              <w:t>oberflächennahe CH</w:t>
            </w:r>
            <w:r>
              <w:rPr>
                <w:rFonts w:cs="Arial"/>
                <w:vertAlign w:val="subscript"/>
              </w:rPr>
              <w:t>4</w:t>
            </w:r>
            <w:r>
              <w:rPr>
                <w:rFonts w:cs="Arial"/>
              </w:rPr>
              <w:t>-Bestimmung</w:t>
            </w:r>
          </w:p>
        </w:tc>
        <w:tc>
          <w:tcPr>
            <w:tcW w:w="2239" w:type="dxa"/>
          </w:tcPr>
          <w:p>
            <w:pPr>
              <w:pStyle w:val="GesAbsatz"/>
              <w:tabs>
                <w:tab w:val="left" w:pos="2268"/>
              </w:tabs>
              <w:jc w:val="left"/>
              <w:rPr>
                <w:rFonts w:cs="Arial"/>
              </w:rPr>
            </w:pPr>
            <w:r>
              <w:rPr>
                <w:rFonts w:cs="Arial"/>
              </w:rPr>
              <w:t>VDI 3860-3:2017-11</w:t>
            </w:r>
          </w:p>
        </w:tc>
      </w:tr>
    </w:tbl>
    <w:p>
      <w:pPr>
        <w:pStyle w:val="GesAbsatz"/>
        <w:tabs>
          <w:tab w:val="left" w:pos="2268"/>
        </w:tabs>
        <w:rPr>
          <w:rFonts w:cs="Arial"/>
        </w:rPr>
      </w:pPr>
    </w:p>
    <w:p>
      <w:pPr>
        <w:pStyle w:val="GesAbsatz"/>
        <w:tabs>
          <w:tab w:val="clear" w:pos="425"/>
          <w:tab w:val="left" w:pos="2268"/>
        </w:tabs>
        <w:rPr>
          <w:rFonts w:cs="Arial"/>
        </w:rPr>
      </w:pPr>
    </w:p>
    <w:p>
      <w:pPr>
        <w:pStyle w:val="berschrift2"/>
        <w:jc w:val="left"/>
      </w:pPr>
      <w:bookmarkStart w:id="40" w:name="_Toc128479857"/>
      <w:r>
        <w:t>Anlage 4</w:t>
      </w:r>
      <w:r>
        <w:br/>
        <w:t>(zu § 27 Absatz 1 Satz 1)</w:t>
      </w:r>
      <w:bookmarkEnd w:id="40"/>
    </w:p>
    <w:p>
      <w:pPr>
        <w:pStyle w:val="GesAbsatz"/>
        <w:tabs>
          <w:tab w:val="clear" w:pos="425"/>
          <w:tab w:val="left" w:pos="2268"/>
        </w:tabs>
        <w:jc w:val="center"/>
        <w:rPr>
          <w:rFonts w:cs="Arial"/>
          <w:b/>
        </w:rPr>
      </w:pPr>
      <w:r>
        <w:rPr>
          <w:rFonts w:cs="Arial"/>
          <w:b/>
        </w:rPr>
        <w:t>Technische Regeln und Normen</w:t>
      </w:r>
    </w:p>
    <w:p>
      <w:pPr>
        <w:pStyle w:val="GesAbsatz"/>
        <w:tabs>
          <w:tab w:val="clear" w:pos="425"/>
          <w:tab w:val="left" w:pos="2268"/>
        </w:tabs>
        <w:rPr>
          <w:rFonts w:cs="Arial"/>
        </w:rPr>
      </w:pPr>
      <w:r>
        <w:rPr>
          <w:rFonts w:cs="Arial"/>
        </w:rPr>
        <w:t>DIN 18300:2019-09</w:t>
      </w:r>
    </w:p>
    <w:p>
      <w:pPr>
        <w:pStyle w:val="GesAbsatz"/>
        <w:tabs>
          <w:tab w:val="clear" w:pos="425"/>
          <w:tab w:val="left" w:pos="2268"/>
        </w:tabs>
        <w:rPr>
          <w:rFonts w:cs="Arial"/>
        </w:rPr>
      </w:pPr>
      <w:r>
        <w:rPr>
          <w:rFonts w:cs="Arial"/>
        </w:rPr>
        <w:t>VOB Vergabe- und Vertragsordnung für Bauleistungen – Teil C: Allgemeine Technische Vertragsbedingungen für Bauleistungen (ATV) – Erdarbeiten</w:t>
      </w:r>
    </w:p>
    <w:p>
      <w:pPr>
        <w:pStyle w:val="GesAbsatz"/>
        <w:tabs>
          <w:tab w:val="clear" w:pos="425"/>
          <w:tab w:val="left" w:pos="2268"/>
        </w:tabs>
        <w:rPr>
          <w:rFonts w:cs="Arial"/>
        </w:rPr>
      </w:pPr>
      <w:r>
        <w:rPr>
          <w:rFonts w:cs="Arial"/>
        </w:rPr>
        <w:t>DIN EN ISO 17892-4:2017-04</w:t>
      </w:r>
    </w:p>
    <w:p>
      <w:pPr>
        <w:pStyle w:val="GesAbsatz"/>
        <w:tabs>
          <w:tab w:val="clear" w:pos="425"/>
          <w:tab w:val="left" w:pos="2268"/>
        </w:tabs>
        <w:rPr>
          <w:rFonts w:cs="Arial"/>
        </w:rPr>
      </w:pPr>
      <w:r>
        <w:rPr>
          <w:rFonts w:cs="Arial"/>
        </w:rPr>
        <w:t>Geotechnische Erkundung und Untersuchung – Laborversuche an Bodenproben – Teil 4: Bestimmung der Korngrößenverteilung</w:t>
      </w:r>
    </w:p>
    <w:p>
      <w:pPr>
        <w:pStyle w:val="GesAbsatz"/>
        <w:tabs>
          <w:tab w:val="clear" w:pos="425"/>
          <w:tab w:val="left" w:pos="2268"/>
        </w:tabs>
        <w:rPr>
          <w:rFonts w:cs="Arial"/>
        </w:rPr>
      </w:pPr>
      <w:r>
        <w:rPr>
          <w:rFonts w:cs="Arial"/>
        </w:rPr>
        <w:t>DIN 18915:2018-06</w:t>
      </w:r>
    </w:p>
    <w:p>
      <w:pPr>
        <w:pStyle w:val="GesAbsatz"/>
        <w:tabs>
          <w:tab w:val="clear" w:pos="425"/>
          <w:tab w:val="left" w:pos="2268"/>
        </w:tabs>
        <w:rPr>
          <w:rFonts w:cs="Arial"/>
        </w:rPr>
      </w:pPr>
      <w:r>
        <w:rPr>
          <w:rFonts w:cs="Arial"/>
        </w:rPr>
        <w:t>Vegetationstechnik im Landschaftsbau – Bodenarbeiten</w:t>
      </w:r>
    </w:p>
    <w:p>
      <w:pPr>
        <w:pStyle w:val="GesAbsatz"/>
        <w:tabs>
          <w:tab w:val="clear" w:pos="425"/>
          <w:tab w:val="left" w:pos="2268"/>
        </w:tabs>
        <w:rPr>
          <w:rFonts w:cs="Arial"/>
        </w:rPr>
      </w:pPr>
      <w:r>
        <w:rPr>
          <w:rFonts w:cs="Arial"/>
        </w:rPr>
        <w:t>DIN 18919:2016-12</w:t>
      </w:r>
    </w:p>
    <w:p>
      <w:pPr>
        <w:pStyle w:val="GesAbsatz"/>
        <w:tabs>
          <w:tab w:val="clear" w:pos="425"/>
          <w:tab w:val="left" w:pos="2268"/>
        </w:tabs>
        <w:rPr>
          <w:rFonts w:cs="Arial"/>
        </w:rPr>
      </w:pPr>
      <w:r>
        <w:rPr>
          <w:rFonts w:cs="Arial"/>
        </w:rPr>
        <w:t>Vegetationstechnik im Landschaftsbau – Instandhaltungsleistungen für die Entwicklung und Unterhaltung von Vegetation (Entwicklungs- und Unterhaltungspflege)</w:t>
      </w:r>
    </w:p>
    <w:p>
      <w:pPr>
        <w:pStyle w:val="GesAbsatz"/>
        <w:tabs>
          <w:tab w:val="clear" w:pos="425"/>
          <w:tab w:val="left" w:pos="2268"/>
        </w:tabs>
        <w:rPr>
          <w:rFonts w:cs="Arial"/>
        </w:rPr>
      </w:pPr>
      <w:r>
        <w:rPr>
          <w:rFonts w:cs="Arial"/>
        </w:rPr>
        <w:t>DIN 19639:2019-09</w:t>
      </w:r>
    </w:p>
    <w:p>
      <w:pPr>
        <w:pStyle w:val="GesAbsatz"/>
        <w:tabs>
          <w:tab w:val="clear" w:pos="425"/>
          <w:tab w:val="left" w:pos="2268"/>
        </w:tabs>
        <w:rPr>
          <w:rFonts w:cs="Arial"/>
        </w:rPr>
      </w:pPr>
      <w:r>
        <w:rPr>
          <w:rFonts w:cs="Arial"/>
        </w:rPr>
        <w:t>Bodenschutz bei der Planung und Durchführung von Bauvorhaben</w:t>
      </w:r>
    </w:p>
    <w:p>
      <w:pPr>
        <w:pStyle w:val="GesAbsatz"/>
        <w:tabs>
          <w:tab w:val="clear" w:pos="425"/>
          <w:tab w:val="left" w:pos="2268"/>
        </w:tabs>
        <w:rPr>
          <w:rFonts w:cs="Arial"/>
        </w:rPr>
      </w:pPr>
      <w:r>
        <w:rPr>
          <w:rFonts w:cs="Arial"/>
        </w:rPr>
        <w:t>DIN 19706:2013-02</w:t>
      </w:r>
    </w:p>
    <w:p>
      <w:pPr>
        <w:pStyle w:val="GesAbsatz"/>
        <w:tabs>
          <w:tab w:val="clear" w:pos="425"/>
          <w:tab w:val="left" w:pos="2268"/>
        </w:tabs>
        <w:rPr>
          <w:rFonts w:cs="Arial"/>
        </w:rPr>
      </w:pPr>
      <w:r>
        <w:rPr>
          <w:rFonts w:cs="Arial"/>
        </w:rPr>
        <w:t>Bodenbeschaffenheit – Ermittlung der Erosionsgefährdung von Böden durch Wind</w:t>
      </w:r>
    </w:p>
    <w:p>
      <w:pPr>
        <w:pStyle w:val="GesAbsatz"/>
        <w:tabs>
          <w:tab w:val="clear" w:pos="425"/>
          <w:tab w:val="left" w:pos="2268"/>
        </w:tabs>
        <w:rPr>
          <w:rFonts w:cs="Arial"/>
        </w:rPr>
      </w:pPr>
      <w:r>
        <w:rPr>
          <w:rFonts w:cs="Arial"/>
        </w:rPr>
        <w:t>DIN 19708:2017-08</w:t>
      </w:r>
    </w:p>
    <w:p>
      <w:pPr>
        <w:pStyle w:val="GesAbsatz"/>
        <w:tabs>
          <w:tab w:val="clear" w:pos="425"/>
          <w:tab w:val="left" w:pos="2268"/>
        </w:tabs>
        <w:rPr>
          <w:rFonts w:cs="Arial"/>
        </w:rPr>
      </w:pPr>
      <w:r>
        <w:rPr>
          <w:rFonts w:cs="Arial"/>
        </w:rPr>
        <w:t>Bodenbeschaffenheit – Ermittlung der Erosionsgefährdung von Böden durch Wasser mit Hilfe der ABAG</w:t>
      </w:r>
    </w:p>
    <w:p>
      <w:pPr>
        <w:pStyle w:val="GesAbsatz"/>
        <w:tabs>
          <w:tab w:val="clear" w:pos="425"/>
          <w:tab w:val="left" w:pos="2268"/>
        </w:tabs>
        <w:rPr>
          <w:rFonts w:cs="Arial"/>
        </w:rPr>
      </w:pPr>
      <w:r>
        <w:rPr>
          <w:rFonts w:cs="Arial"/>
        </w:rPr>
        <w:t>DIN 19731:1998-05</w:t>
      </w:r>
    </w:p>
    <w:p>
      <w:pPr>
        <w:pStyle w:val="GesAbsatz"/>
        <w:tabs>
          <w:tab w:val="clear" w:pos="425"/>
          <w:tab w:val="left" w:pos="2268"/>
        </w:tabs>
        <w:rPr>
          <w:rFonts w:cs="Arial"/>
        </w:rPr>
      </w:pPr>
      <w:r>
        <w:rPr>
          <w:rFonts w:cs="Arial"/>
        </w:rPr>
        <w:t>Bodenbeschaffenheit – Verwertung von Bodenmaterial</w:t>
      </w:r>
    </w:p>
    <w:p>
      <w:pPr>
        <w:pStyle w:val="GesAbsatz"/>
        <w:tabs>
          <w:tab w:val="clear" w:pos="425"/>
          <w:tab w:val="left" w:pos="2268"/>
        </w:tabs>
        <w:rPr>
          <w:rFonts w:cs="Arial"/>
        </w:rPr>
      </w:pPr>
      <w:r>
        <w:rPr>
          <w:rFonts w:cs="Arial"/>
        </w:rPr>
        <w:t>DIN 19747:2009-07</w:t>
      </w:r>
    </w:p>
    <w:p>
      <w:pPr>
        <w:pStyle w:val="GesAbsatz"/>
        <w:tabs>
          <w:tab w:val="clear" w:pos="425"/>
          <w:tab w:val="left" w:pos="2268"/>
        </w:tabs>
        <w:rPr>
          <w:rFonts w:cs="Arial"/>
        </w:rPr>
      </w:pPr>
      <w:r>
        <w:rPr>
          <w:rFonts w:cs="Arial"/>
        </w:rPr>
        <w:t>Untersuchung von Feststoffen – Probenvorbehandlung, -vorbereitung und -aufarbeitung für chemische, biologische und physikalische Untersuchungen</w:t>
      </w:r>
    </w:p>
    <w:p>
      <w:pPr>
        <w:pStyle w:val="GesAbsatz"/>
        <w:tabs>
          <w:tab w:val="clear" w:pos="425"/>
          <w:tab w:val="left" w:pos="2268"/>
        </w:tabs>
        <w:rPr>
          <w:rFonts w:cs="Arial"/>
        </w:rPr>
      </w:pPr>
      <w:r>
        <w:rPr>
          <w:rFonts w:cs="Arial"/>
        </w:rPr>
        <w:t>DIN 19528:2009-01</w:t>
      </w:r>
    </w:p>
    <w:p>
      <w:pPr>
        <w:pStyle w:val="GesAbsatz"/>
        <w:tabs>
          <w:tab w:val="clear" w:pos="425"/>
          <w:tab w:val="left" w:pos="2268"/>
        </w:tabs>
        <w:rPr>
          <w:rFonts w:cs="Arial"/>
        </w:rPr>
      </w:pPr>
      <w:r>
        <w:rPr>
          <w:rFonts w:cs="Arial"/>
        </w:rPr>
        <w:t>Elution von Feststoffen – Perkolationsverfahren zur gemeinsamen Untersuchung des Elutionsverhaltens von anorganischen und organischen Stoffen</w:t>
      </w:r>
    </w:p>
    <w:p>
      <w:pPr>
        <w:pStyle w:val="GesAbsatz"/>
        <w:tabs>
          <w:tab w:val="clear" w:pos="425"/>
          <w:tab w:val="left" w:pos="2268"/>
        </w:tabs>
        <w:rPr>
          <w:rFonts w:cs="Arial"/>
        </w:rPr>
      </w:pPr>
      <w:r>
        <w:rPr>
          <w:rFonts w:cs="Arial"/>
        </w:rPr>
        <w:t>DIN 19529:2015-12</w:t>
      </w:r>
    </w:p>
    <w:p>
      <w:pPr>
        <w:pStyle w:val="GesAbsatz"/>
        <w:tabs>
          <w:tab w:val="clear" w:pos="425"/>
          <w:tab w:val="left" w:pos="2268"/>
        </w:tabs>
        <w:rPr>
          <w:rFonts w:cs="Arial"/>
        </w:rPr>
      </w:pPr>
      <w:r>
        <w:rPr>
          <w:rFonts w:cs="Arial"/>
        </w:rPr>
        <w:t>Elution von Feststoffen – Schüttelverfahren zur Untersuchung des Elutionsverhaltens von anorganischen und organischen Stoffen mit einem Wasser/Feststoff-Verhältnis von 2 l/kg</w:t>
      </w:r>
    </w:p>
    <w:p>
      <w:pPr>
        <w:pStyle w:val="GesAbsatz"/>
        <w:tabs>
          <w:tab w:val="clear" w:pos="425"/>
          <w:tab w:val="left" w:pos="2268"/>
        </w:tabs>
        <w:rPr>
          <w:rFonts w:cs="Arial"/>
        </w:rPr>
      </w:pPr>
      <w:r>
        <w:rPr>
          <w:rFonts w:cs="Arial"/>
        </w:rPr>
        <w:t>DIN 19539:2016-12</w:t>
      </w:r>
    </w:p>
    <w:p>
      <w:pPr>
        <w:pStyle w:val="GesAbsatz"/>
        <w:tabs>
          <w:tab w:val="clear" w:pos="425"/>
          <w:tab w:val="left" w:pos="2268"/>
        </w:tabs>
        <w:rPr>
          <w:rFonts w:cs="Arial"/>
        </w:rPr>
      </w:pPr>
      <w:r>
        <w:rPr>
          <w:rFonts w:cs="Arial"/>
        </w:rPr>
        <w:t>Untersuchung von Feststoffen – Temperaturabhängige Differenzierung des Gesamtkohlenstoffs (TOC400, ROC, TIC900)</w:t>
      </w:r>
    </w:p>
    <w:p>
      <w:pPr>
        <w:pStyle w:val="GesAbsatz"/>
        <w:tabs>
          <w:tab w:val="clear" w:pos="425"/>
          <w:tab w:val="left" w:pos="2268"/>
        </w:tabs>
        <w:rPr>
          <w:rFonts w:cs="Arial"/>
        </w:rPr>
      </w:pPr>
      <w:r>
        <w:rPr>
          <w:rFonts w:cs="Arial"/>
        </w:rPr>
        <w:t>DIN 19738:2017-06</w:t>
      </w:r>
    </w:p>
    <w:p>
      <w:pPr>
        <w:pStyle w:val="GesAbsatz"/>
        <w:tabs>
          <w:tab w:val="clear" w:pos="425"/>
          <w:tab w:val="left" w:pos="2268"/>
        </w:tabs>
        <w:rPr>
          <w:rFonts w:cs="Arial"/>
        </w:rPr>
      </w:pPr>
      <w:r>
        <w:rPr>
          <w:rFonts w:cs="Arial"/>
        </w:rPr>
        <w:lastRenderedPageBreak/>
        <w:t>Bodenbeschaffenheit – Resorptionsverfügbarkeit von organischen und anorganischen Schadstoffen aus kontaminiertem Bodenmaterial</w:t>
      </w:r>
    </w:p>
    <w:p>
      <w:pPr>
        <w:pStyle w:val="GesAbsatz"/>
        <w:tabs>
          <w:tab w:val="clear" w:pos="425"/>
          <w:tab w:val="left" w:pos="2268"/>
        </w:tabs>
        <w:rPr>
          <w:rFonts w:cs="Arial"/>
        </w:rPr>
      </w:pPr>
      <w:r>
        <w:rPr>
          <w:rFonts w:cs="Arial"/>
        </w:rPr>
        <w:t>DIN 32645:2008-11</w:t>
      </w:r>
    </w:p>
    <w:p>
      <w:pPr>
        <w:pStyle w:val="GesAbsatz"/>
        <w:tabs>
          <w:tab w:val="clear" w:pos="425"/>
          <w:tab w:val="left" w:pos="2268"/>
        </w:tabs>
        <w:rPr>
          <w:rFonts w:cs="Arial"/>
        </w:rPr>
      </w:pPr>
      <w:r>
        <w:rPr>
          <w:rFonts w:cs="Arial"/>
        </w:rPr>
        <w:t>Chemische Analytik – Nachweis-, Erfassungs- und Bestimmungsgrenze unter Wiederholbedingungen – Begriffe, Verfahren, Auswertung</w:t>
      </w:r>
    </w:p>
    <w:p>
      <w:pPr>
        <w:pStyle w:val="GesAbsatz"/>
        <w:tabs>
          <w:tab w:val="clear" w:pos="425"/>
          <w:tab w:val="left" w:pos="2268"/>
        </w:tabs>
        <w:rPr>
          <w:rFonts w:cs="Arial"/>
        </w:rPr>
      </w:pPr>
      <w:r>
        <w:rPr>
          <w:rFonts w:cs="Arial"/>
        </w:rPr>
        <w:t>DIN 38405-4:1985-07</w:t>
      </w:r>
    </w:p>
    <w:p>
      <w:pPr>
        <w:pStyle w:val="GesAbsatz"/>
        <w:tabs>
          <w:tab w:val="clear" w:pos="425"/>
          <w:tab w:val="left" w:pos="2268"/>
        </w:tabs>
        <w:rPr>
          <w:rFonts w:cs="Arial"/>
        </w:rPr>
      </w:pPr>
      <w:r>
        <w:rPr>
          <w:rFonts w:cs="Arial"/>
        </w:rPr>
        <w:t>Deutsche Einheitsverfahren zur Wasser-, Abwasser- und Schlammuntersuchung; Anionen (Gruppe D); Bestimmung von Fluorid (D 4)</w:t>
      </w:r>
    </w:p>
    <w:p>
      <w:pPr>
        <w:pStyle w:val="GesAbsatz"/>
        <w:tabs>
          <w:tab w:val="clear" w:pos="425"/>
          <w:tab w:val="left" w:pos="2268"/>
        </w:tabs>
        <w:rPr>
          <w:rFonts w:cs="Arial"/>
        </w:rPr>
      </w:pPr>
      <w:r>
        <w:rPr>
          <w:rFonts w:cs="Arial"/>
        </w:rPr>
        <w:t>DIN 38405-13:2011-04</w:t>
      </w:r>
    </w:p>
    <w:p>
      <w:pPr>
        <w:pStyle w:val="GesAbsatz"/>
        <w:tabs>
          <w:tab w:val="clear" w:pos="425"/>
          <w:tab w:val="left" w:pos="2268"/>
        </w:tabs>
        <w:rPr>
          <w:rFonts w:cs="Arial"/>
        </w:rPr>
      </w:pPr>
      <w:r>
        <w:rPr>
          <w:rFonts w:cs="Arial"/>
        </w:rPr>
        <w:t>Deutsche Einheitsverfahren zur Wasser-, Abwasser- und Schlammuntersuchung – Anionen (Gruppe D) – Teil 13: Bestimmung von Cyaniden (D 13)</w:t>
      </w:r>
    </w:p>
    <w:p>
      <w:pPr>
        <w:pStyle w:val="GesAbsatz"/>
        <w:tabs>
          <w:tab w:val="clear" w:pos="425"/>
          <w:tab w:val="left" w:pos="2268"/>
        </w:tabs>
        <w:rPr>
          <w:rFonts w:cs="Arial"/>
        </w:rPr>
      </w:pPr>
      <w:r>
        <w:rPr>
          <w:rFonts w:cs="Arial"/>
        </w:rPr>
        <w:t>DIN 38407-27:2012-10</w:t>
      </w:r>
    </w:p>
    <w:p>
      <w:pPr>
        <w:pStyle w:val="GesAbsatz"/>
        <w:tabs>
          <w:tab w:val="clear" w:pos="425"/>
          <w:tab w:val="left" w:pos="2268"/>
        </w:tabs>
        <w:rPr>
          <w:rFonts w:cs="Arial"/>
        </w:rPr>
      </w:pPr>
      <w:r>
        <w:rPr>
          <w:rFonts w:cs="Arial"/>
        </w:rPr>
        <w:t>Deutsche Einheitsverfahren zur Wasser-, Abwasser- und Schlammuntersuchung – Gemeinsam erfassbare Stoffgruppen (Gruppe F) – Teil 27: Bestimmung ausgewählter Phenole in Grund- und Bodensickerwasser, wässrigen Eluaten und Perkolaten (F 27)</w:t>
      </w:r>
    </w:p>
    <w:p>
      <w:pPr>
        <w:pStyle w:val="GesAbsatz"/>
        <w:tabs>
          <w:tab w:val="clear" w:pos="425"/>
          <w:tab w:val="left" w:pos="2268"/>
        </w:tabs>
        <w:rPr>
          <w:rFonts w:cs="Arial"/>
        </w:rPr>
      </w:pPr>
      <w:r>
        <w:rPr>
          <w:rFonts w:cs="Arial"/>
        </w:rPr>
        <w:t>DIN 38407-37:2013-11</w:t>
      </w:r>
    </w:p>
    <w:p>
      <w:pPr>
        <w:pStyle w:val="GesAbsatz"/>
        <w:tabs>
          <w:tab w:val="clear" w:pos="425"/>
          <w:tab w:val="left" w:pos="2268"/>
        </w:tabs>
        <w:rPr>
          <w:rFonts w:cs="Arial"/>
        </w:rPr>
      </w:pPr>
      <w:r>
        <w:rPr>
          <w:rFonts w:cs="Arial"/>
        </w:rPr>
        <w:t>Deutsche Einheitsverfahren zur Wasser-, Abwasser- und Schlammuntersuchung – Gemeinsam erfassbare Stoffgruppen (Gruppe F) – Teil 37: Bestimmung von Organochlorpestiziden, Polychlorbiphenylen und Chlorbenzolen in Wasser – Verfahren mittels Gaschromatographie und massenspektrometrischer Detektion (GC-MS) nach Flüssig- Flüssig-Extraktion (F 37)</w:t>
      </w:r>
    </w:p>
    <w:p>
      <w:pPr>
        <w:pStyle w:val="GesAbsatz"/>
        <w:tabs>
          <w:tab w:val="clear" w:pos="425"/>
          <w:tab w:val="left" w:pos="2268"/>
        </w:tabs>
        <w:rPr>
          <w:rFonts w:cs="Arial"/>
        </w:rPr>
      </w:pPr>
      <w:r>
        <w:rPr>
          <w:rFonts w:cs="Arial"/>
        </w:rPr>
        <w:t>DIN 38407-39:2011-09</w:t>
      </w:r>
    </w:p>
    <w:p>
      <w:pPr>
        <w:pStyle w:val="GesAbsatz"/>
        <w:tabs>
          <w:tab w:val="clear" w:pos="425"/>
          <w:tab w:val="left" w:pos="2268"/>
        </w:tabs>
        <w:rPr>
          <w:rFonts w:cs="Arial"/>
        </w:rPr>
      </w:pPr>
      <w:r>
        <w:rPr>
          <w:rFonts w:cs="Arial"/>
        </w:rPr>
        <w:t>Deutsche Einheitsverfahren zur Wasser-, Abwasser- und Schlammuntersuchung – Gemeinsam erfassbare Stoffgruppen (Gruppe F) – Teil 39: Bestimmung ausgewählter polycyclischer aromatischer Kohlenwasserstoffe (PAK) – Verfahren mittels Gaschromatographie und massenspektrometrischer Detektion (GC-MS) (F 39)</w:t>
      </w:r>
    </w:p>
    <w:p>
      <w:pPr>
        <w:pStyle w:val="GesAbsatz"/>
        <w:tabs>
          <w:tab w:val="clear" w:pos="425"/>
          <w:tab w:val="left" w:pos="2268"/>
        </w:tabs>
        <w:rPr>
          <w:rFonts w:cs="Arial"/>
        </w:rPr>
      </w:pPr>
      <w:r>
        <w:rPr>
          <w:rFonts w:cs="Arial"/>
        </w:rPr>
        <w:t>DIN 38407-42:2011-03</w:t>
      </w:r>
    </w:p>
    <w:p>
      <w:pPr>
        <w:pStyle w:val="GesAbsatz"/>
        <w:tabs>
          <w:tab w:val="clear" w:pos="425"/>
          <w:tab w:val="left" w:pos="2268"/>
        </w:tabs>
        <w:rPr>
          <w:rFonts w:cs="Arial"/>
        </w:rPr>
      </w:pPr>
      <w:r>
        <w:rPr>
          <w:rFonts w:cs="Arial"/>
        </w:rPr>
        <w:t>Deutsche Einheitsverfahren zur Wasser-, Abwasser- und Schlammuntersuchung – Gemeinsam erfassbare Stoffgruppen (Gruppe F) – Teil 42: Bestimmung ausgewählter polyfluorierter Verbindungen (PFC) in Wasser – Verfahren mittels Hochleistungs-Flüssigkeitschromatographie und massenspektrometrischer Detektion (HPLC-MS/MS) nach Fest-Flüssig-Extraktion (F 42)</w:t>
      </w:r>
    </w:p>
    <w:p>
      <w:pPr>
        <w:pStyle w:val="GesAbsatz"/>
        <w:tabs>
          <w:tab w:val="clear" w:pos="425"/>
          <w:tab w:val="left" w:pos="2268"/>
        </w:tabs>
        <w:rPr>
          <w:rFonts w:cs="Arial"/>
        </w:rPr>
      </w:pPr>
      <w:r>
        <w:rPr>
          <w:rFonts w:cs="Arial"/>
        </w:rPr>
        <w:t>DIN 38407-43:2014-10</w:t>
      </w:r>
    </w:p>
    <w:p>
      <w:pPr>
        <w:pStyle w:val="GesAbsatz"/>
        <w:tabs>
          <w:tab w:val="clear" w:pos="425"/>
          <w:tab w:val="left" w:pos="2268"/>
        </w:tabs>
        <w:rPr>
          <w:rFonts w:cs="Arial"/>
        </w:rPr>
      </w:pPr>
      <w:r>
        <w:rPr>
          <w:rFonts w:cs="Arial"/>
        </w:rPr>
        <w:t>Deutsche Einheitsverfahren zur Wasser-, Abwasser- und Schlammuntersuchung – Gemeinsam erfassbare Stoffgruppen (Gruppe F) – Teil 43: Bestimmung ausgewählter leichtflüchtiger organischer Verbindungen in Wasser – Verfahren mittels Gaschromatographie und Massenspektrometrie nach statischer Headspacetechnik (HS-GC- MS) (F 43)</w:t>
      </w:r>
    </w:p>
    <w:p>
      <w:pPr>
        <w:pStyle w:val="GesAbsatz"/>
        <w:tabs>
          <w:tab w:val="clear" w:pos="425"/>
          <w:tab w:val="left" w:pos="2268"/>
        </w:tabs>
        <w:rPr>
          <w:rFonts w:cs="Arial"/>
        </w:rPr>
      </w:pPr>
      <w:r>
        <w:rPr>
          <w:rFonts w:cs="Arial"/>
        </w:rPr>
        <w:t>DIN 38414-8:1985-06</w:t>
      </w:r>
    </w:p>
    <w:p>
      <w:pPr>
        <w:pStyle w:val="GesAbsatz"/>
        <w:tabs>
          <w:tab w:val="clear" w:pos="425"/>
          <w:tab w:val="left" w:pos="2268"/>
        </w:tabs>
        <w:rPr>
          <w:rFonts w:cs="Arial"/>
        </w:rPr>
      </w:pPr>
      <w:r>
        <w:rPr>
          <w:rFonts w:cs="Arial"/>
        </w:rPr>
        <w:t>Deutsche Einheitsverfahren zur Wasser-, Abwasser- und Schlammuntersuchung; Schlamm und Sedimente (Gruppe S); Bestimmung des Faulverhaltens (S 8)</w:t>
      </w:r>
    </w:p>
    <w:p>
      <w:pPr>
        <w:pStyle w:val="GesAbsatz"/>
        <w:tabs>
          <w:tab w:val="clear" w:pos="425"/>
          <w:tab w:val="left" w:pos="2268"/>
        </w:tabs>
        <w:rPr>
          <w:rFonts w:cs="Arial"/>
        </w:rPr>
      </w:pPr>
      <w:r>
        <w:rPr>
          <w:rFonts w:cs="Arial"/>
        </w:rPr>
        <w:t>DIN 38414-14:2011-08</w:t>
      </w:r>
    </w:p>
    <w:p>
      <w:pPr>
        <w:pStyle w:val="GesAbsatz"/>
        <w:tabs>
          <w:tab w:val="clear" w:pos="425"/>
          <w:tab w:val="left" w:pos="2268"/>
        </w:tabs>
        <w:rPr>
          <w:rFonts w:cs="Arial"/>
        </w:rPr>
      </w:pPr>
      <w:r>
        <w:rPr>
          <w:rFonts w:cs="Arial"/>
        </w:rPr>
        <w:t>Deutsche Einheitsverfahren zur Wasser-, Abwasser- und Schlammuntersuchung – Schlamm und Sedimente (Gruppe S) – Teil 14: Bestimmung ausgewählter polyfluorierter Verbindungen (PFC) in Schlamm, Kompost und Boden – Verfahren mittels Hochleistungs-Flüssigkeitschromatographie und massenspektrometrischer Detektion (HPLC-MS/MS) (S 14)</w:t>
      </w:r>
    </w:p>
    <w:p>
      <w:pPr>
        <w:pStyle w:val="GesAbsatz"/>
        <w:tabs>
          <w:tab w:val="clear" w:pos="425"/>
          <w:tab w:val="left" w:pos="2268"/>
        </w:tabs>
        <w:rPr>
          <w:rFonts w:cs="Arial"/>
        </w:rPr>
      </w:pPr>
      <w:r>
        <w:rPr>
          <w:rFonts w:cs="Arial"/>
        </w:rPr>
        <w:t>DIN 38414-17:2017-01</w:t>
      </w:r>
    </w:p>
    <w:p>
      <w:pPr>
        <w:pStyle w:val="GesAbsatz"/>
        <w:tabs>
          <w:tab w:val="clear" w:pos="425"/>
          <w:tab w:val="left" w:pos="2268"/>
        </w:tabs>
        <w:rPr>
          <w:rFonts w:cs="Arial"/>
        </w:rPr>
      </w:pPr>
      <w:r>
        <w:rPr>
          <w:rFonts w:cs="Arial"/>
        </w:rPr>
        <w:t>Deutsche Einheitsverfahren zur Wasser-, Abwasser- und Schlammuntersuchung – Schlamm und Sedimente (Gruppe S) – Teil 17: Bestimmung von extrahierbaren organisch gebundenen Halogenen (EOX) (S 17)</w:t>
      </w:r>
    </w:p>
    <w:p>
      <w:pPr>
        <w:pStyle w:val="GesAbsatz"/>
        <w:tabs>
          <w:tab w:val="clear" w:pos="425"/>
          <w:tab w:val="left" w:pos="2268"/>
        </w:tabs>
        <w:rPr>
          <w:rFonts w:cs="Arial"/>
        </w:rPr>
      </w:pPr>
      <w:r>
        <w:rPr>
          <w:rFonts w:cs="Arial"/>
        </w:rPr>
        <w:t>DIN 38414-24:2000-10</w:t>
      </w:r>
    </w:p>
    <w:p>
      <w:pPr>
        <w:pStyle w:val="GesAbsatz"/>
        <w:tabs>
          <w:tab w:val="clear" w:pos="425"/>
          <w:tab w:val="left" w:pos="2268"/>
        </w:tabs>
        <w:rPr>
          <w:rFonts w:cs="Arial"/>
        </w:rPr>
      </w:pPr>
      <w:r>
        <w:rPr>
          <w:rFonts w:cs="Arial"/>
        </w:rPr>
        <w:t>Deutsche Einheitsverfahren zur Wasser-, Abwasser- und Schlammuntersuchung – Schlamm und Sedimente (Gruppe S) – Teil 24: Bestimmung von polychlorierten Dibenzodioxinen (PCDD) und polychlorierten Dibenzofuranen (PCDF) (S 24)</w:t>
      </w:r>
    </w:p>
    <w:p>
      <w:pPr>
        <w:pStyle w:val="GesAbsatz"/>
        <w:tabs>
          <w:tab w:val="clear" w:pos="425"/>
          <w:tab w:val="left" w:pos="2268"/>
        </w:tabs>
        <w:rPr>
          <w:rFonts w:cs="Arial"/>
        </w:rPr>
      </w:pPr>
      <w:r>
        <w:rPr>
          <w:rFonts w:cs="Arial"/>
        </w:rPr>
        <w:t>DIN EN 12673:1999-05</w:t>
      </w:r>
    </w:p>
    <w:p>
      <w:pPr>
        <w:pStyle w:val="GesAbsatz"/>
        <w:tabs>
          <w:tab w:val="clear" w:pos="425"/>
          <w:tab w:val="left" w:pos="2268"/>
        </w:tabs>
        <w:rPr>
          <w:rFonts w:cs="Arial"/>
        </w:rPr>
      </w:pPr>
      <w:r>
        <w:rPr>
          <w:rFonts w:cs="Arial"/>
        </w:rPr>
        <w:lastRenderedPageBreak/>
        <w:t>Wasserbeschaffenheit – Gaschromatographische Bestimmung einiger ausgewählter Chlorphenole in Wasser; Deutsche Fassung EN 12673:1998</w:t>
      </w:r>
    </w:p>
    <w:p>
      <w:pPr>
        <w:pStyle w:val="GesAbsatz"/>
        <w:tabs>
          <w:tab w:val="clear" w:pos="425"/>
          <w:tab w:val="left" w:pos="2268"/>
        </w:tabs>
        <w:rPr>
          <w:rFonts w:cs="Arial"/>
        </w:rPr>
      </w:pPr>
      <w:r>
        <w:rPr>
          <w:rFonts w:cs="Arial"/>
        </w:rPr>
        <w:t>DIN EN 13657:2003-01</w:t>
      </w:r>
    </w:p>
    <w:p>
      <w:pPr>
        <w:pStyle w:val="GesAbsatz"/>
        <w:tabs>
          <w:tab w:val="clear" w:pos="425"/>
          <w:tab w:val="left" w:pos="2268"/>
        </w:tabs>
        <w:rPr>
          <w:rFonts w:cs="Arial"/>
        </w:rPr>
      </w:pPr>
      <w:r>
        <w:rPr>
          <w:rFonts w:cs="Arial"/>
        </w:rPr>
        <w:t>Charakterisierung von Abfällen – Aufschluss zur anschließenden Bestimmung des in Königswasser löslichen Anteils an Elementen in Abfällen; Deutsche Fassung EN 13657:2002</w:t>
      </w:r>
    </w:p>
    <w:p>
      <w:pPr>
        <w:pStyle w:val="GesAbsatz"/>
        <w:tabs>
          <w:tab w:val="clear" w:pos="425"/>
          <w:tab w:val="left" w:pos="2268"/>
        </w:tabs>
        <w:rPr>
          <w:rFonts w:cs="Arial"/>
        </w:rPr>
      </w:pPr>
      <w:r>
        <w:rPr>
          <w:rFonts w:cs="Arial"/>
        </w:rPr>
        <w:t>DIN EN 14346:2007-03</w:t>
      </w:r>
    </w:p>
    <w:p>
      <w:pPr>
        <w:pStyle w:val="GesAbsatz"/>
        <w:tabs>
          <w:tab w:val="clear" w:pos="425"/>
          <w:tab w:val="left" w:pos="2268"/>
        </w:tabs>
        <w:rPr>
          <w:rFonts w:cs="Arial"/>
        </w:rPr>
      </w:pPr>
      <w:r>
        <w:rPr>
          <w:rFonts w:cs="Arial"/>
        </w:rPr>
        <w:t>Charakterisierung von Abfällen – Berechnung der Trockenmasse durch Bestimmung des Trockenrückstandes oder des Wassergehaltes; Deutsche Fassung EN 14346:2006</w:t>
      </w:r>
    </w:p>
    <w:p>
      <w:pPr>
        <w:pStyle w:val="GesAbsatz"/>
        <w:tabs>
          <w:tab w:val="clear" w:pos="425"/>
          <w:tab w:val="left" w:pos="2268"/>
        </w:tabs>
        <w:rPr>
          <w:rFonts w:cs="Arial"/>
        </w:rPr>
      </w:pPr>
      <w:r>
        <w:rPr>
          <w:rFonts w:cs="Arial"/>
        </w:rPr>
        <w:t>DIN EN 15192:2007-02</w:t>
      </w:r>
    </w:p>
    <w:p>
      <w:pPr>
        <w:pStyle w:val="GesAbsatz"/>
        <w:tabs>
          <w:tab w:val="clear" w:pos="425"/>
          <w:tab w:val="left" w:pos="2268"/>
        </w:tabs>
        <w:rPr>
          <w:rFonts w:cs="Arial"/>
        </w:rPr>
      </w:pPr>
      <w:r>
        <w:rPr>
          <w:rFonts w:cs="Arial"/>
        </w:rPr>
        <w:t>Charakterisierung von Abfällen und Boden – Bestimmung von sechswertigem Chrom in Feststoffen durch alkalischen Aufschluss und Ionenchromatographie mit photometrischer Detektion; Deutsche Fassung EN 15192:2006</w:t>
      </w:r>
    </w:p>
    <w:p>
      <w:pPr>
        <w:pStyle w:val="GesAbsatz"/>
        <w:tabs>
          <w:tab w:val="clear" w:pos="425"/>
          <w:tab w:val="left" w:pos="2268"/>
        </w:tabs>
        <w:rPr>
          <w:rFonts w:cs="Arial"/>
        </w:rPr>
      </w:pPr>
      <w:r>
        <w:rPr>
          <w:rFonts w:cs="Arial"/>
        </w:rPr>
        <w:t>DIN EN 15933:2012-11</w:t>
      </w:r>
    </w:p>
    <w:p>
      <w:pPr>
        <w:pStyle w:val="GesAbsatz"/>
        <w:tabs>
          <w:tab w:val="clear" w:pos="425"/>
          <w:tab w:val="left" w:pos="2268"/>
        </w:tabs>
        <w:rPr>
          <w:rFonts w:cs="Arial"/>
        </w:rPr>
      </w:pPr>
      <w:r>
        <w:rPr>
          <w:rFonts w:cs="Arial"/>
        </w:rPr>
        <w:t>Schlamm, behandelter Bioabfall und Boden – Bestimmung des pH-Werts; Deutsche Fassung EN 15933:2012</w:t>
      </w:r>
    </w:p>
    <w:p>
      <w:pPr>
        <w:pStyle w:val="GesAbsatz"/>
        <w:tabs>
          <w:tab w:val="clear" w:pos="425"/>
          <w:tab w:val="left" w:pos="2268"/>
        </w:tabs>
        <w:rPr>
          <w:rFonts w:cs="Arial"/>
        </w:rPr>
      </w:pPr>
      <w:r>
        <w:rPr>
          <w:rFonts w:cs="Arial"/>
        </w:rPr>
        <w:t>DIN EN 15934:2012-11</w:t>
      </w:r>
    </w:p>
    <w:p>
      <w:pPr>
        <w:pStyle w:val="GesAbsatz"/>
        <w:tabs>
          <w:tab w:val="clear" w:pos="425"/>
          <w:tab w:val="left" w:pos="2268"/>
        </w:tabs>
        <w:rPr>
          <w:rFonts w:cs="Arial"/>
        </w:rPr>
      </w:pPr>
      <w:r>
        <w:rPr>
          <w:rFonts w:cs="Arial"/>
        </w:rPr>
        <w:t>Schlamm, behandelter Bioabfall, Boden und Abfall – Berechnung des Trockenmassenanteils nach Bestimmung des Trockenrückstands oder des Wassergehalts; Deutsche Fassung EN 15934:2012</w:t>
      </w:r>
    </w:p>
    <w:p>
      <w:pPr>
        <w:pStyle w:val="GesAbsatz"/>
        <w:tabs>
          <w:tab w:val="clear" w:pos="425"/>
          <w:tab w:val="left" w:pos="2268"/>
        </w:tabs>
        <w:rPr>
          <w:rFonts w:cs="Arial"/>
        </w:rPr>
      </w:pPr>
      <w:r>
        <w:rPr>
          <w:rFonts w:cs="Arial"/>
        </w:rPr>
        <w:t>DIN EN 15936:2012-11</w:t>
      </w:r>
    </w:p>
    <w:p>
      <w:pPr>
        <w:pStyle w:val="GesAbsatz"/>
        <w:tabs>
          <w:tab w:val="clear" w:pos="425"/>
          <w:tab w:val="left" w:pos="2268"/>
        </w:tabs>
        <w:rPr>
          <w:rFonts w:cs="Arial"/>
        </w:rPr>
      </w:pPr>
      <w:r>
        <w:rPr>
          <w:rFonts w:cs="Arial"/>
        </w:rPr>
        <w:t>Schlamm, behandelter Bioabfall, Boden und Abfall – Bestimmung des gesamten organischen Kohlenstoffs (TOC) mittels trockener Verbrennung; Deutsche Fassung EN 15936:2012</w:t>
      </w:r>
    </w:p>
    <w:p>
      <w:pPr>
        <w:pStyle w:val="GesAbsatz"/>
        <w:tabs>
          <w:tab w:val="clear" w:pos="425"/>
          <w:tab w:val="left" w:pos="2268"/>
        </w:tabs>
        <w:rPr>
          <w:rFonts w:cs="Arial"/>
        </w:rPr>
      </w:pPr>
      <w:r>
        <w:rPr>
          <w:rFonts w:cs="Arial"/>
        </w:rPr>
        <w:t>DIN EN 16167:2019-06</w:t>
      </w:r>
    </w:p>
    <w:p>
      <w:pPr>
        <w:pStyle w:val="GesAbsatz"/>
        <w:tabs>
          <w:tab w:val="clear" w:pos="425"/>
          <w:tab w:val="left" w:pos="2268"/>
        </w:tabs>
        <w:rPr>
          <w:rFonts w:cs="Arial"/>
        </w:rPr>
      </w:pPr>
      <w:r>
        <w:rPr>
          <w:rFonts w:cs="Arial"/>
        </w:rPr>
        <w:t>Boden, behandelter Bioabfall und Schlamm – Bestimmung von polychlorierten Biphenylen (PCB) mittels Gaschromatographie mit Massenspektrometrie-Kopplung (GC-MS) und Gaschromatographie mit Elektroneneinfangdetektion (GC-ECD); Deutsche Fassung EN 16167:2018+AC:2019</w:t>
      </w:r>
    </w:p>
    <w:p>
      <w:pPr>
        <w:pStyle w:val="GesAbsatz"/>
        <w:tabs>
          <w:tab w:val="clear" w:pos="425"/>
          <w:tab w:val="left" w:pos="2268"/>
        </w:tabs>
        <w:rPr>
          <w:rFonts w:cs="Arial"/>
        </w:rPr>
      </w:pPr>
      <w:r>
        <w:rPr>
          <w:rFonts w:cs="Arial"/>
        </w:rPr>
        <w:t>DIN EN 16170:2017-01</w:t>
      </w:r>
    </w:p>
    <w:p>
      <w:pPr>
        <w:pStyle w:val="GesAbsatz"/>
        <w:tabs>
          <w:tab w:val="clear" w:pos="425"/>
          <w:tab w:val="left" w:pos="2268"/>
        </w:tabs>
        <w:rPr>
          <w:rFonts w:cs="Arial"/>
        </w:rPr>
      </w:pPr>
      <w:r>
        <w:rPr>
          <w:rFonts w:cs="Arial"/>
        </w:rPr>
        <w:t>Schlamm, behandelter Bioabfall und Boden – Bestimmung von Spurenelementen mittels optischer Emissionsspektrometrie mit induktiv gekoppeltem Plasma (ICP-OES); Deutsche Fassung EN 16170:2016</w:t>
      </w:r>
    </w:p>
    <w:p>
      <w:pPr>
        <w:pStyle w:val="GesAbsatz"/>
        <w:tabs>
          <w:tab w:val="clear" w:pos="425"/>
          <w:tab w:val="left" w:pos="2268"/>
        </w:tabs>
        <w:rPr>
          <w:rFonts w:cs="Arial"/>
        </w:rPr>
      </w:pPr>
      <w:r>
        <w:rPr>
          <w:rFonts w:cs="Arial"/>
        </w:rPr>
        <w:t>DIN EN 16171:2017-01</w:t>
      </w:r>
    </w:p>
    <w:p>
      <w:pPr>
        <w:pStyle w:val="GesAbsatz"/>
        <w:tabs>
          <w:tab w:val="clear" w:pos="425"/>
          <w:tab w:val="left" w:pos="2268"/>
        </w:tabs>
        <w:rPr>
          <w:rFonts w:cs="Arial"/>
        </w:rPr>
      </w:pPr>
      <w:r>
        <w:rPr>
          <w:rFonts w:cs="Arial"/>
        </w:rPr>
        <w:t>Schlamm, behandelter Bioabfall und Boden – Bestimmung von Spurenelementen mittels Massenspektrometrie mit induktiv gekoppeltem Plasma (ICP-MS); Deutsche Fassung EN 16171:2016</w:t>
      </w:r>
    </w:p>
    <w:p>
      <w:pPr>
        <w:pStyle w:val="GesAbsatz"/>
        <w:tabs>
          <w:tab w:val="clear" w:pos="425"/>
          <w:tab w:val="left" w:pos="2268"/>
        </w:tabs>
        <w:rPr>
          <w:rFonts w:cs="Arial"/>
        </w:rPr>
      </w:pPr>
      <w:r>
        <w:rPr>
          <w:rFonts w:cs="Arial"/>
        </w:rPr>
        <w:t>DIN EN 16174:2012-11</w:t>
      </w:r>
    </w:p>
    <w:p>
      <w:pPr>
        <w:pStyle w:val="GesAbsatz"/>
        <w:tabs>
          <w:tab w:val="clear" w:pos="425"/>
          <w:tab w:val="left" w:pos="2268"/>
        </w:tabs>
        <w:rPr>
          <w:rFonts w:cs="Arial"/>
        </w:rPr>
      </w:pPr>
      <w:r>
        <w:rPr>
          <w:rFonts w:cs="Arial"/>
        </w:rPr>
        <w:t>Schlamm, behandelter Bioabfall und Boden – Aufschluss von mit Königswasser löslichen Anteilen von Elementen; Deutsche Fassung EN 16174:2012</w:t>
      </w:r>
    </w:p>
    <w:p>
      <w:pPr>
        <w:pStyle w:val="GesAbsatz"/>
        <w:tabs>
          <w:tab w:val="clear" w:pos="425"/>
          <w:tab w:val="left" w:pos="2268"/>
        </w:tabs>
        <w:rPr>
          <w:rFonts w:cs="Arial"/>
        </w:rPr>
      </w:pPr>
      <w:r>
        <w:rPr>
          <w:rFonts w:cs="Arial"/>
        </w:rPr>
        <w:t>DIN EN 16175-1:2016-12</w:t>
      </w:r>
    </w:p>
    <w:p>
      <w:pPr>
        <w:pStyle w:val="GesAbsatz"/>
        <w:tabs>
          <w:tab w:val="clear" w:pos="425"/>
          <w:tab w:val="left" w:pos="2268"/>
        </w:tabs>
        <w:rPr>
          <w:rFonts w:cs="Arial"/>
        </w:rPr>
      </w:pPr>
      <w:r>
        <w:rPr>
          <w:rFonts w:cs="Arial"/>
        </w:rPr>
        <w:t>Schlamm, behandelter Bioabfall und Boden – Bestimmung von Quecksilber – Teil 1: Kaltdampf-Atomabsorptionsspektrometrie (CV-AAS); Deutsche Fassung EN 16175-1:2016</w:t>
      </w:r>
    </w:p>
    <w:p>
      <w:pPr>
        <w:pStyle w:val="GesAbsatz"/>
        <w:tabs>
          <w:tab w:val="clear" w:pos="425"/>
          <w:tab w:val="left" w:pos="2268"/>
        </w:tabs>
        <w:rPr>
          <w:rFonts w:cs="Arial"/>
        </w:rPr>
      </w:pPr>
      <w:r>
        <w:rPr>
          <w:rFonts w:cs="Arial"/>
        </w:rPr>
        <w:t>DIN EN 16175-2:2016-12</w:t>
      </w:r>
    </w:p>
    <w:p>
      <w:pPr>
        <w:pStyle w:val="GesAbsatz"/>
        <w:tabs>
          <w:tab w:val="clear" w:pos="425"/>
          <w:tab w:val="left" w:pos="2268"/>
        </w:tabs>
        <w:rPr>
          <w:rFonts w:cs="Arial"/>
        </w:rPr>
      </w:pPr>
      <w:r>
        <w:rPr>
          <w:rFonts w:cs="Arial"/>
        </w:rPr>
        <w:t>Schlamm, behandelter Bioabfall und Boden – Bestimmung von Quecksilber – Teil 2: Kaltdampf-Atomfluoreszenzspektrometrie (CV-AFS); Deutsche Fassung EN 16175-2:2016</w:t>
      </w:r>
    </w:p>
    <w:p>
      <w:pPr>
        <w:pStyle w:val="GesAbsatz"/>
        <w:tabs>
          <w:tab w:val="clear" w:pos="425"/>
          <w:tab w:val="left" w:pos="2268"/>
        </w:tabs>
        <w:rPr>
          <w:rFonts w:cs="Arial"/>
        </w:rPr>
      </w:pPr>
      <w:r>
        <w:rPr>
          <w:rFonts w:cs="Arial"/>
        </w:rPr>
        <w:t>DIN EN 16181:2019-08</w:t>
      </w:r>
    </w:p>
    <w:p>
      <w:pPr>
        <w:pStyle w:val="GesAbsatz"/>
        <w:tabs>
          <w:tab w:val="clear" w:pos="425"/>
          <w:tab w:val="left" w:pos="2268"/>
        </w:tabs>
        <w:rPr>
          <w:rFonts w:cs="Arial"/>
        </w:rPr>
      </w:pPr>
      <w:r>
        <w:rPr>
          <w:rFonts w:cs="Arial"/>
        </w:rPr>
        <w:t>Boden, behandelter Bioabfall und Schlamm – Bestimmung von polycyclischen aromatischen Kohlenwasserstoffen (PAK) mittels Gaschromatographie (GC) und Hochleistungs-Flüssigkeitschromatographie (HPLC); Deutsche Fassung EN 16181:2018</w:t>
      </w:r>
    </w:p>
    <w:p>
      <w:pPr>
        <w:pStyle w:val="GesAbsatz"/>
        <w:tabs>
          <w:tab w:val="clear" w:pos="425"/>
          <w:tab w:val="left" w:pos="2268"/>
        </w:tabs>
        <w:rPr>
          <w:rFonts w:cs="Arial"/>
        </w:rPr>
      </w:pPr>
      <w:r>
        <w:rPr>
          <w:rFonts w:cs="Arial"/>
        </w:rPr>
        <w:t>DIN EN 16190:2019-10</w:t>
      </w:r>
    </w:p>
    <w:p>
      <w:pPr>
        <w:pStyle w:val="GesAbsatz"/>
        <w:tabs>
          <w:tab w:val="clear" w:pos="425"/>
          <w:tab w:val="left" w:pos="2268"/>
        </w:tabs>
        <w:rPr>
          <w:rFonts w:cs="Arial"/>
        </w:rPr>
      </w:pPr>
      <w:r>
        <w:rPr>
          <w:rFonts w:cs="Arial"/>
        </w:rPr>
        <w:t>Boden, behandelter Bioabfall und Schlamm – Bestimmung von Dioxinen und Furanen sowie Dioxin-vergleichbaren polychlorierten Biphenylen mittels Gaschromatographie und hochauflösender massenspektrometrischer Detektion (HR GC-MS); Deutsche Fassung EN 16190:2018</w:t>
      </w:r>
    </w:p>
    <w:p>
      <w:pPr>
        <w:pStyle w:val="GesAbsatz"/>
        <w:tabs>
          <w:tab w:val="clear" w:pos="425"/>
          <w:tab w:val="left" w:pos="2268"/>
        </w:tabs>
        <w:rPr>
          <w:rFonts w:cs="Arial"/>
        </w:rPr>
      </w:pPr>
      <w:r>
        <w:rPr>
          <w:rFonts w:cs="Arial"/>
        </w:rPr>
        <w:t>DIN EN ISO 5667-3:2019-07</w:t>
      </w:r>
    </w:p>
    <w:p>
      <w:pPr>
        <w:pStyle w:val="GesAbsatz"/>
        <w:tabs>
          <w:tab w:val="clear" w:pos="425"/>
          <w:tab w:val="left" w:pos="2268"/>
        </w:tabs>
        <w:rPr>
          <w:rFonts w:cs="Arial"/>
        </w:rPr>
      </w:pPr>
      <w:r>
        <w:rPr>
          <w:rFonts w:cs="Arial"/>
        </w:rPr>
        <w:t>Wasserbeschaffenheit – Probenahme – Teil 3: Konservierung und Handhabung von Wasserproben (ISO 5667-3:2018); Deutsche Fassung EN ISO 5667-3:2018</w:t>
      </w:r>
    </w:p>
    <w:p>
      <w:pPr>
        <w:pStyle w:val="GesAbsatz"/>
        <w:tabs>
          <w:tab w:val="clear" w:pos="425"/>
          <w:tab w:val="left" w:pos="2268"/>
        </w:tabs>
        <w:rPr>
          <w:rFonts w:cs="Arial"/>
        </w:rPr>
      </w:pPr>
      <w:r>
        <w:rPr>
          <w:rFonts w:cs="Arial"/>
        </w:rPr>
        <w:lastRenderedPageBreak/>
        <w:t>DIN EN ISO 9377-2:2001-07</w:t>
      </w:r>
    </w:p>
    <w:p>
      <w:pPr>
        <w:pStyle w:val="GesAbsatz"/>
        <w:tabs>
          <w:tab w:val="clear" w:pos="425"/>
          <w:tab w:val="left" w:pos="2268"/>
        </w:tabs>
        <w:rPr>
          <w:rFonts w:cs="Arial"/>
        </w:rPr>
      </w:pPr>
      <w:r>
        <w:rPr>
          <w:rFonts w:cs="Arial"/>
        </w:rPr>
        <w:t>Wasserbeschaffenheit – Bestimmung des Kohlenwasserstoff-Index – Teil 2: Verfahren nach Lösemittelextraktion und Gaschromatographie (ISO 9377-2:2000); Deutsche Fassung EN ISO 9377-2:2000</w:t>
      </w:r>
    </w:p>
    <w:p>
      <w:pPr>
        <w:pStyle w:val="GesAbsatz"/>
        <w:tabs>
          <w:tab w:val="clear" w:pos="425"/>
          <w:tab w:val="left" w:pos="2268"/>
        </w:tabs>
        <w:rPr>
          <w:rFonts w:cs="Arial"/>
        </w:rPr>
      </w:pPr>
      <w:r>
        <w:rPr>
          <w:rFonts w:cs="Arial"/>
        </w:rPr>
        <w:t>DIN EN ISO 10301:1997-08</w:t>
      </w:r>
    </w:p>
    <w:p>
      <w:pPr>
        <w:pStyle w:val="GesAbsatz"/>
        <w:tabs>
          <w:tab w:val="clear" w:pos="425"/>
          <w:tab w:val="left" w:pos="2268"/>
        </w:tabs>
        <w:rPr>
          <w:rFonts w:cs="Arial"/>
        </w:rPr>
      </w:pPr>
      <w:r>
        <w:rPr>
          <w:rFonts w:cs="Arial"/>
        </w:rPr>
        <w:t>Wasserbeschaffenheit – Bestimmung leichtflüchtiger halogenierter Kohlenwasserstoffe – Gaschromatographische Verfahren (ISO 10301:1997); Deutsche Fassung EN ISO 10301:1997</w:t>
      </w:r>
    </w:p>
    <w:p>
      <w:pPr>
        <w:pStyle w:val="GesAbsatz"/>
        <w:tabs>
          <w:tab w:val="clear" w:pos="425"/>
          <w:tab w:val="left" w:pos="2268"/>
        </w:tabs>
        <w:rPr>
          <w:rFonts w:cs="Arial"/>
        </w:rPr>
      </w:pPr>
      <w:r>
        <w:rPr>
          <w:rFonts w:cs="Arial"/>
        </w:rPr>
        <w:t>DIN EN ISO 10304-1:2009-07</w:t>
      </w:r>
    </w:p>
    <w:p>
      <w:pPr>
        <w:pStyle w:val="GesAbsatz"/>
        <w:tabs>
          <w:tab w:val="clear" w:pos="425"/>
          <w:tab w:val="left" w:pos="2268"/>
        </w:tabs>
        <w:rPr>
          <w:rFonts w:cs="Arial"/>
        </w:rPr>
      </w:pPr>
      <w:r>
        <w:rPr>
          <w:rFonts w:cs="Arial"/>
        </w:rPr>
        <w:t>Wasserbeschaffenheit – Bestimmung von gelösten Anionen mittels Flüssigkeits-Ionenchromatographie – Teil 1: Bestimmung von Bromid, Chlorid, Fluorid, Nitrat, Nitrit, Phosphat und Sulfat (ISO 10304-1:2007); Deutsche Fassung EN ISO 10304-1:2009</w:t>
      </w:r>
    </w:p>
    <w:p>
      <w:pPr>
        <w:pStyle w:val="GesAbsatz"/>
        <w:tabs>
          <w:tab w:val="clear" w:pos="425"/>
          <w:tab w:val="left" w:pos="2268"/>
        </w:tabs>
        <w:rPr>
          <w:rFonts w:cs="Arial"/>
        </w:rPr>
      </w:pPr>
      <w:r>
        <w:rPr>
          <w:rFonts w:cs="Arial"/>
        </w:rPr>
        <w:t>DIN EN ISO 11272:2017-07</w:t>
      </w:r>
    </w:p>
    <w:p>
      <w:pPr>
        <w:pStyle w:val="GesAbsatz"/>
        <w:tabs>
          <w:tab w:val="clear" w:pos="425"/>
          <w:tab w:val="left" w:pos="2268"/>
        </w:tabs>
        <w:rPr>
          <w:rFonts w:cs="Arial"/>
        </w:rPr>
      </w:pPr>
      <w:r>
        <w:rPr>
          <w:rFonts w:cs="Arial"/>
        </w:rPr>
        <w:t>Bodenbeschaffenheit – Bestimmung der Trockenrohdichte (ISO 11272:2017); Deutsche Fassung EN ISO 11272:2017</w:t>
      </w:r>
    </w:p>
    <w:p>
      <w:pPr>
        <w:pStyle w:val="GesAbsatz"/>
        <w:tabs>
          <w:tab w:val="clear" w:pos="425"/>
          <w:tab w:val="left" w:pos="2268"/>
        </w:tabs>
        <w:rPr>
          <w:rFonts w:cs="Arial"/>
        </w:rPr>
      </w:pPr>
      <w:r>
        <w:rPr>
          <w:rFonts w:cs="Arial"/>
        </w:rPr>
        <w:t>DIN EN ISO/IEC 17020:2012-07</w:t>
      </w:r>
    </w:p>
    <w:p>
      <w:pPr>
        <w:pStyle w:val="GesAbsatz"/>
        <w:tabs>
          <w:tab w:val="clear" w:pos="425"/>
          <w:tab w:val="left" w:pos="2268"/>
        </w:tabs>
        <w:rPr>
          <w:rFonts w:cs="Arial"/>
        </w:rPr>
      </w:pPr>
      <w:r>
        <w:rPr>
          <w:rFonts w:cs="Arial"/>
        </w:rPr>
        <w:t>Konformitätsbewertung – Anforderungen an den Betrieb verschiedener Typen von Stellen, die Inspektionen durchführen (ISO/IEC 17020:2012); Deutsche und Englische Fassung EN ISO/IEC 17020:2012</w:t>
      </w:r>
    </w:p>
    <w:p>
      <w:pPr>
        <w:pStyle w:val="GesAbsatz"/>
        <w:tabs>
          <w:tab w:val="clear" w:pos="425"/>
          <w:tab w:val="left" w:pos="2268"/>
        </w:tabs>
        <w:rPr>
          <w:rFonts w:cs="Arial"/>
        </w:rPr>
      </w:pPr>
      <w:r>
        <w:rPr>
          <w:rFonts w:cs="Arial"/>
        </w:rPr>
        <w:t>DIN EN ISO 11885:2009-09</w:t>
      </w:r>
    </w:p>
    <w:p>
      <w:pPr>
        <w:pStyle w:val="GesAbsatz"/>
        <w:tabs>
          <w:tab w:val="clear" w:pos="425"/>
          <w:tab w:val="left" w:pos="2268"/>
        </w:tabs>
        <w:rPr>
          <w:rFonts w:cs="Arial"/>
        </w:rPr>
      </w:pPr>
      <w:r>
        <w:rPr>
          <w:rFonts w:cs="Arial"/>
        </w:rPr>
        <w:t>Wasserbeschaffenheit – Bestimmung von ausgewählten Elementen durch induktiv gekoppelte Plasma-Atom- Emissionsspektrometrie (ICP-OES) (ISO 11885:2007); Deutsche Fassung EN ISO 11885:2009</w:t>
      </w:r>
    </w:p>
    <w:p>
      <w:pPr>
        <w:pStyle w:val="GesAbsatz"/>
        <w:tabs>
          <w:tab w:val="clear" w:pos="425"/>
          <w:tab w:val="left" w:pos="2268"/>
        </w:tabs>
        <w:rPr>
          <w:rFonts w:cs="Arial"/>
        </w:rPr>
      </w:pPr>
      <w:r>
        <w:rPr>
          <w:rFonts w:cs="Arial"/>
        </w:rPr>
        <w:t>DIN EN ISO 12846:2012-08</w:t>
      </w:r>
    </w:p>
    <w:p>
      <w:pPr>
        <w:pStyle w:val="GesAbsatz"/>
        <w:tabs>
          <w:tab w:val="clear" w:pos="425"/>
          <w:tab w:val="left" w:pos="2268"/>
        </w:tabs>
        <w:rPr>
          <w:rFonts w:cs="Arial"/>
        </w:rPr>
      </w:pPr>
      <w:r>
        <w:rPr>
          <w:rFonts w:cs="Arial"/>
        </w:rPr>
        <w:t>Wasserbeschaffenheit – Bestimmung von Quecksilber – Verfahren mittels Atomabsorptionsspektrometrie (AAS) mit und ohne Anreicherung (ISO 12846: 2012); Deutsche Fassung EN ISO 12846:2012</w:t>
      </w:r>
    </w:p>
    <w:p>
      <w:pPr>
        <w:pStyle w:val="GesAbsatz"/>
        <w:tabs>
          <w:tab w:val="clear" w:pos="425"/>
          <w:tab w:val="left" w:pos="2268"/>
        </w:tabs>
        <w:rPr>
          <w:rFonts w:cs="Arial"/>
        </w:rPr>
      </w:pPr>
      <w:r>
        <w:rPr>
          <w:rFonts w:cs="Arial"/>
        </w:rPr>
        <w:t>DIN EN ISO 14403-1:2012-10</w:t>
      </w:r>
    </w:p>
    <w:p>
      <w:pPr>
        <w:pStyle w:val="GesAbsatz"/>
        <w:tabs>
          <w:tab w:val="clear" w:pos="425"/>
          <w:tab w:val="left" w:pos="2268"/>
        </w:tabs>
        <w:rPr>
          <w:rFonts w:cs="Arial"/>
        </w:rPr>
      </w:pPr>
      <w:r>
        <w:rPr>
          <w:rFonts w:cs="Arial"/>
        </w:rPr>
        <w:t>Wasserbeschaffenheit – Bestimmung von Gesamtcyanid und freiem Cyanid mittels Fließanalytik (FIA und CFA) – Teil 1: Verfahren mittels Fließinjektionsanalyse (FIA) (ISO 14403-1:2012); Deutsche Fassung EN ISO 14403-1:2012</w:t>
      </w:r>
    </w:p>
    <w:p>
      <w:pPr>
        <w:pStyle w:val="GesAbsatz"/>
        <w:tabs>
          <w:tab w:val="clear" w:pos="425"/>
          <w:tab w:val="left" w:pos="2268"/>
        </w:tabs>
        <w:rPr>
          <w:rFonts w:cs="Arial"/>
        </w:rPr>
      </w:pPr>
      <w:r>
        <w:rPr>
          <w:rFonts w:cs="Arial"/>
        </w:rPr>
        <w:t>DIN EN ISO 14403-2:2012-10</w:t>
      </w:r>
    </w:p>
    <w:p>
      <w:pPr>
        <w:pStyle w:val="GesAbsatz"/>
        <w:tabs>
          <w:tab w:val="clear" w:pos="425"/>
          <w:tab w:val="left" w:pos="2268"/>
        </w:tabs>
        <w:rPr>
          <w:rFonts w:cs="Arial"/>
        </w:rPr>
      </w:pPr>
      <w:r>
        <w:rPr>
          <w:rFonts w:cs="Arial"/>
        </w:rPr>
        <w:t>Wasserbeschaffenheit – Bestimmung von Gesamtcyanid und freiem Cyanid mittels Fließanalytik (FIA und CFA) – Teil 2: Verfahren mittels kontinuierlicher Durchflussanalyse (CFA) (ISO 14403-2:2012); Deutsche Fassung EN ISO 14403-2:2012</w:t>
      </w:r>
    </w:p>
    <w:p>
      <w:pPr>
        <w:pStyle w:val="GesAbsatz"/>
        <w:tabs>
          <w:tab w:val="clear" w:pos="425"/>
          <w:tab w:val="left" w:pos="2268"/>
        </w:tabs>
        <w:rPr>
          <w:rFonts w:cs="Arial"/>
        </w:rPr>
      </w:pPr>
      <w:r>
        <w:rPr>
          <w:rFonts w:cs="Arial"/>
        </w:rPr>
        <w:t>DIN EN ISO 15586:2004-02</w:t>
      </w:r>
    </w:p>
    <w:p>
      <w:pPr>
        <w:pStyle w:val="GesAbsatz"/>
        <w:tabs>
          <w:tab w:val="clear" w:pos="425"/>
          <w:tab w:val="left" w:pos="2268"/>
        </w:tabs>
        <w:rPr>
          <w:rFonts w:cs="Arial"/>
        </w:rPr>
      </w:pPr>
      <w:r>
        <w:rPr>
          <w:rFonts w:cs="Arial"/>
        </w:rPr>
        <w:t>Wasserbeschaffenheit – Bestimmung von Spurenelementen mittels Atomabsorptionsspektrometrie mit dem Graphitrohr-Verfahren (ISO 15586:2003); Deutsche Fassung EN ISO 15586:2003</w:t>
      </w:r>
    </w:p>
    <w:p>
      <w:pPr>
        <w:pStyle w:val="GesAbsatz"/>
        <w:tabs>
          <w:tab w:val="clear" w:pos="425"/>
          <w:tab w:val="left" w:pos="2268"/>
        </w:tabs>
        <w:rPr>
          <w:rFonts w:cs="Arial"/>
        </w:rPr>
      </w:pPr>
      <w:r>
        <w:rPr>
          <w:rFonts w:cs="Arial"/>
        </w:rPr>
        <w:t>DIN EN ISO 15680:2004-04</w:t>
      </w:r>
    </w:p>
    <w:p>
      <w:pPr>
        <w:pStyle w:val="GesAbsatz"/>
        <w:tabs>
          <w:tab w:val="clear" w:pos="425"/>
          <w:tab w:val="left" w:pos="2268"/>
        </w:tabs>
        <w:rPr>
          <w:rFonts w:cs="Arial"/>
        </w:rPr>
      </w:pPr>
      <w:r>
        <w:rPr>
          <w:rFonts w:cs="Arial"/>
        </w:rPr>
        <w:t>Wasserbeschaffenheit – Gaschromatographische Bestimmung einer Anzahl monocyclischer aromatischer Kohlenwasserstoffe, Naphthalin und einiger chlorierter Substanzen mittels Purge und Trap-Anreicherung und thermischer Desorption (ISO 15680:2003); Deutsche Fassung EN ISO 15680:2003</w:t>
      </w:r>
    </w:p>
    <w:p>
      <w:pPr>
        <w:pStyle w:val="GesAbsatz"/>
        <w:tabs>
          <w:tab w:val="clear" w:pos="425"/>
          <w:tab w:val="left" w:pos="2268"/>
        </w:tabs>
        <w:rPr>
          <w:rFonts w:cs="Arial"/>
        </w:rPr>
      </w:pPr>
      <w:r>
        <w:rPr>
          <w:rFonts w:cs="Arial"/>
        </w:rPr>
        <w:t>DIN EN ISO/IEC 17025:2018-03</w:t>
      </w:r>
    </w:p>
    <w:p>
      <w:pPr>
        <w:pStyle w:val="GesAbsatz"/>
        <w:tabs>
          <w:tab w:val="clear" w:pos="425"/>
          <w:tab w:val="left" w:pos="2268"/>
        </w:tabs>
        <w:rPr>
          <w:rFonts w:cs="Arial"/>
        </w:rPr>
      </w:pPr>
      <w:r>
        <w:rPr>
          <w:rFonts w:cs="Arial"/>
        </w:rPr>
        <w:t>Allgemeine Anforderungen an die Kompetenz von Prüf- und Kalibrierlaboratorien (ISO/IEC 17025:2017); Deutsche und Englische Fassung EN ISO/IEC 17025:2017</w:t>
      </w:r>
    </w:p>
    <w:p>
      <w:pPr>
        <w:pStyle w:val="GesAbsatz"/>
        <w:tabs>
          <w:tab w:val="clear" w:pos="425"/>
          <w:tab w:val="left" w:pos="2268"/>
        </w:tabs>
        <w:rPr>
          <w:rFonts w:cs="Arial"/>
        </w:rPr>
      </w:pPr>
      <w:r>
        <w:rPr>
          <w:rFonts w:cs="Arial"/>
        </w:rPr>
        <w:t>DIN EN ISO 17892-4:2017-04</w:t>
      </w:r>
    </w:p>
    <w:p>
      <w:pPr>
        <w:pStyle w:val="GesAbsatz"/>
        <w:tabs>
          <w:tab w:val="clear" w:pos="425"/>
          <w:tab w:val="left" w:pos="2268"/>
        </w:tabs>
        <w:rPr>
          <w:rFonts w:cs="Arial"/>
        </w:rPr>
      </w:pPr>
      <w:r>
        <w:rPr>
          <w:rFonts w:cs="Arial"/>
        </w:rPr>
        <w:t>Geotechnische Erkundung und Untersuchung – Laborversuche an Bodenproben – Teil 4: Bestimmung der Korngrößenverteilung (ISO 17892-4:2016); Deutsche Fassung EN ISO 17892-4:2016</w:t>
      </w:r>
    </w:p>
    <w:p>
      <w:pPr>
        <w:pStyle w:val="GesAbsatz"/>
        <w:tabs>
          <w:tab w:val="clear" w:pos="425"/>
          <w:tab w:val="left" w:pos="2268"/>
        </w:tabs>
        <w:rPr>
          <w:rFonts w:cs="Arial"/>
        </w:rPr>
      </w:pPr>
      <w:r>
        <w:rPr>
          <w:rFonts w:cs="Arial"/>
        </w:rPr>
        <w:t>DIN EN ISO 17294-2:2017-01</w:t>
      </w:r>
    </w:p>
    <w:p>
      <w:pPr>
        <w:pStyle w:val="GesAbsatz"/>
        <w:tabs>
          <w:tab w:val="clear" w:pos="425"/>
          <w:tab w:val="left" w:pos="2268"/>
        </w:tabs>
        <w:rPr>
          <w:rFonts w:cs="Arial"/>
        </w:rPr>
      </w:pPr>
      <w:r>
        <w:rPr>
          <w:rFonts w:cs="Arial"/>
        </w:rPr>
        <w:t>Wasserbeschaffenheit – Anwendung der induktiv gekoppelten Plasma-Massenspektrometrie (ICP-MS) – Teil 2: Bestimmung von ausgewählten Elementen einschließlich Uran-Isotope (ISO 17294-2:2016); Deutsche Fassung EN ISO 17294-2:2017</w:t>
      </w:r>
    </w:p>
    <w:p>
      <w:pPr>
        <w:pStyle w:val="GesAbsatz"/>
        <w:tabs>
          <w:tab w:val="clear" w:pos="425"/>
          <w:tab w:val="left" w:pos="2268"/>
        </w:tabs>
        <w:rPr>
          <w:rFonts w:cs="Arial"/>
        </w:rPr>
      </w:pPr>
      <w:r>
        <w:rPr>
          <w:rFonts w:cs="Arial"/>
        </w:rPr>
        <w:t>DIN EN ISO 17380:2013-10</w:t>
      </w:r>
    </w:p>
    <w:p>
      <w:pPr>
        <w:pStyle w:val="GesAbsatz"/>
        <w:tabs>
          <w:tab w:val="clear" w:pos="425"/>
          <w:tab w:val="left" w:pos="2268"/>
        </w:tabs>
        <w:rPr>
          <w:rFonts w:cs="Arial"/>
        </w:rPr>
      </w:pPr>
      <w:r>
        <w:rPr>
          <w:rFonts w:cs="Arial"/>
        </w:rPr>
        <w:t>Bodenbeschaffenheit – Bestimmung des Gehalts an Gesamtcyanid und leicht freisetzbarem Cyanid – Verfahren mittels kontinuierlicher Durchflussanalyse (ISO 17380:2013); Deutsche Fassung EN ISO 17380:2013</w:t>
      </w:r>
    </w:p>
    <w:p>
      <w:pPr>
        <w:pStyle w:val="GesAbsatz"/>
        <w:tabs>
          <w:tab w:val="clear" w:pos="425"/>
          <w:tab w:val="left" w:pos="2268"/>
        </w:tabs>
        <w:rPr>
          <w:rFonts w:cs="Arial"/>
        </w:rPr>
      </w:pPr>
      <w:r>
        <w:rPr>
          <w:rFonts w:cs="Arial"/>
        </w:rPr>
        <w:lastRenderedPageBreak/>
        <w:t>DIN EN ISO 17852:2008-04</w:t>
      </w:r>
    </w:p>
    <w:p>
      <w:pPr>
        <w:pStyle w:val="GesAbsatz"/>
        <w:tabs>
          <w:tab w:val="clear" w:pos="425"/>
          <w:tab w:val="left" w:pos="2268"/>
        </w:tabs>
        <w:rPr>
          <w:rFonts w:cs="Arial"/>
        </w:rPr>
      </w:pPr>
      <w:r>
        <w:rPr>
          <w:rFonts w:cs="Arial"/>
        </w:rPr>
        <w:t>Wasserbeschaffenheit – Bestimmung von Quecksilber – Verfahren mittels Atomfluoreszenzspektrometrie (ISO 17852:2006); Deutsche Fassung EN ISO 17852:2008</w:t>
      </w:r>
    </w:p>
    <w:p>
      <w:pPr>
        <w:pStyle w:val="GesAbsatz"/>
        <w:tabs>
          <w:tab w:val="clear" w:pos="425"/>
          <w:tab w:val="left" w:pos="2268"/>
        </w:tabs>
        <w:rPr>
          <w:rFonts w:cs="Arial"/>
        </w:rPr>
      </w:pPr>
      <w:r>
        <w:rPr>
          <w:rFonts w:cs="Arial"/>
        </w:rPr>
        <w:t>DIN EN ISO 17943:2016-10</w:t>
      </w:r>
    </w:p>
    <w:p>
      <w:pPr>
        <w:pStyle w:val="GesAbsatz"/>
        <w:tabs>
          <w:tab w:val="clear" w:pos="425"/>
          <w:tab w:val="left" w:pos="2268"/>
        </w:tabs>
        <w:rPr>
          <w:rFonts w:cs="Arial"/>
        </w:rPr>
      </w:pPr>
      <w:r>
        <w:rPr>
          <w:rFonts w:cs="Arial"/>
        </w:rPr>
        <w:t xml:space="preserve">Wasserbeschaffenheit – Bestimmung flüchtiger organischer Verbindungen in Wasser – Verfahren mittels </w:t>
      </w:r>
      <w:r>
        <w:rPr>
          <w:rFonts w:cs="Arial"/>
          <w:lang w:val="en-US"/>
        </w:rPr>
        <w:t>Headspace</w:t>
      </w:r>
      <w:r>
        <w:rPr>
          <w:rFonts w:cs="Arial"/>
        </w:rPr>
        <w:t>-Festphasenmikroextraktion (HS-SPME) gefolgt von der Gaschromatographie und Massenspektrometrie (GC-MS) (ISO 17943:2016); Deutsche Fassung EN ISO 17943:2016</w:t>
      </w:r>
    </w:p>
    <w:p>
      <w:pPr>
        <w:pStyle w:val="GesAbsatz"/>
        <w:tabs>
          <w:tab w:val="clear" w:pos="425"/>
          <w:tab w:val="left" w:pos="2268"/>
        </w:tabs>
        <w:rPr>
          <w:rFonts w:cs="Arial"/>
        </w:rPr>
      </w:pPr>
      <w:r>
        <w:rPr>
          <w:rFonts w:cs="Arial"/>
        </w:rPr>
        <w:t>DIN EN ISO 17993:2004-03</w:t>
      </w:r>
    </w:p>
    <w:p>
      <w:pPr>
        <w:pStyle w:val="GesAbsatz"/>
        <w:tabs>
          <w:tab w:val="clear" w:pos="425"/>
          <w:tab w:val="left" w:pos="2268"/>
        </w:tabs>
        <w:rPr>
          <w:rFonts w:cs="Arial"/>
        </w:rPr>
      </w:pPr>
      <w:r>
        <w:rPr>
          <w:rFonts w:cs="Arial"/>
        </w:rPr>
        <w:t>Wasserbeschaffenheit – Bestimmung von 15 polycyclischen aromatischen Kohlenwasserstoffen (PAK) in Wasser durch HPLC mit Fluoreszenzdetektion nach Flüssig-Flüssig-Extraktion (ISO 17993:2002); Deutsche Fassung EN ISO 17993:2003</w:t>
      </w:r>
    </w:p>
    <w:p>
      <w:pPr>
        <w:pStyle w:val="GesAbsatz"/>
        <w:tabs>
          <w:tab w:val="clear" w:pos="425"/>
          <w:tab w:val="left" w:pos="2268"/>
        </w:tabs>
        <w:rPr>
          <w:rFonts w:cs="Arial"/>
        </w:rPr>
      </w:pPr>
      <w:r>
        <w:rPr>
          <w:rFonts w:cs="Arial"/>
        </w:rPr>
        <w:t>DIN EN ISO 18857-1:2007-02</w:t>
      </w:r>
    </w:p>
    <w:p>
      <w:pPr>
        <w:pStyle w:val="GesAbsatz"/>
        <w:tabs>
          <w:tab w:val="clear" w:pos="425"/>
          <w:tab w:val="left" w:pos="2268"/>
        </w:tabs>
        <w:rPr>
          <w:rFonts w:cs="Arial"/>
        </w:rPr>
      </w:pPr>
      <w:r>
        <w:rPr>
          <w:rFonts w:cs="Arial"/>
        </w:rPr>
        <w:t>Wasserbeschaffenheit- Bestimmung ausgewählter Alkylphenole – Teil 1: Verfahren für nichtfiltrierte Proben mittels Flüssig-Flüssig-Extraktion und Gaschromatographie mit massenselektiver Detektion (ISO 18857-1:2005); Deutsche Fassung EN ISO 18857-1:2006</w:t>
      </w:r>
    </w:p>
    <w:p>
      <w:pPr>
        <w:pStyle w:val="GesAbsatz"/>
        <w:tabs>
          <w:tab w:val="clear" w:pos="425"/>
          <w:tab w:val="left" w:pos="2268"/>
        </w:tabs>
        <w:rPr>
          <w:rFonts w:cs="Arial"/>
        </w:rPr>
      </w:pPr>
      <w:r>
        <w:rPr>
          <w:rFonts w:cs="Arial"/>
        </w:rPr>
        <w:t>DIN EN ISO 22475-1:2007-01</w:t>
      </w:r>
    </w:p>
    <w:p>
      <w:pPr>
        <w:pStyle w:val="GesAbsatz"/>
        <w:tabs>
          <w:tab w:val="clear" w:pos="425"/>
          <w:tab w:val="left" w:pos="2268"/>
        </w:tabs>
        <w:rPr>
          <w:rFonts w:cs="Arial"/>
        </w:rPr>
      </w:pPr>
      <w:r>
        <w:rPr>
          <w:rFonts w:cs="Arial"/>
        </w:rPr>
        <w:t>Geotechnische Erkundung und Untersuchung – Probenentnahmeverfahren und Grundwassermessungen – Teil 1: Technische Grundlagen der Ausführung (ISO 22475-1:2006); Deutsche Fassung EN ISO 22475-1:2006</w:t>
      </w:r>
    </w:p>
    <w:p>
      <w:pPr>
        <w:pStyle w:val="GesAbsatz"/>
        <w:tabs>
          <w:tab w:val="clear" w:pos="425"/>
          <w:tab w:val="left" w:pos="2268"/>
        </w:tabs>
        <w:rPr>
          <w:rFonts w:cs="Arial"/>
        </w:rPr>
      </w:pPr>
      <w:r>
        <w:rPr>
          <w:rFonts w:cs="Arial"/>
        </w:rPr>
        <w:t>DIN EN ISO 22478:2006-07</w:t>
      </w:r>
    </w:p>
    <w:p>
      <w:pPr>
        <w:pStyle w:val="GesAbsatz"/>
        <w:tabs>
          <w:tab w:val="clear" w:pos="425"/>
          <w:tab w:val="left" w:pos="2268"/>
        </w:tabs>
        <w:rPr>
          <w:rFonts w:cs="Arial"/>
        </w:rPr>
      </w:pPr>
      <w:r>
        <w:rPr>
          <w:rFonts w:cs="Arial"/>
        </w:rPr>
        <w:t>Wasserbeschaffenheit – Bestimmung ausgewählter Explosivstoffe und verwandter Verbindungen – Verfahren mittels Hochleistungs-Flüssigkeitschromatographie (HPLC) mit UV-Detektion (ISO 22478:2006); Deutsche Fassung EN ISO 22478:2006</w:t>
      </w:r>
    </w:p>
    <w:p>
      <w:pPr>
        <w:pStyle w:val="GesAbsatz"/>
        <w:tabs>
          <w:tab w:val="clear" w:pos="425"/>
          <w:tab w:val="left" w:pos="2268"/>
        </w:tabs>
        <w:rPr>
          <w:rFonts w:cs="Arial"/>
        </w:rPr>
      </w:pPr>
      <w:r>
        <w:rPr>
          <w:rFonts w:cs="Arial"/>
        </w:rPr>
        <w:t>DIN ISO 10381-1:2003-08</w:t>
      </w:r>
    </w:p>
    <w:p>
      <w:pPr>
        <w:pStyle w:val="GesAbsatz"/>
        <w:tabs>
          <w:tab w:val="clear" w:pos="425"/>
          <w:tab w:val="left" w:pos="2268"/>
        </w:tabs>
        <w:rPr>
          <w:rFonts w:cs="Arial"/>
        </w:rPr>
      </w:pPr>
      <w:r>
        <w:rPr>
          <w:rFonts w:cs="Arial"/>
        </w:rPr>
        <w:t>Bodenbeschaffenheit – Probenahme – Teil 1: Anleitung zur Aufstellung von Probenahmeprogrammen (ISO 10381-1:2002)</w:t>
      </w:r>
    </w:p>
    <w:p>
      <w:pPr>
        <w:pStyle w:val="GesAbsatz"/>
        <w:tabs>
          <w:tab w:val="clear" w:pos="425"/>
          <w:tab w:val="left" w:pos="2268"/>
        </w:tabs>
        <w:rPr>
          <w:rFonts w:cs="Arial"/>
        </w:rPr>
      </w:pPr>
      <w:r>
        <w:rPr>
          <w:rFonts w:cs="Arial"/>
        </w:rPr>
        <w:t>DIN ISO 10381-2:2003-08</w:t>
      </w:r>
    </w:p>
    <w:p>
      <w:pPr>
        <w:pStyle w:val="GesAbsatz"/>
        <w:tabs>
          <w:tab w:val="clear" w:pos="425"/>
          <w:tab w:val="left" w:pos="2268"/>
        </w:tabs>
        <w:rPr>
          <w:rFonts w:cs="Arial"/>
        </w:rPr>
      </w:pPr>
      <w:r>
        <w:rPr>
          <w:rFonts w:cs="Arial"/>
        </w:rPr>
        <w:t>Bodenbeschaffenheit – Probenahme – Teil 2: Anleitung für Probenahmeverfahren (ISO 10381-2:2002)</w:t>
      </w:r>
    </w:p>
    <w:p>
      <w:pPr>
        <w:pStyle w:val="GesAbsatz"/>
        <w:tabs>
          <w:tab w:val="clear" w:pos="425"/>
          <w:tab w:val="left" w:pos="2268"/>
        </w:tabs>
        <w:rPr>
          <w:rFonts w:cs="Arial"/>
        </w:rPr>
      </w:pPr>
      <w:r>
        <w:rPr>
          <w:rFonts w:cs="Arial"/>
        </w:rPr>
        <w:t>DIN ISO 10382:2003-05</w:t>
      </w:r>
    </w:p>
    <w:p>
      <w:pPr>
        <w:pStyle w:val="GesAbsatz"/>
        <w:tabs>
          <w:tab w:val="clear" w:pos="425"/>
          <w:tab w:val="left" w:pos="2268"/>
        </w:tabs>
        <w:rPr>
          <w:rFonts w:cs="Arial"/>
        </w:rPr>
      </w:pPr>
      <w:r>
        <w:rPr>
          <w:rFonts w:cs="Arial"/>
        </w:rPr>
        <w:t>Bodenbeschaffenheit – Bestimmung von Organochlorpestiziden und polychlorierten Biphenylen – Gaschromatographisches Verfahren mit Elektroneneinfang-Detektor (ISO 10382:2002)</w:t>
      </w:r>
    </w:p>
    <w:p>
      <w:pPr>
        <w:pStyle w:val="GesAbsatz"/>
        <w:tabs>
          <w:tab w:val="clear" w:pos="425"/>
          <w:tab w:val="left" w:pos="2268"/>
        </w:tabs>
        <w:rPr>
          <w:rFonts w:cs="Arial"/>
        </w:rPr>
      </w:pPr>
      <w:r>
        <w:rPr>
          <w:rFonts w:cs="Arial"/>
        </w:rPr>
        <w:t>DIN ISO 11262:2012-04</w:t>
      </w:r>
    </w:p>
    <w:p>
      <w:pPr>
        <w:pStyle w:val="GesAbsatz"/>
        <w:tabs>
          <w:tab w:val="clear" w:pos="425"/>
          <w:tab w:val="left" w:pos="2268"/>
        </w:tabs>
        <w:rPr>
          <w:rFonts w:cs="Arial"/>
        </w:rPr>
      </w:pPr>
      <w:r>
        <w:rPr>
          <w:rFonts w:cs="Arial"/>
        </w:rPr>
        <w:t>Bodenbeschaffenheit – Bestimmung von Gesamtcyanid (ISO 11262:2011)</w:t>
      </w:r>
    </w:p>
    <w:p>
      <w:pPr>
        <w:pStyle w:val="GesAbsatz"/>
        <w:tabs>
          <w:tab w:val="clear" w:pos="425"/>
          <w:tab w:val="left" w:pos="2268"/>
        </w:tabs>
        <w:rPr>
          <w:rFonts w:cs="Arial"/>
        </w:rPr>
      </w:pPr>
      <w:r>
        <w:rPr>
          <w:rFonts w:cs="Arial"/>
        </w:rPr>
        <w:t>DIN ISO 11277:2002-08</w:t>
      </w:r>
    </w:p>
    <w:p>
      <w:pPr>
        <w:pStyle w:val="GesAbsatz"/>
        <w:tabs>
          <w:tab w:val="clear" w:pos="425"/>
          <w:tab w:val="left" w:pos="2268"/>
        </w:tabs>
        <w:rPr>
          <w:rFonts w:cs="Arial"/>
        </w:rPr>
      </w:pPr>
      <w:r>
        <w:rPr>
          <w:rFonts w:cs="Arial"/>
        </w:rPr>
        <w:t>Bodenbeschaffenheit – Bestimmung der Partikelgrößenverteilung in Mineralböden – Verfahren mittels Siebung und Sedimentation (ISO 11277:1998 + ISO 11277:1998 Corrigendum 1:2002)</w:t>
      </w:r>
    </w:p>
    <w:p>
      <w:pPr>
        <w:pStyle w:val="GesAbsatz"/>
        <w:tabs>
          <w:tab w:val="clear" w:pos="425"/>
          <w:tab w:val="left" w:pos="2268"/>
        </w:tabs>
        <w:rPr>
          <w:rFonts w:cs="Arial"/>
        </w:rPr>
      </w:pPr>
      <w:r>
        <w:rPr>
          <w:rFonts w:cs="Arial"/>
        </w:rPr>
        <w:t>DIN ISO 11352:2013-03</w:t>
      </w:r>
    </w:p>
    <w:p>
      <w:pPr>
        <w:pStyle w:val="GesAbsatz"/>
        <w:tabs>
          <w:tab w:val="clear" w:pos="425"/>
          <w:tab w:val="left" w:pos="2268"/>
        </w:tabs>
        <w:rPr>
          <w:rFonts w:cs="Arial"/>
        </w:rPr>
      </w:pPr>
      <w:r>
        <w:rPr>
          <w:rFonts w:cs="Arial"/>
        </w:rPr>
        <w:t>Wasserbeschaffenheit – Abschätzung der Messunsicherheit beruhend auf Validierungs- und Kontrolldaten (ISO 11352:2012)</w:t>
      </w:r>
    </w:p>
    <w:p>
      <w:pPr>
        <w:pStyle w:val="GesAbsatz"/>
        <w:tabs>
          <w:tab w:val="clear" w:pos="425"/>
          <w:tab w:val="left" w:pos="2268"/>
        </w:tabs>
        <w:rPr>
          <w:rFonts w:cs="Arial"/>
        </w:rPr>
      </w:pPr>
      <w:r>
        <w:rPr>
          <w:rFonts w:cs="Arial"/>
        </w:rPr>
        <w:t>DIN ISO 11916-1:2014-11</w:t>
      </w:r>
    </w:p>
    <w:p>
      <w:pPr>
        <w:pStyle w:val="GesAbsatz"/>
        <w:tabs>
          <w:tab w:val="clear" w:pos="425"/>
          <w:tab w:val="left" w:pos="2268"/>
        </w:tabs>
        <w:rPr>
          <w:rFonts w:cs="Arial"/>
        </w:rPr>
      </w:pPr>
      <w:r>
        <w:rPr>
          <w:rFonts w:cs="Arial"/>
        </w:rPr>
        <w:t>Bodenbeschaffenheit – Bestimmung von ausgewählten Explosivstoffen und verwandten Verbindungen – Teil 1: Verfahren mittels Hochleistungs-Flüssigkeitschromatographie (HPLC) und UV-Detektion (ISO 11916-1:2013)</w:t>
      </w:r>
    </w:p>
    <w:p>
      <w:pPr>
        <w:pStyle w:val="GesAbsatz"/>
        <w:tabs>
          <w:tab w:val="clear" w:pos="425"/>
          <w:tab w:val="left" w:pos="2268"/>
        </w:tabs>
        <w:rPr>
          <w:rFonts w:cs="Arial"/>
        </w:rPr>
      </w:pPr>
      <w:r>
        <w:rPr>
          <w:rFonts w:cs="Arial"/>
        </w:rPr>
        <w:t>DIN ISO 11916-2:2014-11</w:t>
      </w:r>
    </w:p>
    <w:p>
      <w:pPr>
        <w:pStyle w:val="GesAbsatz"/>
        <w:tabs>
          <w:tab w:val="clear" w:pos="425"/>
          <w:tab w:val="left" w:pos="2268"/>
        </w:tabs>
        <w:rPr>
          <w:rFonts w:cs="Arial"/>
        </w:rPr>
      </w:pPr>
      <w:r>
        <w:rPr>
          <w:rFonts w:cs="Arial"/>
        </w:rPr>
        <w:t>Bodenbeschaffenheit – Bestimmung von ausgewählten Explosivstoffen und verwandten Verbindungen – Teil 2: Verfahren mittels Gaschromatographie (GC) und Elektronen-Einfang-Detektion (ECD) oder massenspektrometrischer Detektion (MS) (ISO 11916-2:2013)</w:t>
      </w:r>
    </w:p>
    <w:p>
      <w:pPr>
        <w:pStyle w:val="GesAbsatz"/>
        <w:tabs>
          <w:tab w:val="clear" w:pos="425"/>
          <w:tab w:val="left" w:pos="2268"/>
        </w:tabs>
        <w:rPr>
          <w:rFonts w:cs="Arial"/>
        </w:rPr>
      </w:pPr>
      <w:r>
        <w:rPr>
          <w:rFonts w:cs="Arial"/>
        </w:rPr>
        <w:t>DIN ISO 14154:2005-12</w:t>
      </w:r>
    </w:p>
    <w:p>
      <w:pPr>
        <w:pStyle w:val="GesAbsatz"/>
        <w:tabs>
          <w:tab w:val="clear" w:pos="425"/>
          <w:tab w:val="left" w:pos="2268"/>
        </w:tabs>
        <w:rPr>
          <w:rFonts w:cs="Arial"/>
        </w:rPr>
      </w:pPr>
      <w:r>
        <w:rPr>
          <w:rFonts w:cs="Arial"/>
        </w:rPr>
        <w:t>Bodenbeschaffenheit – Bestimmung von ausgewählten Chlorphenolen – Gaschromatographisches Verfahren mit Elektronen-Einfang-Detektion (ISO 14154:2005)</w:t>
      </w:r>
    </w:p>
    <w:p>
      <w:pPr>
        <w:pStyle w:val="GesAbsatz"/>
        <w:tabs>
          <w:tab w:val="clear" w:pos="425"/>
          <w:tab w:val="left" w:pos="2268"/>
        </w:tabs>
        <w:rPr>
          <w:rFonts w:cs="Arial"/>
        </w:rPr>
      </w:pPr>
      <w:r>
        <w:rPr>
          <w:rFonts w:cs="Arial"/>
        </w:rPr>
        <w:t>E DIN ISO 17378-2:2017-01</w:t>
      </w:r>
    </w:p>
    <w:p>
      <w:pPr>
        <w:pStyle w:val="GesAbsatz"/>
        <w:tabs>
          <w:tab w:val="clear" w:pos="425"/>
          <w:tab w:val="left" w:pos="2268"/>
        </w:tabs>
        <w:rPr>
          <w:rFonts w:cs="Arial"/>
        </w:rPr>
      </w:pPr>
      <w:r>
        <w:rPr>
          <w:rFonts w:cs="Arial"/>
        </w:rPr>
        <w:lastRenderedPageBreak/>
        <w:t>Wasserbeschaffenheit – Bestimmung von Arsen und Antimon – Teil 2: Atomabsorptionsspektrometrie mit Hydridbildung (HG-AAS) (ISO 17378-2:2014)</w:t>
      </w:r>
    </w:p>
    <w:p>
      <w:pPr>
        <w:pStyle w:val="GesAbsatz"/>
        <w:tabs>
          <w:tab w:val="clear" w:pos="425"/>
          <w:tab w:val="left" w:pos="2268"/>
        </w:tabs>
        <w:rPr>
          <w:rFonts w:cs="Arial"/>
        </w:rPr>
      </w:pPr>
      <w:r>
        <w:rPr>
          <w:rFonts w:cs="Arial"/>
        </w:rPr>
        <w:t>DIN ISO 18287:2006-05</w:t>
      </w:r>
    </w:p>
    <w:p>
      <w:pPr>
        <w:pStyle w:val="GesAbsatz"/>
        <w:tabs>
          <w:tab w:val="clear" w:pos="425"/>
          <w:tab w:val="left" w:pos="2268"/>
        </w:tabs>
        <w:rPr>
          <w:rFonts w:cs="Arial"/>
        </w:rPr>
      </w:pPr>
      <w:r>
        <w:rPr>
          <w:rFonts w:cs="Arial"/>
        </w:rPr>
        <w:t>Bodenbeschaffenheit – Bestimmung der polycyclischen aromatischen Kohlenwasserstoffe (PAK) – Gaschromatographisches Verfahren mit Nachweis durch Massenspektrometrie (GC-MS) (ISO 18287:2006)</w:t>
      </w:r>
    </w:p>
    <w:p>
      <w:pPr>
        <w:pStyle w:val="GesAbsatz"/>
        <w:tabs>
          <w:tab w:val="clear" w:pos="425"/>
          <w:tab w:val="left" w:pos="2268"/>
        </w:tabs>
        <w:rPr>
          <w:rFonts w:cs="Arial"/>
        </w:rPr>
      </w:pPr>
      <w:r>
        <w:rPr>
          <w:rFonts w:cs="Arial"/>
        </w:rPr>
        <w:t>DIN ISO 19730:2009-07</w:t>
      </w:r>
    </w:p>
    <w:p>
      <w:pPr>
        <w:pStyle w:val="GesAbsatz"/>
        <w:tabs>
          <w:tab w:val="clear" w:pos="425"/>
          <w:tab w:val="left" w:pos="2268"/>
        </w:tabs>
        <w:rPr>
          <w:rFonts w:cs="Arial"/>
        </w:rPr>
      </w:pPr>
      <w:r>
        <w:rPr>
          <w:rFonts w:cs="Arial"/>
        </w:rPr>
        <w:t>Bodenbeschaffenheit – Extraktion von Spurenelementen aus Böden mit Ammoniumnitratlösung (ISO 19730:2008)</w:t>
      </w:r>
    </w:p>
    <w:p>
      <w:pPr>
        <w:pStyle w:val="GesAbsatz"/>
        <w:tabs>
          <w:tab w:val="clear" w:pos="425"/>
          <w:tab w:val="left" w:pos="2268"/>
        </w:tabs>
        <w:rPr>
          <w:rFonts w:cs="Arial"/>
        </w:rPr>
      </w:pPr>
      <w:r>
        <w:rPr>
          <w:rFonts w:cs="Arial"/>
        </w:rPr>
        <w:t>DIN ISO 20280:2010-05</w:t>
      </w:r>
    </w:p>
    <w:p>
      <w:pPr>
        <w:pStyle w:val="GesAbsatz"/>
        <w:tabs>
          <w:tab w:val="clear" w:pos="425"/>
          <w:tab w:val="left" w:pos="2268"/>
        </w:tabs>
        <w:rPr>
          <w:rFonts w:cs="Arial"/>
        </w:rPr>
      </w:pPr>
      <w:r>
        <w:rPr>
          <w:rFonts w:cs="Arial"/>
        </w:rPr>
        <w:t>Bodenbeschaffenheit – Bestimmung von Arsen, Antimon und Selen in Königswasser-Bodenextrakten mittels elektrothermischer oder Hydrid-Atomabsorptionsspektrometrie (ISO 20280:2007)</w:t>
      </w:r>
    </w:p>
    <w:p>
      <w:pPr>
        <w:pStyle w:val="GesAbsatz"/>
        <w:tabs>
          <w:tab w:val="clear" w:pos="425"/>
          <w:tab w:val="left" w:pos="2268"/>
        </w:tabs>
        <w:rPr>
          <w:rFonts w:cs="Arial"/>
        </w:rPr>
      </w:pPr>
      <w:r>
        <w:rPr>
          <w:rFonts w:cs="Arial"/>
        </w:rPr>
        <w:t>DIN ISO 22036:2009-06</w:t>
      </w:r>
    </w:p>
    <w:p>
      <w:pPr>
        <w:pStyle w:val="GesAbsatz"/>
        <w:tabs>
          <w:tab w:val="clear" w:pos="425"/>
          <w:tab w:val="left" w:pos="2268"/>
        </w:tabs>
        <w:rPr>
          <w:rFonts w:cs="Arial"/>
        </w:rPr>
      </w:pPr>
      <w:r>
        <w:rPr>
          <w:rFonts w:cs="Arial"/>
        </w:rPr>
        <w:t>Bodenbeschaffenheit – Bestimmung von Spurenelementen in Bodenextrakten mittels Atomemissionsspektrometrie mit induktiv gekoppeltem Plasma (ICP-AES) (ISO 22036:2008)</w:t>
      </w:r>
    </w:p>
    <w:p>
      <w:pPr>
        <w:pStyle w:val="GesAbsatz"/>
        <w:tabs>
          <w:tab w:val="clear" w:pos="425"/>
          <w:tab w:val="left" w:pos="2268"/>
        </w:tabs>
        <w:rPr>
          <w:rFonts w:cs="Arial"/>
        </w:rPr>
      </w:pPr>
      <w:r>
        <w:rPr>
          <w:rFonts w:cs="Arial"/>
        </w:rPr>
        <w:t>LAGA PN 98:2019-05</w:t>
      </w:r>
    </w:p>
    <w:p>
      <w:pPr>
        <w:pStyle w:val="GesAbsatz"/>
        <w:tabs>
          <w:tab w:val="clear" w:pos="425"/>
          <w:tab w:val="left" w:pos="2268"/>
        </w:tabs>
        <w:rPr>
          <w:rFonts w:cs="Arial"/>
        </w:rPr>
      </w:pPr>
      <w:r>
        <w:rPr>
          <w:rFonts w:cs="Arial"/>
        </w:rPr>
        <w:t>Richtlinie für das Vorgehen bei physikalischen, chemischen und biologischen Untersuchungen im Zusammenhang mit der Verwertung/Beseitigung von Abfällen; Mitteilungen Länderarbeitsgemeinschaft Abfall (LAGA) 32; 2002</w:t>
      </w:r>
    </w:p>
    <w:p>
      <w:pPr>
        <w:pStyle w:val="GesAbsatz"/>
        <w:tabs>
          <w:tab w:val="clear" w:pos="425"/>
          <w:tab w:val="left" w:pos="2268"/>
        </w:tabs>
        <w:rPr>
          <w:rFonts w:cs="Arial"/>
        </w:rPr>
      </w:pPr>
      <w:r>
        <w:rPr>
          <w:rFonts w:cs="Arial"/>
        </w:rPr>
        <w:t>VDI 3865 Blatt 1:2005-06</w:t>
      </w:r>
    </w:p>
    <w:p>
      <w:pPr>
        <w:pStyle w:val="GesAbsatz"/>
        <w:tabs>
          <w:tab w:val="clear" w:pos="425"/>
          <w:tab w:val="left" w:pos="2268"/>
        </w:tabs>
        <w:rPr>
          <w:rFonts w:cs="Arial"/>
        </w:rPr>
      </w:pPr>
      <w:r>
        <w:rPr>
          <w:rFonts w:cs="Arial"/>
        </w:rPr>
        <w:t>Messen organischer Bodenverunreinigungen – Messplanung für die Untersuchung der Bodenluft auf leichtflüchtige organische Verbindungen</w:t>
      </w:r>
    </w:p>
    <w:p>
      <w:pPr>
        <w:pStyle w:val="GesAbsatz"/>
        <w:tabs>
          <w:tab w:val="clear" w:pos="425"/>
          <w:tab w:val="left" w:pos="2268"/>
        </w:tabs>
        <w:rPr>
          <w:rFonts w:cs="Arial"/>
        </w:rPr>
      </w:pPr>
      <w:r>
        <w:rPr>
          <w:rFonts w:cs="Arial"/>
        </w:rPr>
        <w:t>VDI 3865 Blatt 2:1998-01</w:t>
      </w:r>
    </w:p>
    <w:p>
      <w:pPr>
        <w:pStyle w:val="GesAbsatz"/>
        <w:tabs>
          <w:tab w:val="clear" w:pos="425"/>
          <w:tab w:val="left" w:pos="2268"/>
        </w:tabs>
        <w:rPr>
          <w:rFonts w:cs="Arial"/>
        </w:rPr>
      </w:pPr>
      <w:r>
        <w:rPr>
          <w:rFonts w:cs="Arial"/>
        </w:rPr>
        <w:t>Messen organischer Bodenverunreinigungen – Techniken für die aktive Entnahme von Bodenluftproben</w:t>
      </w:r>
    </w:p>
    <w:p>
      <w:pPr>
        <w:pStyle w:val="GesAbsatz"/>
        <w:tabs>
          <w:tab w:val="clear" w:pos="425"/>
          <w:tab w:val="left" w:pos="2268"/>
        </w:tabs>
        <w:rPr>
          <w:rFonts w:cs="Arial"/>
        </w:rPr>
      </w:pPr>
      <w:r>
        <w:rPr>
          <w:rFonts w:cs="Arial"/>
        </w:rPr>
        <w:t>VDI 3865 Blatt 3:1998-06</w:t>
      </w:r>
    </w:p>
    <w:p>
      <w:pPr>
        <w:pStyle w:val="GesAbsatz"/>
        <w:tabs>
          <w:tab w:val="clear" w:pos="425"/>
          <w:tab w:val="left" w:pos="2268"/>
        </w:tabs>
        <w:rPr>
          <w:rFonts w:cs="Arial"/>
        </w:rPr>
      </w:pPr>
      <w:r>
        <w:rPr>
          <w:rFonts w:cs="Arial"/>
        </w:rPr>
        <w:t>Messen organischer Bodenverunreinigungen – Gaschromatographische Bestimmung von niedrigsiedenden organischen Verbindungen in Bodenluft nach Anreicherung an Aktivkohle oder XAD-4 und Desorption mit organischem Lösungsmittel</w:t>
      </w:r>
    </w:p>
    <w:p>
      <w:pPr>
        <w:pStyle w:val="GesAbsatz"/>
        <w:tabs>
          <w:tab w:val="clear" w:pos="425"/>
          <w:tab w:val="left" w:pos="2268"/>
        </w:tabs>
        <w:rPr>
          <w:rFonts w:cs="Arial"/>
        </w:rPr>
      </w:pPr>
      <w:r>
        <w:rPr>
          <w:rFonts w:cs="Arial"/>
        </w:rPr>
        <w:t>VDI 3860 Blatt 1:2006-05</w:t>
      </w:r>
    </w:p>
    <w:p>
      <w:pPr>
        <w:pStyle w:val="GesAbsatz"/>
        <w:tabs>
          <w:tab w:val="clear" w:pos="425"/>
          <w:tab w:val="left" w:pos="2268"/>
        </w:tabs>
        <w:rPr>
          <w:rFonts w:cs="Arial"/>
        </w:rPr>
      </w:pPr>
      <w:r>
        <w:rPr>
          <w:rFonts w:cs="Arial"/>
        </w:rPr>
        <w:t>Messen von Deponiegas – Grundlagen</w:t>
      </w:r>
    </w:p>
    <w:p>
      <w:pPr>
        <w:pStyle w:val="GesAbsatz"/>
        <w:tabs>
          <w:tab w:val="clear" w:pos="425"/>
          <w:tab w:val="left" w:pos="2268"/>
        </w:tabs>
        <w:rPr>
          <w:rFonts w:cs="Arial"/>
        </w:rPr>
      </w:pPr>
      <w:r>
        <w:rPr>
          <w:rFonts w:cs="Arial"/>
        </w:rPr>
        <w:t>VDI 3860 Blatt 2:2019-05</w:t>
      </w:r>
    </w:p>
    <w:p>
      <w:pPr>
        <w:pStyle w:val="GesAbsatz"/>
        <w:tabs>
          <w:tab w:val="clear" w:pos="425"/>
          <w:tab w:val="left" w:pos="2268"/>
        </w:tabs>
        <w:rPr>
          <w:rFonts w:cs="Arial"/>
        </w:rPr>
      </w:pPr>
      <w:r>
        <w:rPr>
          <w:rFonts w:cs="Arial"/>
        </w:rPr>
        <w:t>Messen von Deponiegasen – Messungen im Gaserfassungssystem</w:t>
      </w:r>
    </w:p>
    <w:p>
      <w:pPr>
        <w:pStyle w:val="GesAbsatz"/>
        <w:tabs>
          <w:tab w:val="clear" w:pos="425"/>
          <w:tab w:val="left" w:pos="2268"/>
        </w:tabs>
        <w:rPr>
          <w:rFonts w:cs="Arial"/>
        </w:rPr>
      </w:pPr>
      <w:r>
        <w:rPr>
          <w:rFonts w:cs="Arial"/>
        </w:rPr>
        <w:t>VDI 3860 Blatt 3:2017-11</w:t>
      </w:r>
    </w:p>
    <w:p>
      <w:pPr>
        <w:pStyle w:val="GesAbsatz"/>
        <w:tabs>
          <w:tab w:val="clear" w:pos="425"/>
          <w:tab w:val="left" w:pos="2268"/>
        </w:tabs>
        <w:rPr>
          <w:rFonts w:cs="Arial"/>
        </w:rPr>
      </w:pPr>
      <w:r>
        <w:rPr>
          <w:rFonts w:cs="Arial"/>
        </w:rPr>
        <w:t>Messen von Deponiegasen – Messung von Methan an der Deponieoberfläche mittels Saugglockenverfahren</w:t>
      </w:r>
    </w:p>
    <w:p>
      <w:pPr>
        <w:pStyle w:val="GesAbsatz"/>
        <w:tabs>
          <w:tab w:val="clear" w:pos="425"/>
          <w:tab w:val="left" w:pos="2268"/>
        </w:tabs>
        <w:rPr>
          <w:rFonts w:cs="Arial"/>
        </w:rPr>
      </w:pPr>
      <w:r>
        <w:rPr>
          <w:rFonts w:cs="Arial"/>
        </w:rPr>
        <w:t>VDI 3865 Blatt 4:2000-12</w:t>
      </w:r>
    </w:p>
    <w:p>
      <w:pPr>
        <w:pStyle w:val="GesAbsatz"/>
        <w:tabs>
          <w:tab w:val="clear" w:pos="425"/>
          <w:tab w:val="left" w:pos="2268"/>
        </w:tabs>
        <w:rPr>
          <w:rFonts w:cs="Arial"/>
        </w:rPr>
      </w:pPr>
      <w:r>
        <w:rPr>
          <w:rFonts w:cs="Arial"/>
        </w:rPr>
        <w:t>Messen organischer Bodenverunreinigungen – Gaschromatographische Bestimmung von niedrigsiedenden organischen Verbindungen in Bodenluft durch Direktmessung</w:t>
      </w: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rPr>
          <w:rFonts w:cs="Arial"/>
          <w:szCs w:val="18"/>
        </w:rPr>
      </w:pPr>
    </w:p>
    <w:p>
      <w:pPr>
        <w:pStyle w:val="GesAbsatz"/>
        <w:tabs>
          <w:tab w:val="clear" w:pos="425"/>
          <w:tab w:val="left" w:pos="2127"/>
        </w:tabs>
        <w:rPr>
          <w:rFonts w:cs="Arial"/>
          <w:sz w:val="22"/>
          <w:szCs w:val="22"/>
        </w:rPr>
      </w:pPr>
      <w:bookmarkStart w:id="41" w:name="Gesetzeshistorie"/>
      <w:bookmarkEnd w:id="41"/>
      <w:r>
        <w:rPr>
          <w:rFonts w:cs="Arial"/>
          <w:b/>
          <w:sz w:val="22"/>
          <w:szCs w:val="22"/>
        </w:rPr>
        <w:t>Änderungen:</w:t>
      </w:r>
    </w:p>
    <w:p>
      <w:pPr>
        <w:pStyle w:val="GesAbsatz"/>
        <w:tabs>
          <w:tab w:val="clear" w:pos="425"/>
          <w:tab w:val="left" w:pos="2268"/>
        </w:tabs>
        <w:rPr>
          <w:rFonts w:cs="Arial"/>
        </w:rPr>
      </w:pPr>
      <w:r>
        <w:rPr>
          <w:rFonts w:cs="Arial"/>
        </w:rPr>
        <w:t>09.07.2021</w:t>
      </w:r>
      <w:r>
        <w:rPr>
          <w:rFonts w:cs="Arial"/>
        </w:rPr>
        <w:tab/>
      </w:r>
      <w:hyperlink r:id="rId8" w:history="1">
        <w:r>
          <w:rPr>
            <w:rStyle w:val="Hyperlink"/>
            <w:rFonts w:cs="Arial"/>
          </w:rPr>
          <w:t>BGBl. Nr. 43 S. 2598, 2716</w:t>
        </w:r>
      </w:hyperlink>
      <w:r>
        <w:rPr>
          <w:rFonts w:cs="Arial"/>
        </w:rPr>
        <w:t xml:space="preserve"> Ursprungsfassung Inkrafttreten 01.08.2023</w:t>
      </w: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pPr>
      <w:r>
        <w:t xml:space="preserve">Suchworte:  bbodenschg  </w:t>
      </w:r>
    </w:p>
    <w:p>
      <w:pPr>
        <w:pStyle w:val="GesAbsatz"/>
        <w:tabs>
          <w:tab w:val="clear" w:pos="425"/>
          <w:tab w:val="left" w:pos="2268"/>
        </w:tabs>
        <w:rPr>
          <w:rFonts w:cs="Arial"/>
        </w:rPr>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t>Stand 09.07.2021</w:t>
    </w:r>
    <w:r>
      <w:rPr>
        <w:lang w:val="en-US"/>
      </w:rPr>
      <w:t xml:space="preserve"> (BGBl. I S. 2598, 2716 / FNA 2129-32-2)</w:t>
    </w:r>
    <w:r>
      <w:rPr>
        <w:lang w:val="en-US"/>
      </w:rPr>
      <w:tab/>
      <w:t>Seite</w:t>
    </w:r>
    <w:r>
      <w:fldChar w:fldCharType="begin"/>
    </w:r>
    <w:r>
      <w:rPr>
        <w:lang w:val="en-US"/>
      </w:rPr>
      <w:instrText xml:space="preserve"> PAGE </w:instrText>
    </w:r>
    <w:r>
      <w:fldChar w:fldCharType="separate"/>
    </w:r>
    <w:r>
      <w:rPr>
        <w:noProof/>
        <w:lang w:val="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50.1-02</w:t>
    </w:r>
  </w:p>
  <w:p>
    <w:pPr>
      <w:pStyle w:val="Kopfzeile"/>
    </w:pPr>
    <w:r>
      <w:t>BBodSchV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9D01978-FB5E-42FA-9F7D-90FCFBD1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Sprechblasentext">
    <w:name w:val="Balloon Text"/>
    <w:basedOn w:val="Standard"/>
    <w:semiHidden/>
    <w:rPr>
      <w:rFonts w:ascii="Tahoma" w:hAnsi="Tahoma" w:cs="Tahoma"/>
      <w:sz w:val="16"/>
      <w:szCs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2804">
      <w:bodyDiv w:val="1"/>
      <w:marLeft w:val="0"/>
      <w:marRight w:val="0"/>
      <w:marTop w:val="0"/>
      <w:marBottom w:val="0"/>
      <w:divBdr>
        <w:top w:val="none" w:sz="0" w:space="0" w:color="auto"/>
        <w:left w:val="none" w:sz="0" w:space="0" w:color="auto"/>
        <w:bottom w:val="none" w:sz="0" w:space="0" w:color="auto"/>
        <w:right w:val="none" w:sz="0" w:space="0" w:color="auto"/>
      </w:divBdr>
    </w:div>
    <w:div w:id="189638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21s2598.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zur-einf%C3%BChrung-einer-ersatzbaustoffverordnung-zur-neufassung-der-bundes-bodenschutz-und/2779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9FFF-84B6-4D81-A2D4-4FF0798F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38</Pages>
  <Words>15835</Words>
  <Characters>99764</Characters>
  <Application>Microsoft Office Word</Application>
  <DocSecurity>0</DocSecurity>
  <Lines>831</Lines>
  <Paragraphs>230</Paragraphs>
  <ScaleCrop>false</ScaleCrop>
  <HeadingPairs>
    <vt:vector size="2" baseType="variant">
      <vt:variant>
        <vt:lpstr>Titel</vt:lpstr>
      </vt:variant>
      <vt:variant>
        <vt:i4>1</vt:i4>
      </vt:variant>
    </vt:vector>
  </HeadingPairs>
  <TitlesOfParts>
    <vt:vector size="1" baseType="lpstr">
      <vt:lpstr>Bundes-Bodenschutz und Altlastenverordnung BBodSchV</vt:lpstr>
    </vt:vector>
  </TitlesOfParts>
  <Company>LANUV NRW</Company>
  <LinksUpToDate>false</LinksUpToDate>
  <CharactersWithSpaces>115369</CharactersWithSpaces>
  <SharedDoc>false</SharedDoc>
  <HLinks>
    <vt:vector size="192" baseType="variant">
      <vt:variant>
        <vt:i4>5046382</vt:i4>
      </vt:variant>
      <vt:variant>
        <vt:i4>177</vt:i4>
      </vt:variant>
      <vt:variant>
        <vt:i4>0</vt:i4>
      </vt:variant>
      <vt:variant>
        <vt:i4>5</vt:i4>
      </vt:variant>
      <vt:variant>
        <vt:lpwstr>http://www.bgbl.de/Xaver/start.xav?startbk=Bundesanzeiger_BGBl&amp;start=//*%5b@attr_id='bgbl112s0212.pdf'%5d</vt:lpwstr>
      </vt:variant>
      <vt:variant>
        <vt:lpwstr/>
      </vt:variant>
      <vt:variant>
        <vt:i4>5046383</vt:i4>
      </vt:variant>
      <vt:variant>
        <vt:i4>174</vt:i4>
      </vt:variant>
      <vt:variant>
        <vt:i4>0</vt:i4>
      </vt:variant>
      <vt:variant>
        <vt:i4>5</vt:i4>
      </vt:variant>
      <vt:variant>
        <vt:lpwstr>http://www.bgbl.de/Xaver/start.xav?startbk=Bundesanzeiger_BGBl&amp;start=//*%5b@attr_id='bgbl109s2585.pdf'%5d</vt:lpwstr>
      </vt:variant>
      <vt:variant>
        <vt:lpwstr/>
      </vt:variant>
      <vt:variant>
        <vt:i4>4259944</vt:i4>
      </vt:variant>
      <vt:variant>
        <vt:i4>171</vt:i4>
      </vt:variant>
      <vt:variant>
        <vt:i4>0</vt:i4>
      </vt:variant>
      <vt:variant>
        <vt:i4>5</vt:i4>
      </vt:variant>
      <vt:variant>
        <vt:lpwstr>http://www.bgbl.de/Xaver/start.xav?startbk=Bundesanzeiger_BGBl&amp;start=//*%5b@attr_id='bgbl109s2542.pdf'%5d</vt:lpwstr>
      </vt:variant>
      <vt:variant>
        <vt:lpwstr/>
      </vt:variant>
      <vt:variant>
        <vt:i4>4980832</vt:i4>
      </vt:variant>
      <vt:variant>
        <vt:i4>168</vt:i4>
      </vt:variant>
      <vt:variant>
        <vt:i4>0</vt:i4>
      </vt:variant>
      <vt:variant>
        <vt:i4>5</vt:i4>
      </vt:variant>
      <vt:variant>
        <vt:lpwstr>http://www.bgbl.de/Xaver/start.xav?startbk=Bundesanzeiger_BGBl&amp;start=//*%5b@attr_id='bgbl104s3758.pdf'%5d</vt:lpwstr>
      </vt:variant>
      <vt:variant>
        <vt:lpwstr/>
      </vt:variant>
      <vt:variant>
        <vt:i4>1638452</vt:i4>
      </vt:variant>
      <vt:variant>
        <vt:i4>161</vt:i4>
      </vt:variant>
      <vt:variant>
        <vt:i4>0</vt:i4>
      </vt:variant>
      <vt:variant>
        <vt:i4>5</vt:i4>
      </vt:variant>
      <vt:variant>
        <vt:lpwstr/>
      </vt:variant>
      <vt:variant>
        <vt:lpwstr>_Toc237840559</vt:lpwstr>
      </vt:variant>
      <vt:variant>
        <vt:i4>1638452</vt:i4>
      </vt:variant>
      <vt:variant>
        <vt:i4>155</vt:i4>
      </vt:variant>
      <vt:variant>
        <vt:i4>0</vt:i4>
      </vt:variant>
      <vt:variant>
        <vt:i4>5</vt:i4>
      </vt:variant>
      <vt:variant>
        <vt:lpwstr/>
      </vt:variant>
      <vt:variant>
        <vt:lpwstr>_Toc237840558</vt:lpwstr>
      </vt:variant>
      <vt:variant>
        <vt:i4>1638452</vt:i4>
      </vt:variant>
      <vt:variant>
        <vt:i4>149</vt:i4>
      </vt:variant>
      <vt:variant>
        <vt:i4>0</vt:i4>
      </vt:variant>
      <vt:variant>
        <vt:i4>5</vt:i4>
      </vt:variant>
      <vt:variant>
        <vt:lpwstr/>
      </vt:variant>
      <vt:variant>
        <vt:lpwstr>_Toc237840557</vt:lpwstr>
      </vt:variant>
      <vt:variant>
        <vt:i4>1638452</vt:i4>
      </vt:variant>
      <vt:variant>
        <vt:i4>143</vt:i4>
      </vt:variant>
      <vt:variant>
        <vt:i4>0</vt:i4>
      </vt:variant>
      <vt:variant>
        <vt:i4>5</vt:i4>
      </vt:variant>
      <vt:variant>
        <vt:lpwstr/>
      </vt:variant>
      <vt:variant>
        <vt:lpwstr>_Toc237840556</vt:lpwstr>
      </vt:variant>
      <vt:variant>
        <vt:i4>1638452</vt:i4>
      </vt:variant>
      <vt:variant>
        <vt:i4>137</vt:i4>
      </vt:variant>
      <vt:variant>
        <vt:i4>0</vt:i4>
      </vt:variant>
      <vt:variant>
        <vt:i4>5</vt:i4>
      </vt:variant>
      <vt:variant>
        <vt:lpwstr/>
      </vt:variant>
      <vt:variant>
        <vt:lpwstr>_Toc237840555</vt:lpwstr>
      </vt:variant>
      <vt:variant>
        <vt:i4>1638452</vt:i4>
      </vt:variant>
      <vt:variant>
        <vt:i4>131</vt:i4>
      </vt:variant>
      <vt:variant>
        <vt:i4>0</vt:i4>
      </vt:variant>
      <vt:variant>
        <vt:i4>5</vt:i4>
      </vt:variant>
      <vt:variant>
        <vt:lpwstr/>
      </vt:variant>
      <vt:variant>
        <vt:lpwstr>_Toc237840554</vt:lpwstr>
      </vt:variant>
      <vt:variant>
        <vt:i4>1638452</vt:i4>
      </vt:variant>
      <vt:variant>
        <vt:i4>125</vt:i4>
      </vt:variant>
      <vt:variant>
        <vt:i4>0</vt:i4>
      </vt:variant>
      <vt:variant>
        <vt:i4>5</vt:i4>
      </vt:variant>
      <vt:variant>
        <vt:lpwstr/>
      </vt:variant>
      <vt:variant>
        <vt:lpwstr>_Toc237840553</vt:lpwstr>
      </vt:variant>
      <vt:variant>
        <vt:i4>1638452</vt:i4>
      </vt:variant>
      <vt:variant>
        <vt:i4>119</vt:i4>
      </vt:variant>
      <vt:variant>
        <vt:i4>0</vt:i4>
      </vt:variant>
      <vt:variant>
        <vt:i4>5</vt:i4>
      </vt:variant>
      <vt:variant>
        <vt:lpwstr/>
      </vt:variant>
      <vt:variant>
        <vt:lpwstr>_Toc237840552</vt:lpwstr>
      </vt:variant>
      <vt:variant>
        <vt:i4>1638452</vt:i4>
      </vt:variant>
      <vt:variant>
        <vt:i4>113</vt:i4>
      </vt:variant>
      <vt:variant>
        <vt:i4>0</vt:i4>
      </vt:variant>
      <vt:variant>
        <vt:i4>5</vt:i4>
      </vt:variant>
      <vt:variant>
        <vt:lpwstr/>
      </vt:variant>
      <vt:variant>
        <vt:lpwstr>_Toc237840551</vt:lpwstr>
      </vt:variant>
      <vt:variant>
        <vt:i4>1638452</vt:i4>
      </vt:variant>
      <vt:variant>
        <vt:i4>107</vt:i4>
      </vt:variant>
      <vt:variant>
        <vt:i4>0</vt:i4>
      </vt:variant>
      <vt:variant>
        <vt:i4>5</vt:i4>
      </vt:variant>
      <vt:variant>
        <vt:lpwstr/>
      </vt:variant>
      <vt:variant>
        <vt:lpwstr>_Toc237840550</vt:lpwstr>
      </vt:variant>
      <vt:variant>
        <vt:i4>1572916</vt:i4>
      </vt:variant>
      <vt:variant>
        <vt:i4>101</vt:i4>
      </vt:variant>
      <vt:variant>
        <vt:i4>0</vt:i4>
      </vt:variant>
      <vt:variant>
        <vt:i4>5</vt:i4>
      </vt:variant>
      <vt:variant>
        <vt:lpwstr/>
      </vt:variant>
      <vt:variant>
        <vt:lpwstr>_Toc237840549</vt:lpwstr>
      </vt:variant>
      <vt:variant>
        <vt:i4>1572916</vt:i4>
      </vt:variant>
      <vt:variant>
        <vt:i4>95</vt:i4>
      </vt:variant>
      <vt:variant>
        <vt:i4>0</vt:i4>
      </vt:variant>
      <vt:variant>
        <vt:i4>5</vt:i4>
      </vt:variant>
      <vt:variant>
        <vt:lpwstr/>
      </vt:variant>
      <vt:variant>
        <vt:lpwstr>_Toc237840548</vt:lpwstr>
      </vt:variant>
      <vt:variant>
        <vt:i4>1572916</vt:i4>
      </vt:variant>
      <vt:variant>
        <vt:i4>89</vt:i4>
      </vt:variant>
      <vt:variant>
        <vt:i4>0</vt:i4>
      </vt:variant>
      <vt:variant>
        <vt:i4>5</vt:i4>
      </vt:variant>
      <vt:variant>
        <vt:lpwstr/>
      </vt:variant>
      <vt:variant>
        <vt:lpwstr>_Toc237840547</vt:lpwstr>
      </vt:variant>
      <vt:variant>
        <vt:i4>1572916</vt:i4>
      </vt:variant>
      <vt:variant>
        <vt:i4>83</vt:i4>
      </vt:variant>
      <vt:variant>
        <vt:i4>0</vt:i4>
      </vt:variant>
      <vt:variant>
        <vt:i4>5</vt:i4>
      </vt:variant>
      <vt:variant>
        <vt:lpwstr/>
      </vt:variant>
      <vt:variant>
        <vt:lpwstr>_Toc237840546</vt:lpwstr>
      </vt:variant>
      <vt:variant>
        <vt:i4>1572916</vt:i4>
      </vt:variant>
      <vt:variant>
        <vt:i4>77</vt:i4>
      </vt:variant>
      <vt:variant>
        <vt:i4>0</vt:i4>
      </vt:variant>
      <vt:variant>
        <vt:i4>5</vt:i4>
      </vt:variant>
      <vt:variant>
        <vt:lpwstr/>
      </vt:variant>
      <vt:variant>
        <vt:lpwstr>_Toc237840545</vt:lpwstr>
      </vt:variant>
      <vt:variant>
        <vt:i4>1572916</vt:i4>
      </vt:variant>
      <vt:variant>
        <vt:i4>71</vt:i4>
      </vt:variant>
      <vt:variant>
        <vt:i4>0</vt:i4>
      </vt:variant>
      <vt:variant>
        <vt:i4>5</vt:i4>
      </vt:variant>
      <vt:variant>
        <vt:lpwstr/>
      </vt:variant>
      <vt:variant>
        <vt:lpwstr>_Toc237840544</vt:lpwstr>
      </vt:variant>
      <vt:variant>
        <vt:i4>1572916</vt:i4>
      </vt:variant>
      <vt:variant>
        <vt:i4>65</vt:i4>
      </vt:variant>
      <vt:variant>
        <vt:i4>0</vt:i4>
      </vt:variant>
      <vt:variant>
        <vt:i4>5</vt:i4>
      </vt:variant>
      <vt:variant>
        <vt:lpwstr/>
      </vt:variant>
      <vt:variant>
        <vt:lpwstr>_Toc237840543</vt:lpwstr>
      </vt:variant>
      <vt:variant>
        <vt:i4>1572916</vt:i4>
      </vt:variant>
      <vt:variant>
        <vt:i4>59</vt:i4>
      </vt:variant>
      <vt:variant>
        <vt:i4>0</vt:i4>
      </vt:variant>
      <vt:variant>
        <vt:i4>5</vt:i4>
      </vt:variant>
      <vt:variant>
        <vt:lpwstr/>
      </vt:variant>
      <vt:variant>
        <vt:lpwstr>_Toc237840542</vt:lpwstr>
      </vt:variant>
      <vt:variant>
        <vt:i4>1572916</vt:i4>
      </vt:variant>
      <vt:variant>
        <vt:i4>53</vt:i4>
      </vt:variant>
      <vt:variant>
        <vt:i4>0</vt:i4>
      </vt:variant>
      <vt:variant>
        <vt:i4>5</vt:i4>
      </vt:variant>
      <vt:variant>
        <vt:lpwstr/>
      </vt:variant>
      <vt:variant>
        <vt:lpwstr>_Toc237840541</vt:lpwstr>
      </vt:variant>
      <vt:variant>
        <vt:i4>1572916</vt:i4>
      </vt:variant>
      <vt:variant>
        <vt:i4>47</vt:i4>
      </vt:variant>
      <vt:variant>
        <vt:i4>0</vt:i4>
      </vt:variant>
      <vt:variant>
        <vt:i4>5</vt:i4>
      </vt:variant>
      <vt:variant>
        <vt:lpwstr/>
      </vt:variant>
      <vt:variant>
        <vt:lpwstr>_Toc237840540</vt:lpwstr>
      </vt:variant>
      <vt:variant>
        <vt:i4>2031668</vt:i4>
      </vt:variant>
      <vt:variant>
        <vt:i4>41</vt:i4>
      </vt:variant>
      <vt:variant>
        <vt:i4>0</vt:i4>
      </vt:variant>
      <vt:variant>
        <vt:i4>5</vt:i4>
      </vt:variant>
      <vt:variant>
        <vt:lpwstr/>
      </vt:variant>
      <vt:variant>
        <vt:lpwstr>_Toc237840539</vt:lpwstr>
      </vt:variant>
      <vt:variant>
        <vt:i4>2031668</vt:i4>
      </vt:variant>
      <vt:variant>
        <vt:i4>35</vt:i4>
      </vt:variant>
      <vt:variant>
        <vt:i4>0</vt:i4>
      </vt:variant>
      <vt:variant>
        <vt:i4>5</vt:i4>
      </vt:variant>
      <vt:variant>
        <vt:lpwstr/>
      </vt:variant>
      <vt:variant>
        <vt:lpwstr>_Toc237840538</vt:lpwstr>
      </vt:variant>
      <vt:variant>
        <vt:i4>2031668</vt:i4>
      </vt:variant>
      <vt:variant>
        <vt:i4>29</vt:i4>
      </vt:variant>
      <vt:variant>
        <vt:i4>0</vt:i4>
      </vt:variant>
      <vt:variant>
        <vt:i4>5</vt:i4>
      </vt:variant>
      <vt:variant>
        <vt:lpwstr/>
      </vt:variant>
      <vt:variant>
        <vt:lpwstr>_Toc237840537</vt:lpwstr>
      </vt:variant>
      <vt:variant>
        <vt:i4>2031668</vt:i4>
      </vt:variant>
      <vt:variant>
        <vt:i4>23</vt:i4>
      </vt:variant>
      <vt:variant>
        <vt:i4>0</vt:i4>
      </vt:variant>
      <vt:variant>
        <vt:i4>5</vt:i4>
      </vt:variant>
      <vt:variant>
        <vt:lpwstr/>
      </vt:variant>
      <vt:variant>
        <vt:lpwstr>_Toc237840536</vt:lpwstr>
      </vt:variant>
      <vt:variant>
        <vt:i4>2031668</vt:i4>
      </vt:variant>
      <vt:variant>
        <vt:i4>17</vt:i4>
      </vt:variant>
      <vt:variant>
        <vt:i4>0</vt:i4>
      </vt:variant>
      <vt:variant>
        <vt:i4>5</vt:i4>
      </vt:variant>
      <vt:variant>
        <vt:lpwstr/>
      </vt:variant>
      <vt:variant>
        <vt:lpwstr>_Toc237840535</vt:lpwstr>
      </vt:variant>
      <vt:variant>
        <vt:i4>2031668</vt:i4>
      </vt:variant>
      <vt:variant>
        <vt:i4>11</vt:i4>
      </vt:variant>
      <vt:variant>
        <vt:i4>0</vt:i4>
      </vt:variant>
      <vt:variant>
        <vt:i4>5</vt:i4>
      </vt:variant>
      <vt:variant>
        <vt:lpwstr/>
      </vt:variant>
      <vt:variant>
        <vt:lpwstr>_Toc237840534</vt:lpwstr>
      </vt:variant>
      <vt:variant>
        <vt:i4>2031668</vt:i4>
      </vt:variant>
      <vt:variant>
        <vt:i4>5</vt:i4>
      </vt:variant>
      <vt:variant>
        <vt:i4>0</vt:i4>
      </vt:variant>
      <vt:variant>
        <vt:i4>5</vt:i4>
      </vt:variant>
      <vt:variant>
        <vt:lpwstr/>
      </vt:variant>
      <vt:variant>
        <vt:lpwstr>_Toc237840533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Bundes-Bodenschutz und Altlastenverordnung BBodSchV</dc:title>
  <dc:creator>LANUV NRW</dc:creator>
  <cp:lastModifiedBy>Rüter, Dr., Ingo</cp:lastModifiedBy>
  <cp:revision>4</cp:revision>
  <cp:lastPrinted>1900-12-31T22:00:00Z</cp:lastPrinted>
  <dcterms:created xsi:type="dcterms:W3CDTF">2023-08-09T09:58:00Z</dcterms:created>
  <dcterms:modified xsi:type="dcterms:W3CDTF">2024-06-25T06:43:00Z</dcterms:modified>
</cp:coreProperties>
</file>