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Anforderungen zur Entsorgung von Elektro- und Elektronik-Altgeräten</w:t>
      </w:r>
      <w:r>
        <w:br/>
        <w:t>Altgeräte-Merkblatt</w:t>
      </w:r>
    </w:p>
    <w:p>
      <w:pPr>
        <w:pStyle w:val="GesAbsatz"/>
        <w:jc w:val="center"/>
      </w:pPr>
      <w:r>
        <w:t xml:space="preserve">RdErl. d. Ministeriums für Umwelt und Naturschutz, Landwirtschaft und Verbraucherschutz – </w:t>
      </w:r>
      <w:r>
        <w:br/>
        <w:t>IV-3-912.03 v. 11.03.2010</w:t>
      </w:r>
    </w:p>
    <w:p>
      <w:pPr>
        <w:pStyle w:val="GesAbsatz"/>
        <w:rPr>
          <w:i/>
          <w:color w:val="0000FF"/>
        </w:rPr>
      </w:pPr>
      <w:r>
        <w:rPr>
          <w:i/>
          <w:color w:val="0000FF"/>
        </w:rPr>
        <w:t>Der Erlass ist am 01.04.2010 in Kraft getreten.</w:t>
      </w:r>
    </w:p>
    <w:p>
      <w:pPr>
        <w:pStyle w:val="GesAbsatz"/>
      </w:pPr>
      <w:hyperlink r:id="rId7" w:history="1">
        <w:r>
          <w:rPr>
            <w:rStyle w:val="Hyperlink"/>
          </w:rPr>
          <w:t>Link zur Vorschrift im SMBl. NRW. 74:</w:t>
        </w:r>
      </w:hyperlink>
    </w:p>
    <w:p>
      <w:pPr>
        <w:pStyle w:val="GesAbsatz"/>
      </w:pPr>
    </w:p>
    <w:p>
      <w:pPr>
        <w:pStyle w:val="GesAbsatz"/>
      </w:pPr>
      <w:r>
        <w:t>1.</w:t>
      </w:r>
      <w:r>
        <w:br/>
        <w:t xml:space="preserve">Die Länderarbeitsgemeinschaft Abfall (LAGA) hat das Merkblatt “Anforderungen zur Entsorgung von Elektro- und Elektronik-Altgeräten – Altgeräte-Merkblatt“ vorgelegt und damit die im ElektroG enthaltenen Anforderungen weiter präzisiert. </w:t>
      </w:r>
      <w:bookmarkStart w:id="0" w:name="_GoBack"/>
      <w:bookmarkEnd w:id="0"/>
    </w:p>
    <w:p>
      <w:pPr>
        <w:pStyle w:val="GesAbsatz"/>
      </w:pPr>
      <w:r>
        <w:t xml:space="preserve">Das Merkblatt kann über die Homepage der LAGA (www.laga-online.de) </w:t>
      </w:r>
      <w:proofErr w:type="gramStart"/>
      <w:r>
        <w:t>herunter geladen</w:t>
      </w:r>
      <w:proofErr w:type="gramEnd"/>
      <w:r>
        <w:t xml:space="preserve"> werden.</w:t>
      </w:r>
    </w:p>
    <w:p>
      <w:pPr>
        <w:pStyle w:val="GesAbsatz"/>
      </w:pPr>
      <w:r>
        <w:t>Die jeweils zuständigen Behörden haben das Merkblatt zugrunde zu legen bei:</w:t>
      </w:r>
    </w:p>
    <w:p>
      <w:pPr>
        <w:pStyle w:val="GesAbsatz"/>
        <w:ind w:left="426" w:hanging="426"/>
      </w:pPr>
      <w:r>
        <w:t>-</w:t>
      </w:r>
      <w:r>
        <w:tab/>
        <w:t>der Zulassung und Überwachung von Anlagen zur Lagerung und Behandlung von Elektro- und Elektronik-Altgeräten,</w:t>
      </w:r>
    </w:p>
    <w:p>
      <w:pPr>
        <w:pStyle w:val="GesAbsatz"/>
        <w:ind w:left="426" w:hanging="426"/>
      </w:pPr>
      <w:r>
        <w:t>-</w:t>
      </w:r>
      <w:r>
        <w:tab/>
        <w:t>der Überwachung der Entsorgung von Elektro- und Elektronik-Altgeräten,</w:t>
      </w:r>
    </w:p>
    <w:p>
      <w:pPr>
        <w:pStyle w:val="GesAbsatz"/>
        <w:ind w:left="426" w:hanging="426"/>
      </w:pPr>
      <w:r>
        <w:t>-</w:t>
      </w:r>
      <w:r>
        <w:tab/>
        <w:t>der Zustimmung zu Überwachungsverträgen für Entsorgungsfachbetriebe, der im Bereich der Entsorgung von Elektro- und Elektronik-Altgeräten tätig ist (§ 52 Abs. 2 KrW-/AbfG i.V.m. der Entsorgungsfachbetriebeverordnung – EfbV vom 10.09.1996 – BGBl. I S. 1421 in der jeweils gültigen Fassung),</w:t>
      </w:r>
    </w:p>
    <w:p>
      <w:pPr>
        <w:pStyle w:val="GesAbsatz"/>
        <w:ind w:left="426" w:hanging="426"/>
      </w:pPr>
      <w:r>
        <w:t>-</w:t>
      </w:r>
      <w:r>
        <w:tab/>
        <w:t>der Anerkennung von Entsorgergemeinschaften, deren Mitgliedsbetriebe auf dem Gebiet der Entsorgung von Elektro- und Elektronik-Altgeräten tätig sind (§ 52 Abs. 3 KrW-/AbfG i.V.m. der Richtlinie über die Tätigkeit und Anerkennung von Entsorgergemeinschaften – Entsorgergemeinschaftenrichtlinie vom 9.09.1996 – BAnz. Nr. 178 S. 10909 in der jeweils gültigen Fassung).</w:t>
      </w:r>
    </w:p>
    <w:p>
      <w:pPr>
        <w:pStyle w:val="GesAbsatz"/>
      </w:pPr>
      <w:r>
        <w:t>2.</w:t>
      </w:r>
      <w:r>
        <w:br/>
        <w:t>Der RdErl. d. Ministeriums für Umwelt und Naturschutz, Landwirtschaft und Verbraucherschutz vom 15.10.2001 (MBl. NRW. 2002 S.96), geändert durch RdErl. v. 24.1.2006 (MBl. NRW. S.211), wird aufgehoben.</w:t>
      </w:r>
    </w:p>
    <w:p>
      <w:pPr>
        <w:pStyle w:val="GesAbsatz"/>
      </w:pPr>
      <w:r>
        <w:t>Der RdErl. tritt am Tag nach seiner Veröffentlichung in Kraft.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</w:r>
    <w:r>
      <w:rPr>
        <w:lang w:val="en-GB"/>
      </w:rPr>
      <w:t>Stand 24.01.2006 (MBl. NRW. S. 211 / SMBl. NRW. 74)</w:t>
    </w:r>
    <w:r>
      <w:rPr>
        <w:lang w:val="en-GB"/>
      </w:rPr>
      <w:tab/>
    </w:r>
    <w:r>
      <w:t xml:space="preserve">Seite </w:t>
    </w:r>
    <w:r>
      <w:rPr>
        <w:rStyle w:val="Seitenzahl"/>
        <w:szCs w:val="16"/>
      </w:rPr>
      <w:fldChar w:fldCharType="begin"/>
    </w:r>
    <w:r>
      <w:rPr>
        <w:rStyle w:val="Seitenzahl"/>
        <w:szCs w:val="16"/>
      </w:rPr>
      <w:instrText xml:space="preserve"> PAGE </w:instrText>
    </w:r>
    <w:r>
      <w:rPr>
        <w:rStyle w:val="Seitenzahl"/>
        <w:szCs w:val="16"/>
      </w:rPr>
      <w:fldChar w:fldCharType="separate"/>
    </w:r>
    <w:r>
      <w:rPr>
        <w:rStyle w:val="Seitenzahl"/>
        <w:noProof/>
        <w:szCs w:val="16"/>
      </w:rPr>
      <w:t>1</w:t>
    </w:r>
    <w:r>
      <w:rPr>
        <w:rStyle w:val="Seitenzah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49.0-20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2D8E"/>
    <w:multiLevelType w:val="hybridMultilevel"/>
    <w:tmpl w:val="D564D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BBAD36-FAD9-445A-BE18-53FDAAD3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Funotentext">
    <w:name w:val="footnote text"/>
    <w:basedOn w:val="Standard"/>
    <w:link w:val="FunotentextZchn"/>
    <w:qFormat/>
    <w:pPr>
      <w:spacing w:before="0" w:after="0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/>
      <w:sz w:val="16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3">
    <w:name w:val="toc 3"/>
    <w:basedOn w:val="Standard"/>
    <w:next w:val="Standard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1">
    <w:name w:val="toc 1"/>
    <w:basedOn w:val="Verzeichnis3"/>
    <w:next w:val="Standard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text?anw_nr=1&amp;gld_nr=7&amp;ugl_nr=74&amp;bes_id=14744&amp;val=14744&amp;ver=7&amp;sg=0&amp;aufgehoben=N&amp;menu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231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Altgeräte-Merkblatt</vt:lpstr>
    </vt:vector>
  </TitlesOfParts>
  <Company>LANUV NRW</Company>
  <LinksUpToDate>false</LinksUpToDate>
  <CharactersWithSpaces>1950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https://recht.nrw.de/lmi/owa/br_bes_text?anw_nr=1&amp;gld_nr=7&amp;ugl_nr=74&amp;bes_id=14744&amp;val=14744&amp;ver=7&amp;sg=0&amp;aufgehoben=N&amp;menu=1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Altgeräte-Merkblatt</dc:title>
  <dc:subject/>
  <dc:creator>LANUV NRW</dc:creator>
  <cp:keywords/>
  <dc:description/>
  <cp:lastModifiedBy>Rüter, Dr., Ingo</cp:lastModifiedBy>
  <cp:revision>5</cp:revision>
  <cp:lastPrinted>1899-12-31T23:00:00Z</cp:lastPrinted>
  <dcterms:created xsi:type="dcterms:W3CDTF">2014-01-09T10:14:00Z</dcterms:created>
  <dcterms:modified xsi:type="dcterms:W3CDTF">2024-06-14T07:12:00Z</dcterms:modified>
</cp:coreProperties>
</file>